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D6E7" w14:textId="24FDAA2F" w:rsidR="00CE71D4" w:rsidRDefault="00BE3ED1" w:rsidP="00BE3ED1">
      <w:pPr>
        <w:pStyle w:val="Pagedecouverture"/>
        <w:rPr>
          <w:noProof/>
          <w:lang w:val="en-GB"/>
        </w:rPr>
      </w:pPr>
      <w:bookmarkStart w:id="0" w:name="LW_BM_COVERPAGE"/>
      <w:r>
        <w:rPr>
          <w:noProof/>
          <w:lang w:val="en-GB"/>
        </w:rPr>
        <w:pict w14:anchorId="65460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86B610F3-C973-485F-B7BC-B261DAFD66DD" style="width:455.25pt;height:448.5pt">
            <v:imagedata r:id="rId11" o:title=""/>
          </v:shape>
        </w:pict>
      </w:r>
    </w:p>
    <w:bookmarkEnd w:id="0"/>
    <w:p w14:paraId="6B78ABB3" w14:textId="77777777" w:rsidR="00CE71D4" w:rsidRDefault="00CE71D4" w:rsidP="00CE71D4">
      <w:pPr>
        <w:rPr>
          <w:noProof/>
          <w:lang w:val="en-GB"/>
        </w:rPr>
        <w:sectPr w:rsidR="00CE71D4" w:rsidSect="00BE3ED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14:paraId="275037A4" w14:textId="2A53852D" w:rsidR="0060535C" w:rsidRPr="00A36E96" w:rsidRDefault="0060535C" w:rsidP="00CE71D4">
      <w:pPr>
        <w:rPr>
          <w:rFonts w:cs="Times New Roman"/>
          <w:b/>
          <w:noProof/>
          <w:sz w:val="28"/>
          <w:szCs w:val="28"/>
          <w:lang w:val="en-GB"/>
        </w:rPr>
      </w:pPr>
      <w:r w:rsidRPr="00A36E96">
        <w:rPr>
          <w:rFonts w:cs="Times New Roman"/>
          <w:b/>
          <w:noProof/>
          <w:sz w:val="28"/>
          <w:szCs w:val="28"/>
          <w:lang w:val="en-GB"/>
        </w:rPr>
        <w:lastRenderedPageBreak/>
        <w:t>CONTENTS</w:t>
      </w:r>
    </w:p>
    <w:sdt>
      <w:sdtPr>
        <w:rPr>
          <w:rFonts w:eastAsiaTheme="minorEastAsia"/>
          <w:b w:val="0"/>
          <w:bCs w:val="0"/>
          <w:noProof w:val="0"/>
          <w:lang w:val="en-GB"/>
        </w:rPr>
        <w:id w:val="1272667104"/>
        <w:docPartObj>
          <w:docPartGallery w:val="Table of Contents"/>
          <w:docPartUnique/>
        </w:docPartObj>
      </w:sdtPr>
      <w:sdtEndPr/>
      <w:sdtContent>
        <w:p w14:paraId="5849B2BF" w14:textId="135EDDB8" w:rsidR="00A324A7" w:rsidRDefault="00BA5650" w:rsidP="006E2854">
          <w:pPr>
            <w:pStyle w:val="TOC1"/>
            <w:rPr>
              <w:rFonts w:asciiTheme="minorHAnsi" w:eastAsiaTheme="minorEastAsia" w:hAnsiTheme="minorHAnsi"/>
              <w:sz w:val="22"/>
              <w:lang w:eastAsia="en-IE"/>
            </w:rPr>
          </w:pPr>
          <w:r w:rsidRPr="00A36E96">
            <w:rPr>
              <w:rFonts w:eastAsiaTheme="majorEastAsia" w:cs="Times New Roman"/>
              <w:kern w:val="0"/>
              <w:szCs w:val="24"/>
              <w:lang w:val="en-GB"/>
              <w14:ligatures w14:val="none"/>
            </w:rPr>
            <w:fldChar w:fldCharType="begin"/>
          </w:r>
          <w:r w:rsidRPr="00724676">
            <w:rPr>
              <w:rFonts w:cs="Times New Roman"/>
              <w:szCs w:val="24"/>
              <w:lang w:val="en-GB"/>
            </w:rPr>
            <w:instrText xml:space="preserve"> TOC \o "1-3" \h \z \u </w:instrText>
          </w:r>
          <w:r w:rsidRPr="00A36E96">
            <w:rPr>
              <w:rFonts w:eastAsiaTheme="majorEastAsia" w:cs="Times New Roman"/>
              <w:kern w:val="0"/>
              <w:szCs w:val="24"/>
              <w:lang w:val="en-GB"/>
              <w14:ligatures w14:val="none"/>
            </w:rPr>
            <w:fldChar w:fldCharType="separate"/>
          </w:r>
          <w:hyperlink w:anchor="_Toc172125115" w:history="1">
            <w:r w:rsidR="00A324A7" w:rsidRPr="006E2854">
              <w:rPr>
                <w:rStyle w:val="Hyperlink"/>
                <w:szCs w:val="24"/>
                <w:lang w:val="en-GB"/>
              </w:rPr>
              <w:t>1.</w:t>
            </w:r>
            <w:r w:rsidR="006E2854" w:rsidRPr="006E2854">
              <w:rPr>
                <w:rFonts w:asciiTheme="minorHAnsi" w:eastAsiaTheme="minorEastAsia" w:hAnsiTheme="minorHAnsi"/>
                <w:szCs w:val="24"/>
                <w:lang w:eastAsia="en-IE"/>
              </w:rPr>
              <w:t xml:space="preserve"> </w:t>
            </w:r>
            <w:r w:rsidR="00A324A7" w:rsidRPr="006E2854">
              <w:rPr>
                <w:rStyle w:val="Hyperlink"/>
                <w:szCs w:val="24"/>
                <w:lang w:val="en-GB"/>
              </w:rPr>
              <w:t>INTRODUCTION</w:t>
            </w:r>
            <w:r w:rsidR="00A324A7">
              <w:rPr>
                <w:webHidden/>
              </w:rPr>
              <w:tab/>
            </w:r>
            <w:r w:rsidR="00A324A7">
              <w:rPr>
                <w:webHidden/>
              </w:rPr>
              <w:fldChar w:fldCharType="begin"/>
            </w:r>
            <w:r w:rsidR="00A324A7">
              <w:rPr>
                <w:webHidden/>
              </w:rPr>
              <w:instrText xml:space="preserve"> PAGEREF _Toc172125115 \h </w:instrText>
            </w:r>
            <w:r w:rsidR="00A324A7">
              <w:rPr>
                <w:webHidden/>
              </w:rPr>
            </w:r>
            <w:r w:rsidR="00A324A7">
              <w:rPr>
                <w:webHidden/>
              </w:rPr>
              <w:fldChar w:fldCharType="separate"/>
            </w:r>
            <w:r w:rsidR="00272AB0">
              <w:rPr>
                <w:webHidden/>
              </w:rPr>
              <w:t>3</w:t>
            </w:r>
            <w:r w:rsidR="00A324A7">
              <w:rPr>
                <w:webHidden/>
              </w:rPr>
              <w:fldChar w:fldCharType="end"/>
            </w:r>
          </w:hyperlink>
        </w:p>
        <w:p w14:paraId="1E5B30CA" w14:textId="29E4FE53" w:rsidR="00A324A7" w:rsidRDefault="00BE3ED1" w:rsidP="006E2854">
          <w:pPr>
            <w:pStyle w:val="TOC1"/>
            <w:rPr>
              <w:rFonts w:asciiTheme="minorHAnsi" w:eastAsiaTheme="minorEastAsia" w:hAnsiTheme="minorHAnsi"/>
              <w:sz w:val="22"/>
              <w:lang w:eastAsia="en-IE"/>
            </w:rPr>
          </w:pPr>
          <w:hyperlink w:anchor="_Toc172125116" w:history="1">
            <w:r w:rsidR="00A324A7" w:rsidRPr="009161A9">
              <w:rPr>
                <w:rStyle w:val="Hyperlink"/>
                <w:lang w:val="en-GB"/>
              </w:rPr>
              <w:t>2.</w:t>
            </w:r>
            <w:r w:rsidR="00867EAD">
              <w:rPr>
                <w:rFonts w:asciiTheme="minorHAnsi" w:eastAsiaTheme="minorEastAsia" w:hAnsiTheme="minorHAnsi"/>
                <w:sz w:val="22"/>
                <w:lang w:eastAsia="en-IE"/>
              </w:rPr>
              <w:t xml:space="preserve"> </w:t>
            </w:r>
            <w:r w:rsidR="00A324A7" w:rsidRPr="009161A9">
              <w:rPr>
                <w:rStyle w:val="Hyperlink"/>
                <w:lang w:val="en-GB"/>
              </w:rPr>
              <w:t>POLITICAL AND LEGAL CONTEXT</w:t>
            </w:r>
            <w:r w:rsidR="00A324A7">
              <w:rPr>
                <w:webHidden/>
              </w:rPr>
              <w:tab/>
            </w:r>
            <w:r w:rsidR="00A324A7">
              <w:rPr>
                <w:webHidden/>
              </w:rPr>
              <w:fldChar w:fldCharType="begin"/>
            </w:r>
            <w:r w:rsidR="00A324A7">
              <w:rPr>
                <w:webHidden/>
              </w:rPr>
              <w:instrText xml:space="preserve"> PAGEREF _Toc172125116 \h </w:instrText>
            </w:r>
            <w:r w:rsidR="00A324A7">
              <w:rPr>
                <w:webHidden/>
              </w:rPr>
            </w:r>
            <w:r w:rsidR="00A324A7">
              <w:rPr>
                <w:webHidden/>
              </w:rPr>
              <w:fldChar w:fldCharType="separate"/>
            </w:r>
            <w:r w:rsidR="00272AB0">
              <w:rPr>
                <w:webHidden/>
              </w:rPr>
              <w:t>3</w:t>
            </w:r>
            <w:r w:rsidR="00A324A7">
              <w:rPr>
                <w:webHidden/>
              </w:rPr>
              <w:fldChar w:fldCharType="end"/>
            </w:r>
          </w:hyperlink>
        </w:p>
        <w:p w14:paraId="2B6B8256" w14:textId="26F1FE55" w:rsidR="00A324A7" w:rsidRDefault="00BE3ED1" w:rsidP="006E2854">
          <w:pPr>
            <w:pStyle w:val="TOC1"/>
            <w:rPr>
              <w:rFonts w:asciiTheme="minorHAnsi" w:eastAsiaTheme="minorEastAsia" w:hAnsiTheme="minorHAnsi"/>
              <w:sz w:val="22"/>
              <w:lang w:eastAsia="en-IE"/>
            </w:rPr>
          </w:pPr>
          <w:hyperlink w:anchor="_Toc172125117" w:history="1">
            <w:r w:rsidR="00A324A7" w:rsidRPr="009161A9">
              <w:rPr>
                <w:rStyle w:val="Hyperlink"/>
                <w:lang w:val="en-GB"/>
              </w:rPr>
              <w:t>3. CONSULTATION STRATEGY AND EVIDENCE GATHERING</w:t>
            </w:r>
            <w:r w:rsidR="00A324A7">
              <w:rPr>
                <w:webHidden/>
              </w:rPr>
              <w:tab/>
            </w:r>
            <w:r w:rsidR="00A324A7">
              <w:rPr>
                <w:webHidden/>
              </w:rPr>
              <w:fldChar w:fldCharType="begin"/>
            </w:r>
            <w:r w:rsidR="00A324A7">
              <w:rPr>
                <w:webHidden/>
              </w:rPr>
              <w:instrText xml:space="preserve"> PAGEREF _Toc172125117 \h </w:instrText>
            </w:r>
            <w:r w:rsidR="00A324A7">
              <w:rPr>
                <w:webHidden/>
              </w:rPr>
            </w:r>
            <w:r w:rsidR="00A324A7">
              <w:rPr>
                <w:webHidden/>
              </w:rPr>
              <w:fldChar w:fldCharType="separate"/>
            </w:r>
            <w:r w:rsidR="00272AB0">
              <w:rPr>
                <w:webHidden/>
              </w:rPr>
              <w:t>6</w:t>
            </w:r>
            <w:r w:rsidR="00A324A7">
              <w:rPr>
                <w:webHidden/>
              </w:rPr>
              <w:fldChar w:fldCharType="end"/>
            </w:r>
          </w:hyperlink>
        </w:p>
        <w:p w14:paraId="5673E59F" w14:textId="7A953AAC" w:rsidR="00A324A7" w:rsidRDefault="00BE3ED1" w:rsidP="001E3238">
          <w:pPr>
            <w:pStyle w:val="TOC2"/>
            <w:rPr>
              <w:rFonts w:asciiTheme="minorHAnsi" w:eastAsiaTheme="minorEastAsia" w:hAnsiTheme="minorHAnsi" w:cstheme="minorBidi"/>
              <w:sz w:val="22"/>
              <w:szCs w:val="22"/>
              <w:lang w:val="en-IE" w:eastAsia="en-IE"/>
            </w:rPr>
          </w:pPr>
          <w:hyperlink w:anchor="_Toc172125118" w:history="1">
            <w:r w:rsidR="00A324A7" w:rsidRPr="009161A9">
              <w:rPr>
                <w:rStyle w:val="Hyperlink"/>
              </w:rPr>
              <w:t>3.1. Consultation of EU farming organisations, Member States, and the Committee on Agriculture and Rural Development of the European Parliament</w:t>
            </w:r>
            <w:r w:rsidR="00A324A7">
              <w:rPr>
                <w:webHidden/>
              </w:rPr>
              <w:tab/>
            </w:r>
            <w:r w:rsidR="00A324A7">
              <w:rPr>
                <w:webHidden/>
              </w:rPr>
              <w:fldChar w:fldCharType="begin"/>
            </w:r>
            <w:r w:rsidR="00A324A7">
              <w:rPr>
                <w:webHidden/>
              </w:rPr>
              <w:instrText xml:space="preserve"> PAGEREF _Toc172125118 \h </w:instrText>
            </w:r>
            <w:r w:rsidR="00A324A7">
              <w:rPr>
                <w:webHidden/>
              </w:rPr>
            </w:r>
            <w:r w:rsidR="00A324A7">
              <w:rPr>
                <w:webHidden/>
              </w:rPr>
              <w:fldChar w:fldCharType="separate"/>
            </w:r>
            <w:r w:rsidR="00272AB0">
              <w:rPr>
                <w:webHidden/>
              </w:rPr>
              <w:t>6</w:t>
            </w:r>
            <w:r w:rsidR="00A324A7">
              <w:rPr>
                <w:webHidden/>
              </w:rPr>
              <w:fldChar w:fldCharType="end"/>
            </w:r>
          </w:hyperlink>
        </w:p>
        <w:p w14:paraId="373CF06F" w14:textId="6AA9292A" w:rsidR="00A324A7" w:rsidRDefault="00BE3ED1" w:rsidP="001E3238">
          <w:pPr>
            <w:pStyle w:val="TOC2"/>
            <w:rPr>
              <w:rFonts w:asciiTheme="minorHAnsi" w:eastAsiaTheme="minorEastAsia" w:hAnsiTheme="minorHAnsi" w:cstheme="minorBidi"/>
              <w:sz w:val="22"/>
              <w:szCs w:val="22"/>
              <w:lang w:val="en-IE" w:eastAsia="en-IE"/>
            </w:rPr>
          </w:pPr>
          <w:hyperlink w:anchor="_Toc172125119" w:history="1">
            <w:r w:rsidR="00A324A7" w:rsidRPr="009161A9">
              <w:rPr>
                <w:rStyle w:val="Hyperlink"/>
              </w:rPr>
              <w:t>3.2. Consultations specific to individual measures</w:t>
            </w:r>
            <w:r w:rsidR="00A324A7">
              <w:rPr>
                <w:webHidden/>
              </w:rPr>
              <w:tab/>
            </w:r>
            <w:r w:rsidR="00A324A7">
              <w:rPr>
                <w:webHidden/>
              </w:rPr>
              <w:fldChar w:fldCharType="begin"/>
            </w:r>
            <w:r w:rsidR="00A324A7">
              <w:rPr>
                <w:webHidden/>
              </w:rPr>
              <w:instrText xml:space="preserve"> PAGEREF _Toc172125119 \h </w:instrText>
            </w:r>
            <w:r w:rsidR="00A324A7">
              <w:rPr>
                <w:webHidden/>
              </w:rPr>
            </w:r>
            <w:r w:rsidR="00A324A7">
              <w:rPr>
                <w:webHidden/>
              </w:rPr>
              <w:fldChar w:fldCharType="separate"/>
            </w:r>
            <w:r w:rsidR="00272AB0">
              <w:rPr>
                <w:webHidden/>
              </w:rPr>
              <w:t>6</w:t>
            </w:r>
            <w:r w:rsidR="00A324A7">
              <w:rPr>
                <w:webHidden/>
              </w:rPr>
              <w:fldChar w:fldCharType="end"/>
            </w:r>
          </w:hyperlink>
        </w:p>
        <w:p w14:paraId="37E0ACD7" w14:textId="05DAA1BE" w:rsidR="00A324A7" w:rsidRDefault="00BE3ED1" w:rsidP="001E3238">
          <w:pPr>
            <w:pStyle w:val="TOC2"/>
            <w:rPr>
              <w:rFonts w:asciiTheme="minorHAnsi" w:eastAsiaTheme="minorEastAsia" w:hAnsiTheme="minorHAnsi" w:cstheme="minorBidi"/>
              <w:sz w:val="22"/>
              <w:szCs w:val="22"/>
              <w:lang w:val="en-IE" w:eastAsia="en-IE"/>
            </w:rPr>
          </w:pPr>
          <w:hyperlink w:anchor="_Toc172125120" w:history="1">
            <w:r w:rsidR="00A324A7" w:rsidRPr="009161A9">
              <w:rPr>
                <w:rStyle w:val="Hyperlink"/>
              </w:rPr>
              <w:t>3.3. Gathering further evidence</w:t>
            </w:r>
            <w:r w:rsidR="00A324A7">
              <w:rPr>
                <w:webHidden/>
              </w:rPr>
              <w:tab/>
            </w:r>
            <w:r w:rsidR="00A324A7">
              <w:rPr>
                <w:webHidden/>
              </w:rPr>
              <w:fldChar w:fldCharType="begin"/>
            </w:r>
            <w:r w:rsidR="00A324A7">
              <w:rPr>
                <w:webHidden/>
              </w:rPr>
              <w:instrText xml:space="preserve"> PAGEREF _Toc172125120 \h </w:instrText>
            </w:r>
            <w:r w:rsidR="00A324A7">
              <w:rPr>
                <w:webHidden/>
              </w:rPr>
            </w:r>
            <w:r w:rsidR="00A324A7">
              <w:rPr>
                <w:webHidden/>
              </w:rPr>
              <w:fldChar w:fldCharType="separate"/>
            </w:r>
            <w:r w:rsidR="00272AB0">
              <w:rPr>
                <w:webHidden/>
              </w:rPr>
              <w:t>7</w:t>
            </w:r>
            <w:r w:rsidR="00A324A7">
              <w:rPr>
                <w:webHidden/>
              </w:rPr>
              <w:fldChar w:fldCharType="end"/>
            </w:r>
          </w:hyperlink>
        </w:p>
        <w:p w14:paraId="415377C4" w14:textId="37BA92CF" w:rsidR="00A324A7" w:rsidRDefault="00BE3ED1" w:rsidP="006E2854">
          <w:pPr>
            <w:pStyle w:val="TOC1"/>
            <w:rPr>
              <w:rFonts w:asciiTheme="minorHAnsi" w:eastAsiaTheme="minorEastAsia" w:hAnsiTheme="minorHAnsi"/>
              <w:sz w:val="22"/>
              <w:lang w:eastAsia="en-IE"/>
            </w:rPr>
          </w:pPr>
          <w:hyperlink w:anchor="_Toc172125121" w:history="1">
            <w:r w:rsidR="00A324A7" w:rsidRPr="009161A9">
              <w:rPr>
                <w:rStyle w:val="Hyperlink"/>
                <w:lang w:val="en-GB"/>
              </w:rPr>
              <w:t xml:space="preserve">4. OPTIONS CONSIDERED AND THE CHOICE OF INSTRUMENTS FOR THE </w:t>
            </w:r>
            <w:r w:rsidR="002874FC">
              <w:rPr>
                <w:rStyle w:val="Hyperlink"/>
                <w:lang w:val="en-GB"/>
              </w:rPr>
              <w:t>PROPOSED</w:t>
            </w:r>
            <w:r w:rsidR="002874FC" w:rsidRPr="009161A9">
              <w:rPr>
                <w:rStyle w:val="Hyperlink"/>
                <w:lang w:val="en-GB"/>
              </w:rPr>
              <w:t xml:space="preserve"> </w:t>
            </w:r>
            <w:r w:rsidR="00A324A7" w:rsidRPr="009161A9">
              <w:rPr>
                <w:rStyle w:val="Hyperlink"/>
                <w:lang w:val="en-GB"/>
              </w:rPr>
              <w:t>SOLUTION</w:t>
            </w:r>
            <w:r w:rsidR="00A324A7">
              <w:rPr>
                <w:webHidden/>
              </w:rPr>
              <w:tab/>
            </w:r>
            <w:r w:rsidR="00A324A7">
              <w:rPr>
                <w:webHidden/>
              </w:rPr>
              <w:fldChar w:fldCharType="begin"/>
            </w:r>
            <w:r w:rsidR="00A324A7">
              <w:rPr>
                <w:webHidden/>
              </w:rPr>
              <w:instrText xml:space="preserve"> PAGEREF _Toc172125121 \h </w:instrText>
            </w:r>
            <w:r w:rsidR="00A324A7">
              <w:rPr>
                <w:webHidden/>
              </w:rPr>
            </w:r>
            <w:r w:rsidR="00A324A7">
              <w:rPr>
                <w:webHidden/>
              </w:rPr>
              <w:fldChar w:fldCharType="separate"/>
            </w:r>
            <w:r w:rsidR="00272AB0">
              <w:rPr>
                <w:webHidden/>
              </w:rPr>
              <w:t>9</w:t>
            </w:r>
            <w:r w:rsidR="00A324A7">
              <w:rPr>
                <w:webHidden/>
              </w:rPr>
              <w:fldChar w:fldCharType="end"/>
            </w:r>
          </w:hyperlink>
        </w:p>
        <w:p w14:paraId="3A2674DE" w14:textId="68D807E4" w:rsidR="00A324A7" w:rsidRDefault="00BE3ED1" w:rsidP="001E3238">
          <w:pPr>
            <w:pStyle w:val="TOC2"/>
            <w:rPr>
              <w:rFonts w:asciiTheme="minorHAnsi" w:eastAsiaTheme="minorEastAsia" w:hAnsiTheme="minorHAnsi" w:cstheme="minorBidi"/>
              <w:sz w:val="22"/>
              <w:szCs w:val="22"/>
              <w:lang w:val="en-IE" w:eastAsia="en-IE"/>
            </w:rPr>
          </w:pPr>
          <w:hyperlink w:anchor="_Toc172125122" w:history="1">
            <w:r w:rsidR="00A324A7" w:rsidRPr="009161A9">
              <w:rPr>
                <w:rStyle w:val="Hyperlink"/>
              </w:rPr>
              <w:t>4.1. C</w:t>
            </w:r>
            <w:r w:rsidR="00B4342A">
              <w:rPr>
                <w:rStyle w:val="Hyperlink"/>
              </w:rPr>
              <w:t>ommon agricultual policy (C</w:t>
            </w:r>
            <w:r w:rsidR="00A324A7" w:rsidRPr="009161A9">
              <w:rPr>
                <w:rStyle w:val="Hyperlink"/>
              </w:rPr>
              <w:t>AP</w:t>
            </w:r>
            <w:r w:rsidR="00B4342A">
              <w:rPr>
                <w:rStyle w:val="Hyperlink"/>
              </w:rPr>
              <w:t>)</w:t>
            </w:r>
            <w:r w:rsidR="00A324A7" w:rsidRPr="009161A9">
              <w:rPr>
                <w:rStyle w:val="Hyperlink"/>
              </w:rPr>
              <w:t xml:space="preserve"> </w:t>
            </w:r>
            <w:r w:rsidR="00FD2F54">
              <w:rPr>
                <w:rStyle w:val="Hyperlink"/>
              </w:rPr>
              <w:t>s</w:t>
            </w:r>
            <w:r w:rsidR="00A324A7" w:rsidRPr="009161A9">
              <w:rPr>
                <w:rStyle w:val="Hyperlink"/>
              </w:rPr>
              <w:t xml:space="preserve">trategic </w:t>
            </w:r>
            <w:r w:rsidR="00FD2F54">
              <w:rPr>
                <w:rStyle w:val="Hyperlink"/>
              </w:rPr>
              <w:t>p</w:t>
            </w:r>
            <w:r w:rsidR="00A324A7" w:rsidRPr="009161A9">
              <w:rPr>
                <w:rStyle w:val="Hyperlink"/>
              </w:rPr>
              <w:t xml:space="preserve">lans: </w:t>
            </w:r>
            <w:r w:rsidR="00FD2F54">
              <w:rPr>
                <w:rStyle w:val="Hyperlink"/>
              </w:rPr>
              <w:t>m</w:t>
            </w:r>
            <w:r w:rsidR="00A324A7" w:rsidRPr="009161A9">
              <w:rPr>
                <w:rStyle w:val="Hyperlink"/>
              </w:rPr>
              <w:t xml:space="preserve">anagement, administration and </w:t>
            </w:r>
            <w:r w:rsidR="0043274B">
              <w:rPr>
                <w:rStyle w:val="Hyperlink"/>
              </w:rPr>
              <w:t>checks</w:t>
            </w:r>
            <w:r w:rsidR="00A324A7">
              <w:rPr>
                <w:webHidden/>
              </w:rPr>
              <w:tab/>
            </w:r>
            <w:r w:rsidR="00A324A7">
              <w:rPr>
                <w:webHidden/>
              </w:rPr>
              <w:fldChar w:fldCharType="begin"/>
            </w:r>
            <w:r w:rsidR="00A324A7">
              <w:rPr>
                <w:webHidden/>
              </w:rPr>
              <w:instrText xml:space="preserve"> PAGEREF _Toc172125122 \h </w:instrText>
            </w:r>
            <w:r w:rsidR="00A324A7">
              <w:rPr>
                <w:webHidden/>
              </w:rPr>
            </w:r>
            <w:r w:rsidR="00A324A7">
              <w:rPr>
                <w:webHidden/>
              </w:rPr>
              <w:fldChar w:fldCharType="separate"/>
            </w:r>
            <w:r w:rsidR="00272AB0">
              <w:rPr>
                <w:webHidden/>
              </w:rPr>
              <w:t>9</w:t>
            </w:r>
            <w:r w:rsidR="00A324A7">
              <w:rPr>
                <w:webHidden/>
              </w:rPr>
              <w:fldChar w:fldCharType="end"/>
            </w:r>
          </w:hyperlink>
        </w:p>
        <w:p w14:paraId="705E3A3E" w14:textId="010AFD39" w:rsidR="00A324A7" w:rsidRDefault="00BE3ED1" w:rsidP="001E3238">
          <w:pPr>
            <w:pStyle w:val="TOC2"/>
            <w:rPr>
              <w:rFonts w:asciiTheme="minorHAnsi" w:eastAsiaTheme="minorEastAsia" w:hAnsiTheme="minorHAnsi" w:cstheme="minorBidi"/>
              <w:sz w:val="22"/>
              <w:szCs w:val="22"/>
              <w:lang w:val="en-IE" w:eastAsia="en-IE"/>
            </w:rPr>
          </w:pPr>
          <w:hyperlink w:anchor="_Toc172125123" w:history="1">
            <w:r w:rsidR="00A324A7" w:rsidRPr="009161A9">
              <w:rPr>
                <w:rStyle w:val="Hyperlink"/>
              </w:rPr>
              <w:t xml:space="preserve">4.2. CAP </w:t>
            </w:r>
            <w:r w:rsidR="00FD2F54">
              <w:rPr>
                <w:rStyle w:val="Hyperlink"/>
              </w:rPr>
              <w:t>s</w:t>
            </w:r>
            <w:r w:rsidR="00A324A7" w:rsidRPr="009161A9">
              <w:rPr>
                <w:rStyle w:val="Hyperlink"/>
              </w:rPr>
              <w:t>trategic plans: the green architecture</w:t>
            </w:r>
            <w:r w:rsidR="00A324A7">
              <w:rPr>
                <w:webHidden/>
              </w:rPr>
              <w:tab/>
            </w:r>
            <w:r w:rsidR="00A324A7">
              <w:rPr>
                <w:webHidden/>
              </w:rPr>
              <w:fldChar w:fldCharType="begin"/>
            </w:r>
            <w:r w:rsidR="00A324A7">
              <w:rPr>
                <w:webHidden/>
              </w:rPr>
              <w:instrText xml:space="preserve"> PAGEREF _Toc172125123 \h </w:instrText>
            </w:r>
            <w:r w:rsidR="00A324A7">
              <w:rPr>
                <w:webHidden/>
              </w:rPr>
            </w:r>
            <w:r w:rsidR="00A324A7">
              <w:rPr>
                <w:webHidden/>
              </w:rPr>
              <w:fldChar w:fldCharType="separate"/>
            </w:r>
            <w:r w:rsidR="00272AB0">
              <w:rPr>
                <w:webHidden/>
              </w:rPr>
              <w:t>10</w:t>
            </w:r>
            <w:r w:rsidR="00A324A7">
              <w:rPr>
                <w:webHidden/>
              </w:rPr>
              <w:fldChar w:fldCharType="end"/>
            </w:r>
          </w:hyperlink>
        </w:p>
        <w:p w14:paraId="69ED554E" w14:textId="4B157FFD" w:rsidR="00A324A7" w:rsidRDefault="00BE3ED1" w:rsidP="001E3238">
          <w:pPr>
            <w:pStyle w:val="TOC2"/>
            <w:rPr>
              <w:rFonts w:asciiTheme="minorHAnsi" w:eastAsiaTheme="minorEastAsia" w:hAnsiTheme="minorHAnsi" w:cstheme="minorBidi"/>
              <w:sz w:val="22"/>
              <w:szCs w:val="22"/>
              <w:lang w:val="en-IE" w:eastAsia="en-IE"/>
            </w:rPr>
          </w:pPr>
          <w:hyperlink w:anchor="_Toc172125124" w:history="1">
            <w:r w:rsidR="00A324A7" w:rsidRPr="009161A9">
              <w:rPr>
                <w:rStyle w:val="Hyperlink"/>
              </w:rPr>
              <w:t>4.3. Farm income and competitiveness</w:t>
            </w:r>
            <w:r w:rsidR="00A324A7">
              <w:rPr>
                <w:webHidden/>
              </w:rPr>
              <w:tab/>
            </w:r>
            <w:r w:rsidR="00A324A7">
              <w:rPr>
                <w:webHidden/>
              </w:rPr>
              <w:fldChar w:fldCharType="begin"/>
            </w:r>
            <w:r w:rsidR="00A324A7">
              <w:rPr>
                <w:webHidden/>
              </w:rPr>
              <w:instrText xml:space="preserve"> PAGEREF _Toc172125124 \h </w:instrText>
            </w:r>
            <w:r w:rsidR="00A324A7">
              <w:rPr>
                <w:webHidden/>
              </w:rPr>
            </w:r>
            <w:r w:rsidR="00A324A7">
              <w:rPr>
                <w:webHidden/>
              </w:rPr>
              <w:fldChar w:fldCharType="separate"/>
            </w:r>
            <w:r w:rsidR="00272AB0">
              <w:rPr>
                <w:webHidden/>
              </w:rPr>
              <w:t>11</w:t>
            </w:r>
            <w:r w:rsidR="00A324A7">
              <w:rPr>
                <w:webHidden/>
              </w:rPr>
              <w:fldChar w:fldCharType="end"/>
            </w:r>
          </w:hyperlink>
        </w:p>
        <w:p w14:paraId="50EE8A0B" w14:textId="1848BFDF" w:rsidR="00A324A7" w:rsidRDefault="00BE3ED1" w:rsidP="001E3238">
          <w:pPr>
            <w:pStyle w:val="TOC2"/>
            <w:rPr>
              <w:rFonts w:asciiTheme="minorHAnsi" w:eastAsiaTheme="minorEastAsia" w:hAnsiTheme="minorHAnsi" w:cstheme="minorBidi"/>
              <w:sz w:val="22"/>
              <w:szCs w:val="22"/>
              <w:lang w:val="en-IE" w:eastAsia="en-IE"/>
            </w:rPr>
          </w:pPr>
          <w:hyperlink w:anchor="_Toc172125125" w:history="1">
            <w:r w:rsidR="00A324A7" w:rsidRPr="009161A9">
              <w:rPr>
                <w:rStyle w:val="Hyperlink"/>
              </w:rPr>
              <w:t>4.4. Other CAP instruments</w:t>
            </w:r>
            <w:r w:rsidR="00A324A7">
              <w:rPr>
                <w:webHidden/>
              </w:rPr>
              <w:tab/>
            </w:r>
            <w:r w:rsidR="00A324A7">
              <w:rPr>
                <w:webHidden/>
              </w:rPr>
              <w:fldChar w:fldCharType="begin"/>
            </w:r>
            <w:r w:rsidR="00A324A7">
              <w:rPr>
                <w:webHidden/>
              </w:rPr>
              <w:instrText xml:space="preserve"> PAGEREF _Toc172125125 \h </w:instrText>
            </w:r>
            <w:r w:rsidR="00A324A7">
              <w:rPr>
                <w:webHidden/>
              </w:rPr>
            </w:r>
            <w:r w:rsidR="00A324A7">
              <w:rPr>
                <w:webHidden/>
              </w:rPr>
              <w:fldChar w:fldCharType="separate"/>
            </w:r>
            <w:r w:rsidR="00272AB0">
              <w:rPr>
                <w:webHidden/>
              </w:rPr>
              <w:t>11</w:t>
            </w:r>
            <w:r w:rsidR="00A324A7">
              <w:rPr>
                <w:webHidden/>
              </w:rPr>
              <w:fldChar w:fldCharType="end"/>
            </w:r>
          </w:hyperlink>
        </w:p>
        <w:p w14:paraId="6A32B9BC" w14:textId="1EA2B9FA" w:rsidR="00A324A7" w:rsidRDefault="00BE3ED1">
          <w:pPr>
            <w:pStyle w:val="TOC3"/>
            <w:rPr>
              <w:rFonts w:asciiTheme="minorHAnsi" w:eastAsiaTheme="minorEastAsia" w:hAnsiTheme="minorHAnsi"/>
              <w:noProof/>
              <w:sz w:val="22"/>
              <w:lang w:eastAsia="en-IE"/>
            </w:rPr>
          </w:pPr>
          <w:hyperlink w:anchor="_Toc172125126" w:history="1">
            <w:r w:rsidR="00A324A7" w:rsidRPr="009161A9">
              <w:rPr>
                <w:rStyle w:val="Hyperlink"/>
                <w:noProof/>
              </w:rPr>
              <w:t>4.5. Legislation outside the CAP</w:t>
            </w:r>
            <w:r w:rsidR="00A324A7">
              <w:rPr>
                <w:noProof/>
                <w:webHidden/>
              </w:rPr>
              <w:tab/>
            </w:r>
            <w:r w:rsidR="00A324A7">
              <w:rPr>
                <w:noProof/>
                <w:webHidden/>
              </w:rPr>
              <w:fldChar w:fldCharType="begin"/>
            </w:r>
            <w:r w:rsidR="00A324A7">
              <w:rPr>
                <w:noProof/>
                <w:webHidden/>
              </w:rPr>
              <w:instrText xml:space="preserve"> PAGEREF _Toc172125126 \h </w:instrText>
            </w:r>
            <w:r w:rsidR="00A324A7">
              <w:rPr>
                <w:noProof/>
                <w:webHidden/>
              </w:rPr>
            </w:r>
            <w:r w:rsidR="00A324A7">
              <w:rPr>
                <w:noProof/>
                <w:webHidden/>
              </w:rPr>
              <w:fldChar w:fldCharType="separate"/>
            </w:r>
            <w:r w:rsidR="00272AB0">
              <w:rPr>
                <w:noProof/>
                <w:webHidden/>
              </w:rPr>
              <w:t>11</w:t>
            </w:r>
            <w:r w:rsidR="00A324A7">
              <w:rPr>
                <w:noProof/>
                <w:webHidden/>
              </w:rPr>
              <w:fldChar w:fldCharType="end"/>
            </w:r>
          </w:hyperlink>
        </w:p>
        <w:p w14:paraId="370C5729" w14:textId="260DF679" w:rsidR="00A324A7" w:rsidRDefault="00BE3ED1" w:rsidP="006E2854">
          <w:pPr>
            <w:pStyle w:val="TOC1"/>
            <w:rPr>
              <w:rFonts w:asciiTheme="minorHAnsi" w:eastAsiaTheme="minorEastAsia" w:hAnsiTheme="minorHAnsi"/>
              <w:sz w:val="22"/>
              <w:lang w:eastAsia="en-IE"/>
            </w:rPr>
          </w:pPr>
          <w:hyperlink w:anchor="_Toc172125127" w:history="1">
            <w:r w:rsidR="00A324A7" w:rsidRPr="009161A9">
              <w:rPr>
                <w:rStyle w:val="Hyperlink"/>
                <w:lang w:val="en-GB"/>
              </w:rPr>
              <w:t>5. DESCRIPTION OF THE ACTIONS TAKEN</w:t>
            </w:r>
            <w:r w:rsidR="00A324A7">
              <w:rPr>
                <w:webHidden/>
              </w:rPr>
              <w:tab/>
            </w:r>
            <w:r w:rsidR="00A324A7">
              <w:rPr>
                <w:webHidden/>
              </w:rPr>
              <w:fldChar w:fldCharType="begin"/>
            </w:r>
            <w:r w:rsidR="00A324A7">
              <w:rPr>
                <w:webHidden/>
              </w:rPr>
              <w:instrText xml:space="preserve"> PAGEREF _Toc172125127 \h </w:instrText>
            </w:r>
            <w:r w:rsidR="00A324A7">
              <w:rPr>
                <w:webHidden/>
              </w:rPr>
            </w:r>
            <w:r w:rsidR="00A324A7">
              <w:rPr>
                <w:webHidden/>
              </w:rPr>
              <w:fldChar w:fldCharType="separate"/>
            </w:r>
            <w:r w:rsidR="00272AB0">
              <w:rPr>
                <w:webHidden/>
              </w:rPr>
              <w:t>12</w:t>
            </w:r>
            <w:r w:rsidR="00A324A7">
              <w:rPr>
                <w:webHidden/>
              </w:rPr>
              <w:fldChar w:fldCharType="end"/>
            </w:r>
          </w:hyperlink>
        </w:p>
        <w:p w14:paraId="6F788F04" w14:textId="454BDAEC" w:rsidR="00A324A7" w:rsidRDefault="00BE3ED1" w:rsidP="001E3238">
          <w:pPr>
            <w:pStyle w:val="TOC2"/>
            <w:rPr>
              <w:rFonts w:asciiTheme="minorHAnsi" w:eastAsiaTheme="minorEastAsia" w:hAnsiTheme="minorHAnsi" w:cstheme="minorBidi"/>
              <w:sz w:val="22"/>
              <w:szCs w:val="22"/>
              <w:lang w:val="en-IE" w:eastAsia="en-IE"/>
            </w:rPr>
          </w:pPr>
          <w:hyperlink w:anchor="_Toc172125128" w:history="1">
            <w:r w:rsidR="00A324A7" w:rsidRPr="009161A9">
              <w:rPr>
                <w:rStyle w:val="Hyperlink"/>
              </w:rPr>
              <w:t xml:space="preserve">5.1 CAP </w:t>
            </w:r>
            <w:r w:rsidR="00FD2F54">
              <w:rPr>
                <w:rStyle w:val="Hyperlink"/>
              </w:rPr>
              <w:t>s</w:t>
            </w:r>
            <w:r w:rsidR="00A324A7" w:rsidRPr="009161A9">
              <w:rPr>
                <w:rStyle w:val="Hyperlink"/>
              </w:rPr>
              <w:t xml:space="preserve">trategic </w:t>
            </w:r>
            <w:r w:rsidR="00FD2F54">
              <w:rPr>
                <w:rStyle w:val="Hyperlink"/>
              </w:rPr>
              <w:t>p</w:t>
            </w:r>
            <w:r w:rsidR="00A324A7" w:rsidRPr="009161A9">
              <w:rPr>
                <w:rStyle w:val="Hyperlink"/>
              </w:rPr>
              <w:t xml:space="preserve">lans: </w:t>
            </w:r>
            <w:r w:rsidR="00FD2F54">
              <w:rPr>
                <w:rStyle w:val="Hyperlink"/>
              </w:rPr>
              <w:t>m</w:t>
            </w:r>
            <w:r w:rsidR="00A324A7" w:rsidRPr="009161A9">
              <w:rPr>
                <w:rStyle w:val="Hyperlink"/>
              </w:rPr>
              <w:t xml:space="preserve">anagement, administration and </w:t>
            </w:r>
            <w:r w:rsidR="00A324A7" w:rsidRPr="002874FC">
              <w:rPr>
                <w:rStyle w:val="Hyperlink"/>
              </w:rPr>
              <w:t>controls</w:t>
            </w:r>
            <w:r w:rsidR="00A324A7">
              <w:rPr>
                <w:webHidden/>
              </w:rPr>
              <w:tab/>
            </w:r>
            <w:r w:rsidR="00A324A7">
              <w:rPr>
                <w:webHidden/>
              </w:rPr>
              <w:fldChar w:fldCharType="begin"/>
            </w:r>
            <w:r w:rsidR="00A324A7">
              <w:rPr>
                <w:webHidden/>
              </w:rPr>
              <w:instrText xml:space="preserve"> PAGEREF _Toc172125128 \h </w:instrText>
            </w:r>
            <w:r w:rsidR="00A324A7">
              <w:rPr>
                <w:webHidden/>
              </w:rPr>
            </w:r>
            <w:r w:rsidR="00A324A7">
              <w:rPr>
                <w:webHidden/>
              </w:rPr>
              <w:fldChar w:fldCharType="separate"/>
            </w:r>
            <w:r w:rsidR="00272AB0">
              <w:rPr>
                <w:webHidden/>
              </w:rPr>
              <w:t>12</w:t>
            </w:r>
            <w:r w:rsidR="00A324A7">
              <w:rPr>
                <w:webHidden/>
              </w:rPr>
              <w:fldChar w:fldCharType="end"/>
            </w:r>
          </w:hyperlink>
        </w:p>
        <w:p w14:paraId="7F138575" w14:textId="3450B285" w:rsidR="00A324A7" w:rsidRDefault="00BE3ED1" w:rsidP="001E3238">
          <w:pPr>
            <w:pStyle w:val="TOC2"/>
            <w:rPr>
              <w:rFonts w:asciiTheme="minorHAnsi" w:eastAsiaTheme="minorEastAsia" w:hAnsiTheme="minorHAnsi" w:cstheme="minorBidi"/>
              <w:sz w:val="22"/>
              <w:szCs w:val="22"/>
              <w:lang w:val="en-IE" w:eastAsia="en-IE"/>
            </w:rPr>
          </w:pPr>
          <w:hyperlink w:anchor="_Toc172125129" w:history="1">
            <w:r w:rsidR="00A324A7" w:rsidRPr="009161A9">
              <w:rPr>
                <w:rStyle w:val="Hyperlink"/>
              </w:rPr>
              <w:t xml:space="preserve">5.2. CAP </w:t>
            </w:r>
            <w:r w:rsidR="00FD2F54">
              <w:rPr>
                <w:rStyle w:val="Hyperlink"/>
              </w:rPr>
              <w:t>s</w:t>
            </w:r>
            <w:r w:rsidR="00A324A7" w:rsidRPr="009161A9">
              <w:rPr>
                <w:rStyle w:val="Hyperlink"/>
              </w:rPr>
              <w:t xml:space="preserve">trategic </w:t>
            </w:r>
            <w:r w:rsidR="00FD2F54">
              <w:rPr>
                <w:rStyle w:val="Hyperlink"/>
              </w:rPr>
              <w:t>p</w:t>
            </w:r>
            <w:r w:rsidR="00A324A7" w:rsidRPr="009161A9">
              <w:rPr>
                <w:rStyle w:val="Hyperlink"/>
              </w:rPr>
              <w:t>lans: the green architecture</w:t>
            </w:r>
            <w:r w:rsidR="00A324A7">
              <w:rPr>
                <w:webHidden/>
              </w:rPr>
              <w:tab/>
            </w:r>
            <w:r w:rsidR="00A324A7">
              <w:rPr>
                <w:webHidden/>
              </w:rPr>
              <w:fldChar w:fldCharType="begin"/>
            </w:r>
            <w:r w:rsidR="00A324A7">
              <w:rPr>
                <w:webHidden/>
              </w:rPr>
              <w:instrText xml:space="preserve"> PAGEREF _Toc172125129 \h </w:instrText>
            </w:r>
            <w:r w:rsidR="00A324A7">
              <w:rPr>
                <w:webHidden/>
              </w:rPr>
            </w:r>
            <w:r w:rsidR="00A324A7">
              <w:rPr>
                <w:webHidden/>
              </w:rPr>
              <w:fldChar w:fldCharType="separate"/>
            </w:r>
            <w:r w:rsidR="00272AB0">
              <w:rPr>
                <w:webHidden/>
              </w:rPr>
              <w:t>17</w:t>
            </w:r>
            <w:r w:rsidR="00A324A7">
              <w:rPr>
                <w:webHidden/>
              </w:rPr>
              <w:fldChar w:fldCharType="end"/>
            </w:r>
          </w:hyperlink>
        </w:p>
        <w:p w14:paraId="2AF3E732" w14:textId="467A30D6" w:rsidR="00A324A7" w:rsidRDefault="00BE3ED1" w:rsidP="001E3238">
          <w:pPr>
            <w:pStyle w:val="TOC2"/>
            <w:rPr>
              <w:rFonts w:asciiTheme="minorHAnsi" w:eastAsiaTheme="minorEastAsia" w:hAnsiTheme="minorHAnsi" w:cstheme="minorBidi"/>
              <w:sz w:val="22"/>
              <w:szCs w:val="22"/>
              <w:lang w:val="en-IE" w:eastAsia="en-IE"/>
            </w:rPr>
          </w:pPr>
          <w:hyperlink w:anchor="_Toc172125130" w:history="1">
            <w:r w:rsidR="00A324A7" w:rsidRPr="009161A9">
              <w:rPr>
                <w:rStyle w:val="Hyperlink"/>
              </w:rPr>
              <w:t xml:space="preserve">5.3 Farm </w:t>
            </w:r>
            <w:r w:rsidR="00FD2F54">
              <w:rPr>
                <w:rStyle w:val="Hyperlink"/>
              </w:rPr>
              <w:t>i</w:t>
            </w:r>
            <w:r w:rsidR="00A324A7" w:rsidRPr="009161A9">
              <w:rPr>
                <w:rStyle w:val="Hyperlink"/>
              </w:rPr>
              <w:t xml:space="preserve">ncome and </w:t>
            </w:r>
            <w:r w:rsidR="00FD2F54">
              <w:rPr>
                <w:rStyle w:val="Hyperlink"/>
              </w:rPr>
              <w:t>c</w:t>
            </w:r>
            <w:r w:rsidR="00A324A7" w:rsidRPr="009161A9">
              <w:rPr>
                <w:rStyle w:val="Hyperlink"/>
              </w:rPr>
              <w:t>ompetitiveness</w:t>
            </w:r>
            <w:r w:rsidR="00A324A7">
              <w:rPr>
                <w:webHidden/>
              </w:rPr>
              <w:tab/>
            </w:r>
            <w:r w:rsidR="00A324A7">
              <w:rPr>
                <w:webHidden/>
              </w:rPr>
              <w:fldChar w:fldCharType="begin"/>
            </w:r>
            <w:r w:rsidR="00A324A7">
              <w:rPr>
                <w:webHidden/>
              </w:rPr>
              <w:instrText xml:space="preserve"> PAGEREF _Toc172125130 \h </w:instrText>
            </w:r>
            <w:r w:rsidR="00A324A7">
              <w:rPr>
                <w:webHidden/>
              </w:rPr>
            </w:r>
            <w:r w:rsidR="00A324A7">
              <w:rPr>
                <w:webHidden/>
              </w:rPr>
              <w:fldChar w:fldCharType="separate"/>
            </w:r>
            <w:r w:rsidR="00272AB0">
              <w:rPr>
                <w:webHidden/>
              </w:rPr>
              <w:t>20</w:t>
            </w:r>
            <w:r w:rsidR="00A324A7">
              <w:rPr>
                <w:webHidden/>
              </w:rPr>
              <w:fldChar w:fldCharType="end"/>
            </w:r>
          </w:hyperlink>
        </w:p>
        <w:p w14:paraId="69F92F38" w14:textId="7F7CE2E5" w:rsidR="00A324A7" w:rsidRDefault="00BE3ED1" w:rsidP="001E3238">
          <w:pPr>
            <w:pStyle w:val="TOC2"/>
            <w:rPr>
              <w:rFonts w:asciiTheme="minorHAnsi" w:eastAsiaTheme="minorEastAsia" w:hAnsiTheme="minorHAnsi" w:cstheme="minorBidi"/>
              <w:sz w:val="22"/>
              <w:szCs w:val="22"/>
              <w:lang w:val="en-IE" w:eastAsia="en-IE"/>
            </w:rPr>
          </w:pPr>
          <w:hyperlink w:anchor="_Toc172125131" w:history="1">
            <w:r w:rsidR="00A324A7" w:rsidRPr="009161A9">
              <w:rPr>
                <w:rStyle w:val="Hyperlink"/>
              </w:rPr>
              <w:t>5.4 Other CAP instruments</w:t>
            </w:r>
            <w:r w:rsidR="00A324A7">
              <w:rPr>
                <w:webHidden/>
              </w:rPr>
              <w:tab/>
            </w:r>
            <w:r w:rsidR="00A324A7">
              <w:rPr>
                <w:webHidden/>
              </w:rPr>
              <w:fldChar w:fldCharType="begin"/>
            </w:r>
            <w:r w:rsidR="00A324A7">
              <w:rPr>
                <w:webHidden/>
              </w:rPr>
              <w:instrText xml:space="preserve"> PAGEREF _Toc172125131 \h </w:instrText>
            </w:r>
            <w:r w:rsidR="00A324A7">
              <w:rPr>
                <w:webHidden/>
              </w:rPr>
            </w:r>
            <w:r w:rsidR="00A324A7">
              <w:rPr>
                <w:webHidden/>
              </w:rPr>
              <w:fldChar w:fldCharType="separate"/>
            </w:r>
            <w:r w:rsidR="00272AB0">
              <w:rPr>
                <w:webHidden/>
              </w:rPr>
              <w:t>20</w:t>
            </w:r>
            <w:r w:rsidR="00A324A7">
              <w:rPr>
                <w:webHidden/>
              </w:rPr>
              <w:fldChar w:fldCharType="end"/>
            </w:r>
          </w:hyperlink>
        </w:p>
        <w:p w14:paraId="1795712E" w14:textId="697C4768" w:rsidR="00A324A7" w:rsidRDefault="00BE3ED1" w:rsidP="001E3238">
          <w:pPr>
            <w:pStyle w:val="TOC2"/>
            <w:rPr>
              <w:rFonts w:asciiTheme="minorHAnsi" w:eastAsiaTheme="minorEastAsia" w:hAnsiTheme="minorHAnsi" w:cstheme="minorBidi"/>
              <w:sz w:val="22"/>
              <w:szCs w:val="22"/>
              <w:lang w:val="en-IE" w:eastAsia="en-IE"/>
            </w:rPr>
          </w:pPr>
          <w:hyperlink w:anchor="_Toc172125132" w:history="1">
            <w:r w:rsidR="00A324A7" w:rsidRPr="009161A9">
              <w:rPr>
                <w:rStyle w:val="Hyperlink"/>
              </w:rPr>
              <w:t>5.5 Elements outside the CAP</w:t>
            </w:r>
            <w:r w:rsidR="00A324A7">
              <w:rPr>
                <w:webHidden/>
              </w:rPr>
              <w:tab/>
            </w:r>
            <w:r w:rsidR="00A324A7">
              <w:rPr>
                <w:webHidden/>
              </w:rPr>
              <w:fldChar w:fldCharType="begin"/>
            </w:r>
            <w:r w:rsidR="00A324A7">
              <w:rPr>
                <w:webHidden/>
              </w:rPr>
              <w:instrText xml:space="preserve"> PAGEREF _Toc172125132 \h </w:instrText>
            </w:r>
            <w:r w:rsidR="00A324A7">
              <w:rPr>
                <w:webHidden/>
              </w:rPr>
            </w:r>
            <w:r w:rsidR="00A324A7">
              <w:rPr>
                <w:webHidden/>
              </w:rPr>
              <w:fldChar w:fldCharType="separate"/>
            </w:r>
            <w:r w:rsidR="00272AB0">
              <w:rPr>
                <w:webHidden/>
              </w:rPr>
              <w:t>21</w:t>
            </w:r>
            <w:r w:rsidR="00A324A7">
              <w:rPr>
                <w:webHidden/>
              </w:rPr>
              <w:fldChar w:fldCharType="end"/>
            </w:r>
          </w:hyperlink>
        </w:p>
        <w:p w14:paraId="5B23B286" w14:textId="3CA08D04" w:rsidR="00A324A7" w:rsidRDefault="00BE3ED1" w:rsidP="006E2854">
          <w:pPr>
            <w:pStyle w:val="TOC1"/>
            <w:rPr>
              <w:rFonts w:asciiTheme="minorHAnsi" w:eastAsiaTheme="minorEastAsia" w:hAnsiTheme="minorHAnsi"/>
              <w:sz w:val="22"/>
              <w:lang w:eastAsia="en-IE"/>
            </w:rPr>
          </w:pPr>
          <w:hyperlink w:anchor="_Toc172125133" w:history="1">
            <w:r w:rsidR="00A324A7" w:rsidRPr="009161A9">
              <w:rPr>
                <w:rStyle w:val="Hyperlink"/>
                <w:lang w:val="en-GB"/>
              </w:rPr>
              <w:t>6. MAIN IMPACTS OF THE SIMPLIFICATION MEASURES</w:t>
            </w:r>
            <w:r w:rsidR="00A324A7">
              <w:rPr>
                <w:webHidden/>
              </w:rPr>
              <w:tab/>
            </w:r>
            <w:r w:rsidR="00A324A7">
              <w:rPr>
                <w:webHidden/>
              </w:rPr>
              <w:fldChar w:fldCharType="begin"/>
            </w:r>
            <w:r w:rsidR="00A324A7">
              <w:rPr>
                <w:webHidden/>
              </w:rPr>
              <w:instrText xml:space="preserve"> PAGEREF _Toc172125133 \h </w:instrText>
            </w:r>
            <w:r w:rsidR="00A324A7">
              <w:rPr>
                <w:webHidden/>
              </w:rPr>
            </w:r>
            <w:r w:rsidR="00A324A7">
              <w:rPr>
                <w:webHidden/>
              </w:rPr>
              <w:fldChar w:fldCharType="separate"/>
            </w:r>
            <w:r w:rsidR="00272AB0">
              <w:rPr>
                <w:webHidden/>
              </w:rPr>
              <w:t>23</w:t>
            </w:r>
            <w:r w:rsidR="00A324A7">
              <w:rPr>
                <w:webHidden/>
              </w:rPr>
              <w:fldChar w:fldCharType="end"/>
            </w:r>
          </w:hyperlink>
        </w:p>
        <w:p w14:paraId="03849D18" w14:textId="41CA5B37" w:rsidR="00A324A7" w:rsidRDefault="00BE3ED1" w:rsidP="001E3238">
          <w:pPr>
            <w:pStyle w:val="TOC2"/>
            <w:rPr>
              <w:rFonts w:asciiTheme="minorHAnsi" w:eastAsiaTheme="minorEastAsia" w:hAnsiTheme="minorHAnsi" w:cstheme="minorBidi"/>
              <w:sz w:val="22"/>
              <w:szCs w:val="22"/>
              <w:lang w:val="en-IE" w:eastAsia="en-IE"/>
            </w:rPr>
          </w:pPr>
          <w:hyperlink w:anchor="_Toc172125134" w:history="1">
            <w:r w:rsidR="00A324A7" w:rsidRPr="009161A9">
              <w:rPr>
                <w:rStyle w:val="Hyperlink"/>
              </w:rPr>
              <w:t xml:space="preserve">6.1 Impacts on </w:t>
            </w:r>
            <w:r w:rsidR="00FD2F54">
              <w:rPr>
                <w:rStyle w:val="Hyperlink"/>
              </w:rPr>
              <w:t xml:space="preserve">the </w:t>
            </w:r>
            <w:r w:rsidR="00A324A7" w:rsidRPr="009161A9">
              <w:rPr>
                <w:rStyle w:val="Hyperlink"/>
              </w:rPr>
              <w:t>administrative burden for beneficiaries and national administrations</w:t>
            </w:r>
            <w:r w:rsidR="00A324A7">
              <w:rPr>
                <w:webHidden/>
              </w:rPr>
              <w:tab/>
            </w:r>
            <w:r w:rsidR="00A324A7">
              <w:rPr>
                <w:webHidden/>
              </w:rPr>
              <w:fldChar w:fldCharType="begin"/>
            </w:r>
            <w:r w:rsidR="00A324A7">
              <w:rPr>
                <w:webHidden/>
              </w:rPr>
              <w:instrText xml:space="preserve"> PAGEREF _Toc172125134 \h </w:instrText>
            </w:r>
            <w:r w:rsidR="00A324A7">
              <w:rPr>
                <w:webHidden/>
              </w:rPr>
            </w:r>
            <w:r w:rsidR="00A324A7">
              <w:rPr>
                <w:webHidden/>
              </w:rPr>
              <w:fldChar w:fldCharType="separate"/>
            </w:r>
            <w:r w:rsidR="00272AB0">
              <w:rPr>
                <w:webHidden/>
              </w:rPr>
              <w:t>23</w:t>
            </w:r>
            <w:r w:rsidR="00A324A7">
              <w:rPr>
                <w:webHidden/>
              </w:rPr>
              <w:fldChar w:fldCharType="end"/>
            </w:r>
          </w:hyperlink>
        </w:p>
        <w:p w14:paraId="118B501A" w14:textId="0292B785" w:rsidR="00A324A7" w:rsidRDefault="00BE3ED1" w:rsidP="001E3238">
          <w:pPr>
            <w:pStyle w:val="TOC2"/>
            <w:rPr>
              <w:rFonts w:asciiTheme="minorHAnsi" w:eastAsiaTheme="minorEastAsia" w:hAnsiTheme="minorHAnsi" w:cstheme="minorBidi"/>
              <w:sz w:val="22"/>
              <w:szCs w:val="22"/>
              <w:lang w:val="en-IE" w:eastAsia="en-IE"/>
            </w:rPr>
          </w:pPr>
          <w:hyperlink w:anchor="_Toc172125135" w:history="1">
            <w:r w:rsidR="00A324A7" w:rsidRPr="009161A9">
              <w:rPr>
                <w:rStyle w:val="Hyperlink"/>
              </w:rPr>
              <w:t>6.2 Other economic impacts</w:t>
            </w:r>
            <w:r w:rsidR="00A324A7">
              <w:rPr>
                <w:webHidden/>
              </w:rPr>
              <w:tab/>
            </w:r>
            <w:r w:rsidR="00A324A7">
              <w:rPr>
                <w:webHidden/>
              </w:rPr>
              <w:fldChar w:fldCharType="begin"/>
            </w:r>
            <w:r w:rsidR="00A324A7">
              <w:rPr>
                <w:webHidden/>
              </w:rPr>
              <w:instrText xml:space="preserve"> PAGEREF _Toc172125135 \h </w:instrText>
            </w:r>
            <w:r w:rsidR="00A324A7">
              <w:rPr>
                <w:webHidden/>
              </w:rPr>
            </w:r>
            <w:r w:rsidR="00A324A7">
              <w:rPr>
                <w:webHidden/>
              </w:rPr>
              <w:fldChar w:fldCharType="separate"/>
            </w:r>
            <w:r w:rsidR="00272AB0">
              <w:rPr>
                <w:webHidden/>
              </w:rPr>
              <w:t>25</w:t>
            </w:r>
            <w:r w:rsidR="00A324A7">
              <w:rPr>
                <w:webHidden/>
              </w:rPr>
              <w:fldChar w:fldCharType="end"/>
            </w:r>
          </w:hyperlink>
        </w:p>
        <w:p w14:paraId="288CB9A2" w14:textId="2E5D9C3B" w:rsidR="00A324A7" w:rsidRDefault="00BE3ED1" w:rsidP="001E3238">
          <w:pPr>
            <w:pStyle w:val="TOC2"/>
            <w:rPr>
              <w:rFonts w:asciiTheme="minorHAnsi" w:eastAsiaTheme="minorEastAsia" w:hAnsiTheme="minorHAnsi" w:cstheme="minorBidi"/>
              <w:sz w:val="22"/>
              <w:szCs w:val="22"/>
              <w:lang w:val="en-IE" w:eastAsia="en-IE"/>
            </w:rPr>
          </w:pPr>
          <w:hyperlink w:anchor="_Toc172125136" w:history="1">
            <w:r w:rsidR="00A324A7" w:rsidRPr="009161A9">
              <w:rPr>
                <w:rStyle w:val="Hyperlink"/>
              </w:rPr>
              <w:t>6.3 Environmental impacts</w:t>
            </w:r>
            <w:r w:rsidR="00A324A7">
              <w:rPr>
                <w:webHidden/>
              </w:rPr>
              <w:tab/>
            </w:r>
            <w:r w:rsidR="00A324A7">
              <w:rPr>
                <w:webHidden/>
              </w:rPr>
              <w:fldChar w:fldCharType="begin"/>
            </w:r>
            <w:r w:rsidR="00A324A7">
              <w:rPr>
                <w:webHidden/>
              </w:rPr>
              <w:instrText xml:space="preserve"> PAGEREF _Toc172125136 \h </w:instrText>
            </w:r>
            <w:r w:rsidR="00A324A7">
              <w:rPr>
                <w:webHidden/>
              </w:rPr>
            </w:r>
            <w:r w:rsidR="00A324A7">
              <w:rPr>
                <w:webHidden/>
              </w:rPr>
              <w:fldChar w:fldCharType="separate"/>
            </w:r>
            <w:r w:rsidR="00272AB0">
              <w:rPr>
                <w:webHidden/>
              </w:rPr>
              <w:t>27</w:t>
            </w:r>
            <w:r w:rsidR="00A324A7">
              <w:rPr>
                <w:webHidden/>
              </w:rPr>
              <w:fldChar w:fldCharType="end"/>
            </w:r>
          </w:hyperlink>
        </w:p>
        <w:p w14:paraId="39BA3A91" w14:textId="0FCAD08C" w:rsidR="00A324A7" w:rsidRDefault="00BE3ED1" w:rsidP="001E3238">
          <w:pPr>
            <w:pStyle w:val="TOC2"/>
            <w:rPr>
              <w:rFonts w:asciiTheme="minorHAnsi" w:eastAsiaTheme="minorEastAsia" w:hAnsiTheme="minorHAnsi" w:cstheme="minorBidi"/>
              <w:sz w:val="22"/>
              <w:szCs w:val="22"/>
              <w:lang w:val="en-IE" w:eastAsia="en-IE"/>
            </w:rPr>
          </w:pPr>
          <w:hyperlink w:anchor="_Toc172125137" w:history="1">
            <w:r w:rsidR="00A324A7" w:rsidRPr="009161A9">
              <w:rPr>
                <w:rStyle w:val="Hyperlink"/>
              </w:rPr>
              <w:t>6.4 Social impacts</w:t>
            </w:r>
            <w:r w:rsidR="00A324A7">
              <w:rPr>
                <w:webHidden/>
              </w:rPr>
              <w:tab/>
            </w:r>
            <w:r w:rsidR="00A324A7">
              <w:rPr>
                <w:webHidden/>
              </w:rPr>
              <w:fldChar w:fldCharType="begin"/>
            </w:r>
            <w:r w:rsidR="00A324A7">
              <w:rPr>
                <w:webHidden/>
              </w:rPr>
              <w:instrText xml:space="preserve"> PAGEREF _Toc172125137 \h </w:instrText>
            </w:r>
            <w:r w:rsidR="00A324A7">
              <w:rPr>
                <w:webHidden/>
              </w:rPr>
            </w:r>
            <w:r w:rsidR="00A324A7">
              <w:rPr>
                <w:webHidden/>
              </w:rPr>
              <w:fldChar w:fldCharType="separate"/>
            </w:r>
            <w:r w:rsidR="00272AB0">
              <w:rPr>
                <w:webHidden/>
              </w:rPr>
              <w:t>32</w:t>
            </w:r>
            <w:r w:rsidR="00A324A7">
              <w:rPr>
                <w:webHidden/>
              </w:rPr>
              <w:fldChar w:fldCharType="end"/>
            </w:r>
          </w:hyperlink>
        </w:p>
        <w:p w14:paraId="3865A7CA" w14:textId="49A387A5" w:rsidR="00A324A7" w:rsidRDefault="00BE3ED1" w:rsidP="001E3238">
          <w:pPr>
            <w:pStyle w:val="TOC2"/>
            <w:rPr>
              <w:rFonts w:asciiTheme="minorHAnsi" w:eastAsiaTheme="minorEastAsia" w:hAnsiTheme="minorHAnsi" w:cstheme="minorBidi"/>
              <w:sz w:val="22"/>
              <w:szCs w:val="22"/>
              <w:lang w:val="en-IE" w:eastAsia="en-IE"/>
            </w:rPr>
          </w:pPr>
          <w:hyperlink w:anchor="_Toc172125138" w:history="1">
            <w:r w:rsidR="00A324A7" w:rsidRPr="009161A9">
              <w:rPr>
                <w:rStyle w:val="Hyperlink"/>
              </w:rPr>
              <w:t>6.5 Impacts relating to the performance, monitoring and evaluation framework</w:t>
            </w:r>
            <w:r w:rsidR="00A324A7">
              <w:rPr>
                <w:webHidden/>
              </w:rPr>
              <w:tab/>
            </w:r>
            <w:r w:rsidR="00A324A7">
              <w:rPr>
                <w:webHidden/>
              </w:rPr>
              <w:fldChar w:fldCharType="begin"/>
            </w:r>
            <w:r w:rsidR="00A324A7">
              <w:rPr>
                <w:webHidden/>
              </w:rPr>
              <w:instrText xml:space="preserve"> PAGEREF _Toc172125138 \h </w:instrText>
            </w:r>
            <w:r w:rsidR="00A324A7">
              <w:rPr>
                <w:webHidden/>
              </w:rPr>
            </w:r>
            <w:r w:rsidR="00A324A7">
              <w:rPr>
                <w:webHidden/>
              </w:rPr>
              <w:fldChar w:fldCharType="separate"/>
            </w:r>
            <w:r w:rsidR="00272AB0">
              <w:rPr>
                <w:webHidden/>
              </w:rPr>
              <w:t>32</w:t>
            </w:r>
            <w:r w:rsidR="00A324A7">
              <w:rPr>
                <w:webHidden/>
              </w:rPr>
              <w:fldChar w:fldCharType="end"/>
            </w:r>
          </w:hyperlink>
        </w:p>
        <w:p w14:paraId="2EE2C56E" w14:textId="509C315D" w:rsidR="00A324A7" w:rsidRDefault="00BE3ED1" w:rsidP="006E2854">
          <w:pPr>
            <w:pStyle w:val="TOC1"/>
            <w:rPr>
              <w:rFonts w:asciiTheme="minorHAnsi" w:eastAsiaTheme="minorEastAsia" w:hAnsiTheme="minorHAnsi"/>
              <w:sz w:val="22"/>
              <w:lang w:eastAsia="en-IE"/>
            </w:rPr>
          </w:pPr>
          <w:hyperlink w:anchor="_Toc172125139" w:history="1">
            <w:r w:rsidR="00A324A7" w:rsidRPr="009161A9">
              <w:rPr>
                <w:rStyle w:val="Hyperlink"/>
                <w:lang w:val="en-GB"/>
              </w:rPr>
              <w:t>7. CONCLUSIONS</w:t>
            </w:r>
            <w:r w:rsidR="00A324A7">
              <w:rPr>
                <w:webHidden/>
              </w:rPr>
              <w:tab/>
            </w:r>
            <w:r w:rsidR="00A324A7">
              <w:rPr>
                <w:webHidden/>
              </w:rPr>
              <w:fldChar w:fldCharType="begin"/>
            </w:r>
            <w:r w:rsidR="00A324A7">
              <w:rPr>
                <w:webHidden/>
              </w:rPr>
              <w:instrText xml:space="preserve"> PAGEREF _Toc172125139 \h </w:instrText>
            </w:r>
            <w:r w:rsidR="00A324A7">
              <w:rPr>
                <w:webHidden/>
              </w:rPr>
            </w:r>
            <w:r w:rsidR="00A324A7">
              <w:rPr>
                <w:webHidden/>
              </w:rPr>
              <w:fldChar w:fldCharType="separate"/>
            </w:r>
            <w:r w:rsidR="00272AB0">
              <w:rPr>
                <w:webHidden/>
              </w:rPr>
              <w:t>34</w:t>
            </w:r>
            <w:r w:rsidR="00A324A7">
              <w:rPr>
                <w:webHidden/>
              </w:rPr>
              <w:fldChar w:fldCharType="end"/>
            </w:r>
          </w:hyperlink>
        </w:p>
        <w:p w14:paraId="4CBCC6A8" w14:textId="16A513E3" w:rsidR="00A324A7" w:rsidRDefault="00BE3ED1" w:rsidP="006E2854">
          <w:pPr>
            <w:pStyle w:val="TOC1"/>
            <w:rPr>
              <w:rFonts w:asciiTheme="minorHAnsi" w:eastAsiaTheme="minorEastAsia" w:hAnsiTheme="minorHAnsi"/>
              <w:sz w:val="22"/>
              <w:lang w:eastAsia="en-IE"/>
            </w:rPr>
          </w:pPr>
          <w:hyperlink w:anchor="_Toc172125140" w:history="1">
            <w:r w:rsidR="00A324A7" w:rsidRPr="009161A9">
              <w:rPr>
                <w:rStyle w:val="Hyperlink"/>
                <w:lang w:val="en-GB"/>
              </w:rPr>
              <w:t>ANNEXES</w:t>
            </w:r>
            <w:r w:rsidR="00A324A7">
              <w:rPr>
                <w:webHidden/>
              </w:rPr>
              <w:tab/>
            </w:r>
            <w:r w:rsidR="00A324A7">
              <w:rPr>
                <w:webHidden/>
              </w:rPr>
              <w:fldChar w:fldCharType="begin"/>
            </w:r>
            <w:r w:rsidR="00A324A7">
              <w:rPr>
                <w:webHidden/>
              </w:rPr>
              <w:instrText xml:space="preserve"> PAGEREF _Toc172125140 \h </w:instrText>
            </w:r>
            <w:r w:rsidR="00A324A7">
              <w:rPr>
                <w:webHidden/>
              </w:rPr>
            </w:r>
            <w:r w:rsidR="00A324A7">
              <w:rPr>
                <w:webHidden/>
              </w:rPr>
              <w:fldChar w:fldCharType="separate"/>
            </w:r>
            <w:r w:rsidR="00272AB0">
              <w:rPr>
                <w:webHidden/>
              </w:rPr>
              <w:t>36</w:t>
            </w:r>
            <w:r w:rsidR="00A324A7">
              <w:rPr>
                <w:webHidden/>
              </w:rPr>
              <w:fldChar w:fldCharType="end"/>
            </w:r>
          </w:hyperlink>
        </w:p>
        <w:p w14:paraId="011DEFA1" w14:textId="4012BCE9" w:rsidR="00A324A7" w:rsidRDefault="00BE3ED1">
          <w:pPr>
            <w:pStyle w:val="TOC3"/>
            <w:rPr>
              <w:rFonts w:asciiTheme="minorHAnsi" w:eastAsiaTheme="minorEastAsia" w:hAnsiTheme="minorHAnsi"/>
              <w:noProof/>
              <w:sz w:val="22"/>
              <w:lang w:eastAsia="en-IE"/>
            </w:rPr>
          </w:pPr>
          <w:hyperlink w:anchor="_Toc172125141" w:history="1">
            <w:r w:rsidR="00A324A7" w:rsidRPr="009161A9">
              <w:rPr>
                <w:rStyle w:val="Hyperlink"/>
                <w:noProof/>
              </w:rPr>
              <w:t>Annex 1. Actions announced by the Commission on 22 February</w:t>
            </w:r>
            <w:r w:rsidR="00FD2F54">
              <w:rPr>
                <w:rStyle w:val="Hyperlink"/>
                <w:noProof/>
              </w:rPr>
              <w:t xml:space="preserve"> 2024</w:t>
            </w:r>
            <w:r w:rsidR="00A324A7" w:rsidRPr="009161A9">
              <w:rPr>
                <w:rStyle w:val="Hyperlink"/>
                <w:noProof/>
              </w:rPr>
              <w:t xml:space="preserve"> and their delivery</w:t>
            </w:r>
            <w:r w:rsidR="00A324A7">
              <w:rPr>
                <w:noProof/>
                <w:webHidden/>
              </w:rPr>
              <w:tab/>
            </w:r>
            <w:r w:rsidR="00A324A7">
              <w:rPr>
                <w:noProof/>
                <w:webHidden/>
              </w:rPr>
              <w:fldChar w:fldCharType="begin"/>
            </w:r>
            <w:r w:rsidR="00A324A7">
              <w:rPr>
                <w:noProof/>
                <w:webHidden/>
              </w:rPr>
              <w:instrText xml:space="preserve"> PAGEREF _Toc172125141 \h </w:instrText>
            </w:r>
            <w:r w:rsidR="00A324A7">
              <w:rPr>
                <w:noProof/>
                <w:webHidden/>
              </w:rPr>
            </w:r>
            <w:r w:rsidR="00A324A7">
              <w:rPr>
                <w:noProof/>
                <w:webHidden/>
              </w:rPr>
              <w:fldChar w:fldCharType="separate"/>
            </w:r>
            <w:r w:rsidR="00272AB0">
              <w:rPr>
                <w:noProof/>
                <w:webHidden/>
              </w:rPr>
              <w:t>36</w:t>
            </w:r>
            <w:r w:rsidR="00A324A7">
              <w:rPr>
                <w:noProof/>
                <w:webHidden/>
              </w:rPr>
              <w:fldChar w:fldCharType="end"/>
            </w:r>
          </w:hyperlink>
        </w:p>
        <w:p w14:paraId="747EA9BC" w14:textId="78E2846D" w:rsidR="00A324A7" w:rsidRDefault="00BE3ED1">
          <w:pPr>
            <w:pStyle w:val="TOC3"/>
            <w:rPr>
              <w:rFonts w:asciiTheme="minorHAnsi" w:eastAsiaTheme="minorEastAsia" w:hAnsiTheme="minorHAnsi"/>
              <w:noProof/>
              <w:sz w:val="22"/>
              <w:lang w:eastAsia="en-IE"/>
            </w:rPr>
          </w:pPr>
          <w:hyperlink w:anchor="_Toc172125142" w:history="1">
            <w:r w:rsidR="00A324A7" w:rsidRPr="009161A9">
              <w:rPr>
                <w:rStyle w:val="Hyperlink"/>
                <w:noProof/>
              </w:rPr>
              <w:t>Annex 2. Overview of the received simplification suggestions</w:t>
            </w:r>
            <w:r w:rsidR="00A324A7">
              <w:rPr>
                <w:noProof/>
                <w:webHidden/>
              </w:rPr>
              <w:tab/>
            </w:r>
            <w:r w:rsidR="00A324A7">
              <w:rPr>
                <w:noProof/>
                <w:webHidden/>
              </w:rPr>
              <w:fldChar w:fldCharType="begin"/>
            </w:r>
            <w:r w:rsidR="00A324A7">
              <w:rPr>
                <w:noProof/>
                <w:webHidden/>
              </w:rPr>
              <w:instrText xml:space="preserve"> PAGEREF _Toc172125142 \h </w:instrText>
            </w:r>
            <w:r w:rsidR="00A324A7">
              <w:rPr>
                <w:noProof/>
                <w:webHidden/>
              </w:rPr>
            </w:r>
            <w:r w:rsidR="00A324A7">
              <w:rPr>
                <w:noProof/>
                <w:webHidden/>
              </w:rPr>
              <w:fldChar w:fldCharType="separate"/>
            </w:r>
            <w:r w:rsidR="00272AB0">
              <w:rPr>
                <w:noProof/>
                <w:webHidden/>
              </w:rPr>
              <w:t>39</w:t>
            </w:r>
            <w:r w:rsidR="00A324A7">
              <w:rPr>
                <w:noProof/>
                <w:webHidden/>
              </w:rPr>
              <w:fldChar w:fldCharType="end"/>
            </w:r>
          </w:hyperlink>
        </w:p>
        <w:p w14:paraId="3A427E9E" w14:textId="6D27389A" w:rsidR="00A324A7" w:rsidRDefault="00BE3ED1">
          <w:pPr>
            <w:pStyle w:val="TOC3"/>
            <w:rPr>
              <w:rFonts w:asciiTheme="minorHAnsi" w:eastAsiaTheme="minorEastAsia" w:hAnsiTheme="minorHAnsi"/>
              <w:noProof/>
              <w:sz w:val="22"/>
              <w:lang w:eastAsia="en-IE"/>
            </w:rPr>
          </w:pPr>
          <w:hyperlink w:anchor="_Toc172125143" w:history="1">
            <w:r w:rsidR="00A324A7" w:rsidRPr="009161A9">
              <w:rPr>
                <w:rStyle w:val="Hyperlink"/>
                <w:noProof/>
              </w:rPr>
              <w:t>Annex 3</w:t>
            </w:r>
            <w:r w:rsidR="00E340D3">
              <w:rPr>
                <w:rStyle w:val="Hyperlink"/>
                <w:noProof/>
              </w:rPr>
              <w:t>.</w:t>
            </w:r>
            <w:r w:rsidR="00A324A7" w:rsidRPr="009161A9">
              <w:rPr>
                <w:rStyle w:val="Hyperlink"/>
                <w:noProof/>
              </w:rPr>
              <w:t xml:space="preserve"> Impact analysis. Who is affected and how?</w:t>
            </w:r>
            <w:r w:rsidR="00A324A7">
              <w:rPr>
                <w:noProof/>
                <w:webHidden/>
              </w:rPr>
              <w:tab/>
            </w:r>
            <w:r w:rsidR="00A324A7">
              <w:rPr>
                <w:noProof/>
                <w:webHidden/>
              </w:rPr>
              <w:fldChar w:fldCharType="begin"/>
            </w:r>
            <w:r w:rsidR="00A324A7">
              <w:rPr>
                <w:noProof/>
                <w:webHidden/>
              </w:rPr>
              <w:instrText xml:space="preserve"> PAGEREF _Toc172125143 \h </w:instrText>
            </w:r>
            <w:r w:rsidR="00A324A7">
              <w:rPr>
                <w:noProof/>
                <w:webHidden/>
              </w:rPr>
            </w:r>
            <w:r w:rsidR="00A324A7">
              <w:rPr>
                <w:noProof/>
                <w:webHidden/>
              </w:rPr>
              <w:fldChar w:fldCharType="separate"/>
            </w:r>
            <w:r w:rsidR="00272AB0">
              <w:rPr>
                <w:noProof/>
                <w:webHidden/>
              </w:rPr>
              <w:t>129</w:t>
            </w:r>
            <w:r w:rsidR="00A324A7">
              <w:rPr>
                <w:noProof/>
                <w:webHidden/>
              </w:rPr>
              <w:fldChar w:fldCharType="end"/>
            </w:r>
          </w:hyperlink>
        </w:p>
        <w:p w14:paraId="24005961" w14:textId="3FAAFDC2" w:rsidR="00A324A7" w:rsidRDefault="00BE3ED1">
          <w:pPr>
            <w:pStyle w:val="TOC3"/>
            <w:rPr>
              <w:rFonts w:asciiTheme="minorHAnsi" w:eastAsiaTheme="minorEastAsia" w:hAnsiTheme="minorHAnsi"/>
              <w:noProof/>
              <w:sz w:val="22"/>
              <w:lang w:eastAsia="en-IE"/>
            </w:rPr>
          </w:pPr>
          <w:hyperlink w:anchor="_Toc172125144" w:history="1">
            <w:r w:rsidR="00A324A7" w:rsidRPr="009161A9">
              <w:rPr>
                <w:rStyle w:val="Hyperlink"/>
                <w:noProof/>
              </w:rPr>
              <w:t xml:space="preserve">Annex 4. Modelling the impact of </w:t>
            </w:r>
            <w:r w:rsidR="00FD2F54">
              <w:rPr>
                <w:rStyle w:val="Hyperlink"/>
                <w:noProof/>
              </w:rPr>
              <w:t>removing</w:t>
            </w:r>
            <w:r w:rsidR="00A324A7" w:rsidRPr="009161A9">
              <w:rPr>
                <w:rStyle w:val="Hyperlink"/>
                <w:noProof/>
              </w:rPr>
              <w:t xml:space="preserve"> the GAEC 8 first requirement (share of non-productive areas and elements in arable land) according to the IFM-CAP model.</w:t>
            </w:r>
            <w:r w:rsidR="00A324A7">
              <w:rPr>
                <w:noProof/>
                <w:webHidden/>
              </w:rPr>
              <w:tab/>
            </w:r>
            <w:r w:rsidR="00A324A7">
              <w:rPr>
                <w:noProof/>
                <w:webHidden/>
              </w:rPr>
              <w:fldChar w:fldCharType="begin"/>
            </w:r>
            <w:r w:rsidR="00A324A7">
              <w:rPr>
                <w:noProof/>
                <w:webHidden/>
              </w:rPr>
              <w:instrText xml:space="preserve"> PAGEREF _Toc172125144 \h </w:instrText>
            </w:r>
            <w:r w:rsidR="00A324A7">
              <w:rPr>
                <w:noProof/>
                <w:webHidden/>
              </w:rPr>
            </w:r>
            <w:r w:rsidR="00A324A7">
              <w:rPr>
                <w:noProof/>
                <w:webHidden/>
              </w:rPr>
              <w:fldChar w:fldCharType="separate"/>
            </w:r>
            <w:r w:rsidR="00272AB0">
              <w:rPr>
                <w:noProof/>
                <w:webHidden/>
              </w:rPr>
              <w:t>134</w:t>
            </w:r>
            <w:r w:rsidR="00A324A7">
              <w:rPr>
                <w:noProof/>
                <w:webHidden/>
              </w:rPr>
              <w:fldChar w:fldCharType="end"/>
            </w:r>
          </w:hyperlink>
        </w:p>
        <w:p w14:paraId="207D2C2F" w14:textId="3C7199E2" w:rsidR="00BA5650" w:rsidRPr="00724676" w:rsidRDefault="00BA5650" w:rsidP="000E3B03">
          <w:pPr>
            <w:spacing w:after="40" w:line="240" w:lineRule="auto"/>
            <w:rPr>
              <w:rFonts w:cs="Times New Roman"/>
              <w:b/>
              <w:noProof/>
              <w:szCs w:val="24"/>
              <w:lang w:val="en-GB"/>
            </w:rPr>
          </w:pPr>
          <w:r w:rsidRPr="00A36E96">
            <w:rPr>
              <w:rFonts w:cs="Times New Roman"/>
              <w:b/>
              <w:noProof/>
              <w:szCs w:val="24"/>
              <w:lang w:val="en-GB"/>
            </w:rPr>
            <w:fldChar w:fldCharType="end"/>
          </w:r>
        </w:p>
      </w:sdtContent>
    </w:sdt>
    <w:p w14:paraId="6AD93858" w14:textId="77777777" w:rsidR="00CE71D4" w:rsidRDefault="00CE71D4" w:rsidP="005326C3">
      <w:pPr>
        <w:rPr>
          <w:rFonts w:cs="Times New Roman"/>
          <w:b/>
          <w:noProof/>
          <w:szCs w:val="24"/>
          <w:lang w:val="en-GB"/>
        </w:rPr>
      </w:pPr>
      <w:bookmarkStart w:id="2" w:name="_Toc779302109"/>
      <w:bookmarkStart w:id="3" w:name="_Toc1471060784"/>
      <w:bookmarkStart w:id="4" w:name="_Toc22237943"/>
      <w:bookmarkStart w:id="5" w:name="_Toc167974724"/>
    </w:p>
    <w:p w14:paraId="5410FD26" w14:textId="7CBC9CD3" w:rsidR="00EA27C4" w:rsidRPr="00724676" w:rsidRDefault="00EA27C4" w:rsidP="005326C3">
      <w:pPr>
        <w:rPr>
          <w:rFonts w:cs="Times New Roman"/>
          <w:b/>
          <w:noProof/>
          <w:szCs w:val="24"/>
          <w:lang w:val="en-GB"/>
        </w:rPr>
      </w:pPr>
      <w:r w:rsidRPr="00724676">
        <w:rPr>
          <w:rFonts w:cs="Times New Roman"/>
          <w:b/>
          <w:noProof/>
          <w:szCs w:val="24"/>
          <w:lang w:val="en-GB"/>
        </w:rPr>
        <w:lastRenderedPageBreak/>
        <w:t>Glossary</w:t>
      </w:r>
    </w:p>
    <w:tbl>
      <w:tblPr>
        <w:tblStyle w:val="TableGrid"/>
        <w:tblW w:w="0" w:type="auto"/>
        <w:tblLook w:val="04A0" w:firstRow="1" w:lastRow="0" w:firstColumn="1" w:lastColumn="0" w:noHBand="0" w:noVBand="1"/>
      </w:tblPr>
      <w:tblGrid>
        <w:gridCol w:w="1980"/>
        <w:gridCol w:w="7036"/>
      </w:tblGrid>
      <w:tr w:rsidR="005141D7" w:rsidRPr="00807559" w14:paraId="281F6CA2" w14:textId="77777777" w:rsidTr="00176AD7">
        <w:trPr>
          <w:tblHeader/>
        </w:trPr>
        <w:tc>
          <w:tcPr>
            <w:tcW w:w="1980" w:type="dxa"/>
            <w:shd w:val="clear" w:color="auto" w:fill="D9D9D9" w:themeFill="background1" w:themeFillShade="D9"/>
          </w:tcPr>
          <w:p w14:paraId="2B88C7E7" w14:textId="5669D71F" w:rsidR="005141D7" w:rsidRPr="00724676" w:rsidRDefault="005141D7" w:rsidP="00C451EE">
            <w:pPr>
              <w:spacing w:after="120" w:line="259" w:lineRule="auto"/>
              <w:jc w:val="center"/>
              <w:rPr>
                <w:rFonts w:cs="Times New Roman"/>
                <w:b/>
                <w:bCs/>
                <w:noProof/>
                <w:sz w:val="20"/>
                <w:szCs w:val="20"/>
                <w:lang w:val="en-GB"/>
              </w:rPr>
            </w:pPr>
            <w:r w:rsidRPr="00724676">
              <w:rPr>
                <w:rFonts w:cs="Times New Roman"/>
                <w:b/>
                <w:bCs/>
                <w:noProof/>
                <w:sz w:val="20"/>
                <w:szCs w:val="20"/>
                <w:lang w:val="en-GB"/>
              </w:rPr>
              <w:t>Term or acronym</w:t>
            </w:r>
          </w:p>
        </w:tc>
        <w:tc>
          <w:tcPr>
            <w:tcW w:w="7036" w:type="dxa"/>
            <w:shd w:val="clear" w:color="auto" w:fill="D9D9D9" w:themeFill="background1" w:themeFillShade="D9"/>
          </w:tcPr>
          <w:p w14:paraId="3969BA5E" w14:textId="02624B16" w:rsidR="005141D7" w:rsidRPr="00724676" w:rsidRDefault="005141D7" w:rsidP="00C451EE">
            <w:pPr>
              <w:spacing w:after="120" w:line="259" w:lineRule="auto"/>
              <w:jc w:val="center"/>
              <w:rPr>
                <w:rFonts w:cs="Times New Roman"/>
                <w:b/>
                <w:bCs/>
                <w:noProof/>
                <w:sz w:val="20"/>
                <w:szCs w:val="20"/>
                <w:lang w:val="en-GB"/>
              </w:rPr>
            </w:pPr>
            <w:r w:rsidRPr="00724676">
              <w:rPr>
                <w:rFonts w:cs="Times New Roman"/>
                <w:b/>
                <w:bCs/>
                <w:noProof/>
                <w:sz w:val="20"/>
                <w:szCs w:val="20"/>
                <w:lang w:val="en-GB"/>
              </w:rPr>
              <w:t>Meaning or definition</w:t>
            </w:r>
          </w:p>
        </w:tc>
      </w:tr>
      <w:tr w:rsidR="00576921" w:rsidRPr="00807559" w14:paraId="24905C7A" w14:textId="77777777" w:rsidTr="00176AD7">
        <w:tc>
          <w:tcPr>
            <w:tcW w:w="1980" w:type="dxa"/>
            <w:vAlign w:val="center"/>
          </w:tcPr>
          <w:p w14:paraId="3291FBF8" w14:textId="45D34B15" w:rsidR="00576921" w:rsidRPr="00842768" w:rsidRDefault="00576921" w:rsidP="0099203D">
            <w:pPr>
              <w:spacing w:before="20" w:after="20" w:line="259" w:lineRule="auto"/>
              <w:rPr>
                <w:rFonts w:cs="Times New Roman"/>
                <w:noProof/>
                <w:sz w:val="20"/>
                <w:szCs w:val="20"/>
                <w:lang w:val="en-GB"/>
              </w:rPr>
            </w:pPr>
            <w:r w:rsidRPr="00842768">
              <w:rPr>
                <w:rFonts w:cs="Times New Roman"/>
                <w:noProof/>
                <w:sz w:val="20"/>
                <w:szCs w:val="20"/>
                <w:lang w:val="en-GB"/>
              </w:rPr>
              <w:t>AECM</w:t>
            </w:r>
          </w:p>
        </w:tc>
        <w:tc>
          <w:tcPr>
            <w:tcW w:w="7036" w:type="dxa"/>
            <w:vAlign w:val="center"/>
          </w:tcPr>
          <w:p w14:paraId="257C1723" w14:textId="0AFB1216" w:rsidR="00576921" w:rsidRPr="00842768" w:rsidRDefault="00576921" w:rsidP="0099203D">
            <w:pPr>
              <w:spacing w:before="20" w:after="20" w:line="259" w:lineRule="auto"/>
              <w:rPr>
                <w:rFonts w:cs="Times New Roman"/>
                <w:noProof/>
                <w:sz w:val="20"/>
                <w:szCs w:val="20"/>
                <w:lang w:val="en-GB"/>
              </w:rPr>
            </w:pPr>
            <w:r w:rsidRPr="00842768">
              <w:rPr>
                <w:rFonts w:cs="Times New Roman"/>
                <w:noProof/>
                <w:sz w:val="20"/>
                <w:szCs w:val="20"/>
                <w:lang w:val="en-GB"/>
              </w:rPr>
              <w:t>Agri-environment-climate measure</w:t>
            </w:r>
          </w:p>
        </w:tc>
      </w:tr>
      <w:tr w:rsidR="10339F63" w14:paraId="470B4A29" w14:textId="77777777" w:rsidTr="00176AD7">
        <w:trPr>
          <w:trHeight w:val="300"/>
        </w:trPr>
        <w:tc>
          <w:tcPr>
            <w:tcW w:w="1980" w:type="dxa"/>
            <w:vAlign w:val="center"/>
          </w:tcPr>
          <w:p w14:paraId="3524D664" w14:textId="30E83D5E" w:rsidR="56B095E4" w:rsidRDefault="56B095E4" w:rsidP="0099203D">
            <w:pPr>
              <w:spacing w:before="20" w:after="20" w:line="259" w:lineRule="auto"/>
              <w:rPr>
                <w:rFonts w:cs="Times New Roman"/>
                <w:noProof/>
                <w:sz w:val="20"/>
                <w:szCs w:val="20"/>
                <w:lang w:val="en-GB"/>
              </w:rPr>
            </w:pPr>
            <w:r w:rsidRPr="10339F63">
              <w:rPr>
                <w:rFonts w:cs="Times New Roman"/>
                <w:noProof/>
                <w:sz w:val="20"/>
                <w:szCs w:val="20"/>
                <w:lang w:val="en-GB"/>
              </w:rPr>
              <w:t>AGRIFISH Council</w:t>
            </w:r>
          </w:p>
        </w:tc>
        <w:tc>
          <w:tcPr>
            <w:tcW w:w="7036" w:type="dxa"/>
            <w:vAlign w:val="center"/>
          </w:tcPr>
          <w:p w14:paraId="0B008AE4" w14:textId="4A5A631D" w:rsidR="56B095E4" w:rsidRDefault="56B095E4" w:rsidP="0099203D">
            <w:pPr>
              <w:spacing w:before="20" w:after="20" w:line="259" w:lineRule="auto"/>
              <w:rPr>
                <w:rFonts w:cs="Times New Roman"/>
                <w:noProof/>
                <w:sz w:val="20"/>
                <w:szCs w:val="20"/>
                <w:lang w:val="en-GB"/>
              </w:rPr>
            </w:pPr>
            <w:r w:rsidRPr="10339F63">
              <w:rPr>
                <w:rFonts w:cs="Times New Roman"/>
                <w:noProof/>
                <w:sz w:val="20"/>
                <w:szCs w:val="20"/>
                <w:lang w:val="en-GB"/>
              </w:rPr>
              <w:t>Agriculture and Fisheries Council configuration</w:t>
            </w:r>
          </w:p>
        </w:tc>
      </w:tr>
      <w:tr w:rsidR="00021887" w:rsidRPr="00807559" w14:paraId="37F1F073" w14:textId="77777777" w:rsidTr="00176AD7">
        <w:tc>
          <w:tcPr>
            <w:tcW w:w="1980" w:type="dxa"/>
            <w:vAlign w:val="center"/>
          </w:tcPr>
          <w:p w14:paraId="22F2D791" w14:textId="089D678F" w:rsidR="00021887" w:rsidRPr="00842768" w:rsidRDefault="00021887" w:rsidP="0099203D">
            <w:pPr>
              <w:spacing w:before="20" w:after="20" w:line="259" w:lineRule="auto"/>
              <w:rPr>
                <w:rFonts w:cs="Times New Roman"/>
                <w:noProof/>
                <w:sz w:val="20"/>
                <w:szCs w:val="20"/>
                <w:lang w:val="en-GB"/>
              </w:rPr>
            </w:pPr>
            <w:r w:rsidRPr="00842768">
              <w:rPr>
                <w:rFonts w:cs="Times New Roman"/>
                <w:noProof/>
                <w:sz w:val="20"/>
                <w:szCs w:val="20"/>
                <w:lang w:val="en-GB"/>
              </w:rPr>
              <w:t>AKIS</w:t>
            </w:r>
          </w:p>
        </w:tc>
        <w:tc>
          <w:tcPr>
            <w:tcW w:w="7036" w:type="dxa"/>
            <w:vAlign w:val="center"/>
          </w:tcPr>
          <w:p w14:paraId="59449AC2" w14:textId="1FD82EFD" w:rsidR="00021887" w:rsidRPr="00842768" w:rsidRDefault="009D6A16" w:rsidP="0099203D">
            <w:pPr>
              <w:spacing w:before="20" w:after="20" w:line="259" w:lineRule="auto"/>
              <w:rPr>
                <w:rFonts w:cs="Times New Roman"/>
                <w:noProof/>
                <w:sz w:val="20"/>
                <w:szCs w:val="20"/>
                <w:lang w:val="en-GB"/>
              </w:rPr>
            </w:pPr>
            <w:r w:rsidRPr="00842768">
              <w:rPr>
                <w:rFonts w:cs="Times New Roman"/>
                <w:noProof/>
                <w:sz w:val="20"/>
                <w:szCs w:val="20"/>
                <w:lang w:val="en-GB"/>
              </w:rPr>
              <w:t xml:space="preserve">Agricultural </w:t>
            </w:r>
            <w:r w:rsidR="00BA3C2C">
              <w:rPr>
                <w:rFonts w:cs="Times New Roman"/>
                <w:noProof/>
                <w:sz w:val="20"/>
                <w:szCs w:val="20"/>
                <w:lang w:val="en-GB"/>
              </w:rPr>
              <w:t>K</w:t>
            </w:r>
            <w:r w:rsidRPr="00842768">
              <w:rPr>
                <w:rFonts w:cs="Times New Roman"/>
                <w:noProof/>
                <w:sz w:val="20"/>
                <w:szCs w:val="20"/>
                <w:lang w:val="en-GB"/>
              </w:rPr>
              <w:t xml:space="preserve">nowledge and </w:t>
            </w:r>
            <w:r w:rsidR="00BA3C2C">
              <w:rPr>
                <w:rFonts w:cs="Times New Roman"/>
                <w:noProof/>
                <w:sz w:val="20"/>
                <w:szCs w:val="20"/>
                <w:lang w:val="en-GB"/>
              </w:rPr>
              <w:t>I</w:t>
            </w:r>
            <w:r w:rsidRPr="00842768">
              <w:rPr>
                <w:rFonts w:cs="Times New Roman"/>
                <w:noProof/>
                <w:sz w:val="20"/>
                <w:szCs w:val="20"/>
                <w:lang w:val="en-GB"/>
              </w:rPr>
              <w:t xml:space="preserve">nnovation </w:t>
            </w:r>
            <w:r w:rsidR="00BA3C2C">
              <w:rPr>
                <w:rFonts w:cs="Times New Roman"/>
                <w:noProof/>
                <w:sz w:val="20"/>
                <w:szCs w:val="20"/>
                <w:lang w:val="en-GB"/>
              </w:rPr>
              <w:t>S</w:t>
            </w:r>
            <w:r w:rsidRPr="00842768">
              <w:rPr>
                <w:rFonts w:cs="Times New Roman"/>
                <w:noProof/>
                <w:sz w:val="20"/>
                <w:szCs w:val="20"/>
                <w:lang w:val="en-GB"/>
              </w:rPr>
              <w:t>ystem</w:t>
            </w:r>
            <w:r w:rsidR="00793606">
              <w:rPr>
                <w:rFonts w:cs="Times New Roman"/>
                <w:noProof/>
                <w:sz w:val="20"/>
                <w:szCs w:val="20"/>
                <w:lang w:val="en-GB"/>
              </w:rPr>
              <w:t>s</w:t>
            </w:r>
          </w:p>
        </w:tc>
      </w:tr>
      <w:tr w:rsidR="005141D7" w:rsidRPr="00807559" w14:paraId="10CA64BA" w14:textId="77777777" w:rsidTr="00176AD7">
        <w:tc>
          <w:tcPr>
            <w:tcW w:w="1980" w:type="dxa"/>
            <w:vAlign w:val="center"/>
          </w:tcPr>
          <w:p w14:paraId="30386D54" w14:textId="39B83C2C" w:rsidR="005141D7" w:rsidRPr="00842768" w:rsidRDefault="002E2837" w:rsidP="0099203D">
            <w:pPr>
              <w:spacing w:before="20" w:after="20" w:line="259" w:lineRule="auto"/>
              <w:rPr>
                <w:rFonts w:cs="Times New Roman"/>
                <w:noProof/>
                <w:sz w:val="20"/>
                <w:szCs w:val="20"/>
                <w:lang w:val="en-GB"/>
              </w:rPr>
            </w:pPr>
            <w:r w:rsidRPr="00842768">
              <w:rPr>
                <w:rFonts w:cs="Times New Roman"/>
                <w:noProof/>
                <w:sz w:val="20"/>
                <w:szCs w:val="20"/>
                <w:lang w:val="en-GB"/>
              </w:rPr>
              <w:t>AMS</w:t>
            </w:r>
          </w:p>
        </w:tc>
        <w:tc>
          <w:tcPr>
            <w:tcW w:w="7036" w:type="dxa"/>
            <w:vAlign w:val="center"/>
          </w:tcPr>
          <w:p w14:paraId="7FC702FB" w14:textId="70BD5DC0" w:rsidR="005141D7" w:rsidRPr="00842768" w:rsidRDefault="00B27148" w:rsidP="0099203D">
            <w:pPr>
              <w:spacing w:before="20" w:after="20" w:line="259" w:lineRule="auto"/>
              <w:rPr>
                <w:rFonts w:cs="Times New Roman"/>
                <w:noProof/>
                <w:sz w:val="20"/>
                <w:szCs w:val="20"/>
                <w:lang w:val="en-GB"/>
              </w:rPr>
            </w:pPr>
            <w:r w:rsidRPr="00842768">
              <w:rPr>
                <w:rFonts w:cs="Times New Roman"/>
                <w:noProof/>
                <w:sz w:val="20"/>
                <w:szCs w:val="20"/>
                <w:lang w:val="en-GB"/>
              </w:rPr>
              <w:t xml:space="preserve">Area </w:t>
            </w:r>
            <w:r w:rsidR="00FD2F54">
              <w:rPr>
                <w:rFonts w:cs="Times New Roman"/>
                <w:noProof/>
                <w:sz w:val="20"/>
                <w:szCs w:val="20"/>
                <w:lang w:val="en-GB"/>
              </w:rPr>
              <w:t>m</w:t>
            </w:r>
            <w:r w:rsidRPr="00842768">
              <w:rPr>
                <w:rFonts w:cs="Times New Roman"/>
                <w:noProof/>
                <w:sz w:val="20"/>
                <w:szCs w:val="20"/>
                <w:lang w:val="en-GB"/>
              </w:rPr>
              <w:t xml:space="preserve">onitoring </w:t>
            </w:r>
            <w:r w:rsidR="00FD2F54">
              <w:rPr>
                <w:rFonts w:cs="Times New Roman"/>
                <w:noProof/>
                <w:sz w:val="20"/>
                <w:szCs w:val="20"/>
                <w:lang w:val="en-GB"/>
              </w:rPr>
              <w:t>s</w:t>
            </w:r>
            <w:r w:rsidRPr="00842768">
              <w:rPr>
                <w:rFonts w:cs="Times New Roman"/>
                <w:noProof/>
                <w:sz w:val="20"/>
                <w:szCs w:val="20"/>
                <w:lang w:val="en-GB"/>
              </w:rPr>
              <w:t>ystem</w:t>
            </w:r>
          </w:p>
        </w:tc>
      </w:tr>
      <w:tr w:rsidR="5CB70B36" w:rsidRPr="00807559" w14:paraId="23DF7D79" w14:textId="77777777" w:rsidTr="00176AD7">
        <w:trPr>
          <w:trHeight w:val="300"/>
        </w:trPr>
        <w:tc>
          <w:tcPr>
            <w:tcW w:w="1980" w:type="dxa"/>
            <w:vAlign w:val="center"/>
          </w:tcPr>
          <w:p w14:paraId="0A4EB856" w14:textId="7473BE8B" w:rsidR="412C62A4" w:rsidRPr="00842768" w:rsidRDefault="412C62A4" w:rsidP="0099203D">
            <w:pPr>
              <w:spacing w:before="20" w:after="20" w:line="259" w:lineRule="auto"/>
              <w:rPr>
                <w:rFonts w:cs="Times New Roman"/>
                <w:noProof/>
                <w:sz w:val="20"/>
                <w:szCs w:val="20"/>
                <w:lang w:val="en-GB"/>
              </w:rPr>
            </w:pPr>
            <w:r w:rsidRPr="00842768">
              <w:rPr>
                <w:rFonts w:cs="Times New Roman"/>
                <w:noProof/>
                <w:sz w:val="20"/>
                <w:szCs w:val="20"/>
                <w:lang w:val="en-GB"/>
              </w:rPr>
              <w:t>APR</w:t>
            </w:r>
          </w:p>
        </w:tc>
        <w:tc>
          <w:tcPr>
            <w:tcW w:w="7036" w:type="dxa"/>
            <w:vAlign w:val="center"/>
          </w:tcPr>
          <w:p w14:paraId="28A3AE7E" w14:textId="5E66A141" w:rsidR="412C62A4" w:rsidRPr="00842768" w:rsidRDefault="412C62A4" w:rsidP="0099203D">
            <w:pPr>
              <w:spacing w:before="20" w:after="20" w:line="259" w:lineRule="auto"/>
              <w:rPr>
                <w:rFonts w:cs="Times New Roman"/>
                <w:noProof/>
                <w:sz w:val="20"/>
                <w:szCs w:val="20"/>
                <w:lang w:val="en-GB"/>
              </w:rPr>
            </w:pPr>
            <w:r w:rsidRPr="00842768">
              <w:rPr>
                <w:rFonts w:cs="Times New Roman"/>
                <w:noProof/>
                <w:sz w:val="20"/>
                <w:szCs w:val="20"/>
                <w:lang w:val="en-GB"/>
              </w:rPr>
              <w:t xml:space="preserve">Annual </w:t>
            </w:r>
            <w:r w:rsidR="00FD2F54">
              <w:rPr>
                <w:rFonts w:cs="Times New Roman"/>
                <w:noProof/>
                <w:sz w:val="20"/>
                <w:szCs w:val="20"/>
                <w:lang w:val="en-GB"/>
              </w:rPr>
              <w:t>p</w:t>
            </w:r>
            <w:r w:rsidRPr="00842768">
              <w:rPr>
                <w:rFonts w:cs="Times New Roman"/>
                <w:noProof/>
                <w:sz w:val="20"/>
                <w:szCs w:val="20"/>
                <w:lang w:val="en-GB"/>
              </w:rPr>
              <w:t xml:space="preserve">erformance </w:t>
            </w:r>
            <w:r w:rsidR="00FD2F54">
              <w:rPr>
                <w:rFonts w:cs="Times New Roman"/>
                <w:noProof/>
                <w:sz w:val="20"/>
                <w:szCs w:val="20"/>
                <w:lang w:val="en-GB"/>
              </w:rPr>
              <w:t>r</w:t>
            </w:r>
            <w:r w:rsidRPr="00842768">
              <w:rPr>
                <w:rFonts w:cs="Times New Roman"/>
                <w:noProof/>
                <w:sz w:val="20"/>
                <w:szCs w:val="20"/>
                <w:lang w:val="en-GB"/>
              </w:rPr>
              <w:t>eport</w:t>
            </w:r>
          </w:p>
        </w:tc>
      </w:tr>
      <w:tr w:rsidR="004B1FDA" w:rsidRPr="00807559" w14:paraId="3166A21C" w14:textId="77777777" w:rsidTr="00176AD7">
        <w:trPr>
          <w:trHeight w:val="325"/>
        </w:trPr>
        <w:tc>
          <w:tcPr>
            <w:tcW w:w="1980" w:type="dxa"/>
            <w:vAlign w:val="center"/>
          </w:tcPr>
          <w:p w14:paraId="1C8C281C" w14:textId="1A482319" w:rsidR="004B1FDA" w:rsidRPr="00842768" w:rsidRDefault="004B1FDA" w:rsidP="0099203D">
            <w:pPr>
              <w:spacing w:before="20" w:after="20" w:line="259" w:lineRule="auto"/>
              <w:rPr>
                <w:rFonts w:cs="Times New Roman"/>
                <w:noProof/>
                <w:sz w:val="20"/>
                <w:szCs w:val="20"/>
                <w:lang w:val="en-GB"/>
              </w:rPr>
            </w:pPr>
            <w:r w:rsidRPr="00842768">
              <w:rPr>
                <w:rFonts w:cs="Times New Roman"/>
                <w:noProof/>
                <w:sz w:val="20"/>
                <w:szCs w:val="20"/>
                <w:lang w:val="en-GB"/>
              </w:rPr>
              <w:t>CAP</w:t>
            </w:r>
          </w:p>
        </w:tc>
        <w:tc>
          <w:tcPr>
            <w:tcW w:w="7036" w:type="dxa"/>
            <w:vAlign w:val="center"/>
          </w:tcPr>
          <w:p w14:paraId="47EB8553" w14:textId="4FD8102E" w:rsidR="004B1FDA" w:rsidRPr="00842768" w:rsidRDefault="004B1FDA" w:rsidP="0099203D">
            <w:pPr>
              <w:spacing w:before="20" w:after="20" w:line="259" w:lineRule="auto"/>
              <w:rPr>
                <w:rFonts w:cs="Times New Roman"/>
                <w:noProof/>
                <w:sz w:val="20"/>
                <w:szCs w:val="20"/>
                <w:lang w:val="en-GB"/>
              </w:rPr>
            </w:pPr>
            <w:r w:rsidRPr="00842768">
              <w:rPr>
                <w:rFonts w:cs="Times New Roman"/>
                <w:noProof/>
                <w:sz w:val="20"/>
                <w:szCs w:val="20"/>
                <w:lang w:val="en-GB"/>
              </w:rPr>
              <w:t xml:space="preserve">Common </w:t>
            </w:r>
            <w:r w:rsidR="00774819">
              <w:rPr>
                <w:rFonts w:cs="Times New Roman"/>
                <w:noProof/>
                <w:sz w:val="20"/>
                <w:szCs w:val="20"/>
                <w:lang w:val="en-GB"/>
              </w:rPr>
              <w:t>a</w:t>
            </w:r>
            <w:r w:rsidRPr="00842768">
              <w:rPr>
                <w:rFonts w:cs="Times New Roman"/>
                <w:noProof/>
                <w:sz w:val="20"/>
                <w:szCs w:val="20"/>
                <w:lang w:val="en-GB"/>
              </w:rPr>
              <w:t xml:space="preserve">gricultural </w:t>
            </w:r>
            <w:r w:rsidR="00774819">
              <w:rPr>
                <w:rFonts w:cs="Times New Roman"/>
                <w:noProof/>
                <w:sz w:val="20"/>
                <w:szCs w:val="20"/>
                <w:lang w:val="en-GB"/>
              </w:rPr>
              <w:t>p</w:t>
            </w:r>
            <w:r w:rsidRPr="00842768">
              <w:rPr>
                <w:rFonts w:cs="Times New Roman"/>
                <w:noProof/>
                <w:sz w:val="20"/>
                <w:szCs w:val="20"/>
                <w:lang w:val="en-GB"/>
              </w:rPr>
              <w:t>olicy</w:t>
            </w:r>
          </w:p>
        </w:tc>
      </w:tr>
      <w:tr w:rsidR="00AD7925" w:rsidRPr="00807559" w14:paraId="5BB482B4" w14:textId="77777777" w:rsidTr="00176AD7">
        <w:trPr>
          <w:trHeight w:val="325"/>
        </w:trPr>
        <w:tc>
          <w:tcPr>
            <w:tcW w:w="1980" w:type="dxa"/>
            <w:vAlign w:val="center"/>
          </w:tcPr>
          <w:p w14:paraId="579E9890" w14:textId="3806CB0F" w:rsidR="00AD7925" w:rsidRPr="00842768" w:rsidRDefault="00AD7925" w:rsidP="0099203D">
            <w:pPr>
              <w:spacing w:before="20" w:after="20"/>
              <w:rPr>
                <w:rFonts w:cs="Times New Roman"/>
                <w:noProof/>
                <w:sz w:val="20"/>
                <w:szCs w:val="20"/>
                <w:lang w:val="en-GB"/>
              </w:rPr>
            </w:pPr>
            <w:r>
              <w:rPr>
                <w:rFonts w:cs="Times New Roman"/>
                <w:noProof/>
                <w:sz w:val="20"/>
                <w:szCs w:val="20"/>
                <w:lang w:val="en-GB"/>
              </w:rPr>
              <w:t>CEADS</w:t>
            </w:r>
          </w:p>
        </w:tc>
        <w:tc>
          <w:tcPr>
            <w:tcW w:w="7036" w:type="dxa"/>
            <w:vAlign w:val="center"/>
          </w:tcPr>
          <w:p w14:paraId="7A4F9FDB" w14:textId="491C9F78" w:rsidR="00AD7925" w:rsidRPr="00842768" w:rsidRDefault="00AD7925" w:rsidP="0099203D">
            <w:pPr>
              <w:spacing w:before="20" w:after="20"/>
              <w:rPr>
                <w:rFonts w:cs="Times New Roman"/>
                <w:noProof/>
                <w:sz w:val="20"/>
                <w:szCs w:val="20"/>
                <w:lang w:val="en-GB"/>
              </w:rPr>
            </w:pPr>
            <w:r w:rsidRPr="00AD7925">
              <w:rPr>
                <w:rFonts w:cs="Times New Roman"/>
                <w:noProof/>
                <w:sz w:val="20"/>
                <w:szCs w:val="20"/>
                <w:lang w:val="en-GB"/>
              </w:rPr>
              <w:t>Common European agricultural data space</w:t>
            </w:r>
          </w:p>
        </w:tc>
      </w:tr>
      <w:tr w:rsidR="00825AE7" w:rsidRPr="00807559" w14:paraId="20F3730E" w14:textId="77777777" w:rsidTr="00176AD7">
        <w:tc>
          <w:tcPr>
            <w:tcW w:w="1980" w:type="dxa"/>
            <w:vAlign w:val="center"/>
          </w:tcPr>
          <w:p w14:paraId="2BC0A7A1" w14:textId="7C510E60" w:rsidR="00825AE7" w:rsidRPr="00842768" w:rsidRDefault="3B2F2E65" w:rsidP="0099203D">
            <w:pPr>
              <w:spacing w:before="20" w:after="20"/>
              <w:rPr>
                <w:rFonts w:cs="Times New Roman"/>
                <w:noProof/>
                <w:sz w:val="20"/>
                <w:szCs w:val="20"/>
                <w:lang w:val="en-GB"/>
              </w:rPr>
            </w:pPr>
            <w:r w:rsidRPr="10339F63">
              <w:rPr>
                <w:rFonts w:cs="Times New Roman"/>
                <w:noProof/>
                <w:sz w:val="20"/>
                <w:szCs w:val="20"/>
                <w:lang w:val="en-GB"/>
              </w:rPr>
              <w:t>CEJA</w:t>
            </w:r>
          </w:p>
        </w:tc>
        <w:tc>
          <w:tcPr>
            <w:tcW w:w="7036" w:type="dxa"/>
            <w:vAlign w:val="center"/>
          </w:tcPr>
          <w:p w14:paraId="18EB9658" w14:textId="07B3BDD5" w:rsidR="00825AE7" w:rsidRPr="00842768" w:rsidRDefault="00065C72" w:rsidP="0099203D">
            <w:pPr>
              <w:spacing w:before="20" w:after="20"/>
              <w:rPr>
                <w:rFonts w:cs="Times New Roman"/>
                <w:noProof/>
                <w:sz w:val="20"/>
                <w:szCs w:val="20"/>
                <w:lang w:val="en-GB"/>
              </w:rPr>
            </w:pPr>
            <w:r w:rsidRPr="00842768">
              <w:rPr>
                <w:rFonts w:cs="Times New Roman"/>
                <w:noProof/>
                <w:sz w:val="20"/>
                <w:szCs w:val="20"/>
                <w:lang w:val="en-GB"/>
              </w:rPr>
              <w:t xml:space="preserve">European Council of </w:t>
            </w:r>
            <w:r w:rsidR="00B4342A">
              <w:rPr>
                <w:rFonts w:cs="Times New Roman"/>
                <w:noProof/>
                <w:sz w:val="20"/>
                <w:szCs w:val="20"/>
                <w:lang w:val="en-GB"/>
              </w:rPr>
              <w:t>Y</w:t>
            </w:r>
            <w:r w:rsidRPr="00842768">
              <w:rPr>
                <w:rFonts w:cs="Times New Roman"/>
                <w:noProof/>
                <w:sz w:val="20"/>
                <w:szCs w:val="20"/>
                <w:lang w:val="en-GB"/>
              </w:rPr>
              <w:t>ou</w:t>
            </w:r>
            <w:r w:rsidR="00E4130A" w:rsidRPr="00842768">
              <w:rPr>
                <w:rFonts w:cs="Times New Roman"/>
                <w:noProof/>
                <w:sz w:val="20"/>
                <w:szCs w:val="20"/>
                <w:lang w:val="en-GB"/>
              </w:rPr>
              <w:t xml:space="preserve">ng </w:t>
            </w:r>
            <w:r w:rsidR="00B4342A">
              <w:rPr>
                <w:rFonts w:cs="Times New Roman"/>
                <w:noProof/>
                <w:sz w:val="20"/>
                <w:szCs w:val="20"/>
                <w:lang w:val="en-GB"/>
              </w:rPr>
              <w:t>F</w:t>
            </w:r>
            <w:r w:rsidR="00E4130A" w:rsidRPr="00842768">
              <w:rPr>
                <w:rFonts w:cs="Times New Roman"/>
                <w:noProof/>
                <w:sz w:val="20"/>
                <w:szCs w:val="20"/>
                <w:lang w:val="en-GB"/>
              </w:rPr>
              <w:t>armers</w:t>
            </w:r>
          </w:p>
        </w:tc>
      </w:tr>
      <w:tr w:rsidR="7A12F265" w:rsidRPr="00807559" w14:paraId="0FBCFD30" w14:textId="77777777" w:rsidTr="00176AD7">
        <w:trPr>
          <w:trHeight w:val="302"/>
        </w:trPr>
        <w:tc>
          <w:tcPr>
            <w:tcW w:w="1980" w:type="dxa"/>
            <w:vAlign w:val="center"/>
          </w:tcPr>
          <w:p w14:paraId="1FE586E0" w14:textId="7CA32EBB" w:rsidR="3FF9B742" w:rsidRPr="00842768" w:rsidRDefault="031D801C" w:rsidP="0099203D">
            <w:pPr>
              <w:spacing w:before="20" w:after="20"/>
              <w:rPr>
                <w:rFonts w:cs="Times New Roman"/>
                <w:noProof/>
                <w:sz w:val="20"/>
                <w:szCs w:val="20"/>
                <w:lang w:val="en-GB"/>
              </w:rPr>
            </w:pPr>
            <w:r w:rsidRPr="10339F63">
              <w:rPr>
                <w:rFonts w:cs="Times New Roman"/>
                <w:noProof/>
                <w:sz w:val="20"/>
                <w:szCs w:val="20"/>
                <w:lang w:val="en-GB"/>
              </w:rPr>
              <w:t>COM AGRI</w:t>
            </w:r>
          </w:p>
        </w:tc>
        <w:tc>
          <w:tcPr>
            <w:tcW w:w="7036" w:type="dxa"/>
            <w:vAlign w:val="center"/>
          </w:tcPr>
          <w:p w14:paraId="2580E512" w14:textId="1FF88696" w:rsidR="7A12F265" w:rsidRPr="00842768" w:rsidRDefault="4002FD80" w:rsidP="0099203D">
            <w:pPr>
              <w:spacing w:before="20" w:after="20" w:line="259" w:lineRule="auto"/>
              <w:rPr>
                <w:rFonts w:cs="Times New Roman"/>
                <w:noProof/>
                <w:sz w:val="20"/>
                <w:szCs w:val="20"/>
                <w:lang w:val="en-GB"/>
              </w:rPr>
            </w:pPr>
            <w:r w:rsidRPr="00842768">
              <w:rPr>
                <w:rFonts w:cs="Times New Roman"/>
                <w:noProof/>
                <w:sz w:val="20"/>
                <w:szCs w:val="20"/>
                <w:lang w:val="en-GB"/>
              </w:rPr>
              <w:t>Committee on Agriculture and Rural Development</w:t>
            </w:r>
            <w:r w:rsidR="00F03A3A" w:rsidRPr="00842768">
              <w:rPr>
                <w:rFonts w:cs="Times New Roman"/>
                <w:noProof/>
                <w:sz w:val="20"/>
                <w:szCs w:val="20"/>
                <w:lang w:val="en-GB"/>
              </w:rPr>
              <w:t xml:space="preserve"> of the European Parliament</w:t>
            </w:r>
          </w:p>
        </w:tc>
      </w:tr>
      <w:tr w:rsidR="00AC08CF" w:rsidRPr="00807559" w14:paraId="18E5B615" w14:textId="77777777" w:rsidTr="00176AD7">
        <w:trPr>
          <w:trHeight w:val="302"/>
        </w:trPr>
        <w:tc>
          <w:tcPr>
            <w:tcW w:w="1980" w:type="dxa"/>
            <w:vAlign w:val="center"/>
          </w:tcPr>
          <w:p w14:paraId="672620A6" w14:textId="0304D701" w:rsidR="00AC08CF" w:rsidRPr="00842768" w:rsidRDefault="00AC08CF" w:rsidP="0099203D">
            <w:pPr>
              <w:spacing w:before="20" w:after="20"/>
              <w:rPr>
                <w:rFonts w:cs="Times New Roman"/>
                <w:noProof/>
                <w:sz w:val="20"/>
                <w:szCs w:val="20"/>
                <w:lang w:val="en-GB"/>
              </w:rPr>
            </w:pPr>
            <w:r>
              <w:rPr>
                <w:rFonts w:cs="Times New Roman"/>
                <w:noProof/>
                <w:sz w:val="20"/>
                <w:szCs w:val="20"/>
                <w:lang w:val="en-GB"/>
              </w:rPr>
              <w:t>CLLD</w:t>
            </w:r>
          </w:p>
        </w:tc>
        <w:tc>
          <w:tcPr>
            <w:tcW w:w="7036" w:type="dxa"/>
            <w:vAlign w:val="center"/>
          </w:tcPr>
          <w:p w14:paraId="3CBF7B30" w14:textId="21EBD61F" w:rsidR="00AC08CF" w:rsidRPr="00842768" w:rsidRDefault="00AC08CF" w:rsidP="0099203D">
            <w:pPr>
              <w:spacing w:before="20" w:after="20"/>
              <w:rPr>
                <w:rFonts w:cs="Times New Roman"/>
                <w:noProof/>
                <w:sz w:val="20"/>
                <w:szCs w:val="20"/>
                <w:lang w:val="en-GB"/>
              </w:rPr>
            </w:pPr>
            <w:r w:rsidRPr="00AC08CF">
              <w:rPr>
                <w:rFonts w:cs="Times New Roman"/>
                <w:noProof/>
                <w:sz w:val="20"/>
                <w:szCs w:val="20"/>
                <w:lang w:val="en-GB"/>
              </w:rPr>
              <w:t>Community-Led Local Development</w:t>
            </w:r>
          </w:p>
        </w:tc>
      </w:tr>
      <w:tr w:rsidR="0029732F" w:rsidRPr="00807559" w14:paraId="585AEB16" w14:textId="77777777" w:rsidTr="00176AD7">
        <w:tc>
          <w:tcPr>
            <w:tcW w:w="1980" w:type="dxa"/>
            <w:vAlign w:val="center"/>
          </w:tcPr>
          <w:p w14:paraId="5D3A34B4" w14:textId="485DF140" w:rsidR="0029732F" w:rsidRPr="00724676" w:rsidRDefault="0029732F" w:rsidP="0099203D">
            <w:pPr>
              <w:spacing w:before="20" w:after="20"/>
              <w:rPr>
                <w:rFonts w:cs="Times New Roman"/>
                <w:noProof/>
                <w:sz w:val="20"/>
                <w:szCs w:val="20"/>
                <w:lang w:val="en-GB"/>
              </w:rPr>
            </w:pPr>
            <w:r w:rsidRPr="00724676">
              <w:rPr>
                <w:rFonts w:cs="Times New Roman"/>
                <w:noProof/>
                <w:sz w:val="20"/>
                <w:szCs w:val="20"/>
                <w:lang w:val="en-GB"/>
              </w:rPr>
              <w:t>COPA-COGECA</w:t>
            </w:r>
          </w:p>
        </w:tc>
        <w:tc>
          <w:tcPr>
            <w:tcW w:w="7036" w:type="dxa"/>
            <w:vAlign w:val="center"/>
          </w:tcPr>
          <w:p w14:paraId="1D04B330" w14:textId="0135B354" w:rsidR="0029732F" w:rsidRPr="00724676" w:rsidRDefault="0019788C" w:rsidP="0099203D">
            <w:pPr>
              <w:spacing w:before="20" w:after="20"/>
              <w:rPr>
                <w:rFonts w:cs="Times New Roman"/>
                <w:noProof/>
                <w:sz w:val="20"/>
                <w:szCs w:val="20"/>
                <w:lang w:val="en-GB"/>
              </w:rPr>
            </w:pPr>
            <w:r w:rsidRPr="00724676">
              <w:rPr>
                <w:rFonts w:cs="Times New Roman"/>
                <w:noProof/>
                <w:sz w:val="20"/>
                <w:szCs w:val="20"/>
                <w:lang w:val="en-GB"/>
              </w:rPr>
              <w:t>European farmers/European agri-cooperatives</w:t>
            </w:r>
          </w:p>
        </w:tc>
      </w:tr>
      <w:tr w:rsidR="004B1FDA" w:rsidRPr="00807559" w14:paraId="77939C53" w14:textId="77777777" w:rsidTr="00176AD7">
        <w:tc>
          <w:tcPr>
            <w:tcW w:w="1980" w:type="dxa"/>
            <w:vAlign w:val="center"/>
          </w:tcPr>
          <w:p w14:paraId="7546F8FA" w14:textId="1586502D" w:rsidR="004B1FDA" w:rsidRPr="00724676" w:rsidRDefault="004B1FDA" w:rsidP="0099203D">
            <w:pPr>
              <w:spacing w:before="20" w:after="20" w:line="259" w:lineRule="auto"/>
              <w:rPr>
                <w:rFonts w:cs="Times New Roman"/>
                <w:noProof/>
                <w:sz w:val="20"/>
                <w:szCs w:val="20"/>
                <w:lang w:val="en-GB"/>
              </w:rPr>
            </w:pPr>
            <w:r w:rsidRPr="00724676">
              <w:rPr>
                <w:rFonts w:cs="Times New Roman"/>
                <w:noProof/>
                <w:sz w:val="20"/>
                <w:szCs w:val="20"/>
                <w:lang w:val="en-GB"/>
              </w:rPr>
              <w:t>CAP Plan</w:t>
            </w:r>
          </w:p>
        </w:tc>
        <w:tc>
          <w:tcPr>
            <w:tcW w:w="7036" w:type="dxa"/>
            <w:vAlign w:val="center"/>
          </w:tcPr>
          <w:p w14:paraId="3ECA7267" w14:textId="0A7B7774" w:rsidR="004B1FDA" w:rsidRPr="00724676" w:rsidRDefault="00AD5EE2" w:rsidP="0099203D">
            <w:pPr>
              <w:spacing w:before="20" w:after="20" w:line="259" w:lineRule="auto"/>
              <w:rPr>
                <w:rFonts w:cs="Times New Roman"/>
                <w:noProof/>
                <w:sz w:val="20"/>
                <w:szCs w:val="20"/>
                <w:lang w:val="en-GB"/>
              </w:rPr>
            </w:pPr>
            <w:r w:rsidRPr="00724676">
              <w:rPr>
                <w:rFonts w:cs="Times New Roman"/>
                <w:noProof/>
                <w:sz w:val="20"/>
                <w:szCs w:val="20"/>
                <w:lang w:val="en-GB"/>
              </w:rPr>
              <w:t>CAP</w:t>
            </w:r>
            <w:r w:rsidR="004B1FDA" w:rsidRPr="00724676">
              <w:rPr>
                <w:rFonts w:cs="Times New Roman"/>
                <w:noProof/>
                <w:sz w:val="20"/>
                <w:szCs w:val="20"/>
                <w:lang w:val="en-GB"/>
              </w:rPr>
              <w:t xml:space="preserve"> </w:t>
            </w:r>
            <w:r w:rsidR="00357B9A">
              <w:rPr>
                <w:rFonts w:cs="Times New Roman"/>
                <w:noProof/>
                <w:sz w:val="20"/>
                <w:szCs w:val="20"/>
                <w:lang w:val="en-GB"/>
              </w:rPr>
              <w:t>S</w:t>
            </w:r>
            <w:r w:rsidR="004B1FDA" w:rsidRPr="00724676">
              <w:rPr>
                <w:rFonts w:cs="Times New Roman"/>
                <w:noProof/>
                <w:sz w:val="20"/>
                <w:szCs w:val="20"/>
                <w:lang w:val="en-GB"/>
              </w:rPr>
              <w:t xml:space="preserve">trategic </w:t>
            </w:r>
            <w:r w:rsidR="00357B9A">
              <w:rPr>
                <w:rFonts w:cs="Times New Roman"/>
                <w:noProof/>
                <w:sz w:val="20"/>
                <w:szCs w:val="20"/>
                <w:lang w:val="en-GB"/>
              </w:rPr>
              <w:t>P</w:t>
            </w:r>
            <w:r w:rsidR="004B1FDA" w:rsidRPr="00724676">
              <w:rPr>
                <w:rFonts w:cs="Times New Roman"/>
                <w:noProof/>
                <w:sz w:val="20"/>
                <w:szCs w:val="20"/>
                <w:lang w:val="en-GB"/>
              </w:rPr>
              <w:t>lan</w:t>
            </w:r>
          </w:p>
        </w:tc>
      </w:tr>
      <w:tr w:rsidR="004B1FDA" w:rsidRPr="00807559" w14:paraId="1FBEC2F8" w14:textId="77777777" w:rsidTr="00176AD7">
        <w:tc>
          <w:tcPr>
            <w:tcW w:w="1980" w:type="dxa"/>
            <w:vAlign w:val="center"/>
          </w:tcPr>
          <w:p w14:paraId="102D2708" w14:textId="199E990A" w:rsidR="004B1FDA" w:rsidRPr="00724676" w:rsidRDefault="004E2E50" w:rsidP="0099203D">
            <w:pPr>
              <w:spacing w:before="20" w:after="20" w:line="259" w:lineRule="auto"/>
              <w:rPr>
                <w:rFonts w:cs="Times New Roman"/>
                <w:noProof/>
                <w:sz w:val="20"/>
                <w:szCs w:val="20"/>
                <w:lang w:val="en-GB"/>
              </w:rPr>
            </w:pPr>
            <w:r w:rsidRPr="00724676">
              <w:rPr>
                <w:rFonts w:cs="Times New Roman"/>
                <w:noProof/>
                <w:sz w:val="20"/>
                <w:szCs w:val="20"/>
                <w:lang w:val="en-GB"/>
              </w:rPr>
              <w:t>CSP Regulation</w:t>
            </w:r>
          </w:p>
        </w:tc>
        <w:tc>
          <w:tcPr>
            <w:tcW w:w="7036" w:type="dxa"/>
            <w:vAlign w:val="center"/>
          </w:tcPr>
          <w:p w14:paraId="2F3F0565" w14:textId="548960B6" w:rsidR="004B1FDA" w:rsidRPr="00724676" w:rsidRDefault="004E2E50"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CAP </w:t>
            </w:r>
            <w:r w:rsidR="00357B9A">
              <w:rPr>
                <w:rFonts w:cs="Times New Roman"/>
                <w:noProof/>
                <w:sz w:val="20"/>
                <w:szCs w:val="20"/>
                <w:lang w:val="en-GB"/>
              </w:rPr>
              <w:t>S</w:t>
            </w:r>
            <w:r w:rsidRPr="00724676">
              <w:rPr>
                <w:rFonts w:cs="Times New Roman"/>
                <w:noProof/>
                <w:sz w:val="20"/>
                <w:szCs w:val="20"/>
                <w:lang w:val="en-GB"/>
              </w:rPr>
              <w:t xml:space="preserve">trategic </w:t>
            </w:r>
            <w:r w:rsidR="00357B9A">
              <w:rPr>
                <w:rFonts w:cs="Times New Roman"/>
                <w:noProof/>
                <w:sz w:val="20"/>
                <w:szCs w:val="20"/>
                <w:lang w:val="en-GB"/>
              </w:rPr>
              <w:t>P</w:t>
            </w:r>
            <w:r w:rsidRPr="00724676">
              <w:rPr>
                <w:rFonts w:cs="Times New Roman"/>
                <w:noProof/>
                <w:sz w:val="20"/>
                <w:szCs w:val="20"/>
                <w:lang w:val="en-GB"/>
              </w:rPr>
              <w:t xml:space="preserve">lan Regulation </w:t>
            </w:r>
            <w:r w:rsidR="009E0C1B" w:rsidRPr="00724676">
              <w:rPr>
                <w:rFonts w:cs="Times New Roman"/>
                <w:noProof/>
                <w:sz w:val="20"/>
                <w:szCs w:val="20"/>
                <w:lang w:val="en-GB"/>
              </w:rPr>
              <w:t>(Regulation (EU) 2021/2115)</w:t>
            </w:r>
          </w:p>
        </w:tc>
      </w:tr>
      <w:tr w:rsidR="004177B2" w:rsidRPr="00807559" w14:paraId="1C91C25B" w14:textId="77777777" w:rsidTr="00176AD7">
        <w:tc>
          <w:tcPr>
            <w:tcW w:w="1980" w:type="dxa"/>
            <w:vAlign w:val="center"/>
          </w:tcPr>
          <w:p w14:paraId="16D6EAF9" w14:textId="04AD42E9" w:rsidR="004177B2" w:rsidRPr="00724676" w:rsidRDefault="004177B2" w:rsidP="0099203D">
            <w:pPr>
              <w:spacing w:before="20" w:after="20"/>
              <w:rPr>
                <w:rFonts w:cs="Times New Roman"/>
                <w:noProof/>
                <w:sz w:val="20"/>
                <w:szCs w:val="20"/>
                <w:lang w:val="en-GB"/>
              </w:rPr>
            </w:pPr>
            <w:r>
              <w:rPr>
                <w:rFonts w:cs="Times New Roman"/>
                <w:noProof/>
                <w:sz w:val="20"/>
                <w:szCs w:val="20"/>
                <w:lang w:val="en-GB"/>
              </w:rPr>
              <w:t>DG AGRI</w:t>
            </w:r>
          </w:p>
        </w:tc>
        <w:tc>
          <w:tcPr>
            <w:tcW w:w="7036" w:type="dxa"/>
            <w:vAlign w:val="center"/>
          </w:tcPr>
          <w:p w14:paraId="4E012268" w14:textId="1396A567" w:rsidR="004177B2" w:rsidRPr="00724676" w:rsidRDefault="009E0F0D" w:rsidP="0099203D">
            <w:pPr>
              <w:spacing w:before="20" w:after="20"/>
              <w:rPr>
                <w:rFonts w:cs="Times New Roman"/>
                <w:noProof/>
                <w:sz w:val="20"/>
                <w:szCs w:val="20"/>
                <w:lang w:val="en-GB"/>
              </w:rPr>
            </w:pPr>
            <w:r w:rsidRPr="009E0F0D">
              <w:rPr>
                <w:rFonts w:cs="Times New Roman"/>
                <w:noProof/>
                <w:sz w:val="20"/>
                <w:szCs w:val="20"/>
                <w:lang w:val="en-GB"/>
              </w:rPr>
              <w:t>Directorate-General for Agriculture and Rural Development</w:t>
            </w:r>
          </w:p>
        </w:tc>
      </w:tr>
      <w:tr w:rsidR="00CF0113" w:rsidRPr="00807559" w14:paraId="052DC20E" w14:textId="77777777" w:rsidTr="00176AD7">
        <w:tc>
          <w:tcPr>
            <w:tcW w:w="1980" w:type="dxa"/>
            <w:vAlign w:val="center"/>
          </w:tcPr>
          <w:p w14:paraId="77CF80AE" w14:textId="2FF323DB" w:rsidR="00CF0113" w:rsidRPr="00724676" w:rsidRDefault="0079134C" w:rsidP="0099203D">
            <w:pPr>
              <w:spacing w:before="20" w:after="20" w:line="259" w:lineRule="auto"/>
              <w:rPr>
                <w:rFonts w:cs="Times New Roman"/>
                <w:noProof/>
                <w:sz w:val="20"/>
                <w:szCs w:val="20"/>
                <w:lang w:val="en-GB"/>
              </w:rPr>
            </w:pPr>
            <w:r w:rsidRPr="00724676">
              <w:rPr>
                <w:rFonts w:cs="Times New Roman"/>
                <w:noProof/>
                <w:sz w:val="20"/>
                <w:szCs w:val="20"/>
                <w:lang w:val="en-GB"/>
              </w:rPr>
              <w:t>EAGF</w:t>
            </w:r>
          </w:p>
        </w:tc>
        <w:tc>
          <w:tcPr>
            <w:tcW w:w="7036" w:type="dxa"/>
            <w:vAlign w:val="center"/>
          </w:tcPr>
          <w:p w14:paraId="6E887CEF" w14:textId="722ABC1F" w:rsidR="00CF0113" w:rsidRPr="00724676" w:rsidRDefault="61C7FED3" w:rsidP="0099203D">
            <w:pPr>
              <w:spacing w:before="20" w:after="20" w:line="259" w:lineRule="auto"/>
              <w:rPr>
                <w:rFonts w:cs="Times New Roman"/>
                <w:noProof/>
                <w:sz w:val="20"/>
                <w:szCs w:val="20"/>
                <w:lang w:val="en-GB"/>
              </w:rPr>
            </w:pPr>
            <w:r w:rsidRPr="10339F63">
              <w:rPr>
                <w:rFonts w:cs="Times New Roman"/>
                <w:noProof/>
                <w:sz w:val="20"/>
                <w:szCs w:val="20"/>
                <w:lang w:val="en-GB"/>
              </w:rPr>
              <w:t>European Agricultural Guarantee Fund</w:t>
            </w:r>
          </w:p>
        </w:tc>
      </w:tr>
      <w:tr w:rsidR="00C7522C" w:rsidRPr="00807559" w14:paraId="01375CEE" w14:textId="77777777" w:rsidTr="00176AD7">
        <w:tc>
          <w:tcPr>
            <w:tcW w:w="1980" w:type="dxa"/>
            <w:vAlign w:val="center"/>
          </w:tcPr>
          <w:p w14:paraId="7645DD51" w14:textId="46E501C8" w:rsidR="00C7522C" w:rsidRPr="00724676" w:rsidRDefault="00C7522C" w:rsidP="0099203D">
            <w:pPr>
              <w:spacing w:before="20" w:after="20" w:line="259" w:lineRule="auto"/>
              <w:rPr>
                <w:rFonts w:cs="Times New Roman"/>
                <w:noProof/>
                <w:sz w:val="20"/>
                <w:szCs w:val="20"/>
                <w:lang w:val="en-GB"/>
              </w:rPr>
            </w:pPr>
            <w:r w:rsidRPr="00724676">
              <w:rPr>
                <w:rFonts w:cs="Times New Roman"/>
                <w:noProof/>
                <w:sz w:val="20"/>
                <w:szCs w:val="20"/>
                <w:lang w:val="en-GB"/>
              </w:rPr>
              <w:t>EAFRD</w:t>
            </w:r>
          </w:p>
        </w:tc>
        <w:tc>
          <w:tcPr>
            <w:tcW w:w="7036" w:type="dxa"/>
            <w:vAlign w:val="center"/>
          </w:tcPr>
          <w:p w14:paraId="71486429" w14:textId="67FC5345" w:rsidR="00C7522C" w:rsidRPr="00724676" w:rsidRDefault="001E4292" w:rsidP="0099203D">
            <w:pPr>
              <w:spacing w:before="20" w:after="20" w:line="259" w:lineRule="auto"/>
              <w:rPr>
                <w:rFonts w:cs="Times New Roman"/>
                <w:noProof/>
                <w:sz w:val="20"/>
                <w:szCs w:val="20"/>
                <w:lang w:val="en-GB"/>
              </w:rPr>
            </w:pPr>
            <w:r w:rsidRPr="00724676">
              <w:rPr>
                <w:rFonts w:cs="Times New Roman"/>
                <w:noProof/>
                <w:sz w:val="20"/>
                <w:szCs w:val="20"/>
                <w:lang w:val="en-GB"/>
              </w:rPr>
              <w:t>European Agricultural Fund for Rural Development</w:t>
            </w:r>
          </w:p>
        </w:tc>
      </w:tr>
      <w:tr w:rsidR="003B314A" w:rsidRPr="00807559" w14:paraId="214A96E6" w14:textId="77777777" w:rsidTr="00176AD7">
        <w:tc>
          <w:tcPr>
            <w:tcW w:w="1980" w:type="dxa"/>
            <w:vAlign w:val="center"/>
          </w:tcPr>
          <w:p w14:paraId="2241925C" w14:textId="29BD32BC" w:rsidR="003B314A" w:rsidRPr="00724676" w:rsidRDefault="003B314A" w:rsidP="0099203D">
            <w:pPr>
              <w:spacing w:before="20" w:after="20"/>
              <w:rPr>
                <w:rFonts w:cs="Times New Roman"/>
                <w:noProof/>
                <w:sz w:val="20"/>
                <w:szCs w:val="20"/>
                <w:lang w:val="en-GB"/>
              </w:rPr>
            </w:pPr>
            <w:r w:rsidRPr="00724676">
              <w:rPr>
                <w:rFonts w:cs="Times New Roman"/>
                <w:noProof/>
                <w:sz w:val="20"/>
                <w:szCs w:val="20"/>
                <w:lang w:val="en-GB"/>
              </w:rPr>
              <w:t>ECVC</w:t>
            </w:r>
          </w:p>
        </w:tc>
        <w:tc>
          <w:tcPr>
            <w:tcW w:w="7036" w:type="dxa"/>
            <w:vAlign w:val="center"/>
          </w:tcPr>
          <w:p w14:paraId="489899A1" w14:textId="5A91BF9B" w:rsidR="003B314A" w:rsidRPr="00724676" w:rsidRDefault="003B314A" w:rsidP="0099203D">
            <w:pPr>
              <w:spacing w:before="20" w:after="20"/>
              <w:rPr>
                <w:rFonts w:cs="Times New Roman"/>
                <w:noProof/>
                <w:sz w:val="20"/>
                <w:szCs w:val="20"/>
                <w:lang w:val="en-GB"/>
              </w:rPr>
            </w:pPr>
            <w:r w:rsidRPr="00724676">
              <w:rPr>
                <w:rFonts w:cs="Times New Roman"/>
                <w:noProof/>
                <w:sz w:val="20"/>
                <w:szCs w:val="20"/>
                <w:lang w:val="en-GB"/>
              </w:rPr>
              <w:t xml:space="preserve">European Coordination Via </w:t>
            </w:r>
            <w:r w:rsidR="00C95D97" w:rsidRPr="00724676">
              <w:rPr>
                <w:rFonts w:cs="Times New Roman"/>
                <w:noProof/>
                <w:sz w:val="20"/>
                <w:szCs w:val="20"/>
                <w:lang w:val="en-GB"/>
              </w:rPr>
              <w:t>Campesina</w:t>
            </w:r>
          </w:p>
        </w:tc>
      </w:tr>
      <w:tr w:rsidR="005A75FF" w:rsidRPr="00807559" w14:paraId="72E02A03" w14:textId="77777777" w:rsidTr="00176AD7">
        <w:tc>
          <w:tcPr>
            <w:tcW w:w="1980" w:type="dxa"/>
            <w:vAlign w:val="center"/>
          </w:tcPr>
          <w:p w14:paraId="62021635" w14:textId="3643C15D" w:rsidR="005A75FF" w:rsidRPr="00724676" w:rsidRDefault="00DB7A5A" w:rsidP="0099203D">
            <w:pPr>
              <w:spacing w:before="20" w:after="20" w:line="259" w:lineRule="auto"/>
              <w:rPr>
                <w:rFonts w:cs="Times New Roman"/>
                <w:noProof/>
                <w:sz w:val="20"/>
                <w:szCs w:val="20"/>
                <w:lang w:val="en-GB"/>
              </w:rPr>
            </w:pPr>
            <w:r w:rsidRPr="00724676">
              <w:rPr>
                <w:rFonts w:cs="Times New Roman"/>
                <w:noProof/>
                <w:sz w:val="20"/>
                <w:szCs w:val="20"/>
                <w:lang w:val="en-GB"/>
              </w:rPr>
              <w:t>EFA</w:t>
            </w:r>
          </w:p>
        </w:tc>
        <w:tc>
          <w:tcPr>
            <w:tcW w:w="7036" w:type="dxa"/>
            <w:vAlign w:val="center"/>
          </w:tcPr>
          <w:p w14:paraId="051ADEC0" w14:textId="5D373C57" w:rsidR="005A75FF" w:rsidRPr="00724676" w:rsidRDefault="00DB7A5A"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Ecological </w:t>
            </w:r>
            <w:r w:rsidR="003351F0">
              <w:rPr>
                <w:rFonts w:cs="Times New Roman"/>
                <w:noProof/>
                <w:sz w:val="20"/>
                <w:szCs w:val="20"/>
                <w:lang w:val="en-GB"/>
              </w:rPr>
              <w:t>f</w:t>
            </w:r>
            <w:r w:rsidRPr="00724676">
              <w:rPr>
                <w:rFonts w:cs="Times New Roman"/>
                <w:noProof/>
                <w:sz w:val="20"/>
                <w:szCs w:val="20"/>
                <w:lang w:val="en-GB"/>
              </w:rPr>
              <w:t xml:space="preserve">ocus </w:t>
            </w:r>
            <w:r w:rsidR="003351F0">
              <w:rPr>
                <w:rFonts w:cs="Times New Roman"/>
                <w:noProof/>
                <w:sz w:val="20"/>
                <w:szCs w:val="20"/>
                <w:lang w:val="en-GB"/>
              </w:rPr>
              <w:t>a</w:t>
            </w:r>
            <w:r w:rsidRPr="00724676">
              <w:rPr>
                <w:rFonts w:cs="Times New Roman"/>
                <w:noProof/>
                <w:sz w:val="20"/>
                <w:szCs w:val="20"/>
                <w:lang w:val="en-GB"/>
              </w:rPr>
              <w:t>rea</w:t>
            </w:r>
          </w:p>
        </w:tc>
      </w:tr>
      <w:tr w:rsidR="10339F63" w14:paraId="3B0EA23B" w14:textId="77777777" w:rsidTr="00176AD7">
        <w:trPr>
          <w:trHeight w:val="300"/>
        </w:trPr>
        <w:tc>
          <w:tcPr>
            <w:tcW w:w="1980" w:type="dxa"/>
            <w:vAlign w:val="center"/>
          </w:tcPr>
          <w:p w14:paraId="28A5F04E" w14:textId="2D597517" w:rsidR="2E01D075" w:rsidRDefault="2E01D075" w:rsidP="0099203D">
            <w:pPr>
              <w:spacing w:before="20" w:after="20" w:line="259" w:lineRule="auto"/>
              <w:rPr>
                <w:rFonts w:cs="Times New Roman"/>
                <w:noProof/>
                <w:sz w:val="20"/>
                <w:szCs w:val="20"/>
                <w:lang w:val="en-GB"/>
              </w:rPr>
            </w:pPr>
            <w:r w:rsidRPr="10339F63">
              <w:rPr>
                <w:rFonts w:cs="Times New Roman"/>
                <w:noProof/>
                <w:sz w:val="20"/>
                <w:szCs w:val="20"/>
                <w:lang w:val="en-GB"/>
              </w:rPr>
              <w:t>EFSA</w:t>
            </w:r>
          </w:p>
        </w:tc>
        <w:tc>
          <w:tcPr>
            <w:tcW w:w="7036" w:type="dxa"/>
            <w:vAlign w:val="center"/>
          </w:tcPr>
          <w:p w14:paraId="6A7D28B3" w14:textId="47519FDA" w:rsidR="2E01D075" w:rsidRDefault="2E01D075" w:rsidP="0099203D">
            <w:pPr>
              <w:spacing w:before="20" w:after="20" w:line="259" w:lineRule="auto"/>
              <w:rPr>
                <w:rFonts w:cs="Times New Roman"/>
                <w:noProof/>
                <w:sz w:val="20"/>
                <w:szCs w:val="20"/>
                <w:lang w:val="en-GB"/>
              </w:rPr>
            </w:pPr>
            <w:r w:rsidRPr="10339F63">
              <w:rPr>
                <w:rFonts w:cs="Times New Roman"/>
                <w:noProof/>
                <w:sz w:val="20"/>
                <w:szCs w:val="20"/>
                <w:lang w:val="en-GB"/>
              </w:rPr>
              <w:t>European Food Safety Authority</w:t>
            </w:r>
          </w:p>
        </w:tc>
      </w:tr>
      <w:tr w:rsidR="003A7971" w:rsidRPr="00807559" w14:paraId="0E0DFE60" w14:textId="77777777" w:rsidTr="00176AD7">
        <w:tc>
          <w:tcPr>
            <w:tcW w:w="1980" w:type="dxa"/>
            <w:vAlign w:val="center"/>
          </w:tcPr>
          <w:p w14:paraId="248287C7" w14:textId="461182D2" w:rsidR="003A7971" w:rsidRPr="00724676" w:rsidRDefault="003A7971" w:rsidP="0099203D">
            <w:pPr>
              <w:spacing w:before="20" w:after="20" w:line="259" w:lineRule="auto"/>
              <w:rPr>
                <w:rFonts w:cs="Times New Roman"/>
                <w:noProof/>
                <w:sz w:val="20"/>
                <w:szCs w:val="20"/>
                <w:lang w:val="en-GB"/>
              </w:rPr>
            </w:pPr>
            <w:r w:rsidRPr="00724676">
              <w:rPr>
                <w:rFonts w:cs="Times New Roman"/>
                <w:noProof/>
                <w:sz w:val="20"/>
                <w:szCs w:val="20"/>
                <w:lang w:val="en-GB"/>
              </w:rPr>
              <w:t>ESPG</w:t>
            </w:r>
          </w:p>
        </w:tc>
        <w:tc>
          <w:tcPr>
            <w:tcW w:w="7036" w:type="dxa"/>
            <w:vAlign w:val="center"/>
          </w:tcPr>
          <w:p w14:paraId="3E9FA872" w14:textId="41B3C1C5" w:rsidR="003A7971" w:rsidRPr="00724676" w:rsidRDefault="003A7971"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Environmentally </w:t>
            </w:r>
            <w:r w:rsidR="003351F0">
              <w:rPr>
                <w:rFonts w:cs="Times New Roman"/>
                <w:noProof/>
                <w:sz w:val="20"/>
                <w:szCs w:val="20"/>
                <w:lang w:val="en-GB"/>
              </w:rPr>
              <w:t>s</w:t>
            </w:r>
            <w:r w:rsidRPr="00724676">
              <w:rPr>
                <w:rFonts w:cs="Times New Roman"/>
                <w:noProof/>
                <w:sz w:val="20"/>
                <w:szCs w:val="20"/>
                <w:lang w:val="en-GB"/>
              </w:rPr>
              <w:t xml:space="preserve">ensitive </w:t>
            </w:r>
            <w:r w:rsidR="003351F0">
              <w:rPr>
                <w:rFonts w:cs="Times New Roman"/>
                <w:noProof/>
                <w:sz w:val="20"/>
                <w:szCs w:val="20"/>
                <w:lang w:val="en-GB"/>
              </w:rPr>
              <w:t>p</w:t>
            </w:r>
            <w:r w:rsidRPr="00724676">
              <w:rPr>
                <w:rFonts w:cs="Times New Roman"/>
                <w:noProof/>
                <w:sz w:val="20"/>
                <w:szCs w:val="20"/>
                <w:lang w:val="en-GB"/>
              </w:rPr>
              <w:t xml:space="preserve">ermanent </w:t>
            </w:r>
            <w:r w:rsidR="003351F0">
              <w:rPr>
                <w:rFonts w:cs="Times New Roman"/>
                <w:noProof/>
                <w:sz w:val="20"/>
                <w:szCs w:val="20"/>
                <w:lang w:val="en-GB"/>
              </w:rPr>
              <w:t>g</w:t>
            </w:r>
            <w:r w:rsidRPr="00724676">
              <w:rPr>
                <w:rFonts w:cs="Times New Roman"/>
                <w:noProof/>
                <w:sz w:val="20"/>
                <w:szCs w:val="20"/>
                <w:lang w:val="en-GB"/>
              </w:rPr>
              <w:t>rassland</w:t>
            </w:r>
          </w:p>
        </w:tc>
      </w:tr>
      <w:tr w:rsidR="00694600" w:rsidRPr="00807559" w14:paraId="5ECA5C52" w14:textId="77777777" w:rsidTr="00176AD7">
        <w:tc>
          <w:tcPr>
            <w:tcW w:w="1980" w:type="dxa"/>
            <w:vAlign w:val="center"/>
          </w:tcPr>
          <w:p w14:paraId="772B24E9" w14:textId="4403BED9" w:rsidR="00694600" w:rsidRPr="00724676" w:rsidRDefault="00694600" w:rsidP="0099203D">
            <w:pPr>
              <w:spacing w:before="20" w:after="20" w:line="259" w:lineRule="auto"/>
              <w:rPr>
                <w:rFonts w:cs="Times New Roman"/>
                <w:noProof/>
                <w:sz w:val="20"/>
                <w:szCs w:val="20"/>
                <w:lang w:val="en-GB"/>
              </w:rPr>
            </w:pPr>
            <w:r w:rsidRPr="00724676">
              <w:rPr>
                <w:rFonts w:cs="Times New Roman"/>
                <w:noProof/>
                <w:sz w:val="20"/>
                <w:szCs w:val="20"/>
                <w:lang w:val="en-GB"/>
              </w:rPr>
              <w:t>FADN</w:t>
            </w:r>
          </w:p>
        </w:tc>
        <w:tc>
          <w:tcPr>
            <w:tcW w:w="7036" w:type="dxa"/>
            <w:vAlign w:val="center"/>
          </w:tcPr>
          <w:p w14:paraId="4D33FEFF" w14:textId="7166015B" w:rsidR="00694600" w:rsidRPr="00724676" w:rsidRDefault="008026AC"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Farm </w:t>
            </w:r>
            <w:r w:rsidR="003351F0">
              <w:rPr>
                <w:rFonts w:cs="Times New Roman"/>
                <w:noProof/>
                <w:sz w:val="20"/>
                <w:szCs w:val="20"/>
                <w:lang w:val="en-GB"/>
              </w:rPr>
              <w:t>a</w:t>
            </w:r>
            <w:r w:rsidRPr="00724676">
              <w:rPr>
                <w:rFonts w:cs="Times New Roman"/>
                <w:noProof/>
                <w:sz w:val="20"/>
                <w:szCs w:val="20"/>
                <w:lang w:val="en-GB"/>
              </w:rPr>
              <w:t xml:space="preserve">ccountancy </w:t>
            </w:r>
            <w:r w:rsidR="003351F0">
              <w:rPr>
                <w:rFonts w:cs="Times New Roman"/>
                <w:noProof/>
                <w:sz w:val="20"/>
                <w:szCs w:val="20"/>
                <w:lang w:val="en-GB"/>
              </w:rPr>
              <w:t>d</w:t>
            </w:r>
            <w:r w:rsidRPr="00724676">
              <w:rPr>
                <w:rFonts w:cs="Times New Roman"/>
                <w:noProof/>
                <w:sz w:val="20"/>
                <w:szCs w:val="20"/>
                <w:lang w:val="en-GB"/>
              </w:rPr>
              <w:t xml:space="preserve">ata </w:t>
            </w:r>
            <w:r w:rsidR="003351F0">
              <w:rPr>
                <w:rFonts w:cs="Times New Roman"/>
                <w:noProof/>
                <w:sz w:val="20"/>
                <w:szCs w:val="20"/>
                <w:lang w:val="en-GB"/>
              </w:rPr>
              <w:t>n</w:t>
            </w:r>
            <w:r w:rsidRPr="00724676">
              <w:rPr>
                <w:rFonts w:cs="Times New Roman"/>
                <w:noProof/>
                <w:sz w:val="20"/>
                <w:szCs w:val="20"/>
                <w:lang w:val="en-GB"/>
              </w:rPr>
              <w:t>etwork</w:t>
            </w:r>
          </w:p>
        </w:tc>
      </w:tr>
      <w:tr w:rsidR="00F80054" w:rsidRPr="00807559" w14:paraId="3A976B40" w14:textId="77777777" w:rsidTr="00176AD7">
        <w:tc>
          <w:tcPr>
            <w:tcW w:w="1980" w:type="dxa"/>
            <w:vAlign w:val="center"/>
          </w:tcPr>
          <w:p w14:paraId="51CCC822" w14:textId="7907CD71" w:rsidR="00F80054" w:rsidRPr="00724676" w:rsidRDefault="00F80054" w:rsidP="0099203D">
            <w:pPr>
              <w:spacing w:before="20" w:after="20" w:line="259" w:lineRule="auto"/>
              <w:rPr>
                <w:rFonts w:cs="Times New Roman"/>
                <w:noProof/>
                <w:sz w:val="20"/>
                <w:szCs w:val="20"/>
                <w:lang w:val="en-GB"/>
              </w:rPr>
            </w:pPr>
            <w:r w:rsidRPr="00724676">
              <w:rPr>
                <w:rFonts w:cs="Times New Roman"/>
                <w:noProof/>
                <w:sz w:val="20"/>
                <w:szCs w:val="20"/>
                <w:lang w:val="en-GB"/>
              </w:rPr>
              <w:t>GAEC</w:t>
            </w:r>
          </w:p>
        </w:tc>
        <w:tc>
          <w:tcPr>
            <w:tcW w:w="7036" w:type="dxa"/>
            <w:vAlign w:val="center"/>
          </w:tcPr>
          <w:p w14:paraId="3826910D" w14:textId="524CF584" w:rsidR="00F80054" w:rsidRPr="00724676" w:rsidRDefault="00935A3D"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Good </w:t>
            </w:r>
            <w:r w:rsidR="003351F0">
              <w:rPr>
                <w:rFonts w:cs="Times New Roman"/>
                <w:noProof/>
                <w:sz w:val="20"/>
                <w:szCs w:val="20"/>
                <w:lang w:val="en-GB"/>
              </w:rPr>
              <w:t>a</w:t>
            </w:r>
            <w:r w:rsidRPr="00724676">
              <w:rPr>
                <w:rFonts w:cs="Times New Roman"/>
                <w:noProof/>
                <w:sz w:val="20"/>
                <w:szCs w:val="20"/>
                <w:lang w:val="en-GB"/>
              </w:rPr>
              <w:t xml:space="preserve">gricultural and </w:t>
            </w:r>
            <w:r w:rsidR="003351F0">
              <w:rPr>
                <w:rFonts w:cs="Times New Roman"/>
                <w:noProof/>
                <w:sz w:val="20"/>
                <w:szCs w:val="20"/>
                <w:lang w:val="en-GB"/>
              </w:rPr>
              <w:t>e</w:t>
            </w:r>
            <w:r w:rsidRPr="00724676">
              <w:rPr>
                <w:rFonts w:cs="Times New Roman"/>
                <w:noProof/>
                <w:sz w:val="20"/>
                <w:szCs w:val="20"/>
                <w:lang w:val="en-GB"/>
              </w:rPr>
              <w:t xml:space="preserve">nvironmental </w:t>
            </w:r>
            <w:r w:rsidR="003351F0">
              <w:rPr>
                <w:rFonts w:cs="Times New Roman"/>
                <w:noProof/>
                <w:sz w:val="20"/>
                <w:szCs w:val="20"/>
                <w:lang w:val="en-GB"/>
              </w:rPr>
              <w:t>c</w:t>
            </w:r>
            <w:r w:rsidRPr="00724676">
              <w:rPr>
                <w:rFonts w:cs="Times New Roman"/>
                <w:noProof/>
                <w:sz w:val="20"/>
                <w:szCs w:val="20"/>
                <w:lang w:val="en-GB"/>
              </w:rPr>
              <w:t>ondition</w:t>
            </w:r>
          </w:p>
        </w:tc>
      </w:tr>
      <w:tr w:rsidR="002D1F82" w:rsidRPr="00807559" w14:paraId="2B009FA1" w14:textId="77777777" w:rsidTr="00176AD7">
        <w:tc>
          <w:tcPr>
            <w:tcW w:w="1980" w:type="dxa"/>
            <w:vAlign w:val="center"/>
          </w:tcPr>
          <w:p w14:paraId="2EB832AC" w14:textId="7F79D86E" w:rsidR="002D1F82" w:rsidRPr="00724676" w:rsidRDefault="002D1F82" w:rsidP="0099203D">
            <w:pPr>
              <w:spacing w:before="20" w:after="20"/>
              <w:rPr>
                <w:rFonts w:cs="Times New Roman"/>
                <w:noProof/>
                <w:sz w:val="20"/>
                <w:szCs w:val="20"/>
                <w:lang w:val="en-GB"/>
              </w:rPr>
            </w:pPr>
            <w:r w:rsidRPr="00724676">
              <w:rPr>
                <w:rFonts w:cs="Times New Roman"/>
                <w:noProof/>
                <w:sz w:val="20"/>
                <w:szCs w:val="20"/>
                <w:lang w:val="en-GB"/>
              </w:rPr>
              <w:t>GHG</w:t>
            </w:r>
            <w:r w:rsidR="000F3F5A" w:rsidRPr="00724676">
              <w:rPr>
                <w:rFonts w:cs="Times New Roman"/>
                <w:noProof/>
                <w:sz w:val="20"/>
                <w:szCs w:val="20"/>
                <w:lang w:val="en-GB"/>
              </w:rPr>
              <w:t xml:space="preserve"> emissions</w:t>
            </w:r>
          </w:p>
        </w:tc>
        <w:tc>
          <w:tcPr>
            <w:tcW w:w="7036" w:type="dxa"/>
            <w:vAlign w:val="center"/>
          </w:tcPr>
          <w:p w14:paraId="6B7CBA36" w14:textId="6D73BCB7" w:rsidR="002D1F82" w:rsidRPr="00724676" w:rsidRDefault="002D1F82" w:rsidP="0099203D">
            <w:pPr>
              <w:spacing w:before="20" w:after="20"/>
              <w:rPr>
                <w:rFonts w:cs="Times New Roman"/>
                <w:noProof/>
                <w:sz w:val="20"/>
                <w:szCs w:val="20"/>
                <w:lang w:val="en-GB"/>
              </w:rPr>
            </w:pPr>
            <w:r w:rsidRPr="00724676">
              <w:rPr>
                <w:rFonts w:cs="Times New Roman"/>
                <w:noProof/>
                <w:sz w:val="20"/>
                <w:szCs w:val="20"/>
                <w:lang w:val="en-GB"/>
              </w:rPr>
              <w:t xml:space="preserve">Greenhouse </w:t>
            </w:r>
            <w:r w:rsidR="00092F66">
              <w:rPr>
                <w:rFonts w:cs="Times New Roman"/>
                <w:noProof/>
                <w:sz w:val="20"/>
                <w:szCs w:val="20"/>
                <w:lang w:val="en-GB"/>
              </w:rPr>
              <w:t>g</w:t>
            </w:r>
            <w:r w:rsidRPr="00724676">
              <w:rPr>
                <w:rFonts w:cs="Times New Roman"/>
                <w:noProof/>
                <w:sz w:val="20"/>
                <w:szCs w:val="20"/>
                <w:lang w:val="en-GB"/>
              </w:rPr>
              <w:t>as</w:t>
            </w:r>
            <w:r w:rsidR="000F3F5A" w:rsidRPr="00724676">
              <w:rPr>
                <w:rFonts w:cs="Times New Roman"/>
                <w:noProof/>
                <w:sz w:val="20"/>
                <w:szCs w:val="20"/>
                <w:lang w:val="en-GB"/>
              </w:rPr>
              <w:t xml:space="preserve"> emissions</w:t>
            </w:r>
          </w:p>
        </w:tc>
      </w:tr>
      <w:tr w:rsidR="002E2837" w:rsidRPr="00807559" w14:paraId="587B970A" w14:textId="77777777" w:rsidTr="00176AD7">
        <w:tc>
          <w:tcPr>
            <w:tcW w:w="1980" w:type="dxa"/>
            <w:vAlign w:val="center"/>
          </w:tcPr>
          <w:p w14:paraId="313261D7" w14:textId="4A9CC9E5" w:rsidR="002E2837" w:rsidRPr="00724676" w:rsidRDefault="002E2837" w:rsidP="0099203D">
            <w:pPr>
              <w:spacing w:before="20" w:after="20" w:line="259" w:lineRule="auto"/>
              <w:rPr>
                <w:rFonts w:cs="Times New Roman"/>
                <w:noProof/>
                <w:sz w:val="20"/>
                <w:szCs w:val="20"/>
                <w:lang w:val="en-GB"/>
              </w:rPr>
            </w:pPr>
            <w:r w:rsidRPr="00724676">
              <w:rPr>
                <w:rFonts w:cs="Times New Roman"/>
                <w:noProof/>
                <w:sz w:val="20"/>
                <w:szCs w:val="20"/>
                <w:lang w:val="en-GB"/>
              </w:rPr>
              <w:t>GSA</w:t>
            </w:r>
          </w:p>
        </w:tc>
        <w:tc>
          <w:tcPr>
            <w:tcW w:w="7036" w:type="dxa"/>
            <w:vAlign w:val="center"/>
          </w:tcPr>
          <w:p w14:paraId="74E035C4" w14:textId="28272CA5" w:rsidR="002E2837" w:rsidRPr="00724676" w:rsidRDefault="00A85D1E" w:rsidP="0099203D">
            <w:pPr>
              <w:spacing w:before="20" w:after="20" w:line="259" w:lineRule="auto"/>
              <w:rPr>
                <w:rFonts w:cs="Times New Roman"/>
                <w:noProof/>
                <w:sz w:val="20"/>
                <w:szCs w:val="20"/>
                <w:lang w:val="en-GB"/>
              </w:rPr>
            </w:pPr>
            <w:r>
              <w:rPr>
                <w:rFonts w:cs="Times New Roman"/>
                <w:noProof/>
                <w:sz w:val="20"/>
                <w:szCs w:val="20"/>
                <w:lang w:val="en-GB"/>
              </w:rPr>
              <w:t>G</w:t>
            </w:r>
            <w:r w:rsidR="005E0558">
              <w:rPr>
                <w:rFonts w:cs="Times New Roman"/>
                <w:noProof/>
                <w:sz w:val="20"/>
                <w:szCs w:val="20"/>
                <w:lang w:val="en-GB"/>
              </w:rPr>
              <w:t>eo</w:t>
            </w:r>
            <w:r w:rsidR="00F43C13">
              <w:rPr>
                <w:rFonts w:cs="Times New Roman"/>
                <w:noProof/>
                <w:sz w:val="20"/>
                <w:szCs w:val="20"/>
                <w:lang w:val="en-GB"/>
              </w:rPr>
              <w:t>-</w:t>
            </w:r>
            <w:r w:rsidR="005E0558">
              <w:rPr>
                <w:rFonts w:cs="Times New Roman"/>
                <w:noProof/>
                <w:sz w:val="20"/>
                <w:szCs w:val="20"/>
                <w:lang w:val="en-GB"/>
              </w:rPr>
              <w:t>spatial</w:t>
            </w:r>
            <w:r w:rsidR="002E2837" w:rsidRPr="00724676">
              <w:rPr>
                <w:rFonts w:cs="Times New Roman"/>
                <w:noProof/>
                <w:sz w:val="20"/>
                <w:szCs w:val="20"/>
                <w:lang w:val="en-GB"/>
              </w:rPr>
              <w:t xml:space="preserve"> </w:t>
            </w:r>
            <w:r w:rsidR="00092F66">
              <w:rPr>
                <w:rFonts w:cs="Times New Roman"/>
                <w:noProof/>
                <w:sz w:val="20"/>
                <w:szCs w:val="20"/>
                <w:lang w:val="en-GB"/>
              </w:rPr>
              <w:t>a</w:t>
            </w:r>
            <w:r w:rsidR="002E2837" w:rsidRPr="00724676">
              <w:rPr>
                <w:rFonts w:cs="Times New Roman"/>
                <w:noProof/>
                <w:sz w:val="20"/>
                <w:szCs w:val="20"/>
                <w:lang w:val="en-GB"/>
              </w:rPr>
              <w:t>pplication</w:t>
            </w:r>
          </w:p>
        </w:tc>
      </w:tr>
      <w:tr w:rsidR="004E2E50" w:rsidRPr="00807559" w14:paraId="4BB5ABEB" w14:textId="77777777" w:rsidTr="00176AD7">
        <w:tc>
          <w:tcPr>
            <w:tcW w:w="1980" w:type="dxa"/>
            <w:vAlign w:val="center"/>
          </w:tcPr>
          <w:p w14:paraId="6B8747D0" w14:textId="4D9F4E58" w:rsidR="004E2E50" w:rsidRPr="00724676" w:rsidRDefault="004E2E50" w:rsidP="0099203D">
            <w:pPr>
              <w:spacing w:before="20" w:after="20" w:line="259" w:lineRule="auto"/>
              <w:rPr>
                <w:rFonts w:cs="Times New Roman"/>
                <w:noProof/>
                <w:sz w:val="20"/>
                <w:szCs w:val="20"/>
                <w:lang w:val="en-GB"/>
              </w:rPr>
            </w:pPr>
            <w:r w:rsidRPr="00724676">
              <w:rPr>
                <w:rFonts w:cs="Times New Roman"/>
                <w:noProof/>
                <w:sz w:val="20"/>
                <w:szCs w:val="20"/>
                <w:lang w:val="en-GB"/>
              </w:rPr>
              <w:t>Horizontal Regulation</w:t>
            </w:r>
            <w:r w:rsidR="00EC273D" w:rsidRPr="00724676">
              <w:rPr>
                <w:rFonts w:cs="Times New Roman"/>
                <w:noProof/>
                <w:sz w:val="20"/>
                <w:szCs w:val="20"/>
                <w:lang w:val="en-GB"/>
              </w:rPr>
              <w:t xml:space="preserve"> </w:t>
            </w:r>
          </w:p>
        </w:tc>
        <w:tc>
          <w:tcPr>
            <w:tcW w:w="7036" w:type="dxa"/>
            <w:vAlign w:val="center"/>
          </w:tcPr>
          <w:p w14:paraId="3FDAE5FB" w14:textId="79C109B9" w:rsidR="004E2E50" w:rsidRPr="00724676" w:rsidRDefault="007F05C5"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Regulation on the financing, management and monitoring of </w:t>
            </w:r>
            <w:r w:rsidRPr="005E0558">
              <w:rPr>
                <w:rFonts w:cs="Times New Roman"/>
                <w:noProof/>
                <w:sz w:val="20"/>
                <w:szCs w:val="20"/>
                <w:lang w:val="en-GB"/>
              </w:rPr>
              <w:t>the common agricultural policy</w:t>
            </w:r>
            <w:r w:rsidR="0079702A" w:rsidRPr="005E0558">
              <w:rPr>
                <w:rFonts w:cs="Times New Roman"/>
                <w:noProof/>
                <w:sz w:val="20"/>
                <w:szCs w:val="20"/>
                <w:lang w:val="en-GB"/>
              </w:rPr>
              <w:t xml:space="preserve"> (Regulation (EU) 2021/2116)</w:t>
            </w:r>
          </w:p>
        </w:tc>
      </w:tr>
      <w:tr w:rsidR="00B512CB" w:rsidRPr="00807559" w14:paraId="02B45DBA" w14:textId="77777777" w:rsidTr="00176AD7">
        <w:tc>
          <w:tcPr>
            <w:tcW w:w="1980" w:type="dxa"/>
            <w:vAlign w:val="center"/>
          </w:tcPr>
          <w:p w14:paraId="7E799D29" w14:textId="2C353E7D" w:rsidR="00B512CB" w:rsidRPr="00724676" w:rsidRDefault="00B27148" w:rsidP="0099203D">
            <w:pPr>
              <w:spacing w:before="20" w:after="20" w:line="259" w:lineRule="auto"/>
              <w:rPr>
                <w:rFonts w:cs="Times New Roman"/>
                <w:noProof/>
                <w:sz w:val="20"/>
                <w:szCs w:val="20"/>
                <w:lang w:val="en-GB"/>
              </w:rPr>
            </w:pPr>
            <w:r w:rsidRPr="00724676">
              <w:rPr>
                <w:rFonts w:cs="Times New Roman"/>
                <w:noProof/>
                <w:sz w:val="20"/>
                <w:szCs w:val="20"/>
                <w:lang w:val="en-GB"/>
              </w:rPr>
              <w:t>IACS</w:t>
            </w:r>
          </w:p>
        </w:tc>
        <w:tc>
          <w:tcPr>
            <w:tcW w:w="7036" w:type="dxa"/>
            <w:vAlign w:val="center"/>
          </w:tcPr>
          <w:p w14:paraId="1A8F336B" w14:textId="115EC86E" w:rsidR="00B512CB" w:rsidRPr="00724676" w:rsidRDefault="00B27148"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Integrated </w:t>
            </w:r>
            <w:r w:rsidR="00092F66">
              <w:rPr>
                <w:rFonts w:cs="Times New Roman"/>
                <w:noProof/>
                <w:sz w:val="20"/>
                <w:szCs w:val="20"/>
                <w:lang w:val="en-GB"/>
              </w:rPr>
              <w:t>a</w:t>
            </w:r>
            <w:r w:rsidRPr="00724676">
              <w:rPr>
                <w:rFonts w:cs="Times New Roman"/>
                <w:noProof/>
                <w:sz w:val="20"/>
                <w:szCs w:val="20"/>
                <w:lang w:val="en-GB"/>
              </w:rPr>
              <w:t xml:space="preserve">dministration and </w:t>
            </w:r>
            <w:r w:rsidR="00092F66">
              <w:rPr>
                <w:rFonts w:cs="Times New Roman"/>
                <w:noProof/>
                <w:sz w:val="20"/>
                <w:szCs w:val="20"/>
                <w:lang w:val="en-GB"/>
              </w:rPr>
              <w:t>c</w:t>
            </w:r>
            <w:r w:rsidRPr="00724676">
              <w:rPr>
                <w:rFonts w:cs="Times New Roman"/>
                <w:noProof/>
                <w:sz w:val="20"/>
                <w:szCs w:val="20"/>
                <w:lang w:val="en-GB"/>
              </w:rPr>
              <w:t xml:space="preserve">ontrol </w:t>
            </w:r>
            <w:r w:rsidR="00092F66">
              <w:rPr>
                <w:rFonts w:cs="Times New Roman"/>
                <w:noProof/>
                <w:sz w:val="20"/>
                <w:szCs w:val="20"/>
                <w:lang w:val="en-GB"/>
              </w:rPr>
              <w:t>s</w:t>
            </w:r>
            <w:r w:rsidRPr="00724676">
              <w:rPr>
                <w:rFonts w:cs="Times New Roman"/>
                <w:noProof/>
                <w:sz w:val="20"/>
                <w:szCs w:val="20"/>
                <w:lang w:val="en-GB"/>
              </w:rPr>
              <w:t>ystem</w:t>
            </w:r>
          </w:p>
        </w:tc>
      </w:tr>
      <w:tr w:rsidR="00D5594C" w:rsidRPr="00807559" w14:paraId="2C69B7E1" w14:textId="77777777" w:rsidTr="00176AD7">
        <w:tc>
          <w:tcPr>
            <w:tcW w:w="1980" w:type="dxa"/>
            <w:vAlign w:val="center"/>
          </w:tcPr>
          <w:p w14:paraId="59DC1B75" w14:textId="139BF943" w:rsidR="00D5594C" w:rsidRPr="00724676" w:rsidRDefault="00D5594C" w:rsidP="0099203D">
            <w:pPr>
              <w:spacing w:before="20" w:after="20" w:line="259" w:lineRule="auto"/>
              <w:rPr>
                <w:rFonts w:cs="Times New Roman"/>
                <w:noProof/>
                <w:sz w:val="20"/>
                <w:szCs w:val="20"/>
                <w:lang w:val="en-GB"/>
              </w:rPr>
            </w:pPr>
            <w:r w:rsidRPr="00724676">
              <w:rPr>
                <w:rFonts w:cs="Times New Roman"/>
                <w:noProof/>
                <w:sz w:val="20"/>
                <w:szCs w:val="20"/>
                <w:lang w:val="en-GB"/>
              </w:rPr>
              <w:t>IFM-CAP</w:t>
            </w:r>
          </w:p>
        </w:tc>
        <w:tc>
          <w:tcPr>
            <w:tcW w:w="7036" w:type="dxa"/>
            <w:vAlign w:val="center"/>
          </w:tcPr>
          <w:p w14:paraId="6C163E87" w14:textId="050FF551" w:rsidR="00D5594C" w:rsidRPr="00724676" w:rsidRDefault="00FF05B2"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Individual </w:t>
            </w:r>
            <w:r w:rsidR="00092F66">
              <w:rPr>
                <w:rFonts w:cs="Times New Roman"/>
                <w:noProof/>
                <w:sz w:val="20"/>
                <w:szCs w:val="20"/>
                <w:lang w:val="en-GB"/>
              </w:rPr>
              <w:t>f</w:t>
            </w:r>
            <w:r w:rsidRPr="00724676">
              <w:rPr>
                <w:rFonts w:cs="Times New Roman"/>
                <w:noProof/>
                <w:sz w:val="20"/>
                <w:szCs w:val="20"/>
                <w:lang w:val="en-GB"/>
              </w:rPr>
              <w:t xml:space="preserve">arm </w:t>
            </w:r>
            <w:r w:rsidR="00092F66">
              <w:rPr>
                <w:rFonts w:cs="Times New Roman"/>
                <w:noProof/>
                <w:sz w:val="20"/>
                <w:szCs w:val="20"/>
                <w:lang w:val="en-GB"/>
              </w:rPr>
              <w:t>m</w:t>
            </w:r>
            <w:r w:rsidRPr="00724676">
              <w:rPr>
                <w:rFonts w:cs="Times New Roman"/>
                <w:noProof/>
                <w:sz w:val="20"/>
                <w:szCs w:val="20"/>
                <w:lang w:val="en-GB"/>
              </w:rPr>
              <w:t xml:space="preserve">odel for Common Agricultural Policy </w:t>
            </w:r>
            <w:r w:rsidR="00092F66">
              <w:rPr>
                <w:rFonts w:cs="Times New Roman"/>
                <w:noProof/>
                <w:sz w:val="20"/>
                <w:szCs w:val="20"/>
                <w:lang w:val="en-GB"/>
              </w:rPr>
              <w:t>a</w:t>
            </w:r>
            <w:r w:rsidRPr="00724676">
              <w:rPr>
                <w:rFonts w:cs="Times New Roman"/>
                <w:noProof/>
                <w:sz w:val="20"/>
                <w:szCs w:val="20"/>
                <w:lang w:val="en-GB"/>
              </w:rPr>
              <w:t>nalysis</w:t>
            </w:r>
          </w:p>
        </w:tc>
      </w:tr>
      <w:tr w:rsidR="00984428" w:rsidRPr="00807559" w14:paraId="13ECE26D" w14:textId="77777777" w:rsidTr="00176AD7">
        <w:tc>
          <w:tcPr>
            <w:tcW w:w="1980" w:type="dxa"/>
            <w:vAlign w:val="center"/>
          </w:tcPr>
          <w:p w14:paraId="026B3698" w14:textId="5E7AD11D" w:rsidR="00984428" w:rsidRPr="00724676" w:rsidRDefault="00984428" w:rsidP="0099203D">
            <w:pPr>
              <w:spacing w:before="20" w:after="20" w:line="259" w:lineRule="auto"/>
              <w:rPr>
                <w:rFonts w:cs="Times New Roman"/>
                <w:noProof/>
                <w:sz w:val="20"/>
                <w:szCs w:val="20"/>
                <w:lang w:val="en-GB"/>
              </w:rPr>
            </w:pPr>
            <w:r w:rsidRPr="00724676">
              <w:rPr>
                <w:rFonts w:cs="Times New Roman"/>
                <w:noProof/>
                <w:sz w:val="20"/>
                <w:szCs w:val="20"/>
                <w:lang w:val="en-GB"/>
              </w:rPr>
              <w:t>IFOAM</w:t>
            </w:r>
          </w:p>
        </w:tc>
        <w:tc>
          <w:tcPr>
            <w:tcW w:w="7036" w:type="dxa"/>
            <w:vAlign w:val="center"/>
          </w:tcPr>
          <w:p w14:paraId="661A243B" w14:textId="1B5935EE" w:rsidR="00984428" w:rsidRPr="00724676" w:rsidRDefault="00714051" w:rsidP="0099203D">
            <w:pPr>
              <w:spacing w:before="20" w:after="20" w:line="259" w:lineRule="auto"/>
              <w:rPr>
                <w:rFonts w:cs="Times New Roman"/>
                <w:noProof/>
                <w:sz w:val="20"/>
                <w:szCs w:val="20"/>
                <w:lang w:val="en-GB"/>
              </w:rPr>
            </w:pPr>
            <w:r w:rsidRPr="00724676">
              <w:rPr>
                <w:rFonts w:cs="Times New Roman"/>
                <w:noProof/>
                <w:sz w:val="20"/>
                <w:szCs w:val="20"/>
                <w:lang w:val="en-GB"/>
              </w:rPr>
              <w:t>European umbrella organisation for organic food and farming</w:t>
            </w:r>
          </w:p>
        </w:tc>
      </w:tr>
      <w:tr w:rsidR="004B4F0A" w:rsidRPr="00807559" w14:paraId="7185FDDD" w14:textId="77777777" w:rsidTr="00176AD7">
        <w:tc>
          <w:tcPr>
            <w:tcW w:w="1980" w:type="dxa"/>
            <w:vAlign w:val="center"/>
          </w:tcPr>
          <w:p w14:paraId="78262B42" w14:textId="1DD32954" w:rsidR="004B4F0A" w:rsidRPr="00724676" w:rsidRDefault="004B4F0A" w:rsidP="0099203D">
            <w:pPr>
              <w:spacing w:before="20" w:after="20" w:line="259" w:lineRule="auto"/>
              <w:rPr>
                <w:rFonts w:cs="Times New Roman"/>
                <w:noProof/>
                <w:sz w:val="20"/>
                <w:szCs w:val="20"/>
                <w:lang w:val="en-GB"/>
              </w:rPr>
            </w:pPr>
            <w:r w:rsidRPr="00724676">
              <w:rPr>
                <w:rFonts w:cs="Times New Roman"/>
                <w:noProof/>
                <w:sz w:val="20"/>
                <w:szCs w:val="20"/>
                <w:lang w:val="en-GB"/>
              </w:rPr>
              <w:t>LPIS</w:t>
            </w:r>
          </w:p>
        </w:tc>
        <w:tc>
          <w:tcPr>
            <w:tcW w:w="7036" w:type="dxa"/>
            <w:vAlign w:val="center"/>
          </w:tcPr>
          <w:p w14:paraId="6B568700" w14:textId="3A550623" w:rsidR="004B4F0A" w:rsidRPr="00724676" w:rsidRDefault="004B4F0A"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Land </w:t>
            </w:r>
            <w:r w:rsidR="00092F66">
              <w:rPr>
                <w:rFonts w:cs="Times New Roman"/>
                <w:noProof/>
                <w:sz w:val="20"/>
                <w:szCs w:val="20"/>
                <w:lang w:val="en-GB"/>
              </w:rPr>
              <w:t>p</w:t>
            </w:r>
            <w:r w:rsidRPr="00724676">
              <w:rPr>
                <w:rFonts w:cs="Times New Roman"/>
                <w:noProof/>
                <w:sz w:val="20"/>
                <w:szCs w:val="20"/>
                <w:lang w:val="en-GB"/>
              </w:rPr>
              <w:t xml:space="preserve">arcel </w:t>
            </w:r>
            <w:r w:rsidR="00092F66">
              <w:rPr>
                <w:rFonts w:cs="Times New Roman"/>
                <w:noProof/>
                <w:sz w:val="20"/>
                <w:szCs w:val="20"/>
                <w:lang w:val="en-GB"/>
              </w:rPr>
              <w:t>i</w:t>
            </w:r>
            <w:r w:rsidRPr="00724676">
              <w:rPr>
                <w:rFonts w:cs="Times New Roman"/>
                <w:noProof/>
                <w:sz w:val="20"/>
                <w:szCs w:val="20"/>
                <w:lang w:val="en-GB"/>
              </w:rPr>
              <w:t xml:space="preserve">dentification </w:t>
            </w:r>
            <w:r w:rsidR="00092F66">
              <w:rPr>
                <w:rFonts w:cs="Times New Roman"/>
                <w:noProof/>
                <w:sz w:val="20"/>
                <w:szCs w:val="20"/>
                <w:lang w:val="en-GB"/>
              </w:rPr>
              <w:t>s</w:t>
            </w:r>
            <w:r w:rsidRPr="00724676">
              <w:rPr>
                <w:rFonts w:cs="Times New Roman"/>
                <w:noProof/>
                <w:sz w:val="20"/>
                <w:szCs w:val="20"/>
                <w:lang w:val="en-GB"/>
              </w:rPr>
              <w:t>ystem</w:t>
            </w:r>
          </w:p>
        </w:tc>
      </w:tr>
      <w:tr w:rsidR="0082350F" w:rsidRPr="00807559" w14:paraId="0FB3BEE9" w14:textId="77777777" w:rsidTr="00176AD7">
        <w:tc>
          <w:tcPr>
            <w:tcW w:w="1980" w:type="dxa"/>
            <w:vAlign w:val="center"/>
          </w:tcPr>
          <w:p w14:paraId="7F43478C" w14:textId="36D0BBD1" w:rsidR="0082350F" w:rsidRPr="00724676" w:rsidRDefault="0082350F" w:rsidP="0099203D">
            <w:pPr>
              <w:spacing w:before="20" w:after="20" w:line="259" w:lineRule="auto"/>
              <w:rPr>
                <w:rFonts w:cs="Times New Roman"/>
                <w:noProof/>
                <w:sz w:val="20"/>
                <w:szCs w:val="20"/>
                <w:lang w:val="en-GB"/>
              </w:rPr>
            </w:pPr>
            <w:r w:rsidRPr="00724676">
              <w:rPr>
                <w:rFonts w:cs="Times New Roman"/>
                <w:noProof/>
                <w:sz w:val="20"/>
                <w:szCs w:val="20"/>
                <w:lang w:val="en-GB"/>
              </w:rPr>
              <w:t>LUCAS survey</w:t>
            </w:r>
          </w:p>
        </w:tc>
        <w:tc>
          <w:tcPr>
            <w:tcW w:w="7036" w:type="dxa"/>
            <w:vAlign w:val="center"/>
          </w:tcPr>
          <w:p w14:paraId="531CB760" w14:textId="0BDD8DF6" w:rsidR="0082350F" w:rsidRPr="00724676" w:rsidRDefault="0082350F" w:rsidP="0099203D">
            <w:pPr>
              <w:spacing w:before="20" w:after="20" w:line="259" w:lineRule="auto"/>
              <w:rPr>
                <w:rFonts w:cs="Times New Roman"/>
                <w:noProof/>
                <w:sz w:val="20"/>
                <w:szCs w:val="20"/>
                <w:lang w:val="en-GB"/>
              </w:rPr>
            </w:pPr>
            <w:bookmarkStart w:id="6" w:name="_Hlk175425981"/>
            <w:r w:rsidRPr="00724676">
              <w:rPr>
                <w:rFonts w:cs="Times New Roman"/>
                <w:noProof/>
                <w:sz w:val="20"/>
                <w:szCs w:val="20"/>
                <w:lang w:val="en-GB"/>
              </w:rPr>
              <w:t xml:space="preserve">Land </w:t>
            </w:r>
            <w:r w:rsidR="00092F66">
              <w:rPr>
                <w:rFonts w:cs="Times New Roman"/>
                <w:noProof/>
                <w:sz w:val="20"/>
                <w:szCs w:val="20"/>
                <w:lang w:val="en-GB"/>
              </w:rPr>
              <w:t>u</w:t>
            </w:r>
            <w:r w:rsidRPr="00724676">
              <w:rPr>
                <w:rFonts w:cs="Times New Roman"/>
                <w:noProof/>
                <w:sz w:val="20"/>
                <w:szCs w:val="20"/>
                <w:lang w:val="en-GB"/>
              </w:rPr>
              <w:t>se</w:t>
            </w:r>
            <w:r w:rsidR="00BC2855" w:rsidRPr="00724676">
              <w:rPr>
                <w:rFonts w:cs="Times New Roman"/>
                <w:noProof/>
                <w:sz w:val="20"/>
                <w:szCs w:val="20"/>
                <w:lang w:val="en-GB"/>
              </w:rPr>
              <w:t xml:space="preserve">/cover </w:t>
            </w:r>
            <w:r w:rsidR="003E5CCA" w:rsidRPr="00724676">
              <w:rPr>
                <w:rFonts w:cs="Times New Roman"/>
                <w:noProof/>
                <w:sz w:val="20"/>
                <w:szCs w:val="20"/>
                <w:lang w:val="en-GB"/>
              </w:rPr>
              <w:t>area frame statistical survey</w:t>
            </w:r>
            <w:bookmarkEnd w:id="6"/>
          </w:p>
        </w:tc>
      </w:tr>
      <w:tr w:rsidR="007B2443" w:rsidRPr="00807559" w14:paraId="36DE5648" w14:textId="77777777" w:rsidTr="00176AD7">
        <w:tc>
          <w:tcPr>
            <w:tcW w:w="1980" w:type="dxa"/>
            <w:vAlign w:val="center"/>
          </w:tcPr>
          <w:p w14:paraId="2EB1D743" w14:textId="69DEA54E" w:rsidR="007B2443" w:rsidRPr="00724676" w:rsidRDefault="007B2443" w:rsidP="0099203D">
            <w:pPr>
              <w:spacing w:before="20" w:after="20" w:line="259" w:lineRule="auto"/>
              <w:rPr>
                <w:rFonts w:cs="Times New Roman"/>
                <w:noProof/>
                <w:sz w:val="20"/>
                <w:szCs w:val="20"/>
                <w:lang w:val="en-GB"/>
              </w:rPr>
            </w:pPr>
            <w:r w:rsidRPr="00724676">
              <w:rPr>
                <w:rFonts w:cs="Times New Roman"/>
                <w:noProof/>
                <w:sz w:val="20"/>
                <w:szCs w:val="20"/>
                <w:lang w:val="en-GB"/>
              </w:rPr>
              <w:t>MFF</w:t>
            </w:r>
          </w:p>
        </w:tc>
        <w:tc>
          <w:tcPr>
            <w:tcW w:w="7036" w:type="dxa"/>
            <w:vAlign w:val="center"/>
          </w:tcPr>
          <w:p w14:paraId="779C00F9" w14:textId="6EF11A3D" w:rsidR="007B2443" w:rsidRPr="00724676" w:rsidRDefault="007B2443"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Multiannual </w:t>
            </w:r>
            <w:r w:rsidR="00092F66">
              <w:rPr>
                <w:rFonts w:cs="Times New Roman"/>
                <w:noProof/>
                <w:sz w:val="20"/>
                <w:szCs w:val="20"/>
                <w:lang w:val="en-GB"/>
              </w:rPr>
              <w:t>f</w:t>
            </w:r>
            <w:r w:rsidRPr="00724676">
              <w:rPr>
                <w:rFonts w:cs="Times New Roman"/>
                <w:noProof/>
                <w:sz w:val="20"/>
                <w:szCs w:val="20"/>
                <w:lang w:val="en-GB"/>
              </w:rPr>
              <w:t xml:space="preserve">inancial </w:t>
            </w:r>
            <w:r w:rsidR="00092F66">
              <w:rPr>
                <w:rFonts w:cs="Times New Roman"/>
                <w:noProof/>
                <w:sz w:val="20"/>
                <w:szCs w:val="20"/>
                <w:lang w:val="en-GB"/>
              </w:rPr>
              <w:t>f</w:t>
            </w:r>
            <w:r w:rsidRPr="00724676">
              <w:rPr>
                <w:rFonts w:cs="Times New Roman"/>
                <w:noProof/>
                <w:sz w:val="20"/>
                <w:szCs w:val="20"/>
                <w:lang w:val="en-GB"/>
              </w:rPr>
              <w:t>ramework</w:t>
            </w:r>
          </w:p>
        </w:tc>
      </w:tr>
      <w:tr w:rsidR="00413097" w:rsidRPr="00807559" w14:paraId="53BD0BBC" w14:textId="77777777" w:rsidTr="00176AD7">
        <w:tc>
          <w:tcPr>
            <w:tcW w:w="1980" w:type="dxa"/>
            <w:vAlign w:val="center"/>
          </w:tcPr>
          <w:p w14:paraId="5F74D605" w14:textId="696975BA" w:rsidR="00413097" w:rsidRPr="00724676" w:rsidRDefault="00413097" w:rsidP="0099203D">
            <w:pPr>
              <w:spacing w:before="20" w:after="20" w:line="259" w:lineRule="auto"/>
              <w:rPr>
                <w:rFonts w:cs="Times New Roman"/>
                <w:noProof/>
                <w:sz w:val="20"/>
                <w:szCs w:val="20"/>
                <w:lang w:val="en-GB"/>
              </w:rPr>
            </w:pPr>
            <w:r w:rsidRPr="00724676">
              <w:rPr>
                <w:rFonts w:cs="Times New Roman"/>
                <w:noProof/>
                <w:sz w:val="20"/>
                <w:szCs w:val="20"/>
                <w:lang w:val="en-GB"/>
              </w:rPr>
              <w:t>NDM</w:t>
            </w:r>
          </w:p>
        </w:tc>
        <w:tc>
          <w:tcPr>
            <w:tcW w:w="7036" w:type="dxa"/>
            <w:vAlign w:val="center"/>
          </w:tcPr>
          <w:p w14:paraId="20435FC0" w14:textId="3AF21712" w:rsidR="00413097" w:rsidRPr="00724676" w:rsidRDefault="00413097"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New </w:t>
            </w:r>
            <w:r w:rsidR="00092F66">
              <w:rPr>
                <w:rFonts w:cs="Times New Roman"/>
                <w:noProof/>
                <w:sz w:val="20"/>
                <w:szCs w:val="20"/>
                <w:lang w:val="en-GB"/>
              </w:rPr>
              <w:t>d</w:t>
            </w:r>
            <w:r w:rsidRPr="00724676">
              <w:rPr>
                <w:rFonts w:cs="Times New Roman"/>
                <w:noProof/>
                <w:sz w:val="20"/>
                <w:szCs w:val="20"/>
                <w:lang w:val="en-GB"/>
              </w:rPr>
              <w:t xml:space="preserve">elivery </w:t>
            </w:r>
            <w:r w:rsidR="00092F66">
              <w:rPr>
                <w:rFonts w:cs="Times New Roman"/>
                <w:noProof/>
                <w:sz w:val="20"/>
                <w:szCs w:val="20"/>
                <w:lang w:val="en-GB"/>
              </w:rPr>
              <w:t>m</w:t>
            </w:r>
            <w:r w:rsidRPr="00724676">
              <w:rPr>
                <w:rFonts w:cs="Times New Roman"/>
                <w:noProof/>
                <w:sz w:val="20"/>
                <w:szCs w:val="20"/>
                <w:lang w:val="en-GB"/>
              </w:rPr>
              <w:t>odel</w:t>
            </w:r>
          </w:p>
        </w:tc>
      </w:tr>
      <w:tr w:rsidR="00B512CB" w:rsidRPr="00807559" w14:paraId="4023C68B" w14:textId="77777777" w:rsidTr="00176AD7">
        <w:tc>
          <w:tcPr>
            <w:tcW w:w="1980" w:type="dxa"/>
            <w:vAlign w:val="center"/>
          </w:tcPr>
          <w:p w14:paraId="474F6D57" w14:textId="4B36F992" w:rsidR="00B512CB" w:rsidRPr="00724676" w:rsidRDefault="00B512CB" w:rsidP="0099203D">
            <w:pPr>
              <w:spacing w:before="20" w:after="20" w:line="259" w:lineRule="auto"/>
              <w:rPr>
                <w:rFonts w:cs="Times New Roman"/>
                <w:noProof/>
                <w:sz w:val="20"/>
                <w:szCs w:val="20"/>
                <w:lang w:val="en-GB"/>
              </w:rPr>
            </w:pPr>
            <w:r w:rsidRPr="00724676">
              <w:rPr>
                <w:rFonts w:cs="Times New Roman"/>
                <w:noProof/>
                <w:sz w:val="20"/>
                <w:szCs w:val="20"/>
                <w:lang w:val="en-GB"/>
              </w:rPr>
              <w:t>PMEF</w:t>
            </w:r>
          </w:p>
        </w:tc>
        <w:tc>
          <w:tcPr>
            <w:tcW w:w="7036" w:type="dxa"/>
            <w:vAlign w:val="center"/>
          </w:tcPr>
          <w:p w14:paraId="4D2283B6" w14:textId="3B32FE5B" w:rsidR="00B512CB" w:rsidRPr="00724676" w:rsidRDefault="003577BF" w:rsidP="0099203D">
            <w:pPr>
              <w:spacing w:before="20" w:after="20" w:line="259" w:lineRule="auto"/>
              <w:rPr>
                <w:rFonts w:cs="Times New Roman"/>
                <w:noProof/>
                <w:sz w:val="20"/>
                <w:szCs w:val="20"/>
                <w:lang w:val="en-GB"/>
              </w:rPr>
            </w:pPr>
            <w:r w:rsidRPr="00724676">
              <w:rPr>
                <w:rFonts w:cs="Times New Roman"/>
                <w:noProof/>
                <w:sz w:val="20"/>
                <w:szCs w:val="20"/>
                <w:lang w:val="en-GB"/>
              </w:rPr>
              <w:t>Performance monitoring and evaluation framework</w:t>
            </w:r>
          </w:p>
        </w:tc>
      </w:tr>
      <w:tr w:rsidR="2083EC03" w14:paraId="61E860DE" w14:textId="77777777" w:rsidTr="00176AD7">
        <w:trPr>
          <w:trHeight w:val="300"/>
        </w:trPr>
        <w:tc>
          <w:tcPr>
            <w:tcW w:w="1980" w:type="dxa"/>
            <w:vAlign w:val="center"/>
          </w:tcPr>
          <w:p w14:paraId="5B0912D0" w14:textId="0D58DB72" w:rsidR="740F382B" w:rsidRDefault="740F382B" w:rsidP="0099203D">
            <w:pPr>
              <w:spacing w:before="20" w:after="20" w:line="259" w:lineRule="auto"/>
              <w:rPr>
                <w:rFonts w:cs="Times New Roman"/>
                <w:noProof/>
                <w:sz w:val="20"/>
                <w:szCs w:val="20"/>
                <w:lang w:val="en-GB"/>
              </w:rPr>
            </w:pPr>
            <w:r w:rsidRPr="2083EC03">
              <w:rPr>
                <w:rFonts w:cs="Times New Roman"/>
                <w:noProof/>
                <w:sz w:val="20"/>
                <w:szCs w:val="20"/>
                <w:lang w:val="en-GB"/>
              </w:rPr>
              <w:t>PO</w:t>
            </w:r>
          </w:p>
        </w:tc>
        <w:tc>
          <w:tcPr>
            <w:tcW w:w="7036" w:type="dxa"/>
            <w:vAlign w:val="center"/>
          </w:tcPr>
          <w:p w14:paraId="14A0E7DD" w14:textId="05B30A6A" w:rsidR="740F382B" w:rsidRDefault="740F382B" w:rsidP="0099203D">
            <w:pPr>
              <w:spacing w:before="20" w:after="20" w:line="259" w:lineRule="auto"/>
              <w:rPr>
                <w:rFonts w:cs="Times New Roman"/>
                <w:noProof/>
                <w:sz w:val="20"/>
                <w:szCs w:val="20"/>
                <w:lang w:val="en-GB"/>
              </w:rPr>
            </w:pPr>
            <w:r w:rsidRPr="2083EC03">
              <w:rPr>
                <w:rFonts w:cs="Times New Roman"/>
                <w:noProof/>
                <w:sz w:val="20"/>
                <w:szCs w:val="20"/>
                <w:lang w:val="en-GB"/>
              </w:rPr>
              <w:t>Producer organisation</w:t>
            </w:r>
          </w:p>
        </w:tc>
      </w:tr>
      <w:tr w:rsidR="02BE03D9" w14:paraId="63A803E8" w14:textId="77777777" w:rsidTr="00176AD7">
        <w:trPr>
          <w:trHeight w:val="300"/>
        </w:trPr>
        <w:tc>
          <w:tcPr>
            <w:tcW w:w="1980" w:type="dxa"/>
            <w:vAlign w:val="center"/>
          </w:tcPr>
          <w:p w14:paraId="328558BD" w14:textId="76B3C74E" w:rsidR="50FD2B15" w:rsidRDefault="50FD2B15" w:rsidP="0099203D">
            <w:pPr>
              <w:spacing w:before="20" w:after="20" w:line="259" w:lineRule="auto"/>
              <w:rPr>
                <w:rFonts w:cs="Times New Roman"/>
                <w:noProof/>
                <w:sz w:val="20"/>
                <w:szCs w:val="20"/>
                <w:lang w:val="en-GB"/>
              </w:rPr>
            </w:pPr>
            <w:r w:rsidRPr="02BE03D9">
              <w:rPr>
                <w:rFonts w:cs="Times New Roman"/>
                <w:noProof/>
                <w:sz w:val="20"/>
                <w:szCs w:val="20"/>
                <w:lang w:val="en-GB"/>
              </w:rPr>
              <w:t>PPP</w:t>
            </w:r>
          </w:p>
        </w:tc>
        <w:tc>
          <w:tcPr>
            <w:tcW w:w="7036" w:type="dxa"/>
            <w:vAlign w:val="center"/>
          </w:tcPr>
          <w:p w14:paraId="1C557DBB" w14:textId="211FB71E" w:rsidR="50FD2B15" w:rsidRDefault="50FD2B15" w:rsidP="0099203D">
            <w:pPr>
              <w:spacing w:before="20" w:after="20" w:line="259" w:lineRule="auto"/>
              <w:rPr>
                <w:rFonts w:cs="Times New Roman"/>
                <w:noProof/>
                <w:sz w:val="20"/>
                <w:szCs w:val="20"/>
                <w:lang w:val="en-GB"/>
              </w:rPr>
            </w:pPr>
            <w:r w:rsidRPr="02BE03D9">
              <w:rPr>
                <w:rFonts w:cs="Times New Roman"/>
                <w:noProof/>
                <w:sz w:val="20"/>
                <w:szCs w:val="20"/>
                <w:lang w:val="en-GB"/>
              </w:rPr>
              <w:t>Plant Protection Product</w:t>
            </w:r>
          </w:p>
        </w:tc>
      </w:tr>
      <w:tr w:rsidR="00DA4952" w:rsidRPr="00807559" w14:paraId="4F537B61" w14:textId="77777777" w:rsidTr="00176AD7">
        <w:tc>
          <w:tcPr>
            <w:tcW w:w="1980" w:type="dxa"/>
            <w:vAlign w:val="center"/>
          </w:tcPr>
          <w:p w14:paraId="7014A696" w14:textId="3DF6E4E0" w:rsidR="00DA4952" w:rsidRPr="00724676" w:rsidRDefault="00DA4952" w:rsidP="0099203D">
            <w:pPr>
              <w:spacing w:before="20" w:after="20" w:line="259" w:lineRule="auto"/>
              <w:rPr>
                <w:rFonts w:cs="Times New Roman"/>
                <w:noProof/>
                <w:sz w:val="20"/>
                <w:szCs w:val="20"/>
                <w:lang w:val="en-GB"/>
              </w:rPr>
            </w:pPr>
            <w:r w:rsidRPr="00724676">
              <w:rPr>
                <w:rFonts w:cs="Times New Roman"/>
                <w:noProof/>
                <w:sz w:val="20"/>
                <w:szCs w:val="20"/>
                <w:lang w:val="en-GB"/>
              </w:rPr>
              <w:t>SCO</w:t>
            </w:r>
          </w:p>
        </w:tc>
        <w:tc>
          <w:tcPr>
            <w:tcW w:w="7036" w:type="dxa"/>
            <w:vAlign w:val="center"/>
          </w:tcPr>
          <w:p w14:paraId="6347AA0C" w14:textId="68FD3867" w:rsidR="00DA4952" w:rsidRPr="00724676" w:rsidRDefault="00DA4952"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Simplified </w:t>
            </w:r>
            <w:r w:rsidR="00092F66">
              <w:rPr>
                <w:rFonts w:cs="Times New Roman"/>
                <w:noProof/>
                <w:sz w:val="20"/>
                <w:szCs w:val="20"/>
                <w:lang w:val="en-GB"/>
              </w:rPr>
              <w:t>c</w:t>
            </w:r>
            <w:r w:rsidRPr="00724676">
              <w:rPr>
                <w:rFonts w:cs="Times New Roman"/>
                <w:noProof/>
                <w:sz w:val="20"/>
                <w:szCs w:val="20"/>
                <w:lang w:val="en-GB"/>
              </w:rPr>
              <w:t xml:space="preserve">ost </w:t>
            </w:r>
            <w:r w:rsidR="00092F66">
              <w:rPr>
                <w:rFonts w:cs="Times New Roman"/>
                <w:noProof/>
                <w:sz w:val="20"/>
                <w:szCs w:val="20"/>
                <w:lang w:val="en-GB"/>
              </w:rPr>
              <w:t>o</w:t>
            </w:r>
            <w:r w:rsidRPr="00724676">
              <w:rPr>
                <w:rFonts w:cs="Times New Roman"/>
                <w:noProof/>
                <w:sz w:val="20"/>
                <w:szCs w:val="20"/>
                <w:lang w:val="en-GB"/>
              </w:rPr>
              <w:t>ption</w:t>
            </w:r>
          </w:p>
        </w:tc>
      </w:tr>
      <w:tr w:rsidR="00E60958" w:rsidRPr="00807559" w14:paraId="103F4F59" w14:textId="77777777" w:rsidTr="00176AD7">
        <w:tc>
          <w:tcPr>
            <w:tcW w:w="1980" w:type="dxa"/>
            <w:vAlign w:val="center"/>
          </w:tcPr>
          <w:p w14:paraId="76D09791" w14:textId="4AAA94B1" w:rsidR="00E60958" w:rsidRPr="00724676" w:rsidRDefault="00E60958" w:rsidP="0099203D">
            <w:pPr>
              <w:spacing w:before="20" w:after="20" w:line="259" w:lineRule="auto"/>
              <w:rPr>
                <w:rFonts w:cs="Times New Roman"/>
                <w:noProof/>
                <w:sz w:val="20"/>
                <w:szCs w:val="20"/>
                <w:lang w:val="en-GB"/>
              </w:rPr>
            </w:pPr>
            <w:r w:rsidRPr="00724676">
              <w:rPr>
                <w:rFonts w:cs="Times New Roman"/>
                <w:noProof/>
                <w:sz w:val="20"/>
                <w:szCs w:val="20"/>
                <w:lang w:val="en-GB"/>
              </w:rPr>
              <w:t>Simplification package</w:t>
            </w:r>
          </w:p>
        </w:tc>
        <w:tc>
          <w:tcPr>
            <w:tcW w:w="7036" w:type="dxa"/>
            <w:vAlign w:val="center"/>
          </w:tcPr>
          <w:p w14:paraId="3B53931B" w14:textId="2E8F0785" w:rsidR="00E60958" w:rsidRPr="00724676" w:rsidRDefault="005E0558" w:rsidP="0099203D">
            <w:pPr>
              <w:spacing w:before="20" w:after="20" w:line="259" w:lineRule="auto"/>
              <w:rPr>
                <w:rFonts w:cs="Times New Roman"/>
                <w:noProof/>
                <w:sz w:val="20"/>
                <w:szCs w:val="20"/>
                <w:lang w:val="en-GB"/>
              </w:rPr>
            </w:pPr>
            <w:r>
              <w:rPr>
                <w:rFonts w:cs="Times New Roman"/>
                <w:noProof/>
                <w:sz w:val="20"/>
                <w:szCs w:val="20"/>
                <w:lang w:val="en-GB"/>
              </w:rPr>
              <w:t>The p</w:t>
            </w:r>
            <w:r w:rsidR="00E60958" w:rsidRPr="00724676">
              <w:rPr>
                <w:rFonts w:cs="Times New Roman"/>
                <w:noProof/>
                <w:sz w:val="20"/>
                <w:szCs w:val="20"/>
                <w:lang w:val="en-GB"/>
              </w:rPr>
              <w:t xml:space="preserve">ackage of </w:t>
            </w:r>
            <w:r w:rsidR="00CA0D11">
              <w:rPr>
                <w:rFonts w:cs="Times New Roman"/>
                <w:noProof/>
                <w:sz w:val="20"/>
                <w:szCs w:val="20"/>
                <w:lang w:val="en-GB"/>
              </w:rPr>
              <w:t xml:space="preserve">measures </w:t>
            </w:r>
            <w:r w:rsidR="0079702A" w:rsidRPr="00724676">
              <w:rPr>
                <w:rFonts w:cs="Times New Roman"/>
                <w:noProof/>
                <w:sz w:val="20"/>
                <w:szCs w:val="20"/>
                <w:lang w:val="en-GB"/>
              </w:rPr>
              <w:t>put forward</w:t>
            </w:r>
            <w:r w:rsidR="00E60958" w:rsidRPr="00724676">
              <w:rPr>
                <w:rFonts w:cs="Times New Roman"/>
                <w:noProof/>
                <w:sz w:val="20"/>
                <w:szCs w:val="20"/>
                <w:lang w:val="en-GB"/>
              </w:rPr>
              <w:t xml:space="preserve"> by the Commission on 22 February 2024</w:t>
            </w:r>
            <w:r w:rsidR="00092F66">
              <w:rPr>
                <w:rFonts w:cs="Times New Roman"/>
                <w:noProof/>
                <w:sz w:val="20"/>
                <w:szCs w:val="20"/>
                <w:lang w:val="en-GB"/>
              </w:rPr>
              <w:t>,</w:t>
            </w:r>
            <w:r w:rsidR="5077B38B" w:rsidRPr="00724676">
              <w:rPr>
                <w:rFonts w:cs="Times New Roman"/>
                <w:noProof/>
                <w:sz w:val="20"/>
                <w:szCs w:val="20"/>
                <w:lang w:val="en-GB"/>
              </w:rPr>
              <w:t xml:space="preserve"> </w:t>
            </w:r>
            <w:r w:rsidR="00A11799" w:rsidRPr="00724676">
              <w:rPr>
                <w:rFonts w:cs="Times New Roman"/>
                <w:noProof/>
                <w:sz w:val="20"/>
                <w:szCs w:val="20"/>
                <w:lang w:val="en-GB"/>
              </w:rPr>
              <w:t>including</w:t>
            </w:r>
            <w:r w:rsidR="5077B38B" w:rsidRPr="00724676">
              <w:rPr>
                <w:rFonts w:cs="Times New Roman"/>
                <w:noProof/>
                <w:sz w:val="20"/>
                <w:szCs w:val="20"/>
                <w:lang w:val="en-GB"/>
              </w:rPr>
              <w:t xml:space="preserve"> the </w:t>
            </w:r>
            <w:r w:rsidR="00631038">
              <w:rPr>
                <w:rFonts w:cs="Times New Roman"/>
                <w:noProof/>
                <w:sz w:val="20"/>
                <w:szCs w:val="20"/>
                <w:lang w:val="en-GB"/>
              </w:rPr>
              <w:t xml:space="preserve">Commission </w:t>
            </w:r>
            <w:r w:rsidR="5077B38B" w:rsidRPr="00724676">
              <w:rPr>
                <w:rFonts w:cs="Times New Roman"/>
                <w:noProof/>
                <w:sz w:val="20"/>
                <w:szCs w:val="20"/>
                <w:lang w:val="en-GB"/>
              </w:rPr>
              <w:t>legislative proposal of 15 March 2024</w:t>
            </w:r>
            <w:r w:rsidR="00934CC3">
              <w:rPr>
                <w:rFonts w:cs="Times New Roman"/>
                <w:noProof/>
                <w:sz w:val="20"/>
                <w:szCs w:val="20"/>
                <w:lang w:val="en-GB"/>
              </w:rPr>
              <w:t xml:space="preserve"> </w:t>
            </w:r>
            <w:r w:rsidR="001B1D9E">
              <w:rPr>
                <w:rFonts w:cs="Times New Roman"/>
                <w:noProof/>
                <w:sz w:val="20"/>
                <w:szCs w:val="20"/>
                <w:lang w:val="en-GB"/>
              </w:rPr>
              <w:t>to amend</w:t>
            </w:r>
            <w:r w:rsidR="00934CC3">
              <w:rPr>
                <w:rFonts w:cs="Times New Roman"/>
                <w:noProof/>
                <w:sz w:val="20"/>
                <w:szCs w:val="20"/>
                <w:lang w:val="en-GB"/>
              </w:rPr>
              <w:t xml:space="preserve"> the CSP </w:t>
            </w:r>
            <w:r w:rsidR="00631038">
              <w:rPr>
                <w:rFonts w:cs="Times New Roman"/>
                <w:noProof/>
                <w:sz w:val="20"/>
                <w:szCs w:val="20"/>
                <w:lang w:val="en-GB"/>
              </w:rPr>
              <w:t xml:space="preserve">Regulation </w:t>
            </w:r>
            <w:r w:rsidR="00934CC3">
              <w:rPr>
                <w:rFonts w:cs="Times New Roman"/>
                <w:noProof/>
                <w:sz w:val="20"/>
                <w:szCs w:val="20"/>
                <w:lang w:val="en-GB"/>
              </w:rPr>
              <w:t xml:space="preserve">and the Horizontal Regulation </w:t>
            </w:r>
          </w:p>
        </w:tc>
      </w:tr>
      <w:tr w:rsidR="6FE283EC" w14:paraId="2B05B9ED" w14:textId="77777777" w:rsidTr="00176AD7">
        <w:trPr>
          <w:trHeight w:val="300"/>
        </w:trPr>
        <w:tc>
          <w:tcPr>
            <w:tcW w:w="1980" w:type="dxa"/>
            <w:vAlign w:val="center"/>
          </w:tcPr>
          <w:p w14:paraId="79115010" w14:textId="7F5B7583" w:rsidR="2D6EDB28" w:rsidRDefault="2D6EDB28" w:rsidP="0099203D">
            <w:pPr>
              <w:spacing w:before="20" w:after="20" w:line="259" w:lineRule="auto"/>
              <w:rPr>
                <w:rFonts w:cs="Times New Roman"/>
                <w:noProof/>
                <w:sz w:val="20"/>
                <w:szCs w:val="20"/>
                <w:lang w:val="en-GB"/>
              </w:rPr>
            </w:pPr>
            <w:r w:rsidRPr="6FE283EC">
              <w:rPr>
                <w:rFonts w:cs="Times New Roman"/>
                <w:noProof/>
                <w:sz w:val="20"/>
                <w:szCs w:val="20"/>
                <w:lang w:val="en-GB"/>
              </w:rPr>
              <w:t>Simplification Regulation</w:t>
            </w:r>
          </w:p>
        </w:tc>
        <w:tc>
          <w:tcPr>
            <w:tcW w:w="7036" w:type="dxa"/>
            <w:vAlign w:val="center"/>
          </w:tcPr>
          <w:p w14:paraId="332BF0CB" w14:textId="5F98D457" w:rsidR="52194365" w:rsidRDefault="52194365" w:rsidP="0099203D">
            <w:pPr>
              <w:spacing w:before="20" w:after="20" w:line="259" w:lineRule="auto"/>
              <w:rPr>
                <w:rFonts w:cs="Times New Roman"/>
                <w:noProof/>
                <w:sz w:val="20"/>
                <w:szCs w:val="20"/>
                <w:lang w:val="en-GB"/>
              </w:rPr>
            </w:pPr>
            <w:r w:rsidRPr="0099203D">
              <w:rPr>
                <w:rFonts w:cs="Times New Roman"/>
                <w:noProof/>
                <w:sz w:val="20"/>
                <w:szCs w:val="20"/>
                <w:lang w:val="en-GB"/>
              </w:rPr>
              <w:t>Regulation (EU) 2024/1468</w:t>
            </w:r>
            <w:r w:rsidRPr="6FE283EC">
              <w:rPr>
                <w:rFonts w:cs="Times New Roman"/>
                <w:noProof/>
                <w:sz w:val="20"/>
                <w:szCs w:val="20"/>
                <w:lang w:val="en-GB"/>
              </w:rPr>
              <w:t xml:space="preserve"> amending the CSP </w:t>
            </w:r>
            <w:r w:rsidR="00631038">
              <w:rPr>
                <w:rFonts w:cs="Times New Roman"/>
                <w:noProof/>
                <w:sz w:val="20"/>
                <w:szCs w:val="20"/>
                <w:lang w:val="en-GB"/>
              </w:rPr>
              <w:t xml:space="preserve">Regulation </w:t>
            </w:r>
            <w:r w:rsidRPr="6FE283EC">
              <w:rPr>
                <w:rFonts w:cs="Times New Roman"/>
                <w:noProof/>
                <w:sz w:val="20"/>
                <w:szCs w:val="20"/>
                <w:lang w:val="en-GB"/>
              </w:rPr>
              <w:t xml:space="preserve">and </w:t>
            </w:r>
            <w:r w:rsidR="5660C054" w:rsidRPr="6FE283EC">
              <w:rPr>
                <w:rFonts w:cs="Times New Roman"/>
                <w:noProof/>
                <w:sz w:val="20"/>
                <w:szCs w:val="20"/>
                <w:lang w:val="en-GB"/>
              </w:rPr>
              <w:t xml:space="preserve">the </w:t>
            </w:r>
            <w:r w:rsidRPr="6FE283EC">
              <w:rPr>
                <w:rFonts w:cs="Times New Roman"/>
                <w:noProof/>
                <w:sz w:val="20"/>
                <w:szCs w:val="20"/>
                <w:lang w:val="en-GB"/>
              </w:rPr>
              <w:t>Horizontal Regulation</w:t>
            </w:r>
            <w:r w:rsidR="163A223C" w:rsidRPr="06E2D374">
              <w:rPr>
                <w:rFonts w:cs="Times New Roman"/>
                <w:noProof/>
                <w:sz w:val="20"/>
                <w:szCs w:val="20"/>
                <w:lang w:val="en-GB"/>
              </w:rPr>
              <w:t xml:space="preserve"> </w:t>
            </w:r>
            <w:r w:rsidR="00934CC3">
              <w:rPr>
                <w:rFonts w:cs="Times New Roman"/>
                <w:noProof/>
                <w:sz w:val="20"/>
                <w:szCs w:val="20"/>
                <w:lang w:val="en-GB"/>
              </w:rPr>
              <w:t xml:space="preserve">based on the </w:t>
            </w:r>
            <w:r w:rsidR="00631038">
              <w:rPr>
                <w:rFonts w:cs="Times New Roman"/>
                <w:noProof/>
                <w:sz w:val="20"/>
                <w:szCs w:val="20"/>
                <w:lang w:val="en-GB"/>
              </w:rPr>
              <w:t xml:space="preserve">Commission </w:t>
            </w:r>
            <w:r w:rsidR="00934CC3">
              <w:rPr>
                <w:rFonts w:cs="Times New Roman"/>
                <w:noProof/>
                <w:sz w:val="20"/>
                <w:szCs w:val="20"/>
                <w:lang w:val="en-GB"/>
              </w:rPr>
              <w:t>proposal</w:t>
            </w:r>
            <w:r w:rsidR="00631038">
              <w:rPr>
                <w:rFonts w:cs="Times New Roman"/>
                <w:noProof/>
                <w:sz w:val="20"/>
                <w:szCs w:val="20"/>
                <w:lang w:val="en-GB"/>
              </w:rPr>
              <w:t xml:space="preserve"> of 15 March 2024</w:t>
            </w:r>
          </w:p>
        </w:tc>
      </w:tr>
      <w:tr w:rsidR="00B512CB" w:rsidRPr="00807559" w14:paraId="30EBDDAC" w14:textId="77777777" w:rsidTr="00176AD7">
        <w:tc>
          <w:tcPr>
            <w:tcW w:w="1980" w:type="dxa"/>
            <w:vAlign w:val="center"/>
          </w:tcPr>
          <w:p w14:paraId="2A2B2CCB" w14:textId="0874ED99" w:rsidR="00B512CB" w:rsidRPr="00724676" w:rsidRDefault="00B512CB" w:rsidP="0099203D">
            <w:pPr>
              <w:spacing w:before="20" w:after="20" w:line="259" w:lineRule="auto"/>
              <w:rPr>
                <w:rFonts w:cs="Times New Roman"/>
                <w:noProof/>
                <w:sz w:val="20"/>
                <w:szCs w:val="20"/>
                <w:lang w:val="en-GB"/>
              </w:rPr>
            </w:pPr>
            <w:r w:rsidRPr="00724676">
              <w:rPr>
                <w:rFonts w:cs="Times New Roman"/>
                <w:noProof/>
                <w:sz w:val="20"/>
                <w:szCs w:val="20"/>
                <w:lang w:val="en-GB"/>
              </w:rPr>
              <w:t>SMR</w:t>
            </w:r>
          </w:p>
        </w:tc>
        <w:tc>
          <w:tcPr>
            <w:tcW w:w="7036" w:type="dxa"/>
            <w:vAlign w:val="center"/>
          </w:tcPr>
          <w:p w14:paraId="5562232A" w14:textId="7DC9F1FF" w:rsidR="00B512CB" w:rsidRPr="00724676" w:rsidRDefault="00B512CB" w:rsidP="0099203D">
            <w:pPr>
              <w:spacing w:before="20" w:after="20" w:line="259" w:lineRule="auto"/>
              <w:rPr>
                <w:rFonts w:cs="Times New Roman"/>
                <w:noProof/>
                <w:sz w:val="20"/>
                <w:szCs w:val="20"/>
                <w:lang w:val="en-GB"/>
              </w:rPr>
            </w:pPr>
            <w:r w:rsidRPr="00724676">
              <w:rPr>
                <w:rFonts w:cs="Times New Roman"/>
                <w:noProof/>
                <w:sz w:val="20"/>
                <w:szCs w:val="20"/>
                <w:lang w:val="en-GB"/>
              </w:rPr>
              <w:t xml:space="preserve">Statutory </w:t>
            </w:r>
            <w:r w:rsidR="00B4342A">
              <w:rPr>
                <w:rFonts w:cs="Times New Roman"/>
                <w:noProof/>
                <w:sz w:val="20"/>
                <w:szCs w:val="20"/>
                <w:lang w:val="en-GB"/>
              </w:rPr>
              <w:t>m</w:t>
            </w:r>
            <w:r w:rsidRPr="00724676">
              <w:rPr>
                <w:rFonts w:cs="Times New Roman"/>
                <w:noProof/>
                <w:sz w:val="20"/>
                <w:szCs w:val="20"/>
                <w:lang w:val="en-GB"/>
              </w:rPr>
              <w:t xml:space="preserve">anagement </w:t>
            </w:r>
            <w:r w:rsidR="00B4342A">
              <w:rPr>
                <w:rFonts w:cs="Times New Roman"/>
                <w:noProof/>
                <w:sz w:val="20"/>
                <w:szCs w:val="20"/>
                <w:lang w:val="en-GB"/>
              </w:rPr>
              <w:t>r</w:t>
            </w:r>
            <w:r w:rsidRPr="00724676">
              <w:rPr>
                <w:rFonts w:cs="Times New Roman"/>
                <w:noProof/>
                <w:sz w:val="20"/>
                <w:szCs w:val="20"/>
                <w:lang w:val="en-GB"/>
              </w:rPr>
              <w:t>equirement</w:t>
            </w:r>
          </w:p>
        </w:tc>
      </w:tr>
    </w:tbl>
    <w:p w14:paraId="73FC7836" w14:textId="3E90CCE3" w:rsidR="00EA27C4" w:rsidRPr="00724676" w:rsidRDefault="00EA27C4" w:rsidP="00921335">
      <w:pPr>
        <w:spacing w:after="120"/>
        <w:rPr>
          <w:rFonts w:eastAsiaTheme="majorEastAsia" w:cstheme="majorBidi"/>
          <w:b/>
          <w:noProof/>
          <w:szCs w:val="32"/>
          <w:lang w:val="en-GB"/>
        </w:rPr>
      </w:pPr>
      <w:r w:rsidRPr="00724676">
        <w:rPr>
          <w:noProof/>
          <w:lang w:val="en-GB"/>
        </w:rPr>
        <w:br w:type="page"/>
      </w:r>
    </w:p>
    <w:p w14:paraId="3E7E3324" w14:textId="7B8337B1" w:rsidR="00BF1FD7" w:rsidRPr="00724676" w:rsidRDefault="0086096F" w:rsidP="007C3C31">
      <w:pPr>
        <w:pStyle w:val="Heading1"/>
        <w:numPr>
          <w:ilvl w:val="0"/>
          <w:numId w:val="4"/>
        </w:numPr>
        <w:spacing w:before="0" w:after="120"/>
        <w:ind w:left="714" w:hanging="357"/>
        <w:rPr>
          <w:noProof/>
          <w:lang w:val="en-GB"/>
        </w:rPr>
      </w:pPr>
      <w:bookmarkStart w:id="7" w:name="_Toc172125115"/>
      <w:r w:rsidRPr="00724676">
        <w:rPr>
          <w:noProof/>
          <w:lang w:val="en-GB"/>
        </w:rPr>
        <w:lastRenderedPageBreak/>
        <w:t>INTRODUCTION</w:t>
      </w:r>
      <w:bookmarkEnd w:id="2"/>
      <w:bookmarkEnd w:id="3"/>
      <w:bookmarkEnd w:id="4"/>
      <w:bookmarkEnd w:id="5"/>
      <w:bookmarkEnd w:id="7"/>
    </w:p>
    <w:p w14:paraId="71D9D194" w14:textId="4CFC33DB" w:rsidR="005951D2" w:rsidRPr="00A36E96" w:rsidRDefault="00C77D56" w:rsidP="0C7F84F9">
      <w:pPr>
        <w:spacing w:after="120"/>
        <w:jc w:val="both"/>
        <w:rPr>
          <w:rFonts w:cs="Times New Roman"/>
          <w:noProof/>
          <w:lang w:val="en-GB"/>
        </w:rPr>
      </w:pPr>
      <w:r w:rsidRPr="00721EAA">
        <w:rPr>
          <w:rFonts w:cs="Times New Roman"/>
          <w:noProof/>
          <w:lang w:val="en-GB"/>
        </w:rPr>
        <w:t xml:space="preserve">On </w:t>
      </w:r>
      <w:r w:rsidRPr="0099203D">
        <w:rPr>
          <w:rFonts w:cs="Times New Roman"/>
          <w:noProof/>
          <w:lang w:val="en-GB"/>
        </w:rPr>
        <w:t>22 February 2024</w:t>
      </w:r>
      <w:r w:rsidRPr="0C7F84F9">
        <w:rPr>
          <w:rFonts w:cs="Times New Roman"/>
          <w:noProof/>
          <w:lang w:val="en-GB"/>
        </w:rPr>
        <w:t xml:space="preserve"> the Commission put forward </w:t>
      </w:r>
      <w:r w:rsidRPr="0C7F84F9">
        <w:rPr>
          <w:rFonts w:cs="Times New Roman"/>
          <w:b/>
          <w:bCs/>
          <w:noProof/>
          <w:lang w:val="en-GB"/>
        </w:rPr>
        <w:t>a</w:t>
      </w:r>
      <w:r w:rsidRPr="0C7F84F9">
        <w:rPr>
          <w:rFonts w:cs="Times New Roman"/>
          <w:noProof/>
          <w:lang w:val="en-GB"/>
        </w:rPr>
        <w:t xml:space="preserve"> </w:t>
      </w:r>
      <w:r w:rsidRPr="0C7F84F9">
        <w:rPr>
          <w:rFonts w:cs="Times New Roman"/>
          <w:b/>
          <w:bCs/>
          <w:noProof/>
          <w:lang w:val="en-GB"/>
        </w:rPr>
        <w:t>simplification package</w:t>
      </w:r>
      <w:r w:rsidRPr="0C7F84F9">
        <w:rPr>
          <w:rFonts w:cs="Times New Roman"/>
          <w:noProof/>
          <w:lang w:val="en-GB"/>
        </w:rPr>
        <w:t xml:space="preserve"> of measures to ease </w:t>
      </w:r>
      <w:r w:rsidR="00CF3237" w:rsidRPr="4A8083C9">
        <w:rPr>
          <w:rFonts w:cs="Times New Roman"/>
          <w:noProof/>
          <w:lang w:val="en-GB"/>
        </w:rPr>
        <w:t xml:space="preserve">the </w:t>
      </w:r>
      <w:r w:rsidRPr="0C7F84F9">
        <w:rPr>
          <w:rFonts w:cs="Times New Roman"/>
          <w:noProof/>
          <w:lang w:val="en-GB"/>
        </w:rPr>
        <w:t>administrative burden on farmers and help them tackle</w:t>
      </w:r>
      <w:r w:rsidR="00CF3237" w:rsidRPr="4A8083C9">
        <w:rPr>
          <w:rFonts w:cs="Times New Roman"/>
          <w:noProof/>
          <w:lang w:val="en-GB"/>
        </w:rPr>
        <w:t xml:space="preserve"> the</w:t>
      </w:r>
      <w:r w:rsidRPr="0C7F84F9">
        <w:rPr>
          <w:rFonts w:cs="Times New Roman"/>
          <w:noProof/>
          <w:lang w:val="en-GB"/>
        </w:rPr>
        <w:t xml:space="preserve"> challenges that </w:t>
      </w:r>
      <w:r w:rsidR="00575AD0" w:rsidRPr="0C7F84F9">
        <w:rPr>
          <w:rFonts w:cs="Times New Roman"/>
          <w:noProof/>
          <w:lang w:val="en-GB"/>
        </w:rPr>
        <w:t>ha</w:t>
      </w:r>
      <w:r w:rsidR="00575AD0">
        <w:rPr>
          <w:rFonts w:cs="Times New Roman"/>
          <w:noProof/>
          <w:lang w:val="en-GB"/>
        </w:rPr>
        <w:t>d</w:t>
      </w:r>
      <w:r w:rsidR="00575AD0" w:rsidRPr="0C7F84F9">
        <w:rPr>
          <w:rFonts w:cs="Times New Roman"/>
          <w:noProof/>
          <w:lang w:val="en-GB"/>
        </w:rPr>
        <w:t xml:space="preserve"> </w:t>
      </w:r>
      <w:r w:rsidR="00CF3237" w:rsidRPr="4A8083C9">
        <w:rPr>
          <w:rFonts w:cs="Times New Roman"/>
          <w:noProof/>
          <w:lang w:val="en-GB"/>
        </w:rPr>
        <w:t xml:space="preserve">arisen </w:t>
      </w:r>
      <w:r w:rsidRPr="0C7F84F9">
        <w:rPr>
          <w:rFonts w:cs="Times New Roman"/>
          <w:noProof/>
          <w:lang w:val="en-GB"/>
        </w:rPr>
        <w:t xml:space="preserve">since the reform of the </w:t>
      </w:r>
      <w:r w:rsidR="005E0558" w:rsidRPr="0099203D">
        <w:rPr>
          <w:rFonts w:cs="Times New Roman"/>
          <w:noProof/>
          <w:lang w:val="en-GB"/>
        </w:rPr>
        <w:t>c</w:t>
      </w:r>
      <w:r w:rsidR="000F5C58" w:rsidRPr="0C7F84F9">
        <w:rPr>
          <w:rFonts w:cs="Times New Roman"/>
          <w:noProof/>
          <w:lang w:val="en-GB"/>
        </w:rPr>
        <w:t xml:space="preserve">ommon </w:t>
      </w:r>
      <w:r w:rsidR="005E0558" w:rsidRPr="0099203D">
        <w:rPr>
          <w:rFonts w:cs="Times New Roman"/>
          <w:noProof/>
          <w:lang w:val="en-GB"/>
        </w:rPr>
        <w:t>a</w:t>
      </w:r>
      <w:r w:rsidR="000F5C58" w:rsidRPr="0C7F84F9">
        <w:rPr>
          <w:rFonts w:cs="Times New Roman"/>
          <w:noProof/>
          <w:lang w:val="en-GB"/>
        </w:rPr>
        <w:t xml:space="preserve">gricultural </w:t>
      </w:r>
      <w:r w:rsidR="005E0558" w:rsidRPr="0099203D">
        <w:rPr>
          <w:rFonts w:cs="Times New Roman"/>
          <w:noProof/>
          <w:lang w:val="en-GB"/>
        </w:rPr>
        <w:t>p</w:t>
      </w:r>
      <w:r w:rsidR="000F5C58" w:rsidRPr="0C7F84F9">
        <w:rPr>
          <w:rFonts w:cs="Times New Roman"/>
          <w:noProof/>
          <w:lang w:val="en-GB"/>
        </w:rPr>
        <w:t xml:space="preserve">olicy (CAP) </w:t>
      </w:r>
      <w:r w:rsidRPr="0C7F84F9">
        <w:rPr>
          <w:rFonts w:cs="Times New Roman"/>
          <w:noProof/>
          <w:lang w:val="en-GB"/>
        </w:rPr>
        <w:t>for 2023-2027</w:t>
      </w:r>
      <w:r w:rsidR="00507155" w:rsidRPr="0C7F84F9">
        <w:rPr>
          <w:rStyle w:val="FootnoteReference"/>
          <w:rFonts w:cs="Times New Roman"/>
          <w:noProof/>
          <w:lang w:val="en-GB"/>
        </w:rPr>
        <w:footnoteReference w:id="2"/>
      </w:r>
      <w:r w:rsidR="00724676" w:rsidRPr="0C7F84F9">
        <w:rPr>
          <w:rFonts w:cs="Times New Roman"/>
          <w:noProof/>
          <w:lang w:val="en-GB"/>
        </w:rPr>
        <w:t>.</w:t>
      </w:r>
      <w:r w:rsidR="009C20EF" w:rsidRPr="0C7F84F9">
        <w:rPr>
          <w:rFonts w:cs="Times New Roman"/>
          <w:noProof/>
          <w:lang w:val="en-GB"/>
        </w:rPr>
        <w:t xml:space="preserve"> The </w:t>
      </w:r>
      <w:r w:rsidR="00CF3237" w:rsidRPr="4A8083C9">
        <w:rPr>
          <w:rFonts w:cs="Times New Roman"/>
          <w:noProof/>
          <w:lang w:val="en-GB"/>
        </w:rPr>
        <w:t xml:space="preserve">measures that </w:t>
      </w:r>
      <w:r w:rsidR="00575AD0">
        <w:rPr>
          <w:rFonts w:cs="Times New Roman"/>
          <w:noProof/>
          <w:lang w:val="en-GB"/>
        </w:rPr>
        <w:t>were</w:t>
      </w:r>
      <w:r w:rsidR="00CF3237" w:rsidRPr="4A8083C9">
        <w:rPr>
          <w:rFonts w:cs="Times New Roman"/>
          <w:noProof/>
          <w:lang w:val="en-GB"/>
        </w:rPr>
        <w:t xml:space="preserve"> announced </w:t>
      </w:r>
      <w:r w:rsidR="009C20EF" w:rsidRPr="0C7F84F9">
        <w:rPr>
          <w:rFonts w:cs="Times New Roman"/>
          <w:noProof/>
          <w:lang w:val="en-GB"/>
        </w:rPr>
        <w:t xml:space="preserve">are presented in Annex </w:t>
      </w:r>
      <w:r w:rsidR="003C310F" w:rsidRPr="0C7F84F9">
        <w:rPr>
          <w:rFonts w:cs="Times New Roman"/>
          <w:noProof/>
          <w:lang w:val="en-GB"/>
        </w:rPr>
        <w:t>1</w:t>
      </w:r>
      <w:r w:rsidR="009C20EF" w:rsidRPr="0C7F84F9">
        <w:rPr>
          <w:rFonts w:cs="Times New Roman"/>
          <w:noProof/>
          <w:lang w:val="en-GB"/>
        </w:rPr>
        <w:t>.</w:t>
      </w:r>
      <w:r w:rsidRPr="0C7F84F9">
        <w:rPr>
          <w:rFonts w:cs="Times New Roman"/>
          <w:noProof/>
          <w:lang w:val="en-GB"/>
        </w:rPr>
        <w:t xml:space="preserve"> </w:t>
      </w:r>
    </w:p>
    <w:p w14:paraId="54FA14AD" w14:textId="445CD64F" w:rsidR="00825735" w:rsidRPr="00A36E96" w:rsidRDefault="765F5F21" w:rsidP="0C7F84F9">
      <w:pPr>
        <w:spacing w:after="120"/>
        <w:jc w:val="both"/>
        <w:rPr>
          <w:rFonts w:cs="Times New Roman"/>
          <w:noProof/>
          <w:lang w:val="en-GB"/>
        </w:rPr>
      </w:pPr>
      <w:r w:rsidRPr="0C7F84F9">
        <w:rPr>
          <w:rFonts w:cs="Times New Roman"/>
          <w:noProof/>
          <w:lang w:val="en-GB"/>
        </w:rPr>
        <w:t xml:space="preserve">On </w:t>
      </w:r>
      <w:r w:rsidR="00C93D5C" w:rsidRPr="0C7F84F9">
        <w:rPr>
          <w:rFonts w:cs="Times New Roman"/>
          <w:noProof/>
          <w:lang w:val="en-GB"/>
        </w:rPr>
        <w:t xml:space="preserve">15 </w:t>
      </w:r>
      <w:r w:rsidRPr="0C7F84F9">
        <w:rPr>
          <w:rFonts w:cs="Times New Roman"/>
          <w:noProof/>
          <w:lang w:val="en-GB"/>
        </w:rPr>
        <w:t xml:space="preserve">March 2024, the </w:t>
      </w:r>
      <w:r w:rsidRPr="0A17A891">
        <w:rPr>
          <w:rFonts w:cs="Times New Roman"/>
          <w:noProof/>
          <w:lang w:val="en-GB"/>
        </w:rPr>
        <w:t>Commission</w:t>
      </w:r>
      <w:r w:rsidRPr="0C7F84F9">
        <w:rPr>
          <w:rFonts w:cs="Times New Roman"/>
          <w:noProof/>
          <w:lang w:val="en-GB"/>
        </w:rPr>
        <w:t xml:space="preserve"> proposed</w:t>
      </w:r>
      <w:r w:rsidR="00D63AC1" w:rsidRPr="0C7F84F9">
        <w:rPr>
          <w:rStyle w:val="FootnoteReference"/>
          <w:rFonts w:cs="Times New Roman"/>
          <w:noProof/>
          <w:lang w:val="en-GB"/>
        </w:rPr>
        <w:footnoteReference w:id="3"/>
      </w:r>
      <w:r w:rsidRPr="0C7F84F9">
        <w:rPr>
          <w:rFonts w:cs="Times New Roman"/>
          <w:noProof/>
          <w:lang w:val="en-GB"/>
        </w:rPr>
        <w:t xml:space="preserve"> </w:t>
      </w:r>
      <w:r w:rsidRPr="0C7F84F9">
        <w:rPr>
          <w:rFonts w:cs="Times New Roman"/>
          <w:b/>
          <w:bCs/>
          <w:noProof/>
          <w:lang w:val="en-GB"/>
        </w:rPr>
        <w:t xml:space="preserve">targeted </w:t>
      </w:r>
      <w:r w:rsidR="00855709" w:rsidRPr="0C7F84F9">
        <w:rPr>
          <w:rFonts w:cs="Times New Roman"/>
          <w:b/>
          <w:bCs/>
          <w:noProof/>
          <w:lang w:val="en-GB"/>
        </w:rPr>
        <w:t>changes</w:t>
      </w:r>
      <w:r w:rsidR="00855709" w:rsidRPr="0C7F84F9">
        <w:rPr>
          <w:rFonts w:cs="Times New Roman"/>
          <w:noProof/>
          <w:lang w:val="en-GB"/>
        </w:rPr>
        <w:t xml:space="preserve"> </w:t>
      </w:r>
      <w:r w:rsidR="00855709" w:rsidRPr="0099203D">
        <w:rPr>
          <w:rFonts w:cs="Times New Roman"/>
          <w:b/>
          <w:bCs/>
          <w:noProof/>
          <w:lang w:val="en-GB"/>
        </w:rPr>
        <w:t>to</w:t>
      </w:r>
      <w:r w:rsidRPr="0099203D">
        <w:rPr>
          <w:rFonts w:cs="Times New Roman"/>
          <w:b/>
          <w:bCs/>
          <w:noProof/>
          <w:lang w:val="en-GB"/>
        </w:rPr>
        <w:t xml:space="preserve"> the</w:t>
      </w:r>
      <w:r w:rsidRPr="0C7F84F9">
        <w:rPr>
          <w:rFonts w:cs="Times New Roman"/>
          <w:noProof/>
          <w:lang w:val="en-GB"/>
        </w:rPr>
        <w:t xml:space="preserve"> </w:t>
      </w:r>
      <w:r w:rsidR="00B40624" w:rsidRPr="0C7F84F9">
        <w:rPr>
          <w:rFonts w:cs="Times New Roman"/>
          <w:b/>
          <w:bCs/>
          <w:noProof/>
          <w:lang w:val="en-GB"/>
        </w:rPr>
        <w:t xml:space="preserve">underlying </w:t>
      </w:r>
      <w:r w:rsidR="00172737" w:rsidRPr="0C7F84F9">
        <w:rPr>
          <w:rFonts w:cs="Times New Roman"/>
          <w:b/>
          <w:bCs/>
          <w:noProof/>
          <w:lang w:val="en-GB"/>
        </w:rPr>
        <w:t>CAP</w:t>
      </w:r>
      <w:r w:rsidR="00B40624" w:rsidRPr="0C7F84F9">
        <w:rPr>
          <w:rFonts w:cs="Times New Roman"/>
          <w:b/>
          <w:bCs/>
          <w:noProof/>
          <w:lang w:val="en-GB"/>
        </w:rPr>
        <w:t xml:space="preserve"> </w:t>
      </w:r>
      <w:r w:rsidR="36915283" w:rsidRPr="5DB15AE9">
        <w:rPr>
          <w:rFonts w:cs="Times New Roman"/>
          <w:b/>
          <w:bCs/>
          <w:noProof/>
          <w:lang w:val="en-GB"/>
        </w:rPr>
        <w:t xml:space="preserve">basic </w:t>
      </w:r>
      <w:r w:rsidR="00B40624" w:rsidRPr="0C7F84F9">
        <w:rPr>
          <w:rFonts w:cs="Times New Roman"/>
          <w:b/>
          <w:bCs/>
          <w:noProof/>
          <w:lang w:val="en-GB"/>
        </w:rPr>
        <w:t>legislation</w:t>
      </w:r>
      <w:r w:rsidR="00E8631B" w:rsidRPr="0C7F84F9">
        <w:rPr>
          <w:rFonts w:cs="Times New Roman"/>
          <w:b/>
          <w:bCs/>
          <w:noProof/>
          <w:lang w:val="en-GB"/>
        </w:rPr>
        <w:t xml:space="preserve"> </w:t>
      </w:r>
      <w:r w:rsidR="00E8631B" w:rsidRPr="0C7F84F9">
        <w:rPr>
          <w:rFonts w:cs="Times New Roman"/>
          <w:noProof/>
          <w:lang w:val="en-GB"/>
        </w:rPr>
        <w:t xml:space="preserve">(the CAP </w:t>
      </w:r>
      <w:r w:rsidR="002A0A3A" w:rsidRPr="5DB15AE9">
        <w:rPr>
          <w:rFonts w:cs="Times New Roman"/>
          <w:noProof/>
          <w:lang w:val="en-GB"/>
        </w:rPr>
        <w:t>S</w:t>
      </w:r>
      <w:r w:rsidR="00E8631B" w:rsidRPr="0C7F84F9">
        <w:rPr>
          <w:rFonts w:cs="Times New Roman"/>
          <w:noProof/>
          <w:lang w:val="en-GB"/>
        </w:rPr>
        <w:t xml:space="preserve">trategic </w:t>
      </w:r>
      <w:r w:rsidR="002A0A3A" w:rsidRPr="5DB15AE9">
        <w:rPr>
          <w:rFonts w:cs="Times New Roman"/>
          <w:noProof/>
          <w:lang w:val="en-GB"/>
        </w:rPr>
        <w:t>P</w:t>
      </w:r>
      <w:r w:rsidR="00E8631B" w:rsidRPr="0C7F84F9">
        <w:rPr>
          <w:rFonts w:cs="Times New Roman"/>
          <w:noProof/>
          <w:lang w:val="en-GB"/>
        </w:rPr>
        <w:t>lan Regulation and the Horizontal Regulation)</w:t>
      </w:r>
      <w:r w:rsidR="00B40624" w:rsidRPr="0C7F84F9">
        <w:rPr>
          <w:rStyle w:val="FootnoteReference"/>
          <w:rFonts w:cs="Times New Roman"/>
          <w:noProof/>
          <w:lang w:val="en-GB"/>
        </w:rPr>
        <w:footnoteReference w:id="4"/>
      </w:r>
      <w:r w:rsidR="000B2892" w:rsidRPr="0C7F84F9">
        <w:rPr>
          <w:rFonts w:cs="Times New Roman"/>
          <w:noProof/>
          <w:lang w:val="en-GB"/>
        </w:rPr>
        <w:t xml:space="preserve"> to deliver simplification while </w:t>
      </w:r>
      <w:r w:rsidR="007D66D6" w:rsidRPr="0C7F84F9">
        <w:rPr>
          <w:rFonts w:cs="Times New Roman"/>
          <w:noProof/>
          <w:lang w:val="en-GB"/>
        </w:rPr>
        <w:t xml:space="preserve">maintaining </w:t>
      </w:r>
      <w:r w:rsidR="00E11861" w:rsidRPr="0C7F84F9">
        <w:rPr>
          <w:rFonts w:cs="Times New Roman"/>
          <w:noProof/>
          <w:lang w:val="en-GB"/>
        </w:rPr>
        <w:t xml:space="preserve">the overall orientation of the current CAP and its role in supporting the transition of European agriculture to sustainable farming. </w:t>
      </w:r>
      <w:r w:rsidR="004D3EE4" w:rsidRPr="0C7F84F9">
        <w:rPr>
          <w:rFonts w:cs="Times New Roman"/>
          <w:noProof/>
          <w:lang w:val="en-GB"/>
        </w:rPr>
        <w:t xml:space="preserve">Without changes </w:t>
      </w:r>
      <w:r w:rsidR="00FB3C1D" w:rsidRPr="5DB15AE9">
        <w:rPr>
          <w:rFonts w:cs="Times New Roman"/>
          <w:noProof/>
          <w:lang w:val="en-GB"/>
        </w:rPr>
        <w:t xml:space="preserve">in </w:t>
      </w:r>
      <w:r w:rsidR="004D3EE4" w:rsidRPr="0C7F84F9">
        <w:rPr>
          <w:rFonts w:cs="Times New Roman"/>
          <w:noProof/>
          <w:lang w:val="en-GB"/>
        </w:rPr>
        <w:t>substance</w:t>
      </w:r>
      <w:r w:rsidR="00671C99" w:rsidRPr="0C7F84F9">
        <w:rPr>
          <w:rFonts w:cs="Times New Roman"/>
          <w:noProof/>
          <w:lang w:val="en-GB"/>
        </w:rPr>
        <w:t xml:space="preserve">, </w:t>
      </w:r>
      <w:r w:rsidR="0005048F" w:rsidRPr="5DB15AE9">
        <w:rPr>
          <w:rFonts w:cs="Times New Roman"/>
          <w:noProof/>
          <w:lang w:val="en-GB"/>
        </w:rPr>
        <w:t xml:space="preserve">the proposal </w:t>
      </w:r>
      <w:r w:rsidR="00671C99" w:rsidRPr="0C7F84F9">
        <w:rPr>
          <w:rFonts w:cs="Times New Roman"/>
          <w:noProof/>
          <w:lang w:val="en-GB"/>
        </w:rPr>
        <w:t xml:space="preserve">was </w:t>
      </w:r>
      <w:r w:rsidR="00302CAF" w:rsidRPr="0C7F84F9">
        <w:rPr>
          <w:rFonts w:cs="Times New Roman"/>
          <w:noProof/>
          <w:lang w:val="en-GB"/>
        </w:rPr>
        <w:t xml:space="preserve">adopted </w:t>
      </w:r>
      <w:r w:rsidR="5AD3D552" w:rsidRPr="0C7F84F9">
        <w:rPr>
          <w:rFonts w:cs="Times New Roman"/>
          <w:noProof/>
          <w:lang w:val="en-GB"/>
        </w:rPr>
        <w:t xml:space="preserve">by the co-legislators </w:t>
      </w:r>
      <w:r w:rsidR="00302CAF" w:rsidRPr="0C7F84F9">
        <w:rPr>
          <w:rFonts w:cs="Times New Roman"/>
          <w:noProof/>
          <w:lang w:val="en-GB"/>
        </w:rPr>
        <w:t xml:space="preserve">and then </w:t>
      </w:r>
      <w:r w:rsidR="009E70DD" w:rsidRPr="0099203D">
        <w:rPr>
          <w:rFonts w:cs="Times New Roman"/>
          <w:noProof/>
          <w:lang w:val="en-GB"/>
        </w:rPr>
        <w:t>published</w:t>
      </w:r>
      <w:r w:rsidR="009E70DD" w:rsidRPr="00721EAA">
        <w:rPr>
          <w:rFonts w:cs="Times New Roman"/>
          <w:noProof/>
          <w:lang w:val="en-GB"/>
        </w:rPr>
        <w:t xml:space="preserve"> </w:t>
      </w:r>
      <w:r w:rsidR="009E70DD" w:rsidRPr="0099203D">
        <w:rPr>
          <w:rFonts w:cs="Times New Roman"/>
          <w:noProof/>
          <w:lang w:val="en-GB"/>
        </w:rPr>
        <w:t xml:space="preserve">on 24 </w:t>
      </w:r>
      <w:r w:rsidR="00AA603C" w:rsidRPr="0099203D">
        <w:rPr>
          <w:rFonts w:cs="Times New Roman"/>
          <w:noProof/>
          <w:lang w:val="en-GB"/>
        </w:rPr>
        <w:t>May</w:t>
      </w:r>
      <w:r w:rsidR="009E70DD" w:rsidRPr="0099203D">
        <w:rPr>
          <w:rFonts w:cs="Times New Roman"/>
          <w:noProof/>
          <w:lang w:val="en-GB"/>
        </w:rPr>
        <w:t xml:space="preserve"> 2024</w:t>
      </w:r>
      <w:r w:rsidR="00861B5E" w:rsidRPr="00721EAA">
        <w:rPr>
          <w:rStyle w:val="FootnoteReference"/>
          <w:rFonts w:cs="Times New Roman"/>
          <w:noProof/>
          <w:lang w:val="en-GB"/>
        </w:rPr>
        <w:footnoteReference w:id="5"/>
      </w:r>
      <w:r w:rsidR="00934CC3" w:rsidRPr="00721EAA">
        <w:rPr>
          <w:rFonts w:cs="Times New Roman"/>
          <w:noProof/>
          <w:lang w:val="en-GB"/>
        </w:rPr>
        <w:t xml:space="preserve"> </w:t>
      </w:r>
      <w:r w:rsidR="00934CC3">
        <w:rPr>
          <w:rFonts w:cs="Times New Roman"/>
          <w:noProof/>
          <w:lang w:val="en-GB"/>
        </w:rPr>
        <w:t>(the Simplification Regulation).</w:t>
      </w:r>
      <w:r w:rsidR="00170753" w:rsidRPr="0C7F84F9">
        <w:rPr>
          <w:rFonts w:cs="Times New Roman"/>
          <w:noProof/>
          <w:lang w:val="en-GB"/>
        </w:rPr>
        <w:t xml:space="preserve"> </w:t>
      </w:r>
      <w:r w:rsidR="4EBBDE81" w:rsidRPr="0C7F84F9">
        <w:rPr>
          <w:rFonts w:cs="Times New Roman"/>
          <w:noProof/>
          <w:lang w:val="en-GB"/>
        </w:rPr>
        <w:t>These</w:t>
      </w:r>
      <w:r w:rsidR="001D5DFF" w:rsidRPr="0C7F84F9">
        <w:rPr>
          <w:rFonts w:cs="Times New Roman"/>
          <w:noProof/>
          <w:lang w:val="en-GB"/>
        </w:rPr>
        <w:t xml:space="preserve"> </w:t>
      </w:r>
      <w:r w:rsidR="00C879EC" w:rsidRPr="0C7F84F9">
        <w:rPr>
          <w:rFonts w:cs="Times New Roman"/>
          <w:noProof/>
          <w:lang w:val="en-GB"/>
        </w:rPr>
        <w:t>measures</w:t>
      </w:r>
      <w:r w:rsidR="009E70DD" w:rsidRPr="0C7F84F9">
        <w:rPr>
          <w:rFonts w:cs="Times New Roman"/>
          <w:noProof/>
          <w:lang w:val="en-GB"/>
        </w:rPr>
        <w:t xml:space="preserve"> </w:t>
      </w:r>
      <w:r w:rsidR="00D93594" w:rsidRPr="0C7F84F9">
        <w:rPr>
          <w:rFonts w:cs="Times New Roman"/>
          <w:noProof/>
          <w:lang w:val="en-GB"/>
        </w:rPr>
        <w:t>are accompanied by changes to some</w:t>
      </w:r>
      <w:r w:rsidR="0048151C" w:rsidRPr="5DB15AE9">
        <w:rPr>
          <w:rFonts w:cs="Times New Roman"/>
          <w:noProof/>
          <w:lang w:val="en-GB"/>
        </w:rPr>
        <w:t xml:space="preserve"> of the </w:t>
      </w:r>
      <w:r w:rsidR="0048151C" w:rsidRPr="0099203D">
        <w:rPr>
          <w:rFonts w:cs="Times New Roman"/>
          <w:b/>
          <w:bCs/>
          <w:noProof/>
          <w:lang w:val="en-GB"/>
        </w:rPr>
        <w:t>detailed rules</w:t>
      </w:r>
      <w:r w:rsidR="00D93594" w:rsidRPr="5DB15AE9">
        <w:rPr>
          <w:rFonts w:cs="Times New Roman"/>
          <w:noProof/>
          <w:lang w:val="en-GB"/>
        </w:rPr>
        <w:t xml:space="preserve"> </w:t>
      </w:r>
      <w:r w:rsidR="000A25DA" w:rsidRPr="5DB15AE9">
        <w:rPr>
          <w:rFonts w:cs="Times New Roman"/>
          <w:b/>
          <w:bCs/>
          <w:noProof/>
          <w:lang w:val="en-GB"/>
        </w:rPr>
        <w:t>of the</w:t>
      </w:r>
      <w:r w:rsidR="00D93594" w:rsidRPr="5DB15AE9">
        <w:rPr>
          <w:rFonts w:cs="Times New Roman"/>
          <w:b/>
          <w:bCs/>
          <w:noProof/>
          <w:lang w:val="en-GB"/>
        </w:rPr>
        <w:t xml:space="preserve"> </w:t>
      </w:r>
      <w:r w:rsidR="000E276E" w:rsidRPr="5DB15AE9">
        <w:rPr>
          <w:rFonts w:cs="Times New Roman"/>
          <w:b/>
          <w:bCs/>
          <w:noProof/>
          <w:lang w:val="en-GB"/>
        </w:rPr>
        <w:t>CAP</w:t>
      </w:r>
      <w:r w:rsidR="00AD5951" w:rsidRPr="5DB15AE9">
        <w:rPr>
          <w:rFonts w:cs="Times New Roman"/>
          <w:b/>
          <w:bCs/>
          <w:noProof/>
          <w:lang w:val="en-GB"/>
        </w:rPr>
        <w:t xml:space="preserve"> set in the secondary legislation</w:t>
      </w:r>
      <w:r w:rsidR="00FB3C1D" w:rsidRPr="0099203D">
        <w:rPr>
          <w:rFonts w:cs="Times New Roman"/>
          <w:b/>
          <w:bCs/>
          <w:noProof/>
          <w:lang w:val="en-GB"/>
        </w:rPr>
        <w:t xml:space="preserve">, </w:t>
      </w:r>
      <w:r w:rsidR="00D93594" w:rsidRPr="0C7F84F9">
        <w:rPr>
          <w:rFonts w:cs="Times New Roman"/>
          <w:noProof/>
          <w:lang w:val="en-GB"/>
        </w:rPr>
        <w:t>and</w:t>
      </w:r>
      <w:r w:rsidR="001D5DFF" w:rsidRPr="0C7F84F9">
        <w:rPr>
          <w:rFonts w:cs="Times New Roman"/>
          <w:noProof/>
          <w:lang w:val="en-GB"/>
        </w:rPr>
        <w:t xml:space="preserve"> </w:t>
      </w:r>
      <w:r w:rsidR="006A37F5" w:rsidRPr="0C7F84F9">
        <w:rPr>
          <w:rFonts w:cs="Times New Roman"/>
          <w:noProof/>
          <w:lang w:val="en-GB"/>
        </w:rPr>
        <w:t xml:space="preserve">by </w:t>
      </w:r>
      <w:r w:rsidR="000E276E" w:rsidRPr="0099203D">
        <w:rPr>
          <w:rFonts w:cs="Times New Roman"/>
          <w:b/>
          <w:bCs/>
          <w:noProof/>
          <w:lang w:val="en-GB"/>
        </w:rPr>
        <w:t>other</w:t>
      </w:r>
      <w:r w:rsidR="4EBBDE81" w:rsidRPr="0099203D">
        <w:rPr>
          <w:rFonts w:cs="Times New Roman"/>
          <w:b/>
          <w:bCs/>
          <w:noProof/>
          <w:lang w:val="en-GB"/>
        </w:rPr>
        <w:t xml:space="preserve"> </w:t>
      </w:r>
      <w:r w:rsidR="0005048F" w:rsidRPr="0099203D">
        <w:rPr>
          <w:rFonts w:cs="Times New Roman"/>
          <w:b/>
          <w:bCs/>
          <w:noProof/>
          <w:lang w:val="en-GB"/>
        </w:rPr>
        <w:t>measures</w:t>
      </w:r>
      <w:r w:rsidR="0005048F" w:rsidRPr="5DB15AE9">
        <w:rPr>
          <w:rFonts w:cs="Times New Roman"/>
          <w:noProof/>
          <w:lang w:val="en-GB"/>
        </w:rPr>
        <w:t xml:space="preserve"> </w:t>
      </w:r>
      <w:r w:rsidR="00A75A17" w:rsidRPr="0C7F84F9">
        <w:rPr>
          <w:rFonts w:cs="Times New Roman"/>
          <w:noProof/>
          <w:lang w:val="en-GB"/>
        </w:rPr>
        <w:t>to reduce the administrative burden on farmers</w:t>
      </w:r>
      <w:r w:rsidR="00E80CC8" w:rsidRPr="0C7F84F9">
        <w:rPr>
          <w:rFonts w:cs="Times New Roman"/>
          <w:noProof/>
          <w:lang w:val="en-GB"/>
        </w:rPr>
        <w:t xml:space="preserve"> as part of the </w:t>
      </w:r>
      <w:r w:rsidR="005768B1" w:rsidRPr="0C7F84F9">
        <w:rPr>
          <w:rFonts w:cs="Times New Roman"/>
          <w:noProof/>
          <w:lang w:val="en-GB"/>
        </w:rPr>
        <w:t>Commission</w:t>
      </w:r>
      <w:r w:rsidR="0005048F" w:rsidRPr="5DB15AE9">
        <w:rPr>
          <w:rFonts w:cs="Times New Roman"/>
          <w:noProof/>
          <w:lang w:val="en-GB"/>
        </w:rPr>
        <w:t>’s wider</w:t>
      </w:r>
      <w:r w:rsidR="005768B1" w:rsidRPr="0C7F84F9">
        <w:rPr>
          <w:rFonts w:cs="Times New Roman"/>
          <w:noProof/>
          <w:lang w:val="en-GB"/>
        </w:rPr>
        <w:t xml:space="preserve"> </w:t>
      </w:r>
      <w:r w:rsidR="00825735" w:rsidRPr="0C7F84F9">
        <w:rPr>
          <w:rFonts w:cs="Times New Roman"/>
          <w:noProof/>
          <w:lang w:val="en-GB"/>
        </w:rPr>
        <w:t xml:space="preserve">policy to </w:t>
      </w:r>
      <w:r w:rsidR="00825735" w:rsidRPr="0C7F84F9">
        <w:rPr>
          <w:rFonts w:cs="Times New Roman"/>
          <w:b/>
          <w:bCs/>
          <w:noProof/>
          <w:lang w:val="en-GB"/>
        </w:rPr>
        <w:t>rationalise reporting</w:t>
      </w:r>
      <w:r w:rsidR="00825735" w:rsidRPr="0C7F84F9">
        <w:rPr>
          <w:rFonts w:cs="Times New Roman"/>
          <w:noProof/>
          <w:lang w:val="en-GB"/>
        </w:rPr>
        <w:t xml:space="preserve"> </w:t>
      </w:r>
      <w:r w:rsidR="00825735" w:rsidRPr="0C7F84F9">
        <w:rPr>
          <w:rFonts w:cs="Times New Roman"/>
          <w:b/>
          <w:bCs/>
          <w:noProof/>
          <w:lang w:val="en-GB"/>
        </w:rPr>
        <w:t>obligations</w:t>
      </w:r>
      <w:r w:rsidR="0005048F" w:rsidRPr="0099203D">
        <w:rPr>
          <w:rFonts w:cs="Times New Roman"/>
          <w:noProof/>
          <w:lang w:val="en-GB"/>
        </w:rPr>
        <w:t>,</w:t>
      </w:r>
      <w:r w:rsidR="006E14B5" w:rsidRPr="0C7F84F9">
        <w:rPr>
          <w:rFonts w:cs="Times New Roman"/>
          <w:noProof/>
          <w:lang w:val="en-GB"/>
        </w:rPr>
        <w:t xml:space="preserve"> </w:t>
      </w:r>
      <w:r w:rsidR="00825735" w:rsidRPr="0C7F84F9">
        <w:rPr>
          <w:rFonts w:cs="Times New Roman"/>
          <w:noProof/>
          <w:lang w:val="en-GB"/>
        </w:rPr>
        <w:t>launched in 2023</w:t>
      </w:r>
      <w:r w:rsidR="0027035B" w:rsidRPr="0C7F84F9">
        <w:rPr>
          <w:rStyle w:val="FootnoteReference"/>
          <w:rFonts w:cs="Times New Roman"/>
          <w:noProof/>
          <w:lang w:val="en-GB"/>
        </w:rPr>
        <w:footnoteReference w:id="6"/>
      </w:r>
      <w:r w:rsidR="00724676" w:rsidRPr="0C7F84F9">
        <w:rPr>
          <w:rFonts w:cs="Times New Roman"/>
          <w:noProof/>
          <w:lang w:val="en-GB"/>
        </w:rPr>
        <w:t>.</w:t>
      </w:r>
    </w:p>
    <w:p w14:paraId="660616CA" w14:textId="744445A8" w:rsidR="00D83221" w:rsidRPr="00A36E96" w:rsidRDefault="00E84463" w:rsidP="006D5C9F">
      <w:pPr>
        <w:spacing w:after="120"/>
        <w:jc w:val="both"/>
        <w:rPr>
          <w:rFonts w:cs="Times New Roman"/>
          <w:noProof/>
          <w:szCs w:val="24"/>
          <w:lang w:val="en-GB"/>
        </w:rPr>
      </w:pPr>
      <w:r w:rsidRPr="00A36E96">
        <w:rPr>
          <w:rFonts w:cs="Times New Roman"/>
          <w:noProof/>
          <w:szCs w:val="24"/>
          <w:lang w:val="en-GB"/>
        </w:rPr>
        <w:t>This</w:t>
      </w:r>
      <w:r w:rsidR="008D1608" w:rsidRPr="00A36E96">
        <w:rPr>
          <w:rFonts w:cs="Times New Roman"/>
          <w:noProof/>
          <w:szCs w:val="24"/>
          <w:lang w:val="en-GB"/>
        </w:rPr>
        <w:t xml:space="preserve"> document</w:t>
      </w:r>
      <w:r w:rsidR="008D1608" w:rsidRPr="00A36E96">
        <w:rPr>
          <w:rFonts w:cs="Times New Roman"/>
          <w:b/>
          <w:noProof/>
          <w:szCs w:val="24"/>
          <w:lang w:val="en-GB"/>
        </w:rPr>
        <w:t xml:space="preserve"> </w:t>
      </w:r>
      <w:r w:rsidRPr="00A36E96">
        <w:rPr>
          <w:rFonts w:cs="Times New Roman"/>
          <w:b/>
          <w:bCs/>
          <w:noProof/>
          <w:szCs w:val="24"/>
          <w:lang w:val="en-GB"/>
        </w:rPr>
        <w:t xml:space="preserve">takes stock of </w:t>
      </w:r>
      <w:r w:rsidR="004958CD" w:rsidRPr="00A36E96">
        <w:rPr>
          <w:rFonts w:cs="Times New Roman"/>
          <w:b/>
          <w:bCs/>
          <w:noProof/>
          <w:szCs w:val="24"/>
          <w:lang w:val="en-GB"/>
        </w:rPr>
        <w:t>progress in implementing the</w:t>
      </w:r>
      <w:r w:rsidRPr="00A36E96">
        <w:rPr>
          <w:rFonts w:cs="Times New Roman"/>
          <w:b/>
          <w:bCs/>
          <w:noProof/>
          <w:szCs w:val="24"/>
          <w:lang w:val="en-GB"/>
        </w:rPr>
        <w:t xml:space="preserve"> simplification </w:t>
      </w:r>
      <w:r w:rsidR="004958CD" w:rsidRPr="00A36E96">
        <w:rPr>
          <w:rFonts w:cs="Times New Roman"/>
          <w:b/>
          <w:bCs/>
          <w:noProof/>
          <w:szCs w:val="24"/>
          <w:lang w:val="en-GB"/>
        </w:rPr>
        <w:t>package</w:t>
      </w:r>
      <w:r w:rsidR="00BA63CB" w:rsidRPr="00A36E96">
        <w:rPr>
          <w:rFonts w:cs="Times New Roman"/>
          <w:noProof/>
          <w:szCs w:val="24"/>
          <w:lang w:val="en-GB"/>
        </w:rPr>
        <w:t xml:space="preserve">, </w:t>
      </w:r>
      <w:r w:rsidR="00E25B34">
        <w:rPr>
          <w:rFonts w:cs="Times New Roman"/>
          <w:noProof/>
          <w:szCs w:val="24"/>
          <w:lang w:val="en-GB"/>
        </w:rPr>
        <w:t>which includes</w:t>
      </w:r>
      <w:r w:rsidR="00BA63CB" w:rsidRPr="00A36E96">
        <w:rPr>
          <w:rFonts w:cs="Times New Roman"/>
          <w:noProof/>
          <w:szCs w:val="24"/>
          <w:lang w:val="en-GB"/>
        </w:rPr>
        <w:t xml:space="preserve"> the </w:t>
      </w:r>
      <w:r w:rsidR="0079702A" w:rsidRPr="00A36E96">
        <w:rPr>
          <w:rFonts w:cs="Times New Roman"/>
          <w:noProof/>
          <w:szCs w:val="24"/>
          <w:lang w:val="en-GB"/>
        </w:rPr>
        <w:t xml:space="preserve">Commission proposal of </w:t>
      </w:r>
      <w:r w:rsidR="00BA63CB" w:rsidRPr="00A36E96">
        <w:rPr>
          <w:rFonts w:cs="Times New Roman"/>
          <w:noProof/>
          <w:szCs w:val="24"/>
          <w:lang w:val="en-GB"/>
        </w:rPr>
        <w:t xml:space="preserve">15 March </w:t>
      </w:r>
      <w:r w:rsidR="0079702A" w:rsidRPr="00A36E96">
        <w:rPr>
          <w:rFonts w:cs="Times New Roman"/>
          <w:noProof/>
          <w:szCs w:val="24"/>
          <w:lang w:val="en-GB"/>
        </w:rPr>
        <w:t>2024</w:t>
      </w:r>
      <w:r w:rsidR="00383AD4" w:rsidRPr="00A36E96">
        <w:rPr>
          <w:rFonts w:cs="Times New Roman"/>
          <w:noProof/>
          <w:szCs w:val="24"/>
          <w:lang w:val="en-GB"/>
        </w:rPr>
        <w:t xml:space="preserve">. </w:t>
      </w:r>
      <w:r w:rsidR="00CC49C5" w:rsidRPr="00A36E96">
        <w:rPr>
          <w:rFonts w:cs="Times New Roman"/>
          <w:noProof/>
          <w:szCs w:val="24"/>
          <w:lang w:val="en-GB"/>
        </w:rPr>
        <w:t xml:space="preserve">It </w:t>
      </w:r>
      <w:r w:rsidR="006C1923" w:rsidRPr="00A36E96">
        <w:rPr>
          <w:rFonts w:cs="Times New Roman"/>
          <w:noProof/>
          <w:szCs w:val="24"/>
          <w:lang w:val="en-GB"/>
        </w:rPr>
        <w:t>outlines</w:t>
      </w:r>
      <w:r w:rsidR="00CC49C5" w:rsidRPr="00A36E96">
        <w:rPr>
          <w:rFonts w:cs="Times New Roman"/>
          <w:noProof/>
          <w:szCs w:val="24"/>
          <w:lang w:val="en-GB"/>
        </w:rPr>
        <w:t xml:space="preserve"> the </w:t>
      </w:r>
      <w:r w:rsidR="006C1923" w:rsidRPr="00A36E96">
        <w:rPr>
          <w:rFonts w:cs="Times New Roman"/>
          <w:noProof/>
          <w:szCs w:val="24"/>
          <w:lang w:val="en-GB"/>
        </w:rPr>
        <w:t xml:space="preserve">key challenges, the </w:t>
      </w:r>
      <w:r w:rsidR="00CC49C5" w:rsidRPr="00A36E96">
        <w:rPr>
          <w:rFonts w:cs="Times New Roman"/>
          <w:noProof/>
          <w:szCs w:val="24"/>
          <w:lang w:val="en-GB"/>
        </w:rPr>
        <w:t>process</w:t>
      </w:r>
      <w:r w:rsidR="00297DF5" w:rsidRPr="00A36E96">
        <w:rPr>
          <w:rFonts w:cs="Times New Roman"/>
          <w:noProof/>
          <w:szCs w:val="24"/>
          <w:lang w:val="en-GB"/>
        </w:rPr>
        <w:t xml:space="preserve">, </w:t>
      </w:r>
      <w:r w:rsidR="00CC49C5" w:rsidRPr="00A36E96">
        <w:rPr>
          <w:rFonts w:cs="Times New Roman"/>
          <w:noProof/>
          <w:szCs w:val="24"/>
          <w:lang w:val="en-GB"/>
        </w:rPr>
        <w:t>the results of</w:t>
      </w:r>
      <w:r w:rsidR="006C1923" w:rsidRPr="00A36E96">
        <w:rPr>
          <w:rFonts w:cs="Times New Roman"/>
          <w:noProof/>
          <w:szCs w:val="24"/>
          <w:lang w:val="en-GB"/>
        </w:rPr>
        <w:t xml:space="preserve"> the</w:t>
      </w:r>
      <w:r w:rsidR="00CC49C5" w:rsidRPr="00A36E96">
        <w:rPr>
          <w:rFonts w:cs="Times New Roman"/>
          <w:noProof/>
          <w:szCs w:val="24"/>
          <w:lang w:val="en-GB"/>
        </w:rPr>
        <w:t xml:space="preserve"> consultations </w:t>
      </w:r>
      <w:r w:rsidR="00E25B34">
        <w:rPr>
          <w:rFonts w:cs="Times New Roman"/>
          <w:noProof/>
          <w:szCs w:val="24"/>
          <w:lang w:val="en-GB"/>
        </w:rPr>
        <w:t>that fed into</w:t>
      </w:r>
      <w:r w:rsidR="009E1872" w:rsidRPr="00A36E96">
        <w:rPr>
          <w:rFonts w:cs="Times New Roman"/>
          <w:noProof/>
          <w:szCs w:val="24"/>
          <w:lang w:val="en-GB"/>
        </w:rPr>
        <w:t xml:space="preserve"> the package</w:t>
      </w:r>
      <w:r w:rsidR="00E25B34">
        <w:rPr>
          <w:rFonts w:cs="Times New Roman"/>
          <w:noProof/>
          <w:szCs w:val="24"/>
          <w:lang w:val="en-GB"/>
        </w:rPr>
        <w:t>,</w:t>
      </w:r>
      <w:r w:rsidR="00297DF5" w:rsidRPr="00A36E96">
        <w:rPr>
          <w:rFonts w:cs="Times New Roman"/>
          <w:noProof/>
          <w:szCs w:val="24"/>
          <w:lang w:val="en-GB"/>
        </w:rPr>
        <w:t xml:space="preserve"> and</w:t>
      </w:r>
      <w:r w:rsidR="00913E5A" w:rsidRPr="00A36E96">
        <w:rPr>
          <w:rFonts w:cs="Times New Roman"/>
          <w:noProof/>
          <w:szCs w:val="24"/>
          <w:lang w:val="en-GB"/>
        </w:rPr>
        <w:t xml:space="preserve"> the </w:t>
      </w:r>
      <w:r w:rsidR="00E25B34">
        <w:rPr>
          <w:rFonts w:cs="Times New Roman"/>
          <w:noProof/>
          <w:szCs w:val="24"/>
          <w:lang w:val="en-GB"/>
        </w:rPr>
        <w:t xml:space="preserve">different </w:t>
      </w:r>
      <w:r w:rsidR="00913E5A" w:rsidRPr="00A36E96">
        <w:rPr>
          <w:rFonts w:cs="Times New Roman"/>
          <w:noProof/>
          <w:szCs w:val="24"/>
          <w:lang w:val="en-GB"/>
        </w:rPr>
        <w:t>options considered</w:t>
      </w:r>
      <w:r w:rsidR="00297DF5" w:rsidRPr="00A36E96">
        <w:rPr>
          <w:rFonts w:cs="Times New Roman"/>
          <w:noProof/>
          <w:szCs w:val="24"/>
          <w:lang w:val="en-GB"/>
        </w:rPr>
        <w:t>.</w:t>
      </w:r>
      <w:r w:rsidR="00913E5A" w:rsidRPr="00A36E96">
        <w:rPr>
          <w:rFonts w:cs="Times New Roman"/>
          <w:noProof/>
          <w:szCs w:val="24"/>
          <w:lang w:val="en-GB"/>
        </w:rPr>
        <w:t xml:space="preserve"> </w:t>
      </w:r>
      <w:r w:rsidR="00297DF5" w:rsidRPr="00A36E96">
        <w:rPr>
          <w:rFonts w:cs="Times New Roman"/>
          <w:noProof/>
          <w:szCs w:val="24"/>
          <w:lang w:val="en-GB"/>
        </w:rPr>
        <w:t xml:space="preserve">Following a presentation of </w:t>
      </w:r>
      <w:r w:rsidR="00FD12BA" w:rsidRPr="00A36E96">
        <w:rPr>
          <w:rFonts w:cs="Times New Roman"/>
          <w:noProof/>
          <w:szCs w:val="24"/>
          <w:lang w:val="en-GB"/>
        </w:rPr>
        <w:t xml:space="preserve">the solutions </w:t>
      </w:r>
      <w:r w:rsidR="00E25B34">
        <w:rPr>
          <w:rFonts w:cs="Times New Roman"/>
          <w:noProof/>
          <w:szCs w:val="24"/>
          <w:lang w:val="en-GB"/>
        </w:rPr>
        <w:t xml:space="preserve">that were </w:t>
      </w:r>
      <w:r w:rsidR="00FD12BA" w:rsidRPr="00A36E96">
        <w:rPr>
          <w:rFonts w:cs="Times New Roman"/>
          <w:noProof/>
          <w:szCs w:val="24"/>
          <w:lang w:val="en-GB"/>
        </w:rPr>
        <w:t>found, i</w:t>
      </w:r>
      <w:r w:rsidR="00383AD4" w:rsidRPr="00A36E96">
        <w:rPr>
          <w:rFonts w:cs="Times New Roman"/>
          <w:noProof/>
          <w:szCs w:val="24"/>
          <w:lang w:val="en-GB"/>
        </w:rPr>
        <w:t>t</w:t>
      </w:r>
      <w:r w:rsidRPr="00A36E96">
        <w:rPr>
          <w:rFonts w:cs="Times New Roman"/>
          <w:noProof/>
          <w:szCs w:val="24"/>
          <w:lang w:val="en-GB"/>
        </w:rPr>
        <w:t xml:space="preserve"> provides </w:t>
      </w:r>
      <w:r w:rsidR="00E25B34">
        <w:rPr>
          <w:rFonts w:cs="Times New Roman"/>
          <w:noProof/>
          <w:szCs w:val="24"/>
          <w:lang w:val="en-GB"/>
        </w:rPr>
        <w:t>a</w:t>
      </w:r>
      <w:r w:rsidR="00E25B34" w:rsidRPr="00A36E96">
        <w:rPr>
          <w:rFonts w:cs="Times New Roman"/>
          <w:noProof/>
          <w:szCs w:val="24"/>
          <w:lang w:val="en-GB"/>
        </w:rPr>
        <w:t xml:space="preserve"> </w:t>
      </w:r>
      <w:r w:rsidRPr="00A36E96">
        <w:rPr>
          <w:rFonts w:cs="Times New Roman"/>
          <w:noProof/>
          <w:szCs w:val="24"/>
          <w:lang w:val="en-GB"/>
        </w:rPr>
        <w:t xml:space="preserve">qualitative and, where feasible, quantitative </w:t>
      </w:r>
      <w:r w:rsidRPr="00A36E96">
        <w:rPr>
          <w:rFonts w:cs="Times New Roman"/>
          <w:b/>
          <w:noProof/>
          <w:szCs w:val="24"/>
          <w:lang w:val="en-GB"/>
        </w:rPr>
        <w:t>assessment of the</w:t>
      </w:r>
      <w:r w:rsidRPr="00A36E96" w:rsidDel="00CE58E8">
        <w:rPr>
          <w:rFonts w:cs="Times New Roman"/>
          <w:b/>
          <w:noProof/>
          <w:szCs w:val="24"/>
          <w:lang w:val="en-GB"/>
        </w:rPr>
        <w:t>ir</w:t>
      </w:r>
      <w:r w:rsidRPr="00A36E96">
        <w:rPr>
          <w:rFonts w:cs="Times New Roman"/>
          <w:b/>
          <w:noProof/>
          <w:szCs w:val="24"/>
          <w:lang w:val="en-GB"/>
        </w:rPr>
        <w:t xml:space="preserve"> </w:t>
      </w:r>
      <w:r w:rsidR="000B0403" w:rsidRPr="00A36E96">
        <w:rPr>
          <w:rFonts w:cs="Times New Roman"/>
          <w:b/>
          <w:noProof/>
          <w:szCs w:val="24"/>
          <w:lang w:val="en-GB"/>
        </w:rPr>
        <w:t>cost</w:t>
      </w:r>
      <w:r w:rsidR="00391EE6" w:rsidRPr="00A36E96">
        <w:rPr>
          <w:rFonts w:cs="Times New Roman"/>
          <w:b/>
          <w:noProof/>
          <w:szCs w:val="24"/>
          <w:lang w:val="en-GB"/>
        </w:rPr>
        <w:t>s</w:t>
      </w:r>
      <w:r w:rsidR="000B0403" w:rsidRPr="00A36E96">
        <w:rPr>
          <w:rFonts w:cs="Times New Roman"/>
          <w:b/>
          <w:noProof/>
          <w:szCs w:val="24"/>
          <w:lang w:val="en-GB"/>
        </w:rPr>
        <w:t xml:space="preserve"> and benefits</w:t>
      </w:r>
      <w:r w:rsidR="00A04B5F" w:rsidRPr="00A36E96">
        <w:rPr>
          <w:rFonts w:cs="Times New Roman"/>
          <w:b/>
          <w:noProof/>
          <w:szCs w:val="24"/>
          <w:lang w:val="en-GB"/>
        </w:rPr>
        <w:t xml:space="preserve"> </w:t>
      </w:r>
      <w:r w:rsidR="00A04B5F" w:rsidRPr="00A36E96">
        <w:rPr>
          <w:rFonts w:cs="Times New Roman"/>
          <w:noProof/>
          <w:szCs w:val="24"/>
          <w:lang w:val="en-GB"/>
        </w:rPr>
        <w:t>fro</w:t>
      </w:r>
      <w:r w:rsidR="009E1872" w:rsidRPr="00A36E96">
        <w:rPr>
          <w:rFonts w:cs="Times New Roman"/>
          <w:noProof/>
          <w:szCs w:val="24"/>
          <w:lang w:val="en-GB"/>
        </w:rPr>
        <w:t>m</w:t>
      </w:r>
      <w:r w:rsidR="00A04B5F" w:rsidRPr="00A36E96">
        <w:rPr>
          <w:rFonts w:cs="Times New Roman"/>
          <w:noProof/>
          <w:szCs w:val="24"/>
          <w:lang w:val="en-GB"/>
        </w:rPr>
        <w:t xml:space="preserve"> </w:t>
      </w:r>
      <w:r w:rsidR="00E8147A" w:rsidRPr="00A36E96">
        <w:rPr>
          <w:rFonts w:cs="Times New Roman"/>
          <w:noProof/>
          <w:szCs w:val="24"/>
          <w:lang w:val="en-GB"/>
        </w:rPr>
        <w:t xml:space="preserve">administrative, </w:t>
      </w:r>
      <w:r w:rsidR="00A04B5F" w:rsidRPr="00A36E96">
        <w:rPr>
          <w:rFonts w:cs="Times New Roman"/>
          <w:noProof/>
          <w:szCs w:val="24"/>
          <w:lang w:val="en-GB"/>
        </w:rPr>
        <w:t>economic, environmental</w:t>
      </w:r>
      <w:r w:rsidR="00FB702D" w:rsidRPr="00A36E96">
        <w:rPr>
          <w:rFonts w:cs="Times New Roman"/>
          <w:noProof/>
          <w:szCs w:val="24"/>
          <w:lang w:val="en-GB"/>
        </w:rPr>
        <w:t>,</w:t>
      </w:r>
      <w:r w:rsidR="00A04B5F" w:rsidRPr="00A36E96">
        <w:rPr>
          <w:rFonts w:cs="Times New Roman"/>
          <w:noProof/>
          <w:szCs w:val="24"/>
          <w:lang w:val="en-GB"/>
        </w:rPr>
        <w:t xml:space="preserve"> social </w:t>
      </w:r>
      <w:r w:rsidR="452F8B9B" w:rsidRPr="00A36E96">
        <w:rPr>
          <w:rFonts w:cs="Times New Roman"/>
          <w:noProof/>
          <w:szCs w:val="24"/>
          <w:lang w:val="en-GB"/>
        </w:rPr>
        <w:t xml:space="preserve">and governance </w:t>
      </w:r>
      <w:r w:rsidR="00A04B5F" w:rsidRPr="00A36E96">
        <w:rPr>
          <w:rFonts w:cs="Times New Roman"/>
          <w:noProof/>
          <w:szCs w:val="24"/>
          <w:lang w:val="en-GB"/>
        </w:rPr>
        <w:t>perspective</w:t>
      </w:r>
      <w:r w:rsidR="679344CD" w:rsidRPr="00A36E96">
        <w:rPr>
          <w:rFonts w:cs="Times New Roman"/>
          <w:noProof/>
          <w:szCs w:val="24"/>
          <w:lang w:val="en-GB"/>
        </w:rPr>
        <w:t>s</w:t>
      </w:r>
      <w:r w:rsidR="00B94487" w:rsidRPr="00A36E96">
        <w:rPr>
          <w:rFonts w:cs="Times New Roman"/>
          <w:noProof/>
          <w:szCs w:val="24"/>
          <w:lang w:val="en-GB"/>
        </w:rPr>
        <w:t>.</w:t>
      </w:r>
    </w:p>
    <w:p w14:paraId="4E759EB9" w14:textId="72060CCD" w:rsidR="00E2182D" w:rsidRPr="00A36E96" w:rsidRDefault="006645A3" w:rsidP="006D5C9F">
      <w:pPr>
        <w:spacing w:after="120"/>
        <w:jc w:val="both"/>
        <w:rPr>
          <w:rFonts w:cs="Times New Roman"/>
          <w:noProof/>
          <w:szCs w:val="24"/>
          <w:lang w:val="en-GB"/>
        </w:rPr>
      </w:pPr>
      <w:r w:rsidRPr="00A36E96">
        <w:rPr>
          <w:rFonts w:cs="Times New Roman"/>
          <w:noProof/>
          <w:szCs w:val="24"/>
          <w:lang w:val="en-GB"/>
        </w:rPr>
        <w:t>Throughout</w:t>
      </w:r>
      <w:r w:rsidR="00E73DB4" w:rsidRPr="00A36E96">
        <w:rPr>
          <w:rFonts w:cs="Times New Roman"/>
          <w:noProof/>
          <w:szCs w:val="24"/>
          <w:lang w:val="en-GB"/>
        </w:rPr>
        <w:t xml:space="preserve"> this document, actions </w:t>
      </w:r>
      <w:r w:rsidR="005112D7" w:rsidRPr="00A36E96">
        <w:rPr>
          <w:rFonts w:cs="Times New Roman"/>
          <w:noProof/>
          <w:szCs w:val="24"/>
          <w:lang w:val="en-GB"/>
        </w:rPr>
        <w:t>derived from the Commission</w:t>
      </w:r>
      <w:r w:rsidR="007E6334" w:rsidRPr="00A36E96">
        <w:rPr>
          <w:rFonts w:cs="Times New Roman"/>
          <w:noProof/>
          <w:szCs w:val="24"/>
          <w:lang w:val="en-GB"/>
        </w:rPr>
        <w:t>’s</w:t>
      </w:r>
      <w:r w:rsidR="005112D7" w:rsidRPr="00A36E96">
        <w:rPr>
          <w:rFonts w:cs="Times New Roman"/>
          <w:noProof/>
          <w:szCs w:val="24"/>
          <w:lang w:val="en-GB"/>
        </w:rPr>
        <w:t xml:space="preserve"> </w:t>
      </w:r>
      <w:r w:rsidR="00E25B34">
        <w:rPr>
          <w:rFonts w:cs="Times New Roman"/>
          <w:noProof/>
          <w:szCs w:val="24"/>
          <w:lang w:val="en-GB"/>
        </w:rPr>
        <w:t xml:space="preserve">announcement of </w:t>
      </w:r>
      <w:r w:rsidR="005112D7" w:rsidRPr="00A36E96">
        <w:rPr>
          <w:rFonts w:cs="Times New Roman"/>
          <w:noProof/>
          <w:szCs w:val="24"/>
          <w:lang w:val="en-GB"/>
        </w:rPr>
        <w:t xml:space="preserve">22 February </w:t>
      </w:r>
      <w:r w:rsidR="00E25B34">
        <w:rPr>
          <w:rFonts w:cs="Times New Roman"/>
          <w:noProof/>
          <w:szCs w:val="24"/>
          <w:lang w:val="en-GB"/>
        </w:rPr>
        <w:t>2024</w:t>
      </w:r>
      <w:r w:rsidR="001532AD" w:rsidRPr="00A36E96">
        <w:rPr>
          <w:rFonts w:cs="Times New Roman"/>
          <w:noProof/>
          <w:szCs w:val="24"/>
          <w:lang w:val="en-GB"/>
        </w:rPr>
        <w:t>, inclu</w:t>
      </w:r>
      <w:r w:rsidR="009C20EF" w:rsidRPr="00A36E96">
        <w:rPr>
          <w:rFonts w:cs="Times New Roman"/>
          <w:noProof/>
          <w:szCs w:val="24"/>
          <w:lang w:val="en-GB"/>
        </w:rPr>
        <w:t xml:space="preserve">ding legislative </w:t>
      </w:r>
      <w:r w:rsidR="00B0413B" w:rsidRPr="00A36E96">
        <w:rPr>
          <w:rFonts w:cs="Times New Roman"/>
          <w:noProof/>
          <w:szCs w:val="24"/>
          <w:lang w:val="en-GB"/>
        </w:rPr>
        <w:t xml:space="preserve">proposals </w:t>
      </w:r>
      <w:r w:rsidR="00E25B34">
        <w:rPr>
          <w:rFonts w:cs="Times New Roman"/>
          <w:noProof/>
          <w:szCs w:val="24"/>
          <w:lang w:val="en-GB"/>
        </w:rPr>
        <w:t>or</w:t>
      </w:r>
      <w:r w:rsidR="00B0413B" w:rsidRPr="00A36E96">
        <w:rPr>
          <w:rFonts w:cs="Times New Roman"/>
          <w:noProof/>
          <w:szCs w:val="24"/>
          <w:lang w:val="en-GB"/>
        </w:rPr>
        <w:t xml:space="preserve"> </w:t>
      </w:r>
      <w:r w:rsidR="00631038">
        <w:rPr>
          <w:rFonts w:cs="Times New Roman"/>
          <w:noProof/>
          <w:szCs w:val="24"/>
          <w:lang w:val="en-GB"/>
        </w:rPr>
        <w:t xml:space="preserve">delegated and implementing </w:t>
      </w:r>
      <w:r w:rsidR="00B0413B" w:rsidRPr="00A36E96">
        <w:rPr>
          <w:rFonts w:cs="Times New Roman"/>
          <w:noProof/>
          <w:szCs w:val="24"/>
          <w:lang w:val="en-GB"/>
        </w:rPr>
        <w:t>acts</w:t>
      </w:r>
      <w:r w:rsidR="00A21197">
        <w:rPr>
          <w:rFonts w:cs="Times New Roman"/>
          <w:noProof/>
          <w:szCs w:val="24"/>
          <w:lang w:val="en-GB"/>
        </w:rPr>
        <w:t>,</w:t>
      </w:r>
      <w:r w:rsidR="009C20EF" w:rsidRPr="00A36E96">
        <w:rPr>
          <w:rFonts w:cs="Times New Roman"/>
          <w:noProof/>
          <w:szCs w:val="24"/>
          <w:lang w:val="en-GB"/>
        </w:rPr>
        <w:t xml:space="preserve"> are referred to </w:t>
      </w:r>
      <w:r w:rsidR="00631038">
        <w:rPr>
          <w:rFonts w:cs="Times New Roman"/>
          <w:noProof/>
          <w:szCs w:val="24"/>
          <w:lang w:val="en-GB"/>
        </w:rPr>
        <w:t xml:space="preserve">hereafter </w:t>
      </w:r>
      <w:r w:rsidR="00D74224" w:rsidRPr="00A36E96">
        <w:rPr>
          <w:rFonts w:cs="Times New Roman"/>
          <w:noProof/>
          <w:szCs w:val="24"/>
          <w:lang w:val="en-GB"/>
        </w:rPr>
        <w:t xml:space="preserve">as </w:t>
      </w:r>
      <w:r w:rsidR="00B0413B" w:rsidRPr="00A36E96">
        <w:rPr>
          <w:rFonts w:cs="Times New Roman"/>
          <w:noProof/>
          <w:szCs w:val="24"/>
          <w:lang w:val="en-GB"/>
        </w:rPr>
        <w:t>‘</w:t>
      </w:r>
      <w:r w:rsidR="00D74224" w:rsidRPr="00A36E96">
        <w:rPr>
          <w:rFonts w:cs="Times New Roman"/>
          <w:noProof/>
          <w:szCs w:val="24"/>
          <w:lang w:val="en-GB"/>
        </w:rPr>
        <w:t>the simplification package</w:t>
      </w:r>
      <w:r w:rsidR="00B0413B" w:rsidRPr="00A36E96">
        <w:rPr>
          <w:rFonts w:cs="Times New Roman"/>
          <w:noProof/>
          <w:szCs w:val="24"/>
          <w:lang w:val="en-GB"/>
        </w:rPr>
        <w:t>’</w:t>
      </w:r>
      <w:r w:rsidR="00D74224" w:rsidRPr="00A36E96">
        <w:rPr>
          <w:rFonts w:cs="Times New Roman"/>
          <w:noProof/>
          <w:szCs w:val="24"/>
          <w:lang w:val="en-GB"/>
        </w:rPr>
        <w:t>.</w:t>
      </w:r>
    </w:p>
    <w:p w14:paraId="33ADDBB5" w14:textId="10FF6975" w:rsidR="00D83221" w:rsidRPr="00A36E96" w:rsidRDefault="0086096F" w:rsidP="00D30AE7">
      <w:pPr>
        <w:pStyle w:val="Heading1"/>
        <w:numPr>
          <w:ilvl w:val="0"/>
          <w:numId w:val="4"/>
        </w:numPr>
        <w:spacing w:after="120"/>
        <w:ind w:left="714" w:hanging="357"/>
        <w:rPr>
          <w:noProof/>
          <w:lang w:val="en-GB"/>
        </w:rPr>
      </w:pPr>
      <w:bookmarkStart w:id="8" w:name="_Toc171105014"/>
      <w:bookmarkStart w:id="9" w:name="_Toc171106124"/>
      <w:bookmarkStart w:id="10" w:name="_Toc171106231"/>
      <w:bookmarkStart w:id="11" w:name="_Toc171106306"/>
      <w:bookmarkStart w:id="12" w:name="_Toc172125116"/>
      <w:bookmarkEnd w:id="8"/>
      <w:bookmarkEnd w:id="9"/>
      <w:bookmarkEnd w:id="10"/>
      <w:bookmarkEnd w:id="11"/>
      <w:r w:rsidRPr="00A36E96">
        <w:rPr>
          <w:noProof/>
          <w:lang w:val="en-GB"/>
        </w:rPr>
        <w:t>POLITICAL AND LEGAL CONTEXT</w:t>
      </w:r>
      <w:bookmarkEnd w:id="12"/>
      <w:r w:rsidRPr="00A36E96">
        <w:rPr>
          <w:noProof/>
          <w:lang w:val="en-GB"/>
        </w:rPr>
        <w:t xml:space="preserve"> </w:t>
      </w:r>
    </w:p>
    <w:p w14:paraId="08AE80BF" w14:textId="1D948A8A" w:rsidR="001D74A5" w:rsidRPr="00A36E96" w:rsidRDefault="001D74A5" w:rsidP="00D30AE7">
      <w:pPr>
        <w:spacing w:before="240" w:after="120"/>
        <w:jc w:val="both"/>
        <w:rPr>
          <w:rFonts w:cs="Times New Roman"/>
          <w:b/>
          <w:bCs/>
          <w:noProof/>
          <w:szCs w:val="24"/>
          <w:lang w:val="en-GB"/>
        </w:rPr>
      </w:pPr>
      <w:r w:rsidRPr="00A36E96">
        <w:rPr>
          <w:rFonts w:cs="Times New Roman"/>
          <w:b/>
          <w:bCs/>
          <w:noProof/>
          <w:szCs w:val="24"/>
          <w:lang w:val="en-GB"/>
        </w:rPr>
        <w:t>The reformed CAP for 2023-2027</w:t>
      </w:r>
    </w:p>
    <w:p w14:paraId="259A67B9" w14:textId="45BF373D" w:rsidR="00464A74" w:rsidRPr="00A36E96" w:rsidRDefault="00D05DFA" w:rsidP="001218ED">
      <w:pPr>
        <w:spacing w:after="120"/>
        <w:jc w:val="both"/>
        <w:rPr>
          <w:rFonts w:cs="Times New Roman"/>
          <w:noProof/>
          <w:szCs w:val="24"/>
          <w:lang w:val="en-GB"/>
        </w:rPr>
      </w:pPr>
      <w:r w:rsidRPr="00A36E96">
        <w:rPr>
          <w:rFonts w:cs="Times New Roman"/>
          <w:bCs/>
          <w:noProof/>
          <w:szCs w:val="24"/>
          <w:lang w:val="en-GB"/>
        </w:rPr>
        <w:t>T</w:t>
      </w:r>
      <w:r w:rsidR="00464A74" w:rsidRPr="00A36E96">
        <w:rPr>
          <w:rFonts w:cs="Times New Roman"/>
          <w:bCs/>
          <w:noProof/>
          <w:szCs w:val="24"/>
          <w:lang w:val="en-GB"/>
        </w:rPr>
        <w:t xml:space="preserve">he </w:t>
      </w:r>
      <w:r w:rsidR="00161F9F" w:rsidRPr="00A36E96">
        <w:rPr>
          <w:rFonts w:cs="Times New Roman"/>
          <w:bCs/>
          <w:noProof/>
          <w:szCs w:val="24"/>
          <w:lang w:val="en-GB"/>
        </w:rPr>
        <w:t>CAP</w:t>
      </w:r>
      <w:r w:rsidR="00464A74" w:rsidRPr="00A36E96">
        <w:rPr>
          <w:rFonts w:cs="Times New Roman"/>
          <w:bCs/>
          <w:noProof/>
          <w:szCs w:val="24"/>
          <w:lang w:val="en-GB"/>
        </w:rPr>
        <w:t xml:space="preserve"> for 2023-2027</w:t>
      </w:r>
      <w:r w:rsidR="00464A74" w:rsidRPr="00A36E96" w:rsidDel="00D05DFA">
        <w:rPr>
          <w:rFonts w:cs="Times New Roman"/>
          <w:noProof/>
          <w:szCs w:val="24"/>
          <w:lang w:val="en-GB"/>
        </w:rPr>
        <w:t xml:space="preserve"> </w:t>
      </w:r>
      <w:r w:rsidR="00464A74" w:rsidRPr="00A36E96">
        <w:rPr>
          <w:rFonts w:cs="Times New Roman"/>
          <w:noProof/>
          <w:szCs w:val="24"/>
          <w:lang w:val="en-GB"/>
        </w:rPr>
        <w:t xml:space="preserve">aims to foster a smart, competitive, resilient and diversified agricultural sector </w:t>
      </w:r>
      <w:r w:rsidR="00A21197">
        <w:rPr>
          <w:rFonts w:cs="Times New Roman"/>
          <w:noProof/>
          <w:szCs w:val="24"/>
          <w:lang w:val="en-GB"/>
        </w:rPr>
        <w:t xml:space="preserve">that </w:t>
      </w:r>
      <w:r w:rsidR="00464A74" w:rsidRPr="00A36E96">
        <w:rPr>
          <w:rFonts w:cs="Times New Roman"/>
          <w:noProof/>
          <w:szCs w:val="24"/>
          <w:lang w:val="en-GB"/>
        </w:rPr>
        <w:t>ensur</w:t>
      </w:r>
      <w:r w:rsidR="00A21197">
        <w:rPr>
          <w:rFonts w:cs="Times New Roman"/>
          <w:noProof/>
          <w:szCs w:val="24"/>
          <w:lang w:val="en-GB"/>
        </w:rPr>
        <w:t>es our</w:t>
      </w:r>
      <w:r w:rsidR="00464A74" w:rsidRPr="00A36E96">
        <w:rPr>
          <w:rFonts w:cs="Times New Roman"/>
          <w:noProof/>
          <w:szCs w:val="24"/>
          <w:lang w:val="en-GB"/>
        </w:rPr>
        <w:t xml:space="preserve"> long-term food security</w:t>
      </w:r>
      <w:r w:rsidR="00A21197">
        <w:rPr>
          <w:rFonts w:cs="Times New Roman"/>
          <w:noProof/>
          <w:szCs w:val="24"/>
          <w:lang w:val="en-GB"/>
        </w:rPr>
        <w:t>. It also aims</w:t>
      </w:r>
      <w:r w:rsidR="00BA48EC" w:rsidRPr="00A36E96">
        <w:rPr>
          <w:rFonts w:cs="Times New Roman"/>
          <w:noProof/>
          <w:szCs w:val="24"/>
          <w:lang w:val="en-GB"/>
        </w:rPr>
        <w:t xml:space="preserve"> </w:t>
      </w:r>
      <w:r w:rsidR="00464A74" w:rsidRPr="00A36E96">
        <w:rPr>
          <w:rFonts w:cs="Times New Roman"/>
          <w:noProof/>
          <w:szCs w:val="24"/>
          <w:lang w:val="en-GB"/>
        </w:rPr>
        <w:t xml:space="preserve">to support and strengthen environmental </w:t>
      </w:r>
      <w:r w:rsidR="006E7363" w:rsidRPr="00A36E96">
        <w:rPr>
          <w:rFonts w:cs="Times New Roman"/>
          <w:noProof/>
          <w:szCs w:val="24"/>
          <w:lang w:val="en-GB"/>
        </w:rPr>
        <w:t xml:space="preserve">and climate </w:t>
      </w:r>
      <w:r w:rsidR="00464A74" w:rsidRPr="00A36E96">
        <w:rPr>
          <w:rFonts w:cs="Times New Roman"/>
          <w:noProof/>
          <w:szCs w:val="24"/>
          <w:lang w:val="en-GB"/>
        </w:rPr>
        <w:t xml:space="preserve">protection, </w:t>
      </w:r>
      <w:r w:rsidR="00923C2E" w:rsidRPr="00A36E96">
        <w:rPr>
          <w:rFonts w:cs="Times New Roman"/>
          <w:noProof/>
          <w:szCs w:val="24"/>
          <w:lang w:val="en-GB"/>
        </w:rPr>
        <w:t>and</w:t>
      </w:r>
      <w:r w:rsidR="00464A74" w:rsidRPr="00A36E96">
        <w:rPr>
          <w:rFonts w:cs="Times New Roman"/>
          <w:noProof/>
          <w:szCs w:val="24"/>
          <w:lang w:val="en-GB"/>
        </w:rPr>
        <w:t xml:space="preserve"> </w:t>
      </w:r>
      <w:r w:rsidR="00BE1A67" w:rsidRPr="00A36E96">
        <w:rPr>
          <w:rFonts w:cs="Times New Roman"/>
          <w:noProof/>
          <w:szCs w:val="24"/>
          <w:lang w:val="en-GB"/>
        </w:rPr>
        <w:t>to strengt</w:t>
      </w:r>
      <w:r w:rsidR="00C95D97" w:rsidRPr="00A36E96">
        <w:rPr>
          <w:rFonts w:cs="Times New Roman"/>
          <w:noProof/>
          <w:szCs w:val="24"/>
          <w:lang w:val="en-GB"/>
        </w:rPr>
        <w:t>h</w:t>
      </w:r>
      <w:r w:rsidR="00BE1A67" w:rsidRPr="00A36E96">
        <w:rPr>
          <w:rFonts w:cs="Times New Roman"/>
          <w:noProof/>
          <w:szCs w:val="24"/>
          <w:lang w:val="en-GB"/>
        </w:rPr>
        <w:t xml:space="preserve">en </w:t>
      </w:r>
      <w:r w:rsidR="00464A74" w:rsidRPr="00A36E96">
        <w:rPr>
          <w:rFonts w:cs="Times New Roman"/>
          <w:noProof/>
          <w:szCs w:val="24"/>
          <w:lang w:val="en-GB"/>
        </w:rPr>
        <w:t xml:space="preserve">the socio-economic fabric of rural areas.  </w:t>
      </w:r>
    </w:p>
    <w:p w14:paraId="2F89DC1B" w14:textId="045C633D" w:rsidR="00464A74" w:rsidRPr="00A36E96" w:rsidRDefault="009D5532" w:rsidP="001218ED">
      <w:pPr>
        <w:spacing w:after="120"/>
        <w:jc w:val="both"/>
        <w:rPr>
          <w:rFonts w:cs="Times New Roman"/>
          <w:noProof/>
          <w:lang w:val="en-GB"/>
        </w:rPr>
      </w:pPr>
      <w:r w:rsidRPr="6FE283EC">
        <w:rPr>
          <w:rFonts w:cs="Times New Roman"/>
          <w:noProof/>
          <w:lang w:val="en-GB"/>
        </w:rPr>
        <w:lastRenderedPageBreak/>
        <w:t xml:space="preserve">At operational level, </w:t>
      </w:r>
      <w:r w:rsidR="00464A74" w:rsidRPr="10339F63">
        <w:rPr>
          <w:rFonts w:cs="Times New Roman"/>
          <w:b/>
          <w:bCs/>
          <w:noProof/>
          <w:lang w:val="en-GB"/>
        </w:rPr>
        <w:t xml:space="preserve">28 CAP </w:t>
      </w:r>
      <w:r w:rsidR="009A4721">
        <w:rPr>
          <w:rFonts w:cs="Times New Roman"/>
          <w:b/>
          <w:bCs/>
          <w:noProof/>
          <w:lang w:val="en-GB"/>
        </w:rPr>
        <w:t>S</w:t>
      </w:r>
      <w:r w:rsidR="00464A74" w:rsidRPr="10339F63">
        <w:rPr>
          <w:rFonts w:cs="Times New Roman"/>
          <w:b/>
          <w:bCs/>
          <w:noProof/>
          <w:lang w:val="en-GB"/>
        </w:rPr>
        <w:t xml:space="preserve">trategic </w:t>
      </w:r>
      <w:r w:rsidR="009A4721">
        <w:rPr>
          <w:rFonts w:cs="Times New Roman"/>
          <w:b/>
          <w:bCs/>
          <w:noProof/>
          <w:lang w:val="en-GB"/>
        </w:rPr>
        <w:t>P</w:t>
      </w:r>
      <w:r w:rsidR="00464A74" w:rsidRPr="10339F63">
        <w:rPr>
          <w:rFonts w:cs="Times New Roman"/>
          <w:b/>
          <w:bCs/>
          <w:noProof/>
          <w:lang w:val="en-GB"/>
        </w:rPr>
        <w:t>lans</w:t>
      </w:r>
      <w:r w:rsidR="0072075B" w:rsidRPr="00F44D7A">
        <w:rPr>
          <w:rStyle w:val="FootnoteReference"/>
          <w:rFonts w:cs="Times New Roman"/>
          <w:bCs/>
          <w:noProof/>
          <w:szCs w:val="24"/>
          <w:lang w:val="en-GB"/>
        </w:rPr>
        <w:footnoteReference w:id="7"/>
      </w:r>
      <w:r w:rsidR="00464A74" w:rsidRPr="10339F63">
        <w:rPr>
          <w:rFonts w:cs="Times New Roman"/>
          <w:b/>
          <w:bCs/>
          <w:noProof/>
          <w:lang w:val="en-GB"/>
        </w:rPr>
        <w:t xml:space="preserve"> </w:t>
      </w:r>
      <w:r w:rsidR="00464A74" w:rsidRPr="6FE283EC">
        <w:rPr>
          <w:rFonts w:cs="Times New Roman"/>
          <w:noProof/>
          <w:lang w:val="en-GB"/>
        </w:rPr>
        <w:t>(</w:t>
      </w:r>
      <w:r w:rsidR="00523AA0" w:rsidRPr="10339F63">
        <w:rPr>
          <w:rFonts w:cs="Times New Roman"/>
          <w:noProof/>
          <w:lang w:val="en-GB"/>
        </w:rPr>
        <w:t>CAP Plans</w:t>
      </w:r>
      <w:r w:rsidR="004532B8">
        <w:rPr>
          <w:rStyle w:val="FootnoteReference"/>
          <w:rFonts w:cs="Times New Roman"/>
          <w:noProof/>
          <w:szCs w:val="24"/>
          <w:lang w:val="en-GB"/>
        </w:rPr>
        <w:footnoteReference w:id="8"/>
      </w:r>
      <w:r w:rsidR="00464A74" w:rsidRPr="6FE283EC">
        <w:rPr>
          <w:rFonts w:cs="Times New Roman"/>
          <w:noProof/>
          <w:lang w:val="en-GB"/>
        </w:rPr>
        <w:t xml:space="preserve">) were </w:t>
      </w:r>
      <w:r w:rsidR="537D31CD" w:rsidRPr="6FE283EC">
        <w:rPr>
          <w:rFonts w:cs="Times New Roman"/>
          <w:noProof/>
          <w:lang w:val="en-GB"/>
        </w:rPr>
        <w:t>drawn up</w:t>
      </w:r>
      <w:r w:rsidR="00464A74" w:rsidRPr="6FE283EC">
        <w:rPr>
          <w:rFonts w:cs="Times New Roman"/>
          <w:noProof/>
          <w:lang w:val="en-GB"/>
        </w:rPr>
        <w:t xml:space="preserve"> by the Member States</w:t>
      </w:r>
      <w:r w:rsidR="007B0DA2" w:rsidRPr="6FE283EC">
        <w:rPr>
          <w:rFonts w:cs="Times New Roman"/>
          <w:noProof/>
          <w:lang w:val="en-GB"/>
        </w:rPr>
        <w:t>,</w:t>
      </w:r>
      <w:r w:rsidR="00464A74" w:rsidRPr="6FE283EC">
        <w:rPr>
          <w:rFonts w:cs="Times New Roman"/>
          <w:noProof/>
          <w:lang w:val="en-GB"/>
        </w:rPr>
        <w:t xml:space="preserve"> approved by the Commission and first applied in 2023</w:t>
      </w:r>
      <w:r w:rsidR="00FB3C1D" w:rsidRPr="005C2EED">
        <w:rPr>
          <w:rFonts w:cs="Times New Roman"/>
          <w:noProof/>
          <w:lang w:val="en-GB"/>
        </w:rPr>
        <w:t>. A</w:t>
      </w:r>
      <w:r w:rsidR="00464A74" w:rsidRPr="6FE283EC">
        <w:rPr>
          <w:rFonts w:cs="Times New Roman"/>
          <w:noProof/>
          <w:lang w:val="en-GB"/>
        </w:rPr>
        <w:t xml:space="preserve"> set of requirements, interventions and targets </w:t>
      </w:r>
      <w:r w:rsidR="002D293A" w:rsidRPr="6FE283EC">
        <w:rPr>
          <w:rFonts w:cs="Times New Roman"/>
          <w:noProof/>
          <w:lang w:val="en-GB"/>
        </w:rPr>
        <w:t>across</w:t>
      </w:r>
      <w:r w:rsidR="00464A74" w:rsidRPr="6FE283EC">
        <w:rPr>
          <w:rFonts w:cs="Times New Roman"/>
          <w:noProof/>
          <w:lang w:val="en-GB"/>
        </w:rPr>
        <w:t xml:space="preserve"> 10 </w:t>
      </w:r>
      <w:r w:rsidR="004C6C7D" w:rsidRPr="6FE283EC">
        <w:rPr>
          <w:rFonts w:cs="Times New Roman"/>
          <w:noProof/>
          <w:lang w:val="en-GB"/>
        </w:rPr>
        <w:t>CAP</w:t>
      </w:r>
      <w:r w:rsidR="00464A74" w:rsidRPr="6FE283EC">
        <w:rPr>
          <w:rFonts w:cs="Times New Roman"/>
          <w:noProof/>
          <w:lang w:val="en-GB"/>
        </w:rPr>
        <w:t xml:space="preserve"> </w:t>
      </w:r>
      <w:r w:rsidR="0030679A">
        <w:rPr>
          <w:rFonts w:cs="Times New Roman"/>
          <w:noProof/>
          <w:lang w:val="en-GB"/>
        </w:rPr>
        <w:t xml:space="preserve">specific </w:t>
      </w:r>
      <w:r w:rsidR="00464A74" w:rsidRPr="6FE283EC">
        <w:rPr>
          <w:rFonts w:cs="Times New Roman"/>
          <w:noProof/>
          <w:lang w:val="en-GB"/>
        </w:rPr>
        <w:t xml:space="preserve">objectives </w:t>
      </w:r>
      <w:r w:rsidR="00FB3C1D" w:rsidRPr="005C2EED">
        <w:rPr>
          <w:rFonts w:cs="Times New Roman"/>
          <w:noProof/>
          <w:lang w:val="en-GB"/>
        </w:rPr>
        <w:t>detail</w:t>
      </w:r>
      <w:r w:rsidR="00FB3C1D" w:rsidRPr="10339F63">
        <w:rPr>
          <w:rFonts w:cs="Times New Roman"/>
          <w:noProof/>
          <w:lang w:val="en-GB"/>
        </w:rPr>
        <w:t xml:space="preserve"> </w:t>
      </w:r>
      <w:r w:rsidR="00464A74" w:rsidRPr="6FE283EC">
        <w:rPr>
          <w:rFonts w:cs="Times New Roman"/>
          <w:noProof/>
          <w:lang w:val="en-GB"/>
        </w:rPr>
        <w:t xml:space="preserve">the </w:t>
      </w:r>
      <w:r w:rsidR="00923C2E" w:rsidRPr="6FE283EC">
        <w:rPr>
          <w:rFonts w:cs="Times New Roman"/>
          <w:noProof/>
          <w:lang w:val="en-GB"/>
        </w:rPr>
        <w:t>above</w:t>
      </w:r>
      <w:r w:rsidR="00FB3C1D" w:rsidRPr="005C2EED">
        <w:rPr>
          <w:rFonts w:cs="Times New Roman"/>
          <w:noProof/>
          <w:lang w:val="en-GB"/>
        </w:rPr>
        <w:t>mentioned</w:t>
      </w:r>
      <w:r w:rsidR="00923C2E" w:rsidRPr="6FE283EC">
        <w:rPr>
          <w:rFonts w:cs="Times New Roman"/>
          <w:noProof/>
          <w:lang w:val="en-GB"/>
        </w:rPr>
        <w:t xml:space="preserve"> ambitions</w:t>
      </w:r>
      <w:r w:rsidR="00FB3C1D" w:rsidRPr="005C2EED">
        <w:rPr>
          <w:rFonts w:cs="Times New Roman"/>
          <w:noProof/>
          <w:lang w:val="en-GB"/>
        </w:rPr>
        <w:t xml:space="preserve"> of the CAP</w:t>
      </w:r>
      <w:r w:rsidR="00464A74" w:rsidRPr="6FE283EC">
        <w:rPr>
          <w:rFonts w:cs="Times New Roman"/>
          <w:noProof/>
          <w:lang w:val="en-GB"/>
        </w:rPr>
        <w:t>, measured by common indicators. In combination with EU regulatory initiatives, research</w:t>
      </w:r>
      <w:r w:rsidR="00BA48EC" w:rsidRPr="6FE283EC">
        <w:rPr>
          <w:rFonts w:cs="Times New Roman"/>
          <w:noProof/>
          <w:lang w:val="en-GB"/>
        </w:rPr>
        <w:t>,</w:t>
      </w:r>
      <w:r w:rsidR="00464A74" w:rsidRPr="6FE283EC">
        <w:rPr>
          <w:rFonts w:cs="Times New Roman"/>
          <w:noProof/>
          <w:lang w:val="en-GB"/>
        </w:rPr>
        <w:t xml:space="preserve"> investments and other actions to meet the </w:t>
      </w:r>
      <w:r w:rsidR="00201390" w:rsidRPr="10339F63">
        <w:rPr>
          <w:rFonts w:cs="Times New Roman"/>
          <w:noProof/>
          <w:lang w:val="en-GB"/>
        </w:rPr>
        <w:t xml:space="preserve">EU’s </w:t>
      </w:r>
      <w:r w:rsidR="00464A74" w:rsidRPr="6FE283EC">
        <w:rPr>
          <w:rFonts w:cs="Times New Roman"/>
          <w:noProof/>
          <w:lang w:val="en-GB"/>
        </w:rPr>
        <w:t xml:space="preserve">environmental and 2050 climate objectives, the </w:t>
      </w:r>
      <w:r w:rsidR="00523AA0" w:rsidRPr="10339F63">
        <w:rPr>
          <w:rFonts w:cs="Times New Roman"/>
          <w:noProof/>
          <w:lang w:val="en-GB"/>
        </w:rPr>
        <w:t>CAP Plans</w:t>
      </w:r>
      <w:r w:rsidR="00464A74" w:rsidRPr="6FE283EC">
        <w:rPr>
          <w:rFonts w:cs="Times New Roman"/>
          <w:noProof/>
          <w:lang w:val="en-GB"/>
        </w:rPr>
        <w:t xml:space="preserve"> contribute to the Commission’s Green Deal agenda. </w:t>
      </w:r>
    </w:p>
    <w:p w14:paraId="37E9DB7C" w14:textId="094BDFF6" w:rsidR="00DB226F" w:rsidRPr="00A36E96" w:rsidRDefault="141FFFF4" w:rsidP="001218ED">
      <w:pPr>
        <w:spacing w:after="120"/>
        <w:jc w:val="both"/>
        <w:rPr>
          <w:rFonts w:cs="Times New Roman"/>
          <w:noProof/>
          <w:szCs w:val="24"/>
          <w:lang w:val="en-GB"/>
        </w:rPr>
      </w:pPr>
      <w:r w:rsidRPr="00A36E96">
        <w:rPr>
          <w:rFonts w:eastAsia="Calibri" w:cs="Times New Roman"/>
          <w:noProof/>
          <w:szCs w:val="24"/>
          <w:lang w:val="en-GB"/>
        </w:rPr>
        <w:t xml:space="preserve">Compared to </w:t>
      </w:r>
      <w:r w:rsidR="00201390">
        <w:rPr>
          <w:rFonts w:eastAsia="Calibri" w:cs="Times New Roman"/>
          <w:noProof/>
          <w:szCs w:val="24"/>
          <w:lang w:val="en-GB"/>
        </w:rPr>
        <w:t>period before 2023</w:t>
      </w:r>
      <w:r w:rsidRPr="00A36E96">
        <w:rPr>
          <w:rFonts w:eastAsia="Calibri" w:cs="Times New Roman"/>
          <w:noProof/>
          <w:szCs w:val="24"/>
          <w:lang w:val="en-GB"/>
        </w:rPr>
        <w:t xml:space="preserve">, </w:t>
      </w:r>
      <w:r w:rsidR="5CD0401C" w:rsidRPr="00A36E96">
        <w:rPr>
          <w:rFonts w:eastAsia="Calibri" w:cs="Times New Roman"/>
          <w:noProof/>
          <w:szCs w:val="24"/>
          <w:lang w:val="en-GB"/>
        </w:rPr>
        <w:t>the reformed CAP</w:t>
      </w:r>
      <w:r w:rsidR="0AE6E561" w:rsidRPr="00A36E96">
        <w:rPr>
          <w:rFonts w:eastAsia="Calibri" w:cs="Times New Roman"/>
          <w:noProof/>
          <w:szCs w:val="24"/>
          <w:lang w:val="en-GB"/>
        </w:rPr>
        <w:t xml:space="preserve"> represents a shift </w:t>
      </w:r>
      <w:r w:rsidR="0AE6E561" w:rsidRPr="00FB3C1D">
        <w:rPr>
          <w:rFonts w:eastAsia="Calibri" w:cs="Times New Roman"/>
          <w:noProof/>
          <w:szCs w:val="24"/>
          <w:lang w:val="en-GB"/>
        </w:rPr>
        <w:t xml:space="preserve">towards </w:t>
      </w:r>
      <w:r w:rsidR="0AE6E561" w:rsidRPr="002874FC">
        <w:rPr>
          <w:rFonts w:eastAsia="Calibri" w:cs="Times New Roman"/>
          <w:b/>
          <w:bCs/>
          <w:noProof/>
          <w:szCs w:val="24"/>
          <w:lang w:val="en-GB"/>
        </w:rPr>
        <w:t xml:space="preserve">a performance-based </w:t>
      </w:r>
      <w:r w:rsidR="00201390" w:rsidRPr="002874FC">
        <w:rPr>
          <w:rFonts w:eastAsia="Calibri" w:cs="Times New Roman"/>
          <w:b/>
          <w:bCs/>
          <w:noProof/>
          <w:szCs w:val="24"/>
          <w:lang w:val="en-GB"/>
        </w:rPr>
        <w:t>model</w:t>
      </w:r>
      <w:r w:rsidR="0AE6E561" w:rsidRPr="005C2EED">
        <w:rPr>
          <w:rFonts w:eastAsia="Calibri" w:cs="Times New Roman"/>
          <w:noProof/>
          <w:szCs w:val="24"/>
          <w:lang w:val="en-GB"/>
        </w:rPr>
        <w:t>,</w:t>
      </w:r>
      <w:r w:rsidR="0AE6E561" w:rsidRPr="002874FC">
        <w:rPr>
          <w:rFonts w:eastAsia="Calibri" w:cs="Times New Roman"/>
          <w:noProof/>
          <w:szCs w:val="24"/>
          <w:lang w:val="en-GB"/>
        </w:rPr>
        <w:t xml:space="preserve"> aiming for a more strategic and targeted planning</w:t>
      </w:r>
      <w:r w:rsidR="00413097" w:rsidRPr="002874FC">
        <w:rPr>
          <w:rFonts w:eastAsia="Calibri" w:cs="Times New Roman"/>
          <w:noProof/>
          <w:szCs w:val="24"/>
          <w:lang w:val="en-GB"/>
        </w:rPr>
        <w:t xml:space="preserve"> (</w:t>
      </w:r>
      <w:r w:rsidR="00FB3C1D" w:rsidRPr="005C2EED">
        <w:rPr>
          <w:rFonts w:eastAsia="Calibri" w:cs="Times New Roman"/>
          <w:b/>
          <w:noProof/>
          <w:szCs w:val="24"/>
          <w:lang w:val="en-GB"/>
        </w:rPr>
        <w:t>the n</w:t>
      </w:r>
      <w:r w:rsidR="00413097" w:rsidRPr="002874FC">
        <w:rPr>
          <w:rFonts w:eastAsia="Calibri" w:cs="Times New Roman"/>
          <w:b/>
          <w:noProof/>
          <w:szCs w:val="24"/>
          <w:lang w:val="en-GB"/>
        </w:rPr>
        <w:t xml:space="preserve">ew </w:t>
      </w:r>
      <w:r w:rsidR="00FB3C1D" w:rsidRPr="005C2EED">
        <w:rPr>
          <w:rFonts w:eastAsia="Calibri" w:cs="Times New Roman"/>
          <w:b/>
          <w:noProof/>
          <w:szCs w:val="24"/>
          <w:lang w:val="en-GB"/>
        </w:rPr>
        <w:t>d</w:t>
      </w:r>
      <w:r w:rsidR="00413097" w:rsidRPr="002874FC">
        <w:rPr>
          <w:rFonts w:eastAsia="Calibri" w:cs="Times New Roman"/>
          <w:b/>
          <w:noProof/>
          <w:szCs w:val="24"/>
          <w:lang w:val="en-GB"/>
        </w:rPr>
        <w:t xml:space="preserve">elivery </w:t>
      </w:r>
      <w:r w:rsidR="00FB3C1D" w:rsidRPr="005C2EED">
        <w:rPr>
          <w:rFonts w:eastAsia="Calibri" w:cs="Times New Roman"/>
          <w:b/>
          <w:noProof/>
          <w:szCs w:val="24"/>
          <w:lang w:val="en-GB"/>
        </w:rPr>
        <w:t>m</w:t>
      </w:r>
      <w:r w:rsidR="00413097" w:rsidRPr="002874FC">
        <w:rPr>
          <w:rFonts w:eastAsia="Calibri" w:cs="Times New Roman"/>
          <w:b/>
          <w:noProof/>
          <w:szCs w:val="24"/>
          <w:lang w:val="en-GB"/>
        </w:rPr>
        <w:t>odel, NDM</w:t>
      </w:r>
      <w:r w:rsidR="00413097" w:rsidRPr="002874FC">
        <w:rPr>
          <w:rFonts w:eastAsia="Calibri" w:cs="Times New Roman"/>
          <w:noProof/>
          <w:szCs w:val="24"/>
          <w:lang w:val="en-GB"/>
        </w:rPr>
        <w:t>)</w:t>
      </w:r>
      <w:r w:rsidR="0AE6E561" w:rsidRPr="002874FC">
        <w:rPr>
          <w:rFonts w:eastAsia="Calibri" w:cs="Times New Roman"/>
          <w:noProof/>
          <w:szCs w:val="24"/>
          <w:lang w:val="en-GB"/>
        </w:rPr>
        <w:t xml:space="preserve">. </w:t>
      </w:r>
      <w:r w:rsidR="3A06D467" w:rsidRPr="002874FC">
        <w:rPr>
          <w:rFonts w:cs="Times New Roman"/>
          <w:noProof/>
          <w:szCs w:val="24"/>
          <w:lang w:val="en-GB"/>
        </w:rPr>
        <w:t>It is also a step forward in</w:t>
      </w:r>
      <w:r w:rsidR="00FB3C1D" w:rsidRPr="005C2EED">
        <w:rPr>
          <w:rFonts w:cs="Times New Roman"/>
          <w:noProof/>
          <w:szCs w:val="24"/>
          <w:lang w:val="en-GB"/>
        </w:rPr>
        <w:t xml:space="preserve"> terms of</w:t>
      </w:r>
      <w:r w:rsidR="0044741C" w:rsidRPr="002874FC">
        <w:rPr>
          <w:rFonts w:cs="Times New Roman"/>
          <w:noProof/>
          <w:szCs w:val="24"/>
          <w:lang w:val="en-GB"/>
        </w:rPr>
        <w:t xml:space="preserve"> </w:t>
      </w:r>
      <w:r w:rsidR="3A06D467" w:rsidRPr="002874FC">
        <w:rPr>
          <w:rFonts w:cs="Times New Roman"/>
          <w:b/>
          <w:bCs/>
          <w:noProof/>
          <w:szCs w:val="24"/>
          <w:lang w:val="en-GB"/>
        </w:rPr>
        <w:t xml:space="preserve">simplification and increased </w:t>
      </w:r>
      <w:r w:rsidR="00C35D56">
        <w:rPr>
          <w:rFonts w:cs="Times New Roman"/>
          <w:b/>
          <w:bCs/>
          <w:noProof/>
          <w:szCs w:val="24"/>
          <w:lang w:val="en-GB"/>
        </w:rPr>
        <w:t>flexibility</w:t>
      </w:r>
      <w:r w:rsidR="3A06D467" w:rsidRPr="002874FC">
        <w:rPr>
          <w:rFonts w:cs="Times New Roman"/>
          <w:noProof/>
          <w:szCs w:val="24"/>
          <w:lang w:val="en-GB"/>
        </w:rPr>
        <w:t>.</w:t>
      </w:r>
      <w:r w:rsidR="003E049A" w:rsidRPr="00A36E96">
        <w:rPr>
          <w:rFonts w:cs="Times New Roman"/>
          <w:noProof/>
          <w:szCs w:val="24"/>
          <w:lang w:val="en-GB"/>
        </w:rPr>
        <w:t xml:space="preserve"> </w:t>
      </w:r>
    </w:p>
    <w:p w14:paraId="634F4E83" w14:textId="569037A8" w:rsidR="002722D0" w:rsidRPr="00724676" w:rsidRDefault="4B0CF06E" w:rsidP="001218ED">
      <w:pPr>
        <w:spacing w:after="120"/>
        <w:jc w:val="both"/>
        <w:rPr>
          <w:rFonts w:cs="Times New Roman"/>
          <w:noProof/>
          <w:lang w:val="en-GB"/>
        </w:rPr>
      </w:pPr>
      <w:r w:rsidRPr="0F778F42">
        <w:rPr>
          <w:rFonts w:eastAsia="Calibri" w:cs="Times New Roman"/>
          <w:noProof/>
          <w:lang w:val="en-GB"/>
        </w:rPr>
        <w:t>Bringing</w:t>
      </w:r>
      <w:r w:rsidRPr="0F778F42" w:rsidDel="0025296E">
        <w:rPr>
          <w:rFonts w:eastAsia="Calibri" w:cs="Times New Roman"/>
          <w:noProof/>
          <w:lang w:val="en-GB"/>
        </w:rPr>
        <w:t xml:space="preserve"> </w:t>
      </w:r>
      <w:r w:rsidRPr="0F778F42">
        <w:rPr>
          <w:rFonts w:eastAsia="Calibri" w:cs="Times New Roman"/>
          <w:noProof/>
          <w:lang w:val="en-GB"/>
        </w:rPr>
        <w:t>direct payment</w:t>
      </w:r>
      <w:r w:rsidR="0025296E" w:rsidRPr="0F778F42">
        <w:rPr>
          <w:rFonts w:eastAsia="Calibri" w:cs="Times New Roman"/>
          <w:noProof/>
          <w:lang w:val="en-GB"/>
        </w:rPr>
        <w:t>s</w:t>
      </w:r>
      <w:r w:rsidRPr="0F778F42">
        <w:rPr>
          <w:rFonts w:eastAsia="Calibri" w:cs="Times New Roman"/>
          <w:noProof/>
          <w:lang w:val="en-GB"/>
        </w:rPr>
        <w:t>, sectoral and rural development types of interventions</w:t>
      </w:r>
      <w:r w:rsidR="002B0030" w:rsidRPr="0F778F42">
        <w:rPr>
          <w:rFonts w:eastAsia="Calibri" w:cs="Times New Roman"/>
          <w:noProof/>
          <w:lang w:val="en-GB"/>
        </w:rPr>
        <w:t xml:space="preserve"> encompassing two funds</w:t>
      </w:r>
      <w:r w:rsidR="002B0030" w:rsidRPr="0F778F42">
        <w:rPr>
          <w:rStyle w:val="FootnoteReference"/>
          <w:rFonts w:cs="Times New Roman"/>
          <w:noProof/>
          <w:lang w:val="en-GB"/>
        </w:rPr>
        <w:footnoteReference w:id="9"/>
      </w:r>
      <w:r w:rsidRPr="0F778F42">
        <w:rPr>
          <w:rFonts w:eastAsia="Calibri" w:cs="Times New Roman"/>
          <w:noProof/>
          <w:lang w:val="en-GB"/>
        </w:rPr>
        <w:t xml:space="preserve"> under a single strategic </w:t>
      </w:r>
      <w:r w:rsidR="6EA41B4C" w:rsidRPr="0F778F42">
        <w:rPr>
          <w:rFonts w:eastAsia="Calibri" w:cs="Times New Roman"/>
          <w:noProof/>
          <w:lang w:val="en-GB"/>
        </w:rPr>
        <w:t>tool</w:t>
      </w:r>
      <w:r w:rsidR="3FEAF2E2" w:rsidRPr="0F778F42">
        <w:rPr>
          <w:rFonts w:eastAsia="Calibri" w:cs="Times New Roman"/>
          <w:noProof/>
          <w:lang w:val="en-GB"/>
        </w:rPr>
        <w:t xml:space="preserve"> </w:t>
      </w:r>
      <w:r w:rsidR="003024B4" w:rsidRPr="0F778F42">
        <w:rPr>
          <w:rFonts w:eastAsia="Calibri" w:cs="Times New Roman"/>
          <w:noProof/>
          <w:lang w:val="en-GB"/>
        </w:rPr>
        <w:t xml:space="preserve">(CAP </w:t>
      </w:r>
      <w:r w:rsidR="00E46D0E" w:rsidRPr="0F778F42">
        <w:rPr>
          <w:rFonts w:eastAsia="Calibri" w:cs="Times New Roman"/>
          <w:noProof/>
          <w:lang w:val="en-GB"/>
        </w:rPr>
        <w:t>P</w:t>
      </w:r>
      <w:r w:rsidR="003024B4" w:rsidRPr="0F778F42">
        <w:rPr>
          <w:rFonts w:eastAsia="Calibri" w:cs="Times New Roman"/>
          <w:noProof/>
          <w:lang w:val="en-GB"/>
        </w:rPr>
        <w:t>lan</w:t>
      </w:r>
      <w:r w:rsidR="00201390" w:rsidRPr="0F778F42">
        <w:rPr>
          <w:rFonts w:eastAsia="Calibri" w:cs="Times New Roman"/>
          <w:noProof/>
          <w:lang w:val="en-GB"/>
        </w:rPr>
        <w:t>s</w:t>
      </w:r>
      <w:r w:rsidR="003024B4" w:rsidRPr="0F778F42">
        <w:rPr>
          <w:rFonts w:eastAsia="Calibri" w:cs="Times New Roman"/>
          <w:noProof/>
          <w:lang w:val="en-GB"/>
        </w:rPr>
        <w:t xml:space="preserve">) </w:t>
      </w:r>
      <w:r w:rsidR="3FEAF2E2" w:rsidRPr="0F778F42">
        <w:rPr>
          <w:rFonts w:eastAsia="Calibri" w:cs="Times New Roman"/>
          <w:noProof/>
          <w:lang w:val="en-GB"/>
        </w:rPr>
        <w:t xml:space="preserve">was a major change </w:t>
      </w:r>
      <w:r w:rsidR="00201390" w:rsidRPr="0F778F42">
        <w:rPr>
          <w:rFonts w:eastAsia="Calibri" w:cs="Times New Roman"/>
          <w:noProof/>
          <w:lang w:val="en-GB"/>
        </w:rPr>
        <w:t xml:space="preserve">to </w:t>
      </w:r>
      <w:r w:rsidR="3FEAF2E2" w:rsidRPr="0F778F42">
        <w:rPr>
          <w:rFonts w:eastAsia="Calibri" w:cs="Times New Roman"/>
          <w:noProof/>
          <w:lang w:val="en-GB"/>
        </w:rPr>
        <w:t xml:space="preserve">the CAP. Member States </w:t>
      </w:r>
      <w:r w:rsidR="00201390" w:rsidRPr="0F778F42">
        <w:rPr>
          <w:rFonts w:eastAsia="Calibri" w:cs="Times New Roman"/>
          <w:noProof/>
          <w:lang w:val="en-GB"/>
        </w:rPr>
        <w:t xml:space="preserve">gained </w:t>
      </w:r>
      <w:r w:rsidR="00372687" w:rsidRPr="0F778F42">
        <w:rPr>
          <w:rFonts w:eastAsia="Calibri" w:cs="Times New Roman"/>
          <w:noProof/>
          <w:lang w:val="en-GB"/>
        </w:rPr>
        <w:t xml:space="preserve">greater </w:t>
      </w:r>
      <w:r w:rsidR="3FEAF2E2" w:rsidRPr="0F778F42">
        <w:rPr>
          <w:rFonts w:eastAsia="Calibri" w:cs="Times New Roman"/>
          <w:noProof/>
          <w:lang w:val="en-GB"/>
        </w:rPr>
        <w:t xml:space="preserve">flexibility to </w:t>
      </w:r>
      <w:r w:rsidR="00CC393E" w:rsidRPr="0F778F42">
        <w:rPr>
          <w:rFonts w:eastAsia="Calibri" w:cs="Times New Roman"/>
          <w:noProof/>
          <w:lang w:val="en-GB"/>
        </w:rPr>
        <w:t xml:space="preserve">design </w:t>
      </w:r>
      <w:r w:rsidR="3FEAF2E2" w:rsidRPr="0F778F42">
        <w:rPr>
          <w:rFonts w:eastAsia="Calibri" w:cs="Times New Roman"/>
          <w:noProof/>
          <w:lang w:val="en-GB"/>
        </w:rPr>
        <w:t>and target their interventions to best address their specific circumstances</w:t>
      </w:r>
      <w:r w:rsidR="6990F6F8" w:rsidRPr="0F778F42">
        <w:rPr>
          <w:rFonts w:eastAsia="Calibri" w:cs="Times New Roman"/>
          <w:noProof/>
          <w:lang w:val="en-GB"/>
        </w:rPr>
        <w:t>, thus improving</w:t>
      </w:r>
      <w:r w:rsidR="07370E05" w:rsidRPr="0F778F42">
        <w:rPr>
          <w:rFonts w:eastAsia="Calibri" w:cs="Times New Roman"/>
          <w:noProof/>
          <w:lang w:val="en-GB"/>
        </w:rPr>
        <w:t xml:space="preserve"> </w:t>
      </w:r>
      <w:r w:rsidR="07370E05" w:rsidRPr="0F778F42">
        <w:rPr>
          <w:rFonts w:cs="Times New Roman"/>
          <w:noProof/>
          <w:lang w:val="en-GB"/>
        </w:rPr>
        <w:t xml:space="preserve">consistency and complementarity </w:t>
      </w:r>
      <w:r w:rsidR="00FB3C1D" w:rsidRPr="0F778F42">
        <w:rPr>
          <w:rFonts w:cs="Times New Roman"/>
          <w:noProof/>
          <w:lang w:val="en-GB"/>
        </w:rPr>
        <w:t xml:space="preserve">of </w:t>
      </w:r>
      <w:r w:rsidR="07370E05" w:rsidRPr="0F778F42">
        <w:rPr>
          <w:rFonts w:cs="Times New Roman"/>
          <w:noProof/>
          <w:lang w:val="en-GB"/>
        </w:rPr>
        <w:t>how the funds are spent</w:t>
      </w:r>
      <w:r w:rsidR="5E432D26" w:rsidRPr="0F778F42">
        <w:rPr>
          <w:rFonts w:cs="Times New Roman"/>
          <w:noProof/>
          <w:lang w:val="en-GB"/>
        </w:rPr>
        <w:t xml:space="preserve">. </w:t>
      </w:r>
      <w:r w:rsidR="00FB3C1D" w:rsidRPr="0F778F42">
        <w:rPr>
          <w:rFonts w:cs="Times New Roman"/>
          <w:noProof/>
          <w:lang w:val="en-GB"/>
        </w:rPr>
        <w:t xml:space="preserve">Under </w:t>
      </w:r>
      <w:r w:rsidR="07370E05" w:rsidRPr="0F778F42">
        <w:rPr>
          <w:rFonts w:cs="Times New Roman"/>
          <w:noProof/>
          <w:lang w:val="en-GB"/>
        </w:rPr>
        <w:t xml:space="preserve">this approach, </w:t>
      </w:r>
      <w:r w:rsidR="07370E05" w:rsidRPr="0F778F42">
        <w:rPr>
          <w:rFonts w:cs="Times New Roman"/>
          <w:b/>
          <w:noProof/>
          <w:lang w:val="en-GB"/>
        </w:rPr>
        <w:t>Member States</w:t>
      </w:r>
      <w:r w:rsidR="07370E05" w:rsidRPr="0F778F42">
        <w:rPr>
          <w:rFonts w:cs="Times New Roman"/>
          <w:noProof/>
          <w:lang w:val="en-GB"/>
        </w:rPr>
        <w:t xml:space="preserve"> play a </w:t>
      </w:r>
      <w:r w:rsidR="07370E05" w:rsidRPr="0F778F42">
        <w:rPr>
          <w:rFonts w:cs="Times New Roman"/>
          <w:b/>
          <w:noProof/>
          <w:lang w:val="en-GB"/>
        </w:rPr>
        <w:t>key role</w:t>
      </w:r>
      <w:r w:rsidR="07370E05" w:rsidRPr="0F778F42">
        <w:rPr>
          <w:rFonts w:cs="Times New Roman"/>
          <w:noProof/>
          <w:lang w:val="en-GB"/>
        </w:rPr>
        <w:t xml:space="preserve"> in keeping the </w:t>
      </w:r>
      <w:r w:rsidR="07370E05" w:rsidRPr="0F778F42">
        <w:rPr>
          <w:rFonts w:cs="Times New Roman"/>
          <w:b/>
          <w:noProof/>
          <w:lang w:val="en-GB"/>
        </w:rPr>
        <w:t>administrative burden</w:t>
      </w:r>
      <w:r w:rsidR="07370E05" w:rsidRPr="0F778F42">
        <w:rPr>
          <w:rFonts w:cs="Times New Roman"/>
          <w:noProof/>
          <w:lang w:val="en-GB"/>
        </w:rPr>
        <w:t xml:space="preserve"> </w:t>
      </w:r>
      <w:r w:rsidR="07370E05" w:rsidRPr="005C2EED">
        <w:rPr>
          <w:rFonts w:cs="Times New Roman"/>
          <w:b/>
          <w:noProof/>
          <w:lang w:val="en-GB"/>
        </w:rPr>
        <w:t>for farmers limited and proportionate</w:t>
      </w:r>
      <w:r w:rsidR="07370E05" w:rsidRPr="0F778F42">
        <w:rPr>
          <w:rFonts w:cs="Times New Roman"/>
          <w:noProof/>
          <w:lang w:val="en-GB"/>
        </w:rPr>
        <w:t xml:space="preserve">. </w:t>
      </w:r>
      <w:r w:rsidR="7B50922A" w:rsidRPr="0F778F42">
        <w:rPr>
          <w:rFonts w:eastAsia="Calibri" w:cs="Times New Roman"/>
          <w:noProof/>
          <w:lang w:val="en-GB"/>
        </w:rPr>
        <w:t xml:space="preserve">The new approach </w:t>
      </w:r>
      <w:r w:rsidR="00372687" w:rsidRPr="0F778F42">
        <w:rPr>
          <w:rFonts w:eastAsia="Calibri" w:cs="Times New Roman"/>
          <w:noProof/>
          <w:lang w:val="en-GB"/>
        </w:rPr>
        <w:t xml:space="preserve">also posed </w:t>
      </w:r>
      <w:r w:rsidR="7B50922A" w:rsidRPr="0F778F42">
        <w:rPr>
          <w:rFonts w:eastAsia="Calibri" w:cs="Times New Roman"/>
          <w:noProof/>
          <w:lang w:val="en-GB"/>
        </w:rPr>
        <w:t xml:space="preserve">certain challenges </w:t>
      </w:r>
      <w:r w:rsidR="00372687" w:rsidRPr="0F778F42">
        <w:rPr>
          <w:rFonts w:eastAsia="Calibri" w:cs="Times New Roman"/>
          <w:noProof/>
          <w:lang w:val="en-GB"/>
        </w:rPr>
        <w:t xml:space="preserve">in </w:t>
      </w:r>
      <w:r w:rsidR="7B50922A" w:rsidRPr="0F778F42">
        <w:rPr>
          <w:rFonts w:eastAsia="Calibri" w:cs="Times New Roman"/>
          <w:noProof/>
          <w:lang w:val="en-GB"/>
        </w:rPr>
        <w:t xml:space="preserve">ensuring common standards, </w:t>
      </w:r>
      <w:r w:rsidR="00372687" w:rsidRPr="0F778F42">
        <w:rPr>
          <w:rFonts w:eastAsia="Calibri" w:cs="Times New Roman"/>
          <w:noProof/>
          <w:lang w:val="en-GB"/>
        </w:rPr>
        <w:t>and that efforts were comparable and aligned with each other</w:t>
      </w:r>
      <w:r w:rsidR="7B50922A" w:rsidRPr="0F778F42">
        <w:rPr>
          <w:rFonts w:eastAsia="Calibri" w:cs="Times New Roman"/>
          <w:noProof/>
          <w:lang w:val="en-GB"/>
        </w:rPr>
        <w:t>.</w:t>
      </w:r>
      <w:r w:rsidR="7B50922A" w:rsidRPr="0F778F42">
        <w:rPr>
          <w:rFonts w:cs="Times New Roman"/>
          <w:noProof/>
          <w:lang w:val="en-GB"/>
        </w:rPr>
        <w:t xml:space="preserve"> </w:t>
      </w:r>
      <w:r w:rsidR="07370E05" w:rsidRPr="0F778F42">
        <w:rPr>
          <w:rFonts w:cs="Times New Roman"/>
          <w:noProof/>
          <w:lang w:val="en-GB"/>
        </w:rPr>
        <w:t xml:space="preserve">Any successful simplification </w:t>
      </w:r>
      <w:r w:rsidR="4A0D9E44" w:rsidRPr="0F778F42">
        <w:rPr>
          <w:rFonts w:cs="Times New Roman"/>
          <w:noProof/>
          <w:lang w:val="en-GB"/>
        </w:rPr>
        <w:t xml:space="preserve">that </w:t>
      </w:r>
      <w:r w:rsidR="00372687" w:rsidRPr="0F778F42">
        <w:rPr>
          <w:rFonts w:cs="Times New Roman"/>
          <w:noProof/>
          <w:lang w:val="en-GB"/>
        </w:rPr>
        <w:t xml:space="preserve">sustains </w:t>
      </w:r>
      <w:r w:rsidR="4A0D9E44" w:rsidRPr="0F778F42">
        <w:rPr>
          <w:rFonts w:cs="Times New Roman"/>
          <w:noProof/>
          <w:lang w:val="en-GB"/>
        </w:rPr>
        <w:t xml:space="preserve">the ambition </w:t>
      </w:r>
      <w:r w:rsidR="00372687" w:rsidRPr="0F778F42">
        <w:rPr>
          <w:rFonts w:cs="Times New Roman"/>
          <w:noProof/>
          <w:lang w:val="en-GB"/>
        </w:rPr>
        <w:t>of a high</w:t>
      </w:r>
      <w:r w:rsidR="4A0D9E44" w:rsidRPr="0F778F42">
        <w:rPr>
          <w:rFonts w:cs="Times New Roman"/>
          <w:noProof/>
          <w:lang w:val="en-GB"/>
        </w:rPr>
        <w:t xml:space="preserve"> level of collective effort </w:t>
      </w:r>
      <w:r w:rsidR="07370E05" w:rsidRPr="0F778F42">
        <w:rPr>
          <w:rFonts w:cs="Times New Roman"/>
          <w:noProof/>
          <w:lang w:val="en-GB"/>
        </w:rPr>
        <w:t xml:space="preserve">requires close cooperation </w:t>
      </w:r>
      <w:r w:rsidR="7B50922A" w:rsidRPr="0F778F42">
        <w:rPr>
          <w:rFonts w:cs="Times New Roman"/>
          <w:noProof/>
          <w:lang w:val="en-GB"/>
        </w:rPr>
        <w:t xml:space="preserve">between </w:t>
      </w:r>
      <w:r w:rsidR="22268308" w:rsidRPr="0F778F42">
        <w:rPr>
          <w:rFonts w:cs="Times New Roman"/>
          <w:noProof/>
          <w:lang w:val="en-GB"/>
        </w:rPr>
        <w:t xml:space="preserve">the </w:t>
      </w:r>
      <w:r w:rsidR="7B50922A" w:rsidRPr="0F778F42">
        <w:rPr>
          <w:rFonts w:cs="Times New Roman"/>
          <w:noProof/>
          <w:lang w:val="en-GB"/>
        </w:rPr>
        <w:t>Commission,</w:t>
      </w:r>
      <w:r w:rsidR="07370E05" w:rsidRPr="0F778F42">
        <w:rPr>
          <w:rFonts w:cs="Times New Roman"/>
          <w:noProof/>
          <w:lang w:val="en-GB"/>
        </w:rPr>
        <w:t xml:space="preserve"> </w:t>
      </w:r>
      <w:r w:rsidR="00372687" w:rsidRPr="0F778F42">
        <w:rPr>
          <w:rFonts w:cs="Times New Roman"/>
          <w:noProof/>
          <w:lang w:val="en-GB"/>
        </w:rPr>
        <w:t xml:space="preserve">the administrations in </w:t>
      </w:r>
      <w:r w:rsidR="04A26167" w:rsidRPr="0F778F42">
        <w:rPr>
          <w:rFonts w:cs="Times New Roman"/>
          <w:noProof/>
          <w:lang w:val="en-GB"/>
        </w:rPr>
        <w:t>Member States</w:t>
      </w:r>
      <w:r w:rsidR="07370E05" w:rsidRPr="0F778F42">
        <w:rPr>
          <w:rFonts w:cs="Times New Roman"/>
          <w:noProof/>
          <w:lang w:val="en-GB"/>
        </w:rPr>
        <w:t xml:space="preserve"> and </w:t>
      </w:r>
      <w:r w:rsidR="00372687" w:rsidRPr="0F778F42">
        <w:rPr>
          <w:rFonts w:cs="Times New Roman"/>
          <w:noProof/>
          <w:lang w:val="en-GB"/>
        </w:rPr>
        <w:t xml:space="preserve">the </w:t>
      </w:r>
      <w:r w:rsidR="07370E05" w:rsidRPr="0F778F42">
        <w:rPr>
          <w:rFonts w:cs="Times New Roman"/>
          <w:noProof/>
          <w:lang w:val="en-GB"/>
        </w:rPr>
        <w:t>farmers themselves.</w:t>
      </w:r>
      <w:r w:rsidR="201608F9" w:rsidRPr="0F778F42">
        <w:rPr>
          <w:rFonts w:cs="Times New Roman"/>
          <w:noProof/>
          <w:lang w:val="en-GB"/>
        </w:rPr>
        <w:t xml:space="preserve"> </w:t>
      </w:r>
    </w:p>
    <w:p w14:paraId="6588C1DE" w14:textId="37F29969" w:rsidR="000C324C" w:rsidRPr="00724676" w:rsidRDefault="003A14E9" w:rsidP="00D30AE7">
      <w:pPr>
        <w:spacing w:before="120" w:after="120"/>
        <w:jc w:val="both"/>
        <w:rPr>
          <w:rFonts w:cs="Times New Roman"/>
          <w:b/>
          <w:bCs/>
          <w:noProof/>
          <w:szCs w:val="24"/>
          <w:lang w:val="en-GB"/>
        </w:rPr>
      </w:pPr>
      <w:r w:rsidRPr="00724676">
        <w:rPr>
          <w:rFonts w:cs="Times New Roman"/>
          <w:b/>
          <w:bCs/>
          <w:noProof/>
          <w:szCs w:val="24"/>
          <w:lang w:val="en-GB"/>
        </w:rPr>
        <w:t xml:space="preserve">The </w:t>
      </w:r>
      <w:r w:rsidR="000C324C" w:rsidRPr="00724676">
        <w:rPr>
          <w:rFonts w:cs="Times New Roman"/>
          <w:b/>
          <w:bCs/>
          <w:noProof/>
          <w:szCs w:val="24"/>
          <w:lang w:val="en-GB"/>
        </w:rPr>
        <w:t>2024 simplification agenda</w:t>
      </w:r>
    </w:p>
    <w:p w14:paraId="1C238264" w14:textId="7F08930B" w:rsidR="00764BDC" w:rsidRPr="00780BDD" w:rsidRDefault="00240510" w:rsidP="001218ED">
      <w:pPr>
        <w:spacing w:after="120"/>
        <w:jc w:val="both"/>
        <w:rPr>
          <w:rFonts w:cs="Times New Roman"/>
          <w:noProof/>
          <w:lang w:val="en-GB"/>
        </w:rPr>
      </w:pPr>
      <w:r w:rsidRPr="7994D79A">
        <w:rPr>
          <w:rFonts w:cs="Times New Roman"/>
          <w:noProof/>
          <w:lang w:val="en-GB"/>
        </w:rPr>
        <w:t xml:space="preserve">The Commission’s </w:t>
      </w:r>
      <w:r w:rsidR="002722D0" w:rsidRPr="7994D79A">
        <w:rPr>
          <w:rFonts w:cs="Times New Roman"/>
          <w:noProof/>
          <w:lang w:val="en-GB"/>
        </w:rPr>
        <w:t>2023</w:t>
      </w:r>
      <w:r w:rsidRPr="7994D79A">
        <w:rPr>
          <w:rFonts w:cs="Times New Roman"/>
          <w:b/>
          <w:noProof/>
          <w:lang w:val="en-GB"/>
        </w:rPr>
        <w:t xml:space="preserve"> assessment of the</w:t>
      </w:r>
      <w:r w:rsidR="00F41D2B" w:rsidRPr="7994D79A">
        <w:rPr>
          <w:rFonts w:cs="Times New Roman"/>
          <w:b/>
          <w:noProof/>
          <w:lang w:val="en-GB"/>
        </w:rPr>
        <w:t xml:space="preserve"> </w:t>
      </w:r>
      <w:r w:rsidR="00523AA0" w:rsidRPr="6FE283EC">
        <w:rPr>
          <w:rFonts w:cs="Times New Roman"/>
          <w:b/>
          <w:noProof/>
          <w:lang w:val="en-GB"/>
        </w:rPr>
        <w:t>CAP Plans</w:t>
      </w:r>
      <w:r w:rsidR="00BD0698" w:rsidRPr="7994D79A">
        <w:rPr>
          <w:rFonts w:cs="Times New Roman"/>
          <w:b/>
          <w:noProof/>
          <w:lang w:val="en-GB"/>
        </w:rPr>
        <w:t xml:space="preserve">’ </w:t>
      </w:r>
      <w:r w:rsidRPr="7994D79A">
        <w:rPr>
          <w:rFonts w:cs="Times New Roman"/>
          <w:b/>
          <w:noProof/>
          <w:lang w:val="en-GB"/>
        </w:rPr>
        <w:t>joint effort and collective ambition</w:t>
      </w:r>
      <w:r w:rsidR="00EA3193" w:rsidRPr="7994D79A">
        <w:rPr>
          <w:rFonts w:cs="Times New Roman"/>
          <w:noProof/>
          <w:lang w:val="en-GB"/>
        </w:rPr>
        <w:t xml:space="preserve"> </w:t>
      </w:r>
      <w:r w:rsidR="00E5247A" w:rsidRPr="6FE283EC">
        <w:rPr>
          <w:rFonts w:cs="Times New Roman"/>
          <w:noProof/>
          <w:lang w:val="en-GB"/>
        </w:rPr>
        <w:t xml:space="preserve">in addressing </w:t>
      </w:r>
      <w:r w:rsidR="00EA3193" w:rsidRPr="00780BDD">
        <w:rPr>
          <w:rFonts w:cs="Times New Roman"/>
          <w:noProof/>
          <w:lang w:val="en-GB"/>
        </w:rPr>
        <w:t>the CAP</w:t>
      </w:r>
      <w:r w:rsidR="00857C0F" w:rsidRPr="00780BDD">
        <w:rPr>
          <w:rFonts w:cs="Times New Roman"/>
          <w:noProof/>
          <w:lang w:val="en-GB"/>
        </w:rPr>
        <w:t>’s</w:t>
      </w:r>
      <w:r w:rsidR="00EA3193" w:rsidRPr="00780BDD">
        <w:rPr>
          <w:rFonts w:cs="Times New Roman"/>
          <w:noProof/>
          <w:lang w:val="en-GB"/>
        </w:rPr>
        <w:t xml:space="preserve"> objectives</w:t>
      </w:r>
      <w:r w:rsidRPr="00780BDD">
        <w:rPr>
          <w:rStyle w:val="FootnoteReference"/>
          <w:rFonts w:cs="Times New Roman"/>
          <w:noProof/>
          <w:lang w:val="en-GB"/>
        </w:rPr>
        <w:footnoteReference w:id="10"/>
      </w:r>
      <w:r w:rsidRPr="00780BDD">
        <w:rPr>
          <w:rFonts w:cs="Times New Roman"/>
          <w:noProof/>
          <w:lang w:val="en-GB"/>
        </w:rPr>
        <w:t xml:space="preserve"> </w:t>
      </w:r>
      <w:r w:rsidR="00BD0698" w:rsidRPr="00780BDD">
        <w:rPr>
          <w:rFonts w:cs="Times New Roman"/>
          <w:noProof/>
          <w:lang w:val="en-GB"/>
        </w:rPr>
        <w:t>concluded</w:t>
      </w:r>
      <w:r w:rsidRPr="00780BDD">
        <w:rPr>
          <w:rFonts w:cs="Times New Roman"/>
          <w:noProof/>
          <w:lang w:val="en-GB"/>
        </w:rPr>
        <w:t xml:space="preserve"> that </w:t>
      </w:r>
      <w:r w:rsidRPr="00780BDD">
        <w:rPr>
          <w:rFonts w:cs="Times New Roman"/>
          <w:b/>
          <w:noProof/>
          <w:lang w:val="en-GB"/>
        </w:rPr>
        <w:t xml:space="preserve">the new approach </w:t>
      </w:r>
      <w:r w:rsidR="00B337C2" w:rsidRPr="00780BDD">
        <w:rPr>
          <w:rFonts w:cs="Times New Roman"/>
          <w:b/>
          <w:noProof/>
          <w:lang w:val="en-GB"/>
        </w:rPr>
        <w:t xml:space="preserve">was appropriate </w:t>
      </w:r>
      <w:r w:rsidR="00B337C2" w:rsidRPr="00780BDD">
        <w:rPr>
          <w:rFonts w:cs="Times New Roman"/>
          <w:noProof/>
          <w:lang w:val="en-GB"/>
        </w:rPr>
        <w:t>to pursue the policy objectives</w:t>
      </w:r>
      <w:r w:rsidRPr="00780BDD">
        <w:rPr>
          <w:rFonts w:cs="Times New Roman"/>
          <w:noProof/>
          <w:lang w:val="en-GB"/>
        </w:rPr>
        <w:t xml:space="preserve"> but signalled the need </w:t>
      </w:r>
      <w:r w:rsidRPr="00BD3C71">
        <w:rPr>
          <w:rFonts w:cs="Times New Roman"/>
          <w:noProof/>
          <w:lang w:val="en-GB"/>
        </w:rPr>
        <w:t xml:space="preserve">to </w:t>
      </w:r>
      <w:r w:rsidR="3522293F" w:rsidRPr="00DD7484">
        <w:rPr>
          <w:rFonts w:cs="Times New Roman"/>
          <w:b/>
          <w:bCs/>
          <w:noProof/>
          <w:lang w:val="en-GB"/>
        </w:rPr>
        <w:t>keep</w:t>
      </w:r>
      <w:r w:rsidR="00C629CF" w:rsidRPr="00DD7484">
        <w:rPr>
          <w:rFonts w:cs="Times New Roman"/>
          <w:b/>
          <w:noProof/>
          <w:lang w:val="en-GB"/>
        </w:rPr>
        <w:t xml:space="preserve"> </w:t>
      </w:r>
      <w:r w:rsidR="001F4277" w:rsidRPr="00BD3C71">
        <w:rPr>
          <w:rFonts w:cs="Times New Roman"/>
          <w:b/>
          <w:noProof/>
          <w:lang w:val="en-GB"/>
        </w:rPr>
        <w:t>the</w:t>
      </w:r>
      <w:r w:rsidRPr="00780BDD">
        <w:rPr>
          <w:rFonts w:cs="Times New Roman"/>
          <w:b/>
          <w:noProof/>
          <w:lang w:val="en-GB"/>
        </w:rPr>
        <w:t xml:space="preserve"> administrative burden</w:t>
      </w:r>
      <w:r w:rsidR="14367F19" w:rsidRPr="00780BDD">
        <w:rPr>
          <w:rFonts w:cs="Times New Roman"/>
          <w:b/>
          <w:bCs/>
          <w:noProof/>
          <w:lang w:val="en-GB"/>
        </w:rPr>
        <w:t xml:space="preserve"> under review</w:t>
      </w:r>
      <w:r w:rsidRPr="00BD3C71">
        <w:rPr>
          <w:rFonts w:cs="Times New Roman"/>
          <w:noProof/>
          <w:lang w:val="en-GB"/>
        </w:rPr>
        <w:t>.</w:t>
      </w:r>
      <w:r w:rsidRPr="00780BDD">
        <w:rPr>
          <w:rFonts w:cs="Times New Roman"/>
          <w:noProof/>
          <w:lang w:val="en-GB"/>
        </w:rPr>
        <w:t xml:space="preserve"> </w:t>
      </w:r>
    </w:p>
    <w:p w14:paraId="3988D0EF" w14:textId="7EA799F0" w:rsidR="00240510" w:rsidRPr="00724676" w:rsidRDefault="008C1DEE" w:rsidP="001218ED">
      <w:pPr>
        <w:spacing w:after="120"/>
        <w:jc w:val="both"/>
        <w:rPr>
          <w:rFonts w:cs="Times New Roman"/>
          <w:noProof/>
          <w:lang w:val="en-GB"/>
        </w:rPr>
      </w:pPr>
      <w:r w:rsidRPr="6E92984A">
        <w:rPr>
          <w:rFonts w:cs="Times New Roman"/>
          <w:noProof/>
          <w:lang w:val="en-GB"/>
        </w:rPr>
        <w:t>While</w:t>
      </w:r>
      <w:r w:rsidR="00AE1299" w:rsidRPr="6E92984A">
        <w:rPr>
          <w:rFonts w:cs="Times New Roman"/>
          <w:noProof/>
          <w:lang w:val="en-GB"/>
        </w:rPr>
        <w:t xml:space="preserve"> </w:t>
      </w:r>
      <w:r w:rsidRPr="6E92984A">
        <w:rPr>
          <w:rFonts w:cs="Times New Roman"/>
          <w:noProof/>
          <w:lang w:val="en-GB"/>
        </w:rPr>
        <w:t xml:space="preserve">the </w:t>
      </w:r>
      <w:r w:rsidR="00573796" w:rsidRPr="6E92984A">
        <w:rPr>
          <w:rFonts w:cs="Times New Roman"/>
          <w:noProof/>
          <w:lang w:val="en-GB"/>
        </w:rPr>
        <w:t xml:space="preserve">new approach </w:t>
      </w:r>
      <w:r w:rsidR="00AE1299" w:rsidRPr="6E92984A">
        <w:rPr>
          <w:rFonts w:cs="Times New Roman"/>
          <w:noProof/>
          <w:lang w:val="en-GB"/>
        </w:rPr>
        <w:t xml:space="preserve">is </w:t>
      </w:r>
      <w:r w:rsidR="00573796" w:rsidRPr="6E92984A">
        <w:rPr>
          <w:rFonts w:cs="Times New Roman"/>
          <w:noProof/>
          <w:lang w:val="en-GB"/>
        </w:rPr>
        <w:t>work</w:t>
      </w:r>
      <w:r w:rsidR="00AE1299" w:rsidRPr="6E92984A">
        <w:rPr>
          <w:rFonts w:cs="Times New Roman"/>
          <w:noProof/>
          <w:lang w:val="en-GB"/>
        </w:rPr>
        <w:t>ing</w:t>
      </w:r>
      <w:r w:rsidR="00573796" w:rsidRPr="6E92984A">
        <w:rPr>
          <w:rFonts w:cs="Times New Roman"/>
          <w:noProof/>
          <w:lang w:val="en-GB"/>
        </w:rPr>
        <w:t xml:space="preserve"> well</w:t>
      </w:r>
      <w:r w:rsidR="00AE1299" w:rsidRPr="6E92984A">
        <w:rPr>
          <w:rFonts w:cs="Times New Roman"/>
          <w:noProof/>
          <w:lang w:val="en-GB"/>
        </w:rPr>
        <w:t xml:space="preserve"> overall</w:t>
      </w:r>
      <w:r w:rsidR="00573796" w:rsidRPr="6E92984A">
        <w:rPr>
          <w:rFonts w:cs="Times New Roman"/>
          <w:noProof/>
          <w:lang w:val="en-GB"/>
        </w:rPr>
        <w:t>, the</w:t>
      </w:r>
      <w:r w:rsidR="00240510" w:rsidRPr="6E92984A">
        <w:rPr>
          <w:rFonts w:cs="Times New Roman"/>
          <w:b/>
          <w:noProof/>
          <w:lang w:val="en-GB"/>
        </w:rPr>
        <w:t xml:space="preserve"> first year of </w:t>
      </w:r>
      <w:r w:rsidR="00AE1299" w:rsidRPr="00DD7484">
        <w:rPr>
          <w:rFonts w:cs="Times New Roman"/>
          <w:b/>
          <w:noProof/>
          <w:lang w:val="en-GB"/>
        </w:rPr>
        <w:t>operation</w:t>
      </w:r>
      <w:r w:rsidR="00AE1299" w:rsidRPr="6E92984A">
        <w:rPr>
          <w:rFonts w:cs="Times New Roman"/>
          <w:b/>
          <w:noProof/>
          <w:lang w:val="en-GB"/>
        </w:rPr>
        <w:t xml:space="preserve"> </w:t>
      </w:r>
      <w:r w:rsidR="00240510" w:rsidRPr="6E92984A">
        <w:rPr>
          <w:rFonts w:cs="Times New Roman"/>
          <w:noProof/>
          <w:lang w:val="en-GB"/>
        </w:rPr>
        <w:t xml:space="preserve">of the </w:t>
      </w:r>
      <w:r w:rsidR="00523AA0" w:rsidRPr="6E92984A">
        <w:rPr>
          <w:rFonts w:cs="Times New Roman"/>
          <w:noProof/>
          <w:lang w:val="en-GB"/>
        </w:rPr>
        <w:t>CAP Plans</w:t>
      </w:r>
      <w:r w:rsidR="00240510" w:rsidRPr="6E92984A">
        <w:rPr>
          <w:rFonts w:cs="Times New Roman"/>
          <w:noProof/>
          <w:lang w:val="en-GB"/>
        </w:rPr>
        <w:t xml:space="preserve"> made </w:t>
      </w:r>
      <w:r w:rsidR="00C1334A" w:rsidRPr="6E92984A">
        <w:rPr>
          <w:rFonts w:cs="Times New Roman"/>
          <w:noProof/>
          <w:lang w:val="en-GB"/>
        </w:rPr>
        <w:t>it</w:t>
      </w:r>
      <w:r w:rsidR="00240510" w:rsidRPr="6E92984A">
        <w:rPr>
          <w:rFonts w:cs="Times New Roman"/>
          <w:noProof/>
          <w:lang w:val="en-GB"/>
        </w:rPr>
        <w:t xml:space="preserve"> clear that </w:t>
      </w:r>
      <w:r w:rsidR="00240510" w:rsidRPr="6E92984A">
        <w:rPr>
          <w:rFonts w:cs="Times New Roman"/>
          <w:b/>
          <w:noProof/>
          <w:lang w:val="en-GB"/>
        </w:rPr>
        <w:t xml:space="preserve">adjustments </w:t>
      </w:r>
      <w:r w:rsidR="006E47D4" w:rsidRPr="6E92984A">
        <w:rPr>
          <w:rFonts w:cs="Times New Roman"/>
          <w:b/>
          <w:noProof/>
          <w:lang w:val="en-GB"/>
        </w:rPr>
        <w:t>were</w:t>
      </w:r>
      <w:r w:rsidR="00240510" w:rsidRPr="6E92984A">
        <w:rPr>
          <w:rFonts w:cs="Times New Roman"/>
          <w:b/>
          <w:noProof/>
          <w:lang w:val="en-GB"/>
        </w:rPr>
        <w:t xml:space="preserve"> necessary</w:t>
      </w:r>
      <w:r w:rsidR="00240510" w:rsidRPr="6E92984A">
        <w:rPr>
          <w:rFonts w:cs="Times New Roman"/>
          <w:noProof/>
          <w:lang w:val="en-GB"/>
        </w:rPr>
        <w:t xml:space="preserve"> to ensure </w:t>
      </w:r>
      <w:r w:rsidR="00980D4C" w:rsidRPr="00780BDD">
        <w:rPr>
          <w:rFonts w:cs="Times New Roman"/>
          <w:noProof/>
          <w:szCs w:val="24"/>
          <w:lang w:val="en-GB"/>
        </w:rPr>
        <w:t>that</w:t>
      </w:r>
      <w:r w:rsidR="00980D4C" w:rsidRPr="6E92984A">
        <w:rPr>
          <w:rFonts w:cs="Times New Roman"/>
          <w:noProof/>
          <w:lang w:val="en-GB"/>
        </w:rPr>
        <w:t xml:space="preserve"> they </w:t>
      </w:r>
      <w:r w:rsidR="00FD4C57" w:rsidRPr="00DD7484">
        <w:rPr>
          <w:rFonts w:cs="Times New Roman"/>
          <w:b/>
          <w:noProof/>
          <w:lang w:val="en-GB"/>
        </w:rPr>
        <w:t>bring the expected effects</w:t>
      </w:r>
      <w:r w:rsidR="00240510" w:rsidRPr="6E92984A">
        <w:rPr>
          <w:rFonts w:cs="Times New Roman"/>
          <w:noProof/>
          <w:lang w:val="en-GB"/>
        </w:rPr>
        <w:t xml:space="preserve"> and </w:t>
      </w:r>
      <w:r w:rsidR="00747A3E" w:rsidRPr="6E92984A">
        <w:rPr>
          <w:rFonts w:cs="Times New Roman"/>
          <w:noProof/>
          <w:lang w:val="en-GB"/>
        </w:rPr>
        <w:t xml:space="preserve">to </w:t>
      </w:r>
      <w:r w:rsidR="00240510" w:rsidRPr="00DD7484">
        <w:rPr>
          <w:rFonts w:cs="Times New Roman"/>
          <w:b/>
          <w:noProof/>
          <w:lang w:val="en-GB"/>
        </w:rPr>
        <w:t>cut red</w:t>
      </w:r>
      <w:r w:rsidR="00857C0F" w:rsidRPr="00DD7484">
        <w:rPr>
          <w:rFonts w:cs="Times New Roman"/>
          <w:b/>
          <w:noProof/>
          <w:lang w:val="en-GB"/>
        </w:rPr>
        <w:t xml:space="preserve"> </w:t>
      </w:r>
      <w:r w:rsidR="00240510" w:rsidRPr="00DD7484">
        <w:rPr>
          <w:rFonts w:cs="Times New Roman"/>
          <w:b/>
          <w:noProof/>
          <w:lang w:val="en-GB"/>
        </w:rPr>
        <w:t>tape</w:t>
      </w:r>
      <w:r w:rsidR="00675876" w:rsidRPr="6E92984A">
        <w:rPr>
          <w:rFonts w:cs="Times New Roman"/>
          <w:noProof/>
          <w:lang w:val="en-GB"/>
        </w:rPr>
        <w:t>.</w:t>
      </w:r>
      <w:r w:rsidR="00F27005" w:rsidRPr="6E92984A">
        <w:rPr>
          <w:rFonts w:cs="Times New Roman"/>
          <w:noProof/>
          <w:lang w:val="en-GB"/>
        </w:rPr>
        <w:t xml:space="preserve"> </w:t>
      </w:r>
      <w:r w:rsidR="00AE1299" w:rsidRPr="6E92984A">
        <w:rPr>
          <w:rFonts w:cs="Times New Roman"/>
          <w:noProof/>
          <w:lang w:val="en-GB"/>
        </w:rPr>
        <w:t xml:space="preserve">The first year </w:t>
      </w:r>
      <w:r w:rsidR="00F27005" w:rsidRPr="6E92984A">
        <w:rPr>
          <w:rFonts w:cs="Times New Roman"/>
          <w:noProof/>
          <w:lang w:val="en-GB"/>
        </w:rPr>
        <w:t>also showed that there is a need</w:t>
      </w:r>
      <w:r w:rsidR="00240510" w:rsidRPr="6E92984A">
        <w:rPr>
          <w:rFonts w:cs="Times New Roman"/>
          <w:noProof/>
          <w:lang w:val="en-GB"/>
        </w:rPr>
        <w:t xml:space="preserve"> to take better account of the impacts of </w:t>
      </w:r>
      <w:r w:rsidR="00857C0F" w:rsidRPr="6E92984A">
        <w:rPr>
          <w:rFonts w:cs="Times New Roman"/>
          <w:noProof/>
          <w:lang w:val="en-GB"/>
        </w:rPr>
        <w:t xml:space="preserve">Russia’s war of </w:t>
      </w:r>
      <w:r w:rsidR="00240510" w:rsidRPr="6E92984A">
        <w:rPr>
          <w:rFonts w:cs="Times New Roman"/>
          <w:noProof/>
          <w:lang w:val="en-GB"/>
        </w:rPr>
        <w:t xml:space="preserve">aggression </w:t>
      </w:r>
      <w:r w:rsidR="00857C0F" w:rsidRPr="6E92984A">
        <w:rPr>
          <w:rFonts w:cs="Times New Roman"/>
          <w:noProof/>
          <w:lang w:val="en-GB"/>
        </w:rPr>
        <w:t>against</w:t>
      </w:r>
      <w:r w:rsidR="00026685" w:rsidRPr="6E92984A">
        <w:rPr>
          <w:rFonts w:cs="Times New Roman"/>
          <w:noProof/>
          <w:lang w:val="en-GB"/>
        </w:rPr>
        <w:t xml:space="preserve"> </w:t>
      </w:r>
      <w:r w:rsidR="00240510" w:rsidRPr="6E92984A">
        <w:rPr>
          <w:rFonts w:cs="Times New Roman"/>
          <w:noProof/>
          <w:lang w:val="en-GB"/>
        </w:rPr>
        <w:t>Ukraine, which strongly influenced</w:t>
      </w:r>
      <w:r w:rsidR="008C004A" w:rsidRPr="6E92984A">
        <w:rPr>
          <w:rFonts w:cs="Times New Roman"/>
          <w:noProof/>
          <w:lang w:val="en-GB"/>
        </w:rPr>
        <w:t xml:space="preserve"> </w:t>
      </w:r>
      <w:r w:rsidR="00AE1299" w:rsidRPr="6E92984A">
        <w:rPr>
          <w:rFonts w:cs="Times New Roman"/>
          <w:noProof/>
          <w:lang w:val="en-GB"/>
        </w:rPr>
        <w:t xml:space="preserve">the </w:t>
      </w:r>
      <w:r w:rsidR="00240510" w:rsidRPr="6E92984A">
        <w:rPr>
          <w:rFonts w:cs="Times New Roman"/>
          <w:noProof/>
          <w:lang w:val="en-GB"/>
        </w:rPr>
        <w:t xml:space="preserve">markets (and farmers’ margins), </w:t>
      </w:r>
      <w:r w:rsidR="00021E5A" w:rsidRPr="6E92984A">
        <w:rPr>
          <w:rFonts w:cs="Times New Roman"/>
          <w:noProof/>
          <w:lang w:val="en-GB"/>
        </w:rPr>
        <w:t>as well as</w:t>
      </w:r>
      <w:r w:rsidR="00240510" w:rsidRPr="6E92984A">
        <w:rPr>
          <w:rFonts w:cs="Times New Roman"/>
          <w:noProof/>
          <w:lang w:val="en-GB"/>
        </w:rPr>
        <w:t xml:space="preserve"> </w:t>
      </w:r>
      <w:r w:rsidR="00924FC9" w:rsidRPr="6E92984A">
        <w:rPr>
          <w:rFonts w:cs="Times New Roman"/>
          <w:noProof/>
          <w:lang w:val="en-GB"/>
        </w:rPr>
        <w:t xml:space="preserve">the overall context for the EU’s </w:t>
      </w:r>
      <w:r w:rsidR="00240510" w:rsidRPr="6E92984A">
        <w:rPr>
          <w:rFonts w:cs="Times New Roman"/>
          <w:noProof/>
          <w:lang w:val="en-GB"/>
        </w:rPr>
        <w:t>agricultural policy</w:t>
      </w:r>
      <w:r w:rsidR="00747A3E" w:rsidRPr="6E92984A">
        <w:rPr>
          <w:rFonts w:cs="Times New Roman"/>
          <w:noProof/>
          <w:lang w:val="en-GB"/>
        </w:rPr>
        <w:t>.</w:t>
      </w:r>
      <w:r w:rsidR="00240510" w:rsidRPr="6E92984A">
        <w:rPr>
          <w:rFonts w:cs="Times New Roman"/>
          <w:noProof/>
          <w:lang w:val="en-GB"/>
        </w:rPr>
        <w:t xml:space="preserve"> </w:t>
      </w:r>
      <w:r w:rsidR="00747A3E" w:rsidRPr="00DD7484">
        <w:rPr>
          <w:rFonts w:cs="Times New Roman"/>
          <w:noProof/>
          <w:lang w:val="en-GB"/>
        </w:rPr>
        <w:t>T</w:t>
      </w:r>
      <w:r w:rsidR="00240510" w:rsidRPr="00DD7484">
        <w:rPr>
          <w:rFonts w:cs="Times New Roman"/>
          <w:noProof/>
          <w:lang w:val="en-GB"/>
        </w:rPr>
        <w:t>h</w:t>
      </w:r>
      <w:r w:rsidR="00402843" w:rsidRPr="00DD7484">
        <w:rPr>
          <w:rFonts w:cs="Times New Roman"/>
          <w:noProof/>
          <w:lang w:val="en-GB"/>
        </w:rPr>
        <w:t xml:space="preserve">e </w:t>
      </w:r>
      <w:r w:rsidR="00240510" w:rsidRPr="00DD7484">
        <w:rPr>
          <w:rFonts w:cs="Times New Roman"/>
          <w:noProof/>
          <w:lang w:val="en-GB"/>
        </w:rPr>
        <w:t>discussions on several related Green Deal legislative proposals</w:t>
      </w:r>
      <w:r w:rsidR="0034007B" w:rsidRPr="00DD7484">
        <w:rPr>
          <w:rFonts w:cs="Times New Roman"/>
          <w:noProof/>
          <w:lang w:val="en-GB"/>
        </w:rPr>
        <w:t xml:space="preserve"> were also relevant as they</w:t>
      </w:r>
      <w:r w:rsidR="00934CC3" w:rsidRPr="00DD7484">
        <w:rPr>
          <w:rFonts w:cs="Times New Roman"/>
          <w:noProof/>
          <w:lang w:val="en-GB"/>
        </w:rPr>
        <w:t xml:space="preserve"> </w:t>
      </w:r>
      <w:r w:rsidR="00240510" w:rsidRPr="00DD7484">
        <w:rPr>
          <w:rFonts w:cs="Times New Roman"/>
          <w:noProof/>
          <w:lang w:val="en-GB"/>
        </w:rPr>
        <w:t xml:space="preserve">may affect </w:t>
      </w:r>
      <w:r w:rsidR="00185735" w:rsidRPr="00DD7484">
        <w:rPr>
          <w:rFonts w:cs="Times New Roman"/>
          <w:noProof/>
          <w:lang w:val="en-GB"/>
        </w:rPr>
        <w:t xml:space="preserve">both </w:t>
      </w:r>
      <w:r w:rsidR="00240510" w:rsidRPr="00DD7484">
        <w:rPr>
          <w:rFonts w:cs="Times New Roman"/>
          <w:noProof/>
          <w:lang w:val="en-GB"/>
        </w:rPr>
        <w:t>farmers and the requirements</w:t>
      </w:r>
      <w:r w:rsidR="00FB3C1D" w:rsidRPr="00DD7484">
        <w:rPr>
          <w:rFonts w:cs="Times New Roman"/>
          <w:noProof/>
          <w:lang w:val="en-GB"/>
        </w:rPr>
        <w:t xml:space="preserve"> set out in the </w:t>
      </w:r>
      <w:r w:rsidR="00523AA0" w:rsidRPr="00DD7484">
        <w:rPr>
          <w:rFonts w:cs="Times New Roman"/>
          <w:noProof/>
          <w:lang w:val="en-GB"/>
        </w:rPr>
        <w:t>CAP Plans</w:t>
      </w:r>
      <w:r w:rsidR="0034007B" w:rsidRPr="00DD7484">
        <w:rPr>
          <w:rFonts w:cs="Times New Roman"/>
          <w:noProof/>
          <w:lang w:val="en-GB"/>
        </w:rPr>
        <w:t>.</w:t>
      </w:r>
      <w:r w:rsidR="00F43E0F" w:rsidRPr="00DD7484">
        <w:rPr>
          <w:rFonts w:cs="Times New Roman"/>
          <w:noProof/>
          <w:lang w:val="en-GB"/>
        </w:rPr>
        <w:t xml:space="preserve"> </w:t>
      </w:r>
      <w:r w:rsidR="00240510" w:rsidRPr="6E92984A">
        <w:rPr>
          <w:rFonts w:cs="Times New Roman"/>
          <w:noProof/>
          <w:lang w:val="en-GB"/>
        </w:rPr>
        <w:t xml:space="preserve">The </w:t>
      </w:r>
      <w:r w:rsidR="001851C0" w:rsidRPr="6E92984A">
        <w:rPr>
          <w:rFonts w:cs="Times New Roman"/>
          <w:noProof/>
          <w:lang w:val="en-GB"/>
        </w:rPr>
        <w:t>reason</w:t>
      </w:r>
      <w:r w:rsidR="008140B5" w:rsidRPr="6E92984A">
        <w:rPr>
          <w:rFonts w:cs="Times New Roman"/>
          <w:noProof/>
          <w:lang w:val="en-GB"/>
        </w:rPr>
        <w:t>s</w:t>
      </w:r>
      <w:r w:rsidR="001851C0" w:rsidRPr="6E92984A">
        <w:rPr>
          <w:rFonts w:cs="Times New Roman"/>
          <w:noProof/>
          <w:lang w:val="en-GB"/>
        </w:rPr>
        <w:t xml:space="preserve"> for the</w:t>
      </w:r>
      <w:r w:rsidR="00240510" w:rsidRPr="6E92984A">
        <w:rPr>
          <w:rFonts w:cs="Times New Roman"/>
          <w:noProof/>
          <w:lang w:val="en-GB"/>
        </w:rPr>
        <w:t xml:space="preserve"> </w:t>
      </w:r>
      <w:r w:rsidR="00240510" w:rsidRPr="6E92984A">
        <w:rPr>
          <w:rFonts w:cs="Times New Roman"/>
          <w:b/>
          <w:noProof/>
          <w:lang w:val="en-GB"/>
        </w:rPr>
        <w:t xml:space="preserve">widespread protests </w:t>
      </w:r>
      <w:r w:rsidR="00AE1299" w:rsidRPr="6E92984A">
        <w:rPr>
          <w:rFonts w:cs="Times New Roman"/>
          <w:b/>
          <w:noProof/>
          <w:lang w:val="en-GB"/>
        </w:rPr>
        <w:t>by farmers</w:t>
      </w:r>
      <w:r w:rsidR="00AE1299" w:rsidRPr="6E92984A">
        <w:rPr>
          <w:rFonts w:cs="Times New Roman"/>
          <w:noProof/>
          <w:lang w:val="en-GB"/>
        </w:rPr>
        <w:t xml:space="preserve"> in </w:t>
      </w:r>
      <w:r w:rsidR="00240510" w:rsidRPr="6E92984A">
        <w:rPr>
          <w:rFonts w:cs="Times New Roman"/>
          <w:noProof/>
          <w:lang w:val="en-GB"/>
        </w:rPr>
        <w:t xml:space="preserve">early 2024 </w:t>
      </w:r>
      <w:r w:rsidR="003A017D" w:rsidRPr="6E92984A">
        <w:rPr>
          <w:rFonts w:cs="Times New Roman"/>
          <w:noProof/>
          <w:lang w:val="en-GB"/>
        </w:rPr>
        <w:t xml:space="preserve">are complex </w:t>
      </w:r>
      <w:r w:rsidR="008140B5" w:rsidRPr="6E92984A">
        <w:rPr>
          <w:rFonts w:cs="Times New Roman"/>
          <w:noProof/>
          <w:lang w:val="en-GB"/>
        </w:rPr>
        <w:t xml:space="preserve">but </w:t>
      </w:r>
      <w:r w:rsidR="00240510" w:rsidRPr="6E92984A">
        <w:rPr>
          <w:rFonts w:cs="Times New Roman"/>
          <w:noProof/>
          <w:lang w:val="en-GB"/>
        </w:rPr>
        <w:t>reflected these concerns</w:t>
      </w:r>
      <w:r w:rsidR="00541E36" w:rsidRPr="6E92984A">
        <w:rPr>
          <w:rFonts w:cs="Times New Roman"/>
          <w:noProof/>
          <w:lang w:val="en-GB"/>
        </w:rPr>
        <w:t>,</w:t>
      </w:r>
      <w:r w:rsidR="00240510" w:rsidRPr="6E92984A">
        <w:rPr>
          <w:rFonts w:cs="Times New Roman"/>
          <w:noProof/>
          <w:lang w:val="en-GB"/>
        </w:rPr>
        <w:t xml:space="preserve"> a</w:t>
      </w:r>
      <w:r w:rsidR="00A371ED" w:rsidRPr="6E92984A">
        <w:rPr>
          <w:rFonts w:cs="Times New Roman"/>
          <w:noProof/>
          <w:lang w:val="en-GB"/>
        </w:rPr>
        <w:t>s well as</w:t>
      </w:r>
      <w:r w:rsidR="00240510" w:rsidRPr="6E92984A">
        <w:rPr>
          <w:rFonts w:cs="Times New Roman"/>
          <w:noProof/>
          <w:lang w:val="en-GB"/>
        </w:rPr>
        <w:t xml:space="preserve"> other major structural, economic and climatic challenges in agriculture and </w:t>
      </w:r>
      <w:r w:rsidR="00541E36" w:rsidRPr="6E92984A">
        <w:rPr>
          <w:rFonts w:cs="Times New Roman"/>
          <w:noProof/>
          <w:lang w:val="en-GB"/>
        </w:rPr>
        <w:t xml:space="preserve">in </w:t>
      </w:r>
      <w:r w:rsidR="00240510" w:rsidRPr="6E92984A">
        <w:rPr>
          <w:rFonts w:cs="Times New Roman"/>
          <w:noProof/>
          <w:lang w:val="en-GB"/>
        </w:rPr>
        <w:t xml:space="preserve">rural areas. </w:t>
      </w:r>
    </w:p>
    <w:p w14:paraId="2B4C65E7" w14:textId="62AC12B7" w:rsidR="00D83221" w:rsidRPr="00724676" w:rsidRDefault="00D83221" w:rsidP="00DF78C0">
      <w:pPr>
        <w:spacing w:after="120"/>
        <w:jc w:val="both"/>
        <w:rPr>
          <w:rFonts w:cs="Times New Roman"/>
          <w:noProof/>
          <w:szCs w:val="24"/>
          <w:lang w:val="en-GB"/>
        </w:rPr>
      </w:pPr>
      <w:r w:rsidRPr="00724676">
        <w:rPr>
          <w:rFonts w:cs="Times New Roman"/>
          <w:noProof/>
          <w:szCs w:val="24"/>
          <w:lang w:val="en-GB"/>
        </w:rPr>
        <w:t>The European Council of 1 February 2024 discussed the challenges in the agricultural sector</w:t>
      </w:r>
      <w:r w:rsidR="00541E36">
        <w:rPr>
          <w:rFonts w:cs="Times New Roman"/>
          <w:noProof/>
          <w:szCs w:val="24"/>
          <w:lang w:val="en-GB"/>
        </w:rPr>
        <w:t>,</w:t>
      </w:r>
      <w:r w:rsidRPr="00724676">
        <w:rPr>
          <w:rFonts w:cs="Times New Roman"/>
          <w:noProof/>
          <w:szCs w:val="24"/>
          <w:lang w:val="en-GB"/>
        </w:rPr>
        <w:t xml:space="preserve"> including the concerns raised by farmers during the protests. Stressing the essential role of the CAP, it called on the Council and the </w:t>
      </w:r>
      <w:r w:rsidRPr="002874FC">
        <w:rPr>
          <w:rFonts w:cs="Times New Roman"/>
          <w:noProof/>
          <w:szCs w:val="24"/>
          <w:lang w:val="en-GB"/>
        </w:rPr>
        <w:t xml:space="preserve">Commission to take </w:t>
      </w:r>
      <w:r w:rsidR="00AE1299" w:rsidRPr="002169FC">
        <w:rPr>
          <w:rFonts w:cs="Times New Roman"/>
          <w:noProof/>
          <w:szCs w:val="24"/>
          <w:lang w:val="en-GB"/>
        </w:rPr>
        <w:t xml:space="preserve">the </w:t>
      </w:r>
      <w:r w:rsidRPr="002874FC">
        <w:rPr>
          <w:rFonts w:cs="Times New Roman"/>
          <w:noProof/>
          <w:szCs w:val="24"/>
          <w:lang w:val="en-GB"/>
        </w:rPr>
        <w:t>work forward as necessary.</w:t>
      </w:r>
      <w:r w:rsidRPr="00724676">
        <w:rPr>
          <w:rFonts w:cs="Times New Roman"/>
          <w:noProof/>
          <w:szCs w:val="24"/>
          <w:lang w:val="en-GB"/>
        </w:rPr>
        <w:t xml:space="preserve"> </w:t>
      </w:r>
    </w:p>
    <w:p w14:paraId="3A3F8FA9" w14:textId="1FA0AB4A" w:rsidR="0054009C" w:rsidRPr="00724676" w:rsidRDefault="004C69CC" w:rsidP="00DF78C0">
      <w:pPr>
        <w:spacing w:after="120"/>
        <w:jc w:val="both"/>
        <w:rPr>
          <w:rFonts w:cs="Times New Roman"/>
          <w:noProof/>
          <w:szCs w:val="24"/>
          <w:lang w:val="en-GB"/>
        </w:rPr>
      </w:pPr>
      <w:r w:rsidRPr="00724676">
        <w:rPr>
          <w:rFonts w:cs="Times New Roman"/>
          <w:noProof/>
          <w:szCs w:val="24"/>
          <w:lang w:val="en-GB"/>
        </w:rPr>
        <w:t xml:space="preserve">Commission </w:t>
      </w:r>
      <w:r w:rsidR="00D83221" w:rsidRPr="00724676">
        <w:rPr>
          <w:rFonts w:cs="Times New Roman"/>
          <w:noProof/>
          <w:szCs w:val="24"/>
          <w:lang w:val="en-GB"/>
        </w:rPr>
        <w:t xml:space="preserve">President </w:t>
      </w:r>
      <w:r w:rsidR="00541E36">
        <w:rPr>
          <w:rFonts w:cs="Times New Roman"/>
          <w:noProof/>
          <w:szCs w:val="24"/>
          <w:lang w:val="en-GB"/>
        </w:rPr>
        <w:t xml:space="preserve">Ursula </w:t>
      </w:r>
      <w:r w:rsidR="000000B8" w:rsidRPr="00724676">
        <w:rPr>
          <w:rFonts w:cs="Times New Roman"/>
          <w:noProof/>
          <w:szCs w:val="24"/>
          <w:lang w:val="en-GB"/>
        </w:rPr>
        <w:t>von</w:t>
      </w:r>
      <w:r w:rsidR="00D83221" w:rsidRPr="00724676">
        <w:rPr>
          <w:rFonts w:cs="Times New Roman"/>
          <w:noProof/>
          <w:szCs w:val="24"/>
          <w:lang w:val="en-GB"/>
        </w:rPr>
        <w:t xml:space="preserve"> der Leyen committed to launch a thorough analysis of the administrative burden on farmers to identify areas for </w:t>
      </w:r>
      <w:r w:rsidR="00D83221" w:rsidRPr="00AE1299">
        <w:rPr>
          <w:rFonts w:cs="Times New Roman"/>
          <w:noProof/>
          <w:szCs w:val="24"/>
          <w:lang w:val="en-GB"/>
        </w:rPr>
        <w:t xml:space="preserve">improvement. </w:t>
      </w:r>
      <w:r w:rsidR="00AE1299">
        <w:rPr>
          <w:rFonts w:cs="Times New Roman"/>
          <w:noProof/>
          <w:szCs w:val="24"/>
          <w:lang w:val="en-GB"/>
        </w:rPr>
        <w:t>B</w:t>
      </w:r>
      <w:r w:rsidR="00D83221" w:rsidRPr="00724676">
        <w:rPr>
          <w:rFonts w:cs="Times New Roman"/>
          <w:noProof/>
          <w:szCs w:val="24"/>
          <w:lang w:val="en-GB"/>
        </w:rPr>
        <w:t>ased on input from</w:t>
      </w:r>
      <w:r w:rsidR="00AE1299">
        <w:rPr>
          <w:rFonts w:cs="Times New Roman"/>
          <w:noProof/>
          <w:szCs w:val="24"/>
          <w:lang w:val="en-GB"/>
        </w:rPr>
        <w:t xml:space="preserve">, </w:t>
      </w:r>
      <w:r w:rsidR="00AE1299">
        <w:rPr>
          <w:rFonts w:cs="Times New Roman"/>
          <w:noProof/>
          <w:szCs w:val="24"/>
          <w:lang w:val="en-GB"/>
        </w:rPr>
        <w:lastRenderedPageBreak/>
        <w:t xml:space="preserve">among others, the </w:t>
      </w:r>
      <w:r w:rsidR="00D83221" w:rsidRPr="00724676">
        <w:rPr>
          <w:rFonts w:cs="Times New Roman"/>
          <w:noProof/>
          <w:szCs w:val="24"/>
          <w:lang w:val="en-GB"/>
        </w:rPr>
        <w:t>Member States, EU farmer</w:t>
      </w:r>
      <w:r w:rsidR="00AE1299">
        <w:rPr>
          <w:rFonts w:cs="Times New Roman"/>
          <w:noProof/>
          <w:szCs w:val="24"/>
          <w:lang w:val="en-GB"/>
        </w:rPr>
        <w:t>s’</w:t>
      </w:r>
      <w:r w:rsidR="00D83221" w:rsidRPr="00724676">
        <w:rPr>
          <w:rFonts w:cs="Times New Roman"/>
          <w:noProof/>
          <w:szCs w:val="24"/>
          <w:lang w:val="en-GB"/>
        </w:rPr>
        <w:t xml:space="preserve"> organisations and the European Parliament</w:t>
      </w:r>
      <w:r w:rsidR="00AF7DB2" w:rsidRPr="00724676">
        <w:rPr>
          <w:rFonts w:cs="Times New Roman"/>
          <w:noProof/>
          <w:szCs w:val="24"/>
          <w:lang w:val="en-GB"/>
        </w:rPr>
        <w:t xml:space="preserve">, </w:t>
      </w:r>
      <w:r w:rsidR="00D83221" w:rsidRPr="00724676">
        <w:rPr>
          <w:rFonts w:cs="Times New Roman"/>
          <w:noProof/>
          <w:szCs w:val="24"/>
          <w:lang w:val="en-GB"/>
        </w:rPr>
        <w:t xml:space="preserve">the Commission came forward with </w:t>
      </w:r>
      <w:r w:rsidR="00D83221" w:rsidRPr="0049665B">
        <w:rPr>
          <w:rFonts w:cs="Times New Roman"/>
          <w:noProof/>
          <w:szCs w:val="24"/>
          <w:lang w:val="en-GB"/>
        </w:rPr>
        <w:t xml:space="preserve">a non-paper on possible </w:t>
      </w:r>
      <w:r w:rsidR="00AE1299" w:rsidRPr="0049665B">
        <w:rPr>
          <w:rFonts w:cs="Times New Roman"/>
          <w:noProof/>
          <w:szCs w:val="24"/>
          <w:lang w:val="en-GB"/>
        </w:rPr>
        <w:t>simplification</w:t>
      </w:r>
      <w:r w:rsidR="00AE1299" w:rsidRPr="00E679B3">
        <w:rPr>
          <w:rFonts w:cs="Times New Roman"/>
          <w:noProof/>
          <w:szCs w:val="24"/>
          <w:lang w:val="en-GB"/>
        </w:rPr>
        <w:t xml:space="preserve"> </w:t>
      </w:r>
      <w:r w:rsidR="00D83221" w:rsidRPr="0049665B">
        <w:rPr>
          <w:rFonts w:cs="Times New Roman"/>
          <w:noProof/>
          <w:szCs w:val="24"/>
          <w:lang w:val="en-GB"/>
        </w:rPr>
        <w:t xml:space="preserve">actions </w:t>
      </w:r>
      <w:r w:rsidR="00D83221" w:rsidRPr="00E679B3">
        <w:rPr>
          <w:rFonts w:cs="Times New Roman"/>
          <w:noProof/>
          <w:szCs w:val="24"/>
          <w:lang w:val="en-GB"/>
        </w:rPr>
        <w:t>on 22 February 2024 as an input to Council discussions</w:t>
      </w:r>
      <w:r w:rsidR="00950287" w:rsidRPr="00E679B3">
        <w:rPr>
          <w:rFonts w:cs="Times New Roman"/>
          <w:noProof/>
          <w:szCs w:val="24"/>
          <w:lang w:val="en-GB"/>
        </w:rPr>
        <w:t xml:space="preserve"> </w:t>
      </w:r>
      <w:r w:rsidR="00950287" w:rsidRPr="0049665B">
        <w:rPr>
          <w:rFonts w:cs="Times New Roman"/>
          <w:noProof/>
          <w:szCs w:val="24"/>
          <w:lang w:val="en-GB"/>
        </w:rPr>
        <w:t>(</w:t>
      </w:r>
      <w:r w:rsidR="00950287" w:rsidRPr="00406DFD">
        <w:rPr>
          <w:rFonts w:cs="Times New Roman"/>
          <w:b/>
          <w:noProof/>
          <w:szCs w:val="24"/>
          <w:lang w:val="en-GB"/>
        </w:rPr>
        <w:t>‘the simplification package’</w:t>
      </w:r>
      <w:r w:rsidR="00950287" w:rsidRPr="0049665B">
        <w:rPr>
          <w:rFonts w:cs="Times New Roman"/>
          <w:noProof/>
          <w:szCs w:val="24"/>
          <w:lang w:val="en-GB"/>
        </w:rPr>
        <w:t>)</w:t>
      </w:r>
      <w:r w:rsidR="00D83221" w:rsidRPr="00E679B3">
        <w:rPr>
          <w:rFonts w:cs="Times New Roman"/>
          <w:noProof/>
          <w:szCs w:val="24"/>
          <w:lang w:val="en-GB"/>
        </w:rPr>
        <w:t>.</w:t>
      </w:r>
      <w:r w:rsidR="002A26B7" w:rsidRPr="00724676">
        <w:rPr>
          <w:rFonts w:cs="Times New Roman"/>
          <w:noProof/>
          <w:szCs w:val="24"/>
          <w:lang w:val="en-GB"/>
        </w:rPr>
        <w:t xml:space="preserve"> </w:t>
      </w:r>
    </w:p>
    <w:p w14:paraId="4348DE11" w14:textId="0D3B7B77" w:rsidR="00D83221" w:rsidRPr="00724676" w:rsidRDefault="00D83221" w:rsidP="5B7F1876">
      <w:pPr>
        <w:spacing w:after="120"/>
        <w:jc w:val="both"/>
        <w:rPr>
          <w:rFonts w:cs="Times New Roman"/>
          <w:noProof/>
          <w:lang w:val="en-GB"/>
        </w:rPr>
      </w:pPr>
      <w:r w:rsidRPr="5B7F1876">
        <w:rPr>
          <w:rFonts w:cs="Times New Roman"/>
          <w:noProof/>
          <w:lang w:val="en-GB"/>
        </w:rPr>
        <w:t xml:space="preserve">The Agriculture and Fisheries </w:t>
      </w:r>
      <w:r w:rsidR="00B751CE" w:rsidRPr="5B7F1876">
        <w:rPr>
          <w:rFonts w:cs="Times New Roman"/>
          <w:noProof/>
          <w:lang w:val="en-GB"/>
        </w:rPr>
        <w:t xml:space="preserve">(AGRIFISH) </w:t>
      </w:r>
      <w:r w:rsidRPr="5B7F1876">
        <w:rPr>
          <w:rFonts w:cs="Times New Roman"/>
          <w:noProof/>
          <w:lang w:val="en-GB"/>
        </w:rPr>
        <w:t>Council of 26 February 2024 confirmed its political will to respond effectively to the concerns of farmers and, as a first step, supported a range of measures in the Commission</w:t>
      </w:r>
      <w:r w:rsidR="00AE1299" w:rsidRPr="5B7F1876">
        <w:rPr>
          <w:rFonts w:cs="Times New Roman"/>
          <w:noProof/>
          <w:lang w:val="en-GB"/>
        </w:rPr>
        <w:t>’s</w:t>
      </w:r>
      <w:r w:rsidRPr="5B7F1876">
        <w:rPr>
          <w:rFonts w:cs="Times New Roman"/>
          <w:noProof/>
          <w:lang w:val="en-GB"/>
        </w:rPr>
        <w:t xml:space="preserve"> </w:t>
      </w:r>
      <w:r w:rsidR="008719C9" w:rsidRPr="5B7F1876">
        <w:rPr>
          <w:rFonts w:cs="Times New Roman"/>
          <w:noProof/>
          <w:lang w:val="en-GB"/>
        </w:rPr>
        <w:t>simplification package</w:t>
      </w:r>
      <w:r w:rsidRPr="5B7F1876">
        <w:rPr>
          <w:rFonts w:cs="Times New Roman"/>
          <w:noProof/>
          <w:lang w:val="en-GB"/>
        </w:rPr>
        <w:t xml:space="preserve"> as </w:t>
      </w:r>
      <w:r w:rsidR="00AE1299" w:rsidRPr="5B7F1876">
        <w:rPr>
          <w:rFonts w:cs="Times New Roman"/>
          <w:noProof/>
          <w:lang w:val="en-GB"/>
        </w:rPr>
        <w:t xml:space="preserve">a </w:t>
      </w:r>
      <w:r w:rsidRPr="5B7F1876">
        <w:rPr>
          <w:rFonts w:cs="Times New Roman"/>
          <w:noProof/>
          <w:lang w:val="en-GB"/>
        </w:rPr>
        <w:t xml:space="preserve">priority for the short-term response. It also insisted that a review of the </w:t>
      </w:r>
      <w:r w:rsidR="00FE7E44" w:rsidRPr="5B7F1876">
        <w:rPr>
          <w:rFonts w:cs="Times New Roman"/>
          <w:noProof/>
          <w:lang w:val="en-GB"/>
        </w:rPr>
        <w:t xml:space="preserve">CAP’s </w:t>
      </w:r>
      <w:r w:rsidRPr="5B7F1876">
        <w:rPr>
          <w:rFonts w:cs="Times New Roman"/>
          <w:noProof/>
          <w:lang w:val="en-GB"/>
        </w:rPr>
        <w:t>basic acts is necessary as soon as possible</w:t>
      </w:r>
      <w:r w:rsidR="000357A7" w:rsidRPr="5B7F1876">
        <w:rPr>
          <w:rFonts w:cs="Times New Roman"/>
          <w:noProof/>
          <w:lang w:val="en-GB"/>
        </w:rPr>
        <w:t>.</w:t>
      </w:r>
      <w:r w:rsidRPr="5B7F1876">
        <w:rPr>
          <w:rFonts w:cs="Times New Roman"/>
          <w:noProof/>
          <w:lang w:val="en-GB"/>
        </w:rPr>
        <w:t xml:space="preserve"> </w:t>
      </w:r>
      <w:r w:rsidR="000357A7" w:rsidRPr="5B7F1876">
        <w:rPr>
          <w:rFonts w:cs="Times New Roman"/>
          <w:noProof/>
          <w:lang w:val="en-GB"/>
        </w:rPr>
        <w:t>T</w:t>
      </w:r>
      <w:r w:rsidRPr="5B7F1876">
        <w:rPr>
          <w:rFonts w:cs="Times New Roman"/>
          <w:noProof/>
          <w:lang w:val="en-GB"/>
        </w:rPr>
        <w:t xml:space="preserve">he Committee on Agriculture and Rural Development of the European Parliament </w:t>
      </w:r>
      <w:r w:rsidR="00B5740C" w:rsidRPr="5B7F1876">
        <w:rPr>
          <w:rFonts w:cs="Times New Roman"/>
          <w:noProof/>
          <w:lang w:val="en-GB"/>
        </w:rPr>
        <w:t xml:space="preserve">also </w:t>
      </w:r>
      <w:r w:rsidR="00AE1299" w:rsidRPr="5B7F1876">
        <w:rPr>
          <w:rFonts w:cs="Times New Roman"/>
          <w:noProof/>
          <w:lang w:val="en-GB"/>
        </w:rPr>
        <w:t>discussed</w:t>
      </w:r>
      <w:r w:rsidR="004E4CFA" w:rsidRPr="5B7F1876">
        <w:rPr>
          <w:rFonts w:cs="Times New Roman"/>
          <w:noProof/>
          <w:lang w:val="en-GB"/>
        </w:rPr>
        <w:t xml:space="preserve"> </w:t>
      </w:r>
      <w:r w:rsidRPr="5B7F1876">
        <w:rPr>
          <w:rFonts w:cs="Times New Roman"/>
          <w:noProof/>
          <w:lang w:val="en-GB"/>
        </w:rPr>
        <w:t xml:space="preserve">the simplification package </w:t>
      </w:r>
      <w:r w:rsidR="004E4CFA" w:rsidRPr="5B7F1876">
        <w:rPr>
          <w:rFonts w:cs="Times New Roman"/>
          <w:noProof/>
          <w:lang w:val="en-GB"/>
        </w:rPr>
        <w:t>on 26 February</w:t>
      </w:r>
      <w:r w:rsidR="002821C5" w:rsidRPr="5B7F1876">
        <w:rPr>
          <w:rStyle w:val="FootnoteReference"/>
          <w:rFonts w:cs="Times New Roman"/>
          <w:noProof/>
          <w:lang w:val="en-GB"/>
        </w:rPr>
        <w:footnoteReference w:id="11"/>
      </w:r>
      <w:r w:rsidR="00724676" w:rsidRPr="5B7F1876">
        <w:rPr>
          <w:rFonts w:cs="Times New Roman"/>
          <w:noProof/>
          <w:lang w:val="en-GB"/>
        </w:rPr>
        <w:t>.</w:t>
      </w:r>
    </w:p>
    <w:p w14:paraId="5D7C1D66" w14:textId="145BAECC" w:rsidR="00D83221" w:rsidRPr="00724676" w:rsidRDefault="00D83221" w:rsidP="00DF78C0">
      <w:pPr>
        <w:spacing w:after="120"/>
        <w:jc w:val="both"/>
        <w:rPr>
          <w:rFonts w:cs="Times New Roman"/>
          <w:noProof/>
          <w:szCs w:val="24"/>
          <w:lang w:val="en-GB"/>
        </w:rPr>
      </w:pPr>
      <w:r w:rsidRPr="00724676">
        <w:rPr>
          <w:rFonts w:cs="Times New Roman"/>
          <w:noProof/>
          <w:szCs w:val="24"/>
          <w:lang w:val="en-GB"/>
        </w:rPr>
        <w:t xml:space="preserve">On </w:t>
      </w:r>
      <w:r w:rsidR="00F53AFA" w:rsidRPr="00724676">
        <w:rPr>
          <w:rFonts w:cs="Times New Roman"/>
          <w:noProof/>
          <w:szCs w:val="24"/>
          <w:lang w:val="en-GB"/>
        </w:rPr>
        <w:t xml:space="preserve">15 </w:t>
      </w:r>
      <w:r w:rsidRPr="00724676">
        <w:rPr>
          <w:rFonts w:cs="Times New Roman"/>
          <w:noProof/>
          <w:szCs w:val="24"/>
          <w:lang w:val="en-GB"/>
        </w:rPr>
        <w:t xml:space="preserve">March </w:t>
      </w:r>
      <w:r w:rsidR="00F53AFA" w:rsidRPr="00724676">
        <w:rPr>
          <w:rFonts w:cs="Times New Roman"/>
          <w:noProof/>
          <w:szCs w:val="24"/>
          <w:lang w:val="en-GB"/>
        </w:rPr>
        <w:t>2024</w:t>
      </w:r>
      <w:r w:rsidRPr="00724676">
        <w:rPr>
          <w:rFonts w:cs="Times New Roman"/>
          <w:noProof/>
          <w:szCs w:val="24"/>
          <w:lang w:val="en-GB"/>
        </w:rPr>
        <w:t xml:space="preserve"> the Commission proposed to </w:t>
      </w:r>
      <w:r w:rsidR="004A2228" w:rsidRPr="00724676">
        <w:rPr>
          <w:rFonts w:cs="Times New Roman"/>
          <w:noProof/>
          <w:szCs w:val="24"/>
          <w:lang w:val="en-GB"/>
        </w:rPr>
        <w:t>change</w:t>
      </w:r>
      <w:r w:rsidRPr="00724676">
        <w:rPr>
          <w:rFonts w:cs="Times New Roman"/>
          <w:noProof/>
          <w:szCs w:val="24"/>
          <w:lang w:val="en-GB"/>
        </w:rPr>
        <w:t xml:space="preserve"> certain provisions of the CAP related to </w:t>
      </w:r>
      <w:r w:rsidR="00B54A25" w:rsidRPr="00724676">
        <w:rPr>
          <w:rFonts w:cs="Times New Roman"/>
          <w:noProof/>
          <w:szCs w:val="24"/>
          <w:lang w:val="en-GB"/>
        </w:rPr>
        <w:t xml:space="preserve">the </w:t>
      </w:r>
      <w:r w:rsidR="00654D10" w:rsidRPr="00724676">
        <w:rPr>
          <w:rFonts w:cs="Times New Roman"/>
          <w:noProof/>
          <w:szCs w:val="24"/>
          <w:lang w:val="en-GB"/>
        </w:rPr>
        <w:t>implementation and management of</w:t>
      </w:r>
      <w:r w:rsidR="00B54A25" w:rsidRPr="00724676">
        <w:rPr>
          <w:rFonts w:cs="Times New Roman"/>
          <w:noProof/>
          <w:szCs w:val="24"/>
          <w:lang w:val="en-GB"/>
        </w:rPr>
        <w:t xml:space="preserve"> </w:t>
      </w:r>
      <w:r w:rsidRPr="00724676">
        <w:rPr>
          <w:rFonts w:cs="Times New Roman"/>
          <w:noProof/>
          <w:szCs w:val="24"/>
          <w:lang w:val="en-GB"/>
        </w:rPr>
        <w:t>C</w:t>
      </w:r>
      <w:r w:rsidR="00263B4A" w:rsidRPr="00724676">
        <w:rPr>
          <w:rFonts w:cs="Times New Roman"/>
          <w:noProof/>
          <w:szCs w:val="24"/>
          <w:lang w:val="en-GB"/>
        </w:rPr>
        <w:t>AP Plan</w:t>
      </w:r>
      <w:r w:rsidR="00ED57C8" w:rsidRPr="00724676">
        <w:rPr>
          <w:rFonts w:cs="Times New Roman"/>
          <w:noProof/>
          <w:szCs w:val="24"/>
          <w:lang w:val="en-GB"/>
        </w:rPr>
        <w:t>s</w:t>
      </w:r>
      <w:r w:rsidR="00B54A25" w:rsidRPr="00724676">
        <w:rPr>
          <w:rFonts w:cs="Times New Roman"/>
          <w:noProof/>
          <w:szCs w:val="24"/>
          <w:lang w:val="en-GB"/>
        </w:rPr>
        <w:t xml:space="preserve"> and </w:t>
      </w:r>
      <w:r w:rsidR="00263B4A" w:rsidRPr="00724676">
        <w:rPr>
          <w:rFonts w:cs="Times New Roman"/>
          <w:noProof/>
          <w:szCs w:val="24"/>
          <w:lang w:val="en-GB"/>
        </w:rPr>
        <w:t xml:space="preserve">certain </w:t>
      </w:r>
      <w:r w:rsidR="007553D0">
        <w:rPr>
          <w:rFonts w:cs="Times New Roman"/>
          <w:noProof/>
          <w:szCs w:val="24"/>
          <w:lang w:val="en-GB"/>
        </w:rPr>
        <w:t>instruments for environment</w:t>
      </w:r>
      <w:r w:rsidR="00F15CC2">
        <w:rPr>
          <w:rFonts w:cs="Times New Roman"/>
          <w:noProof/>
          <w:szCs w:val="24"/>
          <w:lang w:val="en-GB"/>
        </w:rPr>
        <w:t xml:space="preserve"> and climate</w:t>
      </w:r>
      <w:r w:rsidR="00C4409C" w:rsidRPr="00724676">
        <w:rPr>
          <w:rFonts w:cs="Times New Roman"/>
          <w:noProof/>
          <w:szCs w:val="24"/>
          <w:lang w:val="en-GB"/>
        </w:rPr>
        <w:t xml:space="preserve">. Following the </w:t>
      </w:r>
      <w:r w:rsidR="00CF16AA" w:rsidRPr="00724676">
        <w:rPr>
          <w:rFonts w:cs="Times New Roman"/>
          <w:noProof/>
          <w:szCs w:val="24"/>
          <w:lang w:val="en-GB"/>
        </w:rPr>
        <w:t xml:space="preserve">approval </w:t>
      </w:r>
      <w:r w:rsidR="00A63DCF">
        <w:rPr>
          <w:rFonts w:cs="Times New Roman"/>
          <w:noProof/>
          <w:szCs w:val="24"/>
          <w:lang w:val="en-GB"/>
        </w:rPr>
        <w:t>of</w:t>
      </w:r>
      <w:r w:rsidR="00A63DCF" w:rsidRPr="00724676">
        <w:rPr>
          <w:rFonts w:cs="Times New Roman"/>
          <w:noProof/>
          <w:szCs w:val="24"/>
          <w:lang w:val="en-GB"/>
        </w:rPr>
        <w:t xml:space="preserve"> </w:t>
      </w:r>
      <w:r w:rsidR="00CF16AA" w:rsidRPr="00724676">
        <w:rPr>
          <w:rFonts w:cs="Times New Roman"/>
          <w:noProof/>
          <w:szCs w:val="24"/>
          <w:lang w:val="en-GB"/>
        </w:rPr>
        <w:t xml:space="preserve">the </w:t>
      </w:r>
      <w:r w:rsidR="00C4409C" w:rsidRPr="00724676">
        <w:rPr>
          <w:rFonts w:cs="Times New Roman"/>
          <w:noProof/>
          <w:szCs w:val="24"/>
          <w:lang w:val="en-GB"/>
        </w:rPr>
        <w:t>European Parliament and the Council</w:t>
      </w:r>
      <w:r w:rsidR="00B8025A" w:rsidRPr="00724676">
        <w:rPr>
          <w:rFonts w:cs="Times New Roman"/>
          <w:noProof/>
          <w:szCs w:val="24"/>
          <w:lang w:val="en-GB"/>
        </w:rPr>
        <w:t xml:space="preserve"> with no modifications on substance</w:t>
      </w:r>
      <w:r w:rsidR="00C4409C" w:rsidRPr="00724676">
        <w:rPr>
          <w:rFonts w:cs="Times New Roman"/>
          <w:noProof/>
          <w:szCs w:val="24"/>
          <w:lang w:val="en-GB"/>
        </w:rPr>
        <w:t xml:space="preserve">, </w:t>
      </w:r>
      <w:r w:rsidR="00C4409C" w:rsidRPr="00D17EF0">
        <w:rPr>
          <w:rFonts w:cs="Times New Roman"/>
          <w:noProof/>
          <w:szCs w:val="24"/>
          <w:lang w:val="en-GB"/>
        </w:rPr>
        <w:t xml:space="preserve">the </w:t>
      </w:r>
      <w:r w:rsidR="00CF16AA" w:rsidRPr="0049665B">
        <w:rPr>
          <w:rFonts w:cs="Times New Roman"/>
          <w:noProof/>
          <w:szCs w:val="24"/>
          <w:lang w:val="en-GB"/>
        </w:rPr>
        <w:t>adopted legislation</w:t>
      </w:r>
      <w:r w:rsidR="0067668F" w:rsidRPr="00724676">
        <w:rPr>
          <w:rFonts w:cs="Times New Roman"/>
          <w:noProof/>
          <w:szCs w:val="24"/>
          <w:lang w:val="en-GB"/>
        </w:rPr>
        <w:t xml:space="preserve"> </w:t>
      </w:r>
      <w:r w:rsidR="00CF16AA" w:rsidRPr="00724676">
        <w:rPr>
          <w:rFonts w:cs="Times New Roman"/>
          <w:noProof/>
          <w:szCs w:val="24"/>
          <w:lang w:val="en-GB"/>
        </w:rPr>
        <w:t>was published on 24 May 2024</w:t>
      </w:r>
      <w:r w:rsidR="00914D05" w:rsidRPr="00724676">
        <w:rPr>
          <w:rStyle w:val="FootnoteReference"/>
          <w:rFonts w:cs="Times New Roman"/>
          <w:noProof/>
          <w:szCs w:val="24"/>
          <w:lang w:val="en-GB"/>
        </w:rPr>
        <w:footnoteReference w:id="12"/>
      </w:r>
      <w:r w:rsidR="004D0BD8">
        <w:rPr>
          <w:rFonts w:cs="Times New Roman"/>
          <w:noProof/>
          <w:szCs w:val="24"/>
          <w:lang w:val="en-GB"/>
        </w:rPr>
        <w:t xml:space="preserve"> </w:t>
      </w:r>
      <w:r w:rsidR="004D0BD8" w:rsidRPr="0049665B">
        <w:rPr>
          <w:rFonts w:cs="Times New Roman"/>
          <w:b/>
          <w:bCs/>
          <w:noProof/>
          <w:szCs w:val="24"/>
          <w:lang w:val="en-GB"/>
        </w:rPr>
        <w:t>(the Simplification Regulation)</w:t>
      </w:r>
      <w:r w:rsidR="004D0BD8">
        <w:rPr>
          <w:rFonts w:cs="Times New Roman"/>
          <w:noProof/>
          <w:szCs w:val="24"/>
          <w:lang w:val="en-GB"/>
        </w:rPr>
        <w:t>.</w:t>
      </w:r>
      <w:r w:rsidR="0067668F" w:rsidRPr="00724676">
        <w:rPr>
          <w:rFonts w:cs="Times New Roman"/>
          <w:noProof/>
          <w:szCs w:val="24"/>
          <w:lang w:val="en-GB"/>
        </w:rPr>
        <w:t xml:space="preserve"> </w:t>
      </w:r>
      <w:r w:rsidR="009204B0" w:rsidRPr="00724676">
        <w:rPr>
          <w:rFonts w:cs="Times New Roman"/>
          <w:noProof/>
          <w:szCs w:val="24"/>
          <w:lang w:val="en-GB"/>
        </w:rPr>
        <w:t xml:space="preserve">Several other </w:t>
      </w:r>
      <w:r w:rsidR="00A63DCF">
        <w:rPr>
          <w:rFonts w:cs="Times New Roman"/>
          <w:noProof/>
          <w:szCs w:val="24"/>
          <w:lang w:val="en-GB"/>
        </w:rPr>
        <w:t xml:space="preserve">legislative and </w:t>
      </w:r>
      <w:r w:rsidR="009204B0" w:rsidRPr="00724676">
        <w:rPr>
          <w:rFonts w:cs="Times New Roman"/>
          <w:noProof/>
          <w:szCs w:val="24"/>
          <w:lang w:val="en-GB"/>
        </w:rPr>
        <w:t>non-legislative</w:t>
      </w:r>
      <w:r w:rsidR="006D1373" w:rsidRPr="00724676">
        <w:rPr>
          <w:rFonts w:cs="Times New Roman"/>
          <w:noProof/>
          <w:szCs w:val="24"/>
          <w:lang w:val="en-GB"/>
        </w:rPr>
        <w:t xml:space="preserve"> actions </w:t>
      </w:r>
      <w:r w:rsidR="00F0487B" w:rsidRPr="00724676">
        <w:rPr>
          <w:rFonts w:cs="Times New Roman"/>
          <w:noProof/>
          <w:szCs w:val="24"/>
          <w:lang w:val="en-GB"/>
        </w:rPr>
        <w:t>set out</w:t>
      </w:r>
      <w:r w:rsidR="006D1373" w:rsidRPr="00724676">
        <w:rPr>
          <w:rFonts w:cs="Times New Roman"/>
          <w:noProof/>
          <w:szCs w:val="24"/>
          <w:lang w:val="en-GB"/>
        </w:rPr>
        <w:t xml:space="preserve"> </w:t>
      </w:r>
      <w:r w:rsidR="1EA09672" w:rsidRPr="00724676">
        <w:rPr>
          <w:rFonts w:cs="Times New Roman"/>
          <w:noProof/>
          <w:szCs w:val="24"/>
          <w:lang w:val="en-GB"/>
        </w:rPr>
        <w:t>in</w:t>
      </w:r>
      <w:r w:rsidR="006D1373" w:rsidRPr="00724676">
        <w:rPr>
          <w:rFonts w:cs="Times New Roman"/>
          <w:noProof/>
          <w:szCs w:val="24"/>
          <w:lang w:val="en-GB"/>
        </w:rPr>
        <w:t xml:space="preserve"> the </w:t>
      </w:r>
      <w:r w:rsidR="00F0487B" w:rsidRPr="00724676">
        <w:rPr>
          <w:rFonts w:cs="Times New Roman"/>
          <w:noProof/>
          <w:szCs w:val="24"/>
          <w:lang w:val="en-GB"/>
        </w:rPr>
        <w:t>simplification package</w:t>
      </w:r>
      <w:r w:rsidR="6DA937F1" w:rsidRPr="00724676">
        <w:rPr>
          <w:rFonts w:cs="Times New Roman"/>
          <w:noProof/>
          <w:szCs w:val="24"/>
          <w:lang w:val="en-GB"/>
        </w:rPr>
        <w:t xml:space="preserve"> </w:t>
      </w:r>
      <w:r w:rsidR="006D1373" w:rsidRPr="00724676">
        <w:rPr>
          <w:rFonts w:cs="Times New Roman"/>
          <w:noProof/>
          <w:szCs w:val="24"/>
          <w:lang w:val="en-GB"/>
        </w:rPr>
        <w:t xml:space="preserve">have </w:t>
      </w:r>
      <w:r w:rsidR="000E6010" w:rsidRPr="00724676">
        <w:rPr>
          <w:rFonts w:cs="Times New Roman"/>
          <w:noProof/>
          <w:szCs w:val="24"/>
          <w:lang w:val="en-GB"/>
        </w:rPr>
        <w:t xml:space="preserve">also </w:t>
      </w:r>
      <w:r w:rsidR="006D1373" w:rsidRPr="00724676">
        <w:rPr>
          <w:rFonts w:cs="Times New Roman"/>
          <w:noProof/>
          <w:szCs w:val="24"/>
          <w:lang w:val="en-GB"/>
        </w:rPr>
        <w:t>been completed or are underway.</w:t>
      </w:r>
    </w:p>
    <w:p w14:paraId="52FF5324" w14:textId="60CA6612" w:rsidR="00366F32" w:rsidRPr="00724676" w:rsidRDefault="00366F32" w:rsidP="10339F63">
      <w:pPr>
        <w:spacing w:after="120"/>
        <w:jc w:val="both"/>
        <w:rPr>
          <w:rFonts w:cs="Times New Roman"/>
          <w:noProof/>
          <w:lang w:val="en-GB"/>
        </w:rPr>
      </w:pPr>
      <w:r w:rsidRPr="10339F63">
        <w:rPr>
          <w:rFonts w:cs="Times New Roman"/>
          <w:noProof/>
          <w:lang w:val="en-GB"/>
        </w:rPr>
        <w:t xml:space="preserve">Reducing </w:t>
      </w:r>
      <w:r w:rsidR="00A63DCF" w:rsidRPr="00281449">
        <w:rPr>
          <w:rFonts w:cs="Times New Roman"/>
          <w:noProof/>
          <w:lang w:val="en-GB"/>
        </w:rPr>
        <w:t xml:space="preserve">the </w:t>
      </w:r>
      <w:r w:rsidRPr="00281449">
        <w:rPr>
          <w:rFonts w:cs="Times New Roman"/>
          <w:noProof/>
          <w:lang w:val="en-GB"/>
        </w:rPr>
        <w:t xml:space="preserve">administrative burden </w:t>
      </w:r>
      <w:r w:rsidR="00A63DCF" w:rsidRPr="00281449">
        <w:rPr>
          <w:rFonts w:cs="Times New Roman"/>
          <w:noProof/>
          <w:lang w:val="en-GB"/>
        </w:rPr>
        <w:t>of</w:t>
      </w:r>
      <w:r w:rsidRPr="00281449">
        <w:rPr>
          <w:rFonts w:cs="Times New Roman"/>
          <w:noProof/>
          <w:lang w:val="en-GB"/>
        </w:rPr>
        <w:t xml:space="preserve"> EU policies is a Commission </w:t>
      </w:r>
      <w:r w:rsidR="00D24DE7" w:rsidRPr="00281449">
        <w:rPr>
          <w:rFonts w:cs="Times New Roman"/>
          <w:noProof/>
          <w:lang w:val="en-GB"/>
        </w:rPr>
        <w:t>priority since</w:t>
      </w:r>
      <w:r w:rsidR="00A63DCF" w:rsidRPr="00281449">
        <w:rPr>
          <w:rFonts w:cs="Times New Roman"/>
          <w:noProof/>
          <w:lang w:val="en-GB"/>
        </w:rPr>
        <w:t xml:space="preserve"> it is </w:t>
      </w:r>
      <w:r w:rsidR="00495D14" w:rsidRPr="00281449">
        <w:rPr>
          <w:rFonts w:cs="Times New Roman"/>
          <w:noProof/>
          <w:lang w:val="en-GB"/>
        </w:rPr>
        <w:t xml:space="preserve">considered </w:t>
      </w:r>
      <w:r w:rsidRPr="00281449">
        <w:rPr>
          <w:rFonts w:cs="Times New Roman"/>
          <w:noProof/>
          <w:lang w:val="en-GB"/>
        </w:rPr>
        <w:t>crucial</w:t>
      </w:r>
      <w:r w:rsidRPr="00281449" w:rsidDel="00495D14">
        <w:rPr>
          <w:rFonts w:cs="Times New Roman"/>
          <w:noProof/>
          <w:lang w:val="en-GB"/>
        </w:rPr>
        <w:t xml:space="preserve"> </w:t>
      </w:r>
      <w:r w:rsidR="00495D14" w:rsidRPr="00281449">
        <w:rPr>
          <w:rFonts w:cs="Times New Roman"/>
          <w:noProof/>
          <w:lang w:val="en-GB"/>
        </w:rPr>
        <w:t xml:space="preserve">to </w:t>
      </w:r>
      <w:r w:rsidRPr="00281449">
        <w:rPr>
          <w:rFonts w:cs="Times New Roman"/>
          <w:noProof/>
          <w:lang w:val="en-GB"/>
        </w:rPr>
        <w:t xml:space="preserve">the </w:t>
      </w:r>
      <w:r w:rsidR="00A63DCF" w:rsidRPr="00281449">
        <w:rPr>
          <w:rFonts w:cs="Times New Roman"/>
          <w:noProof/>
          <w:lang w:val="en-GB"/>
        </w:rPr>
        <w:t xml:space="preserve">EU’s </w:t>
      </w:r>
      <w:r w:rsidRPr="00281449">
        <w:rPr>
          <w:rFonts w:cs="Times New Roman"/>
          <w:noProof/>
          <w:lang w:val="en-GB"/>
        </w:rPr>
        <w:t>competitiveness</w:t>
      </w:r>
      <w:r w:rsidRPr="00281449">
        <w:rPr>
          <w:rStyle w:val="FootnoteReference"/>
          <w:rFonts w:cs="Times New Roman"/>
          <w:noProof/>
          <w:lang w:val="en-GB"/>
        </w:rPr>
        <w:footnoteReference w:id="13"/>
      </w:r>
      <w:r w:rsidRPr="00281449">
        <w:rPr>
          <w:rFonts w:cs="Times New Roman"/>
          <w:noProof/>
          <w:lang w:val="en-GB"/>
        </w:rPr>
        <w:t>.</w:t>
      </w:r>
      <w:r w:rsidR="00550B99" w:rsidRPr="00281449">
        <w:rPr>
          <w:rFonts w:cs="Times New Roman"/>
          <w:noProof/>
          <w:lang w:val="en-GB"/>
        </w:rPr>
        <w:t xml:space="preserve"> </w:t>
      </w:r>
      <w:r w:rsidRPr="00281449">
        <w:rPr>
          <w:rFonts w:cs="Times New Roman"/>
          <w:noProof/>
          <w:lang w:val="en-GB"/>
        </w:rPr>
        <w:t xml:space="preserve">Simplification of </w:t>
      </w:r>
      <w:r w:rsidR="00A63DCF" w:rsidRPr="00281449">
        <w:rPr>
          <w:rFonts w:cs="Times New Roman"/>
          <w:noProof/>
          <w:lang w:val="en-GB"/>
        </w:rPr>
        <w:t>EU</w:t>
      </w:r>
      <w:r w:rsidRPr="00281449">
        <w:rPr>
          <w:rFonts w:cs="Times New Roman"/>
          <w:noProof/>
          <w:lang w:val="en-GB"/>
        </w:rPr>
        <w:t xml:space="preserve"> </w:t>
      </w:r>
      <w:r w:rsidR="292A2159" w:rsidRPr="0049665B">
        <w:rPr>
          <w:rFonts w:cs="Times New Roman"/>
          <w:noProof/>
          <w:lang w:val="en-GB"/>
        </w:rPr>
        <w:t xml:space="preserve">policies </w:t>
      </w:r>
      <w:r w:rsidR="00934CC3" w:rsidRPr="0049665B">
        <w:rPr>
          <w:rFonts w:cs="Times New Roman"/>
          <w:noProof/>
          <w:lang w:val="en-GB"/>
        </w:rPr>
        <w:t>affecting</w:t>
      </w:r>
      <w:r w:rsidR="292A2159" w:rsidRPr="0049665B">
        <w:rPr>
          <w:rFonts w:cs="Times New Roman"/>
          <w:noProof/>
          <w:lang w:val="en-GB"/>
        </w:rPr>
        <w:t xml:space="preserve"> </w:t>
      </w:r>
      <w:r w:rsidRPr="00281449">
        <w:rPr>
          <w:rFonts w:cs="Times New Roman"/>
          <w:noProof/>
          <w:lang w:val="en-GB"/>
        </w:rPr>
        <w:t>agriculture</w:t>
      </w:r>
      <w:r w:rsidR="00A63DCF" w:rsidRPr="00281449">
        <w:rPr>
          <w:rFonts w:cs="Times New Roman"/>
          <w:noProof/>
          <w:lang w:val="en-GB"/>
        </w:rPr>
        <w:t xml:space="preserve"> </w:t>
      </w:r>
      <w:r w:rsidRPr="00281449">
        <w:rPr>
          <w:rFonts w:cs="Times New Roman"/>
          <w:noProof/>
          <w:lang w:val="en-GB"/>
        </w:rPr>
        <w:t xml:space="preserve">is a concern, both </w:t>
      </w:r>
      <w:r w:rsidR="0010201C" w:rsidRPr="00281449">
        <w:rPr>
          <w:rFonts w:cs="Times New Roman"/>
          <w:noProof/>
          <w:lang w:val="en-GB"/>
        </w:rPr>
        <w:t xml:space="preserve">at </w:t>
      </w:r>
      <w:r w:rsidRPr="00281449">
        <w:rPr>
          <w:rFonts w:cs="Times New Roman"/>
          <w:noProof/>
          <w:lang w:val="en-GB"/>
        </w:rPr>
        <w:t>EU and national level, and a number of short-term measures to rationali</w:t>
      </w:r>
      <w:r w:rsidR="00395DED" w:rsidRPr="00281449">
        <w:rPr>
          <w:rFonts w:cs="Times New Roman"/>
          <w:noProof/>
          <w:lang w:val="en-GB"/>
        </w:rPr>
        <w:t>s</w:t>
      </w:r>
      <w:r w:rsidRPr="00281449">
        <w:rPr>
          <w:rFonts w:cs="Times New Roman"/>
          <w:noProof/>
          <w:lang w:val="en-GB"/>
        </w:rPr>
        <w:t xml:space="preserve">e reporting requirements were already </w:t>
      </w:r>
      <w:r w:rsidR="00A63DCF" w:rsidRPr="00281449">
        <w:rPr>
          <w:rFonts w:cs="Times New Roman"/>
          <w:noProof/>
          <w:lang w:val="en-GB"/>
        </w:rPr>
        <w:t>being prepared</w:t>
      </w:r>
      <w:r w:rsidRPr="00281449">
        <w:rPr>
          <w:rFonts w:cs="Times New Roman"/>
          <w:noProof/>
          <w:lang w:val="en-GB"/>
        </w:rPr>
        <w:t xml:space="preserve"> before January 2024. </w:t>
      </w:r>
      <w:r w:rsidR="00A63DCF" w:rsidRPr="00281449">
        <w:rPr>
          <w:rFonts w:cs="Times New Roman"/>
          <w:noProof/>
          <w:lang w:val="en-GB"/>
        </w:rPr>
        <w:t>The parts of</w:t>
      </w:r>
      <w:r w:rsidRPr="00281449">
        <w:rPr>
          <w:rFonts w:cs="Times New Roman"/>
          <w:noProof/>
          <w:lang w:val="en-GB"/>
        </w:rPr>
        <w:t xml:space="preserve"> the </w:t>
      </w:r>
      <w:r w:rsidR="00E60958" w:rsidRPr="00281449">
        <w:rPr>
          <w:rFonts w:cs="Times New Roman"/>
          <w:noProof/>
          <w:lang w:val="en-GB"/>
        </w:rPr>
        <w:t>simplification</w:t>
      </w:r>
      <w:r w:rsidR="00E60958" w:rsidRPr="10339F63">
        <w:rPr>
          <w:rFonts w:cs="Times New Roman"/>
          <w:noProof/>
          <w:lang w:val="en-GB"/>
        </w:rPr>
        <w:t xml:space="preserve"> package</w:t>
      </w:r>
      <w:r w:rsidRPr="10339F63">
        <w:rPr>
          <w:rFonts w:cs="Times New Roman"/>
          <w:noProof/>
          <w:lang w:val="en-GB"/>
        </w:rPr>
        <w:t xml:space="preserve"> that </w:t>
      </w:r>
      <w:r w:rsidR="00A63DCF" w:rsidRPr="10339F63">
        <w:rPr>
          <w:rFonts w:cs="Times New Roman"/>
          <w:noProof/>
          <w:lang w:val="en-GB"/>
        </w:rPr>
        <w:t>will help</w:t>
      </w:r>
      <w:r w:rsidRPr="10339F63">
        <w:rPr>
          <w:rFonts w:cs="Times New Roman"/>
          <w:noProof/>
          <w:lang w:val="en-GB"/>
        </w:rPr>
        <w:t xml:space="preserve"> </w:t>
      </w:r>
      <w:r w:rsidRPr="10339F63">
        <w:rPr>
          <w:rFonts w:cs="Times New Roman"/>
          <w:b/>
          <w:bCs/>
          <w:noProof/>
          <w:lang w:val="en-GB"/>
        </w:rPr>
        <w:t>reduc</w:t>
      </w:r>
      <w:r w:rsidR="00A63DCF" w:rsidRPr="10339F63">
        <w:rPr>
          <w:rFonts w:cs="Times New Roman"/>
          <w:b/>
          <w:bCs/>
          <w:noProof/>
          <w:lang w:val="en-GB"/>
        </w:rPr>
        <w:t>e</w:t>
      </w:r>
      <w:r w:rsidRPr="10339F63">
        <w:rPr>
          <w:rFonts w:cs="Times New Roman"/>
          <w:b/>
          <w:bCs/>
          <w:noProof/>
          <w:lang w:val="en-GB"/>
        </w:rPr>
        <w:t xml:space="preserve"> reporting obligations</w:t>
      </w:r>
      <w:r w:rsidRPr="10339F63">
        <w:rPr>
          <w:rFonts w:cs="Times New Roman"/>
          <w:noProof/>
          <w:lang w:val="en-GB"/>
        </w:rPr>
        <w:t xml:space="preserve"> </w:t>
      </w:r>
      <w:r w:rsidR="00A63DCF" w:rsidRPr="10339F63">
        <w:rPr>
          <w:rFonts w:cs="Times New Roman"/>
          <w:noProof/>
          <w:lang w:val="en-GB"/>
        </w:rPr>
        <w:t xml:space="preserve">have been </w:t>
      </w:r>
      <w:r w:rsidRPr="10339F63">
        <w:rPr>
          <w:rFonts w:cs="Times New Roman"/>
          <w:noProof/>
          <w:lang w:val="en-GB"/>
        </w:rPr>
        <w:t>integrated in</w:t>
      </w:r>
      <w:r w:rsidR="00A63DCF" w:rsidRPr="10339F63">
        <w:rPr>
          <w:rFonts w:cs="Times New Roman"/>
          <w:noProof/>
          <w:lang w:val="en-GB"/>
        </w:rPr>
        <w:t>to</w:t>
      </w:r>
      <w:r w:rsidRPr="10339F63">
        <w:rPr>
          <w:rFonts w:cs="Times New Roman"/>
          <w:noProof/>
          <w:lang w:val="en-GB"/>
        </w:rPr>
        <w:t xml:space="preserve"> the rationalisation plan</w:t>
      </w:r>
      <w:r w:rsidR="00774819" w:rsidRPr="10339F63">
        <w:rPr>
          <w:rFonts w:cs="Times New Roman"/>
          <w:noProof/>
          <w:lang w:val="en-GB"/>
        </w:rPr>
        <w:t xml:space="preserve"> of the Commission’s Directorate-General for Agriculture and Rural Development (DG AGRI)</w:t>
      </w:r>
      <w:r w:rsidR="0052627E" w:rsidRPr="10339F63">
        <w:rPr>
          <w:rFonts w:cs="Times New Roman"/>
          <w:noProof/>
          <w:lang w:val="en-GB"/>
        </w:rPr>
        <w:t>.</w:t>
      </w:r>
      <w:r w:rsidR="4A3C3353" w:rsidRPr="10339F63" w:rsidDel="00937496">
        <w:rPr>
          <w:rFonts w:eastAsia="Times New Roman" w:cs="Times New Roman"/>
          <w:noProof/>
          <w:lang w:val="en-GB"/>
        </w:rPr>
        <w:t xml:space="preserve"> </w:t>
      </w:r>
      <w:r w:rsidRPr="10339F63" w:rsidDel="00232383">
        <w:rPr>
          <w:rFonts w:cs="Times New Roman"/>
          <w:noProof/>
          <w:lang w:val="en-GB"/>
        </w:rPr>
        <w:t>F</w:t>
      </w:r>
      <w:r w:rsidRPr="10339F63">
        <w:rPr>
          <w:rFonts w:cs="Times New Roman"/>
          <w:noProof/>
          <w:lang w:val="en-GB"/>
        </w:rPr>
        <w:t xml:space="preserve">urther actions may be added at a later stage. </w:t>
      </w:r>
    </w:p>
    <w:p w14:paraId="6C6E740D" w14:textId="29EC69B0" w:rsidR="00366F32" w:rsidRPr="00724676" w:rsidRDefault="005A5D84" w:rsidP="00DF78C0">
      <w:pPr>
        <w:spacing w:after="120"/>
        <w:jc w:val="both"/>
        <w:rPr>
          <w:rFonts w:cs="Times New Roman"/>
          <w:b/>
          <w:bCs/>
          <w:noProof/>
          <w:szCs w:val="24"/>
          <w:lang w:val="en-GB"/>
        </w:rPr>
      </w:pPr>
      <w:r w:rsidRPr="00724676">
        <w:rPr>
          <w:rFonts w:cs="Times New Roman"/>
          <w:b/>
          <w:bCs/>
          <w:noProof/>
          <w:szCs w:val="24"/>
          <w:lang w:val="en-GB"/>
        </w:rPr>
        <w:t>R</w:t>
      </w:r>
      <w:r w:rsidR="00C714F8" w:rsidRPr="00724676">
        <w:rPr>
          <w:rFonts w:cs="Times New Roman"/>
          <w:b/>
          <w:bCs/>
          <w:noProof/>
          <w:szCs w:val="24"/>
          <w:lang w:val="en-GB"/>
        </w:rPr>
        <w:t>elated activities</w:t>
      </w:r>
    </w:p>
    <w:p w14:paraId="7D80A91E" w14:textId="50B818BB" w:rsidR="00D83221" w:rsidRPr="00724676" w:rsidRDefault="00774819" w:rsidP="5B7F1876">
      <w:pPr>
        <w:spacing w:after="120"/>
        <w:jc w:val="both"/>
        <w:rPr>
          <w:rFonts w:cs="Times New Roman"/>
          <w:noProof/>
          <w:lang w:val="en-GB"/>
        </w:rPr>
      </w:pPr>
      <w:r w:rsidRPr="5B7F1876">
        <w:rPr>
          <w:rFonts w:cs="Times New Roman"/>
          <w:noProof/>
          <w:lang w:val="en-GB"/>
        </w:rPr>
        <w:t xml:space="preserve">During </w:t>
      </w:r>
      <w:r w:rsidR="00D83221" w:rsidRPr="5B7F1876">
        <w:rPr>
          <w:rFonts w:cs="Times New Roman"/>
          <w:noProof/>
          <w:lang w:val="en-GB"/>
        </w:rPr>
        <w:t xml:space="preserve">their protests, farmers raised concerns </w:t>
      </w:r>
      <w:r w:rsidRPr="5B7F1876">
        <w:rPr>
          <w:rFonts w:cs="Times New Roman"/>
          <w:noProof/>
          <w:lang w:val="en-GB"/>
        </w:rPr>
        <w:t xml:space="preserve">about </w:t>
      </w:r>
      <w:r w:rsidR="00D83221" w:rsidRPr="5B7F1876">
        <w:rPr>
          <w:rFonts w:cs="Times New Roman"/>
          <w:noProof/>
          <w:lang w:val="en-GB"/>
        </w:rPr>
        <w:t xml:space="preserve">the fairness of the remuneration for their </w:t>
      </w:r>
      <w:r w:rsidR="00E1078D" w:rsidRPr="5B7F1876">
        <w:rPr>
          <w:rFonts w:cs="Times New Roman"/>
          <w:noProof/>
          <w:lang w:val="en-GB"/>
        </w:rPr>
        <w:t xml:space="preserve">work, </w:t>
      </w:r>
      <w:r w:rsidR="00D201C0" w:rsidRPr="5B7F1876">
        <w:rPr>
          <w:rFonts w:cs="Times New Roman"/>
          <w:noProof/>
          <w:lang w:val="en-GB"/>
        </w:rPr>
        <w:t xml:space="preserve">an issue that was </w:t>
      </w:r>
      <w:r w:rsidR="00FB7296" w:rsidRPr="5B7F1876">
        <w:rPr>
          <w:rFonts w:cs="Times New Roman"/>
          <w:noProof/>
          <w:lang w:val="en-GB"/>
        </w:rPr>
        <w:t xml:space="preserve">also </w:t>
      </w:r>
      <w:r w:rsidR="00D201C0" w:rsidRPr="5B7F1876">
        <w:rPr>
          <w:rFonts w:cs="Times New Roman"/>
          <w:noProof/>
          <w:lang w:val="en-GB"/>
        </w:rPr>
        <w:t xml:space="preserve">raised </w:t>
      </w:r>
      <w:r w:rsidR="00FB7296" w:rsidRPr="5B7F1876">
        <w:rPr>
          <w:rFonts w:cs="Times New Roman"/>
          <w:noProof/>
          <w:lang w:val="en-GB"/>
        </w:rPr>
        <w:t>in</w:t>
      </w:r>
      <w:r w:rsidR="00C532A9" w:rsidRPr="5B7F1876">
        <w:rPr>
          <w:rFonts w:cs="Times New Roman"/>
          <w:noProof/>
          <w:lang w:val="en-GB"/>
        </w:rPr>
        <w:t xml:space="preserve"> </w:t>
      </w:r>
      <w:r w:rsidR="00624818" w:rsidRPr="5B7F1876">
        <w:rPr>
          <w:rFonts w:cs="Times New Roman"/>
          <w:noProof/>
          <w:lang w:val="en-GB"/>
        </w:rPr>
        <w:t>debates with</w:t>
      </w:r>
      <w:r w:rsidR="00FB7296" w:rsidRPr="5B7F1876">
        <w:rPr>
          <w:rFonts w:cs="Times New Roman"/>
          <w:noProof/>
          <w:lang w:val="en-GB"/>
        </w:rPr>
        <w:t xml:space="preserve"> Member States, the European Parliament’s </w:t>
      </w:r>
      <w:r w:rsidR="00EF0B1E" w:rsidRPr="5B7F1876">
        <w:rPr>
          <w:rFonts w:cs="Times New Roman"/>
          <w:noProof/>
          <w:lang w:val="en-GB"/>
        </w:rPr>
        <w:t xml:space="preserve">Committee on Agriculture and Rural Development </w:t>
      </w:r>
      <w:r w:rsidR="00FB7296" w:rsidRPr="5B7F1876">
        <w:rPr>
          <w:rFonts w:cs="Times New Roman"/>
          <w:noProof/>
          <w:lang w:val="en-GB"/>
        </w:rPr>
        <w:t>and</w:t>
      </w:r>
      <w:r w:rsidR="0073298A" w:rsidRPr="5B7F1876">
        <w:rPr>
          <w:rFonts w:cs="Times New Roman"/>
          <w:noProof/>
          <w:lang w:val="en-GB"/>
        </w:rPr>
        <w:t xml:space="preserve"> stakeholders</w:t>
      </w:r>
      <w:r w:rsidRPr="5B7F1876">
        <w:rPr>
          <w:rFonts w:cs="Times New Roman"/>
          <w:noProof/>
          <w:lang w:val="en-GB"/>
        </w:rPr>
        <w:t>. Farmers also complained about</w:t>
      </w:r>
      <w:r w:rsidR="00BB6514" w:rsidRPr="5B7F1876">
        <w:rPr>
          <w:rFonts w:cs="Times New Roman"/>
          <w:noProof/>
          <w:lang w:val="en-GB"/>
        </w:rPr>
        <w:t xml:space="preserve"> unfair competition </w:t>
      </w:r>
      <w:r w:rsidRPr="5B7F1876">
        <w:rPr>
          <w:rFonts w:cs="Times New Roman"/>
          <w:noProof/>
          <w:lang w:val="en-GB"/>
        </w:rPr>
        <w:t xml:space="preserve">from </w:t>
      </w:r>
      <w:r w:rsidR="00BB6514" w:rsidRPr="5B7F1876">
        <w:rPr>
          <w:rFonts w:cs="Times New Roman"/>
          <w:noProof/>
          <w:lang w:val="en-GB"/>
        </w:rPr>
        <w:t xml:space="preserve">agricultural products from </w:t>
      </w:r>
      <w:r w:rsidRPr="5B7F1876">
        <w:rPr>
          <w:rFonts w:cs="Times New Roman"/>
          <w:noProof/>
          <w:lang w:val="en-GB"/>
        </w:rPr>
        <w:t xml:space="preserve">non-EU </w:t>
      </w:r>
      <w:r w:rsidR="00BB6514" w:rsidRPr="5B7F1876">
        <w:rPr>
          <w:rFonts w:cs="Times New Roman"/>
          <w:noProof/>
          <w:lang w:val="en-GB"/>
        </w:rPr>
        <w:t>countries</w:t>
      </w:r>
      <w:r w:rsidRPr="5B7F1876">
        <w:rPr>
          <w:rFonts w:cs="Times New Roman"/>
          <w:noProof/>
          <w:lang w:val="en-GB"/>
        </w:rPr>
        <w:t>,</w:t>
      </w:r>
      <w:r w:rsidR="00BB6514" w:rsidRPr="5B7F1876">
        <w:rPr>
          <w:rFonts w:cs="Times New Roman"/>
          <w:noProof/>
          <w:lang w:val="en-GB"/>
        </w:rPr>
        <w:t xml:space="preserve"> which do not apply the same standards </w:t>
      </w:r>
      <w:r w:rsidR="00D201C0" w:rsidRPr="5B7F1876">
        <w:rPr>
          <w:rFonts w:cs="Times New Roman"/>
          <w:noProof/>
          <w:lang w:val="en-GB"/>
        </w:rPr>
        <w:t>during</w:t>
      </w:r>
      <w:r w:rsidRPr="5B7F1876">
        <w:rPr>
          <w:rFonts w:cs="Times New Roman"/>
          <w:noProof/>
          <w:lang w:val="en-GB"/>
        </w:rPr>
        <w:t xml:space="preserve"> </w:t>
      </w:r>
      <w:r w:rsidR="00BB6514" w:rsidRPr="5B7F1876">
        <w:rPr>
          <w:rFonts w:cs="Times New Roman"/>
          <w:noProof/>
          <w:lang w:val="en-GB"/>
        </w:rPr>
        <w:t>the production process</w:t>
      </w:r>
      <w:r w:rsidR="00D83221" w:rsidRPr="5B7F1876">
        <w:rPr>
          <w:rFonts w:cs="Times New Roman"/>
          <w:noProof/>
          <w:lang w:val="en-GB"/>
        </w:rPr>
        <w:t xml:space="preserve">. </w:t>
      </w:r>
      <w:r w:rsidR="00651DF0" w:rsidRPr="5B7F1876">
        <w:rPr>
          <w:rFonts w:cs="Times New Roman"/>
          <w:noProof/>
          <w:lang w:val="en-GB"/>
        </w:rPr>
        <w:t>Along with</w:t>
      </w:r>
      <w:r w:rsidR="00D83221" w:rsidRPr="5B7F1876">
        <w:rPr>
          <w:rFonts w:cs="Times New Roman"/>
          <w:noProof/>
          <w:lang w:val="en-GB"/>
        </w:rPr>
        <w:t xml:space="preserve"> the simplification </w:t>
      </w:r>
      <w:r w:rsidR="00F02FA1" w:rsidRPr="5B7F1876">
        <w:rPr>
          <w:rFonts w:cs="Times New Roman"/>
          <w:noProof/>
          <w:lang w:val="en-GB"/>
        </w:rPr>
        <w:t>package</w:t>
      </w:r>
      <w:r w:rsidR="00D83221" w:rsidRPr="5B7F1876">
        <w:rPr>
          <w:rFonts w:cs="Times New Roman"/>
          <w:noProof/>
          <w:lang w:val="en-GB"/>
        </w:rPr>
        <w:t xml:space="preserve">, on </w:t>
      </w:r>
      <w:r w:rsidR="00796ADB" w:rsidRPr="5B7F1876">
        <w:rPr>
          <w:rFonts w:cs="Times New Roman"/>
          <w:noProof/>
          <w:lang w:val="en-GB"/>
        </w:rPr>
        <w:t xml:space="preserve">15 </w:t>
      </w:r>
      <w:r w:rsidR="00D83221" w:rsidRPr="5B7F1876">
        <w:rPr>
          <w:rFonts w:cs="Times New Roman"/>
          <w:noProof/>
          <w:lang w:val="en-GB"/>
        </w:rPr>
        <w:t xml:space="preserve">March </w:t>
      </w:r>
      <w:r w:rsidR="00914D05" w:rsidRPr="5B7F1876">
        <w:rPr>
          <w:rFonts w:cs="Times New Roman"/>
          <w:noProof/>
          <w:lang w:val="en-GB"/>
        </w:rPr>
        <w:t>2024</w:t>
      </w:r>
      <w:r w:rsidR="00F3343B" w:rsidRPr="5B7F1876">
        <w:rPr>
          <w:rFonts w:cs="Times New Roman"/>
          <w:noProof/>
          <w:lang w:val="en-GB"/>
        </w:rPr>
        <w:t>,</w:t>
      </w:r>
      <w:r w:rsidR="00914D05" w:rsidRPr="5B7F1876">
        <w:rPr>
          <w:rFonts w:cs="Times New Roman"/>
          <w:noProof/>
          <w:lang w:val="en-GB"/>
        </w:rPr>
        <w:t xml:space="preserve"> </w:t>
      </w:r>
      <w:r w:rsidR="00D83221" w:rsidRPr="5B7F1876">
        <w:rPr>
          <w:rFonts w:cs="Times New Roman"/>
          <w:noProof/>
          <w:lang w:val="en-GB"/>
        </w:rPr>
        <w:t xml:space="preserve">the Commission presented several options to address this challenge by </w:t>
      </w:r>
      <w:r w:rsidR="00D83221" w:rsidRPr="5B7F1876">
        <w:rPr>
          <w:rFonts w:cs="Times New Roman"/>
          <w:b/>
          <w:bCs/>
          <w:noProof/>
          <w:lang w:val="en-GB"/>
        </w:rPr>
        <w:t xml:space="preserve">improving farmers’ position in the </w:t>
      </w:r>
      <w:r w:rsidR="458C18DE" w:rsidRPr="5B7F1876">
        <w:rPr>
          <w:rFonts w:cs="Times New Roman"/>
          <w:b/>
          <w:bCs/>
          <w:noProof/>
          <w:lang w:val="en-GB"/>
        </w:rPr>
        <w:t>agri-</w:t>
      </w:r>
      <w:r w:rsidR="05820584" w:rsidRPr="5B7F1876">
        <w:rPr>
          <w:rFonts w:cs="Times New Roman"/>
          <w:b/>
          <w:bCs/>
          <w:noProof/>
          <w:lang w:val="en-GB"/>
        </w:rPr>
        <w:t xml:space="preserve">food </w:t>
      </w:r>
      <w:r w:rsidR="00D83221" w:rsidRPr="5B7F1876">
        <w:rPr>
          <w:rFonts w:cs="Times New Roman"/>
          <w:b/>
          <w:bCs/>
          <w:noProof/>
          <w:lang w:val="en-GB"/>
        </w:rPr>
        <w:t>supply chain</w:t>
      </w:r>
      <w:r w:rsidR="00E72CDE" w:rsidRPr="5B7F1876">
        <w:rPr>
          <w:rStyle w:val="FootnoteReference"/>
          <w:rFonts w:cs="Times New Roman"/>
          <w:noProof/>
          <w:lang w:val="en-GB"/>
        </w:rPr>
        <w:footnoteReference w:id="14"/>
      </w:r>
      <w:r w:rsidR="00D83221" w:rsidRPr="5B7F1876">
        <w:rPr>
          <w:rFonts w:cs="Times New Roman"/>
          <w:noProof/>
          <w:lang w:val="en-GB"/>
        </w:rPr>
        <w:t xml:space="preserve"> and protecting them against unfair trading practices</w:t>
      </w:r>
      <w:r w:rsidR="00D201C0" w:rsidRPr="5B7F1876">
        <w:rPr>
          <w:rFonts w:cs="Times New Roman"/>
          <w:noProof/>
          <w:lang w:val="en-GB"/>
        </w:rPr>
        <w:t xml:space="preserve">. The Commission </w:t>
      </w:r>
      <w:r w:rsidR="00F1099B" w:rsidRPr="5B7F1876">
        <w:rPr>
          <w:rFonts w:cs="Times New Roman"/>
          <w:noProof/>
          <w:lang w:val="en-GB"/>
        </w:rPr>
        <w:t xml:space="preserve">presented </w:t>
      </w:r>
      <w:r w:rsidR="00A61F18" w:rsidRPr="5B7F1876">
        <w:rPr>
          <w:rFonts w:cs="Times New Roman"/>
          <w:noProof/>
          <w:lang w:val="en-GB"/>
        </w:rPr>
        <w:t xml:space="preserve">these options to </w:t>
      </w:r>
      <w:r w:rsidR="00F1099B" w:rsidRPr="5B7F1876">
        <w:rPr>
          <w:rFonts w:cs="Times New Roman"/>
          <w:noProof/>
          <w:lang w:val="en-GB"/>
        </w:rPr>
        <w:t>the AGRIFISH Council on 26 March</w:t>
      </w:r>
      <w:r w:rsidR="00D201C0" w:rsidRPr="5B7F1876">
        <w:rPr>
          <w:rFonts w:cs="Times New Roman"/>
          <w:noProof/>
          <w:lang w:val="en-GB"/>
        </w:rPr>
        <w:t xml:space="preserve"> 2024</w:t>
      </w:r>
      <w:r w:rsidR="00D83221" w:rsidRPr="5B7F1876">
        <w:rPr>
          <w:rFonts w:cs="Times New Roman"/>
          <w:noProof/>
          <w:lang w:val="en-GB"/>
        </w:rPr>
        <w:t xml:space="preserve">. </w:t>
      </w:r>
      <w:r w:rsidR="00AA544D" w:rsidRPr="5B7F1876">
        <w:rPr>
          <w:rFonts w:cs="Times New Roman"/>
          <w:noProof/>
          <w:lang w:val="en-GB"/>
        </w:rPr>
        <w:t xml:space="preserve">Implementation of these actions is </w:t>
      </w:r>
      <w:r w:rsidR="00D201C0" w:rsidRPr="5B7F1876">
        <w:rPr>
          <w:rFonts w:cs="Times New Roman"/>
          <w:noProof/>
          <w:lang w:val="en-GB"/>
        </w:rPr>
        <w:t xml:space="preserve">already </w:t>
      </w:r>
      <w:r w:rsidR="00AA544D" w:rsidRPr="5B7F1876">
        <w:rPr>
          <w:rFonts w:cs="Times New Roman"/>
          <w:noProof/>
          <w:lang w:val="en-GB"/>
        </w:rPr>
        <w:t>underway.</w:t>
      </w:r>
    </w:p>
    <w:p w14:paraId="4BE4E6A6" w14:textId="33945C9B" w:rsidR="00D83221" w:rsidRPr="00724676" w:rsidRDefault="001724F5" w:rsidP="230F1D33">
      <w:pPr>
        <w:spacing w:after="120"/>
        <w:jc w:val="both"/>
        <w:rPr>
          <w:rFonts w:cs="Times New Roman"/>
          <w:noProof/>
          <w:lang w:val="en-GB"/>
        </w:rPr>
      </w:pPr>
      <w:r w:rsidRPr="230F1D33">
        <w:rPr>
          <w:rFonts w:cs="Times New Roman"/>
          <w:noProof/>
          <w:lang w:val="en-GB"/>
        </w:rPr>
        <w:t>T</w:t>
      </w:r>
      <w:r w:rsidR="00D83221" w:rsidRPr="230F1D33">
        <w:rPr>
          <w:rFonts w:cs="Times New Roman"/>
          <w:noProof/>
          <w:lang w:val="en-GB"/>
        </w:rPr>
        <w:t xml:space="preserve">o provide a long-term perspective to farmers, </w:t>
      </w:r>
      <w:r w:rsidR="00D201C0" w:rsidRPr="230F1D33">
        <w:rPr>
          <w:rFonts w:cs="Times New Roman"/>
          <w:noProof/>
          <w:lang w:val="en-GB"/>
        </w:rPr>
        <w:t xml:space="preserve">on 25 January 2024 </w:t>
      </w:r>
      <w:r w:rsidR="00D83221" w:rsidRPr="230F1D33">
        <w:rPr>
          <w:rFonts w:cs="Times New Roman"/>
          <w:noProof/>
          <w:lang w:val="en-GB"/>
        </w:rPr>
        <w:t>President von der Leyen launched the</w:t>
      </w:r>
      <w:r w:rsidR="00D83221" w:rsidRPr="230F1D33">
        <w:rPr>
          <w:rFonts w:cs="Times New Roman"/>
          <w:b/>
          <w:bCs/>
          <w:noProof/>
          <w:lang w:val="en-GB"/>
        </w:rPr>
        <w:t xml:space="preserve"> Strategic Dialogue on the Future of Agriculture in the EU</w:t>
      </w:r>
      <w:r w:rsidR="00B74C8B" w:rsidRPr="0049665B">
        <w:rPr>
          <w:rStyle w:val="FootnoteReference"/>
          <w:rFonts w:cs="Times New Roman"/>
          <w:noProof/>
          <w:lang w:val="en-GB"/>
        </w:rPr>
        <w:footnoteReference w:id="15"/>
      </w:r>
      <w:r w:rsidR="00724676" w:rsidRPr="230F1D33">
        <w:rPr>
          <w:rFonts w:cs="Times New Roman"/>
          <w:noProof/>
          <w:lang w:val="en-GB"/>
        </w:rPr>
        <w:t>.</w:t>
      </w:r>
      <w:r w:rsidR="00D83221" w:rsidRPr="230F1D33">
        <w:rPr>
          <w:rFonts w:cs="Times New Roman"/>
          <w:noProof/>
          <w:lang w:val="en-GB"/>
        </w:rPr>
        <w:t xml:space="preserve"> </w:t>
      </w:r>
      <w:r w:rsidR="7D4C1C23" w:rsidRPr="230F1D33">
        <w:rPr>
          <w:rFonts w:cs="Times New Roman"/>
          <w:noProof/>
          <w:lang w:val="en-GB"/>
        </w:rPr>
        <w:t xml:space="preserve">It gathered </w:t>
      </w:r>
      <w:r w:rsidR="00D83221" w:rsidRPr="230F1D33">
        <w:rPr>
          <w:rFonts w:cs="Times New Roman"/>
          <w:noProof/>
          <w:lang w:val="en-GB"/>
        </w:rPr>
        <w:t xml:space="preserve">actors </w:t>
      </w:r>
      <w:r w:rsidR="00D83221" w:rsidRPr="230F1D33">
        <w:rPr>
          <w:rFonts w:cs="Times New Roman"/>
          <w:noProof/>
          <w:lang w:val="en-GB"/>
        </w:rPr>
        <w:lastRenderedPageBreak/>
        <w:t xml:space="preserve">across the whole agri-food </w:t>
      </w:r>
      <w:r w:rsidR="1FBA2ADE" w:rsidRPr="230F1D33">
        <w:rPr>
          <w:rFonts w:cs="Times New Roman"/>
          <w:noProof/>
          <w:lang w:val="en-GB"/>
        </w:rPr>
        <w:t xml:space="preserve">supply </w:t>
      </w:r>
      <w:r w:rsidR="00D83221" w:rsidRPr="230F1D33">
        <w:rPr>
          <w:rFonts w:cs="Times New Roman"/>
          <w:noProof/>
          <w:lang w:val="en-GB"/>
        </w:rPr>
        <w:t xml:space="preserve">chain, as well as non-governmental organisations and civil society representatives, financial institutions, and </w:t>
      </w:r>
      <w:r w:rsidR="00CF628B" w:rsidRPr="230F1D33">
        <w:rPr>
          <w:rFonts w:cs="Times New Roman"/>
          <w:noProof/>
          <w:lang w:val="en-GB"/>
        </w:rPr>
        <w:t>researchers</w:t>
      </w:r>
      <w:r w:rsidR="00D83221" w:rsidRPr="230F1D33">
        <w:rPr>
          <w:rFonts w:cs="Times New Roman"/>
          <w:noProof/>
          <w:lang w:val="en-GB"/>
        </w:rPr>
        <w:t>. By combining different perspectives, the dialogue aim</w:t>
      </w:r>
      <w:r w:rsidR="02CA2E22" w:rsidRPr="230F1D33">
        <w:rPr>
          <w:rFonts w:cs="Times New Roman"/>
          <w:noProof/>
          <w:lang w:val="en-GB"/>
        </w:rPr>
        <w:t>ed</w:t>
      </w:r>
      <w:r w:rsidR="00D83221" w:rsidRPr="230F1D33">
        <w:rPr>
          <w:rFonts w:cs="Times New Roman"/>
          <w:noProof/>
          <w:lang w:val="en-GB"/>
        </w:rPr>
        <w:t xml:space="preserve"> to foster the creation of new solutions</w:t>
      </w:r>
      <w:r w:rsidR="00D83221" w:rsidRPr="230F1D33" w:rsidDel="00CF628B">
        <w:rPr>
          <w:rFonts w:cs="Times New Roman"/>
          <w:noProof/>
          <w:lang w:val="en-GB"/>
        </w:rPr>
        <w:t xml:space="preserve"> and to bring about a common vision for the future of agriculture in the EU</w:t>
      </w:r>
      <w:r w:rsidR="00D83221" w:rsidRPr="230F1D33">
        <w:rPr>
          <w:rFonts w:cs="Times New Roman"/>
          <w:noProof/>
          <w:lang w:val="en-GB"/>
        </w:rPr>
        <w:t>.</w:t>
      </w:r>
      <w:r w:rsidR="0054491D" w:rsidRPr="230F1D33">
        <w:rPr>
          <w:rFonts w:cs="Times New Roman"/>
          <w:noProof/>
          <w:lang w:val="en-GB"/>
        </w:rPr>
        <w:t xml:space="preserve"> </w:t>
      </w:r>
      <w:r w:rsidR="00A4335F" w:rsidRPr="00CB3230">
        <w:rPr>
          <w:rFonts w:cs="Times New Roman"/>
          <w:noProof/>
          <w:lang w:val="en-GB"/>
        </w:rPr>
        <w:t>This dialogue result</w:t>
      </w:r>
      <w:r w:rsidR="23009220" w:rsidRPr="00CB3230">
        <w:rPr>
          <w:rFonts w:cs="Times New Roman"/>
          <w:noProof/>
          <w:lang w:val="en-GB"/>
        </w:rPr>
        <w:t>ed</w:t>
      </w:r>
      <w:r w:rsidR="00A4335F" w:rsidRPr="00CB3230">
        <w:rPr>
          <w:rFonts w:cs="Times New Roman"/>
          <w:noProof/>
          <w:lang w:val="en-GB"/>
        </w:rPr>
        <w:t xml:space="preserve"> in a </w:t>
      </w:r>
      <w:r w:rsidR="00F44D7A" w:rsidRPr="00CB3230">
        <w:rPr>
          <w:rFonts w:cs="Times New Roman"/>
          <w:noProof/>
          <w:lang w:val="en-GB"/>
        </w:rPr>
        <w:t>report delivered</w:t>
      </w:r>
      <w:r w:rsidR="00A4335F" w:rsidRPr="00CB3230">
        <w:rPr>
          <w:rFonts w:cs="Times New Roman"/>
          <w:noProof/>
          <w:lang w:val="en-GB"/>
        </w:rPr>
        <w:t xml:space="preserve"> </w:t>
      </w:r>
      <w:r w:rsidR="2D38CE0C" w:rsidRPr="00CB3230">
        <w:rPr>
          <w:rFonts w:cs="Times New Roman"/>
          <w:noProof/>
          <w:lang w:val="en-GB"/>
        </w:rPr>
        <w:t xml:space="preserve">on </w:t>
      </w:r>
      <w:r w:rsidR="6098CBE4" w:rsidRPr="00CB3230">
        <w:rPr>
          <w:rFonts w:cs="Times New Roman"/>
          <w:noProof/>
          <w:lang w:val="en-GB"/>
        </w:rPr>
        <w:t>4 September 2024</w:t>
      </w:r>
      <w:r w:rsidRPr="00CB3230">
        <w:rPr>
          <w:rStyle w:val="FootnoteReference"/>
          <w:rFonts w:cs="Times New Roman"/>
          <w:noProof/>
          <w:lang w:val="en-GB"/>
        </w:rPr>
        <w:footnoteReference w:id="16"/>
      </w:r>
      <w:r w:rsidR="00A4335F" w:rsidRPr="00CB3230">
        <w:rPr>
          <w:rFonts w:cs="Times New Roman"/>
          <w:noProof/>
          <w:lang w:val="en-GB"/>
        </w:rPr>
        <w:t xml:space="preserve">, in time for the new </w:t>
      </w:r>
      <w:r w:rsidR="004D6BC2" w:rsidRPr="00CB3230">
        <w:rPr>
          <w:rFonts w:cs="Times New Roman"/>
          <w:noProof/>
          <w:lang w:val="en-GB"/>
        </w:rPr>
        <w:t>College</w:t>
      </w:r>
      <w:r w:rsidR="00CF628B" w:rsidRPr="00CB3230">
        <w:rPr>
          <w:rFonts w:cs="Times New Roman"/>
          <w:noProof/>
          <w:lang w:val="en-GB"/>
        </w:rPr>
        <w:t>,</w:t>
      </w:r>
      <w:r w:rsidR="00A4335F" w:rsidRPr="00CB3230">
        <w:rPr>
          <w:rFonts w:cs="Times New Roman"/>
          <w:noProof/>
          <w:lang w:val="en-GB"/>
        </w:rPr>
        <w:t xml:space="preserve"> </w:t>
      </w:r>
      <w:r w:rsidR="00C6179C" w:rsidRPr="00CB3230">
        <w:rPr>
          <w:rFonts w:cs="Times New Roman"/>
          <w:noProof/>
          <w:lang w:val="en-GB"/>
        </w:rPr>
        <w:t>which</w:t>
      </w:r>
      <w:r w:rsidR="00A4335F" w:rsidRPr="00CB3230">
        <w:rPr>
          <w:rFonts w:cs="Times New Roman"/>
          <w:noProof/>
          <w:lang w:val="en-GB"/>
        </w:rPr>
        <w:t xml:space="preserve"> t</w:t>
      </w:r>
      <w:r w:rsidR="005435E2" w:rsidRPr="00CB3230">
        <w:rPr>
          <w:rFonts w:cs="Times New Roman"/>
          <w:noProof/>
          <w:lang w:val="en-GB"/>
        </w:rPr>
        <w:t>ook</w:t>
      </w:r>
      <w:r w:rsidR="00A4335F" w:rsidRPr="00CB3230">
        <w:rPr>
          <w:rFonts w:cs="Times New Roman"/>
          <w:noProof/>
          <w:lang w:val="en-GB"/>
        </w:rPr>
        <w:t xml:space="preserve"> office </w:t>
      </w:r>
      <w:r w:rsidR="002253D5" w:rsidRPr="00FF77A3">
        <w:rPr>
          <w:rFonts w:cs="Times New Roman"/>
          <w:noProof/>
          <w:lang w:val="en-GB"/>
        </w:rPr>
        <w:t>on 1 December 2024</w:t>
      </w:r>
      <w:r w:rsidR="00CF628B" w:rsidRPr="00CB3230">
        <w:rPr>
          <w:rFonts w:cs="Times New Roman"/>
          <w:noProof/>
          <w:lang w:val="en-GB"/>
        </w:rPr>
        <w:t>, to prepare its priorities</w:t>
      </w:r>
      <w:r w:rsidR="00C6179C" w:rsidRPr="00CB3230">
        <w:rPr>
          <w:rFonts w:cs="Times New Roman"/>
          <w:noProof/>
          <w:lang w:val="en-GB"/>
        </w:rPr>
        <w:t>.</w:t>
      </w:r>
    </w:p>
    <w:p w14:paraId="4E2A9047" w14:textId="275111C7" w:rsidR="00BF329B" w:rsidRPr="00724676" w:rsidRDefault="0086096F" w:rsidP="00921335">
      <w:pPr>
        <w:pStyle w:val="Heading1"/>
        <w:spacing w:after="240"/>
        <w:rPr>
          <w:noProof/>
          <w:lang w:val="en-GB"/>
        </w:rPr>
      </w:pPr>
      <w:bookmarkStart w:id="13" w:name="_Toc646754707"/>
      <w:bookmarkStart w:id="14" w:name="_Toc2006365555"/>
      <w:bookmarkStart w:id="15" w:name="_Toc2049553727"/>
      <w:bookmarkStart w:id="16" w:name="_Toc167974729"/>
      <w:bookmarkStart w:id="17" w:name="_Toc172125117"/>
      <w:r w:rsidRPr="00724676">
        <w:rPr>
          <w:noProof/>
          <w:lang w:val="en-GB"/>
        </w:rPr>
        <w:t>3</w:t>
      </w:r>
      <w:r w:rsidR="52D66422" w:rsidRPr="00724676">
        <w:rPr>
          <w:noProof/>
          <w:lang w:val="en-GB"/>
        </w:rPr>
        <w:t xml:space="preserve">. </w:t>
      </w:r>
      <w:r w:rsidRPr="00724676">
        <w:rPr>
          <w:bCs/>
          <w:noProof/>
          <w:lang w:val="en-GB"/>
        </w:rPr>
        <w:t>CONSULTATION STRATEGY AND EVIDENCE GATHERING</w:t>
      </w:r>
      <w:bookmarkEnd w:id="13"/>
      <w:bookmarkEnd w:id="14"/>
      <w:bookmarkEnd w:id="15"/>
      <w:bookmarkEnd w:id="16"/>
      <w:bookmarkEnd w:id="17"/>
    </w:p>
    <w:p w14:paraId="076C96B3" w14:textId="4E6FFC14" w:rsidR="006970C3" w:rsidRPr="00724676" w:rsidRDefault="0086096F" w:rsidP="00BA4E5B">
      <w:pPr>
        <w:pStyle w:val="Heading2"/>
        <w:rPr>
          <w:noProof/>
          <w:lang w:val="en-GB"/>
        </w:rPr>
      </w:pPr>
      <w:bookmarkStart w:id="18" w:name="_Toc1803976284"/>
      <w:bookmarkStart w:id="19" w:name="_Toc1394897166"/>
      <w:bookmarkStart w:id="20" w:name="_Toc167974730"/>
      <w:bookmarkStart w:id="21" w:name="_Toc172125118"/>
      <w:r w:rsidRPr="00724676">
        <w:rPr>
          <w:noProof/>
          <w:lang w:val="en-GB"/>
        </w:rPr>
        <w:t>3</w:t>
      </w:r>
      <w:r w:rsidR="362A0E3E" w:rsidRPr="00724676">
        <w:rPr>
          <w:noProof/>
          <w:lang w:val="en-GB"/>
        </w:rPr>
        <w:t>.1.</w:t>
      </w:r>
      <w:r w:rsidR="00BF329B" w:rsidRPr="00724676">
        <w:rPr>
          <w:noProof/>
          <w:lang w:val="en-GB"/>
        </w:rPr>
        <w:t xml:space="preserve"> </w:t>
      </w:r>
      <w:bookmarkStart w:id="22" w:name="_Toc839475876"/>
      <w:r w:rsidR="00C13CA3" w:rsidRPr="00724676">
        <w:rPr>
          <w:noProof/>
          <w:lang w:val="en-GB"/>
        </w:rPr>
        <w:t xml:space="preserve">Consultation </w:t>
      </w:r>
      <w:r w:rsidR="00491C42" w:rsidRPr="00724676">
        <w:rPr>
          <w:noProof/>
          <w:lang w:val="en-GB"/>
        </w:rPr>
        <w:t xml:space="preserve">of EU farming </w:t>
      </w:r>
      <w:r w:rsidR="004D6A07" w:rsidRPr="00724676">
        <w:rPr>
          <w:noProof/>
          <w:lang w:val="en-GB"/>
        </w:rPr>
        <w:t>organisations</w:t>
      </w:r>
      <w:r w:rsidR="00491C42" w:rsidRPr="00724676">
        <w:rPr>
          <w:noProof/>
          <w:lang w:val="en-GB"/>
        </w:rPr>
        <w:t xml:space="preserve">, </w:t>
      </w:r>
      <w:r w:rsidR="00E52F1B" w:rsidRPr="00724676">
        <w:rPr>
          <w:noProof/>
          <w:lang w:val="en-GB"/>
        </w:rPr>
        <w:t>Member States</w:t>
      </w:r>
      <w:r w:rsidR="742CA1E0" w:rsidRPr="00724676">
        <w:rPr>
          <w:noProof/>
          <w:lang w:val="en-GB"/>
        </w:rPr>
        <w:t xml:space="preserve">, </w:t>
      </w:r>
      <w:r w:rsidR="00491C42" w:rsidRPr="00724676">
        <w:rPr>
          <w:noProof/>
          <w:lang w:val="en-GB"/>
        </w:rPr>
        <w:t xml:space="preserve">and the </w:t>
      </w:r>
      <w:r w:rsidR="742CA1E0" w:rsidRPr="00724676">
        <w:rPr>
          <w:noProof/>
          <w:lang w:val="en-GB"/>
        </w:rPr>
        <w:t>Committe</w:t>
      </w:r>
      <w:r w:rsidR="00C95D97" w:rsidRPr="00724676">
        <w:rPr>
          <w:noProof/>
          <w:lang w:val="en-GB"/>
        </w:rPr>
        <w:t>e</w:t>
      </w:r>
      <w:r w:rsidR="742CA1E0" w:rsidRPr="00724676">
        <w:rPr>
          <w:noProof/>
          <w:lang w:val="en-GB"/>
        </w:rPr>
        <w:t xml:space="preserve"> on Agriculture and Rural Development of the European Parliament</w:t>
      </w:r>
      <w:bookmarkEnd w:id="18"/>
      <w:bookmarkEnd w:id="19"/>
      <w:bookmarkEnd w:id="20"/>
      <w:bookmarkEnd w:id="21"/>
      <w:bookmarkEnd w:id="22"/>
    </w:p>
    <w:p w14:paraId="442E892F" w14:textId="517EF61A" w:rsidR="00E27C6C" w:rsidRPr="00724676" w:rsidRDefault="00E27C6C" w:rsidP="00DF78C0">
      <w:pPr>
        <w:spacing w:after="120"/>
        <w:jc w:val="both"/>
        <w:rPr>
          <w:rFonts w:cs="Times New Roman"/>
          <w:noProof/>
          <w:lang w:val="en-GB"/>
        </w:rPr>
      </w:pPr>
      <w:r w:rsidRPr="230F1D33">
        <w:rPr>
          <w:rFonts w:cs="Times New Roman"/>
          <w:noProof/>
          <w:lang w:val="en-GB"/>
        </w:rPr>
        <w:t xml:space="preserve">In view of the widespread farm protests, the Commission </w:t>
      </w:r>
      <w:r w:rsidR="00EF5D5D" w:rsidRPr="230F1D33">
        <w:rPr>
          <w:rFonts w:cs="Times New Roman"/>
          <w:noProof/>
          <w:lang w:val="en-GB"/>
        </w:rPr>
        <w:t>asked</w:t>
      </w:r>
      <w:r w:rsidRPr="230F1D33">
        <w:rPr>
          <w:rFonts w:cs="Times New Roman"/>
          <w:noProof/>
          <w:lang w:val="en-GB"/>
        </w:rPr>
        <w:t xml:space="preserve"> four main EU-level organisations</w:t>
      </w:r>
      <w:r w:rsidR="00116901" w:rsidRPr="230F1D33">
        <w:rPr>
          <w:rFonts w:cs="Times New Roman"/>
          <w:noProof/>
          <w:lang w:val="en-GB"/>
        </w:rPr>
        <w:t xml:space="preserve"> representing farmers</w:t>
      </w:r>
      <w:r w:rsidRPr="230F1D33">
        <w:rPr>
          <w:rFonts w:cs="Times New Roman"/>
          <w:noProof/>
          <w:lang w:val="en-GB"/>
        </w:rPr>
        <w:t xml:space="preserve"> </w:t>
      </w:r>
      <w:r w:rsidR="006900B8" w:rsidRPr="230F1D33">
        <w:rPr>
          <w:rFonts w:cs="Times New Roman"/>
          <w:noProof/>
          <w:lang w:val="en-GB"/>
        </w:rPr>
        <w:t xml:space="preserve">to </w:t>
      </w:r>
      <w:r w:rsidR="25983322" w:rsidRPr="230F1D33">
        <w:rPr>
          <w:rFonts w:cs="Times New Roman"/>
          <w:noProof/>
          <w:lang w:val="en-GB"/>
        </w:rPr>
        <w:t xml:space="preserve">suggest </w:t>
      </w:r>
      <w:r w:rsidRPr="230F1D33">
        <w:rPr>
          <w:rFonts w:cs="Times New Roman"/>
          <w:noProof/>
          <w:lang w:val="en-GB"/>
        </w:rPr>
        <w:t>measures at EU level (CAP and other EU legislation)</w:t>
      </w:r>
      <w:r w:rsidR="00562A7D" w:rsidRPr="230F1D33">
        <w:rPr>
          <w:rFonts w:cs="Times New Roman"/>
          <w:noProof/>
          <w:lang w:val="en-GB"/>
        </w:rPr>
        <w:t xml:space="preserve"> to reduce the administrative burden weighing on farmers</w:t>
      </w:r>
      <w:r w:rsidR="00BE7141" w:rsidRPr="230F1D33">
        <w:rPr>
          <w:rFonts w:cs="Times New Roman"/>
          <w:noProof/>
          <w:lang w:val="en-GB"/>
        </w:rPr>
        <w:t>’ shoulders</w:t>
      </w:r>
      <w:r w:rsidRPr="230F1D33">
        <w:rPr>
          <w:rFonts w:cs="Times New Roman"/>
          <w:noProof/>
          <w:lang w:val="en-GB"/>
        </w:rPr>
        <w:t xml:space="preserve">. A similar </w:t>
      </w:r>
      <w:r w:rsidR="00450562" w:rsidRPr="230F1D33">
        <w:rPr>
          <w:rFonts w:cs="Times New Roman"/>
          <w:noProof/>
          <w:lang w:val="en-GB"/>
        </w:rPr>
        <w:t xml:space="preserve">request </w:t>
      </w:r>
      <w:r w:rsidR="00FA1EE7" w:rsidRPr="230F1D33">
        <w:rPr>
          <w:rFonts w:cs="Times New Roman"/>
          <w:noProof/>
          <w:lang w:val="en-GB"/>
        </w:rPr>
        <w:t>was</w:t>
      </w:r>
      <w:r w:rsidRPr="230F1D33">
        <w:rPr>
          <w:rFonts w:cs="Times New Roman"/>
          <w:noProof/>
          <w:lang w:val="en-GB"/>
        </w:rPr>
        <w:t xml:space="preserve"> </w:t>
      </w:r>
      <w:r w:rsidR="00450562" w:rsidRPr="230F1D33">
        <w:rPr>
          <w:rFonts w:cs="Times New Roman"/>
          <w:noProof/>
          <w:lang w:val="en-GB"/>
        </w:rPr>
        <w:t>made</w:t>
      </w:r>
      <w:r w:rsidRPr="230F1D33">
        <w:rPr>
          <w:rFonts w:cs="Times New Roman"/>
          <w:noProof/>
          <w:lang w:val="en-GB"/>
        </w:rPr>
        <w:t xml:space="preserve"> by the Belgian Presidency of the Council to </w:t>
      </w:r>
      <w:r w:rsidR="00CA6AB7" w:rsidRPr="230F1D33">
        <w:rPr>
          <w:rFonts w:cs="Times New Roman"/>
          <w:noProof/>
          <w:lang w:val="en-GB"/>
        </w:rPr>
        <w:t>agriculture</w:t>
      </w:r>
      <w:r w:rsidR="006900B8" w:rsidRPr="230F1D33">
        <w:rPr>
          <w:rFonts w:cs="Times New Roman"/>
          <w:noProof/>
          <w:lang w:val="en-GB"/>
        </w:rPr>
        <w:t xml:space="preserve"> ministers</w:t>
      </w:r>
      <w:r w:rsidRPr="230F1D33">
        <w:rPr>
          <w:rFonts w:cs="Times New Roman"/>
          <w:noProof/>
          <w:lang w:val="en-GB"/>
        </w:rPr>
        <w:t>.</w:t>
      </w:r>
      <w:r w:rsidR="00EF5F74" w:rsidRPr="230F1D33">
        <w:rPr>
          <w:rFonts w:cs="Times New Roman"/>
          <w:noProof/>
          <w:lang w:val="en-GB"/>
        </w:rPr>
        <w:t xml:space="preserve"> </w:t>
      </w:r>
      <w:r w:rsidR="00884C2E">
        <w:rPr>
          <w:rFonts w:cs="Times New Roman"/>
          <w:noProof/>
          <w:lang w:val="en-GB"/>
        </w:rPr>
        <w:br/>
      </w:r>
      <w:r w:rsidR="00612F02" w:rsidRPr="230F1D33">
        <w:rPr>
          <w:rFonts w:cs="Times New Roman"/>
          <w:noProof/>
          <w:lang w:val="en-GB"/>
        </w:rPr>
        <w:t xml:space="preserve">The </w:t>
      </w:r>
      <w:r w:rsidRPr="230F1D33">
        <w:rPr>
          <w:rFonts w:cs="Times New Roman"/>
          <w:noProof/>
          <w:lang w:val="en-GB"/>
        </w:rPr>
        <w:t xml:space="preserve">European Parliament’s </w:t>
      </w:r>
      <w:r w:rsidR="006900B8" w:rsidRPr="230F1D33">
        <w:rPr>
          <w:rFonts w:cs="Times New Roman"/>
          <w:noProof/>
          <w:lang w:val="en-GB"/>
        </w:rPr>
        <w:t>C</w:t>
      </w:r>
      <w:r w:rsidRPr="230F1D33">
        <w:rPr>
          <w:rFonts w:cs="Times New Roman"/>
          <w:noProof/>
          <w:lang w:val="en-GB"/>
        </w:rPr>
        <w:t xml:space="preserve">ommittee </w:t>
      </w:r>
      <w:r w:rsidR="006900B8" w:rsidRPr="230F1D33">
        <w:rPr>
          <w:rFonts w:cs="Times New Roman"/>
          <w:noProof/>
          <w:lang w:val="en-GB"/>
        </w:rPr>
        <w:t>on</w:t>
      </w:r>
      <w:r w:rsidRPr="230F1D33">
        <w:rPr>
          <w:rFonts w:cs="Times New Roman"/>
          <w:noProof/>
          <w:lang w:val="en-GB"/>
        </w:rPr>
        <w:t xml:space="preserve"> </w:t>
      </w:r>
      <w:r w:rsidR="6C5E3111" w:rsidRPr="230F1D33">
        <w:rPr>
          <w:rFonts w:cs="Times New Roman"/>
          <w:noProof/>
          <w:lang w:val="en-GB"/>
        </w:rPr>
        <w:t>A</w:t>
      </w:r>
      <w:r w:rsidRPr="230F1D33">
        <w:rPr>
          <w:rFonts w:cs="Times New Roman"/>
          <w:noProof/>
          <w:lang w:val="en-GB"/>
        </w:rPr>
        <w:t xml:space="preserve">griculture and </w:t>
      </w:r>
      <w:r w:rsidR="2F4B3A4D" w:rsidRPr="230F1D33">
        <w:rPr>
          <w:rFonts w:cs="Times New Roman"/>
          <w:noProof/>
          <w:lang w:val="en-GB"/>
        </w:rPr>
        <w:t>R</w:t>
      </w:r>
      <w:r w:rsidRPr="230F1D33">
        <w:rPr>
          <w:rFonts w:cs="Times New Roman"/>
          <w:noProof/>
          <w:lang w:val="en-GB"/>
        </w:rPr>
        <w:t xml:space="preserve">ural </w:t>
      </w:r>
      <w:r w:rsidR="7D5DA306" w:rsidRPr="230F1D33">
        <w:rPr>
          <w:rFonts w:cs="Times New Roman"/>
          <w:noProof/>
          <w:lang w:val="en-GB"/>
        </w:rPr>
        <w:t>D</w:t>
      </w:r>
      <w:r w:rsidRPr="230F1D33">
        <w:rPr>
          <w:rFonts w:cs="Times New Roman"/>
          <w:noProof/>
          <w:lang w:val="en-GB"/>
        </w:rPr>
        <w:t xml:space="preserve">evelopment </w:t>
      </w:r>
      <w:r w:rsidR="000E0BB1" w:rsidRPr="230F1D33">
        <w:rPr>
          <w:rFonts w:cs="Times New Roman"/>
          <w:noProof/>
          <w:lang w:val="en-GB"/>
        </w:rPr>
        <w:t xml:space="preserve">also </w:t>
      </w:r>
      <w:r w:rsidR="00CA6AB7" w:rsidRPr="230F1D33">
        <w:rPr>
          <w:rFonts w:cs="Times New Roman"/>
          <w:noProof/>
          <w:lang w:val="en-GB"/>
        </w:rPr>
        <w:t>informed</w:t>
      </w:r>
      <w:r w:rsidR="000E0BB1" w:rsidRPr="230F1D33">
        <w:rPr>
          <w:rFonts w:cs="Times New Roman"/>
          <w:noProof/>
          <w:lang w:val="en-GB"/>
        </w:rPr>
        <w:t xml:space="preserve"> the Commission </w:t>
      </w:r>
      <w:r w:rsidR="00CA6AB7" w:rsidRPr="230F1D33">
        <w:rPr>
          <w:rFonts w:cs="Times New Roman"/>
          <w:noProof/>
          <w:lang w:val="en-GB"/>
        </w:rPr>
        <w:t xml:space="preserve">of the </w:t>
      </w:r>
      <w:r w:rsidRPr="230F1D33">
        <w:rPr>
          <w:rFonts w:cs="Times New Roman"/>
          <w:noProof/>
          <w:lang w:val="en-GB"/>
        </w:rPr>
        <w:t xml:space="preserve">areas </w:t>
      </w:r>
      <w:r w:rsidR="00CA6AB7" w:rsidRPr="230F1D33">
        <w:rPr>
          <w:rFonts w:cs="Times New Roman"/>
          <w:noProof/>
          <w:lang w:val="en-GB"/>
        </w:rPr>
        <w:t xml:space="preserve">that </w:t>
      </w:r>
      <w:r w:rsidR="00BD74B2" w:rsidRPr="230F1D33">
        <w:rPr>
          <w:rFonts w:cs="Times New Roman"/>
          <w:noProof/>
          <w:lang w:val="en-GB"/>
        </w:rPr>
        <w:t xml:space="preserve">it </w:t>
      </w:r>
      <w:r w:rsidR="00CA6AB7" w:rsidRPr="230F1D33">
        <w:rPr>
          <w:rFonts w:cs="Times New Roman"/>
          <w:noProof/>
          <w:lang w:val="en-GB"/>
        </w:rPr>
        <w:t xml:space="preserve">considered needed </w:t>
      </w:r>
      <w:r w:rsidRPr="230F1D33">
        <w:rPr>
          <w:rFonts w:cs="Times New Roman"/>
          <w:noProof/>
          <w:lang w:val="en-GB"/>
        </w:rPr>
        <w:t xml:space="preserve">concrete and immediate action. </w:t>
      </w:r>
    </w:p>
    <w:p w14:paraId="04FBC0B4" w14:textId="2E41B1CA" w:rsidR="00D14426" w:rsidRPr="0049665B" w:rsidRDefault="00813037" w:rsidP="5B7F1876">
      <w:pPr>
        <w:spacing w:after="120"/>
        <w:jc w:val="both"/>
        <w:rPr>
          <w:rFonts w:cs="Times New Roman"/>
          <w:noProof/>
          <w:highlight w:val="yellow"/>
          <w:lang w:val="en-GB"/>
        </w:rPr>
      </w:pPr>
      <w:r w:rsidRPr="230F1D33">
        <w:rPr>
          <w:rFonts w:cs="Times New Roman"/>
          <w:noProof/>
          <w:lang w:val="en-GB"/>
        </w:rPr>
        <w:t>The urgen</w:t>
      </w:r>
      <w:r w:rsidR="00B534BE" w:rsidRPr="230F1D33">
        <w:rPr>
          <w:rFonts w:cs="Times New Roman"/>
          <w:noProof/>
          <w:lang w:val="en-GB"/>
        </w:rPr>
        <w:t>cy of the situation</w:t>
      </w:r>
      <w:r w:rsidRPr="230F1D33">
        <w:rPr>
          <w:rFonts w:cs="Times New Roman"/>
          <w:noProof/>
          <w:lang w:val="en-GB"/>
        </w:rPr>
        <w:t xml:space="preserve"> </w:t>
      </w:r>
      <w:r w:rsidR="00CA6AB7" w:rsidRPr="230F1D33">
        <w:rPr>
          <w:rFonts w:cs="Times New Roman"/>
          <w:noProof/>
          <w:lang w:val="en-GB"/>
        </w:rPr>
        <w:t xml:space="preserve">meant that it was not possible to </w:t>
      </w:r>
      <w:r w:rsidR="00297936" w:rsidRPr="230F1D33">
        <w:rPr>
          <w:rFonts w:cs="Times New Roman"/>
          <w:noProof/>
          <w:lang w:val="en-GB"/>
        </w:rPr>
        <w:t>conduct</w:t>
      </w:r>
      <w:r w:rsidR="00CA6AB7" w:rsidRPr="230F1D33">
        <w:rPr>
          <w:rFonts w:cs="Times New Roman"/>
          <w:noProof/>
          <w:lang w:val="en-GB"/>
        </w:rPr>
        <w:t xml:space="preserve"> the more usual,</w:t>
      </w:r>
      <w:r w:rsidRPr="230F1D33">
        <w:rPr>
          <w:rFonts w:cs="Times New Roman"/>
          <w:noProof/>
          <w:lang w:val="en-GB"/>
        </w:rPr>
        <w:t xml:space="preserve"> wider consultation process. </w:t>
      </w:r>
      <w:r w:rsidR="00E27C6C" w:rsidRPr="230F1D33">
        <w:rPr>
          <w:rFonts w:cs="Times New Roman"/>
          <w:noProof/>
          <w:lang w:val="en-GB"/>
        </w:rPr>
        <w:t>This ad</w:t>
      </w:r>
      <w:r w:rsidR="00CA6AB7" w:rsidRPr="230F1D33">
        <w:rPr>
          <w:rFonts w:cs="Times New Roman"/>
          <w:noProof/>
          <w:lang w:val="en-GB"/>
        </w:rPr>
        <w:t xml:space="preserve"> </w:t>
      </w:r>
      <w:r w:rsidR="00E27C6C" w:rsidRPr="230F1D33">
        <w:rPr>
          <w:rFonts w:cs="Times New Roman"/>
          <w:noProof/>
          <w:lang w:val="en-GB"/>
        </w:rPr>
        <w:t xml:space="preserve">hoc consultation process lasted one week </w:t>
      </w:r>
      <w:r w:rsidR="005E24A5" w:rsidRPr="230F1D33">
        <w:rPr>
          <w:rFonts w:cs="Times New Roman"/>
          <w:noProof/>
          <w:lang w:val="en-GB"/>
        </w:rPr>
        <w:t>and</w:t>
      </w:r>
      <w:r w:rsidR="00E27C6C" w:rsidRPr="230F1D33">
        <w:rPr>
          <w:rFonts w:cs="Times New Roman"/>
          <w:noProof/>
          <w:lang w:val="en-GB"/>
        </w:rPr>
        <w:t xml:space="preserve"> </w:t>
      </w:r>
      <w:r w:rsidR="00E27C6C" w:rsidRPr="230F1D33">
        <w:rPr>
          <w:rFonts w:cs="Times New Roman"/>
          <w:b/>
          <w:bCs/>
          <w:noProof/>
          <w:lang w:val="en-GB"/>
        </w:rPr>
        <w:t xml:space="preserve">resulted in a wide range of suggestions </w:t>
      </w:r>
      <w:r w:rsidR="00075019" w:rsidRPr="230F1D33">
        <w:rPr>
          <w:rFonts w:cs="Times New Roman"/>
          <w:noProof/>
          <w:lang w:val="en-GB"/>
        </w:rPr>
        <w:t xml:space="preserve">that </w:t>
      </w:r>
      <w:r w:rsidR="00075019" w:rsidRPr="0049665B">
        <w:rPr>
          <w:rFonts w:cs="Times New Roman"/>
          <w:b/>
          <w:bCs/>
          <w:noProof/>
          <w:lang w:val="en-GB"/>
        </w:rPr>
        <w:t xml:space="preserve">fed </w:t>
      </w:r>
      <w:r w:rsidR="00CA6AB7" w:rsidRPr="0049665B">
        <w:rPr>
          <w:rFonts w:cs="Times New Roman"/>
          <w:b/>
          <w:bCs/>
          <w:noProof/>
          <w:lang w:val="en-GB"/>
        </w:rPr>
        <w:t xml:space="preserve">into the </w:t>
      </w:r>
      <w:r w:rsidR="00075019" w:rsidRPr="0049665B">
        <w:rPr>
          <w:rFonts w:cs="Times New Roman"/>
          <w:b/>
          <w:bCs/>
          <w:noProof/>
          <w:lang w:val="en-GB"/>
        </w:rPr>
        <w:t>Commission</w:t>
      </w:r>
      <w:r w:rsidR="00CA6AB7" w:rsidRPr="0049665B">
        <w:rPr>
          <w:rFonts w:cs="Times New Roman"/>
          <w:b/>
          <w:bCs/>
          <w:noProof/>
          <w:lang w:val="en-GB"/>
        </w:rPr>
        <w:t>’s</w:t>
      </w:r>
      <w:r w:rsidR="00075019" w:rsidRPr="0049665B">
        <w:rPr>
          <w:rFonts w:cs="Times New Roman"/>
          <w:b/>
          <w:bCs/>
          <w:noProof/>
          <w:lang w:val="en-GB"/>
        </w:rPr>
        <w:t xml:space="preserve"> reflection</w:t>
      </w:r>
      <w:r w:rsidR="00F5424E" w:rsidRPr="0049665B">
        <w:rPr>
          <w:rFonts w:cs="Times New Roman"/>
          <w:b/>
          <w:bCs/>
          <w:noProof/>
          <w:lang w:val="en-GB"/>
        </w:rPr>
        <w:t>s</w:t>
      </w:r>
      <w:r w:rsidR="00075019" w:rsidRPr="230F1D33">
        <w:rPr>
          <w:rFonts w:cs="Times New Roman"/>
          <w:noProof/>
          <w:lang w:val="en-GB"/>
        </w:rPr>
        <w:t xml:space="preserve"> on the </w:t>
      </w:r>
      <w:r w:rsidR="00971D46" w:rsidRPr="230F1D33">
        <w:rPr>
          <w:rFonts w:cs="Times New Roman"/>
          <w:noProof/>
          <w:lang w:val="en-GB"/>
        </w:rPr>
        <w:t xml:space="preserve">scope and focus of the </w:t>
      </w:r>
      <w:r w:rsidR="00075019" w:rsidRPr="230F1D33">
        <w:rPr>
          <w:rFonts w:cs="Times New Roman"/>
          <w:noProof/>
          <w:lang w:val="en-GB"/>
        </w:rPr>
        <w:t>measures to take</w:t>
      </w:r>
      <w:r w:rsidR="00497841" w:rsidRPr="230F1D33">
        <w:rPr>
          <w:rFonts w:cs="Times New Roman"/>
          <w:noProof/>
          <w:lang w:val="en-GB"/>
        </w:rPr>
        <w:t xml:space="preserve">. </w:t>
      </w:r>
    </w:p>
    <w:p w14:paraId="5CFE1842" w14:textId="260DB4D6" w:rsidR="00D14426" w:rsidRPr="00780BDD" w:rsidRDefault="00B031E7" w:rsidP="0049665B">
      <w:pPr>
        <w:pStyle w:val="ListParagraph"/>
        <w:numPr>
          <w:ilvl w:val="0"/>
          <w:numId w:val="9"/>
        </w:numPr>
        <w:spacing w:after="120"/>
        <w:ind w:left="714" w:hanging="357"/>
        <w:contextualSpacing w:val="0"/>
        <w:jc w:val="both"/>
        <w:rPr>
          <w:rFonts w:cs="Times New Roman"/>
          <w:noProof/>
          <w:lang w:val="en-GB"/>
        </w:rPr>
      </w:pPr>
      <w:r w:rsidRPr="5B7F1876">
        <w:rPr>
          <w:rFonts w:cs="Times New Roman"/>
          <w:noProof/>
          <w:lang w:val="en-GB"/>
        </w:rPr>
        <w:t xml:space="preserve">The </w:t>
      </w:r>
      <w:r w:rsidRPr="5B7F1876">
        <w:rPr>
          <w:rFonts w:cs="Times New Roman"/>
          <w:b/>
          <w:bCs/>
          <w:noProof/>
          <w:lang w:val="en-GB"/>
        </w:rPr>
        <w:t>responses from Member States</w:t>
      </w:r>
      <w:r w:rsidRPr="5B7F1876">
        <w:rPr>
          <w:rFonts w:cs="Times New Roman"/>
          <w:noProof/>
          <w:lang w:val="en-GB"/>
        </w:rPr>
        <w:t xml:space="preserve"> were wide in scope, with some </w:t>
      </w:r>
      <w:r w:rsidR="00297936" w:rsidRPr="5B7F1876">
        <w:rPr>
          <w:rFonts w:cs="Times New Roman"/>
          <w:noProof/>
          <w:lang w:val="en-GB"/>
        </w:rPr>
        <w:t xml:space="preserve">citing </w:t>
      </w:r>
      <w:r w:rsidRPr="5B7F1876">
        <w:rPr>
          <w:rFonts w:cs="Times New Roman"/>
          <w:noProof/>
          <w:lang w:val="en-GB"/>
        </w:rPr>
        <w:t xml:space="preserve">practical challenges </w:t>
      </w:r>
      <w:r w:rsidR="00297936" w:rsidRPr="5B7F1876">
        <w:rPr>
          <w:rFonts w:cs="Times New Roman"/>
          <w:noProof/>
          <w:lang w:val="en-GB"/>
        </w:rPr>
        <w:t>that</w:t>
      </w:r>
      <w:r w:rsidR="00297936" w:rsidRPr="0049665B">
        <w:rPr>
          <w:rFonts w:cs="Times New Roman"/>
          <w:noProof/>
          <w:lang w:val="en-GB"/>
        </w:rPr>
        <w:t xml:space="preserve"> </w:t>
      </w:r>
      <w:r w:rsidR="00297936" w:rsidRPr="5B7F1876">
        <w:rPr>
          <w:rFonts w:cs="Times New Roman"/>
          <w:noProof/>
          <w:lang w:val="en-GB"/>
        </w:rPr>
        <w:t xml:space="preserve">could </w:t>
      </w:r>
      <w:r w:rsidRPr="5B7F1876">
        <w:rPr>
          <w:rFonts w:cs="Times New Roman"/>
          <w:noProof/>
          <w:lang w:val="en-GB"/>
        </w:rPr>
        <w:t>feasibl</w:t>
      </w:r>
      <w:r w:rsidR="00297936" w:rsidRPr="5B7F1876">
        <w:rPr>
          <w:rFonts w:cs="Times New Roman"/>
          <w:noProof/>
          <w:lang w:val="en-GB"/>
        </w:rPr>
        <w:t>y</w:t>
      </w:r>
      <w:r w:rsidRPr="5B7F1876">
        <w:rPr>
          <w:rFonts w:cs="Times New Roman"/>
          <w:noProof/>
          <w:lang w:val="en-GB"/>
        </w:rPr>
        <w:t xml:space="preserve"> </w:t>
      </w:r>
      <w:r w:rsidR="00297936" w:rsidRPr="5B7F1876">
        <w:rPr>
          <w:rFonts w:cs="Times New Roman"/>
          <w:noProof/>
          <w:lang w:val="en-GB"/>
        </w:rPr>
        <w:t>be</w:t>
      </w:r>
      <w:r w:rsidR="00297936" w:rsidRPr="0049665B">
        <w:rPr>
          <w:rFonts w:cs="Times New Roman"/>
          <w:noProof/>
          <w:lang w:val="en-GB"/>
        </w:rPr>
        <w:t xml:space="preserve"> address</w:t>
      </w:r>
      <w:r w:rsidR="00297936" w:rsidRPr="5B7F1876">
        <w:rPr>
          <w:rFonts w:cs="Times New Roman"/>
          <w:noProof/>
          <w:lang w:val="en-GB"/>
        </w:rPr>
        <w:t>ed</w:t>
      </w:r>
      <w:r w:rsidR="00297936" w:rsidRPr="0049665B">
        <w:rPr>
          <w:rFonts w:cs="Times New Roman"/>
          <w:noProof/>
          <w:lang w:val="en-GB"/>
        </w:rPr>
        <w:t xml:space="preserve"> </w:t>
      </w:r>
      <w:r w:rsidRPr="5B7F1876">
        <w:rPr>
          <w:rFonts w:cs="Times New Roman"/>
          <w:noProof/>
          <w:lang w:val="en-GB"/>
        </w:rPr>
        <w:t xml:space="preserve">in the short </w:t>
      </w:r>
      <w:r w:rsidR="00297936" w:rsidRPr="5B7F1876">
        <w:rPr>
          <w:rFonts w:cs="Times New Roman"/>
          <w:noProof/>
          <w:lang w:val="en-GB"/>
        </w:rPr>
        <w:t>term</w:t>
      </w:r>
      <w:r w:rsidRPr="5B7F1876">
        <w:rPr>
          <w:rFonts w:cs="Times New Roman"/>
          <w:noProof/>
          <w:lang w:val="en-GB"/>
        </w:rPr>
        <w:t xml:space="preserve">, </w:t>
      </w:r>
      <w:r w:rsidR="00421957" w:rsidRPr="5B7F1876">
        <w:rPr>
          <w:rFonts w:cs="Times New Roman"/>
          <w:noProof/>
          <w:lang w:val="en-GB"/>
        </w:rPr>
        <w:t xml:space="preserve">while </w:t>
      </w:r>
      <w:r w:rsidRPr="5B7F1876">
        <w:rPr>
          <w:rFonts w:cs="Times New Roman"/>
          <w:noProof/>
          <w:lang w:val="en-GB"/>
        </w:rPr>
        <w:t>many other</w:t>
      </w:r>
      <w:r w:rsidR="00297936" w:rsidRPr="5B7F1876">
        <w:rPr>
          <w:rFonts w:cs="Times New Roman"/>
          <w:noProof/>
          <w:lang w:val="en-GB"/>
        </w:rPr>
        <w:t xml:space="preserve"> responses</w:t>
      </w:r>
      <w:r w:rsidRPr="5B7F1876">
        <w:rPr>
          <w:rFonts w:cs="Times New Roman"/>
          <w:noProof/>
          <w:lang w:val="en-GB"/>
        </w:rPr>
        <w:t xml:space="preserve"> </w:t>
      </w:r>
      <w:r w:rsidR="00421957" w:rsidRPr="5B7F1876">
        <w:rPr>
          <w:rFonts w:cs="Times New Roman"/>
          <w:noProof/>
          <w:lang w:val="en-GB"/>
        </w:rPr>
        <w:t xml:space="preserve">were </w:t>
      </w:r>
      <w:r w:rsidRPr="5B7F1876">
        <w:rPr>
          <w:rFonts w:cs="Times New Roman"/>
          <w:noProof/>
          <w:lang w:val="en-GB"/>
        </w:rPr>
        <w:t>far</w:t>
      </w:r>
      <w:r w:rsidR="00BC550B" w:rsidRPr="5B7F1876">
        <w:rPr>
          <w:rFonts w:cs="Times New Roman"/>
          <w:noProof/>
          <w:lang w:val="en-GB"/>
        </w:rPr>
        <w:t>-</w:t>
      </w:r>
      <w:r w:rsidRPr="5B7F1876">
        <w:rPr>
          <w:rFonts w:cs="Times New Roman"/>
          <w:noProof/>
          <w:lang w:val="en-GB"/>
        </w:rPr>
        <w:t xml:space="preserve">reaching and </w:t>
      </w:r>
      <w:r w:rsidR="00421957" w:rsidRPr="5B7F1876">
        <w:rPr>
          <w:rFonts w:cs="Times New Roman"/>
          <w:noProof/>
          <w:lang w:val="en-GB"/>
        </w:rPr>
        <w:t xml:space="preserve">went </w:t>
      </w:r>
      <w:r w:rsidRPr="5B7F1876">
        <w:rPr>
          <w:rFonts w:cs="Times New Roman"/>
          <w:noProof/>
          <w:lang w:val="en-GB"/>
        </w:rPr>
        <w:t>beyond the</w:t>
      </w:r>
      <w:r w:rsidR="00297936" w:rsidRPr="5B7F1876">
        <w:rPr>
          <w:rFonts w:cs="Times New Roman"/>
          <w:noProof/>
          <w:lang w:val="en-GB"/>
        </w:rPr>
        <w:t xml:space="preserve"> issues of</w:t>
      </w:r>
      <w:r w:rsidRPr="5B7F1876">
        <w:rPr>
          <w:rFonts w:cs="Times New Roman"/>
          <w:noProof/>
          <w:lang w:val="en-GB"/>
        </w:rPr>
        <w:t xml:space="preserve"> reduction of </w:t>
      </w:r>
      <w:r w:rsidR="00421957" w:rsidRPr="5B7F1876">
        <w:rPr>
          <w:rFonts w:cs="Times New Roman"/>
          <w:noProof/>
          <w:lang w:val="en-GB"/>
        </w:rPr>
        <w:t xml:space="preserve">the </w:t>
      </w:r>
      <w:r w:rsidRPr="00780BDD">
        <w:rPr>
          <w:rFonts w:cs="Times New Roman"/>
          <w:noProof/>
          <w:lang w:val="en-GB"/>
        </w:rPr>
        <w:t>administrative burden, simplifica</w:t>
      </w:r>
      <w:r w:rsidRPr="0049665B">
        <w:rPr>
          <w:rFonts w:cs="Times New Roman"/>
          <w:noProof/>
          <w:lang w:val="en-GB"/>
        </w:rPr>
        <w:t xml:space="preserve">tion of implementation or </w:t>
      </w:r>
      <w:r w:rsidR="00421957" w:rsidRPr="0049665B">
        <w:rPr>
          <w:rFonts w:cs="Times New Roman"/>
          <w:noProof/>
          <w:lang w:val="en-GB"/>
        </w:rPr>
        <w:t xml:space="preserve">a stable and consistent </w:t>
      </w:r>
      <w:r w:rsidRPr="00780BDD">
        <w:rPr>
          <w:rFonts w:cs="Times New Roman"/>
          <w:noProof/>
          <w:lang w:val="en-GB"/>
        </w:rPr>
        <w:t xml:space="preserve">policy </w:t>
      </w:r>
      <w:r w:rsidR="00421957" w:rsidRPr="0049665B">
        <w:rPr>
          <w:rFonts w:cs="Times New Roman"/>
          <w:noProof/>
          <w:lang w:val="en-GB"/>
        </w:rPr>
        <w:t>framework</w:t>
      </w:r>
      <w:r w:rsidR="00421957" w:rsidRPr="00780BDD">
        <w:rPr>
          <w:rFonts w:cs="Times New Roman"/>
          <w:noProof/>
          <w:lang w:val="en-GB"/>
        </w:rPr>
        <w:t xml:space="preserve"> </w:t>
      </w:r>
      <w:r w:rsidRPr="00780BDD">
        <w:rPr>
          <w:rFonts w:cs="Times New Roman"/>
          <w:noProof/>
          <w:lang w:val="en-GB"/>
        </w:rPr>
        <w:t xml:space="preserve">for farmers. </w:t>
      </w:r>
    </w:p>
    <w:p w14:paraId="41D18202" w14:textId="6CB29EB1" w:rsidR="00E9294A" w:rsidRPr="00724676" w:rsidRDefault="00B031E7" w:rsidP="007C3C31">
      <w:pPr>
        <w:pStyle w:val="ListParagraph"/>
        <w:numPr>
          <w:ilvl w:val="0"/>
          <w:numId w:val="9"/>
        </w:numPr>
        <w:spacing w:after="120"/>
        <w:contextualSpacing w:val="0"/>
        <w:jc w:val="both"/>
        <w:rPr>
          <w:rFonts w:cs="Times New Roman"/>
          <w:noProof/>
          <w:lang w:val="en-GB"/>
        </w:rPr>
      </w:pPr>
      <w:r w:rsidRPr="00780BDD">
        <w:rPr>
          <w:rFonts w:cs="Times New Roman"/>
          <w:noProof/>
          <w:szCs w:val="24"/>
          <w:lang w:val="en-GB"/>
        </w:rPr>
        <w:t xml:space="preserve">The </w:t>
      </w:r>
      <w:r w:rsidRPr="00780BDD">
        <w:rPr>
          <w:rFonts w:cs="Times New Roman"/>
          <w:b/>
          <w:noProof/>
          <w:szCs w:val="24"/>
          <w:lang w:val="en-GB"/>
        </w:rPr>
        <w:t>consultation of farming organisations</w:t>
      </w:r>
      <w:r w:rsidRPr="00780BDD">
        <w:rPr>
          <w:rFonts w:cs="Times New Roman"/>
          <w:noProof/>
          <w:szCs w:val="24"/>
          <w:lang w:val="en-GB"/>
        </w:rPr>
        <w:t xml:space="preserve"> resulted</w:t>
      </w:r>
      <w:r w:rsidRPr="00724676">
        <w:rPr>
          <w:rFonts w:cs="Times New Roman"/>
          <w:noProof/>
          <w:szCs w:val="24"/>
          <w:lang w:val="en-GB"/>
        </w:rPr>
        <w:t xml:space="preserve"> in calls for urgent action to simplify the administrative burden </w:t>
      </w:r>
      <w:r w:rsidR="00421957">
        <w:rPr>
          <w:rFonts w:cs="Times New Roman"/>
          <w:noProof/>
          <w:szCs w:val="24"/>
          <w:lang w:val="en-GB"/>
        </w:rPr>
        <w:t>on</w:t>
      </w:r>
      <w:r w:rsidR="00421957" w:rsidRPr="00724676">
        <w:rPr>
          <w:rFonts w:cs="Times New Roman"/>
          <w:noProof/>
          <w:szCs w:val="24"/>
          <w:lang w:val="en-GB"/>
        </w:rPr>
        <w:t xml:space="preserve"> </w:t>
      </w:r>
      <w:r w:rsidRPr="00724676">
        <w:rPr>
          <w:rFonts w:cs="Times New Roman"/>
          <w:noProof/>
          <w:szCs w:val="24"/>
          <w:lang w:val="en-GB"/>
        </w:rPr>
        <w:t xml:space="preserve">farmers, but also stressed the need for a stable and consistent policy framework, proposing further reforms for the longer-term. </w:t>
      </w:r>
    </w:p>
    <w:p w14:paraId="5E297951" w14:textId="032609F5" w:rsidR="00787D89" w:rsidRPr="00780BDD" w:rsidRDefault="00B031E7" w:rsidP="007C3C31">
      <w:pPr>
        <w:pStyle w:val="ListParagraph"/>
        <w:numPr>
          <w:ilvl w:val="0"/>
          <w:numId w:val="9"/>
        </w:numPr>
        <w:spacing w:after="120"/>
        <w:jc w:val="both"/>
        <w:rPr>
          <w:rFonts w:cs="Times New Roman"/>
          <w:noProof/>
          <w:lang w:val="en-GB"/>
        </w:rPr>
      </w:pPr>
      <w:r w:rsidRPr="5B7F1876">
        <w:rPr>
          <w:rFonts w:cs="Times New Roman"/>
          <w:noProof/>
          <w:lang w:val="en-GB"/>
        </w:rPr>
        <w:t xml:space="preserve">Similarly, the </w:t>
      </w:r>
      <w:r w:rsidRPr="5B7F1876">
        <w:rPr>
          <w:rFonts w:cs="Times New Roman"/>
          <w:b/>
          <w:bCs/>
          <w:noProof/>
          <w:lang w:val="en-GB"/>
        </w:rPr>
        <w:t xml:space="preserve">European Parliament’s </w:t>
      </w:r>
      <w:r w:rsidR="009B65AE" w:rsidRPr="5B7F1876">
        <w:rPr>
          <w:rFonts w:cs="Times New Roman"/>
          <w:b/>
          <w:bCs/>
          <w:noProof/>
          <w:lang w:val="en-GB"/>
        </w:rPr>
        <w:t xml:space="preserve">Committee on Agriculture and Rural Development </w:t>
      </w:r>
      <w:r w:rsidRPr="5B7F1876">
        <w:rPr>
          <w:rFonts w:cs="Times New Roman"/>
          <w:noProof/>
          <w:lang w:val="en-GB"/>
        </w:rPr>
        <w:t>identified several priority areas of work</w:t>
      </w:r>
      <w:r w:rsidR="009B65AE" w:rsidRPr="5B7F1876">
        <w:rPr>
          <w:rFonts w:cs="Times New Roman"/>
          <w:noProof/>
          <w:lang w:val="en-GB"/>
        </w:rPr>
        <w:t>. These included</w:t>
      </w:r>
      <w:r w:rsidR="005C201B" w:rsidRPr="5B7F1876">
        <w:rPr>
          <w:rFonts w:cs="Times New Roman"/>
          <w:noProof/>
          <w:lang w:val="en-GB"/>
        </w:rPr>
        <w:t xml:space="preserve"> suggestions to s</w:t>
      </w:r>
      <w:r w:rsidR="0008278D" w:rsidRPr="5B7F1876">
        <w:rPr>
          <w:rFonts w:cs="Times New Roman"/>
          <w:noProof/>
          <w:lang w:val="en-GB"/>
        </w:rPr>
        <w:t xml:space="preserve">implify procedures for the Commission </w:t>
      </w:r>
      <w:r w:rsidR="009B65AE" w:rsidRPr="5B7F1876">
        <w:rPr>
          <w:rFonts w:cs="Times New Roman"/>
          <w:noProof/>
          <w:lang w:val="en-GB"/>
        </w:rPr>
        <w:t>to approve</w:t>
      </w:r>
      <w:r w:rsidR="0008278D" w:rsidRPr="5B7F1876">
        <w:rPr>
          <w:rFonts w:cs="Times New Roman"/>
          <w:noProof/>
          <w:lang w:val="en-GB"/>
        </w:rPr>
        <w:t xml:space="preserve"> </w:t>
      </w:r>
      <w:r w:rsidR="009B65AE" w:rsidRPr="5B7F1876">
        <w:rPr>
          <w:rFonts w:cs="Times New Roman"/>
          <w:noProof/>
          <w:lang w:val="en-GB"/>
        </w:rPr>
        <w:t xml:space="preserve">amendments of </w:t>
      </w:r>
      <w:r w:rsidR="00523AA0" w:rsidRPr="5B7F1876">
        <w:rPr>
          <w:rFonts w:cs="Times New Roman"/>
          <w:noProof/>
          <w:lang w:val="en-GB"/>
        </w:rPr>
        <w:t>CAP</w:t>
      </w:r>
      <w:r w:rsidR="003E7CF4">
        <w:rPr>
          <w:rFonts w:cs="Times New Roman"/>
          <w:noProof/>
          <w:lang w:val="en-GB"/>
        </w:rPr>
        <w:t xml:space="preserve"> </w:t>
      </w:r>
      <w:r w:rsidR="00523AA0" w:rsidRPr="5B7F1876">
        <w:rPr>
          <w:rFonts w:cs="Times New Roman"/>
          <w:noProof/>
          <w:lang w:val="en-GB"/>
        </w:rPr>
        <w:t>Plans</w:t>
      </w:r>
      <w:r w:rsidR="009B65AE" w:rsidRPr="5B7F1876">
        <w:rPr>
          <w:rFonts w:cs="Times New Roman"/>
          <w:noProof/>
          <w:lang w:val="en-GB"/>
        </w:rPr>
        <w:t>,</w:t>
      </w:r>
      <w:r w:rsidR="0037093F" w:rsidRPr="5B7F1876">
        <w:rPr>
          <w:rFonts w:cs="Times New Roman"/>
          <w:noProof/>
          <w:lang w:val="en-GB"/>
        </w:rPr>
        <w:t xml:space="preserve"> </w:t>
      </w:r>
      <w:r w:rsidR="00E57872" w:rsidRPr="5B7F1876">
        <w:rPr>
          <w:rFonts w:cs="Times New Roman"/>
          <w:noProof/>
          <w:lang w:val="en-GB"/>
        </w:rPr>
        <w:t>and</w:t>
      </w:r>
      <w:r w:rsidR="005825ED" w:rsidRPr="5B7F1876">
        <w:rPr>
          <w:rFonts w:cs="Times New Roman"/>
          <w:noProof/>
          <w:lang w:val="en-GB"/>
        </w:rPr>
        <w:t xml:space="preserve"> </w:t>
      </w:r>
      <w:r w:rsidR="009B65AE" w:rsidRPr="5B7F1876">
        <w:rPr>
          <w:rFonts w:cs="Times New Roman"/>
          <w:noProof/>
          <w:lang w:val="en-GB"/>
        </w:rPr>
        <w:t xml:space="preserve">to make </w:t>
      </w:r>
      <w:r w:rsidR="78817C02" w:rsidRPr="5B7F1876">
        <w:rPr>
          <w:rFonts w:cs="Times New Roman"/>
          <w:noProof/>
          <w:lang w:val="en-GB"/>
        </w:rPr>
        <w:t xml:space="preserve">certain </w:t>
      </w:r>
      <w:r w:rsidR="775910FD" w:rsidRPr="5B7F1876">
        <w:rPr>
          <w:rFonts w:cs="Times New Roman"/>
          <w:noProof/>
          <w:lang w:val="en-GB"/>
        </w:rPr>
        <w:t>environmental</w:t>
      </w:r>
      <w:r w:rsidR="00E13B2C" w:rsidRPr="5B7F1876">
        <w:rPr>
          <w:rFonts w:cs="Times New Roman"/>
          <w:noProof/>
          <w:lang w:val="en-GB"/>
        </w:rPr>
        <w:t xml:space="preserve"> rules</w:t>
      </w:r>
      <w:r w:rsidR="009B65AE" w:rsidRPr="5B7F1876">
        <w:rPr>
          <w:rFonts w:cs="Times New Roman"/>
          <w:noProof/>
          <w:lang w:val="en-GB"/>
        </w:rPr>
        <w:t xml:space="preserve"> more flexible</w:t>
      </w:r>
      <w:r w:rsidR="0737D427" w:rsidRPr="00780BDD">
        <w:rPr>
          <w:rFonts w:cs="Times New Roman"/>
          <w:noProof/>
          <w:lang w:val="en-GB"/>
        </w:rPr>
        <w:t>.</w:t>
      </w:r>
      <w:r w:rsidR="00A04013" w:rsidRPr="00780BDD">
        <w:rPr>
          <w:rFonts w:cs="Times New Roman"/>
          <w:noProof/>
          <w:lang w:val="en-GB"/>
        </w:rPr>
        <w:t xml:space="preserve"> </w:t>
      </w:r>
      <w:r w:rsidR="003E2FB4" w:rsidRPr="00780BDD">
        <w:rPr>
          <w:rFonts w:cs="Times New Roman"/>
          <w:noProof/>
          <w:lang w:val="en-GB"/>
        </w:rPr>
        <w:t>Other</w:t>
      </w:r>
      <w:r w:rsidR="002411E9" w:rsidRPr="00780BDD">
        <w:rPr>
          <w:rFonts w:cs="Times New Roman"/>
          <w:noProof/>
          <w:lang w:val="en-GB"/>
        </w:rPr>
        <w:t xml:space="preserve"> suggestions </w:t>
      </w:r>
      <w:r w:rsidR="00FD5FBC" w:rsidRPr="00780BDD">
        <w:rPr>
          <w:rFonts w:cs="Times New Roman"/>
          <w:noProof/>
          <w:lang w:val="en-GB"/>
        </w:rPr>
        <w:t>were</w:t>
      </w:r>
      <w:r w:rsidR="002411E9" w:rsidRPr="00780BDD">
        <w:rPr>
          <w:rFonts w:cs="Times New Roman"/>
          <w:noProof/>
          <w:lang w:val="en-GB"/>
        </w:rPr>
        <w:t xml:space="preserve"> </w:t>
      </w:r>
      <w:r w:rsidR="009B65AE" w:rsidRPr="00780BDD">
        <w:rPr>
          <w:rFonts w:cs="Times New Roman"/>
          <w:noProof/>
          <w:lang w:val="en-GB"/>
        </w:rPr>
        <w:t xml:space="preserve">aimed at </w:t>
      </w:r>
      <w:r w:rsidR="22053BBD" w:rsidRPr="04329595">
        <w:rPr>
          <w:rFonts w:cs="Times New Roman"/>
          <w:noProof/>
          <w:lang w:val="en-GB"/>
        </w:rPr>
        <w:t>improv</w:t>
      </w:r>
      <w:r w:rsidR="312D5D17" w:rsidRPr="04329595">
        <w:rPr>
          <w:rFonts w:cs="Times New Roman"/>
          <w:noProof/>
          <w:lang w:val="en-GB"/>
        </w:rPr>
        <w:t>ing</w:t>
      </w:r>
      <w:r w:rsidR="002411E9" w:rsidRPr="00780BDD">
        <w:rPr>
          <w:rFonts w:cs="Times New Roman"/>
          <w:noProof/>
          <w:lang w:val="en-GB"/>
        </w:rPr>
        <w:t xml:space="preserve"> the competitiveness of </w:t>
      </w:r>
      <w:r w:rsidR="00F87515" w:rsidRPr="00780BDD">
        <w:rPr>
          <w:rFonts w:cs="Times New Roman"/>
          <w:noProof/>
          <w:lang w:val="en-GB"/>
        </w:rPr>
        <w:t>EU farmers</w:t>
      </w:r>
      <w:r w:rsidR="009B65AE" w:rsidRPr="00780BDD">
        <w:rPr>
          <w:rFonts w:cs="Times New Roman"/>
          <w:noProof/>
          <w:lang w:val="en-GB"/>
        </w:rPr>
        <w:t>,</w:t>
      </w:r>
      <w:r w:rsidR="00F87515" w:rsidRPr="00780BDD">
        <w:rPr>
          <w:rFonts w:cs="Times New Roman"/>
          <w:noProof/>
          <w:lang w:val="en-GB"/>
        </w:rPr>
        <w:t xml:space="preserve"> such as </w:t>
      </w:r>
      <w:r w:rsidR="00806C36" w:rsidRPr="00780BDD">
        <w:rPr>
          <w:rFonts w:cs="Times New Roman"/>
          <w:noProof/>
          <w:lang w:val="en-GB"/>
        </w:rPr>
        <w:t>promoting</w:t>
      </w:r>
      <w:r w:rsidR="00E13B2C" w:rsidRPr="00780BDD">
        <w:rPr>
          <w:rFonts w:cs="Times New Roman"/>
          <w:noProof/>
          <w:lang w:val="en-GB"/>
        </w:rPr>
        <w:t xml:space="preserve"> mirror clauses in all trade agreements</w:t>
      </w:r>
      <w:r w:rsidR="003C19FB" w:rsidRPr="00780BDD">
        <w:rPr>
          <w:rFonts w:cs="Times New Roman"/>
          <w:noProof/>
          <w:lang w:val="en-GB"/>
        </w:rPr>
        <w:t xml:space="preserve">, </w:t>
      </w:r>
      <w:r w:rsidR="009B65AE" w:rsidRPr="00780BDD">
        <w:rPr>
          <w:rFonts w:cs="Times New Roman"/>
          <w:noProof/>
          <w:lang w:val="en-GB"/>
        </w:rPr>
        <w:t>revising</w:t>
      </w:r>
      <w:r w:rsidR="003C19FB" w:rsidRPr="00780BDD">
        <w:rPr>
          <w:rFonts w:cs="Times New Roman"/>
          <w:noProof/>
          <w:lang w:val="en-GB"/>
        </w:rPr>
        <w:t xml:space="preserve"> </w:t>
      </w:r>
      <w:r w:rsidR="008003DF" w:rsidRPr="00780BDD">
        <w:rPr>
          <w:rFonts w:cs="Times New Roman"/>
          <w:noProof/>
          <w:lang w:val="en-GB"/>
        </w:rPr>
        <w:t xml:space="preserve">the </w:t>
      </w:r>
      <w:r w:rsidR="00EF60A9" w:rsidRPr="00780BDD">
        <w:rPr>
          <w:rFonts w:cs="Times New Roman"/>
          <w:noProof/>
          <w:lang w:val="en-GB"/>
        </w:rPr>
        <w:t>U</w:t>
      </w:r>
      <w:r w:rsidR="008003DF" w:rsidRPr="00780BDD">
        <w:rPr>
          <w:rFonts w:cs="Times New Roman"/>
          <w:noProof/>
          <w:lang w:val="en-GB"/>
        </w:rPr>
        <w:t xml:space="preserve">nfair </w:t>
      </w:r>
      <w:r w:rsidR="00EF60A9" w:rsidRPr="00780BDD">
        <w:rPr>
          <w:rFonts w:cs="Times New Roman"/>
          <w:noProof/>
          <w:lang w:val="en-GB"/>
        </w:rPr>
        <w:t>T</w:t>
      </w:r>
      <w:r w:rsidR="008003DF" w:rsidRPr="00780BDD">
        <w:rPr>
          <w:rFonts w:cs="Times New Roman"/>
          <w:noProof/>
          <w:lang w:val="en-GB"/>
        </w:rPr>
        <w:t>rad</w:t>
      </w:r>
      <w:r w:rsidR="00EF60A9" w:rsidRPr="00780BDD">
        <w:rPr>
          <w:rFonts w:cs="Times New Roman"/>
          <w:noProof/>
          <w:lang w:val="en-GB"/>
        </w:rPr>
        <w:t>ing P</w:t>
      </w:r>
      <w:r w:rsidR="008003DF" w:rsidRPr="00780BDD">
        <w:rPr>
          <w:rFonts w:cs="Times New Roman"/>
          <w:noProof/>
          <w:lang w:val="en-GB"/>
        </w:rPr>
        <w:t>racti</w:t>
      </w:r>
      <w:r w:rsidR="00052C17" w:rsidRPr="00780BDD">
        <w:rPr>
          <w:rFonts w:cs="Times New Roman"/>
          <w:noProof/>
          <w:lang w:val="en-GB"/>
        </w:rPr>
        <w:t>c</w:t>
      </w:r>
      <w:r w:rsidR="008003DF" w:rsidRPr="00780BDD">
        <w:rPr>
          <w:rFonts w:cs="Times New Roman"/>
          <w:noProof/>
          <w:lang w:val="en-GB"/>
        </w:rPr>
        <w:t>es</w:t>
      </w:r>
      <w:r w:rsidR="005033FD" w:rsidRPr="00780BDD">
        <w:rPr>
          <w:rFonts w:cs="Times New Roman"/>
          <w:noProof/>
          <w:lang w:val="en-GB"/>
        </w:rPr>
        <w:t xml:space="preserve"> (UTP)</w:t>
      </w:r>
      <w:r w:rsidR="008003DF" w:rsidRPr="00780BDD">
        <w:rPr>
          <w:rFonts w:cs="Times New Roman"/>
          <w:noProof/>
          <w:lang w:val="en-GB"/>
        </w:rPr>
        <w:t xml:space="preserve"> </w:t>
      </w:r>
      <w:r w:rsidR="00EF60A9" w:rsidRPr="00780BDD">
        <w:rPr>
          <w:rFonts w:cs="Times New Roman"/>
          <w:noProof/>
          <w:lang w:val="en-GB"/>
        </w:rPr>
        <w:t>D</w:t>
      </w:r>
      <w:r w:rsidR="008003DF" w:rsidRPr="00780BDD">
        <w:rPr>
          <w:rFonts w:cs="Times New Roman"/>
          <w:noProof/>
          <w:lang w:val="en-GB"/>
        </w:rPr>
        <w:t>irectiv</w:t>
      </w:r>
      <w:r w:rsidR="00E150C7" w:rsidRPr="00780BDD">
        <w:rPr>
          <w:rFonts w:cs="Times New Roman"/>
          <w:noProof/>
          <w:lang w:val="en-GB"/>
        </w:rPr>
        <w:t xml:space="preserve">e, </w:t>
      </w:r>
      <w:r w:rsidR="009B65AE" w:rsidRPr="00780BDD">
        <w:rPr>
          <w:rFonts w:cs="Times New Roman"/>
          <w:noProof/>
          <w:lang w:val="en-GB"/>
        </w:rPr>
        <w:t>improving the situation of</w:t>
      </w:r>
      <w:r w:rsidR="001C4F1F" w:rsidRPr="00780BDD">
        <w:rPr>
          <w:rFonts w:cs="Times New Roman"/>
          <w:noProof/>
          <w:lang w:val="en-GB"/>
        </w:rPr>
        <w:t xml:space="preserve"> fa</w:t>
      </w:r>
      <w:r w:rsidR="006E352B" w:rsidRPr="00780BDD">
        <w:rPr>
          <w:rFonts w:cs="Times New Roman"/>
          <w:noProof/>
          <w:lang w:val="en-GB"/>
        </w:rPr>
        <w:t xml:space="preserve">rmers in the </w:t>
      </w:r>
      <w:r w:rsidR="24ADC54C" w:rsidRPr="00780BDD">
        <w:rPr>
          <w:rFonts w:cs="Times New Roman"/>
          <w:noProof/>
          <w:lang w:val="en-GB"/>
        </w:rPr>
        <w:t>agri-</w:t>
      </w:r>
      <w:r w:rsidR="2130F20F" w:rsidRPr="00780BDD">
        <w:rPr>
          <w:rFonts w:cs="Times New Roman"/>
          <w:noProof/>
          <w:lang w:val="en-GB"/>
        </w:rPr>
        <w:t xml:space="preserve">food </w:t>
      </w:r>
      <w:r w:rsidR="006E352B" w:rsidRPr="00780BDD">
        <w:rPr>
          <w:rFonts w:cs="Times New Roman"/>
          <w:noProof/>
          <w:lang w:val="en-GB"/>
        </w:rPr>
        <w:t>supply chain</w:t>
      </w:r>
      <w:r w:rsidR="00950EA1" w:rsidRPr="00780BDD">
        <w:rPr>
          <w:rFonts w:cs="Times New Roman"/>
          <w:noProof/>
          <w:lang w:val="en-GB"/>
        </w:rPr>
        <w:t xml:space="preserve"> </w:t>
      </w:r>
      <w:r w:rsidR="5F84375A" w:rsidRPr="00780BDD">
        <w:rPr>
          <w:rFonts w:cs="Times New Roman"/>
          <w:noProof/>
          <w:lang w:val="en-GB"/>
        </w:rPr>
        <w:t xml:space="preserve">also </w:t>
      </w:r>
      <w:r w:rsidR="009B65AE" w:rsidRPr="00780BDD">
        <w:rPr>
          <w:rFonts w:cs="Times New Roman"/>
          <w:noProof/>
          <w:lang w:val="en-GB"/>
        </w:rPr>
        <w:t>by looking at</w:t>
      </w:r>
      <w:r w:rsidR="002A5319" w:rsidRPr="00780BDD">
        <w:rPr>
          <w:rFonts w:cs="Times New Roman"/>
          <w:noProof/>
          <w:lang w:val="en-GB"/>
        </w:rPr>
        <w:t xml:space="preserve"> </w:t>
      </w:r>
      <w:r w:rsidR="00950EA1" w:rsidRPr="00780BDD">
        <w:rPr>
          <w:rFonts w:cs="Times New Roman"/>
          <w:noProof/>
          <w:lang w:val="en-GB"/>
        </w:rPr>
        <w:t>competition rules</w:t>
      </w:r>
      <w:r w:rsidR="00986D71" w:rsidRPr="00780BDD">
        <w:rPr>
          <w:rFonts w:cs="Times New Roman"/>
          <w:noProof/>
          <w:lang w:val="en-GB"/>
        </w:rPr>
        <w:t>,</w:t>
      </w:r>
      <w:r w:rsidR="00C27FE9" w:rsidRPr="00780BDD">
        <w:rPr>
          <w:rFonts w:cs="Times New Roman"/>
          <w:noProof/>
          <w:lang w:val="en-GB"/>
        </w:rPr>
        <w:t xml:space="preserve"> and </w:t>
      </w:r>
      <w:r w:rsidR="009B65AE" w:rsidRPr="00780BDD">
        <w:rPr>
          <w:rFonts w:cs="Times New Roman"/>
          <w:noProof/>
          <w:lang w:val="en-GB"/>
        </w:rPr>
        <w:t xml:space="preserve">carrying out </w:t>
      </w:r>
      <w:r w:rsidR="00A61B1E" w:rsidRPr="00780BDD">
        <w:rPr>
          <w:rFonts w:cs="Times New Roman"/>
          <w:noProof/>
          <w:lang w:val="en-GB"/>
        </w:rPr>
        <w:t xml:space="preserve">an assessment </w:t>
      </w:r>
      <w:r w:rsidR="00720BD3" w:rsidRPr="00780BDD">
        <w:rPr>
          <w:rFonts w:cs="Times New Roman"/>
          <w:noProof/>
          <w:lang w:val="en-GB"/>
        </w:rPr>
        <w:t xml:space="preserve">of </w:t>
      </w:r>
      <w:r w:rsidR="00A61B1E" w:rsidRPr="00780BDD">
        <w:rPr>
          <w:rFonts w:cs="Times New Roman"/>
          <w:noProof/>
          <w:lang w:val="en-GB"/>
        </w:rPr>
        <w:t xml:space="preserve">Green </w:t>
      </w:r>
      <w:r w:rsidR="00790163" w:rsidRPr="00780BDD">
        <w:rPr>
          <w:rFonts w:cs="Times New Roman"/>
          <w:noProof/>
          <w:lang w:val="en-GB"/>
        </w:rPr>
        <w:t>Deal</w:t>
      </w:r>
      <w:r w:rsidR="00A61B1E" w:rsidRPr="00780BDD">
        <w:rPr>
          <w:rFonts w:cs="Times New Roman"/>
          <w:noProof/>
          <w:lang w:val="en-GB"/>
        </w:rPr>
        <w:t xml:space="preserve"> </w:t>
      </w:r>
      <w:r w:rsidR="009B65AE" w:rsidRPr="00780BDD">
        <w:rPr>
          <w:rFonts w:cs="Times New Roman"/>
          <w:noProof/>
          <w:lang w:val="en-GB"/>
        </w:rPr>
        <w:t xml:space="preserve">legislation related to </w:t>
      </w:r>
      <w:r w:rsidR="00A61B1E" w:rsidRPr="00780BDD">
        <w:rPr>
          <w:rFonts w:cs="Times New Roman"/>
          <w:noProof/>
          <w:lang w:val="en-GB"/>
        </w:rPr>
        <w:t>agri</w:t>
      </w:r>
      <w:r w:rsidR="00377250" w:rsidRPr="00780BDD">
        <w:rPr>
          <w:rFonts w:cs="Times New Roman"/>
          <w:noProof/>
          <w:lang w:val="en-GB"/>
        </w:rPr>
        <w:t>culture</w:t>
      </w:r>
      <w:r w:rsidR="009D289B" w:rsidRPr="00780BDD">
        <w:rPr>
          <w:rFonts w:cs="Times New Roman"/>
          <w:noProof/>
          <w:lang w:val="en-GB"/>
        </w:rPr>
        <w:t>.</w:t>
      </w:r>
      <w:r w:rsidR="00311118" w:rsidRPr="00780BDD">
        <w:rPr>
          <w:rFonts w:cs="Times New Roman"/>
          <w:noProof/>
          <w:lang w:val="en-GB"/>
        </w:rPr>
        <w:t xml:space="preserve"> </w:t>
      </w:r>
    </w:p>
    <w:p w14:paraId="184FF282" w14:textId="53DB1390" w:rsidR="00E27C6C" w:rsidRPr="00780BDD" w:rsidRDefault="00CA7F1C" w:rsidP="005175C0">
      <w:pPr>
        <w:spacing w:after="120"/>
        <w:jc w:val="both"/>
        <w:rPr>
          <w:rFonts w:cs="Times New Roman"/>
          <w:noProof/>
          <w:lang w:val="en-GB"/>
        </w:rPr>
      </w:pPr>
      <w:r w:rsidRPr="00780BDD">
        <w:rPr>
          <w:rFonts w:cs="Times New Roman"/>
          <w:noProof/>
          <w:lang w:val="en-GB"/>
        </w:rPr>
        <w:t xml:space="preserve">Section 4 and Annex </w:t>
      </w:r>
      <w:r w:rsidR="00787D89" w:rsidRPr="00780BDD">
        <w:rPr>
          <w:rFonts w:cs="Times New Roman"/>
          <w:noProof/>
          <w:lang w:val="en-GB"/>
        </w:rPr>
        <w:t xml:space="preserve">2 </w:t>
      </w:r>
      <w:r w:rsidRPr="00780BDD">
        <w:rPr>
          <w:rFonts w:cs="Times New Roman"/>
          <w:noProof/>
          <w:lang w:val="en-GB"/>
        </w:rPr>
        <w:t>summarise t</w:t>
      </w:r>
      <w:r w:rsidR="00B031E7" w:rsidRPr="00780BDD">
        <w:rPr>
          <w:rFonts w:cs="Times New Roman"/>
          <w:noProof/>
          <w:lang w:val="en-GB"/>
        </w:rPr>
        <w:t>he</w:t>
      </w:r>
      <w:r w:rsidR="003411DB" w:rsidRPr="00780BDD">
        <w:rPr>
          <w:rFonts w:cs="Times New Roman"/>
          <w:noProof/>
          <w:lang w:val="en-GB"/>
        </w:rPr>
        <w:t xml:space="preserve">se </w:t>
      </w:r>
      <w:r w:rsidR="00730206" w:rsidRPr="00780BDD">
        <w:rPr>
          <w:rFonts w:cs="Times New Roman"/>
          <w:noProof/>
          <w:lang w:val="en-GB"/>
        </w:rPr>
        <w:t xml:space="preserve">suggestions </w:t>
      </w:r>
      <w:r w:rsidR="003411DB" w:rsidRPr="00780BDD">
        <w:rPr>
          <w:rFonts w:cs="Times New Roman"/>
          <w:noProof/>
          <w:lang w:val="en-GB"/>
        </w:rPr>
        <w:t xml:space="preserve">and </w:t>
      </w:r>
      <w:r w:rsidR="00986D71" w:rsidRPr="00780BDD">
        <w:rPr>
          <w:rFonts w:cs="Times New Roman"/>
          <w:noProof/>
          <w:lang w:val="en-GB"/>
        </w:rPr>
        <w:t xml:space="preserve">provide </w:t>
      </w:r>
      <w:r w:rsidR="003411DB" w:rsidRPr="00780BDD">
        <w:rPr>
          <w:rFonts w:cs="Times New Roman"/>
          <w:noProof/>
          <w:lang w:val="en-GB"/>
        </w:rPr>
        <w:t>the</w:t>
      </w:r>
      <w:r w:rsidR="00E52394" w:rsidRPr="0049665B">
        <w:rPr>
          <w:rFonts w:cs="Times New Roman"/>
          <w:noProof/>
          <w:lang w:val="en-GB"/>
        </w:rPr>
        <w:t xml:space="preserve"> Commission’s</w:t>
      </w:r>
      <w:r w:rsidR="00B031E7" w:rsidRPr="00780BDD">
        <w:rPr>
          <w:rFonts w:cs="Times New Roman"/>
          <w:noProof/>
          <w:lang w:val="en-GB"/>
        </w:rPr>
        <w:t xml:space="preserve"> </w:t>
      </w:r>
      <w:r w:rsidR="00986D71" w:rsidRPr="00780BDD">
        <w:rPr>
          <w:rFonts w:cs="Times New Roman"/>
          <w:noProof/>
          <w:lang w:val="en-GB"/>
        </w:rPr>
        <w:t>assessment</w:t>
      </w:r>
      <w:r w:rsidR="00FC7FBF">
        <w:rPr>
          <w:rFonts w:cs="Times New Roman"/>
          <w:noProof/>
          <w:lang w:val="en-GB"/>
        </w:rPr>
        <w:t>.</w:t>
      </w:r>
    </w:p>
    <w:p w14:paraId="252DB734" w14:textId="5EB38EE9" w:rsidR="006A6E45" w:rsidRPr="00780BDD" w:rsidRDefault="007573F3" w:rsidP="006807F6">
      <w:pPr>
        <w:pStyle w:val="Heading2"/>
        <w:spacing w:before="240"/>
        <w:rPr>
          <w:noProof/>
          <w:lang w:val="en-GB"/>
        </w:rPr>
      </w:pPr>
      <w:bookmarkStart w:id="23" w:name="_Toc1152847428"/>
      <w:bookmarkStart w:id="24" w:name="_Toc1446768457"/>
      <w:bookmarkStart w:id="25" w:name="_Toc279614132"/>
      <w:bookmarkStart w:id="26" w:name="_Toc167974734"/>
      <w:bookmarkStart w:id="27" w:name="_Toc172125119"/>
      <w:r w:rsidRPr="00780BDD">
        <w:rPr>
          <w:noProof/>
          <w:lang w:val="en-GB"/>
        </w:rPr>
        <w:t>3</w:t>
      </w:r>
      <w:r w:rsidR="05BBD353" w:rsidRPr="00780BDD">
        <w:rPr>
          <w:noProof/>
          <w:lang w:val="en-GB"/>
        </w:rPr>
        <w:t>.</w:t>
      </w:r>
      <w:r w:rsidR="00F631B4" w:rsidRPr="00780BDD">
        <w:rPr>
          <w:noProof/>
          <w:lang w:val="en-GB"/>
        </w:rPr>
        <w:t>2</w:t>
      </w:r>
      <w:r w:rsidR="05BBD353" w:rsidRPr="00780BDD">
        <w:rPr>
          <w:noProof/>
          <w:lang w:val="en-GB"/>
        </w:rPr>
        <w:t xml:space="preserve">. </w:t>
      </w:r>
      <w:r w:rsidR="00965D52" w:rsidRPr="00780BDD">
        <w:rPr>
          <w:noProof/>
          <w:lang w:val="en-GB"/>
        </w:rPr>
        <w:t>Consultations specific to individual measures</w:t>
      </w:r>
      <w:bookmarkEnd w:id="23"/>
      <w:bookmarkEnd w:id="24"/>
      <w:bookmarkEnd w:id="25"/>
      <w:bookmarkEnd w:id="26"/>
      <w:bookmarkEnd w:id="27"/>
      <w:r w:rsidR="001C2793" w:rsidRPr="00780BDD">
        <w:rPr>
          <w:noProof/>
          <w:lang w:val="en-GB"/>
        </w:rPr>
        <w:t xml:space="preserve"> </w:t>
      </w:r>
    </w:p>
    <w:p w14:paraId="3AFD8ECC" w14:textId="721F9B99" w:rsidR="00043689" w:rsidRPr="00724676" w:rsidRDefault="009B65AE" w:rsidP="006D5C9F">
      <w:pPr>
        <w:spacing w:after="120"/>
        <w:jc w:val="both"/>
        <w:rPr>
          <w:rFonts w:eastAsia="Times New Roman" w:cs="Times New Roman"/>
          <w:noProof/>
          <w:lang w:val="en-GB"/>
        </w:rPr>
      </w:pPr>
      <w:r w:rsidRPr="00780BDD">
        <w:rPr>
          <w:rFonts w:eastAsia="Times New Roman" w:cs="Times New Roman"/>
          <w:noProof/>
          <w:lang w:val="en-GB"/>
        </w:rPr>
        <w:t>On</w:t>
      </w:r>
      <w:r w:rsidR="00C44F4C" w:rsidRPr="00780BDD">
        <w:rPr>
          <w:rFonts w:eastAsia="Times New Roman" w:cs="Times New Roman"/>
          <w:noProof/>
          <w:lang w:val="en-GB"/>
        </w:rPr>
        <w:t xml:space="preserve"> </w:t>
      </w:r>
      <w:r w:rsidR="00132659" w:rsidRPr="00780BDD">
        <w:rPr>
          <w:rFonts w:eastAsia="Times New Roman" w:cs="Times New Roman"/>
          <w:noProof/>
          <w:lang w:val="en-GB"/>
        </w:rPr>
        <w:t>several</w:t>
      </w:r>
      <w:r w:rsidR="00C44F4C" w:rsidRPr="00780BDD">
        <w:rPr>
          <w:rFonts w:eastAsia="Times New Roman" w:cs="Times New Roman"/>
          <w:noProof/>
          <w:lang w:val="en-GB"/>
        </w:rPr>
        <w:t xml:space="preserve"> individual measures</w:t>
      </w:r>
      <w:r w:rsidR="00A33727" w:rsidRPr="00780BDD">
        <w:rPr>
          <w:rFonts w:eastAsia="Times New Roman" w:cs="Times New Roman"/>
          <w:noProof/>
          <w:lang w:val="en-GB"/>
        </w:rPr>
        <w:t xml:space="preserve"> of the </w:t>
      </w:r>
      <w:r w:rsidR="00A5723A" w:rsidRPr="00780BDD">
        <w:rPr>
          <w:rFonts w:eastAsia="Times New Roman" w:cs="Times New Roman"/>
          <w:noProof/>
          <w:lang w:val="en-GB"/>
        </w:rPr>
        <w:t>simplification package</w:t>
      </w:r>
      <w:r w:rsidR="00C44F4C" w:rsidRPr="00780BDD">
        <w:rPr>
          <w:rFonts w:eastAsia="Times New Roman" w:cs="Times New Roman"/>
          <w:noProof/>
          <w:lang w:val="en-GB"/>
        </w:rPr>
        <w:t xml:space="preserve">, the Commission organised </w:t>
      </w:r>
      <w:r w:rsidR="00AF18D2" w:rsidRPr="00780BDD">
        <w:rPr>
          <w:rFonts w:eastAsia="Times New Roman" w:cs="Times New Roman"/>
          <w:noProof/>
          <w:lang w:val="en-GB"/>
        </w:rPr>
        <w:t xml:space="preserve">exchanges and </w:t>
      </w:r>
      <w:r w:rsidR="00C44F4C" w:rsidRPr="00780BDD">
        <w:rPr>
          <w:rFonts w:eastAsia="Times New Roman" w:cs="Times New Roman"/>
          <w:noProof/>
          <w:lang w:val="en-GB"/>
        </w:rPr>
        <w:t>consultation</w:t>
      </w:r>
      <w:r w:rsidR="00CB17C8" w:rsidRPr="00780BDD">
        <w:rPr>
          <w:rFonts w:eastAsia="Times New Roman" w:cs="Times New Roman"/>
          <w:noProof/>
          <w:lang w:val="en-GB"/>
        </w:rPr>
        <w:t>s</w:t>
      </w:r>
      <w:r w:rsidR="00C44F4C" w:rsidRPr="00780BDD">
        <w:rPr>
          <w:rFonts w:eastAsia="Times New Roman" w:cs="Times New Roman"/>
          <w:noProof/>
          <w:lang w:val="en-GB"/>
        </w:rPr>
        <w:t xml:space="preserve"> involving experts from all 27 Member States </w:t>
      </w:r>
      <w:r w:rsidRPr="00780BDD">
        <w:rPr>
          <w:rFonts w:eastAsia="Times New Roman" w:cs="Times New Roman"/>
          <w:noProof/>
          <w:lang w:val="en-GB"/>
        </w:rPr>
        <w:t xml:space="preserve">either </w:t>
      </w:r>
      <w:r w:rsidR="00C44F4C" w:rsidRPr="00780BDD">
        <w:rPr>
          <w:rFonts w:eastAsia="Times New Roman" w:cs="Times New Roman"/>
          <w:noProof/>
          <w:lang w:val="en-GB"/>
        </w:rPr>
        <w:t xml:space="preserve">within the </w:t>
      </w:r>
      <w:r w:rsidR="3BC51547" w:rsidRPr="00780BDD">
        <w:rPr>
          <w:rFonts w:eastAsia="Times New Roman" w:cs="Times New Roman"/>
          <w:noProof/>
          <w:lang w:val="en-GB"/>
        </w:rPr>
        <w:lastRenderedPageBreak/>
        <w:t>Common Agricultural</w:t>
      </w:r>
      <w:r w:rsidR="3BC51547" w:rsidRPr="532033A3">
        <w:rPr>
          <w:rFonts w:eastAsia="Times New Roman" w:cs="Times New Roman"/>
          <w:noProof/>
          <w:lang w:val="en-GB"/>
        </w:rPr>
        <w:t xml:space="preserve"> Policy Committee </w:t>
      </w:r>
      <w:r w:rsidRPr="532033A3">
        <w:rPr>
          <w:rFonts w:eastAsia="Times New Roman" w:cs="Times New Roman"/>
          <w:noProof/>
          <w:lang w:val="en-GB"/>
        </w:rPr>
        <w:t xml:space="preserve">set up </w:t>
      </w:r>
      <w:r w:rsidR="0043042E" w:rsidRPr="532033A3">
        <w:rPr>
          <w:rFonts w:eastAsia="Times New Roman" w:cs="Times New Roman"/>
          <w:noProof/>
          <w:lang w:val="en-GB"/>
        </w:rPr>
        <w:t xml:space="preserve">under </w:t>
      </w:r>
      <w:r w:rsidR="00F74630" w:rsidRPr="532033A3">
        <w:rPr>
          <w:rFonts w:eastAsia="Times New Roman" w:cs="Times New Roman"/>
          <w:noProof/>
          <w:lang w:val="en-GB"/>
        </w:rPr>
        <w:t>the C</w:t>
      </w:r>
      <w:r w:rsidR="0F82FF91" w:rsidRPr="532033A3">
        <w:rPr>
          <w:rFonts w:eastAsia="Times New Roman" w:cs="Times New Roman"/>
          <w:noProof/>
          <w:lang w:val="en-GB"/>
        </w:rPr>
        <w:t xml:space="preserve">AP </w:t>
      </w:r>
      <w:r w:rsidR="00F44D7A" w:rsidRPr="532033A3">
        <w:rPr>
          <w:rFonts w:eastAsia="Times New Roman" w:cs="Times New Roman"/>
          <w:noProof/>
          <w:lang w:val="en-GB"/>
        </w:rPr>
        <w:t>Plan Regulation</w:t>
      </w:r>
      <w:r w:rsidRPr="532033A3">
        <w:rPr>
          <w:rFonts w:eastAsia="Times New Roman" w:cs="Times New Roman"/>
          <w:noProof/>
          <w:lang w:val="en-GB"/>
        </w:rPr>
        <w:t>,</w:t>
      </w:r>
      <w:r w:rsidR="00F90AFF" w:rsidRPr="532033A3">
        <w:rPr>
          <w:rFonts w:eastAsia="Times New Roman" w:cs="Times New Roman"/>
          <w:noProof/>
          <w:lang w:val="en-GB"/>
        </w:rPr>
        <w:t xml:space="preserve"> or the </w:t>
      </w:r>
      <w:r w:rsidR="19FAD980" w:rsidRPr="532033A3">
        <w:rPr>
          <w:rFonts w:eastAsia="Times New Roman" w:cs="Times New Roman"/>
          <w:noProof/>
          <w:lang w:val="en-GB"/>
        </w:rPr>
        <w:t xml:space="preserve">Expert Group </w:t>
      </w:r>
      <w:r w:rsidR="47E93E7F" w:rsidRPr="532033A3">
        <w:rPr>
          <w:rFonts w:eastAsia="Times New Roman" w:cs="Times New Roman"/>
          <w:noProof/>
          <w:lang w:val="en-GB"/>
        </w:rPr>
        <w:t>on the impl</w:t>
      </w:r>
      <w:r w:rsidR="002F2933" w:rsidRPr="532033A3">
        <w:rPr>
          <w:rFonts w:eastAsia="Times New Roman" w:cs="Times New Roman"/>
          <w:noProof/>
          <w:lang w:val="en-GB"/>
        </w:rPr>
        <w:t>e</w:t>
      </w:r>
      <w:r w:rsidR="47E93E7F" w:rsidRPr="532033A3">
        <w:rPr>
          <w:rFonts w:eastAsia="Times New Roman" w:cs="Times New Roman"/>
          <w:noProof/>
          <w:lang w:val="en-GB"/>
        </w:rPr>
        <w:t xml:space="preserve">mentation of the </w:t>
      </w:r>
      <w:r w:rsidR="00523AA0" w:rsidRPr="532033A3">
        <w:rPr>
          <w:rFonts w:eastAsia="Times New Roman" w:cs="Times New Roman"/>
          <w:noProof/>
          <w:lang w:val="en-GB"/>
        </w:rPr>
        <w:t>CAP Plans</w:t>
      </w:r>
      <w:r w:rsidR="47E93E7F" w:rsidRPr="532033A3">
        <w:rPr>
          <w:rFonts w:eastAsia="Times New Roman" w:cs="Times New Roman"/>
          <w:noProof/>
          <w:lang w:val="en-GB"/>
        </w:rPr>
        <w:t xml:space="preserve">. </w:t>
      </w:r>
    </w:p>
    <w:p w14:paraId="1354AB0B" w14:textId="3C866D33" w:rsidR="00043689" w:rsidRPr="00513E8F" w:rsidRDefault="00A72546">
      <w:pPr>
        <w:spacing w:after="120"/>
        <w:jc w:val="both"/>
        <w:rPr>
          <w:rFonts w:eastAsia="Times New Roman" w:cs="Times New Roman"/>
          <w:noProof/>
          <w:lang w:val="en-GB"/>
        </w:rPr>
      </w:pPr>
      <w:r w:rsidRPr="00FF77A3">
        <w:rPr>
          <w:rFonts w:eastAsia="Times New Roman" w:cs="Times New Roman"/>
          <w:noProof/>
          <w:lang w:val="en-GB"/>
        </w:rPr>
        <w:t>Th</w:t>
      </w:r>
      <w:r w:rsidR="004D6BC2" w:rsidRPr="00FF77A3">
        <w:rPr>
          <w:rFonts w:eastAsia="Times New Roman" w:cs="Times New Roman"/>
          <w:noProof/>
          <w:lang w:val="en-GB"/>
        </w:rPr>
        <w:t>e</w:t>
      </w:r>
      <w:r w:rsidRPr="00FF77A3">
        <w:rPr>
          <w:rFonts w:eastAsia="Times New Roman" w:cs="Times New Roman"/>
          <w:noProof/>
          <w:lang w:val="en-GB"/>
        </w:rPr>
        <w:t>s</w:t>
      </w:r>
      <w:r w:rsidR="004D6BC2" w:rsidRPr="00FF77A3">
        <w:rPr>
          <w:rFonts w:eastAsia="Times New Roman" w:cs="Times New Roman"/>
          <w:noProof/>
          <w:lang w:val="en-GB"/>
        </w:rPr>
        <w:t>e</w:t>
      </w:r>
      <w:r w:rsidRPr="00FF77A3">
        <w:rPr>
          <w:rFonts w:eastAsia="Times New Roman" w:cs="Times New Roman"/>
          <w:noProof/>
          <w:lang w:val="en-GB"/>
        </w:rPr>
        <w:t xml:space="preserve"> </w:t>
      </w:r>
      <w:r w:rsidR="00340264" w:rsidRPr="00FF77A3">
        <w:rPr>
          <w:rFonts w:eastAsia="Times New Roman" w:cs="Times New Roman"/>
          <w:noProof/>
          <w:lang w:val="en-GB"/>
        </w:rPr>
        <w:t xml:space="preserve">consultations </w:t>
      </w:r>
      <w:r w:rsidRPr="00FF77A3">
        <w:rPr>
          <w:rFonts w:eastAsia="Times New Roman" w:cs="Times New Roman"/>
          <w:noProof/>
          <w:lang w:val="en-GB"/>
        </w:rPr>
        <w:t>concerned</w:t>
      </w:r>
      <w:r w:rsidR="00302D91" w:rsidRPr="00FF77A3">
        <w:rPr>
          <w:rFonts w:eastAsia="Times New Roman" w:cs="Times New Roman"/>
          <w:noProof/>
          <w:lang w:val="en-GB"/>
        </w:rPr>
        <w:t>:</w:t>
      </w:r>
      <w:r w:rsidR="00CB512E" w:rsidRPr="00FF77A3">
        <w:rPr>
          <w:rFonts w:eastAsia="Times New Roman" w:cs="Times New Roman"/>
          <w:noProof/>
          <w:lang w:val="en-GB"/>
        </w:rPr>
        <w:t xml:space="preserve"> (i)</w:t>
      </w:r>
      <w:r w:rsidRPr="00FF77A3">
        <w:rPr>
          <w:rFonts w:eastAsia="Times New Roman" w:cs="Times New Roman"/>
          <w:noProof/>
          <w:lang w:val="en-GB"/>
        </w:rPr>
        <w:t xml:space="preserve"> the </w:t>
      </w:r>
      <w:r w:rsidR="009B65AE" w:rsidRPr="00FF77A3">
        <w:rPr>
          <w:rFonts w:eastAsia="Times New Roman" w:cs="Times New Roman"/>
          <w:noProof/>
          <w:lang w:val="en-GB"/>
        </w:rPr>
        <w:t xml:space="preserve">modifications related to </w:t>
      </w:r>
      <w:r w:rsidRPr="00FF77A3">
        <w:rPr>
          <w:rFonts w:eastAsia="Times New Roman" w:cs="Times New Roman"/>
          <w:noProof/>
          <w:lang w:val="en-GB"/>
        </w:rPr>
        <w:t>GAEC 1 (</w:t>
      </w:r>
      <w:r w:rsidR="007149F9" w:rsidRPr="00FF77A3">
        <w:rPr>
          <w:rFonts w:eastAsia="Times New Roman" w:cs="Times New Roman"/>
          <w:noProof/>
          <w:lang w:val="en-GB"/>
        </w:rPr>
        <w:t>19 February 2024)</w:t>
      </w:r>
      <w:r w:rsidR="00CB512E" w:rsidRPr="00FF77A3">
        <w:rPr>
          <w:rFonts w:eastAsia="Times New Roman" w:cs="Times New Roman"/>
          <w:noProof/>
          <w:lang w:val="en-GB"/>
        </w:rPr>
        <w:t>;</w:t>
      </w:r>
      <w:r w:rsidR="00F05C4E" w:rsidRPr="00FF77A3">
        <w:rPr>
          <w:rFonts w:eastAsia="Times New Roman" w:cs="Times New Roman"/>
          <w:noProof/>
          <w:lang w:val="en-GB"/>
        </w:rPr>
        <w:t xml:space="preserve"> </w:t>
      </w:r>
      <w:r w:rsidR="00CB512E" w:rsidRPr="00FF77A3">
        <w:rPr>
          <w:rFonts w:eastAsia="Times New Roman" w:cs="Times New Roman"/>
          <w:noProof/>
          <w:lang w:val="en-GB"/>
        </w:rPr>
        <w:t>(ii)</w:t>
      </w:r>
      <w:r w:rsidR="00FA403D" w:rsidRPr="00FF77A3">
        <w:rPr>
          <w:rFonts w:eastAsia="Times New Roman" w:cs="Times New Roman"/>
          <w:noProof/>
          <w:lang w:val="en-GB"/>
        </w:rPr>
        <w:t xml:space="preserve"> </w:t>
      </w:r>
      <w:r w:rsidR="007149F9" w:rsidRPr="00FF77A3">
        <w:rPr>
          <w:rFonts w:eastAsia="Times New Roman" w:cs="Times New Roman"/>
          <w:noProof/>
          <w:lang w:val="en-GB"/>
        </w:rPr>
        <w:t xml:space="preserve">the </w:t>
      </w:r>
      <w:r w:rsidR="3447D72D" w:rsidRPr="00FF77A3">
        <w:rPr>
          <w:rFonts w:eastAsia="Times New Roman" w:cs="Times New Roman"/>
          <w:noProof/>
          <w:lang w:val="en-GB"/>
        </w:rPr>
        <w:t xml:space="preserve">revised </w:t>
      </w:r>
      <w:r w:rsidR="00E93BB7" w:rsidRPr="00FF77A3">
        <w:rPr>
          <w:rFonts w:eastAsia="Times New Roman" w:cs="Times New Roman"/>
          <w:noProof/>
          <w:color w:val="000000" w:themeColor="text1"/>
          <w:lang w:val="en-GB"/>
        </w:rPr>
        <w:t>IACS</w:t>
      </w:r>
      <w:r w:rsidR="001712E1" w:rsidRPr="00FF77A3">
        <w:rPr>
          <w:rFonts w:eastAsia="Times New Roman" w:cs="Times New Roman"/>
          <w:noProof/>
          <w:color w:val="000000" w:themeColor="text1"/>
          <w:lang w:val="en-GB"/>
        </w:rPr>
        <w:t xml:space="preserve"> </w:t>
      </w:r>
      <w:r w:rsidR="3447D72D" w:rsidRPr="00FF77A3">
        <w:rPr>
          <w:rFonts w:eastAsia="Times New Roman" w:cs="Times New Roman"/>
          <w:noProof/>
          <w:lang w:val="en-GB"/>
        </w:rPr>
        <w:t>quality assessment methodology (18 March 2024)</w:t>
      </w:r>
      <w:r w:rsidR="00CB512E" w:rsidRPr="00FF77A3">
        <w:rPr>
          <w:rFonts w:eastAsia="Times New Roman" w:cs="Times New Roman"/>
          <w:noProof/>
          <w:lang w:val="en-GB"/>
        </w:rPr>
        <w:t>; (iii</w:t>
      </w:r>
      <w:r w:rsidR="3447D72D" w:rsidRPr="00FF77A3">
        <w:rPr>
          <w:rFonts w:eastAsia="Times New Roman" w:cs="Times New Roman"/>
          <w:noProof/>
          <w:lang w:val="en-GB"/>
        </w:rPr>
        <w:t xml:space="preserve">) </w:t>
      </w:r>
      <w:r w:rsidR="007149F9" w:rsidRPr="00FF77A3">
        <w:rPr>
          <w:rFonts w:eastAsia="Times New Roman" w:cs="Times New Roman"/>
          <w:noProof/>
          <w:lang w:val="en-GB"/>
        </w:rPr>
        <w:t xml:space="preserve">the </w:t>
      </w:r>
      <w:r w:rsidR="57DEF996" w:rsidRPr="00FF77A3">
        <w:rPr>
          <w:rFonts w:eastAsia="Times New Roman" w:cs="Times New Roman"/>
          <w:noProof/>
          <w:lang w:val="en-GB"/>
        </w:rPr>
        <w:t xml:space="preserve">clarifications on </w:t>
      </w:r>
      <w:r w:rsidR="007149F9" w:rsidRPr="00FF77A3">
        <w:rPr>
          <w:rFonts w:eastAsia="Times New Roman" w:cs="Times New Roman"/>
          <w:i/>
          <w:noProof/>
          <w:lang w:val="en-GB"/>
        </w:rPr>
        <w:t>force majeure</w:t>
      </w:r>
      <w:r w:rsidR="007149F9" w:rsidRPr="00FF77A3">
        <w:rPr>
          <w:rFonts w:eastAsia="Times New Roman" w:cs="Times New Roman"/>
          <w:noProof/>
          <w:lang w:val="en-GB"/>
        </w:rPr>
        <w:t xml:space="preserve"> (</w:t>
      </w:r>
      <w:r w:rsidR="00684FFA" w:rsidRPr="00FF77A3">
        <w:rPr>
          <w:rFonts w:eastAsia="Times New Roman" w:cs="Times New Roman"/>
          <w:noProof/>
          <w:lang w:val="en-GB"/>
        </w:rPr>
        <w:t>9</w:t>
      </w:r>
      <w:r w:rsidR="007149F9" w:rsidRPr="00FF77A3">
        <w:rPr>
          <w:rFonts w:eastAsia="Times New Roman" w:cs="Times New Roman"/>
          <w:noProof/>
          <w:lang w:val="en-GB"/>
        </w:rPr>
        <w:t xml:space="preserve"> April 2024)</w:t>
      </w:r>
      <w:r w:rsidR="00CB512E" w:rsidRPr="00FF77A3">
        <w:rPr>
          <w:rFonts w:eastAsia="Times New Roman" w:cs="Times New Roman"/>
          <w:noProof/>
          <w:lang w:val="en-GB"/>
        </w:rPr>
        <w:t xml:space="preserve">; (iv) </w:t>
      </w:r>
      <w:r w:rsidR="5C5E70F8" w:rsidRPr="00FF77A3">
        <w:rPr>
          <w:rFonts w:eastAsia="Times New Roman" w:cs="Times New Roman"/>
          <w:noProof/>
          <w:lang w:val="en-GB"/>
        </w:rPr>
        <w:t xml:space="preserve">the </w:t>
      </w:r>
      <w:r w:rsidR="5F4A2A5F" w:rsidRPr="00FF77A3">
        <w:rPr>
          <w:rFonts w:eastAsia="Times New Roman" w:cs="Times New Roman"/>
          <w:noProof/>
          <w:lang w:val="en-GB"/>
        </w:rPr>
        <w:t>simplif</w:t>
      </w:r>
      <w:r w:rsidR="0055194E" w:rsidRPr="00FF77A3">
        <w:rPr>
          <w:rFonts w:eastAsia="Times New Roman" w:cs="Times New Roman"/>
          <w:noProof/>
          <w:lang w:val="en-GB"/>
        </w:rPr>
        <w:t>i</w:t>
      </w:r>
      <w:r w:rsidR="5F4A2A5F" w:rsidRPr="00FF77A3">
        <w:rPr>
          <w:rFonts w:eastAsia="Times New Roman" w:cs="Times New Roman"/>
          <w:noProof/>
          <w:lang w:val="en-GB"/>
        </w:rPr>
        <w:t>c</w:t>
      </w:r>
      <w:r w:rsidR="0055194E" w:rsidRPr="00FF77A3">
        <w:rPr>
          <w:rFonts w:eastAsia="Times New Roman" w:cs="Times New Roman"/>
          <w:noProof/>
          <w:lang w:val="en-GB"/>
        </w:rPr>
        <w:t>a</w:t>
      </w:r>
      <w:r w:rsidR="5F4A2A5F" w:rsidRPr="00FF77A3">
        <w:rPr>
          <w:rFonts w:eastAsia="Times New Roman" w:cs="Times New Roman"/>
          <w:noProof/>
          <w:lang w:val="en-GB"/>
        </w:rPr>
        <w:t>tion of</w:t>
      </w:r>
      <w:r w:rsidR="15FF3BD9" w:rsidRPr="00FF77A3">
        <w:rPr>
          <w:rFonts w:eastAsia="Times New Roman" w:cs="Times New Roman"/>
          <w:noProof/>
          <w:lang w:val="en-GB"/>
        </w:rPr>
        <w:t xml:space="preserve"> the </w:t>
      </w:r>
      <w:r w:rsidR="00340264" w:rsidRPr="00FF77A3">
        <w:rPr>
          <w:rFonts w:eastAsia="Times New Roman" w:cs="Times New Roman"/>
          <w:noProof/>
          <w:lang w:val="en-GB"/>
        </w:rPr>
        <w:t xml:space="preserve">process to amend </w:t>
      </w:r>
      <w:r w:rsidR="00523AA0" w:rsidRPr="00FF77A3">
        <w:rPr>
          <w:rFonts w:eastAsia="Times New Roman" w:cs="Times New Roman"/>
          <w:noProof/>
          <w:lang w:val="en-GB"/>
        </w:rPr>
        <w:t>CAP Plans</w:t>
      </w:r>
      <w:r w:rsidR="00CB512E" w:rsidRPr="00FF77A3">
        <w:rPr>
          <w:rFonts w:eastAsia="Times New Roman" w:cs="Times New Roman"/>
          <w:noProof/>
          <w:lang w:val="en-GB"/>
        </w:rPr>
        <w:t xml:space="preserve"> </w:t>
      </w:r>
      <w:r w:rsidR="00267B59">
        <w:rPr>
          <w:noProof/>
        </w:rPr>
        <w:br/>
      </w:r>
      <w:r w:rsidR="15FF3BD9" w:rsidRPr="00FF77A3">
        <w:rPr>
          <w:rFonts w:eastAsia="Times New Roman" w:cs="Times New Roman"/>
          <w:noProof/>
          <w:lang w:val="en-GB"/>
        </w:rPr>
        <w:t>(9 April 2024); (v)</w:t>
      </w:r>
      <w:r w:rsidR="00CB512E" w:rsidRPr="00FF77A3">
        <w:rPr>
          <w:rFonts w:eastAsia="Times New Roman" w:cs="Times New Roman"/>
          <w:noProof/>
          <w:lang w:val="en-GB"/>
        </w:rPr>
        <w:t xml:space="preserve"> </w:t>
      </w:r>
      <w:r w:rsidR="00AF18D2" w:rsidRPr="00FF77A3">
        <w:rPr>
          <w:rFonts w:eastAsia="Times New Roman" w:cs="Times New Roman"/>
          <w:noProof/>
          <w:lang w:val="en-GB"/>
        </w:rPr>
        <w:t>w</w:t>
      </w:r>
      <w:r w:rsidR="006A1BB9" w:rsidRPr="00FF77A3">
        <w:rPr>
          <w:rFonts w:eastAsia="Times New Roman" w:cs="Times New Roman"/>
          <w:noProof/>
          <w:lang w:val="en-GB"/>
        </w:rPr>
        <w:t>orkshop on control rationalisation (26 April 2024)</w:t>
      </w:r>
      <w:r w:rsidR="00E73E82" w:rsidRPr="00FF77A3">
        <w:rPr>
          <w:rFonts w:eastAsia="Times New Roman" w:cs="Times New Roman"/>
          <w:noProof/>
          <w:lang w:val="en-GB"/>
        </w:rPr>
        <w:t xml:space="preserve">; </w:t>
      </w:r>
      <w:r w:rsidR="006F1266" w:rsidRPr="00FF77A3">
        <w:rPr>
          <w:rFonts w:eastAsia="Times New Roman" w:cs="Times New Roman"/>
          <w:noProof/>
          <w:lang w:val="en-GB"/>
        </w:rPr>
        <w:t xml:space="preserve">(vi) </w:t>
      </w:r>
      <w:r w:rsidR="00603E9F" w:rsidRPr="00FF77A3">
        <w:rPr>
          <w:rFonts w:eastAsia="Times New Roman" w:cs="Times New Roman"/>
          <w:noProof/>
          <w:lang w:val="en-GB"/>
        </w:rPr>
        <w:t xml:space="preserve">the </w:t>
      </w:r>
      <w:r w:rsidR="006F1266" w:rsidRPr="00FF77A3">
        <w:rPr>
          <w:rFonts w:eastAsia="Times New Roman" w:cs="Times New Roman"/>
          <w:noProof/>
          <w:lang w:val="en-GB"/>
        </w:rPr>
        <w:t xml:space="preserve">clarification note </w:t>
      </w:r>
      <w:r w:rsidR="001742DE" w:rsidRPr="00FF77A3">
        <w:rPr>
          <w:rFonts w:eastAsia="Times New Roman" w:cs="Times New Roman"/>
          <w:noProof/>
          <w:lang w:val="en-GB"/>
        </w:rPr>
        <w:t xml:space="preserve">on the use of </w:t>
      </w:r>
      <w:r w:rsidR="0093411D" w:rsidRPr="00FF77A3">
        <w:rPr>
          <w:rFonts w:eastAsia="Times New Roman" w:cs="Times New Roman"/>
          <w:noProof/>
          <w:lang w:val="en-GB"/>
        </w:rPr>
        <w:t>geotagged</w:t>
      </w:r>
      <w:r w:rsidR="001742DE" w:rsidRPr="00FF77A3">
        <w:rPr>
          <w:rFonts w:eastAsia="Times New Roman" w:cs="Times New Roman"/>
          <w:noProof/>
          <w:lang w:val="en-GB"/>
        </w:rPr>
        <w:t xml:space="preserve"> photos (15 May 2024); </w:t>
      </w:r>
      <w:r w:rsidR="00E73E82" w:rsidRPr="00FF77A3">
        <w:rPr>
          <w:rFonts w:eastAsia="Times New Roman" w:cs="Times New Roman"/>
          <w:noProof/>
          <w:lang w:val="en-GB"/>
        </w:rPr>
        <w:t>(v</w:t>
      </w:r>
      <w:r w:rsidR="006F1266" w:rsidRPr="00FF77A3">
        <w:rPr>
          <w:rFonts w:eastAsia="Times New Roman" w:cs="Times New Roman"/>
          <w:noProof/>
          <w:lang w:val="en-GB"/>
        </w:rPr>
        <w:t>i</w:t>
      </w:r>
      <w:r w:rsidR="00E73E82" w:rsidRPr="00FF77A3">
        <w:rPr>
          <w:rFonts w:eastAsia="Times New Roman" w:cs="Times New Roman"/>
          <w:noProof/>
          <w:lang w:val="en-GB"/>
        </w:rPr>
        <w:t xml:space="preserve">i) </w:t>
      </w:r>
      <w:r w:rsidR="00603E9F" w:rsidRPr="00FF77A3">
        <w:rPr>
          <w:rFonts w:eastAsia="Times New Roman" w:cs="Times New Roman"/>
          <w:noProof/>
          <w:lang w:val="en-GB"/>
        </w:rPr>
        <w:t xml:space="preserve">the </w:t>
      </w:r>
      <w:r w:rsidR="0059270C" w:rsidRPr="00FF77A3">
        <w:rPr>
          <w:rFonts w:eastAsia="Times New Roman" w:cs="Times New Roman"/>
          <w:noProof/>
          <w:lang w:val="en-GB"/>
        </w:rPr>
        <w:t>revi</w:t>
      </w:r>
      <w:r w:rsidR="001742DE" w:rsidRPr="00FF77A3">
        <w:rPr>
          <w:rFonts w:eastAsia="Times New Roman" w:cs="Times New Roman"/>
          <w:noProof/>
          <w:lang w:val="en-GB"/>
        </w:rPr>
        <w:t>sion</w:t>
      </w:r>
      <w:r w:rsidR="0059270C" w:rsidRPr="00FF77A3">
        <w:rPr>
          <w:rFonts w:eastAsia="Times New Roman" w:cs="Times New Roman"/>
          <w:noProof/>
          <w:lang w:val="en-GB"/>
        </w:rPr>
        <w:t xml:space="preserve"> of the requirement linked to </w:t>
      </w:r>
      <w:r w:rsidR="0093411D" w:rsidRPr="00FF77A3">
        <w:rPr>
          <w:rFonts w:eastAsia="Times New Roman" w:cs="Times New Roman"/>
          <w:noProof/>
          <w:lang w:val="en-GB"/>
        </w:rPr>
        <w:t>geotagged</w:t>
      </w:r>
      <w:r w:rsidR="0059270C" w:rsidRPr="00FF77A3">
        <w:rPr>
          <w:rFonts w:eastAsia="Times New Roman" w:cs="Times New Roman"/>
          <w:noProof/>
          <w:lang w:val="en-GB"/>
        </w:rPr>
        <w:t xml:space="preserve"> photos </w:t>
      </w:r>
      <w:r w:rsidR="00677683" w:rsidRPr="00FF77A3">
        <w:rPr>
          <w:rFonts w:eastAsia="Times New Roman" w:cs="Times New Roman"/>
          <w:noProof/>
          <w:lang w:val="en-GB"/>
        </w:rPr>
        <w:t>(5</w:t>
      </w:r>
      <w:r w:rsidR="410BC1FC" w:rsidRPr="00FF77A3">
        <w:rPr>
          <w:rFonts w:eastAsia="Times New Roman" w:cs="Times New Roman"/>
          <w:noProof/>
          <w:lang w:val="en-GB"/>
        </w:rPr>
        <w:t xml:space="preserve"> </w:t>
      </w:r>
      <w:r w:rsidR="00677683" w:rsidRPr="00FF77A3">
        <w:rPr>
          <w:rFonts w:eastAsia="Times New Roman" w:cs="Times New Roman"/>
          <w:noProof/>
          <w:lang w:val="en-GB"/>
        </w:rPr>
        <w:t>June 2024</w:t>
      </w:r>
      <w:r w:rsidR="00157FB6" w:rsidRPr="00FF77A3">
        <w:rPr>
          <w:rFonts w:eastAsia="Times New Roman" w:cs="Times New Roman"/>
          <w:noProof/>
          <w:lang w:val="en-GB"/>
        </w:rPr>
        <w:t>, 11 July 2024</w:t>
      </w:r>
      <w:r w:rsidR="00677683" w:rsidRPr="00FF77A3">
        <w:rPr>
          <w:rFonts w:eastAsia="Times New Roman" w:cs="Times New Roman"/>
          <w:noProof/>
          <w:lang w:val="en-GB"/>
        </w:rPr>
        <w:t>)</w:t>
      </w:r>
      <w:r w:rsidR="00157FB6" w:rsidRPr="00FF77A3">
        <w:rPr>
          <w:rFonts w:eastAsia="Times New Roman" w:cs="Times New Roman"/>
          <w:noProof/>
          <w:lang w:val="en-GB"/>
        </w:rPr>
        <w:t xml:space="preserve">; </w:t>
      </w:r>
      <w:r w:rsidR="00E602E4" w:rsidRPr="00FF77A3">
        <w:rPr>
          <w:rFonts w:eastAsia="Times New Roman" w:cs="Times New Roman"/>
          <w:noProof/>
          <w:lang w:val="en-GB"/>
        </w:rPr>
        <w:t xml:space="preserve">(viii) </w:t>
      </w:r>
      <w:r w:rsidR="00B61812" w:rsidRPr="00FF77A3">
        <w:rPr>
          <w:rFonts w:eastAsia="Times New Roman" w:cs="Times New Roman"/>
          <w:noProof/>
          <w:lang w:val="en-GB"/>
        </w:rPr>
        <w:t>the content of the CAP Plans and the provision of information for monitoring and evaluation (</w:t>
      </w:r>
      <w:r w:rsidR="00A73C71" w:rsidRPr="00FF77A3">
        <w:rPr>
          <w:rFonts w:eastAsia="Times New Roman" w:cs="Times New Roman"/>
          <w:noProof/>
          <w:lang w:val="en-GB"/>
        </w:rPr>
        <w:t xml:space="preserve">5 and </w:t>
      </w:r>
      <w:r w:rsidR="00B61812" w:rsidRPr="00FF77A3">
        <w:rPr>
          <w:rFonts w:eastAsia="Times New Roman" w:cs="Times New Roman"/>
          <w:noProof/>
          <w:lang w:val="en-GB"/>
        </w:rPr>
        <w:t xml:space="preserve">28 June 2024); (ix) </w:t>
      </w:r>
      <w:r w:rsidR="00E602E4" w:rsidRPr="00FF77A3">
        <w:rPr>
          <w:rFonts w:eastAsia="Times New Roman" w:cs="Times New Roman"/>
          <w:noProof/>
          <w:lang w:val="en-GB"/>
        </w:rPr>
        <w:t>control statistics and control data on cross-compliance (</w:t>
      </w:r>
      <w:r w:rsidR="005133AB" w:rsidRPr="00FF77A3">
        <w:rPr>
          <w:rFonts w:eastAsia="Times New Roman" w:cs="Times New Roman"/>
          <w:noProof/>
          <w:lang w:val="en-GB"/>
        </w:rPr>
        <w:t xml:space="preserve">28 June 2024, </w:t>
      </w:r>
      <w:r w:rsidR="00E602E4" w:rsidRPr="00FF77A3">
        <w:rPr>
          <w:rFonts w:eastAsia="Times New Roman" w:cs="Times New Roman"/>
          <w:noProof/>
          <w:lang w:val="en-GB"/>
        </w:rPr>
        <w:t>11 July 2024)</w:t>
      </w:r>
      <w:r w:rsidR="00E65999" w:rsidRPr="00FF77A3">
        <w:rPr>
          <w:rFonts w:eastAsia="Times New Roman" w:cs="Times New Roman"/>
          <w:noProof/>
          <w:lang w:val="en-GB"/>
        </w:rPr>
        <w:t>.</w:t>
      </w:r>
    </w:p>
    <w:p w14:paraId="45DB7BE4" w14:textId="50C5375A" w:rsidR="00965D52" w:rsidRPr="002874FC" w:rsidRDefault="00A72546">
      <w:pPr>
        <w:spacing w:after="120"/>
        <w:jc w:val="both"/>
        <w:rPr>
          <w:rFonts w:eastAsia="Times New Roman" w:cs="Times New Roman"/>
          <w:noProof/>
          <w:szCs w:val="24"/>
          <w:lang w:val="en-GB"/>
        </w:rPr>
      </w:pPr>
      <w:r w:rsidRPr="002874FC">
        <w:rPr>
          <w:rFonts w:eastAsia="Times New Roman" w:cs="Times New Roman"/>
          <w:noProof/>
          <w:szCs w:val="24"/>
          <w:lang w:val="en-GB"/>
        </w:rPr>
        <w:t>Th</w:t>
      </w:r>
      <w:r w:rsidR="00684FFA" w:rsidRPr="002874FC">
        <w:rPr>
          <w:rFonts w:eastAsia="Times New Roman" w:cs="Times New Roman"/>
          <w:noProof/>
          <w:szCs w:val="24"/>
          <w:lang w:val="en-GB"/>
        </w:rPr>
        <w:t>ese activities</w:t>
      </w:r>
      <w:r w:rsidRPr="002874FC">
        <w:rPr>
          <w:rFonts w:eastAsia="Times New Roman" w:cs="Times New Roman"/>
          <w:noProof/>
          <w:szCs w:val="24"/>
          <w:lang w:val="en-GB"/>
        </w:rPr>
        <w:t xml:space="preserve"> </w:t>
      </w:r>
      <w:r w:rsidR="003A4FB3" w:rsidRPr="002874FC">
        <w:rPr>
          <w:rFonts w:eastAsia="Times New Roman" w:cs="Times New Roman"/>
          <w:noProof/>
          <w:szCs w:val="24"/>
          <w:lang w:val="en-GB"/>
        </w:rPr>
        <w:t>gave the Commission the opportunity to present the</w:t>
      </w:r>
      <w:r w:rsidRPr="002874FC">
        <w:rPr>
          <w:rFonts w:eastAsia="Times New Roman" w:cs="Times New Roman"/>
          <w:noProof/>
          <w:szCs w:val="24"/>
          <w:lang w:val="en-GB"/>
        </w:rPr>
        <w:t xml:space="preserve"> context</w:t>
      </w:r>
      <w:r w:rsidR="00111237" w:rsidRPr="0049665B">
        <w:rPr>
          <w:rFonts w:eastAsia="Times New Roman" w:cs="Times New Roman"/>
          <w:noProof/>
          <w:szCs w:val="24"/>
          <w:lang w:val="en-GB"/>
        </w:rPr>
        <w:t xml:space="preserve"> of its propos</w:t>
      </w:r>
      <w:r w:rsidR="00B924DF">
        <w:rPr>
          <w:rFonts w:eastAsia="Times New Roman" w:cs="Times New Roman"/>
          <w:noProof/>
          <w:szCs w:val="24"/>
          <w:lang w:val="en-GB"/>
        </w:rPr>
        <w:t>ed measures</w:t>
      </w:r>
      <w:r w:rsidR="00590C03" w:rsidRPr="002874FC">
        <w:rPr>
          <w:rFonts w:eastAsia="Times New Roman" w:cs="Times New Roman"/>
          <w:noProof/>
          <w:szCs w:val="24"/>
          <w:lang w:val="en-GB"/>
        </w:rPr>
        <w:t xml:space="preserve">, </w:t>
      </w:r>
      <w:r w:rsidR="00111237" w:rsidRPr="0049665B">
        <w:rPr>
          <w:rFonts w:eastAsia="Times New Roman" w:cs="Times New Roman"/>
          <w:noProof/>
          <w:szCs w:val="24"/>
          <w:lang w:val="en-GB"/>
        </w:rPr>
        <w:t>to explain the reasons</w:t>
      </w:r>
      <w:r w:rsidRPr="002874FC">
        <w:rPr>
          <w:rFonts w:eastAsia="Times New Roman" w:cs="Times New Roman"/>
          <w:noProof/>
          <w:szCs w:val="24"/>
          <w:lang w:val="en-GB"/>
        </w:rPr>
        <w:t xml:space="preserve"> </w:t>
      </w:r>
      <w:r w:rsidR="003A4FB3" w:rsidRPr="002874FC">
        <w:rPr>
          <w:rFonts w:eastAsia="Times New Roman" w:cs="Times New Roman"/>
          <w:noProof/>
          <w:szCs w:val="24"/>
          <w:lang w:val="en-GB"/>
        </w:rPr>
        <w:t xml:space="preserve">for </w:t>
      </w:r>
      <w:r w:rsidRPr="002874FC">
        <w:rPr>
          <w:rFonts w:eastAsia="Times New Roman" w:cs="Times New Roman"/>
          <w:noProof/>
          <w:szCs w:val="24"/>
          <w:lang w:val="en-GB"/>
        </w:rPr>
        <w:t>the relevant modifications or clarifications</w:t>
      </w:r>
      <w:r w:rsidR="00111237" w:rsidRPr="0049665B">
        <w:rPr>
          <w:rFonts w:eastAsia="Times New Roman" w:cs="Times New Roman"/>
          <w:noProof/>
          <w:szCs w:val="24"/>
          <w:lang w:val="en-GB"/>
        </w:rPr>
        <w:t>,</w:t>
      </w:r>
      <w:r w:rsidR="00590C03" w:rsidRPr="002874FC">
        <w:rPr>
          <w:rFonts w:eastAsia="Times New Roman" w:cs="Times New Roman"/>
          <w:noProof/>
          <w:szCs w:val="24"/>
          <w:lang w:val="en-GB"/>
        </w:rPr>
        <w:t xml:space="preserve"> and </w:t>
      </w:r>
      <w:r w:rsidR="00111237" w:rsidRPr="0049665B">
        <w:rPr>
          <w:rFonts w:eastAsia="Times New Roman" w:cs="Times New Roman"/>
          <w:noProof/>
          <w:szCs w:val="24"/>
          <w:lang w:val="en-GB"/>
        </w:rPr>
        <w:t xml:space="preserve">to </w:t>
      </w:r>
      <w:r w:rsidR="00590C03" w:rsidRPr="002874FC">
        <w:rPr>
          <w:rFonts w:eastAsia="Times New Roman" w:cs="Times New Roman"/>
          <w:noProof/>
          <w:szCs w:val="24"/>
          <w:lang w:val="en-GB"/>
        </w:rPr>
        <w:t>excha</w:t>
      </w:r>
      <w:r w:rsidR="53DF6473" w:rsidRPr="002874FC">
        <w:rPr>
          <w:rFonts w:eastAsia="Times New Roman" w:cs="Times New Roman"/>
          <w:noProof/>
          <w:szCs w:val="24"/>
          <w:lang w:val="en-GB"/>
        </w:rPr>
        <w:t>n</w:t>
      </w:r>
      <w:r w:rsidR="00590C03" w:rsidRPr="002874FC">
        <w:rPr>
          <w:rFonts w:eastAsia="Times New Roman" w:cs="Times New Roman"/>
          <w:noProof/>
          <w:szCs w:val="24"/>
          <w:lang w:val="en-GB"/>
        </w:rPr>
        <w:t>ge</w:t>
      </w:r>
      <w:r w:rsidR="00285E02" w:rsidRPr="002874FC">
        <w:rPr>
          <w:rFonts w:eastAsia="Times New Roman" w:cs="Times New Roman"/>
          <w:noProof/>
          <w:szCs w:val="24"/>
          <w:lang w:val="en-GB"/>
        </w:rPr>
        <w:t xml:space="preserve"> views with experts and to refine the measures where necessary</w:t>
      </w:r>
      <w:r w:rsidR="00590C03" w:rsidRPr="002874FC">
        <w:rPr>
          <w:rFonts w:eastAsia="Times New Roman" w:cs="Times New Roman"/>
          <w:noProof/>
          <w:szCs w:val="24"/>
          <w:lang w:val="en-GB"/>
        </w:rPr>
        <w:t>.</w:t>
      </w:r>
    </w:p>
    <w:p w14:paraId="2E4D8F2D" w14:textId="3CB45979" w:rsidR="00F631B4" w:rsidRPr="00724676" w:rsidRDefault="007573F3" w:rsidP="0049665B">
      <w:pPr>
        <w:pStyle w:val="Heading2"/>
        <w:spacing w:before="240" w:after="240"/>
        <w:rPr>
          <w:noProof/>
          <w:lang w:val="en-GB"/>
        </w:rPr>
      </w:pPr>
      <w:bookmarkStart w:id="28" w:name="_Toc172125120"/>
      <w:r w:rsidRPr="002874FC">
        <w:rPr>
          <w:noProof/>
          <w:lang w:val="en-GB"/>
        </w:rPr>
        <w:t>3</w:t>
      </w:r>
      <w:r w:rsidR="00FC1285" w:rsidRPr="002874FC">
        <w:rPr>
          <w:noProof/>
          <w:lang w:val="en-GB"/>
        </w:rPr>
        <w:t>.</w:t>
      </w:r>
      <w:r w:rsidR="00F631B4" w:rsidRPr="002874FC">
        <w:rPr>
          <w:noProof/>
          <w:lang w:val="en-GB"/>
        </w:rPr>
        <w:t>3</w:t>
      </w:r>
      <w:r w:rsidR="00FC1285" w:rsidRPr="002874FC">
        <w:rPr>
          <w:noProof/>
          <w:lang w:val="en-GB"/>
        </w:rPr>
        <w:t>.</w:t>
      </w:r>
      <w:r w:rsidR="002F4A38" w:rsidRPr="002874FC">
        <w:rPr>
          <w:noProof/>
          <w:lang w:val="en-GB"/>
        </w:rPr>
        <w:t xml:space="preserve"> </w:t>
      </w:r>
      <w:r w:rsidR="00F631B4" w:rsidRPr="002874FC">
        <w:rPr>
          <w:noProof/>
          <w:lang w:val="en-GB"/>
        </w:rPr>
        <w:t>Gatherin</w:t>
      </w:r>
      <w:r w:rsidR="008F4AAE" w:rsidRPr="002874FC">
        <w:rPr>
          <w:noProof/>
          <w:lang w:val="en-GB"/>
        </w:rPr>
        <w:t>g</w:t>
      </w:r>
      <w:r w:rsidR="00F631B4" w:rsidRPr="002874FC">
        <w:rPr>
          <w:noProof/>
          <w:lang w:val="en-GB"/>
        </w:rPr>
        <w:t xml:space="preserve"> </w:t>
      </w:r>
      <w:r w:rsidR="008F4AAE" w:rsidRPr="002874FC">
        <w:rPr>
          <w:noProof/>
          <w:lang w:val="en-GB"/>
        </w:rPr>
        <w:t xml:space="preserve">further </w:t>
      </w:r>
      <w:r w:rsidR="00F631B4" w:rsidRPr="002874FC">
        <w:rPr>
          <w:noProof/>
          <w:lang w:val="en-GB"/>
        </w:rPr>
        <w:t>evidence</w:t>
      </w:r>
      <w:bookmarkEnd w:id="28"/>
    </w:p>
    <w:p w14:paraId="3CC81493" w14:textId="3362808B" w:rsidR="00496C85" w:rsidRPr="00724676" w:rsidRDefault="00AE6FAE">
      <w:pPr>
        <w:spacing w:after="120"/>
        <w:jc w:val="both"/>
        <w:rPr>
          <w:rFonts w:cs="Times New Roman"/>
          <w:noProof/>
          <w:lang w:val="en-GB"/>
        </w:rPr>
      </w:pPr>
      <w:r w:rsidRPr="00724676">
        <w:rPr>
          <w:rFonts w:cs="Times New Roman"/>
          <w:noProof/>
          <w:szCs w:val="24"/>
          <w:lang w:val="en-GB"/>
        </w:rPr>
        <w:t>T</w:t>
      </w:r>
      <w:r w:rsidR="00496C85" w:rsidRPr="00724676">
        <w:rPr>
          <w:rFonts w:cs="Times New Roman"/>
          <w:noProof/>
          <w:szCs w:val="24"/>
          <w:lang w:val="en-GB"/>
        </w:rPr>
        <w:t xml:space="preserve">he </w:t>
      </w:r>
      <w:r w:rsidR="003761F4" w:rsidRPr="00724676">
        <w:rPr>
          <w:rFonts w:cs="Times New Roman"/>
          <w:noProof/>
          <w:szCs w:val="24"/>
          <w:lang w:val="en-GB"/>
        </w:rPr>
        <w:t>simplification package</w:t>
      </w:r>
      <w:r w:rsidR="00496C85" w:rsidRPr="00724676">
        <w:rPr>
          <w:rFonts w:cs="Times New Roman"/>
          <w:noProof/>
          <w:szCs w:val="24"/>
          <w:lang w:val="en-GB"/>
        </w:rPr>
        <w:t xml:space="preserve"> </w:t>
      </w:r>
      <w:r w:rsidR="00BC3D53" w:rsidRPr="00724676">
        <w:rPr>
          <w:rFonts w:cs="Times New Roman"/>
          <w:noProof/>
          <w:szCs w:val="24"/>
          <w:lang w:val="en-GB"/>
        </w:rPr>
        <w:t xml:space="preserve">announced </w:t>
      </w:r>
      <w:r w:rsidR="00475482" w:rsidRPr="00724676">
        <w:rPr>
          <w:rFonts w:cs="Times New Roman"/>
          <w:noProof/>
          <w:szCs w:val="24"/>
          <w:lang w:val="en-GB"/>
        </w:rPr>
        <w:t xml:space="preserve">two </w:t>
      </w:r>
      <w:r w:rsidR="005034CF" w:rsidRPr="00724676">
        <w:rPr>
          <w:rFonts w:cs="Times New Roman"/>
          <w:noProof/>
          <w:szCs w:val="24"/>
          <w:lang w:val="en-GB"/>
        </w:rPr>
        <w:t>studies</w:t>
      </w:r>
      <w:r w:rsidR="00BC3D53" w:rsidRPr="00724676">
        <w:rPr>
          <w:rFonts w:cs="Times New Roman"/>
          <w:noProof/>
          <w:szCs w:val="24"/>
          <w:lang w:val="en-GB"/>
        </w:rPr>
        <w:t xml:space="preserve">. </w:t>
      </w:r>
      <w:r w:rsidR="005034CF" w:rsidRPr="00724676">
        <w:rPr>
          <w:rFonts w:cs="Times New Roman"/>
          <w:noProof/>
          <w:szCs w:val="24"/>
          <w:lang w:val="en-GB"/>
        </w:rPr>
        <w:t>Both</w:t>
      </w:r>
      <w:r w:rsidR="00F114A8" w:rsidRPr="00724676">
        <w:rPr>
          <w:rFonts w:cs="Times New Roman"/>
          <w:noProof/>
          <w:szCs w:val="24"/>
          <w:lang w:val="en-GB"/>
        </w:rPr>
        <w:t xml:space="preserve"> </w:t>
      </w:r>
      <w:r w:rsidR="005034CF" w:rsidRPr="00724676">
        <w:rPr>
          <w:rFonts w:cs="Times New Roman"/>
          <w:noProof/>
          <w:szCs w:val="24"/>
          <w:lang w:val="en-GB"/>
        </w:rPr>
        <w:t xml:space="preserve">are </w:t>
      </w:r>
      <w:r w:rsidR="003A4FB3">
        <w:rPr>
          <w:rFonts w:cs="Times New Roman"/>
          <w:noProof/>
          <w:szCs w:val="24"/>
          <w:lang w:val="en-GB"/>
        </w:rPr>
        <w:t xml:space="preserve">being </w:t>
      </w:r>
      <w:r w:rsidR="005034CF" w:rsidRPr="00724676">
        <w:rPr>
          <w:rFonts w:cs="Times New Roman"/>
          <w:noProof/>
          <w:szCs w:val="24"/>
          <w:lang w:val="en-GB"/>
        </w:rPr>
        <w:t xml:space="preserve">carried out by </w:t>
      </w:r>
      <w:r w:rsidR="00D40A32" w:rsidRPr="00724676">
        <w:rPr>
          <w:rFonts w:cs="Times New Roman"/>
          <w:noProof/>
          <w:szCs w:val="24"/>
          <w:lang w:val="en-GB"/>
        </w:rPr>
        <w:t>c</w:t>
      </w:r>
      <w:r w:rsidR="00DD3F1B" w:rsidRPr="00724676">
        <w:rPr>
          <w:rFonts w:cs="Times New Roman"/>
          <w:noProof/>
          <w:szCs w:val="24"/>
          <w:lang w:val="en-GB"/>
        </w:rPr>
        <w:t>ontractors</w:t>
      </w:r>
      <w:r w:rsidR="003A4FB3">
        <w:rPr>
          <w:rFonts w:cs="Times New Roman"/>
          <w:noProof/>
          <w:szCs w:val="24"/>
          <w:lang w:val="en-GB"/>
        </w:rPr>
        <w:t xml:space="preserve"> engaged by the Commission, and are described below</w:t>
      </w:r>
      <w:r w:rsidR="00895F7A" w:rsidRPr="00724676">
        <w:rPr>
          <w:rFonts w:cs="Times New Roman"/>
          <w:noProof/>
          <w:szCs w:val="24"/>
          <w:lang w:val="en-GB"/>
        </w:rPr>
        <w:t>:</w:t>
      </w:r>
    </w:p>
    <w:p w14:paraId="7A9FED5B" w14:textId="0C6B4CCE" w:rsidR="00FC1285" w:rsidRPr="00724676" w:rsidRDefault="0063608D" w:rsidP="0049665B">
      <w:pPr>
        <w:pStyle w:val="NoSpacing"/>
        <w:spacing w:before="240" w:after="120" w:line="259" w:lineRule="auto"/>
        <w:rPr>
          <w:rFonts w:eastAsiaTheme="minorEastAsia" w:cs="Times New Roman"/>
          <w:b/>
          <w:noProof/>
          <w:lang w:val="en-GB"/>
        </w:rPr>
      </w:pPr>
      <w:bookmarkStart w:id="29" w:name="_Toc168422341"/>
      <w:bookmarkStart w:id="30" w:name="_Toc168422647"/>
      <w:r w:rsidRPr="00724676">
        <w:rPr>
          <w:rFonts w:cs="Times New Roman"/>
          <w:b/>
          <w:noProof/>
          <w:szCs w:val="24"/>
          <w:lang w:val="en-GB"/>
        </w:rPr>
        <w:t xml:space="preserve">Study on simplification </w:t>
      </w:r>
      <w:r w:rsidR="528E8F41" w:rsidRPr="00724676">
        <w:rPr>
          <w:rFonts w:cs="Times New Roman"/>
          <w:b/>
          <w:noProof/>
          <w:szCs w:val="24"/>
          <w:lang w:val="en-GB"/>
        </w:rPr>
        <w:t xml:space="preserve">and </w:t>
      </w:r>
      <w:r w:rsidR="003A4FB3">
        <w:rPr>
          <w:rFonts w:cs="Times New Roman"/>
          <w:b/>
          <w:noProof/>
          <w:szCs w:val="24"/>
          <w:lang w:val="en-GB"/>
        </w:rPr>
        <w:t xml:space="preserve">the </w:t>
      </w:r>
      <w:r w:rsidR="528E8F41" w:rsidRPr="00724676">
        <w:rPr>
          <w:rFonts w:cs="Times New Roman"/>
          <w:b/>
          <w:noProof/>
          <w:szCs w:val="24"/>
          <w:lang w:val="en-GB"/>
        </w:rPr>
        <w:t>administrative burden</w:t>
      </w:r>
      <w:r w:rsidR="004555D1" w:rsidRPr="00724676">
        <w:rPr>
          <w:rFonts w:cs="Times New Roman"/>
          <w:b/>
          <w:noProof/>
          <w:szCs w:val="24"/>
          <w:lang w:val="en-GB"/>
        </w:rPr>
        <w:t xml:space="preserve"> </w:t>
      </w:r>
      <w:r w:rsidR="528E8F41" w:rsidRPr="00724676">
        <w:rPr>
          <w:rFonts w:cs="Times New Roman"/>
          <w:b/>
          <w:noProof/>
          <w:szCs w:val="24"/>
          <w:lang w:val="en-GB"/>
        </w:rPr>
        <w:t>for farmers under the CAP</w:t>
      </w:r>
      <w:bookmarkEnd w:id="29"/>
      <w:bookmarkEnd w:id="30"/>
      <w:r w:rsidR="0063262D">
        <w:rPr>
          <w:rFonts w:cs="Times New Roman"/>
          <w:b/>
          <w:noProof/>
          <w:szCs w:val="24"/>
          <w:lang w:val="en-GB"/>
        </w:rPr>
        <w:t>.</w:t>
      </w:r>
    </w:p>
    <w:p w14:paraId="3073815D" w14:textId="17326C2D" w:rsidR="0029601C" w:rsidRPr="00724676" w:rsidRDefault="00B67441">
      <w:pPr>
        <w:spacing w:after="120"/>
        <w:jc w:val="both"/>
        <w:rPr>
          <w:rFonts w:cs="Times New Roman"/>
          <w:noProof/>
          <w:szCs w:val="24"/>
          <w:lang w:val="en-GB"/>
        </w:rPr>
      </w:pPr>
      <w:r w:rsidRPr="00724676">
        <w:rPr>
          <w:rFonts w:cs="Times New Roman"/>
          <w:noProof/>
          <w:szCs w:val="24"/>
          <w:lang w:val="en-GB"/>
        </w:rPr>
        <w:t>Th</w:t>
      </w:r>
      <w:r w:rsidR="00B43F1A">
        <w:rPr>
          <w:rFonts w:cs="Times New Roman"/>
          <w:noProof/>
          <w:szCs w:val="24"/>
          <w:lang w:val="en-GB"/>
        </w:rPr>
        <w:t>is</w:t>
      </w:r>
      <w:r w:rsidRPr="00724676">
        <w:rPr>
          <w:rFonts w:cs="Times New Roman"/>
          <w:noProof/>
          <w:szCs w:val="24"/>
          <w:lang w:val="en-GB"/>
        </w:rPr>
        <w:t xml:space="preserve"> study </w:t>
      </w:r>
      <w:r w:rsidR="00870BCE">
        <w:rPr>
          <w:rFonts w:cs="Times New Roman"/>
          <w:noProof/>
          <w:szCs w:val="24"/>
          <w:lang w:val="en-GB"/>
        </w:rPr>
        <w:t>is</w:t>
      </w:r>
      <w:r w:rsidR="00870BCE" w:rsidRPr="00724676">
        <w:rPr>
          <w:rFonts w:cs="Times New Roman"/>
          <w:noProof/>
          <w:szCs w:val="24"/>
          <w:lang w:val="en-GB"/>
        </w:rPr>
        <w:t xml:space="preserve"> </w:t>
      </w:r>
      <w:r w:rsidR="00B31E67" w:rsidRPr="00724676">
        <w:rPr>
          <w:rFonts w:cs="Times New Roman"/>
          <w:noProof/>
          <w:szCs w:val="24"/>
          <w:lang w:val="en-GB"/>
        </w:rPr>
        <w:t>examin</w:t>
      </w:r>
      <w:r w:rsidR="00870BCE">
        <w:rPr>
          <w:rFonts w:cs="Times New Roman"/>
          <w:noProof/>
          <w:szCs w:val="24"/>
          <w:lang w:val="en-GB"/>
        </w:rPr>
        <w:t>ing</w:t>
      </w:r>
      <w:r w:rsidR="000A28C5" w:rsidRPr="00724676">
        <w:rPr>
          <w:rFonts w:cs="Times New Roman"/>
          <w:noProof/>
          <w:szCs w:val="24"/>
          <w:lang w:val="en-GB"/>
        </w:rPr>
        <w:t xml:space="preserve"> the complexit</w:t>
      </w:r>
      <w:r w:rsidR="00870BCE">
        <w:rPr>
          <w:rFonts w:cs="Times New Roman"/>
          <w:noProof/>
          <w:szCs w:val="24"/>
          <w:lang w:val="en-GB"/>
        </w:rPr>
        <w:t>ies</w:t>
      </w:r>
      <w:r w:rsidR="000A28C5" w:rsidRPr="00724676">
        <w:rPr>
          <w:rFonts w:cs="Times New Roman"/>
          <w:noProof/>
          <w:szCs w:val="24"/>
          <w:lang w:val="en-GB"/>
        </w:rPr>
        <w:t xml:space="preserve"> </w:t>
      </w:r>
      <w:r w:rsidR="00B43F1A">
        <w:rPr>
          <w:rFonts w:cs="Times New Roman"/>
          <w:noProof/>
          <w:szCs w:val="24"/>
          <w:lang w:val="en-GB"/>
        </w:rPr>
        <w:t xml:space="preserve">that </w:t>
      </w:r>
      <w:r w:rsidR="000A28C5" w:rsidRPr="00724676">
        <w:rPr>
          <w:rFonts w:cs="Times New Roman"/>
          <w:noProof/>
          <w:szCs w:val="24"/>
          <w:lang w:val="en-GB"/>
        </w:rPr>
        <w:t>farmers</w:t>
      </w:r>
      <w:r w:rsidR="00B43F1A">
        <w:rPr>
          <w:rFonts w:cs="Times New Roman"/>
          <w:noProof/>
          <w:szCs w:val="24"/>
          <w:lang w:val="en-GB"/>
        </w:rPr>
        <w:t xml:space="preserve"> must deal </w:t>
      </w:r>
      <w:r w:rsidR="000A28C5" w:rsidRPr="00724676">
        <w:rPr>
          <w:rFonts w:cs="Times New Roman"/>
          <w:noProof/>
          <w:szCs w:val="24"/>
          <w:lang w:val="en-GB"/>
        </w:rPr>
        <w:t xml:space="preserve">with </w:t>
      </w:r>
      <w:r w:rsidR="00B43F1A">
        <w:rPr>
          <w:rFonts w:cs="Times New Roman"/>
          <w:noProof/>
          <w:szCs w:val="24"/>
          <w:lang w:val="en-GB"/>
        </w:rPr>
        <w:t>as regards</w:t>
      </w:r>
      <w:r w:rsidR="000A28C5" w:rsidRPr="00724676">
        <w:rPr>
          <w:rFonts w:cs="Times New Roman"/>
          <w:noProof/>
          <w:szCs w:val="24"/>
          <w:lang w:val="en-GB"/>
        </w:rPr>
        <w:t xml:space="preserve"> </w:t>
      </w:r>
      <w:r w:rsidR="00870BCE">
        <w:rPr>
          <w:rFonts w:cs="Times New Roman"/>
          <w:noProof/>
          <w:szCs w:val="24"/>
          <w:lang w:val="en-GB"/>
        </w:rPr>
        <w:t xml:space="preserve">funding </w:t>
      </w:r>
      <w:r w:rsidR="000A28C5" w:rsidRPr="00724676">
        <w:rPr>
          <w:rFonts w:cs="Times New Roman"/>
          <w:noProof/>
          <w:szCs w:val="24"/>
          <w:lang w:val="en-GB"/>
        </w:rPr>
        <w:t>application</w:t>
      </w:r>
      <w:r w:rsidR="00870BCE">
        <w:rPr>
          <w:rFonts w:cs="Times New Roman"/>
          <w:noProof/>
          <w:szCs w:val="24"/>
          <w:lang w:val="en-GB"/>
        </w:rPr>
        <w:t>s</w:t>
      </w:r>
      <w:r w:rsidR="000A28C5" w:rsidRPr="00724676">
        <w:rPr>
          <w:rFonts w:cs="Times New Roman"/>
          <w:noProof/>
          <w:szCs w:val="24"/>
          <w:lang w:val="en-GB"/>
        </w:rPr>
        <w:t xml:space="preserve">, monitoring, </w:t>
      </w:r>
      <w:r w:rsidR="00B43F1A">
        <w:rPr>
          <w:rFonts w:cs="Times New Roman"/>
          <w:noProof/>
          <w:szCs w:val="24"/>
          <w:lang w:val="en-GB"/>
        </w:rPr>
        <w:t>checks</w:t>
      </w:r>
      <w:r w:rsidR="00B43F1A" w:rsidRPr="00724676">
        <w:rPr>
          <w:rFonts w:cs="Times New Roman"/>
          <w:noProof/>
          <w:szCs w:val="24"/>
          <w:lang w:val="en-GB"/>
        </w:rPr>
        <w:t xml:space="preserve"> </w:t>
      </w:r>
      <w:r w:rsidR="000A28C5" w:rsidRPr="00724676">
        <w:rPr>
          <w:rFonts w:cs="Times New Roman"/>
          <w:noProof/>
          <w:szCs w:val="24"/>
          <w:lang w:val="en-GB"/>
        </w:rPr>
        <w:t xml:space="preserve">and </w:t>
      </w:r>
      <w:r w:rsidR="008C5EEA" w:rsidRPr="00724676">
        <w:rPr>
          <w:rFonts w:cs="Times New Roman"/>
          <w:noProof/>
          <w:szCs w:val="24"/>
          <w:lang w:val="en-GB"/>
        </w:rPr>
        <w:t>environmental/sanitary requirements</w:t>
      </w:r>
      <w:r w:rsidR="00A63941" w:rsidRPr="00724676">
        <w:rPr>
          <w:rFonts w:cs="Times New Roman"/>
          <w:noProof/>
          <w:szCs w:val="24"/>
          <w:lang w:val="en-GB"/>
        </w:rPr>
        <w:t xml:space="preserve"> under the CAP and the associated EU legislation</w:t>
      </w:r>
      <w:r w:rsidR="008C5EEA" w:rsidRPr="00724676">
        <w:rPr>
          <w:rFonts w:cs="Times New Roman"/>
          <w:noProof/>
          <w:szCs w:val="24"/>
          <w:lang w:val="en-GB"/>
        </w:rPr>
        <w:t xml:space="preserve">. It takes a </w:t>
      </w:r>
      <w:r w:rsidR="002C5219" w:rsidRPr="00724676">
        <w:rPr>
          <w:rFonts w:cs="Times New Roman"/>
          <w:noProof/>
          <w:szCs w:val="24"/>
          <w:lang w:val="en-GB"/>
        </w:rPr>
        <w:t>four</w:t>
      </w:r>
      <w:r w:rsidR="005C4A67" w:rsidRPr="00724676">
        <w:rPr>
          <w:rFonts w:cs="Times New Roman"/>
          <w:noProof/>
          <w:szCs w:val="24"/>
          <w:lang w:val="en-GB"/>
        </w:rPr>
        <w:t>-step</w:t>
      </w:r>
      <w:r w:rsidR="008C5EEA" w:rsidRPr="00724676">
        <w:rPr>
          <w:rFonts w:cs="Times New Roman"/>
          <w:noProof/>
          <w:szCs w:val="24"/>
          <w:lang w:val="en-GB"/>
        </w:rPr>
        <w:t xml:space="preserve"> approach: </w:t>
      </w:r>
      <w:r w:rsidR="00902CBA" w:rsidRPr="00724676">
        <w:rPr>
          <w:rFonts w:cs="Times New Roman"/>
          <w:noProof/>
          <w:szCs w:val="24"/>
          <w:lang w:val="en-GB"/>
        </w:rPr>
        <w:t>(i</w:t>
      </w:r>
      <w:r w:rsidR="008C5EEA" w:rsidRPr="00724676">
        <w:rPr>
          <w:rFonts w:cs="Times New Roman"/>
          <w:noProof/>
          <w:szCs w:val="24"/>
          <w:lang w:val="en-GB"/>
        </w:rPr>
        <w:t>) a targeted questionnaire to farmers</w:t>
      </w:r>
      <w:r w:rsidR="00870BCE">
        <w:rPr>
          <w:rFonts w:cs="Times New Roman"/>
          <w:noProof/>
          <w:szCs w:val="24"/>
          <w:lang w:val="en-GB"/>
        </w:rPr>
        <w:t>;</w:t>
      </w:r>
      <w:r w:rsidR="00685CB7" w:rsidRPr="00724676">
        <w:rPr>
          <w:rFonts w:cs="Times New Roman"/>
          <w:noProof/>
          <w:szCs w:val="24"/>
          <w:lang w:val="en-GB"/>
        </w:rPr>
        <w:t xml:space="preserve"> </w:t>
      </w:r>
      <w:r w:rsidR="00902CBA" w:rsidRPr="00724676">
        <w:rPr>
          <w:rFonts w:cs="Times New Roman"/>
          <w:noProof/>
          <w:szCs w:val="24"/>
          <w:lang w:val="en-GB"/>
        </w:rPr>
        <w:t>(ii</w:t>
      </w:r>
      <w:r w:rsidR="00BF0232" w:rsidRPr="00724676">
        <w:rPr>
          <w:rFonts w:cs="Times New Roman"/>
          <w:noProof/>
          <w:szCs w:val="24"/>
          <w:lang w:val="en-GB"/>
        </w:rPr>
        <w:t>)</w:t>
      </w:r>
      <w:r w:rsidR="00866446" w:rsidRPr="00724676">
        <w:rPr>
          <w:rFonts w:cs="Times New Roman"/>
          <w:noProof/>
          <w:szCs w:val="24"/>
          <w:lang w:val="en-GB"/>
        </w:rPr>
        <w:t xml:space="preserve"> follow-up</w:t>
      </w:r>
      <w:r w:rsidR="00BF0232" w:rsidRPr="00724676">
        <w:rPr>
          <w:rFonts w:cs="Times New Roman"/>
          <w:noProof/>
          <w:szCs w:val="24"/>
          <w:lang w:val="en-GB"/>
        </w:rPr>
        <w:t xml:space="preserve"> </w:t>
      </w:r>
      <w:r w:rsidR="00685CB7" w:rsidRPr="00724676">
        <w:rPr>
          <w:rFonts w:cs="Times New Roman"/>
          <w:noProof/>
          <w:szCs w:val="24"/>
          <w:lang w:val="en-GB"/>
        </w:rPr>
        <w:t xml:space="preserve">in-depth interviews with </w:t>
      </w:r>
      <w:r w:rsidR="008C31F1" w:rsidRPr="00724676">
        <w:rPr>
          <w:rFonts w:cs="Times New Roman"/>
          <w:noProof/>
          <w:szCs w:val="24"/>
          <w:lang w:val="en-GB"/>
        </w:rPr>
        <w:t xml:space="preserve">300 </w:t>
      </w:r>
      <w:r w:rsidR="00685CB7" w:rsidRPr="00724676">
        <w:rPr>
          <w:rFonts w:cs="Times New Roman"/>
          <w:noProof/>
          <w:szCs w:val="24"/>
          <w:lang w:val="en-GB"/>
        </w:rPr>
        <w:t>selected farmers</w:t>
      </w:r>
      <w:r w:rsidR="00870BCE">
        <w:rPr>
          <w:rFonts w:cs="Times New Roman"/>
          <w:noProof/>
          <w:szCs w:val="24"/>
          <w:lang w:val="en-GB"/>
        </w:rPr>
        <w:t>;</w:t>
      </w:r>
      <w:r w:rsidR="00BF0232" w:rsidRPr="00724676">
        <w:rPr>
          <w:rFonts w:cs="Times New Roman"/>
          <w:noProof/>
          <w:szCs w:val="24"/>
          <w:lang w:val="en-GB"/>
        </w:rPr>
        <w:t xml:space="preserve"> </w:t>
      </w:r>
      <w:r w:rsidR="002C5219" w:rsidRPr="00724676">
        <w:rPr>
          <w:rFonts w:cs="Times New Roman"/>
          <w:noProof/>
          <w:szCs w:val="24"/>
          <w:lang w:val="en-GB"/>
        </w:rPr>
        <w:t xml:space="preserve">(iii) </w:t>
      </w:r>
      <w:r w:rsidR="00441A99" w:rsidRPr="00724676">
        <w:rPr>
          <w:rFonts w:cs="Times New Roman"/>
          <w:noProof/>
          <w:szCs w:val="24"/>
          <w:lang w:val="en-GB"/>
        </w:rPr>
        <w:t>interviews with farmers’ organisations</w:t>
      </w:r>
      <w:r w:rsidR="00870BCE">
        <w:rPr>
          <w:rFonts w:cs="Times New Roman"/>
          <w:noProof/>
          <w:szCs w:val="24"/>
          <w:lang w:val="en-GB"/>
        </w:rPr>
        <w:t>;</w:t>
      </w:r>
      <w:r w:rsidR="00441A99" w:rsidRPr="00724676">
        <w:rPr>
          <w:rFonts w:cs="Times New Roman"/>
          <w:noProof/>
          <w:szCs w:val="24"/>
          <w:lang w:val="en-GB"/>
        </w:rPr>
        <w:t xml:space="preserve"> </w:t>
      </w:r>
      <w:r w:rsidR="00BF0232" w:rsidRPr="00724676">
        <w:rPr>
          <w:rFonts w:cs="Times New Roman"/>
          <w:noProof/>
          <w:szCs w:val="24"/>
          <w:lang w:val="en-GB"/>
        </w:rPr>
        <w:t xml:space="preserve">and </w:t>
      </w:r>
      <w:r w:rsidR="00902CBA" w:rsidRPr="00724676">
        <w:rPr>
          <w:rFonts w:cs="Times New Roman"/>
          <w:noProof/>
          <w:szCs w:val="24"/>
          <w:lang w:val="en-GB"/>
        </w:rPr>
        <w:t>(i</w:t>
      </w:r>
      <w:r w:rsidR="00441A99" w:rsidRPr="00724676">
        <w:rPr>
          <w:rFonts w:cs="Times New Roman"/>
          <w:noProof/>
          <w:szCs w:val="24"/>
          <w:lang w:val="en-GB"/>
        </w:rPr>
        <w:t>v</w:t>
      </w:r>
      <w:r w:rsidR="00BF0232" w:rsidRPr="00724676">
        <w:rPr>
          <w:rFonts w:cs="Times New Roman"/>
          <w:noProof/>
          <w:szCs w:val="24"/>
          <w:lang w:val="en-GB"/>
        </w:rPr>
        <w:t>) an analysis to disentangle the sources of complexity</w:t>
      </w:r>
      <w:r w:rsidR="00F4465F" w:rsidRPr="00724676">
        <w:rPr>
          <w:rFonts w:cs="Times New Roman"/>
          <w:noProof/>
          <w:szCs w:val="24"/>
          <w:lang w:val="en-GB"/>
        </w:rPr>
        <w:t xml:space="preserve"> for farmers</w:t>
      </w:r>
      <w:r w:rsidR="000F14D4" w:rsidRPr="00724676">
        <w:rPr>
          <w:rFonts w:cs="Times New Roman"/>
          <w:noProof/>
          <w:szCs w:val="24"/>
          <w:lang w:val="en-GB"/>
        </w:rPr>
        <w:t xml:space="preserve"> </w:t>
      </w:r>
      <w:r w:rsidR="00AB1C34" w:rsidRPr="00724676">
        <w:rPr>
          <w:rFonts w:cs="Times New Roman"/>
          <w:noProof/>
          <w:szCs w:val="24"/>
          <w:lang w:val="en-GB"/>
        </w:rPr>
        <w:t>between</w:t>
      </w:r>
      <w:r w:rsidR="00F4465F" w:rsidRPr="00724676">
        <w:rPr>
          <w:rFonts w:cs="Times New Roman"/>
          <w:noProof/>
          <w:szCs w:val="24"/>
          <w:lang w:val="en-GB"/>
        </w:rPr>
        <w:t xml:space="preserve"> </w:t>
      </w:r>
      <w:r w:rsidR="00870BCE">
        <w:rPr>
          <w:rFonts w:cs="Times New Roman"/>
          <w:noProof/>
          <w:szCs w:val="24"/>
          <w:lang w:val="en-GB"/>
        </w:rPr>
        <w:t xml:space="preserve">the </w:t>
      </w:r>
      <w:r w:rsidR="00F4465F" w:rsidRPr="00724676">
        <w:rPr>
          <w:rFonts w:cs="Times New Roman"/>
          <w:noProof/>
          <w:szCs w:val="24"/>
          <w:lang w:val="en-GB"/>
        </w:rPr>
        <w:t xml:space="preserve">EU </w:t>
      </w:r>
      <w:r w:rsidR="00AB1C34" w:rsidRPr="00724676">
        <w:rPr>
          <w:rFonts w:cs="Times New Roman"/>
          <w:noProof/>
          <w:szCs w:val="24"/>
          <w:lang w:val="en-GB"/>
        </w:rPr>
        <w:t>and</w:t>
      </w:r>
      <w:r w:rsidR="00F4465F" w:rsidRPr="00724676">
        <w:rPr>
          <w:rFonts w:cs="Times New Roman"/>
          <w:noProof/>
          <w:szCs w:val="24"/>
          <w:lang w:val="en-GB"/>
        </w:rPr>
        <w:t xml:space="preserve"> national level</w:t>
      </w:r>
      <w:r w:rsidR="00870BCE">
        <w:rPr>
          <w:rFonts w:cs="Times New Roman"/>
          <w:noProof/>
          <w:szCs w:val="24"/>
          <w:lang w:val="en-GB"/>
        </w:rPr>
        <w:t>s</w:t>
      </w:r>
      <w:r w:rsidR="00F4465F" w:rsidRPr="00724676">
        <w:rPr>
          <w:rFonts w:cs="Times New Roman"/>
          <w:noProof/>
          <w:szCs w:val="24"/>
          <w:lang w:val="en-GB"/>
        </w:rPr>
        <w:t xml:space="preserve">, </w:t>
      </w:r>
      <w:r w:rsidR="00AB1C34" w:rsidRPr="00724676">
        <w:rPr>
          <w:rFonts w:cs="Times New Roman"/>
          <w:noProof/>
          <w:szCs w:val="24"/>
          <w:lang w:val="en-GB"/>
        </w:rPr>
        <w:t xml:space="preserve">and between </w:t>
      </w:r>
      <w:r w:rsidR="00F4465F" w:rsidRPr="00724676">
        <w:rPr>
          <w:rFonts w:cs="Times New Roman"/>
          <w:noProof/>
          <w:szCs w:val="24"/>
          <w:lang w:val="en-GB"/>
        </w:rPr>
        <w:t>CAP</w:t>
      </w:r>
      <w:r w:rsidR="00AB1C34" w:rsidRPr="00724676">
        <w:rPr>
          <w:rFonts w:cs="Times New Roman"/>
          <w:noProof/>
          <w:szCs w:val="24"/>
          <w:lang w:val="en-GB"/>
        </w:rPr>
        <w:t xml:space="preserve"> and</w:t>
      </w:r>
      <w:r w:rsidR="00F4465F" w:rsidRPr="00724676">
        <w:rPr>
          <w:rFonts w:cs="Times New Roman"/>
          <w:noProof/>
          <w:szCs w:val="24"/>
          <w:lang w:val="en-GB"/>
        </w:rPr>
        <w:t xml:space="preserve"> other requirements and policies</w:t>
      </w:r>
      <w:r w:rsidR="00870BCE">
        <w:rPr>
          <w:rFonts w:cs="Times New Roman"/>
          <w:noProof/>
          <w:szCs w:val="24"/>
          <w:lang w:val="en-GB"/>
        </w:rPr>
        <w:t>,</w:t>
      </w:r>
      <w:r w:rsidR="00F4465F" w:rsidRPr="00724676">
        <w:rPr>
          <w:rFonts w:cs="Times New Roman"/>
          <w:noProof/>
          <w:szCs w:val="24"/>
          <w:lang w:val="en-GB"/>
        </w:rPr>
        <w:t xml:space="preserve"> and </w:t>
      </w:r>
      <w:r w:rsidR="000A2B46" w:rsidRPr="00724676">
        <w:rPr>
          <w:rFonts w:cs="Times New Roman"/>
          <w:noProof/>
          <w:szCs w:val="24"/>
          <w:lang w:val="en-GB"/>
        </w:rPr>
        <w:t xml:space="preserve">to </w:t>
      </w:r>
      <w:r w:rsidR="00F4465F" w:rsidRPr="00724676">
        <w:rPr>
          <w:rFonts w:cs="Times New Roman"/>
          <w:noProof/>
          <w:szCs w:val="24"/>
          <w:lang w:val="en-GB"/>
        </w:rPr>
        <w:t xml:space="preserve">identify areas </w:t>
      </w:r>
      <w:r w:rsidR="00537C98" w:rsidRPr="00724676">
        <w:rPr>
          <w:rFonts w:cs="Times New Roman"/>
          <w:noProof/>
          <w:szCs w:val="24"/>
          <w:lang w:val="en-GB"/>
        </w:rPr>
        <w:t xml:space="preserve">where </w:t>
      </w:r>
      <w:r w:rsidR="00870BCE">
        <w:rPr>
          <w:rFonts w:cs="Times New Roman"/>
          <w:noProof/>
          <w:szCs w:val="24"/>
          <w:lang w:val="en-GB"/>
        </w:rPr>
        <w:t xml:space="preserve">the </w:t>
      </w:r>
      <w:r w:rsidR="00F4465F" w:rsidRPr="00724676">
        <w:rPr>
          <w:rFonts w:cs="Times New Roman"/>
          <w:noProof/>
          <w:szCs w:val="24"/>
          <w:lang w:val="en-GB"/>
        </w:rPr>
        <w:t>administrative burden</w:t>
      </w:r>
      <w:r w:rsidR="00537C98" w:rsidRPr="00724676">
        <w:rPr>
          <w:rFonts w:cs="Times New Roman"/>
          <w:noProof/>
          <w:szCs w:val="24"/>
          <w:lang w:val="en-GB"/>
        </w:rPr>
        <w:t xml:space="preserve"> can be reduced</w:t>
      </w:r>
      <w:r w:rsidR="005C4A67" w:rsidRPr="00724676">
        <w:rPr>
          <w:rFonts w:cs="Times New Roman"/>
          <w:noProof/>
          <w:szCs w:val="24"/>
          <w:lang w:val="en-GB"/>
        </w:rPr>
        <w:t>.</w:t>
      </w:r>
      <w:r w:rsidR="006F1613">
        <w:rPr>
          <w:rFonts w:cs="Times New Roman"/>
          <w:noProof/>
          <w:szCs w:val="24"/>
          <w:lang w:val="en-GB"/>
        </w:rPr>
        <w:t xml:space="preserve"> </w:t>
      </w:r>
      <w:r w:rsidR="006F49F9" w:rsidRPr="00724676">
        <w:rPr>
          <w:rFonts w:cs="Times New Roman"/>
          <w:noProof/>
          <w:szCs w:val="24"/>
          <w:lang w:val="en-GB"/>
        </w:rPr>
        <w:t>The study is</w:t>
      </w:r>
      <w:r w:rsidR="0054418B" w:rsidRPr="00724676">
        <w:rPr>
          <w:rFonts w:cs="Times New Roman"/>
          <w:noProof/>
          <w:szCs w:val="24"/>
          <w:lang w:val="en-GB"/>
        </w:rPr>
        <w:t xml:space="preserve"> expected</w:t>
      </w:r>
      <w:r w:rsidR="005C4A67" w:rsidRPr="00724676">
        <w:rPr>
          <w:rFonts w:cs="Times New Roman"/>
          <w:noProof/>
          <w:szCs w:val="24"/>
          <w:lang w:val="en-GB"/>
        </w:rPr>
        <w:t xml:space="preserve"> </w:t>
      </w:r>
      <w:r w:rsidR="007E6334" w:rsidRPr="00724676">
        <w:rPr>
          <w:rFonts w:cs="Times New Roman"/>
          <w:noProof/>
          <w:szCs w:val="24"/>
          <w:lang w:val="en-GB"/>
        </w:rPr>
        <w:t xml:space="preserve">to be completed </w:t>
      </w:r>
      <w:r w:rsidR="006316D5" w:rsidRPr="00724676">
        <w:rPr>
          <w:rFonts w:cs="Times New Roman"/>
          <w:noProof/>
          <w:szCs w:val="24"/>
          <w:lang w:val="en-GB"/>
        </w:rPr>
        <w:t xml:space="preserve">by </w:t>
      </w:r>
      <w:r w:rsidR="18908C02" w:rsidRPr="00724676">
        <w:rPr>
          <w:rFonts w:cs="Times New Roman"/>
          <w:noProof/>
          <w:szCs w:val="24"/>
          <w:lang w:val="en-GB"/>
        </w:rPr>
        <w:t>early 2025</w:t>
      </w:r>
      <w:r w:rsidR="00830448" w:rsidRPr="00724676">
        <w:rPr>
          <w:rFonts w:cs="Times New Roman"/>
          <w:noProof/>
          <w:szCs w:val="24"/>
          <w:lang w:val="en-GB"/>
        </w:rPr>
        <w:t xml:space="preserve">. </w:t>
      </w:r>
      <w:r w:rsidR="006F49F9" w:rsidRPr="00724676">
        <w:rPr>
          <w:rFonts w:cs="Times New Roman"/>
          <w:noProof/>
          <w:szCs w:val="24"/>
          <w:lang w:val="en-GB"/>
        </w:rPr>
        <w:t>It</w:t>
      </w:r>
      <w:r w:rsidR="0029601C" w:rsidRPr="00724676" w:rsidDel="005200AE">
        <w:rPr>
          <w:rFonts w:cs="Times New Roman"/>
          <w:noProof/>
          <w:szCs w:val="24"/>
          <w:lang w:val="en-GB"/>
        </w:rPr>
        <w:t xml:space="preserve"> </w:t>
      </w:r>
      <w:r w:rsidR="0029601C" w:rsidRPr="00724676">
        <w:rPr>
          <w:rFonts w:cs="Times New Roman"/>
          <w:noProof/>
          <w:szCs w:val="24"/>
          <w:lang w:val="en-GB"/>
        </w:rPr>
        <w:t>will feed</w:t>
      </w:r>
      <w:r w:rsidR="00870BCE">
        <w:rPr>
          <w:rFonts w:cs="Times New Roman"/>
          <w:noProof/>
          <w:szCs w:val="24"/>
          <w:lang w:val="en-GB"/>
        </w:rPr>
        <w:t xml:space="preserve"> into</w:t>
      </w:r>
      <w:r w:rsidR="0029601C" w:rsidRPr="00724676">
        <w:rPr>
          <w:rFonts w:cs="Times New Roman"/>
          <w:noProof/>
          <w:szCs w:val="24"/>
          <w:lang w:val="en-GB"/>
        </w:rPr>
        <w:t xml:space="preserve"> </w:t>
      </w:r>
      <w:r w:rsidR="0009322C" w:rsidRPr="00724676">
        <w:rPr>
          <w:rFonts w:cs="Times New Roman"/>
          <w:noProof/>
          <w:szCs w:val="24"/>
          <w:lang w:val="en-GB"/>
        </w:rPr>
        <w:t>the reflection on</w:t>
      </w:r>
      <w:r w:rsidR="0029601C" w:rsidRPr="00724676">
        <w:rPr>
          <w:rFonts w:cs="Times New Roman"/>
          <w:noProof/>
          <w:szCs w:val="24"/>
          <w:lang w:val="en-GB"/>
        </w:rPr>
        <w:t xml:space="preserve"> </w:t>
      </w:r>
      <w:r w:rsidR="00870BCE">
        <w:rPr>
          <w:rFonts w:cs="Times New Roman"/>
          <w:noProof/>
          <w:szCs w:val="24"/>
          <w:lang w:val="en-GB"/>
        </w:rPr>
        <w:t>developing and implementing</w:t>
      </w:r>
      <w:r w:rsidR="00BE5D2C" w:rsidRPr="00724676">
        <w:rPr>
          <w:rFonts w:cs="Times New Roman"/>
          <w:noProof/>
          <w:szCs w:val="24"/>
          <w:lang w:val="en-GB"/>
        </w:rPr>
        <w:t xml:space="preserve"> </w:t>
      </w:r>
      <w:r w:rsidR="0029601C" w:rsidRPr="00724676">
        <w:rPr>
          <w:rFonts w:cs="Times New Roman"/>
          <w:noProof/>
          <w:szCs w:val="24"/>
          <w:lang w:val="en-GB"/>
        </w:rPr>
        <w:t xml:space="preserve">simplification actions. </w:t>
      </w:r>
    </w:p>
    <w:p w14:paraId="6A30FECD" w14:textId="49C951EC" w:rsidR="001535BA" w:rsidRPr="00724676" w:rsidRDefault="00CF1185" w:rsidP="00F97E30">
      <w:pPr>
        <w:spacing w:after="120"/>
        <w:jc w:val="both"/>
        <w:rPr>
          <w:rFonts w:cs="Times New Roman"/>
          <w:noProof/>
          <w:szCs w:val="24"/>
          <w:lang w:val="en-GB"/>
        </w:rPr>
      </w:pPr>
      <w:r w:rsidRPr="00724676">
        <w:rPr>
          <w:rFonts w:cs="Times New Roman"/>
          <w:noProof/>
          <w:szCs w:val="24"/>
          <w:lang w:val="en-GB"/>
        </w:rPr>
        <w:t>T</w:t>
      </w:r>
      <w:r w:rsidR="005F5A22" w:rsidRPr="00724676">
        <w:rPr>
          <w:rFonts w:cs="Times New Roman"/>
          <w:noProof/>
          <w:szCs w:val="24"/>
          <w:lang w:val="en-GB"/>
        </w:rPr>
        <w:t>he</w:t>
      </w:r>
      <w:r w:rsidR="008E7975" w:rsidRPr="00724676">
        <w:rPr>
          <w:rFonts w:cs="Times New Roman"/>
          <w:noProof/>
          <w:szCs w:val="24"/>
          <w:lang w:val="en-GB"/>
        </w:rPr>
        <w:t xml:space="preserve"> </w:t>
      </w:r>
      <w:r w:rsidR="00D565A4" w:rsidRPr="00724676">
        <w:rPr>
          <w:rFonts w:cs="Times New Roman"/>
          <w:noProof/>
          <w:szCs w:val="24"/>
          <w:lang w:val="en-GB"/>
        </w:rPr>
        <w:t xml:space="preserve">Commission </w:t>
      </w:r>
      <w:r w:rsidR="00DD3F1B" w:rsidRPr="00724676">
        <w:rPr>
          <w:rFonts w:cs="Times New Roman"/>
          <w:noProof/>
          <w:szCs w:val="24"/>
          <w:lang w:val="en-GB"/>
        </w:rPr>
        <w:t xml:space="preserve">made </w:t>
      </w:r>
      <w:r w:rsidR="00D565A4" w:rsidRPr="00724676">
        <w:rPr>
          <w:rFonts w:cs="Times New Roman"/>
          <w:noProof/>
          <w:szCs w:val="24"/>
          <w:lang w:val="en-GB"/>
        </w:rPr>
        <w:t xml:space="preserve">the </w:t>
      </w:r>
      <w:r w:rsidR="004C6E64" w:rsidRPr="00724676">
        <w:rPr>
          <w:rFonts w:cs="Times New Roman"/>
          <w:b/>
          <w:bCs/>
          <w:noProof/>
          <w:szCs w:val="24"/>
          <w:lang w:val="en-GB"/>
        </w:rPr>
        <w:t>questionnaire</w:t>
      </w:r>
      <w:r w:rsidR="00FC1285" w:rsidRPr="00724676">
        <w:rPr>
          <w:rFonts w:cs="Times New Roman"/>
          <w:b/>
          <w:bCs/>
          <w:noProof/>
          <w:szCs w:val="24"/>
          <w:lang w:val="en-GB"/>
        </w:rPr>
        <w:t xml:space="preserve"> ‘Simplification – the farmers’ point of view’</w:t>
      </w:r>
      <w:r w:rsidR="0043134C" w:rsidRPr="00724676">
        <w:rPr>
          <w:rFonts w:cs="Times New Roman"/>
          <w:b/>
          <w:bCs/>
          <w:noProof/>
          <w:szCs w:val="24"/>
          <w:lang w:val="en-GB"/>
        </w:rPr>
        <w:t xml:space="preserve"> </w:t>
      </w:r>
      <w:r w:rsidR="0043134C" w:rsidRPr="00724676">
        <w:rPr>
          <w:rFonts w:cs="Times New Roman"/>
          <w:noProof/>
          <w:szCs w:val="24"/>
          <w:lang w:val="en-GB"/>
        </w:rPr>
        <w:t>available in all official languages</w:t>
      </w:r>
      <w:r w:rsidR="00FC1285" w:rsidRPr="00724676">
        <w:rPr>
          <w:rFonts w:cs="Times New Roman"/>
          <w:noProof/>
          <w:szCs w:val="24"/>
          <w:lang w:val="en-GB"/>
        </w:rPr>
        <w:t xml:space="preserve"> through the EU survey platform</w:t>
      </w:r>
      <w:r w:rsidR="008E7975" w:rsidRPr="00724676">
        <w:rPr>
          <w:rFonts w:cs="Times New Roman"/>
          <w:noProof/>
          <w:szCs w:val="24"/>
          <w:lang w:val="en-GB"/>
        </w:rPr>
        <w:t xml:space="preserve"> </w:t>
      </w:r>
      <w:r w:rsidR="00D565A4" w:rsidRPr="00724676">
        <w:rPr>
          <w:rFonts w:cs="Times New Roman"/>
          <w:noProof/>
          <w:szCs w:val="24"/>
          <w:lang w:val="en-GB"/>
        </w:rPr>
        <w:t>from</w:t>
      </w:r>
      <w:r w:rsidR="008E7975" w:rsidRPr="00724676">
        <w:rPr>
          <w:rFonts w:cs="Times New Roman"/>
          <w:noProof/>
          <w:szCs w:val="24"/>
          <w:lang w:val="en-GB"/>
        </w:rPr>
        <w:t xml:space="preserve"> 7 March</w:t>
      </w:r>
      <w:r w:rsidR="00D565A4" w:rsidRPr="00724676">
        <w:rPr>
          <w:rFonts w:cs="Times New Roman"/>
          <w:noProof/>
          <w:szCs w:val="24"/>
          <w:lang w:val="en-GB"/>
        </w:rPr>
        <w:t xml:space="preserve"> </w:t>
      </w:r>
      <w:r w:rsidR="008E7975" w:rsidRPr="00724676">
        <w:rPr>
          <w:rFonts w:cs="Times New Roman"/>
          <w:noProof/>
          <w:szCs w:val="24"/>
          <w:lang w:val="en-GB"/>
        </w:rPr>
        <w:t>until</w:t>
      </w:r>
      <w:r w:rsidR="00FC1285" w:rsidRPr="00724676">
        <w:rPr>
          <w:rFonts w:cs="Times New Roman"/>
          <w:noProof/>
          <w:szCs w:val="24"/>
          <w:lang w:val="en-GB"/>
        </w:rPr>
        <w:t xml:space="preserve"> 8 April 2024</w:t>
      </w:r>
      <w:r w:rsidRPr="00724676">
        <w:rPr>
          <w:rFonts w:cs="Times New Roman"/>
          <w:noProof/>
          <w:szCs w:val="24"/>
          <w:lang w:val="en-GB"/>
        </w:rPr>
        <w:t xml:space="preserve">. </w:t>
      </w:r>
      <w:r w:rsidR="0043134C" w:rsidRPr="00724676">
        <w:rPr>
          <w:rFonts w:cs="Times New Roman"/>
          <w:noProof/>
          <w:szCs w:val="24"/>
          <w:lang w:val="en-GB"/>
        </w:rPr>
        <w:t>I</w:t>
      </w:r>
      <w:r w:rsidR="00FC1285" w:rsidRPr="00724676">
        <w:rPr>
          <w:rFonts w:cs="Times New Roman"/>
          <w:noProof/>
          <w:szCs w:val="24"/>
          <w:lang w:val="en-GB"/>
        </w:rPr>
        <w:t xml:space="preserve">t included 23 questions on the profile of the respondents and </w:t>
      </w:r>
      <w:r w:rsidR="00711D59" w:rsidRPr="00724676">
        <w:rPr>
          <w:rFonts w:cs="Times New Roman"/>
          <w:noProof/>
          <w:szCs w:val="24"/>
          <w:lang w:val="en-GB"/>
        </w:rPr>
        <w:t xml:space="preserve">on </w:t>
      </w:r>
      <w:r w:rsidR="00FC1285" w:rsidRPr="00724676">
        <w:rPr>
          <w:rFonts w:cs="Times New Roman"/>
          <w:noProof/>
          <w:szCs w:val="24"/>
          <w:lang w:val="en-GB"/>
        </w:rPr>
        <w:t xml:space="preserve">issues related to obligations and administrative procedures, particularly as regards </w:t>
      </w:r>
      <w:r w:rsidR="00870BCE">
        <w:rPr>
          <w:rFonts w:cs="Times New Roman"/>
          <w:noProof/>
          <w:szCs w:val="24"/>
          <w:lang w:val="en-GB"/>
        </w:rPr>
        <w:t xml:space="preserve">applications for </w:t>
      </w:r>
      <w:r w:rsidR="00FC1285" w:rsidRPr="00724676">
        <w:rPr>
          <w:rFonts w:cs="Times New Roman"/>
          <w:noProof/>
          <w:szCs w:val="24"/>
          <w:lang w:val="en-GB"/>
        </w:rPr>
        <w:t xml:space="preserve">CAP </w:t>
      </w:r>
      <w:r w:rsidR="00870BCE">
        <w:rPr>
          <w:rFonts w:cs="Times New Roman"/>
          <w:noProof/>
          <w:szCs w:val="24"/>
          <w:lang w:val="en-GB"/>
        </w:rPr>
        <w:t>support</w:t>
      </w:r>
      <w:r w:rsidR="00FC1285" w:rsidRPr="00724676">
        <w:rPr>
          <w:rFonts w:cs="Times New Roman"/>
          <w:noProof/>
          <w:szCs w:val="24"/>
          <w:lang w:val="en-GB"/>
        </w:rPr>
        <w:t>, record</w:t>
      </w:r>
      <w:r w:rsidR="00870BCE">
        <w:rPr>
          <w:rFonts w:cs="Times New Roman"/>
          <w:noProof/>
          <w:szCs w:val="24"/>
          <w:lang w:val="en-GB"/>
        </w:rPr>
        <w:t xml:space="preserve"> keeping </w:t>
      </w:r>
      <w:r w:rsidR="00FC1285" w:rsidRPr="00724676">
        <w:rPr>
          <w:rFonts w:cs="Times New Roman"/>
          <w:noProof/>
          <w:szCs w:val="24"/>
          <w:lang w:val="en-GB"/>
        </w:rPr>
        <w:t xml:space="preserve">and reporting, and on-site checks. Respondents were also asked to suggest </w:t>
      </w:r>
      <w:r w:rsidR="00870BCE">
        <w:rPr>
          <w:rFonts w:cs="Times New Roman"/>
          <w:noProof/>
          <w:szCs w:val="24"/>
          <w:lang w:val="en-GB"/>
        </w:rPr>
        <w:t>ways to</w:t>
      </w:r>
      <w:r w:rsidR="00FC1285" w:rsidRPr="00724676">
        <w:rPr>
          <w:rFonts w:cs="Times New Roman"/>
          <w:noProof/>
          <w:szCs w:val="24"/>
          <w:lang w:val="en-GB"/>
        </w:rPr>
        <w:t xml:space="preserve"> simplify the CAP. </w:t>
      </w:r>
    </w:p>
    <w:p w14:paraId="0BBCD69C" w14:textId="2647B7F2" w:rsidR="001535BA" w:rsidRPr="006F1613" w:rsidRDefault="00870BCE" w:rsidP="00F97E30">
      <w:pPr>
        <w:spacing w:after="120"/>
        <w:jc w:val="both"/>
        <w:rPr>
          <w:rFonts w:cs="Times New Roman"/>
          <w:noProof/>
          <w:szCs w:val="24"/>
          <w:lang w:val="en-GB"/>
        </w:rPr>
      </w:pPr>
      <w:r w:rsidRPr="00406DFD">
        <w:rPr>
          <w:rFonts w:cs="Times New Roman"/>
          <w:noProof/>
          <w:szCs w:val="24"/>
          <w:lang w:val="en-GB"/>
        </w:rPr>
        <w:t>Nearly</w:t>
      </w:r>
      <w:r w:rsidR="00FC1285" w:rsidRPr="00406DFD">
        <w:rPr>
          <w:rFonts w:cs="Times New Roman"/>
          <w:noProof/>
          <w:szCs w:val="24"/>
          <w:lang w:val="en-GB"/>
        </w:rPr>
        <w:t xml:space="preserve"> 27</w:t>
      </w:r>
      <w:r w:rsidRPr="00406DFD">
        <w:rPr>
          <w:rFonts w:cs="Times New Roman"/>
          <w:noProof/>
          <w:szCs w:val="24"/>
          <w:lang w:val="en-GB"/>
        </w:rPr>
        <w:t> </w:t>
      </w:r>
      <w:r w:rsidR="00FC1285" w:rsidRPr="00406DFD">
        <w:rPr>
          <w:rFonts w:cs="Times New Roman"/>
          <w:noProof/>
          <w:szCs w:val="24"/>
          <w:lang w:val="en-GB"/>
        </w:rPr>
        <w:t>000 replies</w:t>
      </w:r>
      <w:r w:rsidR="005D3228" w:rsidRPr="00406DFD">
        <w:rPr>
          <w:rFonts w:cs="Times New Roman"/>
          <w:noProof/>
          <w:szCs w:val="24"/>
          <w:lang w:val="en-GB"/>
        </w:rPr>
        <w:t xml:space="preserve"> were received</w:t>
      </w:r>
      <w:r w:rsidR="00FC1285" w:rsidRPr="00406DFD">
        <w:rPr>
          <w:rFonts w:cs="Times New Roman"/>
          <w:noProof/>
          <w:szCs w:val="24"/>
          <w:lang w:val="en-GB"/>
        </w:rPr>
        <w:t xml:space="preserve">, of which 80% </w:t>
      </w:r>
      <w:r w:rsidRPr="00406DFD">
        <w:rPr>
          <w:rFonts w:cs="Times New Roman"/>
          <w:noProof/>
          <w:szCs w:val="24"/>
          <w:lang w:val="en-GB"/>
        </w:rPr>
        <w:t xml:space="preserve">were </w:t>
      </w:r>
      <w:r w:rsidR="0059600C" w:rsidRPr="00406DFD">
        <w:rPr>
          <w:rFonts w:cs="Times New Roman"/>
          <w:noProof/>
          <w:szCs w:val="24"/>
          <w:lang w:val="en-GB"/>
        </w:rPr>
        <w:t xml:space="preserve">from </w:t>
      </w:r>
      <w:r w:rsidR="00FC1285" w:rsidRPr="00406DFD">
        <w:rPr>
          <w:rFonts w:cs="Times New Roman"/>
          <w:noProof/>
          <w:szCs w:val="24"/>
          <w:lang w:val="en-GB"/>
        </w:rPr>
        <w:t xml:space="preserve">farmers </w:t>
      </w:r>
      <w:r w:rsidRPr="00406DFD">
        <w:rPr>
          <w:rFonts w:cs="Times New Roman"/>
          <w:noProof/>
          <w:szCs w:val="24"/>
          <w:lang w:val="en-GB"/>
        </w:rPr>
        <w:t xml:space="preserve">who have </w:t>
      </w:r>
      <w:r w:rsidR="00FC1285" w:rsidRPr="00406DFD">
        <w:rPr>
          <w:rFonts w:cs="Times New Roman"/>
          <w:noProof/>
          <w:szCs w:val="24"/>
          <w:lang w:val="en-GB"/>
        </w:rPr>
        <w:t>appl</w:t>
      </w:r>
      <w:r w:rsidRPr="00406DFD">
        <w:rPr>
          <w:rFonts w:cs="Times New Roman"/>
          <w:noProof/>
          <w:szCs w:val="24"/>
          <w:lang w:val="en-GB"/>
        </w:rPr>
        <w:t>ied</w:t>
      </w:r>
      <w:r w:rsidR="00FC1285" w:rsidRPr="00406DFD">
        <w:rPr>
          <w:rFonts w:cs="Times New Roman"/>
          <w:noProof/>
          <w:szCs w:val="24"/>
          <w:lang w:val="en-GB"/>
        </w:rPr>
        <w:t xml:space="preserve"> for CAP support</w:t>
      </w:r>
      <w:r w:rsidRPr="00406DFD">
        <w:rPr>
          <w:rFonts w:cs="Times New Roman"/>
          <w:noProof/>
          <w:szCs w:val="24"/>
          <w:lang w:val="en-GB"/>
        </w:rPr>
        <w:t>,</w:t>
      </w:r>
      <w:r w:rsidR="005D3228" w:rsidRPr="00406DFD">
        <w:rPr>
          <w:rFonts w:cs="Times New Roman"/>
          <w:noProof/>
          <w:szCs w:val="24"/>
          <w:lang w:val="en-GB"/>
        </w:rPr>
        <w:t xml:space="preserve"> </w:t>
      </w:r>
      <w:r w:rsidR="001E2FA1" w:rsidRPr="00406DFD">
        <w:rPr>
          <w:rFonts w:cs="Times New Roman"/>
          <w:noProof/>
          <w:szCs w:val="24"/>
          <w:lang w:val="en-GB"/>
        </w:rPr>
        <w:t>in</w:t>
      </w:r>
      <w:r w:rsidR="00330B90" w:rsidRPr="00406DFD">
        <w:rPr>
          <w:rFonts w:cs="Times New Roman"/>
          <w:noProof/>
          <w:szCs w:val="24"/>
          <w:lang w:val="en-GB"/>
        </w:rPr>
        <w:t xml:space="preserve"> a</w:t>
      </w:r>
      <w:r w:rsidR="00115D0F" w:rsidRPr="00406DFD">
        <w:rPr>
          <w:rFonts w:cs="Times New Roman"/>
          <w:noProof/>
          <w:szCs w:val="24"/>
          <w:lang w:val="en-GB"/>
        </w:rPr>
        <w:t>ll Member States</w:t>
      </w:r>
      <w:r w:rsidR="0061733D" w:rsidRPr="00406DFD">
        <w:rPr>
          <w:rFonts w:cs="Times New Roman"/>
          <w:noProof/>
          <w:szCs w:val="24"/>
          <w:lang w:val="en-GB"/>
        </w:rPr>
        <w:t xml:space="preserve">. </w:t>
      </w:r>
      <w:r w:rsidR="003C2F5E" w:rsidRPr="0049665B">
        <w:rPr>
          <w:rFonts w:cs="Times New Roman"/>
          <w:noProof/>
        </w:rPr>
        <w:t>Preliminary results</w:t>
      </w:r>
      <w:r w:rsidR="037F7802" w:rsidRPr="0049665B">
        <w:rPr>
          <w:rFonts w:cs="Times New Roman"/>
          <w:noProof/>
        </w:rPr>
        <w:t xml:space="preserve"> of the closed questions</w:t>
      </w:r>
      <w:r w:rsidR="00CB53D0" w:rsidRPr="0049665B">
        <w:rPr>
          <w:rFonts w:cs="Times New Roman"/>
          <w:noProof/>
        </w:rPr>
        <w:t>, including</w:t>
      </w:r>
      <w:r w:rsidR="00B131EB" w:rsidRPr="0049665B">
        <w:rPr>
          <w:rFonts w:cs="Times New Roman"/>
          <w:noProof/>
        </w:rPr>
        <w:t xml:space="preserve"> an overview of the geographical coverage </w:t>
      </w:r>
      <w:r w:rsidR="00F55174" w:rsidRPr="0049665B">
        <w:rPr>
          <w:rFonts w:cs="Times New Roman"/>
          <w:noProof/>
        </w:rPr>
        <w:t>of</w:t>
      </w:r>
      <w:r w:rsidR="00B131EB" w:rsidRPr="0049665B">
        <w:rPr>
          <w:rFonts w:cs="Times New Roman"/>
          <w:noProof/>
        </w:rPr>
        <w:t xml:space="preserve"> th</w:t>
      </w:r>
      <w:r w:rsidR="00F55174" w:rsidRPr="0049665B">
        <w:rPr>
          <w:rFonts w:cs="Times New Roman"/>
          <w:noProof/>
        </w:rPr>
        <w:t>e</w:t>
      </w:r>
      <w:r w:rsidR="00B131EB" w:rsidRPr="0049665B">
        <w:rPr>
          <w:rFonts w:cs="Times New Roman"/>
          <w:noProof/>
        </w:rPr>
        <w:t xml:space="preserve"> survey</w:t>
      </w:r>
      <w:r w:rsidRPr="0049665B">
        <w:rPr>
          <w:rFonts w:cs="Times New Roman"/>
          <w:noProof/>
        </w:rPr>
        <w:t>,</w:t>
      </w:r>
      <w:r w:rsidR="00B131EB" w:rsidRPr="0049665B">
        <w:rPr>
          <w:rFonts w:cs="Times New Roman"/>
          <w:noProof/>
        </w:rPr>
        <w:t xml:space="preserve"> </w:t>
      </w:r>
      <w:r w:rsidR="003C2F5E" w:rsidRPr="0049665B">
        <w:rPr>
          <w:rFonts w:cs="Times New Roman"/>
          <w:noProof/>
        </w:rPr>
        <w:t xml:space="preserve">were </w:t>
      </w:r>
      <w:r w:rsidR="006779A5" w:rsidRPr="0049665B">
        <w:rPr>
          <w:rFonts w:cs="Times New Roman"/>
          <w:noProof/>
        </w:rPr>
        <w:t>p</w:t>
      </w:r>
      <w:r w:rsidR="006779A5">
        <w:rPr>
          <w:rFonts w:cs="Times New Roman"/>
          <w:noProof/>
        </w:rPr>
        <w:t>ublished</w:t>
      </w:r>
      <w:r w:rsidR="006779A5" w:rsidRPr="0049665B">
        <w:rPr>
          <w:rFonts w:cs="Times New Roman"/>
          <w:noProof/>
        </w:rPr>
        <w:t xml:space="preserve"> </w:t>
      </w:r>
      <w:r w:rsidR="003C2F5E" w:rsidRPr="0049665B">
        <w:rPr>
          <w:rFonts w:cs="Times New Roman"/>
          <w:noProof/>
        </w:rPr>
        <w:t>in mid-April 2024</w:t>
      </w:r>
      <w:r w:rsidR="00724676" w:rsidRPr="614B16CF">
        <w:rPr>
          <w:rStyle w:val="FootnoteReference"/>
          <w:rFonts w:cs="Times New Roman"/>
          <w:noProof/>
        </w:rPr>
        <w:footnoteReference w:id="17"/>
      </w:r>
      <w:r w:rsidR="00E7633E" w:rsidRPr="614B16CF">
        <w:rPr>
          <w:rFonts w:cs="Times New Roman"/>
          <w:noProof/>
        </w:rPr>
        <w:t xml:space="preserve"> </w:t>
      </w:r>
      <w:r w:rsidR="002132F0">
        <w:rPr>
          <w:rFonts w:cs="Times New Roman"/>
          <w:noProof/>
        </w:rPr>
        <w:br/>
      </w:r>
      <w:r w:rsidR="000D6E30" w:rsidRPr="0049665B">
        <w:rPr>
          <w:rFonts w:cs="Times New Roman"/>
          <w:noProof/>
        </w:rPr>
        <w:t>(</w:t>
      </w:r>
      <w:r w:rsidR="00266275" w:rsidRPr="614B16CF">
        <w:rPr>
          <w:rFonts w:cs="Times New Roman"/>
          <w:noProof/>
          <w:lang w:val="en-GB"/>
        </w:rPr>
        <w:fldChar w:fldCharType="begin"/>
      </w:r>
      <w:r w:rsidR="00266275" w:rsidRPr="614B16CF">
        <w:rPr>
          <w:rFonts w:cs="Times New Roman"/>
          <w:noProof/>
          <w:lang w:val="en-GB"/>
        </w:rPr>
        <w:instrText xml:space="preserve"> REF _Ref168414609 \h </w:instrText>
      </w:r>
      <w:r w:rsidR="00C62F72">
        <w:rPr>
          <w:rFonts w:cs="Times New Roman"/>
          <w:noProof/>
          <w:szCs w:val="24"/>
          <w:lang w:val="en-GB"/>
        </w:rPr>
        <w:instrText xml:space="preserve"> \* MERGEFORMAT </w:instrText>
      </w:r>
      <w:r w:rsidR="00266275" w:rsidRPr="614B16CF">
        <w:rPr>
          <w:rFonts w:cs="Times New Roman"/>
          <w:noProof/>
          <w:lang w:val="en-GB"/>
        </w:rPr>
      </w:r>
      <w:r w:rsidR="00266275" w:rsidRPr="614B16CF">
        <w:rPr>
          <w:rFonts w:cs="Times New Roman"/>
          <w:noProof/>
          <w:lang w:val="en-GB"/>
        </w:rPr>
        <w:fldChar w:fldCharType="separate"/>
      </w:r>
      <w:r w:rsidR="00272AB0" w:rsidRPr="00272AB0">
        <w:rPr>
          <w:rFonts w:cs="Times New Roman"/>
          <w:noProof/>
        </w:rPr>
        <w:t>Box 1</w:t>
      </w:r>
      <w:r w:rsidR="00266275" w:rsidRPr="614B16CF">
        <w:rPr>
          <w:rFonts w:cs="Times New Roman"/>
          <w:noProof/>
          <w:lang w:val="en-GB"/>
        </w:rPr>
        <w:fldChar w:fldCharType="end"/>
      </w:r>
      <w:r w:rsidR="000D6E30" w:rsidRPr="0049665B">
        <w:rPr>
          <w:rFonts w:cs="Times New Roman"/>
          <w:noProof/>
        </w:rPr>
        <w:t>)</w:t>
      </w:r>
      <w:r w:rsidR="00231390" w:rsidRPr="0049665B">
        <w:rPr>
          <w:rFonts w:cs="Times New Roman"/>
          <w:noProof/>
        </w:rPr>
        <w:t>.</w:t>
      </w:r>
      <w:r w:rsidR="00231390" w:rsidRPr="614B16CF">
        <w:rPr>
          <w:rFonts w:cs="Times New Roman"/>
          <w:noProof/>
        </w:rPr>
        <w:t xml:space="preserve"> </w:t>
      </w:r>
      <w:r w:rsidR="00B83DFC" w:rsidRPr="614B16CF">
        <w:rPr>
          <w:rFonts w:cs="Times New Roman"/>
          <w:noProof/>
        </w:rPr>
        <w:t>These preliminary results echo some of the issues raised in the ad</w:t>
      </w:r>
      <w:r w:rsidR="00CA6AB7" w:rsidRPr="614B16CF">
        <w:rPr>
          <w:rFonts w:cs="Times New Roman"/>
          <w:noProof/>
        </w:rPr>
        <w:t xml:space="preserve"> </w:t>
      </w:r>
      <w:r w:rsidR="00B83DFC" w:rsidRPr="614B16CF">
        <w:rPr>
          <w:rFonts w:cs="Times New Roman"/>
          <w:noProof/>
        </w:rPr>
        <w:t>hoc consultations</w:t>
      </w:r>
      <w:r w:rsidR="009F61E9" w:rsidRPr="614B16CF">
        <w:rPr>
          <w:rFonts w:cs="Times New Roman"/>
          <w:noProof/>
        </w:rPr>
        <w:t xml:space="preserve"> </w:t>
      </w:r>
      <w:r w:rsidR="009F61E9" w:rsidRPr="0049665B">
        <w:rPr>
          <w:rFonts w:cs="Times New Roman"/>
          <w:noProof/>
        </w:rPr>
        <w:t>w</w:t>
      </w:r>
      <w:r w:rsidR="00210E5E" w:rsidRPr="0049665B">
        <w:rPr>
          <w:rFonts w:cs="Times New Roman"/>
          <w:noProof/>
        </w:rPr>
        <w:t xml:space="preserve">ith Member States and other stakeholders (see </w:t>
      </w:r>
      <w:r w:rsidRPr="0049665B">
        <w:rPr>
          <w:rFonts w:cs="Times New Roman"/>
          <w:noProof/>
        </w:rPr>
        <w:t>S</w:t>
      </w:r>
      <w:r w:rsidR="00210E5E" w:rsidRPr="0049665B">
        <w:rPr>
          <w:rFonts w:cs="Times New Roman"/>
          <w:noProof/>
        </w:rPr>
        <w:t xml:space="preserve">ection </w:t>
      </w:r>
      <w:r w:rsidR="002D4EA2" w:rsidRPr="614B16CF">
        <w:rPr>
          <w:rFonts w:cs="Times New Roman"/>
          <w:noProof/>
        </w:rPr>
        <w:t>4</w:t>
      </w:r>
      <w:r w:rsidR="00136345" w:rsidRPr="0049665B">
        <w:rPr>
          <w:rFonts w:cs="Times New Roman"/>
          <w:noProof/>
        </w:rPr>
        <w:t xml:space="preserve"> and Annex 2</w:t>
      </w:r>
      <w:r w:rsidR="00210E5E" w:rsidRPr="0049665B">
        <w:rPr>
          <w:rFonts w:cs="Times New Roman"/>
          <w:noProof/>
        </w:rPr>
        <w:t>)</w:t>
      </w:r>
      <w:r w:rsidR="00B83DFC" w:rsidRPr="0049665B">
        <w:rPr>
          <w:rFonts w:cs="Times New Roman"/>
          <w:noProof/>
        </w:rPr>
        <w:t xml:space="preserve">. </w:t>
      </w:r>
      <w:r w:rsidR="001535BA" w:rsidRPr="00136345">
        <w:rPr>
          <w:rFonts w:cs="Times New Roman"/>
          <w:noProof/>
          <w:lang w:val="en-GB"/>
        </w:rPr>
        <w:t xml:space="preserve">An extensive analysis of the replies, including the </w:t>
      </w:r>
      <w:r w:rsidR="2A5C8DF1" w:rsidRPr="00136345">
        <w:rPr>
          <w:rFonts w:cs="Times New Roman"/>
          <w:noProof/>
          <w:lang w:val="en-GB"/>
        </w:rPr>
        <w:t xml:space="preserve">open </w:t>
      </w:r>
      <w:r w:rsidR="001535BA" w:rsidRPr="00136345">
        <w:rPr>
          <w:rFonts w:cs="Times New Roman"/>
          <w:noProof/>
          <w:lang w:val="en-GB"/>
        </w:rPr>
        <w:t xml:space="preserve">questions, is ongoing, with </w:t>
      </w:r>
      <w:r w:rsidRPr="00136345">
        <w:rPr>
          <w:rFonts w:cs="Times New Roman"/>
          <w:noProof/>
          <w:lang w:val="en-GB"/>
        </w:rPr>
        <w:t xml:space="preserve">the </w:t>
      </w:r>
      <w:r w:rsidR="001535BA" w:rsidRPr="00136345">
        <w:rPr>
          <w:rFonts w:cs="Times New Roman"/>
          <w:noProof/>
          <w:lang w:val="en-GB"/>
        </w:rPr>
        <w:t xml:space="preserve">results expected </w:t>
      </w:r>
      <w:r w:rsidR="00BE06F8">
        <w:rPr>
          <w:rFonts w:cs="Times New Roman"/>
          <w:noProof/>
          <w:lang w:val="en-GB"/>
        </w:rPr>
        <w:t>by end of</w:t>
      </w:r>
      <w:r w:rsidR="001535BA" w:rsidRPr="00136345">
        <w:rPr>
          <w:rFonts w:cs="Times New Roman"/>
          <w:noProof/>
          <w:lang w:val="en-GB"/>
        </w:rPr>
        <w:t xml:space="preserve"> 2024.</w:t>
      </w:r>
      <w:r w:rsidR="001535BA" w:rsidRPr="00136345" w:rsidDel="00B02DC3">
        <w:rPr>
          <w:rFonts w:cs="Times New Roman"/>
          <w:noProof/>
          <w:lang w:val="en-GB"/>
        </w:rPr>
        <w:t xml:space="preserve"> </w:t>
      </w:r>
      <w:r w:rsidR="001535BA" w:rsidRPr="00136345">
        <w:rPr>
          <w:rFonts w:cs="Times New Roman"/>
          <w:noProof/>
          <w:lang w:val="en-GB"/>
        </w:rPr>
        <w:t xml:space="preserve">The </w:t>
      </w:r>
      <w:r w:rsidR="00A4657D" w:rsidRPr="00136345">
        <w:rPr>
          <w:rFonts w:cs="Times New Roman"/>
          <w:noProof/>
          <w:lang w:val="en-GB"/>
        </w:rPr>
        <w:t>i</w:t>
      </w:r>
      <w:r w:rsidR="001535BA" w:rsidRPr="00136345">
        <w:rPr>
          <w:rFonts w:cs="Times New Roman"/>
          <w:noProof/>
          <w:lang w:val="en-GB"/>
        </w:rPr>
        <w:t>n-depth interviews</w:t>
      </w:r>
      <w:r w:rsidR="00DE67FE" w:rsidRPr="00136345">
        <w:rPr>
          <w:rFonts w:cs="Times New Roman"/>
          <w:noProof/>
          <w:lang w:val="en-GB"/>
        </w:rPr>
        <w:t xml:space="preserve"> with farmers</w:t>
      </w:r>
      <w:r w:rsidRPr="00136345">
        <w:rPr>
          <w:rFonts w:cs="Times New Roman"/>
          <w:noProof/>
          <w:lang w:val="en-GB"/>
        </w:rPr>
        <w:t>, which took</w:t>
      </w:r>
      <w:r w:rsidR="001535BA" w:rsidRPr="00136345">
        <w:rPr>
          <w:rFonts w:cs="Times New Roman"/>
          <w:noProof/>
          <w:lang w:val="en-GB"/>
        </w:rPr>
        <w:t xml:space="preserve"> place in spring 2024, will </w:t>
      </w:r>
      <w:r w:rsidR="5A945A57" w:rsidRPr="00136345">
        <w:rPr>
          <w:rFonts w:cs="Times New Roman"/>
          <w:noProof/>
          <w:lang w:val="en-GB"/>
        </w:rPr>
        <w:t xml:space="preserve">be helpful </w:t>
      </w:r>
      <w:r w:rsidR="001535BA" w:rsidRPr="00136345">
        <w:rPr>
          <w:rFonts w:cs="Times New Roman"/>
          <w:noProof/>
          <w:lang w:val="en-GB"/>
        </w:rPr>
        <w:t>to understand</w:t>
      </w:r>
      <w:r w:rsidR="001535BA" w:rsidRPr="5B7F1876">
        <w:rPr>
          <w:rFonts w:cs="Times New Roman"/>
          <w:noProof/>
          <w:lang w:val="en-GB"/>
        </w:rPr>
        <w:t xml:space="preserve"> the rationale and background of the replies provided</w:t>
      </w:r>
      <w:r w:rsidR="00B83DFC" w:rsidRPr="5B7F1876">
        <w:rPr>
          <w:rFonts w:cs="Times New Roman"/>
          <w:noProof/>
          <w:lang w:val="en-GB"/>
        </w:rPr>
        <w:t xml:space="preserve"> in the survey</w:t>
      </w:r>
      <w:r w:rsidR="001535BA" w:rsidRPr="5B7F1876">
        <w:rPr>
          <w:rFonts w:cs="Times New Roman"/>
          <w:noProof/>
          <w:lang w:val="en-GB"/>
        </w:rPr>
        <w:t xml:space="preserve">. </w:t>
      </w:r>
    </w:p>
    <w:p w14:paraId="7F376515" w14:textId="3F83CD58" w:rsidR="00FC1285" w:rsidRPr="0049665B" w:rsidRDefault="00266275" w:rsidP="0049665B">
      <w:pPr>
        <w:pStyle w:val="Caption"/>
        <w:spacing w:before="240" w:after="120" w:line="259" w:lineRule="auto"/>
        <w:rPr>
          <w:rFonts w:cs="Times New Roman"/>
          <w:noProof/>
          <w:color w:val="auto"/>
          <w:sz w:val="24"/>
          <w:szCs w:val="24"/>
          <w:lang w:val="en-GB"/>
        </w:rPr>
      </w:pPr>
      <w:bookmarkStart w:id="31" w:name="_Ref168414609"/>
      <w:r w:rsidRPr="0049665B">
        <w:rPr>
          <w:rFonts w:cs="Times New Roman"/>
          <w:noProof/>
          <w:color w:val="auto"/>
          <w:sz w:val="24"/>
          <w:szCs w:val="24"/>
          <w:lang w:val="en-GB"/>
        </w:rPr>
        <w:lastRenderedPageBreak/>
        <w:t xml:space="preserve">Box </w:t>
      </w:r>
      <w:r w:rsidR="00FC1285" w:rsidRPr="0049665B">
        <w:rPr>
          <w:rFonts w:cs="Times New Roman"/>
          <w:noProof/>
          <w:color w:val="auto"/>
          <w:sz w:val="24"/>
          <w:szCs w:val="24"/>
          <w:lang w:val="en-GB"/>
        </w:rPr>
        <w:fldChar w:fldCharType="begin"/>
      </w:r>
      <w:r w:rsidR="00FC1285" w:rsidRPr="0049665B">
        <w:rPr>
          <w:rFonts w:cs="Times New Roman"/>
          <w:noProof/>
          <w:color w:val="auto"/>
          <w:sz w:val="24"/>
          <w:szCs w:val="24"/>
          <w:lang w:val="en-GB"/>
        </w:rPr>
        <w:instrText xml:space="preserve"> SEQ Figure \* ARABIC </w:instrText>
      </w:r>
      <w:r w:rsidR="00FC1285" w:rsidRPr="0049665B">
        <w:rPr>
          <w:rFonts w:cs="Times New Roman"/>
          <w:noProof/>
          <w:color w:val="auto"/>
          <w:sz w:val="24"/>
          <w:szCs w:val="24"/>
          <w:lang w:val="en-GB"/>
        </w:rPr>
        <w:fldChar w:fldCharType="separate"/>
      </w:r>
      <w:r w:rsidR="00272AB0">
        <w:rPr>
          <w:rFonts w:cs="Times New Roman"/>
          <w:noProof/>
          <w:color w:val="auto"/>
          <w:sz w:val="24"/>
          <w:szCs w:val="24"/>
          <w:lang w:val="en-GB"/>
        </w:rPr>
        <w:t>1</w:t>
      </w:r>
      <w:r w:rsidR="00FC1285" w:rsidRPr="0049665B">
        <w:rPr>
          <w:rFonts w:cs="Times New Roman"/>
          <w:noProof/>
          <w:color w:val="auto"/>
          <w:sz w:val="24"/>
          <w:szCs w:val="24"/>
          <w:lang w:val="en-GB"/>
        </w:rPr>
        <w:fldChar w:fldCharType="end"/>
      </w:r>
      <w:bookmarkEnd w:id="31"/>
      <w:r w:rsidR="005B7A72" w:rsidRPr="0049665B">
        <w:rPr>
          <w:rFonts w:cs="Times New Roman"/>
          <w:noProof/>
          <w:color w:val="auto"/>
          <w:sz w:val="24"/>
          <w:szCs w:val="24"/>
          <w:lang w:val="en-GB"/>
        </w:rPr>
        <w:t>:</w:t>
      </w:r>
      <w:r w:rsidR="00FC1285" w:rsidRPr="0049665B">
        <w:rPr>
          <w:rFonts w:cs="Times New Roman"/>
          <w:noProof/>
          <w:color w:val="auto"/>
          <w:sz w:val="24"/>
          <w:szCs w:val="24"/>
          <w:lang w:val="en-GB"/>
        </w:rPr>
        <w:t xml:space="preserve"> </w:t>
      </w:r>
      <w:r w:rsidR="00870BCE" w:rsidRPr="0049665B">
        <w:rPr>
          <w:rFonts w:cs="Times New Roman"/>
          <w:noProof/>
          <w:color w:val="auto"/>
          <w:sz w:val="24"/>
          <w:szCs w:val="24"/>
          <w:lang w:val="en-GB"/>
        </w:rPr>
        <w:t>Survey of the a</w:t>
      </w:r>
      <w:r w:rsidR="00FC1285" w:rsidRPr="0049665B">
        <w:rPr>
          <w:rFonts w:cs="Times New Roman"/>
          <w:noProof/>
          <w:color w:val="auto"/>
          <w:sz w:val="24"/>
          <w:szCs w:val="24"/>
          <w:lang w:val="en-GB"/>
        </w:rPr>
        <w:t xml:space="preserve">dministrative burden </w:t>
      </w:r>
      <w:r w:rsidR="00870BCE" w:rsidRPr="0049665B">
        <w:rPr>
          <w:rFonts w:cs="Times New Roman"/>
          <w:noProof/>
          <w:color w:val="auto"/>
          <w:sz w:val="24"/>
          <w:szCs w:val="24"/>
          <w:lang w:val="en-GB"/>
        </w:rPr>
        <w:t>on</w:t>
      </w:r>
      <w:r w:rsidR="00FC1285" w:rsidRPr="0049665B">
        <w:rPr>
          <w:rFonts w:cs="Times New Roman"/>
          <w:noProof/>
          <w:color w:val="auto"/>
          <w:sz w:val="24"/>
          <w:szCs w:val="24"/>
          <w:lang w:val="en-GB"/>
        </w:rPr>
        <w:t xml:space="preserve"> farmers - main preliminary findings</w:t>
      </w:r>
      <w:r w:rsidR="0063262D">
        <w:rPr>
          <w:rFonts w:cs="Times New Roman"/>
          <w:noProof/>
          <w:color w:val="auto"/>
          <w:sz w:val="24"/>
          <w:szCs w:val="24"/>
          <w:lang w:val="en-GB"/>
        </w:rPr>
        <w:t>.</w:t>
      </w:r>
    </w:p>
    <w:tbl>
      <w:tblPr>
        <w:tblStyle w:val="TableGrid"/>
        <w:tblW w:w="0" w:type="auto"/>
        <w:tblLook w:val="04A0" w:firstRow="1" w:lastRow="0" w:firstColumn="1" w:lastColumn="0" w:noHBand="0" w:noVBand="1"/>
      </w:tblPr>
      <w:tblGrid>
        <w:gridCol w:w="9016"/>
      </w:tblGrid>
      <w:tr w:rsidR="00FC1285" w:rsidRPr="00807559" w14:paraId="4C6328B6" w14:textId="77777777" w:rsidTr="230F1D33">
        <w:tc>
          <w:tcPr>
            <w:tcW w:w="9016" w:type="dxa"/>
          </w:tcPr>
          <w:p w14:paraId="0B2DCC0C" w14:textId="1DC87500" w:rsidR="00FC1285" w:rsidRPr="00724676" w:rsidRDefault="00261C48" w:rsidP="005A4202">
            <w:pPr>
              <w:pStyle w:val="ListParagraph"/>
              <w:numPr>
                <w:ilvl w:val="0"/>
                <w:numId w:val="7"/>
              </w:numPr>
              <w:spacing w:after="80" w:line="259" w:lineRule="auto"/>
              <w:ind w:left="357" w:hanging="357"/>
              <w:contextualSpacing w:val="0"/>
              <w:jc w:val="both"/>
              <w:rPr>
                <w:rFonts w:cs="Times New Roman"/>
                <w:noProof/>
                <w:lang w:val="en-GB"/>
              </w:rPr>
            </w:pPr>
            <w:r>
              <w:rPr>
                <w:rFonts w:cs="Times New Roman"/>
                <w:noProof/>
                <w:lang w:val="en-GB"/>
              </w:rPr>
              <w:t xml:space="preserve">The </w:t>
            </w:r>
            <w:r w:rsidR="00FC1285" w:rsidRPr="00724676">
              <w:rPr>
                <w:rFonts w:cs="Times New Roman"/>
                <w:noProof/>
                <w:lang w:val="en-GB"/>
              </w:rPr>
              <w:t xml:space="preserve">process of applying for CAP </w:t>
            </w:r>
            <w:r>
              <w:rPr>
                <w:rFonts w:cs="Times New Roman"/>
                <w:noProof/>
                <w:lang w:val="en-GB"/>
              </w:rPr>
              <w:t>support</w:t>
            </w:r>
            <w:r w:rsidRPr="00724676">
              <w:rPr>
                <w:rFonts w:cs="Times New Roman"/>
                <w:noProof/>
                <w:lang w:val="en-GB"/>
              </w:rPr>
              <w:t xml:space="preserve"> </w:t>
            </w:r>
            <w:r w:rsidR="00FC1285" w:rsidRPr="00724676">
              <w:rPr>
                <w:rFonts w:cs="Times New Roman"/>
                <w:noProof/>
                <w:lang w:val="en-GB"/>
              </w:rPr>
              <w:t xml:space="preserve">and respecting the mandatory </w:t>
            </w:r>
            <w:r w:rsidR="00F20F09" w:rsidRPr="00724676">
              <w:rPr>
                <w:rFonts w:cs="Times New Roman"/>
                <w:noProof/>
                <w:lang w:val="en-GB"/>
              </w:rPr>
              <w:t xml:space="preserve">requirements </w:t>
            </w:r>
            <w:r w:rsidR="00FC1285" w:rsidRPr="00724676">
              <w:rPr>
                <w:rFonts w:cs="Times New Roman"/>
                <w:noProof/>
                <w:lang w:val="en-GB"/>
              </w:rPr>
              <w:t xml:space="preserve">and conditions of </w:t>
            </w:r>
            <w:r w:rsidR="00734E77" w:rsidRPr="00724676">
              <w:rPr>
                <w:rFonts w:cs="Times New Roman"/>
                <w:noProof/>
                <w:lang w:val="en-GB"/>
              </w:rPr>
              <w:t xml:space="preserve">the voluntary measures of the </w:t>
            </w:r>
            <w:r w:rsidR="00FC1285" w:rsidRPr="00724676">
              <w:rPr>
                <w:rFonts w:cs="Times New Roman"/>
                <w:noProof/>
                <w:lang w:val="en-GB"/>
              </w:rPr>
              <w:t>CAP</w:t>
            </w:r>
            <w:r>
              <w:rPr>
                <w:rFonts w:cs="Times New Roman"/>
                <w:noProof/>
                <w:lang w:val="en-GB"/>
              </w:rPr>
              <w:t xml:space="preserve"> are generally perceived to be overly complicated</w:t>
            </w:r>
            <w:r w:rsidR="00FC1285" w:rsidRPr="00724676">
              <w:rPr>
                <w:rFonts w:cs="Times New Roman"/>
                <w:noProof/>
                <w:lang w:val="en-GB"/>
              </w:rPr>
              <w:t>.</w:t>
            </w:r>
            <w:r w:rsidR="00E1771F" w:rsidRPr="00724676">
              <w:rPr>
                <w:noProof/>
                <w:lang w:val="en-GB"/>
              </w:rPr>
              <w:t xml:space="preserve"> </w:t>
            </w:r>
          </w:p>
          <w:p w14:paraId="76F98DBF" w14:textId="093E6AF7" w:rsidR="00FC1285" w:rsidRPr="00724676" w:rsidRDefault="51F72BA7" w:rsidP="005A4202">
            <w:pPr>
              <w:pStyle w:val="ListParagraph"/>
              <w:numPr>
                <w:ilvl w:val="0"/>
                <w:numId w:val="7"/>
              </w:numPr>
              <w:spacing w:after="80" w:line="259" w:lineRule="auto"/>
              <w:ind w:left="357" w:hanging="357"/>
              <w:contextualSpacing w:val="0"/>
              <w:jc w:val="both"/>
              <w:rPr>
                <w:rFonts w:cs="Times New Roman"/>
                <w:noProof/>
                <w:lang w:val="en-GB"/>
              </w:rPr>
            </w:pPr>
            <w:r w:rsidRPr="230F1D33">
              <w:rPr>
                <w:rFonts w:cs="Times New Roman"/>
                <w:noProof/>
                <w:lang w:val="en-GB"/>
              </w:rPr>
              <w:t>33%</w:t>
            </w:r>
            <w:r w:rsidR="00FC1285" w:rsidRPr="230F1D33">
              <w:rPr>
                <w:rFonts w:cs="Times New Roman"/>
                <w:noProof/>
                <w:lang w:val="en-GB"/>
              </w:rPr>
              <w:t xml:space="preserve"> of </w:t>
            </w:r>
            <w:r w:rsidR="6C84D139" w:rsidRPr="230F1D33">
              <w:rPr>
                <w:rFonts w:cs="Times New Roman"/>
                <w:noProof/>
                <w:lang w:val="en-GB"/>
              </w:rPr>
              <w:t>farmers applying for CAP support</w:t>
            </w:r>
            <w:r w:rsidR="00FC1285" w:rsidRPr="230F1D33">
              <w:rPr>
                <w:rFonts w:cs="Times New Roman"/>
                <w:noProof/>
                <w:lang w:val="en-GB"/>
              </w:rPr>
              <w:t xml:space="preserve"> spend </w:t>
            </w:r>
            <w:r w:rsidR="6ABC12A0" w:rsidRPr="230F1D33">
              <w:rPr>
                <w:rFonts w:cs="Times New Roman"/>
                <w:noProof/>
                <w:lang w:val="en-GB"/>
              </w:rPr>
              <w:t xml:space="preserve">six </w:t>
            </w:r>
            <w:r w:rsidR="00870BCE" w:rsidRPr="230F1D33">
              <w:rPr>
                <w:rFonts w:cs="Times New Roman"/>
                <w:noProof/>
                <w:lang w:val="en-GB"/>
              </w:rPr>
              <w:t xml:space="preserve">or more </w:t>
            </w:r>
            <w:r w:rsidR="00FC1285" w:rsidRPr="230F1D33">
              <w:rPr>
                <w:rFonts w:cs="Times New Roman"/>
                <w:noProof/>
                <w:lang w:val="en-GB"/>
              </w:rPr>
              <w:t xml:space="preserve">days </w:t>
            </w:r>
            <w:r w:rsidR="00870BCE" w:rsidRPr="230F1D33">
              <w:rPr>
                <w:rFonts w:cs="Times New Roman"/>
                <w:noProof/>
                <w:lang w:val="en-GB"/>
              </w:rPr>
              <w:t>per</w:t>
            </w:r>
            <w:r w:rsidR="36B2AABD" w:rsidRPr="230F1D33">
              <w:rPr>
                <w:rFonts w:cs="Times New Roman"/>
                <w:noProof/>
                <w:lang w:val="en-GB"/>
              </w:rPr>
              <w:t xml:space="preserve"> year</w:t>
            </w:r>
            <w:r w:rsidR="00FC1285" w:rsidRPr="230F1D33">
              <w:rPr>
                <w:rFonts w:cs="Times New Roman"/>
                <w:noProof/>
                <w:lang w:val="en-GB"/>
              </w:rPr>
              <w:t xml:space="preserve"> on administrative tasks linked to </w:t>
            </w:r>
            <w:r w:rsidR="71EEDB9C" w:rsidRPr="230F1D33">
              <w:rPr>
                <w:rFonts w:cs="Times New Roman"/>
                <w:noProof/>
                <w:lang w:val="en-GB"/>
              </w:rPr>
              <w:t xml:space="preserve">their </w:t>
            </w:r>
            <w:r w:rsidR="64867A39" w:rsidRPr="230F1D33">
              <w:rPr>
                <w:rFonts w:cs="Times New Roman"/>
                <w:noProof/>
                <w:lang w:val="en-GB"/>
              </w:rPr>
              <w:t>application</w:t>
            </w:r>
            <w:r w:rsidR="00FC1285" w:rsidRPr="230F1D33">
              <w:rPr>
                <w:rFonts w:cs="Times New Roman"/>
                <w:noProof/>
                <w:lang w:val="en-GB"/>
              </w:rPr>
              <w:t xml:space="preserve">, including </w:t>
            </w:r>
            <w:r w:rsidR="71EEDB9C" w:rsidRPr="230F1D33">
              <w:rPr>
                <w:rFonts w:cs="Times New Roman"/>
                <w:noProof/>
                <w:lang w:val="en-GB"/>
              </w:rPr>
              <w:t>preparing the necessary documents on</w:t>
            </w:r>
            <w:r w:rsidR="00FC1285" w:rsidRPr="230F1D33">
              <w:rPr>
                <w:rFonts w:cs="Times New Roman"/>
                <w:noProof/>
                <w:lang w:val="en-GB"/>
              </w:rPr>
              <w:t xml:space="preserve"> conditionality.</w:t>
            </w:r>
          </w:p>
          <w:p w14:paraId="5EBFCABA" w14:textId="18A5FE63" w:rsidR="00FC1285" w:rsidRPr="00724676" w:rsidRDefault="00FC1285" w:rsidP="005A4202">
            <w:pPr>
              <w:pStyle w:val="ListParagraph"/>
              <w:numPr>
                <w:ilvl w:val="0"/>
                <w:numId w:val="7"/>
              </w:numPr>
              <w:spacing w:after="80" w:line="259" w:lineRule="auto"/>
              <w:ind w:left="357" w:hanging="357"/>
              <w:contextualSpacing w:val="0"/>
              <w:jc w:val="both"/>
              <w:rPr>
                <w:rFonts w:cs="Times New Roman"/>
                <w:noProof/>
                <w:lang w:val="en-GB"/>
              </w:rPr>
            </w:pPr>
            <w:r w:rsidRPr="00724676">
              <w:rPr>
                <w:rFonts w:cs="Times New Roman"/>
                <w:noProof/>
                <w:lang w:val="en-GB"/>
              </w:rPr>
              <w:t xml:space="preserve">78% use some type of outside help to prepare and submit their CAP </w:t>
            </w:r>
            <w:r w:rsidR="006B4976">
              <w:rPr>
                <w:rFonts w:cs="Times New Roman"/>
                <w:noProof/>
                <w:lang w:val="en-GB"/>
              </w:rPr>
              <w:t xml:space="preserve">support </w:t>
            </w:r>
            <w:r w:rsidRPr="00724676">
              <w:rPr>
                <w:rFonts w:cs="Times New Roman"/>
                <w:noProof/>
                <w:lang w:val="en-GB"/>
              </w:rPr>
              <w:t>applications.</w:t>
            </w:r>
          </w:p>
          <w:p w14:paraId="7ED12299" w14:textId="3F2B411F" w:rsidR="00FC1285" w:rsidRPr="00724676" w:rsidRDefault="00FC1285" w:rsidP="005A4202">
            <w:pPr>
              <w:pStyle w:val="ListParagraph"/>
              <w:numPr>
                <w:ilvl w:val="0"/>
                <w:numId w:val="7"/>
              </w:numPr>
              <w:spacing w:after="80" w:line="259" w:lineRule="auto"/>
              <w:ind w:left="357" w:hanging="357"/>
              <w:contextualSpacing w:val="0"/>
              <w:jc w:val="both"/>
              <w:rPr>
                <w:rFonts w:cs="Times New Roman"/>
                <w:noProof/>
                <w:lang w:val="en-GB"/>
              </w:rPr>
            </w:pPr>
            <w:r w:rsidRPr="00724676">
              <w:rPr>
                <w:rFonts w:cs="Times New Roman"/>
                <w:noProof/>
                <w:lang w:val="en-GB"/>
              </w:rPr>
              <w:t xml:space="preserve">36% were contacted by the authorities </w:t>
            </w:r>
            <w:r w:rsidR="00311F09" w:rsidRPr="00724676">
              <w:rPr>
                <w:rFonts w:cs="Times New Roman"/>
                <w:noProof/>
                <w:lang w:val="en-GB"/>
              </w:rPr>
              <w:t xml:space="preserve">(‘early warning’) </w:t>
            </w:r>
            <w:r w:rsidR="00887967" w:rsidRPr="00724676">
              <w:rPr>
                <w:rFonts w:cs="Times New Roman"/>
                <w:noProof/>
                <w:lang w:val="en-GB"/>
              </w:rPr>
              <w:t xml:space="preserve">so that they can </w:t>
            </w:r>
            <w:r w:rsidRPr="00724676">
              <w:rPr>
                <w:rFonts w:cs="Times New Roman"/>
                <w:noProof/>
                <w:lang w:val="en-GB"/>
              </w:rPr>
              <w:t xml:space="preserve">correct their CAP </w:t>
            </w:r>
            <w:r w:rsidR="006B4976">
              <w:rPr>
                <w:rFonts w:cs="Times New Roman"/>
                <w:noProof/>
                <w:lang w:val="en-GB"/>
              </w:rPr>
              <w:t xml:space="preserve">support </w:t>
            </w:r>
            <w:r w:rsidRPr="00724676">
              <w:rPr>
                <w:rFonts w:cs="Times New Roman"/>
                <w:noProof/>
                <w:lang w:val="en-GB"/>
              </w:rPr>
              <w:t>applications</w:t>
            </w:r>
            <w:r w:rsidR="004C4B89" w:rsidRPr="00724676">
              <w:rPr>
                <w:rFonts w:cs="Times New Roman"/>
                <w:noProof/>
                <w:lang w:val="en-GB"/>
              </w:rPr>
              <w:t xml:space="preserve"> to avoid </w:t>
            </w:r>
            <w:r w:rsidR="0077254D" w:rsidRPr="00724676">
              <w:rPr>
                <w:rFonts w:cs="Times New Roman"/>
                <w:noProof/>
                <w:lang w:val="en-GB"/>
              </w:rPr>
              <w:t>penalties</w:t>
            </w:r>
            <w:r w:rsidRPr="00724676">
              <w:rPr>
                <w:rFonts w:cs="Times New Roman"/>
                <w:noProof/>
                <w:lang w:val="en-GB"/>
              </w:rPr>
              <w:t>.</w:t>
            </w:r>
          </w:p>
          <w:p w14:paraId="38295067" w14:textId="3A9A4AE4" w:rsidR="00FC1285" w:rsidRPr="00724676" w:rsidRDefault="004C4B89" w:rsidP="005A4202">
            <w:pPr>
              <w:pStyle w:val="ListParagraph"/>
              <w:numPr>
                <w:ilvl w:val="0"/>
                <w:numId w:val="7"/>
              </w:numPr>
              <w:spacing w:after="80" w:line="259" w:lineRule="auto"/>
              <w:ind w:left="357" w:hanging="357"/>
              <w:contextualSpacing w:val="0"/>
              <w:jc w:val="both"/>
              <w:rPr>
                <w:rFonts w:cs="Times New Roman"/>
                <w:noProof/>
                <w:lang w:val="en-GB"/>
              </w:rPr>
            </w:pPr>
            <w:r w:rsidRPr="00724676">
              <w:rPr>
                <w:rFonts w:cs="Times New Roman"/>
                <w:noProof/>
                <w:lang w:val="en-GB"/>
              </w:rPr>
              <w:t>H</w:t>
            </w:r>
            <w:r w:rsidR="00FC1285" w:rsidRPr="00724676">
              <w:rPr>
                <w:rFonts w:cs="Times New Roman"/>
                <w:noProof/>
                <w:lang w:val="en-GB"/>
              </w:rPr>
              <w:t xml:space="preserve">alf of the </w:t>
            </w:r>
            <w:r w:rsidR="000C6762" w:rsidRPr="00724676">
              <w:rPr>
                <w:rFonts w:cs="Times New Roman"/>
                <w:noProof/>
                <w:lang w:val="en-GB"/>
              </w:rPr>
              <w:t xml:space="preserve">farmers applying for CAP support </w:t>
            </w:r>
            <w:r w:rsidR="00FC1285" w:rsidRPr="00724676">
              <w:rPr>
                <w:rFonts w:cs="Times New Roman"/>
                <w:noProof/>
                <w:lang w:val="en-GB"/>
              </w:rPr>
              <w:t xml:space="preserve">use mobile devices to provide </w:t>
            </w:r>
            <w:r w:rsidR="0093411D">
              <w:rPr>
                <w:rFonts w:cs="Times New Roman"/>
                <w:noProof/>
                <w:lang w:val="en-GB"/>
              </w:rPr>
              <w:t>geotagged</w:t>
            </w:r>
            <w:r w:rsidR="00FC1285" w:rsidRPr="00724676">
              <w:rPr>
                <w:rFonts w:cs="Times New Roman"/>
                <w:noProof/>
                <w:lang w:val="en-GB"/>
              </w:rPr>
              <w:t xml:space="preserve"> photos to </w:t>
            </w:r>
            <w:r w:rsidR="00261C48">
              <w:rPr>
                <w:rFonts w:cs="Times New Roman"/>
                <w:noProof/>
                <w:lang w:val="en-GB"/>
              </w:rPr>
              <w:t xml:space="preserve">the relevant </w:t>
            </w:r>
            <w:r w:rsidR="00FC1285" w:rsidRPr="00724676">
              <w:rPr>
                <w:rFonts w:cs="Times New Roman"/>
                <w:noProof/>
                <w:lang w:val="en-GB"/>
              </w:rPr>
              <w:t>authorities. Half of th</w:t>
            </w:r>
            <w:r w:rsidR="00196060" w:rsidRPr="00724676">
              <w:rPr>
                <w:rFonts w:cs="Times New Roman"/>
                <w:noProof/>
                <w:lang w:val="en-GB"/>
              </w:rPr>
              <w:t>o</w:t>
            </w:r>
            <w:r w:rsidR="00FC1285" w:rsidRPr="00724676">
              <w:rPr>
                <w:rFonts w:cs="Times New Roman"/>
                <w:noProof/>
                <w:lang w:val="en-GB"/>
              </w:rPr>
              <w:t xml:space="preserve">se </w:t>
            </w:r>
            <w:r w:rsidR="00261C48">
              <w:rPr>
                <w:rFonts w:cs="Times New Roman"/>
                <w:noProof/>
                <w:lang w:val="en-GB"/>
              </w:rPr>
              <w:t xml:space="preserve">farmers </w:t>
            </w:r>
            <w:r w:rsidR="00FC1285" w:rsidRPr="00724676">
              <w:rPr>
                <w:rFonts w:cs="Times New Roman"/>
                <w:noProof/>
                <w:lang w:val="en-GB"/>
              </w:rPr>
              <w:t xml:space="preserve">indicate concerns with the use </w:t>
            </w:r>
            <w:r w:rsidR="00196060" w:rsidRPr="00724676">
              <w:rPr>
                <w:rFonts w:cs="Times New Roman"/>
                <w:noProof/>
                <w:lang w:val="en-GB"/>
              </w:rPr>
              <w:t xml:space="preserve">of this technology </w:t>
            </w:r>
            <w:r w:rsidR="00FC1285" w:rsidRPr="00724676">
              <w:rPr>
                <w:rFonts w:cs="Times New Roman"/>
                <w:noProof/>
                <w:lang w:val="en-GB"/>
              </w:rPr>
              <w:t>(</w:t>
            </w:r>
            <w:r w:rsidR="001B5CE9" w:rsidRPr="00724676">
              <w:rPr>
                <w:rFonts w:cs="Times New Roman"/>
                <w:noProof/>
                <w:lang w:val="en-GB"/>
              </w:rPr>
              <w:t xml:space="preserve">main concerns: </w:t>
            </w:r>
            <w:r w:rsidR="00FC1285" w:rsidRPr="00724676">
              <w:rPr>
                <w:rFonts w:cs="Times New Roman"/>
                <w:noProof/>
                <w:lang w:val="en-GB"/>
              </w:rPr>
              <w:t xml:space="preserve">the time it takes, not easy to use, lack </w:t>
            </w:r>
            <w:r w:rsidR="004E65C8" w:rsidRPr="00724676">
              <w:rPr>
                <w:rFonts w:cs="Times New Roman"/>
                <w:noProof/>
                <w:lang w:val="en-GB"/>
              </w:rPr>
              <w:t xml:space="preserve">of </w:t>
            </w:r>
            <w:r w:rsidR="00FC1285" w:rsidRPr="00724676">
              <w:rPr>
                <w:rFonts w:cs="Times New Roman"/>
                <w:noProof/>
                <w:lang w:val="en-GB"/>
              </w:rPr>
              <w:t>feedback on the accuracy of the pictures</w:t>
            </w:r>
            <w:r w:rsidR="00CD3353" w:rsidRPr="00724676">
              <w:rPr>
                <w:rFonts w:cs="Times New Roman"/>
                <w:noProof/>
                <w:lang w:val="en-GB"/>
              </w:rPr>
              <w:t xml:space="preserve"> provided)</w:t>
            </w:r>
            <w:r w:rsidR="00D514C6" w:rsidRPr="00724676">
              <w:rPr>
                <w:rFonts w:cs="Times New Roman"/>
                <w:noProof/>
                <w:lang w:val="en-GB"/>
              </w:rPr>
              <w:t>.</w:t>
            </w:r>
          </w:p>
          <w:p w14:paraId="23FE4CF9" w14:textId="4C37D968" w:rsidR="00FC1285" w:rsidRPr="00724676" w:rsidRDefault="05D60C6B" w:rsidP="005A4202">
            <w:pPr>
              <w:pStyle w:val="ListParagraph"/>
              <w:numPr>
                <w:ilvl w:val="0"/>
                <w:numId w:val="7"/>
              </w:numPr>
              <w:spacing w:after="80" w:line="259" w:lineRule="auto"/>
              <w:ind w:left="357" w:hanging="357"/>
              <w:contextualSpacing w:val="0"/>
              <w:jc w:val="both"/>
              <w:rPr>
                <w:rFonts w:cs="Times New Roman"/>
                <w:noProof/>
                <w:lang w:val="en-GB"/>
              </w:rPr>
            </w:pPr>
            <w:r w:rsidRPr="02BE03D9">
              <w:rPr>
                <w:rFonts w:cs="Times New Roman"/>
                <w:noProof/>
                <w:lang w:val="en-GB"/>
              </w:rPr>
              <w:t>Farmers record various types of information</w:t>
            </w:r>
            <w:r w:rsidR="464AED59" w:rsidRPr="02BE03D9">
              <w:rPr>
                <w:rFonts w:cs="Times New Roman"/>
                <w:noProof/>
                <w:lang w:val="en-GB"/>
              </w:rPr>
              <w:t xml:space="preserve"> (oblig</w:t>
            </w:r>
            <w:r w:rsidR="49C6AFEC" w:rsidRPr="02BE03D9">
              <w:rPr>
                <w:rFonts w:cs="Times New Roman"/>
                <w:noProof/>
                <w:lang w:val="en-GB"/>
              </w:rPr>
              <w:t>atory</w:t>
            </w:r>
            <w:r w:rsidR="464AED59" w:rsidRPr="02BE03D9">
              <w:rPr>
                <w:rFonts w:cs="Times New Roman"/>
                <w:noProof/>
                <w:lang w:val="en-GB"/>
              </w:rPr>
              <w:t xml:space="preserve"> or for own use)</w:t>
            </w:r>
            <w:r w:rsidR="18A19721" w:rsidRPr="02BE03D9">
              <w:rPr>
                <w:rFonts w:cs="Times New Roman"/>
                <w:noProof/>
                <w:lang w:val="en-GB"/>
              </w:rPr>
              <w:t>, mainly</w:t>
            </w:r>
            <w:r w:rsidRPr="02BE03D9">
              <w:rPr>
                <w:rFonts w:cs="Times New Roman"/>
                <w:noProof/>
                <w:lang w:val="en-GB"/>
              </w:rPr>
              <w:t xml:space="preserve"> </w:t>
            </w:r>
            <w:r w:rsidR="18A19721" w:rsidRPr="02BE03D9">
              <w:rPr>
                <w:rFonts w:cs="Times New Roman"/>
                <w:noProof/>
                <w:lang w:val="en-GB"/>
              </w:rPr>
              <w:t xml:space="preserve">by </w:t>
            </w:r>
            <w:r w:rsidRPr="02BE03D9">
              <w:rPr>
                <w:rFonts w:cs="Times New Roman"/>
                <w:noProof/>
                <w:lang w:val="en-GB"/>
              </w:rPr>
              <w:t>manual</w:t>
            </w:r>
            <w:r w:rsidR="18A19721" w:rsidRPr="02BE03D9">
              <w:rPr>
                <w:rFonts w:cs="Times New Roman"/>
                <w:noProof/>
                <w:lang w:val="en-GB"/>
              </w:rPr>
              <w:t xml:space="preserve"> means</w:t>
            </w:r>
            <w:r w:rsidRPr="02BE03D9">
              <w:rPr>
                <w:rFonts w:cs="Times New Roman"/>
                <w:noProof/>
                <w:lang w:val="en-GB"/>
              </w:rPr>
              <w:t xml:space="preserve">. </w:t>
            </w:r>
            <w:r w:rsidR="18A19721" w:rsidRPr="02BE03D9">
              <w:rPr>
                <w:rFonts w:cs="Times New Roman"/>
                <w:noProof/>
                <w:lang w:val="en-GB"/>
              </w:rPr>
              <w:t xml:space="preserve">Automatic recording </w:t>
            </w:r>
            <w:r w:rsidR="11EE0698" w:rsidRPr="02BE03D9">
              <w:rPr>
                <w:rFonts w:cs="Times New Roman"/>
                <w:noProof/>
                <w:lang w:val="en-GB"/>
              </w:rPr>
              <w:t>i</w:t>
            </w:r>
            <w:r w:rsidR="49C6AFEC" w:rsidRPr="02BE03D9">
              <w:rPr>
                <w:rFonts w:cs="Times New Roman"/>
                <w:noProof/>
                <w:lang w:val="en-GB"/>
              </w:rPr>
              <w:t>s used rarely</w:t>
            </w:r>
            <w:r w:rsidR="18A19721" w:rsidRPr="02BE03D9">
              <w:rPr>
                <w:rFonts w:cs="Times New Roman"/>
                <w:noProof/>
                <w:lang w:val="en-GB"/>
              </w:rPr>
              <w:t>.</w:t>
            </w:r>
            <w:r w:rsidRPr="02BE03D9">
              <w:rPr>
                <w:rFonts w:cs="Times New Roman"/>
                <w:noProof/>
                <w:lang w:val="en-GB"/>
              </w:rPr>
              <w:t xml:space="preserve"> Most commonly, record</w:t>
            </w:r>
            <w:r w:rsidR="64780B2E" w:rsidRPr="02BE03D9">
              <w:rPr>
                <w:rFonts w:cs="Times New Roman"/>
                <w:noProof/>
                <w:lang w:val="en-GB"/>
              </w:rPr>
              <w:t>ing</w:t>
            </w:r>
            <w:r w:rsidRPr="02BE03D9">
              <w:rPr>
                <w:rFonts w:cs="Times New Roman"/>
                <w:noProof/>
                <w:lang w:val="en-GB"/>
              </w:rPr>
              <w:t xml:space="preserve"> </w:t>
            </w:r>
            <w:r w:rsidR="72ECC233" w:rsidRPr="02BE03D9">
              <w:rPr>
                <w:rFonts w:cs="Times New Roman"/>
                <w:noProof/>
                <w:lang w:val="en-GB"/>
              </w:rPr>
              <w:t xml:space="preserve">covers </w:t>
            </w:r>
            <w:r w:rsidRPr="02BE03D9">
              <w:rPr>
                <w:rFonts w:cs="Times New Roman"/>
                <w:noProof/>
                <w:lang w:val="en-GB"/>
              </w:rPr>
              <w:t xml:space="preserve">production, </w:t>
            </w:r>
            <w:r w:rsidR="6A9FEC9E" w:rsidRPr="02BE03D9">
              <w:rPr>
                <w:rFonts w:cs="Times New Roman"/>
                <w:noProof/>
                <w:lang w:val="en-GB"/>
              </w:rPr>
              <w:t xml:space="preserve">the </w:t>
            </w:r>
            <w:r w:rsidRPr="02BE03D9">
              <w:rPr>
                <w:rFonts w:cs="Times New Roman"/>
                <w:noProof/>
                <w:lang w:val="en-GB"/>
              </w:rPr>
              <w:t xml:space="preserve">use of </w:t>
            </w:r>
            <w:r w:rsidRPr="003B7DD1">
              <w:rPr>
                <w:rFonts w:cs="Times New Roman"/>
                <w:noProof/>
                <w:lang w:val="en-GB"/>
              </w:rPr>
              <w:t>fertilisers and pesticides,</w:t>
            </w:r>
            <w:r w:rsidRPr="02BE03D9">
              <w:rPr>
                <w:rFonts w:cs="Times New Roman"/>
                <w:noProof/>
                <w:lang w:val="en-GB"/>
              </w:rPr>
              <w:t xml:space="preserve"> and soil analysis.</w:t>
            </w:r>
          </w:p>
          <w:p w14:paraId="6DDB9FDB" w14:textId="708A8C4B" w:rsidR="00FC1285" w:rsidRPr="00724676" w:rsidRDefault="000770FB" w:rsidP="005A4202">
            <w:pPr>
              <w:pStyle w:val="ListParagraph"/>
              <w:numPr>
                <w:ilvl w:val="0"/>
                <w:numId w:val="7"/>
              </w:numPr>
              <w:spacing w:after="80" w:line="259" w:lineRule="auto"/>
              <w:ind w:left="357" w:hanging="357"/>
              <w:contextualSpacing w:val="0"/>
              <w:jc w:val="both"/>
              <w:rPr>
                <w:rFonts w:cs="Times New Roman"/>
                <w:noProof/>
                <w:lang w:val="en-GB"/>
              </w:rPr>
            </w:pPr>
            <w:r>
              <w:rPr>
                <w:rFonts w:cs="Times New Roman"/>
                <w:noProof/>
                <w:lang w:val="en-GB"/>
              </w:rPr>
              <w:t>Nearly</w:t>
            </w:r>
            <w:r w:rsidR="00FC1285" w:rsidRPr="00724676">
              <w:rPr>
                <w:rFonts w:cs="Times New Roman"/>
                <w:noProof/>
                <w:lang w:val="en-GB"/>
              </w:rPr>
              <w:t xml:space="preserve"> half of the </w:t>
            </w:r>
            <w:r w:rsidR="00C64744" w:rsidRPr="00724676">
              <w:rPr>
                <w:rFonts w:cs="Times New Roman"/>
                <w:noProof/>
                <w:lang w:val="en-GB"/>
              </w:rPr>
              <w:t>farmers</w:t>
            </w:r>
            <w:r w:rsidR="00FC1285" w:rsidRPr="00724676">
              <w:rPr>
                <w:rFonts w:cs="Times New Roman"/>
                <w:noProof/>
                <w:lang w:val="en-GB"/>
              </w:rPr>
              <w:t xml:space="preserve"> </w:t>
            </w:r>
            <w:r w:rsidR="00803DBD">
              <w:rPr>
                <w:rFonts w:cs="Times New Roman"/>
                <w:noProof/>
                <w:lang w:val="en-GB"/>
              </w:rPr>
              <w:t>said they</w:t>
            </w:r>
            <w:r w:rsidR="00385C7E" w:rsidRPr="00724676">
              <w:rPr>
                <w:rFonts w:cs="Times New Roman"/>
                <w:noProof/>
                <w:lang w:val="en-GB"/>
              </w:rPr>
              <w:t xml:space="preserve"> </w:t>
            </w:r>
            <w:r w:rsidR="00803DBD">
              <w:rPr>
                <w:rFonts w:cs="Times New Roman"/>
                <w:noProof/>
                <w:lang w:val="en-GB"/>
              </w:rPr>
              <w:t xml:space="preserve">had </w:t>
            </w:r>
            <w:r w:rsidR="00385C7E" w:rsidRPr="00724676">
              <w:rPr>
                <w:rFonts w:cs="Times New Roman"/>
                <w:noProof/>
                <w:lang w:val="en-GB"/>
              </w:rPr>
              <w:t>been</w:t>
            </w:r>
            <w:r w:rsidR="00FC1285" w:rsidRPr="00724676">
              <w:rPr>
                <w:rFonts w:cs="Times New Roman"/>
                <w:noProof/>
                <w:lang w:val="en-GB"/>
              </w:rPr>
              <w:t xml:space="preserve"> </w:t>
            </w:r>
            <w:r w:rsidR="00803DBD">
              <w:rPr>
                <w:rFonts w:cs="Times New Roman"/>
                <w:noProof/>
                <w:lang w:val="en-GB"/>
              </w:rPr>
              <w:t>asked</w:t>
            </w:r>
            <w:r w:rsidR="00803DBD" w:rsidRPr="00724676">
              <w:rPr>
                <w:rFonts w:cs="Times New Roman"/>
                <w:noProof/>
                <w:lang w:val="en-GB"/>
              </w:rPr>
              <w:t xml:space="preserve"> </w:t>
            </w:r>
            <w:r w:rsidR="00FC1285" w:rsidRPr="00724676">
              <w:rPr>
                <w:rFonts w:cs="Times New Roman"/>
                <w:noProof/>
                <w:lang w:val="en-GB"/>
              </w:rPr>
              <w:t xml:space="preserve">to </w:t>
            </w:r>
            <w:r w:rsidR="00261C48">
              <w:rPr>
                <w:rFonts w:cs="Times New Roman"/>
                <w:noProof/>
                <w:lang w:val="en-GB"/>
              </w:rPr>
              <w:t>provide</w:t>
            </w:r>
            <w:r w:rsidR="00261C48" w:rsidRPr="00724676">
              <w:rPr>
                <w:rFonts w:cs="Times New Roman"/>
                <w:noProof/>
                <w:lang w:val="en-GB"/>
              </w:rPr>
              <w:t xml:space="preserve"> </w:t>
            </w:r>
            <w:r w:rsidR="00FC1285" w:rsidRPr="00724676">
              <w:rPr>
                <w:rFonts w:cs="Times New Roman"/>
                <w:noProof/>
                <w:lang w:val="en-GB"/>
              </w:rPr>
              <w:t>the same piece of information more than once</w:t>
            </w:r>
            <w:r w:rsidR="00FB4BAA" w:rsidRPr="00724676">
              <w:rPr>
                <w:rFonts w:cs="Times New Roman"/>
                <w:noProof/>
                <w:lang w:val="en-GB"/>
              </w:rPr>
              <w:t>.</w:t>
            </w:r>
            <w:r w:rsidR="00FC1285" w:rsidRPr="00724676">
              <w:rPr>
                <w:rFonts w:cs="Times New Roman"/>
                <w:noProof/>
                <w:lang w:val="en-GB"/>
              </w:rPr>
              <w:t xml:space="preserve"> </w:t>
            </w:r>
            <w:r w:rsidR="00FB4BAA" w:rsidRPr="00724676">
              <w:rPr>
                <w:rFonts w:cs="Times New Roman"/>
                <w:noProof/>
                <w:lang w:val="en-GB"/>
              </w:rPr>
              <w:t>This include</w:t>
            </w:r>
            <w:r w:rsidR="00261C48">
              <w:rPr>
                <w:rFonts w:cs="Times New Roman"/>
                <w:noProof/>
                <w:lang w:val="en-GB"/>
              </w:rPr>
              <w:t>d</w:t>
            </w:r>
            <w:r w:rsidR="00FB4BAA" w:rsidRPr="00724676">
              <w:rPr>
                <w:rFonts w:cs="Times New Roman"/>
                <w:noProof/>
                <w:lang w:val="en-GB"/>
              </w:rPr>
              <w:t xml:space="preserve"> </w:t>
            </w:r>
            <w:r w:rsidR="0043321C" w:rsidRPr="00724676">
              <w:rPr>
                <w:rFonts w:cs="Times New Roman"/>
                <w:noProof/>
                <w:lang w:val="en-GB"/>
              </w:rPr>
              <w:t>requests</w:t>
            </w:r>
            <w:r w:rsidR="36600B84" w:rsidRPr="532033A3">
              <w:rPr>
                <w:rFonts w:cs="Times New Roman"/>
                <w:noProof/>
                <w:lang w:val="en-GB"/>
              </w:rPr>
              <w:t xml:space="preserve"> related to </w:t>
            </w:r>
            <w:r w:rsidR="00FB4BAA" w:rsidRPr="00724676">
              <w:rPr>
                <w:rFonts w:cs="Times New Roman"/>
                <w:noProof/>
                <w:lang w:val="en-GB"/>
              </w:rPr>
              <w:t>t</w:t>
            </w:r>
            <w:r w:rsidR="00FC1285" w:rsidRPr="00724676">
              <w:rPr>
                <w:rFonts w:cs="Times New Roman"/>
                <w:noProof/>
                <w:lang w:val="en-GB"/>
              </w:rPr>
              <w:t xml:space="preserve">ax and financial </w:t>
            </w:r>
            <w:r w:rsidR="152AABE3" w:rsidRPr="532033A3">
              <w:rPr>
                <w:rFonts w:cs="Times New Roman"/>
                <w:noProof/>
                <w:lang w:val="en-GB"/>
              </w:rPr>
              <w:t>issues</w:t>
            </w:r>
            <w:r w:rsidR="00FC1285" w:rsidRPr="00724676">
              <w:rPr>
                <w:rFonts w:cs="Times New Roman"/>
                <w:noProof/>
                <w:lang w:val="en-GB"/>
              </w:rPr>
              <w:t>,</w:t>
            </w:r>
            <w:r w:rsidR="00803DBD">
              <w:rPr>
                <w:rFonts w:cs="Times New Roman"/>
                <w:noProof/>
                <w:lang w:val="en-GB"/>
              </w:rPr>
              <w:t xml:space="preserve"> </w:t>
            </w:r>
            <w:r w:rsidR="00261C48">
              <w:rPr>
                <w:rFonts w:cs="Times New Roman"/>
                <w:noProof/>
                <w:lang w:val="en-GB"/>
              </w:rPr>
              <w:t xml:space="preserve">requests </w:t>
            </w:r>
            <w:r w:rsidR="00803DBD">
              <w:rPr>
                <w:rFonts w:cs="Times New Roman"/>
                <w:noProof/>
                <w:lang w:val="en-GB"/>
              </w:rPr>
              <w:t xml:space="preserve">for information on </w:t>
            </w:r>
            <w:r w:rsidR="00FC1285" w:rsidRPr="00724676">
              <w:rPr>
                <w:rFonts w:cs="Times New Roman"/>
                <w:noProof/>
                <w:lang w:val="en-GB"/>
              </w:rPr>
              <w:t>land use</w:t>
            </w:r>
            <w:r w:rsidR="00803DBD">
              <w:rPr>
                <w:rFonts w:cs="Times New Roman"/>
                <w:noProof/>
                <w:lang w:val="en-GB"/>
              </w:rPr>
              <w:t xml:space="preserve"> or </w:t>
            </w:r>
            <w:r w:rsidR="17A7CBA5" w:rsidRPr="532033A3">
              <w:rPr>
                <w:rFonts w:cs="Times New Roman"/>
                <w:noProof/>
                <w:lang w:val="en-GB"/>
              </w:rPr>
              <w:t xml:space="preserve">its </w:t>
            </w:r>
            <w:r w:rsidR="00FC1285" w:rsidRPr="00724676">
              <w:rPr>
                <w:rFonts w:cs="Times New Roman"/>
                <w:noProof/>
                <w:lang w:val="en-GB"/>
              </w:rPr>
              <w:t xml:space="preserve">allocation </w:t>
            </w:r>
            <w:r w:rsidR="00261C48">
              <w:rPr>
                <w:rFonts w:cs="Times New Roman"/>
                <w:noProof/>
                <w:lang w:val="en-GB"/>
              </w:rPr>
              <w:t>or for</w:t>
            </w:r>
            <w:r w:rsidR="00261C48" w:rsidRPr="00724676">
              <w:rPr>
                <w:rFonts w:cs="Times New Roman"/>
                <w:noProof/>
                <w:lang w:val="en-GB"/>
              </w:rPr>
              <w:t xml:space="preserve"> </w:t>
            </w:r>
            <w:r w:rsidR="00FC1285" w:rsidRPr="00724676">
              <w:rPr>
                <w:rFonts w:cs="Times New Roman"/>
                <w:noProof/>
                <w:lang w:val="en-GB"/>
              </w:rPr>
              <w:t>environment</w:t>
            </w:r>
            <w:r w:rsidR="00803DBD">
              <w:rPr>
                <w:rFonts w:cs="Times New Roman"/>
                <w:noProof/>
                <w:lang w:val="en-GB"/>
              </w:rPr>
              <w:t>al</w:t>
            </w:r>
            <w:r w:rsidR="00B57CD4" w:rsidRPr="00724676">
              <w:rPr>
                <w:rFonts w:cs="Times New Roman"/>
                <w:noProof/>
                <w:lang w:val="en-GB"/>
              </w:rPr>
              <w:t xml:space="preserve"> </w:t>
            </w:r>
            <w:r w:rsidR="00432AD2" w:rsidRPr="00724676">
              <w:rPr>
                <w:rFonts w:cs="Times New Roman"/>
                <w:noProof/>
                <w:lang w:val="en-GB"/>
              </w:rPr>
              <w:t>data</w:t>
            </w:r>
            <w:r w:rsidR="00FC1285" w:rsidRPr="00724676">
              <w:rPr>
                <w:rFonts w:cs="Times New Roman"/>
                <w:noProof/>
                <w:lang w:val="en-GB"/>
              </w:rPr>
              <w:t>.</w:t>
            </w:r>
          </w:p>
          <w:p w14:paraId="788E4481" w14:textId="4773696C" w:rsidR="00FC1285" w:rsidRPr="00724676" w:rsidRDefault="00F50268" w:rsidP="005A4202">
            <w:pPr>
              <w:pStyle w:val="ListParagraph"/>
              <w:numPr>
                <w:ilvl w:val="0"/>
                <w:numId w:val="7"/>
              </w:numPr>
              <w:spacing w:after="80" w:line="259" w:lineRule="auto"/>
              <w:ind w:left="357" w:hanging="357"/>
              <w:contextualSpacing w:val="0"/>
              <w:jc w:val="both"/>
              <w:rPr>
                <w:noProof/>
                <w:lang w:val="en-GB"/>
              </w:rPr>
            </w:pPr>
            <w:r w:rsidRPr="00724676">
              <w:rPr>
                <w:rFonts w:cs="Times New Roman"/>
                <w:noProof/>
                <w:lang w:val="en-GB"/>
              </w:rPr>
              <w:t>69%</w:t>
            </w:r>
            <w:r w:rsidR="00FC1285" w:rsidRPr="00724676">
              <w:rPr>
                <w:rFonts w:cs="Times New Roman"/>
                <w:noProof/>
                <w:lang w:val="en-GB"/>
              </w:rPr>
              <w:t xml:space="preserve"> of </w:t>
            </w:r>
            <w:r w:rsidR="00A371ED" w:rsidRPr="00724676">
              <w:rPr>
                <w:rFonts w:cs="Times New Roman"/>
                <w:noProof/>
                <w:lang w:val="en-GB"/>
              </w:rPr>
              <w:t xml:space="preserve">respondent </w:t>
            </w:r>
            <w:r w:rsidR="00FC1285" w:rsidRPr="00724676">
              <w:rPr>
                <w:rFonts w:cs="Times New Roman"/>
                <w:noProof/>
                <w:lang w:val="en-GB"/>
              </w:rPr>
              <w:t>farm</w:t>
            </w:r>
            <w:r w:rsidR="00A371ED" w:rsidRPr="00724676">
              <w:rPr>
                <w:rFonts w:cs="Times New Roman"/>
                <w:noProof/>
                <w:lang w:val="en-GB"/>
              </w:rPr>
              <w:t>er</w:t>
            </w:r>
            <w:r w:rsidR="00FC1285" w:rsidRPr="00724676">
              <w:rPr>
                <w:rFonts w:cs="Times New Roman"/>
                <w:noProof/>
                <w:lang w:val="en-GB"/>
              </w:rPr>
              <w:t xml:space="preserve">s had </w:t>
            </w:r>
            <w:r w:rsidRPr="00724676">
              <w:rPr>
                <w:rFonts w:cs="Times New Roman"/>
                <w:noProof/>
                <w:lang w:val="en-GB"/>
              </w:rPr>
              <w:t xml:space="preserve">received at least </w:t>
            </w:r>
            <w:r w:rsidR="0097617E" w:rsidRPr="00724676">
              <w:rPr>
                <w:rFonts w:cs="Times New Roman"/>
                <w:noProof/>
                <w:lang w:val="en-GB"/>
              </w:rPr>
              <w:t>one</w:t>
            </w:r>
            <w:r w:rsidR="00FC1285" w:rsidRPr="00724676">
              <w:rPr>
                <w:rFonts w:cs="Times New Roman"/>
                <w:noProof/>
                <w:lang w:val="en-GB"/>
              </w:rPr>
              <w:t xml:space="preserve"> on-site inspection in the last 3 years.</w:t>
            </w:r>
            <w:r w:rsidR="003F5675" w:rsidRPr="00724676">
              <w:rPr>
                <w:rFonts w:cs="Times New Roman"/>
                <w:noProof/>
                <w:lang w:val="en-GB"/>
              </w:rPr>
              <w:t xml:space="preserve"> </w:t>
            </w:r>
            <w:r w:rsidR="0097617E" w:rsidRPr="00724676">
              <w:rPr>
                <w:rFonts w:cs="Times New Roman"/>
                <w:noProof/>
                <w:lang w:val="en-GB"/>
              </w:rPr>
              <w:t>These visits may also include inspections not related to the CAP.</w:t>
            </w:r>
            <w:r w:rsidR="003F5675" w:rsidRPr="00724676">
              <w:rPr>
                <w:rFonts w:cs="Times New Roman"/>
                <w:noProof/>
                <w:lang w:val="en-GB"/>
              </w:rPr>
              <w:t xml:space="preserve"> </w:t>
            </w:r>
          </w:p>
          <w:p w14:paraId="1D9085A1" w14:textId="7E6CF88D" w:rsidR="00FC1285" w:rsidRPr="00724676" w:rsidRDefault="0097617E" w:rsidP="007C3C31">
            <w:pPr>
              <w:pStyle w:val="ListParagraph"/>
              <w:numPr>
                <w:ilvl w:val="0"/>
                <w:numId w:val="7"/>
              </w:numPr>
              <w:spacing w:after="120" w:line="259" w:lineRule="auto"/>
              <w:ind w:left="357" w:hanging="357"/>
              <w:contextualSpacing w:val="0"/>
              <w:jc w:val="both"/>
              <w:rPr>
                <w:noProof/>
                <w:lang w:val="en-GB"/>
              </w:rPr>
            </w:pPr>
            <w:r w:rsidRPr="00724676">
              <w:rPr>
                <w:rFonts w:cs="Times New Roman"/>
                <w:noProof/>
                <w:lang w:val="en-GB"/>
              </w:rPr>
              <w:t xml:space="preserve">Preparing and following up on these on-site checks required between half a day and one day of work for 63% of </w:t>
            </w:r>
            <w:r w:rsidR="00261C48">
              <w:rPr>
                <w:rFonts w:cs="Times New Roman"/>
                <w:noProof/>
                <w:lang w:val="en-GB"/>
              </w:rPr>
              <w:t xml:space="preserve">the </w:t>
            </w:r>
            <w:r w:rsidRPr="00724676">
              <w:rPr>
                <w:rFonts w:cs="Times New Roman"/>
                <w:noProof/>
                <w:lang w:val="en-GB"/>
              </w:rPr>
              <w:t xml:space="preserve">farmers </w:t>
            </w:r>
            <w:r w:rsidR="00261C48">
              <w:rPr>
                <w:rFonts w:cs="Times New Roman"/>
                <w:noProof/>
                <w:lang w:val="en-GB"/>
              </w:rPr>
              <w:t xml:space="preserve">who were </w:t>
            </w:r>
            <w:r w:rsidRPr="00724676">
              <w:rPr>
                <w:rFonts w:cs="Times New Roman"/>
                <w:noProof/>
                <w:lang w:val="en-GB"/>
              </w:rPr>
              <w:t>checked.</w:t>
            </w:r>
          </w:p>
        </w:tc>
      </w:tr>
    </w:tbl>
    <w:p w14:paraId="188FE893" w14:textId="77777777" w:rsidR="005A4202" w:rsidRDefault="005A4202" w:rsidP="00724676">
      <w:pPr>
        <w:jc w:val="both"/>
        <w:rPr>
          <w:rFonts w:cs="Times New Roman"/>
          <w:i/>
          <w:iCs/>
          <w:noProof/>
          <w:lang w:val="en-GB"/>
        </w:rPr>
      </w:pPr>
      <w:bookmarkStart w:id="32" w:name="_Ref170117094"/>
    </w:p>
    <w:p w14:paraId="14D38162" w14:textId="0D5BDF3D" w:rsidR="000F6A4B" w:rsidRPr="00724676" w:rsidRDefault="000F6A4B" w:rsidP="00724676">
      <w:pPr>
        <w:jc w:val="both"/>
        <w:rPr>
          <w:i/>
          <w:iCs/>
          <w:noProof/>
          <w:lang w:val="en-GB"/>
        </w:rPr>
      </w:pPr>
      <w:r w:rsidRPr="00724676">
        <w:rPr>
          <w:rFonts w:cs="Times New Roman"/>
          <w:i/>
          <w:iCs/>
          <w:noProof/>
          <w:lang w:val="en-GB"/>
        </w:rPr>
        <w:t xml:space="preserve">Figure </w:t>
      </w:r>
      <w:bookmarkEnd w:id="32"/>
      <w:r w:rsidR="00ED43DE" w:rsidRPr="00724676">
        <w:rPr>
          <w:rFonts w:cs="Times New Roman"/>
          <w:i/>
          <w:iCs/>
          <w:noProof/>
          <w:lang w:val="en-GB"/>
        </w:rPr>
        <w:t xml:space="preserve">1 </w:t>
      </w:r>
      <w:r w:rsidR="004C6F75" w:rsidRPr="00724676">
        <w:rPr>
          <w:rFonts w:cs="Times New Roman"/>
          <w:i/>
          <w:iCs/>
          <w:noProof/>
          <w:lang w:val="en-GB"/>
        </w:rPr>
        <w:t>S</w:t>
      </w:r>
      <w:r w:rsidR="001930E9" w:rsidRPr="00724676">
        <w:rPr>
          <w:rFonts w:cs="Times New Roman"/>
          <w:i/>
          <w:iCs/>
          <w:noProof/>
          <w:lang w:val="en-GB"/>
        </w:rPr>
        <w:t>urvey of farmers</w:t>
      </w:r>
      <w:r w:rsidR="001930E9" w:rsidRPr="00724676">
        <w:rPr>
          <w:i/>
          <w:iCs/>
          <w:noProof/>
          <w:lang w:val="en-GB"/>
        </w:rPr>
        <w:t xml:space="preserve"> </w:t>
      </w:r>
      <w:r w:rsidR="00A95DF5">
        <w:rPr>
          <w:rFonts w:cs="Times New Roman"/>
          <w:i/>
          <w:iCs/>
          <w:noProof/>
          <w:lang w:val="en-GB"/>
        </w:rPr>
        <w:t>‘</w:t>
      </w:r>
      <w:r w:rsidR="00794203" w:rsidRPr="00724676">
        <w:rPr>
          <w:rFonts w:cs="Times New Roman"/>
          <w:i/>
          <w:iCs/>
          <w:noProof/>
          <w:lang w:val="en-GB"/>
        </w:rPr>
        <w:t>Simplification – the farmers’ point of view</w:t>
      </w:r>
      <w:r w:rsidR="00A95DF5">
        <w:rPr>
          <w:rFonts w:cs="Times New Roman"/>
          <w:i/>
          <w:iCs/>
          <w:noProof/>
          <w:lang w:val="en-GB"/>
        </w:rPr>
        <w:t>’</w:t>
      </w:r>
      <w:r w:rsidR="00696CD2">
        <w:rPr>
          <w:rFonts w:cs="Times New Roman"/>
          <w:i/>
          <w:iCs/>
          <w:noProof/>
          <w:lang w:val="en-GB"/>
        </w:rPr>
        <w:t xml:space="preserve">: </w:t>
      </w:r>
      <w:r w:rsidR="001930E9" w:rsidRPr="00724676">
        <w:rPr>
          <w:rFonts w:cs="Times New Roman"/>
          <w:i/>
          <w:iCs/>
          <w:noProof/>
          <w:lang w:val="en-GB"/>
        </w:rPr>
        <w:t>p</w:t>
      </w:r>
      <w:r w:rsidRPr="00724676">
        <w:rPr>
          <w:rFonts w:cs="Times New Roman"/>
          <w:i/>
          <w:iCs/>
          <w:noProof/>
          <w:lang w:val="en-GB"/>
        </w:rPr>
        <w:t>erceptions of complexity linked to GAEC standards (% of respondents – farmers applying for CAP support</w:t>
      </w:r>
      <w:r w:rsidR="004C6F75" w:rsidRPr="00724676">
        <w:rPr>
          <w:rFonts w:cs="Times New Roman"/>
          <w:i/>
          <w:iCs/>
          <w:noProof/>
          <w:lang w:val="en-GB"/>
        </w:rPr>
        <w:t>)</w:t>
      </w:r>
    </w:p>
    <w:p w14:paraId="11174972" w14:textId="09AF75AF" w:rsidR="000F6A4B" w:rsidRPr="00724676" w:rsidRDefault="000F6A4B" w:rsidP="00F97E30">
      <w:pPr>
        <w:spacing w:after="120"/>
        <w:rPr>
          <w:rFonts w:cs="Times New Roman"/>
          <w:noProof/>
          <w:lang w:val="en-GB"/>
        </w:rPr>
      </w:pPr>
      <w:r w:rsidRPr="00724676">
        <w:rPr>
          <w:noProof/>
          <w:lang w:val="en-GB" w:eastAsia="en-GB"/>
        </w:rPr>
        <w:drawing>
          <wp:inline distT="0" distB="0" distL="0" distR="0" wp14:anchorId="76B254E8" wp14:editId="7285A7D3">
            <wp:extent cx="5781675" cy="20593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5786395" cy="2061074"/>
                    </a:xfrm>
                    <a:prstGeom prst="rect">
                      <a:avLst/>
                    </a:prstGeom>
                  </pic:spPr>
                </pic:pic>
              </a:graphicData>
            </a:graphic>
          </wp:inline>
        </w:drawing>
      </w:r>
    </w:p>
    <w:p w14:paraId="456960C6" w14:textId="221A0E51" w:rsidR="000F6A4B" w:rsidRPr="00724676" w:rsidRDefault="000F6A4B" w:rsidP="4ABA4507">
      <w:pPr>
        <w:pStyle w:val="Caption"/>
        <w:spacing w:after="120" w:line="259" w:lineRule="auto"/>
        <w:jc w:val="both"/>
        <w:rPr>
          <w:rFonts w:cs="Times New Roman"/>
          <w:i w:val="0"/>
          <w:iCs w:val="0"/>
          <w:noProof/>
          <w:color w:val="auto"/>
          <w:sz w:val="20"/>
          <w:szCs w:val="20"/>
          <w:lang w:val="en-GB"/>
        </w:rPr>
      </w:pPr>
      <w:r w:rsidRPr="4ABA4507">
        <w:rPr>
          <w:rFonts w:cs="Times New Roman"/>
          <w:i w:val="0"/>
          <w:iCs w:val="0"/>
          <w:noProof/>
          <w:color w:val="auto"/>
          <w:sz w:val="20"/>
          <w:szCs w:val="20"/>
          <w:lang w:val="en-GB"/>
        </w:rPr>
        <w:t xml:space="preserve">Note: Complexity may be linked to understanding, clarity of rules, length of the process, technical difficulties or other </w:t>
      </w:r>
      <w:r w:rsidR="00696CD2" w:rsidRPr="4ABA4507">
        <w:rPr>
          <w:rFonts w:cs="Times New Roman"/>
          <w:i w:val="0"/>
          <w:iCs w:val="0"/>
          <w:noProof/>
          <w:color w:val="auto"/>
          <w:sz w:val="20"/>
          <w:szCs w:val="20"/>
          <w:lang w:val="en-GB"/>
        </w:rPr>
        <w:t>issues</w:t>
      </w:r>
      <w:r w:rsidRPr="4ABA4507">
        <w:rPr>
          <w:rFonts w:cs="Times New Roman"/>
          <w:i w:val="0"/>
          <w:iCs w:val="0"/>
          <w:noProof/>
          <w:color w:val="auto"/>
          <w:sz w:val="20"/>
          <w:szCs w:val="20"/>
          <w:lang w:val="en-GB"/>
        </w:rPr>
        <w:t xml:space="preserve">. </w:t>
      </w:r>
      <w:r w:rsidR="24C799A0" w:rsidRPr="4ABA4507">
        <w:rPr>
          <w:rFonts w:cs="Times New Roman"/>
          <w:i w:val="0"/>
          <w:iCs w:val="0"/>
          <w:noProof/>
          <w:color w:val="auto"/>
          <w:sz w:val="20"/>
          <w:szCs w:val="20"/>
          <w:lang w:val="en-GB"/>
        </w:rPr>
        <w:t>Multiple replies where possible</w:t>
      </w:r>
      <w:r w:rsidR="11D4C4DB" w:rsidRPr="4ABA4507">
        <w:rPr>
          <w:rFonts w:cs="Times New Roman"/>
          <w:i w:val="0"/>
          <w:iCs w:val="0"/>
          <w:noProof/>
          <w:color w:val="auto"/>
          <w:sz w:val="20"/>
          <w:szCs w:val="20"/>
          <w:lang w:val="en-GB"/>
        </w:rPr>
        <w:t xml:space="preserve"> </w:t>
      </w:r>
      <w:r w:rsidR="24C799A0" w:rsidRPr="4ABA4507">
        <w:rPr>
          <w:rFonts w:cs="Times New Roman"/>
          <w:i w:val="0"/>
          <w:iCs w:val="0"/>
          <w:noProof/>
          <w:color w:val="auto"/>
          <w:sz w:val="20"/>
          <w:szCs w:val="20"/>
          <w:lang w:val="en-GB"/>
        </w:rPr>
        <w:t xml:space="preserve">including </w:t>
      </w:r>
      <w:r w:rsidR="00F44D7A" w:rsidRPr="4ABA4507">
        <w:rPr>
          <w:rFonts w:cs="Times New Roman"/>
          <w:i w:val="0"/>
          <w:iCs w:val="0"/>
          <w:noProof/>
          <w:color w:val="auto"/>
          <w:sz w:val="20"/>
          <w:szCs w:val="20"/>
          <w:lang w:val="en-GB"/>
        </w:rPr>
        <w:t>“</w:t>
      </w:r>
      <w:r w:rsidR="1DB5F3F4" w:rsidRPr="4ABA4507">
        <w:rPr>
          <w:rFonts w:cs="Times New Roman"/>
          <w:i w:val="0"/>
          <w:iCs w:val="0"/>
          <w:noProof/>
          <w:color w:val="auto"/>
          <w:sz w:val="20"/>
          <w:szCs w:val="20"/>
          <w:lang w:val="en-GB"/>
        </w:rPr>
        <w:t xml:space="preserve">No opinion” / </w:t>
      </w:r>
      <w:r w:rsidR="428932EE" w:rsidRPr="4ABA4507">
        <w:rPr>
          <w:rFonts w:cs="Times New Roman"/>
          <w:i w:val="0"/>
          <w:iCs w:val="0"/>
          <w:noProof/>
          <w:color w:val="auto"/>
          <w:sz w:val="20"/>
          <w:szCs w:val="20"/>
          <w:lang w:val="en-GB"/>
        </w:rPr>
        <w:t>I did not apply” (i.e. not concerned)</w:t>
      </w:r>
      <w:r w:rsidR="24C799A0" w:rsidRPr="4ABA4507">
        <w:rPr>
          <w:rFonts w:cs="Times New Roman"/>
          <w:i w:val="0"/>
          <w:iCs w:val="0"/>
          <w:noProof/>
          <w:color w:val="auto"/>
          <w:sz w:val="20"/>
          <w:szCs w:val="20"/>
          <w:lang w:val="en-GB"/>
        </w:rPr>
        <w:t>. Therefore, w</w:t>
      </w:r>
      <w:r w:rsidRPr="4ABA4507">
        <w:rPr>
          <w:rFonts w:cs="Times New Roman"/>
          <w:i w:val="0"/>
          <w:iCs w:val="0"/>
          <w:noProof/>
          <w:color w:val="auto"/>
          <w:sz w:val="20"/>
          <w:szCs w:val="20"/>
          <w:lang w:val="en-GB"/>
        </w:rPr>
        <w:t xml:space="preserve">here respondents indicated </w:t>
      </w:r>
      <w:r w:rsidR="5BB41203" w:rsidRPr="4ABA4507">
        <w:rPr>
          <w:rFonts w:cs="Times New Roman"/>
          <w:i w:val="0"/>
          <w:iCs w:val="0"/>
          <w:noProof/>
          <w:color w:val="auto"/>
          <w:sz w:val="20"/>
          <w:szCs w:val="20"/>
          <w:lang w:val="en-GB"/>
        </w:rPr>
        <w:t>that they had no opinion/</w:t>
      </w:r>
      <w:r w:rsidR="2B7A540C" w:rsidRPr="4ABA4507">
        <w:rPr>
          <w:rFonts w:cs="Times New Roman"/>
          <w:i w:val="0"/>
          <w:iCs w:val="0"/>
          <w:noProof/>
          <w:color w:val="auto"/>
          <w:sz w:val="20"/>
          <w:szCs w:val="20"/>
          <w:lang w:val="en-GB"/>
        </w:rPr>
        <w:t xml:space="preserve">did not apply </w:t>
      </w:r>
      <w:r w:rsidR="5BB41203" w:rsidRPr="4ABA4507">
        <w:rPr>
          <w:rFonts w:cs="Times New Roman"/>
          <w:i w:val="0"/>
          <w:iCs w:val="0"/>
          <w:noProof/>
          <w:color w:val="auto"/>
          <w:sz w:val="20"/>
          <w:szCs w:val="20"/>
          <w:lang w:val="en-GB"/>
        </w:rPr>
        <w:t>the GAEC</w:t>
      </w:r>
      <w:r w:rsidRPr="4ABA4507">
        <w:rPr>
          <w:rFonts w:cs="Times New Roman"/>
          <w:i w:val="0"/>
          <w:iCs w:val="0"/>
          <w:noProof/>
          <w:color w:val="auto"/>
          <w:sz w:val="20"/>
          <w:szCs w:val="20"/>
          <w:lang w:val="en-GB"/>
        </w:rPr>
        <w:t xml:space="preserve"> </w:t>
      </w:r>
      <w:r w:rsidR="00696CD2" w:rsidRPr="4ABA4507">
        <w:rPr>
          <w:rFonts w:cs="Times New Roman"/>
          <w:i w:val="0"/>
          <w:iCs w:val="0"/>
          <w:noProof/>
          <w:color w:val="auto"/>
          <w:sz w:val="20"/>
          <w:szCs w:val="20"/>
          <w:lang w:val="en-GB"/>
        </w:rPr>
        <w:t>the</w:t>
      </w:r>
      <w:r w:rsidRPr="4ABA4507">
        <w:rPr>
          <w:rFonts w:cs="Times New Roman"/>
          <w:i w:val="0"/>
          <w:iCs w:val="0"/>
          <w:noProof/>
          <w:color w:val="auto"/>
          <w:sz w:val="20"/>
          <w:szCs w:val="20"/>
          <w:lang w:val="en-GB"/>
        </w:rPr>
        <w:t xml:space="preserve"> other view(s) </w:t>
      </w:r>
      <w:r w:rsidR="00696CD2" w:rsidRPr="4ABA4507">
        <w:rPr>
          <w:rFonts w:cs="Times New Roman"/>
          <w:i w:val="0"/>
          <w:iCs w:val="0"/>
          <w:noProof/>
          <w:color w:val="auto"/>
          <w:sz w:val="20"/>
          <w:szCs w:val="20"/>
          <w:lang w:val="en-GB"/>
        </w:rPr>
        <w:t xml:space="preserve">that they may have </w:t>
      </w:r>
      <w:r w:rsidR="565CFEB6" w:rsidRPr="4ABA4507">
        <w:rPr>
          <w:rFonts w:cs="Times New Roman"/>
          <w:i w:val="0"/>
          <w:iCs w:val="0"/>
          <w:noProof/>
          <w:color w:val="auto"/>
          <w:sz w:val="20"/>
          <w:szCs w:val="20"/>
          <w:lang w:val="en-GB"/>
        </w:rPr>
        <w:t xml:space="preserve">expressed </w:t>
      </w:r>
      <w:r w:rsidRPr="4ABA4507">
        <w:rPr>
          <w:rFonts w:cs="Times New Roman"/>
          <w:i w:val="0"/>
          <w:iCs w:val="0"/>
          <w:noProof/>
          <w:color w:val="auto"/>
          <w:sz w:val="20"/>
          <w:szCs w:val="20"/>
          <w:lang w:val="en-GB"/>
        </w:rPr>
        <w:t xml:space="preserve">on that GAEC </w:t>
      </w:r>
      <w:r w:rsidR="00AF0AAD" w:rsidRPr="4ABA4507">
        <w:rPr>
          <w:rFonts w:cs="Times New Roman"/>
          <w:i w:val="0"/>
          <w:iCs w:val="0"/>
          <w:noProof/>
          <w:color w:val="auto"/>
          <w:sz w:val="20"/>
          <w:szCs w:val="20"/>
          <w:lang w:val="en-GB"/>
        </w:rPr>
        <w:t xml:space="preserve">standard </w:t>
      </w:r>
      <w:r w:rsidRPr="4ABA4507">
        <w:rPr>
          <w:rFonts w:cs="Times New Roman"/>
          <w:i w:val="0"/>
          <w:iCs w:val="0"/>
          <w:noProof/>
          <w:color w:val="auto"/>
          <w:sz w:val="20"/>
          <w:szCs w:val="20"/>
          <w:lang w:val="en-GB"/>
        </w:rPr>
        <w:t>are not accounted for.</w:t>
      </w:r>
    </w:p>
    <w:p w14:paraId="3C8943B9" w14:textId="6DC97564" w:rsidR="00EC373E" w:rsidRPr="00724676" w:rsidRDefault="0063608D">
      <w:pPr>
        <w:spacing w:before="240" w:after="120"/>
        <w:jc w:val="both"/>
        <w:rPr>
          <w:rFonts w:eastAsiaTheme="majorEastAsia" w:cs="Times New Roman"/>
          <w:b/>
          <w:bCs/>
          <w:noProof/>
          <w:szCs w:val="24"/>
          <w:lang w:val="en-GB"/>
        </w:rPr>
      </w:pPr>
      <w:r w:rsidRPr="00724676">
        <w:rPr>
          <w:rFonts w:eastAsiaTheme="majorEastAsia" w:cs="Times New Roman"/>
          <w:b/>
          <w:bCs/>
          <w:noProof/>
          <w:szCs w:val="24"/>
          <w:lang w:val="en-GB"/>
        </w:rPr>
        <w:lastRenderedPageBreak/>
        <w:t xml:space="preserve">Study on </w:t>
      </w:r>
      <w:r w:rsidR="00F40D67">
        <w:rPr>
          <w:rFonts w:eastAsiaTheme="majorEastAsia" w:cs="Times New Roman"/>
          <w:b/>
          <w:bCs/>
          <w:noProof/>
          <w:szCs w:val="24"/>
          <w:lang w:val="en-GB"/>
        </w:rPr>
        <w:t xml:space="preserve">the </w:t>
      </w:r>
      <w:r w:rsidR="00EC373E" w:rsidRPr="00724676">
        <w:rPr>
          <w:rFonts w:eastAsiaTheme="majorEastAsia" w:cs="Times New Roman"/>
          <w:b/>
          <w:bCs/>
          <w:noProof/>
          <w:szCs w:val="24"/>
          <w:lang w:val="en-GB"/>
        </w:rPr>
        <w:t xml:space="preserve">administrative burden </w:t>
      </w:r>
      <w:r w:rsidR="00F40D67">
        <w:rPr>
          <w:rFonts w:eastAsiaTheme="majorEastAsia" w:cs="Times New Roman"/>
          <w:b/>
          <w:bCs/>
          <w:noProof/>
          <w:szCs w:val="24"/>
          <w:lang w:val="en-GB"/>
        </w:rPr>
        <w:t>on</w:t>
      </w:r>
      <w:r w:rsidR="00B85320" w:rsidRPr="00724676">
        <w:rPr>
          <w:rFonts w:eastAsiaTheme="majorEastAsia" w:cs="Times New Roman"/>
          <w:b/>
          <w:bCs/>
          <w:noProof/>
          <w:szCs w:val="24"/>
          <w:lang w:val="en-GB"/>
        </w:rPr>
        <w:t xml:space="preserve"> national authorities </w:t>
      </w:r>
      <w:r w:rsidR="00EC373E" w:rsidRPr="00724676">
        <w:rPr>
          <w:rFonts w:eastAsiaTheme="majorEastAsia" w:cs="Times New Roman"/>
          <w:b/>
          <w:bCs/>
          <w:noProof/>
          <w:szCs w:val="24"/>
          <w:lang w:val="en-GB"/>
        </w:rPr>
        <w:t>and the impact of the ‘</w:t>
      </w:r>
      <w:r w:rsidR="006A5D3D">
        <w:rPr>
          <w:rFonts w:eastAsiaTheme="majorEastAsia" w:cs="Times New Roman"/>
          <w:b/>
          <w:bCs/>
          <w:noProof/>
          <w:szCs w:val="24"/>
          <w:lang w:val="en-GB"/>
        </w:rPr>
        <w:t>n</w:t>
      </w:r>
      <w:r w:rsidR="00EC373E" w:rsidRPr="00724676">
        <w:rPr>
          <w:rFonts w:eastAsiaTheme="majorEastAsia" w:cs="Times New Roman"/>
          <w:b/>
          <w:bCs/>
          <w:noProof/>
          <w:szCs w:val="24"/>
          <w:lang w:val="en-GB"/>
        </w:rPr>
        <w:t xml:space="preserve">ew </w:t>
      </w:r>
      <w:r w:rsidR="006A5D3D">
        <w:rPr>
          <w:rFonts w:eastAsiaTheme="majorEastAsia" w:cs="Times New Roman"/>
          <w:b/>
          <w:bCs/>
          <w:noProof/>
          <w:szCs w:val="24"/>
          <w:lang w:val="en-GB"/>
        </w:rPr>
        <w:t>d</w:t>
      </w:r>
      <w:r w:rsidR="00EC373E" w:rsidRPr="00724676">
        <w:rPr>
          <w:rFonts w:eastAsiaTheme="majorEastAsia" w:cs="Times New Roman"/>
          <w:b/>
          <w:bCs/>
          <w:noProof/>
          <w:szCs w:val="24"/>
          <w:lang w:val="en-GB"/>
        </w:rPr>
        <w:t xml:space="preserve">elivery </w:t>
      </w:r>
      <w:r w:rsidR="006A5D3D">
        <w:rPr>
          <w:rFonts w:eastAsiaTheme="majorEastAsia" w:cs="Times New Roman"/>
          <w:b/>
          <w:bCs/>
          <w:noProof/>
          <w:szCs w:val="24"/>
          <w:lang w:val="en-GB"/>
        </w:rPr>
        <w:t>m</w:t>
      </w:r>
      <w:r w:rsidR="00EC373E" w:rsidRPr="00724676">
        <w:rPr>
          <w:rFonts w:eastAsiaTheme="majorEastAsia" w:cs="Times New Roman"/>
          <w:b/>
          <w:bCs/>
          <w:noProof/>
          <w:szCs w:val="24"/>
          <w:lang w:val="en-GB"/>
        </w:rPr>
        <w:t>odel’ of the CAP</w:t>
      </w:r>
      <w:r w:rsidR="0063262D">
        <w:rPr>
          <w:rFonts w:eastAsiaTheme="majorEastAsia" w:cs="Times New Roman"/>
          <w:b/>
          <w:bCs/>
          <w:noProof/>
          <w:szCs w:val="24"/>
          <w:lang w:val="en-GB"/>
        </w:rPr>
        <w:t>.</w:t>
      </w:r>
      <w:r w:rsidR="004555D1" w:rsidRPr="00724676">
        <w:rPr>
          <w:rFonts w:eastAsiaTheme="majorEastAsia" w:cs="Times New Roman"/>
          <w:b/>
          <w:bCs/>
          <w:noProof/>
          <w:szCs w:val="24"/>
          <w:lang w:val="en-GB"/>
        </w:rPr>
        <w:t xml:space="preserve"> </w:t>
      </w:r>
    </w:p>
    <w:p w14:paraId="1A15ADD6" w14:textId="4104B3F3" w:rsidR="0093391B" w:rsidRPr="00724676" w:rsidRDefault="00EC373E" w:rsidP="006D5C9F">
      <w:pPr>
        <w:spacing w:after="120"/>
        <w:jc w:val="both"/>
        <w:rPr>
          <w:rFonts w:eastAsia="Times New Roman" w:cs="Times New Roman"/>
          <w:noProof/>
          <w:lang w:val="en-GB"/>
        </w:rPr>
      </w:pPr>
      <w:r w:rsidRPr="5B7E44B8">
        <w:rPr>
          <w:rFonts w:eastAsia="Times New Roman" w:cs="Times New Roman"/>
          <w:noProof/>
          <w:lang w:val="en-GB"/>
        </w:rPr>
        <w:t xml:space="preserve">The study </w:t>
      </w:r>
      <w:r w:rsidR="00BB0795" w:rsidRPr="5B7E44B8">
        <w:rPr>
          <w:rFonts w:eastAsia="Times New Roman" w:cs="Times New Roman"/>
          <w:noProof/>
          <w:lang w:val="en-GB"/>
        </w:rPr>
        <w:t>is set to</w:t>
      </w:r>
      <w:r w:rsidRPr="5B7E44B8">
        <w:rPr>
          <w:rFonts w:eastAsia="Times New Roman" w:cs="Times New Roman"/>
          <w:noProof/>
          <w:lang w:val="en-GB"/>
        </w:rPr>
        <w:t xml:space="preserve"> </w:t>
      </w:r>
      <w:r w:rsidR="006055C3" w:rsidRPr="5B7E44B8">
        <w:rPr>
          <w:rFonts w:eastAsia="Times New Roman" w:cs="Times New Roman"/>
          <w:noProof/>
          <w:lang w:val="en-GB"/>
        </w:rPr>
        <w:t xml:space="preserve">carry out an assessment of the </w:t>
      </w:r>
      <w:r w:rsidR="006A5D3D" w:rsidRPr="5B7E44B8">
        <w:rPr>
          <w:rFonts w:eastAsia="Times New Roman" w:cs="Times New Roman"/>
          <w:noProof/>
          <w:lang w:val="en-GB"/>
        </w:rPr>
        <w:t>n</w:t>
      </w:r>
      <w:r w:rsidR="006055C3" w:rsidRPr="5B7E44B8">
        <w:rPr>
          <w:rFonts w:eastAsia="Times New Roman" w:cs="Times New Roman"/>
          <w:noProof/>
          <w:lang w:val="en-GB"/>
        </w:rPr>
        <w:t xml:space="preserve">ew </w:t>
      </w:r>
      <w:r w:rsidR="006A5D3D" w:rsidRPr="5B7E44B8">
        <w:rPr>
          <w:rFonts w:eastAsia="Times New Roman" w:cs="Times New Roman"/>
          <w:noProof/>
          <w:lang w:val="en-GB"/>
        </w:rPr>
        <w:t>d</w:t>
      </w:r>
      <w:r w:rsidR="00692305" w:rsidRPr="5B7E44B8">
        <w:rPr>
          <w:rFonts w:eastAsia="Times New Roman" w:cs="Times New Roman"/>
          <w:noProof/>
          <w:lang w:val="en-GB"/>
        </w:rPr>
        <w:t>eliver</w:t>
      </w:r>
      <w:r w:rsidR="00F40D67" w:rsidRPr="5B7E44B8">
        <w:rPr>
          <w:rFonts w:eastAsia="Times New Roman" w:cs="Times New Roman"/>
          <w:noProof/>
          <w:lang w:val="en-GB"/>
        </w:rPr>
        <w:t>y</w:t>
      </w:r>
      <w:r w:rsidR="00692305" w:rsidRPr="5B7E44B8">
        <w:rPr>
          <w:rFonts w:eastAsia="Times New Roman" w:cs="Times New Roman"/>
          <w:noProof/>
          <w:lang w:val="en-GB"/>
        </w:rPr>
        <w:t xml:space="preserve"> </w:t>
      </w:r>
      <w:r w:rsidR="006A5D3D" w:rsidRPr="5B7E44B8">
        <w:rPr>
          <w:rFonts w:eastAsia="Times New Roman" w:cs="Times New Roman"/>
          <w:noProof/>
          <w:lang w:val="en-GB"/>
        </w:rPr>
        <w:t>m</w:t>
      </w:r>
      <w:r w:rsidR="00692305" w:rsidRPr="5B7E44B8">
        <w:rPr>
          <w:rFonts w:eastAsia="Times New Roman" w:cs="Times New Roman"/>
          <w:noProof/>
          <w:lang w:val="en-GB"/>
        </w:rPr>
        <w:t xml:space="preserve">odel </w:t>
      </w:r>
      <w:r w:rsidR="0063262D">
        <w:rPr>
          <w:rFonts w:eastAsia="Times New Roman" w:cs="Times New Roman"/>
          <w:noProof/>
          <w:lang w:val="en-GB"/>
        </w:rPr>
        <w:t xml:space="preserve">(NDM) </w:t>
      </w:r>
      <w:r w:rsidR="006055C3" w:rsidRPr="5B7E44B8">
        <w:rPr>
          <w:rFonts w:eastAsia="Times New Roman" w:cs="Times New Roman"/>
          <w:noProof/>
          <w:lang w:val="en-GB"/>
        </w:rPr>
        <w:t xml:space="preserve">of the CAP </w:t>
      </w:r>
      <w:r w:rsidR="00F40D67" w:rsidRPr="5B7E44B8">
        <w:rPr>
          <w:rFonts w:eastAsia="Times New Roman" w:cs="Times New Roman"/>
          <w:noProof/>
          <w:lang w:val="en-GB"/>
        </w:rPr>
        <w:t xml:space="preserve">in </w:t>
      </w:r>
      <w:r w:rsidR="006055C3" w:rsidRPr="5B7E44B8">
        <w:rPr>
          <w:rFonts w:eastAsia="Times New Roman" w:cs="Times New Roman"/>
          <w:noProof/>
          <w:lang w:val="en-GB"/>
        </w:rPr>
        <w:t>2023-2027</w:t>
      </w:r>
      <w:r w:rsidR="00BA0452" w:rsidRPr="5B7E44B8">
        <w:rPr>
          <w:rFonts w:eastAsia="Times New Roman" w:cs="Times New Roman"/>
          <w:noProof/>
          <w:lang w:val="en-GB"/>
        </w:rPr>
        <w:t>.</w:t>
      </w:r>
      <w:r w:rsidR="00EA19E2" w:rsidRPr="5B7E44B8">
        <w:rPr>
          <w:rFonts w:eastAsia="Times New Roman" w:cs="Times New Roman"/>
          <w:noProof/>
          <w:lang w:val="en-GB"/>
        </w:rPr>
        <w:t xml:space="preserve"> </w:t>
      </w:r>
      <w:r w:rsidR="00253E7B" w:rsidRPr="5B7E44B8">
        <w:rPr>
          <w:rFonts w:eastAsia="Times New Roman" w:cs="Times New Roman"/>
          <w:noProof/>
          <w:lang w:val="en-GB"/>
        </w:rPr>
        <w:t>It</w:t>
      </w:r>
      <w:r w:rsidR="00937D10" w:rsidRPr="5B7E44B8">
        <w:rPr>
          <w:rFonts w:eastAsia="Times New Roman" w:cs="Times New Roman"/>
          <w:noProof/>
          <w:lang w:val="en-GB"/>
        </w:rPr>
        <w:t xml:space="preserve"> </w:t>
      </w:r>
      <w:r w:rsidR="00F10AC1" w:rsidRPr="5B7E44B8">
        <w:rPr>
          <w:rFonts w:eastAsia="Times New Roman" w:cs="Times New Roman"/>
          <w:noProof/>
          <w:lang w:val="en-GB"/>
        </w:rPr>
        <w:t xml:space="preserve">will analyse the extent to which the </w:t>
      </w:r>
      <w:r w:rsidR="00D9743D" w:rsidRPr="5B7E44B8">
        <w:rPr>
          <w:rFonts w:eastAsia="Times New Roman" w:cs="Times New Roman"/>
          <w:noProof/>
          <w:lang w:val="en-GB"/>
        </w:rPr>
        <w:t>NDM</w:t>
      </w:r>
      <w:r w:rsidR="00F10AC1" w:rsidRPr="5B7E44B8">
        <w:rPr>
          <w:rFonts w:eastAsia="Times New Roman" w:cs="Times New Roman"/>
          <w:noProof/>
          <w:lang w:val="en-GB"/>
        </w:rPr>
        <w:t xml:space="preserve"> supports a more result</w:t>
      </w:r>
      <w:r w:rsidR="00F40D67" w:rsidRPr="5B7E44B8">
        <w:rPr>
          <w:rFonts w:eastAsia="Times New Roman" w:cs="Times New Roman"/>
          <w:noProof/>
          <w:lang w:val="en-GB"/>
        </w:rPr>
        <w:t>s</w:t>
      </w:r>
      <w:r w:rsidR="00F10AC1" w:rsidRPr="5B7E44B8">
        <w:rPr>
          <w:rFonts w:eastAsia="Times New Roman" w:cs="Times New Roman"/>
          <w:noProof/>
          <w:lang w:val="en-GB"/>
        </w:rPr>
        <w:t>-oriented CAP</w:t>
      </w:r>
      <w:r w:rsidR="00111237" w:rsidRPr="5B7E44B8">
        <w:rPr>
          <w:rFonts w:eastAsia="Times New Roman" w:cs="Times New Roman"/>
          <w:noProof/>
          <w:lang w:val="en-GB"/>
        </w:rPr>
        <w:t>,</w:t>
      </w:r>
      <w:r w:rsidR="00F10AC1" w:rsidRPr="5B7E44B8">
        <w:rPr>
          <w:rFonts w:eastAsia="Times New Roman" w:cs="Times New Roman"/>
          <w:noProof/>
          <w:lang w:val="en-GB"/>
        </w:rPr>
        <w:t xml:space="preserve"> strategic planning, </w:t>
      </w:r>
      <w:r w:rsidR="00111237" w:rsidRPr="5B7E44B8">
        <w:rPr>
          <w:rFonts w:eastAsia="Times New Roman" w:cs="Times New Roman"/>
          <w:noProof/>
          <w:lang w:val="en-GB"/>
        </w:rPr>
        <w:t>and</w:t>
      </w:r>
      <w:r w:rsidR="00F10AC1" w:rsidRPr="5B7E44B8">
        <w:rPr>
          <w:rFonts w:eastAsia="Times New Roman" w:cs="Times New Roman"/>
          <w:noProof/>
          <w:lang w:val="en-GB"/>
        </w:rPr>
        <w:t xml:space="preserve"> </w:t>
      </w:r>
      <w:r w:rsidR="002D7C50" w:rsidRPr="5B7E44B8">
        <w:rPr>
          <w:rFonts w:eastAsia="Times New Roman" w:cs="Times New Roman"/>
          <w:noProof/>
          <w:lang w:val="en-GB"/>
        </w:rPr>
        <w:t xml:space="preserve">an </w:t>
      </w:r>
      <w:r w:rsidR="00F10AC1" w:rsidRPr="5B7E44B8">
        <w:rPr>
          <w:rFonts w:eastAsia="Times New Roman" w:cs="Times New Roman"/>
          <w:noProof/>
          <w:lang w:val="en-GB"/>
        </w:rPr>
        <w:t xml:space="preserve">improvement </w:t>
      </w:r>
      <w:r w:rsidR="00111237" w:rsidRPr="003E7CF4">
        <w:rPr>
          <w:rFonts w:eastAsia="Times New Roman" w:cs="Times New Roman"/>
          <w:noProof/>
          <w:lang w:val="en-GB"/>
        </w:rPr>
        <w:t>in</w:t>
      </w:r>
      <w:r w:rsidR="00111237" w:rsidRPr="5B7E44B8">
        <w:rPr>
          <w:rFonts w:eastAsia="Times New Roman" w:cs="Times New Roman"/>
          <w:noProof/>
          <w:lang w:val="en-GB"/>
        </w:rPr>
        <w:t xml:space="preserve"> </w:t>
      </w:r>
      <w:r w:rsidR="00F10AC1" w:rsidRPr="5B7E44B8">
        <w:rPr>
          <w:rFonts w:eastAsia="Times New Roman" w:cs="Times New Roman"/>
          <w:noProof/>
          <w:lang w:val="en-GB"/>
        </w:rPr>
        <w:t xml:space="preserve">the governance system. It will also assess whether the </w:t>
      </w:r>
      <w:r w:rsidR="00A56AF4" w:rsidRPr="5B7E44B8">
        <w:rPr>
          <w:rFonts w:eastAsia="Times New Roman" w:cs="Times New Roman"/>
          <w:noProof/>
          <w:lang w:val="en-GB"/>
        </w:rPr>
        <w:t>C</w:t>
      </w:r>
      <w:r w:rsidR="6CC0AE4F" w:rsidRPr="5B7E44B8">
        <w:rPr>
          <w:rFonts w:eastAsia="Times New Roman" w:cs="Times New Roman"/>
          <w:noProof/>
          <w:lang w:val="en-GB"/>
        </w:rPr>
        <w:t>AP Plan</w:t>
      </w:r>
      <w:r w:rsidR="00A56AF4" w:rsidRPr="5B7E44B8">
        <w:rPr>
          <w:rFonts w:eastAsia="Times New Roman" w:cs="Times New Roman"/>
          <w:noProof/>
          <w:lang w:val="en-GB"/>
        </w:rPr>
        <w:t xml:space="preserve"> </w:t>
      </w:r>
      <w:r w:rsidR="00A56AF4" w:rsidRPr="003B7DD1">
        <w:rPr>
          <w:rFonts w:eastAsia="Times New Roman" w:cs="Times New Roman"/>
          <w:noProof/>
          <w:lang w:val="en-GB"/>
        </w:rPr>
        <w:t xml:space="preserve">approval </w:t>
      </w:r>
      <w:r w:rsidR="00F10AC1" w:rsidRPr="003B7DD1">
        <w:rPr>
          <w:rFonts w:eastAsia="Times New Roman" w:cs="Times New Roman"/>
          <w:noProof/>
          <w:lang w:val="en-GB"/>
        </w:rPr>
        <w:t xml:space="preserve">process and the safeguards </w:t>
      </w:r>
      <w:r w:rsidR="005466EE" w:rsidRPr="003B7DD1">
        <w:rPr>
          <w:rFonts w:eastAsia="Times New Roman" w:cs="Times New Roman"/>
          <w:noProof/>
          <w:lang w:val="en-GB"/>
        </w:rPr>
        <w:t xml:space="preserve">set out in the regulations and procedures </w:t>
      </w:r>
      <w:r w:rsidR="002D7C50" w:rsidRPr="003B7DD1">
        <w:rPr>
          <w:rFonts w:eastAsia="Times New Roman" w:cs="Times New Roman"/>
          <w:noProof/>
          <w:lang w:val="en-GB"/>
        </w:rPr>
        <w:t xml:space="preserve">ensure that </w:t>
      </w:r>
      <w:r w:rsidR="00F40D67" w:rsidRPr="003B7DD1">
        <w:rPr>
          <w:rFonts w:eastAsia="Times New Roman" w:cs="Times New Roman"/>
          <w:noProof/>
          <w:lang w:val="en-GB"/>
        </w:rPr>
        <w:t>the ambitions of a</w:t>
      </w:r>
      <w:r w:rsidR="00F10AC1" w:rsidRPr="003B7DD1">
        <w:rPr>
          <w:rFonts w:eastAsia="Times New Roman" w:cs="Times New Roman"/>
          <w:noProof/>
          <w:lang w:val="en-GB"/>
        </w:rPr>
        <w:t xml:space="preserve"> Member State</w:t>
      </w:r>
      <w:r w:rsidR="00F40D67" w:rsidRPr="003B7DD1">
        <w:rPr>
          <w:rFonts w:eastAsia="Times New Roman" w:cs="Times New Roman"/>
          <w:noProof/>
          <w:lang w:val="en-GB"/>
        </w:rPr>
        <w:t xml:space="preserve"> are </w:t>
      </w:r>
      <w:r w:rsidR="00F10AC1" w:rsidRPr="003B7DD1">
        <w:rPr>
          <w:rFonts w:eastAsia="Times New Roman" w:cs="Times New Roman"/>
          <w:noProof/>
          <w:lang w:val="en-GB"/>
        </w:rPr>
        <w:t xml:space="preserve">proportionate to </w:t>
      </w:r>
      <w:r w:rsidR="00F40D67" w:rsidRPr="003B7DD1">
        <w:rPr>
          <w:rFonts w:eastAsia="Times New Roman" w:cs="Times New Roman"/>
          <w:noProof/>
          <w:lang w:val="en-GB"/>
        </w:rPr>
        <w:t xml:space="preserve">its </w:t>
      </w:r>
      <w:r w:rsidR="00F10AC1" w:rsidRPr="003B7DD1">
        <w:rPr>
          <w:rFonts w:eastAsia="Times New Roman" w:cs="Times New Roman"/>
          <w:noProof/>
          <w:lang w:val="en-GB"/>
        </w:rPr>
        <w:t xml:space="preserve">needs and </w:t>
      </w:r>
      <w:r w:rsidR="00F40D67" w:rsidRPr="003B7DD1">
        <w:rPr>
          <w:rFonts w:eastAsia="Times New Roman" w:cs="Times New Roman"/>
          <w:noProof/>
          <w:lang w:val="en-GB"/>
        </w:rPr>
        <w:t xml:space="preserve">to </w:t>
      </w:r>
      <w:r w:rsidR="00F10AC1" w:rsidRPr="003B7DD1">
        <w:rPr>
          <w:rFonts w:eastAsia="Times New Roman" w:cs="Times New Roman"/>
          <w:noProof/>
          <w:lang w:val="en-GB"/>
        </w:rPr>
        <w:t xml:space="preserve">equal treatment of Member States. </w:t>
      </w:r>
      <w:r w:rsidR="00D90F88" w:rsidRPr="003B7DD1">
        <w:rPr>
          <w:rFonts w:eastAsia="Times New Roman" w:cs="Times New Roman"/>
          <w:noProof/>
          <w:lang w:val="en-GB"/>
        </w:rPr>
        <w:t>In</w:t>
      </w:r>
      <w:r w:rsidR="00D90F88" w:rsidRPr="5B7E44B8">
        <w:rPr>
          <w:rFonts w:eastAsia="Times New Roman" w:cs="Times New Roman"/>
          <w:noProof/>
          <w:lang w:val="en-GB"/>
        </w:rPr>
        <w:t xml:space="preserve"> addition, the study</w:t>
      </w:r>
      <w:r w:rsidR="009E47D6" w:rsidRPr="5B7E44B8">
        <w:rPr>
          <w:rFonts w:eastAsia="Times New Roman" w:cs="Times New Roman"/>
          <w:noProof/>
          <w:lang w:val="en-GB"/>
        </w:rPr>
        <w:t xml:space="preserve"> will examine the burden</w:t>
      </w:r>
      <w:r w:rsidR="00F40D67" w:rsidRPr="5B7E44B8">
        <w:rPr>
          <w:rFonts w:eastAsia="Times New Roman" w:cs="Times New Roman"/>
          <w:noProof/>
          <w:lang w:val="en-GB"/>
        </w:rPr>
        <w:t>s</w:t>
      </w:r>
      <w:r w:rsidR="009E47D6" w:rsidRPr="5B7E44B8">
        <w:rPr>
          <w:rFonts w:eastAsia="Times New Roman" w:cs="Times New Roman"/>
          <w:noProof/>
          <w:lang w:val="en-GB"/>
        </w:rPr>
        <w:t xml:space="preserve"> and costs </w:t>
      </w:r>
      <w:r w:rsidR="00F40D67" w:rsidRPr="5B7E44B8">
        <w:rPr>
          <w:rFonts w:eastAsia="Times New Roman" w:cs="Times New Roman"/>
          <w:noProof/>
          <w:lang w:val="en-GB"/>
        </w:rPr>
        <w:t xml:space="preserve">that the CAP imposes on </w:t>
      </w:r>
      <w:r w:rsidR="009E47D6" w:rsidRPr="5B7E44B8">
        <w:rPr>
          <w:rFonts w:eastAsia="Times New Roman" w:cs="Times New Roman"/>
          <w:noProof/>
          <w:lang w:val="en-GB"/>
        </w:rPr>
        <w:t xml:space="preserve">administrations at </w:t>
      </w:r>
      <w:r w:rsidR="000673BB" w:rsidRPr="5B7E44B8">
        <w:rPr>
          <w:rFonts w:eastAsia="Times New Roman" w:cs="Times New Roman"/>
          <w:noProof/>
          <w:lang w:val="en-GB"/>
        </w:rPr>
        <w:t xml:space="preserve">the </w:t>
      </w:r>
      <w:r w:rsidR="00527990" w:rsidRPr="5B7E44B8">
        <w:rPr>
          <w:rFonts w:eastAsia="Times New Roman" w:cs="Times New Roman"/>
          <w:noProof/>
          <w:lang w:val="en-GB"/>
        </w:rPr>
        <w:t>di</w:t>
      </w:r>
      <w:r w:rsidR="00DE7491" w:rsidRPr="5B7E44B8">
        <w:rPr>
          <w:rFonts w:eastAsia="Times New Roman" w:cs="Times New Roman"/>
          <w:noProof/>
          <w:lang w:val="en-GB"/>
        </w:rPr>
        <w:t>fferent</w:t>
      </w:r>
      <w:r w:rsidR="009E47D6" w:rsidRPr="5B7E44B8">
        <w:rPr>
          <w:rFonts w:eastAsia="Times New Roman" w:cs="Times New Roman"/>
          <w:noProof/>
          <w:lang w:val="en-GB"/>
        </w:rPr>
        <w:t xml:space="preserve"> stages of implementation</w:t>
      </w:r>
      <w:r w:rsidR="00EA19E2" w:rsidRPr="5B7E44B8">
        <w:rPr>
          <w:rFonts w:eastAsia="Times New Roman" w:cs="Times New Roman"/>
          <w:noProof/>
          <w:lang w:val="en-GB"/>
        </w:rPr>
        <w:t xml:space="preserve"> </w:t>
      </w:r>
      <w:r w:rsidR="00A255FA" w:rsidRPr="5B7E44B8">
        <w:rPr>
          <w:rFonts w:eastAsia="Times New Roman" w:cs="Times New Roman"/>
          <w:noProof/>
          <w:lang w:val="en-GB"/>
        </w:rPr>
        <w:t xml:space="preserve">(including design, consultation, approval and amendments, setting up and </w:t>
      </w:r>
      <w:r w:rsidR="003244D9" w:rsidRPr="5B7E44B8">
        <w:rPr>
          <w:rFonts w:eastAsia="Times New Roman" w:cs="Times New Roman"/>
          <w:noProof/>
          <w:lang w:val="en-GB"/>
        </w:rPr>
        <w:t xml:space="preserve">running </w:t>
      </w:r>
      <w:r w:rsidR="00523AA0" w:rsidRPr="5B7E44B8">
        <w:rPr>
          <w:rFonts w:eastAsia="Times New Roman" w:cs="Times New Roman"/>
          <w:noProof/>
          <w:lang w:val="en-GB"/>
        </w:rPr>
        <w:t>CAP Plans</w:t>
      </w:r>
      <w:r w:rsidR="00A255FA" w:rsidRPr="5B7E44B8">
        <w:rPr>
          <w:rFonts w:eastAsia="Times New Roman" w:cs="Times New Roman"/>
          <w:noProof/>
          <w:lang w:val="en-GB"/>
        </w:rPr>
        <w:t>, enforcement, reporting and evaluation)</w:t>
      </w:r>
      <w:r w:rsidR="00F40D67" w:rsidRPr="5B7E44B8">
        <w:rPr>
          <w:rFonts w:eastAsia="Times New Roman" w:cs="Times New Roman"/>
          <w:noProof/>
          <w:lang w:val="en-GB"/>
        </w:rPr>
        <w:t>,</w:t>
      </w:r>
      <w:r w:rsidR="00A255FA" w:rsidRPr="5B7E44B8">
        <w:rPr>
          <w:rFonts w:eastAsia="Times New Roman" w:cs="Times New Roman"/>
          <w:noProof/>
          <w:lang w:val="en-GB"/>
        </w:rPr>
        <w:t xml:space="preserve"> </w:t>
      </w:r>
      <w:r w:rsidR="00EA19E2" w:rsidRPr="5B7E44B8">
        <w:rPr>
          <w:rFonts w:eastAsia="Times New Roman" w:cs="Times New Roman"/>
          <w:noProof/>
          <w:lang w:val="en-GB"/>
        </w:rPr>
        <w:t xml:space="preserve">and the ways to simplify </w:t>
      </w:r>
      <w:r w:rsidR="00F40D67" w:rsidRPr="5B7E44B8">
        <w:rPr>
          <w:rFonts w:eastAsia="Times New Roman" w:cs="Times New Roman"/>
          <w:noProof/>
          <w:lang w:val="en-GB"/>
        </w:rPr>
        <w:t xml:space="preserve">the </w:t>
      </w:r>
      <w:r w:rsidR="00EA19E2" w:rsidRPr="5B7E44B8">
        <w:rPr>
          <w:rFonts w:eastAsia="Times New Roman" w:cs="Times New Roman"/>
          <w:noProof/>
          <w:lang w:val="en-GB"/>
        </w:rPr>
        <w:t>implementation</w:t>
      </w:r>
      <w:r w:rsidR="00F40D67" w:rsidRPr="5B7E44B8">
        <w:rPr>
          <w:rFonts w:eastAsia="Times New Roman" w:cs="Times New Roman"/>
          <w:noProof/>
          <w:lang w:val="en-GB"/>
        </w:rPr>
        <w:t xml:space="preserve"> of the CAP</w:t>
      </w:r>
      <w:r w:rsidR="00225EC4" w:rsidRPr="5B7E44B8">
        <w:rPr>
          <w:rFonts w:eastAsia="Times New Roman" w:cs="Times New Roman"/>
          <w:noProof/>
          <w:lang w:val="en-GB"/>
        </w:rPr>
        <w:t xml:space="preserve">. </w:t>
      </w:r>
    </w:p>
    <w:p w14:paraId="77E05F75" w14:textId="5DBC6D8B" w:rsidR="0063608D" w:rsidRPr="00724676" w:rsidRDefault="00225EC4" w:rsidP="003E7CF4">
      <w:pPr>
        <w:spacing w:after="240"/>
        <w:jc w:val="both"/>
        <w:rPr>
          <w:noProof/>
          <w:lang w:val="en-GB"/>
        </w:rPr>
      </w:pPr>
      <w:r w:rsidRPr="5B7F1876">
        <w:rPr>
          <w:rFonts w:eastAsia="Times New Roman" w:cs="Times New Roman"/>
          <w:noProof/>
          <w:lang w:val="en-GB"/>
        </w:rPr>
        <w:t xml:space="preserve">This </w:t>
      </w:r>
      <w:r w:rsidRPr="0051534E">
        <w:rPr>
          <w:rFonts w:eastAsia="Times New Roman" w:cs="Times New Roman"/>
          <w:noProof/>
          <w:lang w:val="en-GB"/>
        </w:rPr>
        <w:t xml:space="preserve">study </w:t>
      </w:r>
      <w:r w:rsidR="61C4C68B" w:rsidRPr="0051534E">
        <w:rPr>
          <w:rFonts w:eastAsia="Times New Roman" w:cs="Times New Roman"/>
          <w:noProof/>
          <w:lang w:val="en-GB"/>
        </w:rPr>
        <w:t>was</w:t>
      </w:r>
      <w:r w:rsidR="00D16B2F" w:rsidRPr="0051534E">
        <w:rPr>
          <w:rFonts w:eastAsia="Times New Roman" w:cs="Times New Roman"/>
          <w:noProof/>
          <w:lang w:val="en-GB"/>
        </w:rPr>
        <w:t xml:space="preserve"> launched in </w:t>
      </w:r>
      <w:r w:rsidR="0051534E" w:rsidRPr="003E7CF4">
        <w:rPr>
          <w:rFonts w:eastAsia="Times New Roman" w:cs="Times New Roman"/>
          <w:noProof/>
          <w:lang w:val="en-GB"/>
        </w:rPr>
        <w:t xml:space="preserve">August </w:t>
      </w:r>
      <w:r w:rsidR="00D16B2F" w:rsidRPr="0051534E">
        <w:rPr>
          <w:rFonts w:eastAsia="Times New Roman" w:cs="Times New Roman"/>
          <w:noProof/>
          <w:lang w:val="en-GB"/>
        </w:rPr>
        <w:t>2024</w:t>
      </w:r>
      <w:r w:rsidR="00494EC9" w:rsidRPr="0051534E">
        <w:rPr>
          <w:rFonts w:eastAsia="Times New Roman" w:cs="Times New Roman"/>
          <w:noProof/>
          <w:lang w:val="en-GB"/>
        </w:rPr>
        <w:t xml:space="preserve"> </w:t>
      </w:r>
      <w:r w:rsidR="00253E7B" w:rsidRPr="0051534E">
        <w:rPr>
          <w:rFonts w:eastAsia="Times New Roman" w:cs="Times New Roman"/>
          <w:noProof/>
          <w:lang w:val="en-GB"/>
        </w:rPr>
        <w:t>and</w:t>
      </w:r>
      <w:r w:rsidR="00590E86" w:rsidRPr="0051534E">
        <w:rPr>
          <w:rFonts w:eastAsia="Times New Roman" w:cs="Times New Roman"/>
          <w:noProof/>
          <w:lang w:val="en-GB"/>
        </w:rPr>
        <w:t xml:space="preserve"> </w:t>
      </w:r>
      <w:r w:rsidR="00F40D67" w:rsidRPr="0051534E">
        <w:rPr>
          <w:rFonts w:eastAsia="Times New Roman" w:cs="Times New Roman"/>
          <w:noProof/>
          <w:lang w:val="en-GB"/>
        </w:rPr>
        <w:t xml:space="preserve">its </w:t>
      </w:r>
      <w:r w:rsidR="00590E86" w:rsidRPr="0051534E">
        <w:rPr>
          <w:rFonts w:eastAsia="Times New Roman" w:cs="Times New Roman"/>
          <w:noProof/>
          <w:lang w:val="en-GB"/>
        </w:rPr>
        <w:t xml:space="preserve">results </w:t>
      </w:r>
      <w:r w:rsidR="00253E7B" w:rsidRPr="0051534E">
        <w:rPr>
          <w:rFonts w:eastAsia="Times New Roman" w:cs="Times New Roman"/>
          <w:noProof/>
          <w:lang w:val="en-GB"/>
        </w:rPr>
        <w:t xml:space="preserve">will feed into </w:t>
      </w:r>
      <w:r w:rsidR="00BC6342" w:rsidRPr="0051534E">
        <w:rPr>
          <w:rFonts w:eastAsia="Times New Roman" w:cs="Times New Roman"/>
          <w:noProof/>
          <w:lang w:val="en-GB"/>
        </w:rPr>
        <w:t xml:space="preserve">the </w:t>
      </w:r>
      <w:r w:rsidR="00253E7B" w:rsidRPr="0051534E">
        <w:rPr>
          <w:rFonts w:eastAsia="Times New Roman" w:cs="Times New Roman"/>
          <w:noProof/>
          <w:lang w:val="en-GB"/>
        </w:rPr>
        <w:t xml:space="preserve">reporting and evaluation </w:t>
      </w:r>
      <w:r w:rsidR="00872388" w:rsidRPr="0051534E">
        <w:rPr>
          <w:rFonts w:eastAsia="Times New Roman" w:cs="Times New Roman"/>
          <w:noProof/>
          <w:lang w:val="en-GB"/>
        </w:rPr>
        <w:t>deliverables laid down in</w:t>
      </w:r>
      <w:r w:rsidR="00BC6342" w:rsidRPr="0051534E">
        <w:rPr>
          <w:rFonts w:eastAsia="Times New Roman" w:cs="Times New Roman"/>
          <w:noProof/>
          <w:lang w:val="en-GB"/>
        </w:rPr>
        <w:t xml:space="preserve"> </w:t>
      </w:r>
      <w:r w:rsidR="00253E7B" w:rsidRPr="0051534E">
        <w:rPr>
          <w:rFonts w:eastAsia="Times New Roman" w:cs="Times New Roman"/>
          <w:noProof/>
          <w:lang w:val="en-GB"/>
        </w:rPr>
        <w:t xml:space="preserve">the </w:t>
      </w:r>
      <w:r w:rsidR="005B2ECE" w:rsidRPr="0051534E">
        <w:rPr>
          <w:rFonts w:cs="Times New Roman"/>
          <w:noProof/>
          <w:lang w:val="en-GB"/>
        </w:rPr>
        <w:t>CSP</w:t>
      </w:r>
      <w:r w:rsidR="000A32C6" w:rsidRPr="0051534E">
        <w:rPr>
          <w:rFonts w:cs="Times New Roman"/>
          <w:noProof/>
          <w:lang w:val="en-GB"/>
        </w:rPr>
        <w:t xml:space="preserve"> Regulation</w:t>
      </w:r>
      <w:r w:rsidR="00253E7B" w:rsidRPr="0051534E">
        <w:rPr>
          <w:noProof/>
          <w:vertAlign w:val="superscript"/>
          <w:lang w:val="en-GB"/>
        </w:rPr>
        <w:footnoteReference w:id="18"/>
      </w:r>
      <w:r w:rsidR="00550B99" w:rsidRPr="0051534E">
        <w:rPr>
          <w:rFonts w:cs="Times New Roman"/>
          <w:noProof/>
          <w:lang w:val="en-GB"/>
        </w:rPr>
        <w:t>.</w:t>
      </w:r>
      <w:r w:rsidR="00D46E38" w:rsidRPr="00724676">
        <w:rPr>
          <w:noProof/>
          <w:lang w:val="en-GB"/>
        </w:rPr>
        <w:t xml:space="preserve"> </w:t>
      </w:r>
    </w:p>
    <w:p w14:paraId="087B4493" w14:textId="30762363" w:rsidR="00736EFC" w:rsidRPr="00724676" w:rsidRDefault="00786C52" w:rsidP="003E7CF4">
      <w:pPr>
        <w:pStyle w:val="Style1"/>
        <w:numPr>
          <w:ilvl w:val="0"/>
          <w:numId w:val="0"/>
        </w:numPr>
        <w:spacing w:before="0" w:after="240"/>
        <w:jc w:val="both"/>
        <w:rPr>
          <w:b/>
          <w:bCs/>
          <w:noProof/>
          <w:lang w:val="en-GB"/>
        </w:rPr>
      </w:pPr>
      <w:bookmarkStart w:id="33" w:name="_Toc167974735"/>
      <w:bookmarkStart w:id="34" w:name="_Toc172125121"/>
      <w:r w:rsidRPr="00724676">
        <w:rPr>
          <w:b/>
          <w:noProof/>
          <w:lang w:val="en-GB"/>
        </w:rPr>
        <w:t>4</w:t>
      </w:r>
      <w:r w:rsidR="6339E075" w:rsidRPr="00724676">
        <w:rPr>
          <w:b/>
          <w:noProof/>
          <w:lang w:val="en-GB"/>
        </w:rPr>
        <w:t xml:space="preserve">. </w:t>
      </w:r>
      <w:r w:rsidRPr="00724676">
        <w:rPr>
          <w:b/>
          <w:bCs/>
          <w:noProof/>
          <w:lang w:val="en-GB"/>
        </w:rPr>
        <w:t xml:space="preserve">OPTIONS CONSIDERED AND THE CHOICE OF INSTRUMENTS FOR THE </w:t>
      </w:r>
      <w:r w:rsidRPr="00724676" w:rsidDel="00F40D67">
        <w:rPr>
          <w:b/>
          <w:bCs/>
          <w:noProof/>
          <w:lang w:val="en-GB"/>
        </w:rPr>
        <w:t xml:space="preserve">SELECTED </w:t>
      </w:r>
      <w:r w:rsidRPr="00724676">
        <w:rPr>
          <w:b/>
          <w:bCs/>
          <w:noProof/>
          <w:lang w:val="en-GB"/>
        </w:rPr>
        <w:t>SOLUTION</w:t>
      </w:r>
      <w:bookmarkEnd w:id="33"/>
      <w:bookmarkEnd w:id="34"/>
      <w:r w:rsidRPr="00724676">
        <w:rPr>
          <w:b/>
          <w:bCs/>
          <w:noProof/>
          <w:lang w:val="en-GB"/>
        </w:rPr>
        <w:t xml:space="preserve"> </w:t>
      </w:r>
    </w:p>
    <w:p w14:paraId="7E90C926" w14:textId="6CA81321" w:rsidR="00033B58" w:rsidRPr="00724676" w:rsidRDefault="000B5E17" w:rsidP="00B676C3">
      <w:pPr>
        <w:spacing w:after="120"/>
        <w:jc w:val="both"/>
        <w:rPr>
          <w:rFonts w:eastAsia="Times New Roman" w:cs="Times New Roman"/>
          <w:noProof/>
          <w:color w:val="000000" w:themeColor="text1"/>
          <w:lang w:val="en-GB"/>
        </w:rPr>
      </w:pPr>
      <w:r w:rsidRPr="532033A3">
        <w:rPr>
          <w:rFonts w:eastAsia="Times New Roman" w:cs="Times New Roman"/>
          <w:noProof/>
          <w:color w:val="000000" w:themeColor="text1"/>
          <w:lang w:val="en-GB"/>
        </w:rPr>
        <w:t>T</w:t>
      </w:r>
      <w:r w:rsidR="00987773" w:rsidRPr="532033A3">
        <w:rPr>
          <w:rFonts w:eastAsia="Times New Roman" w:cs="Times New Roman"/>
          <w:noProof/>
          <w:color w:val="000000" w:themeColor="text1"/>
          <w:lang w:val="en-GB"/>
        </w:rPr>
        <w:t xml:space="preserve">he </w:t>
      </w:r>
      <w:r w:rsidR="00987773" w:rsidRPr="003E7CF4">
        <w:rPr>
          <w:rFonts w:eastAsia="Times New Roman" w:cs="Times New Roman"/>
          <w:b/>
          <w:bCs/>
          <w:noProof/>
          <w:color w:val="000000" w:themeColor="text1"/>
          <w:lang w:val="en-GB"/>
        </w:rPr>
        <w:t>suggestions</w:t>
      </w:r>
      <w:r w:rsidR="00987773" w:rsidRPr="532033A3">
        <w:rPr>
          <w:rFonts w:eastAsia="Times New Roman" w:cs="Times New Roman"/>
          <w:noProof/>
          <w:color w:val="000000" w:themeColor="text1"/>
          <w:lang w:val="en-GB"/>
        </w:rPr>
        <w:t xml:space="preserve"> received </w:t>
      </w:r>
      <w:r w:rsidR="00874065" w:rsidRPr="532033A3">
        <w:rPr>
          <w:rFonts w:eastAsia="Times New Roman" w:cs="Times New Roman"/>
          <w:noProof/>
          <w:color w:val="000000" w:themeColor="text1"/>
          <w:lang w:val="en-GB"/>
        </w:rPr>
        <w:t xml:space="preserve">during </w:t>
      </w:r>
      <w:r w:rsidR="00987773" w:rsidRPr="532033A3">
        <w:rPr>
          <w:rFonts w:eastAsia="Times New Roman" w:cs="Times New Roman"/>
          <w:noProof/>
          <w:color w:val="000000" w:themeColor="text1"/>
          <w:lang w:val="en-GB"/>
        </w:rPr>
        <w:t xml:space="preserve">the </w:t>
      </w:r>
      <w:r w:rsidR="00FE75E2" w:rsidRPr="003E7CF4">
        <w:rPr>
          <w:rFonts w:eastAsia="Times New Roman" w:cs="Times New Roman"/>
          <w:b/>
          <w:bCs/>
          <w:noProof/>
          <w:color w:val="000000" w:themeColor="text1"/>
          <w:lang w:val="en-GB"/>
        </w:rPr>
        <w:t>ad</w:t>
      </w:r>
      <w:r w:rsidR="00CA6AB7" w:rsidRPr="003E7CF4">
        <w:rPr>
          <w:rFonts w:eastAsia="Times New Roman" w:cs="Times New Roman"/>
          <w:b/>
          <w:bCs/>
          <w:noProof/>
          <w:color w:val="000000" w:themeColor="text1"/>
          <w:lang w:val="en-GB"/>
        </w:rPr>
        <w:t xml:space="preserve"> </w:t>
      </w:r>
      <w:r w:rsidR="00FE75E2" w:rsidRPr="003E7CF4">
        <w:rPr>
          <w:rFonts w:eastAsia="Times New Roman" w:cs="Times New Roman"/>
          <w:b/>
          <w:bCs/>
          <w:noProof/>
          <w:color w:val="000000" w:themeColor="text1"/>
          <w:lang w:val="en-GB"/>
        </w:rPr>
        <w:t xml:space="preserve">hoc </w:t>
      </w:r>
      <w:r w:rsidR="00987773" w:rsidRPr="003E7CF4">
        <w:rPr>
          <w:rFonts w:eastAsia="Times New Roman" w:cs="Times New Roman"/>
          <w:b/>
          <w:bCs/>
          <w:noProof/>
          <w:color w:val="000000" w:themeColor="text1"/>
          <w:lang w:val="en-GB"/>
        </w:rPr>
        <w:t>consultation process</w:t>
      </w:r>
      <w:r w:rsidR="00987773" w:rsidRPr="532033A3">
        <w:rPr>
          <w:rFonts w:eastAsia="Times New Roman" w:cs="Times New Roman"/>
          <w:noProof/>
          <w:color w:val="000000" w:themeColor="text1"/>
          <w:lang w:val="en-GB"/>
        </w:rPr>
        <w:t xml:space="preserve"> (</w:t>
      </w:r>
      <w:r w:rsidR="00FE75E2" w:rsidRPr="532033A3">
        <w:rPr>
          <w:rFonts w:eastAsia="Times New Roman" w:cs="Times New Roman"/>
          <w:noProof/>
          <w:color w:val="000000" w:themeColor="text1"/>
          <w:lang w:val="en-GB"/>
        </w:rPr>
        <w:t>S</w:t>
      </w:r>
      <w:r w:rsidR="00987773" w:rsidRPr="532033A3">
        <w:rPr>
          <w:rFonts w:eastAsia="Times New Roman" w:cs="Times New Roman"/>
          <w:noProof/>
          <w:color w:val="000000" w:themeColor="text1"/>
          <w:lang w:val="en-GB"/>
        </w:rPr>
        <w:t xml:space="preserve">ection </w:t>
      </w:r>
      <w:r w:rsidR="008E7521" w:rsidRPr="532033A3">
        <w:rPr>
          <w:rFonts w:eastAsia="Times New Roman" w:cs="Times New Roman"/>
          <w:noProof/>
          <w:color w:val="000000" w:themeColor="text1"/>
          <w:lang w:val="en-GB"/>
        </w:rPr>
        <w:t>3</w:t>
      </w:r>
      <w:r w:rsidR="00736EFC" w:rsidRPr="532033A3">
        <w:rPr>
          <w:rFonts w:eastAsia="Times New Roman" w:cs="Times New Roman"/>
          <w:noProof/>
          <w:color w:val="000000" w:themeColor="text1"/>
          <w:lang w:val="en-GB"/>
        </w:rPr>
        <w:t>.1</w:t>
      </w:r>
      <w:r w:rsidR="00987773" w:rsidRPr="532033A3">
        <w:rPr>
          <w:rFonts w:eastAsia="Times New Roman" w:cs="Times New Roman"/>
          <w:noProof/>
          <w:color w:val="000000" w:themeColor="text1"/>
          <w:lang w:val="en-GB"/>
        </w:rPr>
        <w:t xml:space="preserve">) </w:t>
      </w:r>
      <w:r w:rsidR="005F42F6" w:rsidRPr="532033A3">
        <w:rPr>
          <w:rFonts w:eastAsia="Times New Roman" w:cs="Times New Roman"/>
          <w:noProof/>
          <w:color w:val="000000" w:themeColor="text1"/>
          <w:lang w:val="en-GB"/>
        </w:rPr>
        <w:t xml:space="preserve">fall </w:t>
      </w:r>
      <w:r w:rsidR="00874065" w:rsidRPr="532033A3">
        <w:rPr>
          <w:rFonts w:eastAsia="Times New Roman" w:cs="Times New Roman"/>
          <w:noProof/>
          <w:color w:val="000000" w:themeColor="text1"/>
          <w:lang w:val="en-GB"/>
        </w:rPr>
        <w:t xml:space="preserve">under the </w:t>
      </w:r>
      <w:r w:rsidR="00920A5D" w:rsidRPr="003E7CF4">
        <w:rPr>
          <w:rFonts w:eastAsia="Times New Roman" w:cs="Times New Roman"/>
          <w:b/>
          <w:bCs/>
          <w:noProof/>
          <w:color w:val="000000" w:themeColor="text1"/>
          <w:lang w:val="en-GB"/>
        </w:rPr>
        <w:t>five</w:t>
      </w:r>
      <w:r w:rsidR="00987773" w:rsidRPr="003E7CF4">
        <w:rPr>
          <w:rFonts w:eastAsia="Times New Roman" w:cs="Times New Roman"/>
          <w:b/>
          <w:bCs/>
          <w:noProof/>
          <w:color w:val="000000" w:themeColor="text1"/>
          <w:lang w:val="en-GB"/>
        </w:rPr>
        <w:t xml:space="preserve"> broad areas</w:t>
      </w:r>
      <w:r w:rsidR="00C709D9" w:rsidRPr="532033A3">
        <w:rPr>
          <w:rFonts w:eastAsia="Times New Roman" w:cs="Times New Roman"/>
          <w:noProof/>
          <w:color w:val="000000" w:themeColor="text1"/>
          <w:lang w:val="en-GB"/>
        </w:rPr>
        <w:t xml:space="preserve"> presented below</w:t>
      </w:r>
      <w:r w:rsidRPr="532033A3">
        <w:rPr>
          <w:rFonts w:eastAsia="Times New Roman" w:cs="Times New Roman"/>
          <w:noProof/>
          <w:color w:val="000000" w:themeColor="text1"/>
          <w:lang w:val="en-GB"/>
        </w:rPr>
        <w:t xml:space="preserve">. </w:t>
      </w:r>
      <w:r w:rsidR="006D770A" w:rsidRPr="532033A3">
        <w:rPr>
          <w:rFonts w:cs="Times New Roman"/>
          <w:noProof/>
          <w:lang w:val="en-GB"/>
        </w:rPr>
        <w:t xml:space="preserve">In planning and designing the </w:t>
      </w:r>
      <w:r w:rsidR="006D770A" w:rsidRPr="003E7CF4">
        <w:rPr>
          <w:rFonts w:cs="Times New Roman"/>
          <w:b/>
          <w:bCs/>
          <w:noProof/>
          <w:lang w:val="en-GB"/>
        </w:rPr>
        <w:t>response</w:t>
      </w:r>
      <w:r w:rsidR="00874065" w:rsidRPr="003E7CF4">
        <w:rPr>
          <w:rFonts w:cs="Times New Roman"/>
          <w:b/>
          <w:bCs/>
          <w:noProof/>
          <w:lang w:val="en-GB"/>
        </w:rPr>
        <w:t>s</w:t>
      </w:r>
      <w:r w:rsidR="00B91C2A" w:rsidRPr="003E7CF4">
        <w:rPr>
          <w:rFonts w:cs="Times New Roman"/>
          <w:b/>
          <w:bCs/>
          <w:noProof/>
          <w:lang w:val="en-GB"/>
        </w:rPr>
        <w:t xml:space="preserve"> to the suggestions</w:t>
      </w:r>
      <w:r w:rsidR="006D770A" w:rsidRPr="532033A3">
        <w:rPr>
          <w:rFonts w:cs="Times New Roman"/>
          <w:noProof/>
          <w:lang w:val="en-GB"/>
        </w:rPr>
        <w:t>, the Commission took into account</w:t>
      </w:r>
      <w:r w:rsidR="00874065" w:rsidRPr="532033A3">
        <w:rPr>
          <w:rFonts w:cs="Times New Roman"/>
          <w:noProof/>
          <w:lang w:val="en-GB"/>
        </w:rPr>
        <w:t xml:space="preserve">: (i) </w:t>
      </w:r>
      <w:r w:rsidR="006D770A" w:rsidRPr="532033A3">
        <w:rPr>
          <w:rFonts w:cs="Times New Roman"/>
          <w:noProof/>
          <w:lang w:val="en-GB"/>
        </w:rPr>
        <w:t>the expectations of farmers and Member States for a simpler and less burdensome CAP</w:t>
      </w:r>
      <w:r w:rsidR="00874065" w:rsidRPr="532033A3">
        <w:rPr>
          <w:rFonts w:cs="Times New Roman"/>
          <w:noProof/>
          <w:lang w:val="en-GB"/>
        </w:rPr>
        <w:t>; (ii)</w:t>
      </w:r>
      <w:r w:rsidR="006D770A" w:rsidRPr="532033A3">
        <w:rPr>
          <w:rFonts w:cs="Times New Roman"/>
          <w:noProof/>
          <w:lang w:val="en-GB"/>
        </w:rPr>
        <w:t xml:space="preserve"> the necessity to maintain the CAP’s role in supporting the transition of </w:t>
      </w:r>
      <w:r w:rsidR="6F4F83A3" w:rsidRPr="532033A3">
        <w:rPr>
          <w:rFonts w:cs="Times New Roman"/>
          <w:noProof/>
          <w:lang w:val="en-GB"/>
        </w:rPr>
        <w:t xml:space="preserve">the EU </w:t>
      </w:r>
      <w:r w:rsidR="006D770A" w:rsidRPr="532033A3">
        <w:rPr>
          <w:rFonts w:cs="Times New Roman"/>
          <w:noProof/>
          <w:lang w:val="en-GB"/>
        </w:rPr>
        <w:t>agriculture to sustainable farming</w:t>
      </w:r>
      <w:r w:rsidR="00874065" w:rsidRPr="532033A3">
        <w:rPr>
          <w:rFonts w:cs="Times New Roman"/>
          <w:noProof/>
          <w:lang w:val="en-GB"/>
        </w:rPr>
        <w:t>; (iii)</w:t>
      </w:r>
      <w:r w:rsidR="006D770A" w:rsidRPr="532033A3">
        <w:rPr>
          <w:rFonts w:cs="Times New Roman"/>
          <w:noProof/>
          <w:lang w:val="en-GB"/>
        </w:rPr>
        <w:t xml:space="preserve"> the nature of </w:t>
      </w:r>
      <w:r w:rsidR="00874065" w:rsidRPr="532033A3">
        <w:rPr>
          <w:rFonts w:cs="Times New Roman"/>
          <w:noProof/>
          <w:lang w:val="en-GB"/>
        </w:rPr>
        <w:t xml:space="preserve">the problems </w:t>
      </w:r>
      <w:r w:rsidR="006D770A" w:rsidRPr="532033A3">
        <w:rPr>
          <w:rFonts w:cs="Times New Roman"/>
          <w:noProof/>
          <w:lang w:val="en-GB"/>
        </w:rPr>
        <w:t>identified</w:t>
      </w:r>
      <w:r w:rsidR="00874065" w:rsidRPr="532033A3">
        <w:rPr>
          <w:rFonts w:cs="Times New Roman"/>
          <w:noProof/>
          <w:lang w:val="en-GB"/>
        </w:rPr>
        <w:t xml:space="preserve">; </w:t>
      </w:r>
      <w:r w:rsidR="006D770A" w:rsidRPr="532033A3">
        <w:rPr>
          <w:rFonts w:cs="Times New Roman"/>
          <w:noProof/>
          <w:lang w:val="en-GB"/>
        </w:rPr>
        <w:t>and</w:t>
      </w:r>
      <w:r w:rsidR="00874065" w:rsidRPr="532033A3">
        <w:rPr>
          <w:rFonts w:cs="Times New Roman"/>
          <w:noProof/>
          <w:lang w:val="en-GB"/>
        </w:rPr>
        <w:t xml:space="preserve"> (iv)</w:t>
      </w:r>
      <w:r w:rsidR="006D770A" w:rsidRPr="532033A3">
        <w:rPr>
          <w:rFonts w:cs="Times New Roman"/>
          <w:noProof/>
          <w:lang w:val="en-GB"/>
        </w:rPr>
        <w:t xml:space="preserve"> for legislative matters, the objective to </w:t>
      </w:r>
      <w:r w:rsidR="00491C42" w:rsidRPr="532033A3">
        <w:rPr>
          <w:rFonts w:cs="Times New Roman"/>
          <w:noProof/>
          <w:lang w:val="en-GB"/>
        </w:rPr>
        <w:t xml:space="preserve">quickly </w:t>
      </w:r>
      <w:r w:rsidR="006D770A" w:rsidRPr="532033A3">
        <w:rPr>
          <w:rFonts w:cs="Times New Roman"/>
          <w:noProof/>
          <w:lang w:val="en-GB"/>
        </w:rPr>
        <w:t>reach a</w:t>
      </w:r>
      <w:r w:rsidR="00652C49" w:rsidRPr="532033A3">
        <w:rPr>
          <w:rFonts w:cs="Times New Roman"/>
          <w:noProof/>
          <w:lang w:val="en-GB"/>
        </w:rPr>
        <w:t>n</w:t>
      </w:r>
      <w:r w:rsidR="006D770A" w:rsidRPr="532033A3">
        <w:rPr>
          <w:rFonts w:cs="Times New Roman"/>
          <w:noProof/>
          <w:lang w:val="en-GB"/>
        </w:rPr>
        <w:t xml:space="preserve"> agreement </w:t>
      </w:r>
      <w:r w:rsidR="001534B2" w:rsidRPr="532033A3">
        <w:rPr>
          <w:rFonts w:cs="Times New Roman"/>
          <w:noProof/>
          <w:lang w:val="en-GB"/>
        </w:rPr>
        <w:t xml:space="preserve">between </w:t>
      </w:r>
      <w:r w:rsidR="006D770A" w:rsidRPr="532033A3">
        <w:rPr>
          <w:rFonts w:cs="Times New Roman"/>
          <w:noProof/>
          <w:lang w:val="en-GB"/>
        </w:rPr>
        <w:t xml:space="preserve">the European Parliament and the Council, </w:t>
      </w:r>
      <w:r w:rsidR="00874065" w:rsidRPr="532033A3">
        <w:rPr>
          <w:rFonts w:cs="Times New Roman"/>
          <w:noProof/>
          <w:lang w:val="en-GB"/>
        </w:rPr>
        <w:t xml:space="preserve">so that </w:t>
      </w:r>
      <w:r w:rsidR="006D770A" w:rsidRPr="532033A3">
        <w:rPr>
          <w:rFonts w:cs="Times New Roman"/>
          <w:noProof/>
          <w:lang w:val="en-GB"/>
        </w:rPr>
        <w:t xml:space="preserve">farmers </w:t>
      </w:r>
      <w:r w:rsidR="00874065" w:rsidRPr="532033A3">
        <w:rPr>
          <w:rFonts w:cs="Times New Roman"/>
          <w:noProof/>
          <w:lang w:val="en-GB"/>
        </w:rPr>
        <w:t>could already</w:t>
      </w:r>
      <w:r w:rsidR="006D770A" w:rsidRPr="532033A3">
        <w:rPr>
          <w:rFonts w:cs="Times New Roman"/>
          <w:noProof/>
          <w:lang w:val="en-GB"/>
        </w:rPr>
        <w:t xml:space="preserve"> benefit from </w:t>
      </w:r>
      <w:r w:rsidR="001534B2" w:rsidRPr="532033A3">
        <w:rPr>
          <w:rFonts w:cs="Times New Roman"/>
          <w:noProof/>
          <w:lang w:val="en-GB"/>
        </w:rPr>
        <w:t xml:space="preserve">some of </w:t>
      </w:r>
      <w:r w:rsidR="006D770A" w:rsidRPr="532033A3">
        <w:rPr>
          <w:rFonts w:cs="Times New Roman"/>
          <w:noProof/>
          <w:lang w:val="en-GB"/>
        </w:rPr>
        <w:t xml:space="preserve">the </w:t>
      </w:r>
      <w:r w:rsidR="00874065" w:rsidRPr="532033A3">
        <w:rPr>
          <w:rFonts w:cs="Times New Roman"/>
          <w:noProof/>
          <w:lang w:val="en-GB"/>
        </w:rPr>
        <w:t xml:space="preserve">changes </w:t>
      </w:r>
      <w:r w:rsidR="006D770A" w:rsidRPr="532033A3">
        <w:rPr>
          <w:rFonts w:cs="Times New Roman"/>
          <w:noProof/>
          <w:lang w:val="en-GB"/>
        </w:rPr>
        <w:t>in 2024.</w:t>
      </w:r>
      <w:r w:rsidR="00E87452" w:rsidRPr="532033A3">
        <w:rPr>
          <w:rFonts w:eastAsia="Times New Roman" w:cs="Times New Roman"/>
          <w:noProof/>
          <w:color w:val="000000" w:themeColor="text1"/>
          <w:lang w:val="en-GB"/>
        </w:rPr>
        <w:t xml:space="preserve"> </w:t>
      </w:r>
      <w:r w:rsidR="00874065" w:rsidRPr="532033A3">
        <w:rPr>
          <w:rFonts w:eastAsia="Times New Roman" w:cs="Times New Roman"/>
          <w:noProof/>
          <w:color w:val="000000" w:themeColor="text1"/>
          <w:lang w:val="en-GB"/>
        </w:rPr>
        <w:t>A m</w:t>
      </w:r>
      <w:r w:rsidR="00075019" w:rsidRPr="532033A3">
        <w:rPr>
          <w:rFonts w:eastAsia="Times New Roman" w:cs="Times New Roman"/>
          <w:noProof/>
          <w:color w:val="000000" w:themeColor="text1"/>
          <w:lang w:val="en-GB"/>
        </w:rPr>
        <w:t xml:space="preserve">ore detailed </w:t>
      </w:r>
      <w:r w:rsidR="007D5A61" w:rsidRPr="532033A3">
        <w:rPr>
          <w:rFonts w:eastAsia="Times New Roman" w:cs="Times New Roman"/>
          <w:noProof/>
          <w:color w:val="000000" w:themeColor="text1"/>
          <w:lang w:val="en-GB"/>
        </w:rPr>
        <w:t xml:space="preserve">assessment of these </w:t>
      </w:r>
      <w:r w:rsidR="00A801FE" w:rsidRPr="532033A3">
        <w:rPr>
          <w:rFonts w:eastAsia="Times New Roman" w:cs="Times New Roman"/>
          <w:noProof/>
          <w:color w:val="000000" w:themeColor="text1"/>
          <w:lang w:val="en-GB"/>
        </w:rPr>
        <w:t xml:space="preserve">suggestions </w:t>
      </w:r>
      <w:r w:rsidR="007D5A61" w:rsidRPr="532033A3">
        <w:rPr>
          <w:rFonts w:eastAsia="Times New Roman" w:cs="Times New Roman"/>
          <w:noProof/>
          <w:color w:val="000000" w:themeColor="text1"/>
          <w:lang w:val="en-GB"/>
        </w:rPr>
        <w:t xml:space="preserve">is provided in Annex </w:t>
      </w:r>
      <w:r w:rsidR="00E87452" w:rsidRPr="532033A3">
        <w:rPr>
          <w:rFonts w:eastAsia="Times New Roman" w:cs="Times New Roman"/>
          <w:noProof/>
          <w:color w:val="000000" w:themeColor="text1"/>
          <w:lang w:val="en-GB"/>
        </w:rPr>
        <w:t>2</w:t>
      </w:r>
      <w:r w:rsidR="007D5A61" w:rsidRPr="532033A3">
        <w:rPr>
          <w:rFonts w:eastAsia="Times New Roman" w:cs="Times New Roman"/>
          <w:noProof/>
          <w:color w:val="000000" w:themeColor="text1"/>
          <w:lang w:val="en-GB"/>
        </w:rPr>
        <w:t>.</w:t>
      </w:r>
    </w:p>
    <w:p w14:paraId="57E94D08" w14:textId="1AFF932B" w:rsidR="00D6335D" w:rsidRPr="00724676" w:rsidRDefault="00E40F2E" w:rsidP="00B676C3">
      <w:pPr>
        <w:spacing w:after="120"/>
        <w:jc w:val="both"/>
        <w:rPr>
          <w:rFonts w:cs="Times New Roman"/>
          <w:noProof/>
          <w:szCs w:val="24"/>
          <w:lang w:val="en-GB"/>
        </w:rPr>
      </w:pPr>
      <w:bookmarkStart w:id="35" w:name="_Toc1980230210"/>
      <w:bookmarkStart w:id="36" w:name="_Toc283185871"/>
      <w:bookmarkStart w:id="37" w:name="_Toc1037612720"/>
      <w:bookmarkStart w:id="38" w:name="_Toc172125122"/>
      <w:bookmarkStart w:id="39" w:name="_Toc167974736"/>
      <w:r w:rsidRPr="00724676">
        <w:rPr>
          <w:rStyle w:val="Heading2Char"/>
          <w:noProof/>
          <w:lang w:val="en-GB"/>
        </w:rPr>
        <w:t>4</w:t>
      </w:r>
      <w:r w:rsidR="45068B74" w:rsidRPr="00724676">
        <w:rPr>
          <w:rStyle w:val="Heading2Char"/>
          <w:noProof/>
          <w:lang w:val="en-GB"/>
        </w:rPr>
        <w:t xml:space="preserve">.1. </w:t>
      </w:r>
      <w:r w:rsidR="00D6335D" w:rsidRPr="00724676">
        <w:rPr>
          <w:rStyle w:val="Heading2Char"/>
          <w:noProof/>
          <w:lang w:val="en-GB"/>
        </w:rPr>
        <w:t>CAP</w:t>
      </w:r>
      <w:r w:rsidR="00621D2F" w:rsidRPr="00724676">
        <w:rPr>
          <w:rStyle w:val="Heading2Char"/>
          <w:noProof/>
          <w:lang w:val="en-GB"/>
        </w:rPr>
        <w:t xml:space="preserve"> </w:t>
      </w:r>
      <w:bookmarkEnd w:id="35"/>
      <w:bookmarkEnd w:id="36"/>
      <w:bookmarkEnd w:id="37"/>
      <w:r w:rsidR="0043274B">
        <w:rPr>
          <w:rStyle w:val="Heading2Char"/>
          <w:noProof/>
          <w:lang w:val="en-GB"/>
        </w:rPr>
        <w:t>s</w:t>
      </w:r>
      <w:r w:rsidR="00837BD4" w:rsidRPr="00724676">
        <w:rPr>
          <w:rStyle w:val="Heading2Char"/>
          <w:noProof/>
          <w:lang w:val="en-GB"/>
        </w:rPr>
        <w:t xml:space="preserve">trategic </w:t>
      </w:r>
      <w:r w:rsidR="0043274B">
        <w:rPr>
          <w:rStyle w:val="Heading2Char"/>
          <w:noProof/>
          <w:lang w:val="en-GB"/>
        </w:rPr>
        <w:t>p</w:t>
      </w:r>
      <w:r w:rsidR="00837BD4" w:rsidRPr="00724676">
        <w:rPr>
          <w:rStyle w:val="Heading2Char"/>
          <w:noProof/>
          <w:lang w:val="en-GB"/>
        </w:rPr>
        <w:t>lans</w:t>
      </w:r>
      <w:r w:rsidR="00402A5D" w:rsidRPr="00724676">
        <w:rPr>
          <w:rStyle w:val="Heading2Char"/>
          <w:noProof/>
          <w:lang w:val="en-GB"/>
        </w:rPr>
        <w:t>:</w:t>
      </w:r>
      <w:r w:rsidR="00837BD4" w:rsidRPr="00724676">
        <w:rPr>
          <w:rStyle w:val="Heading2Char"/>
          <w:noProof/>
          <w:lang w:val="en-GB"/>
        </w:rPr>
        <w:t xml:space="preserve"> </w:t>
      </w:r>
      <w:r w:rsidR="0043274B">
        <w:rPr>
          <w:rStyle w:val="Heading2Char"/>
          <w:noProof/>
          <w:lang w:val="en-GB"/>
        </w:rPr>
        <w:t>m</w:t>
      </w:r>
      <w:r w:rsidR="00FD0F24" w:rsidRPr="00724676">
        <w:rPr>
          <w:rStyle w:val="Heading2Char"/>
          <w:noProof/>
          <w:lang w:val="en-GB"/>
        </w:rPr>
        <w:t>anagement</w:t>
      </w:r>
      <w:r w:rsidR="00CD1067" w:rsidRPr="00724676">
        <w:rPr>
          <w:rStyle w:val="Heading2Char"/>
          <w:noProof/>
          <w:lang w:val="en-GB"/>
        </w:rPr>
        <w:t>,</w:t>
      </w:r>
      <w:r w:rsidR="00FD0F24" w:rsidRPr="00724676">
        <w:rPr>
          <w:rStyle w:val="Heading2Char"/>
          <w:noProof/>
          <w:lang w:val="en-GB"/>
        </w:rPr>
        <w:t xml:space="preserve"> administration and contro</w:t>
      </w:r>
      <w:r w:rsidR="00920AD6" w:rsidRPr="00724676">
        <w:rPr>
          <w:rStyle w:val="Heading2Char"/>
          <w:noProof/>
          <w:lang w:val="en-GB"/>
        </w:rPr>
        <w:t>l</w:t>
      </w:r>
      <w:r w:rsidR="00FD0F24" w:rsidRPr="00724676">
        <w:rPr>
          <w:rStyle w:val="Heading2Char"/>
          <w:noProof/>
          <w:lang w:val="en-GB"/>
        </w:rPr>
        <w:t>s</w:t>
      </w:r>
      <w:bookmarkEnd w:id="38"/>
      <w:r w:rsidR="009C198E" w:rsidRPr="00724676">
        <w:rPr>
          <w:rFonts w:cs="Times New Roman"/>
          <w:noProof/>
          <w:szCs w:val="24"/>
          <w:lang w:val="en-GB"/>
        </w:rPr>
        <w:t xml:space="preserve"> </w:t>
      </w:r>
      <w:bookmarkEnd w:id="39"/>
    </w:p>
    <w:p w14:paraId="11A725AC" w14:textId="60A43554" w:rsidR="00D6335D" w:rsidRPr="00724676" w:rsidRDefault="006F13D3" w:rsidP="001218ED">
      <w:pPr>
        <w:jc w:val="both"/>
        <w:rPr>
          <w:rFonts w:eastAsia="Times New Roman" w:cs="Times New Roman"/>
          <w:noProof/>
          <w:color w:val="000000" w:themeColor="text1"/>
          <w:lang w:val="en-GB"/>
        </w:rPr>
      </w:pPr>
      <w:r w:rsidRPr="230F1D33">
        <w:rPr>
          <w:rFonts w:eastAsia="Times New Roman" w:cs="Times New Roman"/>
          <w:noProof/>
          <w:color w:val="000000" w:themeColor="text1"/>
          <w:lang w:val="en-GB"/>
        </w:rPr>
        <w:t>This</w:t>
      </w:r>
      <w:r w:rsidR="00D6335D" w:rsidRPr="230F1D33">
        <w:rPr>
          <w:rFonts w:eastAsia="Times New Roman" w:cs="Times New Roman"/>
          <w:noProof/>
          <w:color w:val="000000" w:themeColor="text1"/>
          <w:lang w:val="en-GB"/>
        </w:rPr>
        <w:t xml:space="preserve"> </w:t>
      </w:r>
      <w:r w:rsidR="00AB3FB8" w:rsidRPr="230F1D33">
        <w:rPr>
          <w:rFonts w:eastAsia="Times New Roman" w:cs="Times New Roman"/>
          <w:noProof/>
          <w:color w:val="000000" w:themeColor="text1"/>
          <w:lang w:val="en-GB"/>
        </w:rPr>
        <w:t>area includes</w:t>
      </w:r>
      <w:r w:rsidR="00E57E1C" w:rsidRPr="230F1D33">
        <w:rPr>
          <w:rFonts w:eastAsia="Times New Roman" w:cs="Times New Roman"/>
          <w:noProof/>
          <w:color w:val="000000" w:themeColor="text1"/>
          <w:lang w:val="en-GB"/>
        </w:rPr>
        <w:t xml:space="preserve"> the</w:t>
      </w:r>
      <w:r w:rsidR="00D6335D" w:rsidRPr="230F1D33">
        <w:rPr>
          <w:rFonts w:eastAsia="Times New Roman" w:cs="Times New Roman"/>
          <w:noProof/>
          <w:color w:val="000000" w:themeColor="text1"/>
          <w:lang w:val="en-GB"/>
        </w:rPr>
        <w:t xml:space="preserve"> procedures </w:t>
      </w:r>
      <w:r w:rsidR="00AA4ABD" w:rsidRPr="230F1D33">
        <w:rPr>
          <w:rFonts w:eastAsia="Times New Roman" w:cs="Times New Roman"/>
          <w:noProof/>
          <w:color w:val="000000" w:themeColor="text1"/>
          <w:lang w:val="en-GB"/>
        </w:rPr>
        <w:t xml:space="preserve">to </w:t>
      </w:r>
      <w:r w:rsidR="00D6335D" w:rsidRPr="230F1D33">
        <w:rPr>
          <w:rFonts w:eastAsia="Times New Roman" w:cs="Times New Roman"/>
          <w:noProof/>
          <w:color w:val="000000" w:themeColor="text1"/>
          <w:lang w:val="en-GB"/>
        </w:rPr>
        <w:t xml:space="preserve">amend </w:t>
      </w:r>
      <w:r w:rsidR="00523AA0" w:rsidRPr="230F1D33">
        <w:rPr>
          <w:rFonts w:eastAsia="Times New Roman" w:cs="Times New Roman"/>
          <w:noProof/>
          <w:color w:val="000000" w:themeColor="text1"/>
          <w:lang w:val="en-GB"/>
        </w:rPr>
        <w:t>CAP Plans</w:t>
      </w:r>
      <w:r w:rsidR="00D6335D" w:rsidRPr="230F1D33">
        <w:rPr>
          <w:rFonts w:eastAsia="Times New Roman" w:cs="Times New Roman"/>
          <w:noProof/>
          <w:color w:val="000000" w:themeColor="text1"/>
          <w:lang w:val="en-GB"/>
        </w:rPr>
        <w:t xml:space="preserve"> (including the </w:t>
      </w:r>
      <w:r w:rsidR="3AE28DB8" w:rsidRPr="230F1D33">
        <w:rPr>
          <w:rFonts w:eastAsia="Times New Roman" w:cs="Times New Roman"/>
          <w:noProof/>
          <w:color w:val="000000" w:themeColor="text1"/>
          <w:lang w:val="en-GB"/>
        </w:rPr>
        <w:t xml:space="preserve">increase </w:t>
      </w:r>
      <w:r w:rsidR="0043274B" w:rsidRPr="230F1D33">
        <w:rPr>
          <w:rFonts w:eastAsia="Times New Roman" w:cs="Times New Roman"/>
          <w:noProof/>
          <w:color w:val="000000" w:themeColor="text1"/>
          <w:lang w:val="en-GB"/>
        </w:rPr>
        <w:t xml:space="preserve">in </w:t>
      </w:r>
      <w:r w:rsidR="3AE28DB8" w:rsidRPr="230F1D33">
        <w:rPr>
          <w:rFonts w:eastAsia="Times New Roman" w:cs="Times New Roman"/>
          <w:noProof/>
          <w:color w:val="000000" w:themeColor="text1"/>
          <w:lang w:val="en-GB"/>
        </w:rPr>
        <w:t xml:space="preserve">the </w:t>
      </w:r>
      <w:r w:rsidR="00AA4ABD" w:rsidRPr="230F1D33">
        <w:rPr>
          <w:rFonts w:eastAsia="Times New Roman" w:cs="Times New Roman"/>
          <w:noProof/>
          <w:color w:val="000000" w:themeColor="text1"/>
          <w:lang w:val="en-GB"/>
        </w:rPr>
        <w:t xml:space="preserve">maximum </w:t>
      </w:r>
      <w:r w:rsidR="00D6335D" w:rsidRPr="230F1D33">
        <w:rPr>
          <w:rFonts w:eastAsia="Times New Roman" w:cs="Times New Roman"/>
          <w:noProof/>
          <w:color w:val="000000" w:themeColor="text1"/>
          <w:lang w:val="en-GB"/>
        </w:rPr>
        <w:t xml:space="preserve">number of </w:t>
      </w:r>
      <w:r w:rsidR="00AA4ABD" w:rsidRPr="230F1D33">
        <w:rPr>
          <w:rFonts w:eastAsia="Times New Roman" w:cs="Times New Roman"/>
          <w:noProof/>
          <w:color w:val="000000" w:themeColor="text1"/>
          <w:lang w:val="en-GB"/>
        </w:rPr>
        <w:t xml:space="preserve">requests for </w:t>
      </w:r>
      <w:r w:rsidR="00D6335D" w:rsidRPr="230F1D33">
        <w:rPr>
          <w:rFonts w:eastAsia="Times New Roman" w:cs="Times New Roman"/>
          <w:noProof/>
          <w:color w:val="000000" w:themeColor="text1"/>
          <w:lang w:val="en-GB"/>
        </w:rPr>
        <w:t>amendment</w:t>
      </w:r>
      <w:r w:rsidR="5F0AD9C0" w:rsidRPr="230F1D33">
        <w:rPr>
          <w:rFonts w:eastAsia="Times New Roman" w:cs="Times New Roman"/>
          <w:noProof/>
          <w:color w:val="000000" w:themeColor="text1"/>
          <w:lang w:val="en-GB"/>
        </w:rPr>
        <w:t xml:space="preserve"> </w:t>
      </w:r>
      <w:r w:rsidR="5AD5F0C0" w:rsidRPr="230F1D33">
        <w:rPr>
          <w:rFonts w:eastAsia="Times New Roman" w:cs="Times New Roman"/>
          <w:noProof/>
          <w:color w:val="000000" w:themeColor="text1"/>
          <w:lang w:val="en-GB"/>
        </w:rPr>
        <w:t>per calendar year</w:t>
      </w:r>
      <w:r w:rsidR="00D6335D" w:rsidRPr="230F1D33">
        <w:rPr>
          <w:rFonts w:eastAsia="Times New Roman" w:cs="Times New Roman"/>
          <w:noProof/>
          <w:color w:val="000000" w:themeColor="text1"/>
          <w:lang w:val="en-GB"/>
        </w:rPr>
        <w:t>)</w:t>
      </w:r>
      <w:r w:rsidR="2D3B53FA" w:rsidRPr="230F1D33">
        <w:rPr>
          <w:rFonts w:eastAsia="Times New Roman" w:cs="Times New Roman"/>
          <w:noProof/>
          <w:color w:val="000000" w:themeColor="text1"/>
          <w:lang w:val="en-GB"/>
        </w:rPr>
        <w:t xml:space="preserve"> and</w:t>
      </w:r>
      <w:r w:rsidR="00D6335D" w:rsidRPr="230F1D33">
        <w:rPr>
          <w:rFonts w:eastAsia="Times New Roman" w:cs="Times New Roman"/>
          <w:noProof/>
          <w:color w:val="000000" w:themeColor="text1"/>
          <w:lang w:val="en-GB"/>
        </w:rPr>
        <w:t xml:space="preserve"> </w:t>
      </w:r>
      <w:r w:rsidR="00A538AD" w:rsidRPr="230F1D33">
        <w:rPr>
          <w:rFonts w:eastAsia="Times New Roman" w:cs="Times New Roman"/>
          <w:noProof/>
          <w:color w:val="000000" w:themeColor="text1"/>
          <w:lang w:val="en-GB"/>
        </w:rPr>
        <w:t xml:space="preserve">the level of detail of the </w:t>
      </w:r>
      <w:r w:rsidR="00523AA0" w:rsidRPr="230F1D33">
        <w:rPr>
          <w:rFonts w:eastAsia="Times New Roman" w:cs="Times New Roman"/>
          <w:noProof/>
          <w:color w:val="000000" w:themeColor="text1"/>
          <w:lang w:val="en-GB"/>
        </w:rPr>
        <w:t>CAP Plans</w:t>
      </w:r>
      <w:r w:rsidR="43E8E4E7" w:rsidRPr="230F1D33">
        <w:rPr>
          <w:rFonts w:eastAsia="Times New Roman" w:cs="Times New Roman"/>
          <w:noProof/>
          <w:color w:val="000000" w:themeColor="text1"/>
          <w:lang w:val="en-GB"/>
        </w:rPr>
        <w:t>.</w:t>
      </w:r>
      <w:r w:rsidR="008606CB" w:rsidRPr="230F1D33">
        <w:rPr>
          <w:rFonts w:eastAsia="Times New Roman" w:cs="Times New Roman"/>
          <w:noProof/>
          <w:color w:val="000000" w:themeColor="text1"/>
          <w:lang w:val="en-GB"/>
        </w:rPr>
        <w:t xml:space="preserve"> </w:t>
      </w:r>
      <w:r w:rsidR="005E5F9A" w:rsidRPr="230F1D33">
        <w:rPr>
          <w:rFonts w:eastAsia="Times New Roman" w:cs="Times New Roman"/>
          <w:noProof/>
          <w:color w:val="000000" w:themeColor="text1"/>
          <w:lang w:val="en-GB"/>
        </w:rPr>
        <w:t xml:space="preserve">It also </w:t>
      </w:r>
      <w:r w:rsidR="004A1DD2" w:rsidRPr="230F1D33">
        <w:rPr>
          <w:rFonts w:eastAsia="Times New Roman" w:cs="Times New Roman"/>
          <w:noProof/>
          <w:color w:val="000000" w:themeColor="text1"/>
          <w:lang w:val="en-GB"/>
        </w:rPr>
        <w:t>cov</w:t>
      </w:r>
      <w:r w:rsidR="00C7711F" w:rsidRPr="230F1D33">
        <w:rPr>
          <w:rFonts w:eastAsia="Times New Roman" w:cs="Times New Roman"/>
          <w:noProof/>
          <w:color w:val="000000" w:themeColor="text1"/>
          <w:lang w:val="en-GB"/>
        </w:rPr>
        <w:t>e</w:t>
      </w:r>
      <w:r w:rsidR="004A1DD2" w:rsidRPr="230F1D33">
        <w:rPr>
          <w:rFonts w:eastAsia="Times New Roman" w:cs="Times New Roman"/>
          <w:noProof/>
          <w:color w:val="000000" w:themeColor="text1"/>
          <w:lang w:val="en-GB"/>
        </w:rPr>
        <w:t>r</w:t>
      </w:r>
      <w:r w:rsidR="009E337F" w:rsidRPr="230F1D33">
        <w:rPr>
          <w:rFonts w:eastAsia="Times New Roman" w:cs="Times New Roman"/>
          <w:noProof/>
          <w:color w:val="000000" w:themeColor="text1"/>
          <w:lang w:val="en-GB"/>
        </w:rPr>
        <w:t>s</w:t>
      </w:r>
      <w:r w:rsidR="00D6335D" w:rsidRPr="230F1D33">
        <w:rPr>
          <w:rFonts w:eastAsia="Times New Roman" w:cs="Times New Roman"/>
          <w:noProof/>
          <w:color w:val="000000" w:themeColor="text1"/>
          <w:lang w:val="en-GB"/>
        </w:rPr>
        <w:t xml:space="preserve"> elements of the </w:t>
      </w:r>
      <w:r w:rsidR="005D179E" w:rsidRPr="230F1D33">
        <w:rPr>
          <w:rFonts w:eastAsia="Times New Roman" w:cs="Times New Roman"/>
          <w:noProof/>
          <w:color w:val="000000" w:themeColor="text1"/>
          <w:lang w:val="en-GB"/>
        </w:rPr>
        <w:t>i</w:t>
      </w:r>
      <w:r w:rsidR="00D6335D" w:rsidRPr="230F1D33">
        <w:rPr>
          <w:rFonts w:eastAsia="Times New Roman" w:cs="Times New Roman"/>
          <w:noProof/>
          <w:color w:val="000000" w:themeColor="text1"/>
          <w:lang w:val="en-GB"/>
        </w:rPr>
        <w:t xml:space="preserve">ntegrated </w:t>
      </w:r>
      <w:r w:rsidR="005D179E" w:rsidRPr="230F1D33">
        <w:rPr>
          <w:rFonts w:eastAsia="Times New Roman" w:cs="Times New Roman"/>
          <w:noProof/>
          <w:color w:val="000000" w:themeColor="text1"/>
          <w:lang w:val="en-GB"/>
        </w:rPr>
        <w:t>a</w:t>
      </w:r>
      <w:r w:rsidR="00D6335D" w:rsidRPr="230F1D33">
        <w:rPr>
          <w:rFonts w:eastAsia="Times New Roman" w:cs="Times New Roman"/>
          <w:noProof/>
          <w:color w:val="000000" w:themeColor="text1"/>
          <w:lang w:val="en-GB"/>
        </w:rPr>
        <w:t xml:space="preserve">dministration and </w:t>
      </w:r>
      <w:r w:rsidR="005D179E" w:rsidRPr="230F1D33">
        <w:rPr>
          <w:rFonts w:eastAsia="Times New Roman" w:cs="Times New Roman"/>
          <w:noProof/>
          <w:color w:val="000000" w:themeColor="text1"/>
          <w:lang w:val="en-GB"/>
        </w:rPr>
        <w:t>c</w:t>
      </w:r>
      <w:r w:rsidR="00D6335D" w:rsidRPr="230F1D33">
        <w:rPr>
          <w:rFonts w:eastAsia="Times New Roman" w:cs="Times New Roman"/>
          <w:noProof/>
          <w:color w:val="000000" w:themeColor="text1"/>
          <w:lang w:val="en-GB"/>
        </w:rPr>
        <w:t xml:space="preserve">ontrol </w:t>
      </w:r>
      <w:r w:rsidR="005D179E" w:rsidRPr="230F1D33">
        <w:rPr>
          <w:rFonts w:eastAsia="Times New Roman" w:cs="Times New Roman"/>
          <w:noProof/>
          <w:color w:val="000000" w:themeColor="text1"/>
          <w:lang w:val="en-GB"/>
        </w:rPr>
        <w:t>s</w:t>
      </w:r>
      <w:r w:rsidR="00D6335D" w:rsidRPr="230F1D33">
        <w:rPr>
          <w:rFonts w:eastAsia="Times New Roman" w:cs="Times New Roman"/>
          <w:noProof/>
          <w:color w:val="000000" w:themeColor="text1"/>
          <w:lang w:val="en-GB"/>
        </w:rPr>
        <w:t>ystem (</w:t>
      </w:r>
      <w:r w:rsidR="00B77AC7" w:rsidRPr="230F1D33">
        <w:rPr>
          <w:rFonts w:eastAsia="Times New Roman" w:cs="Times New Roman"/>
          <w:noProof/>
          <w:color w:val="000000" w:themeColor="text1"/>
          <w:lang w:val="en-GB"/>
        </w:rPr>
        <w:t xml:space="preserve">IACS), </w:t>
      </w:r>
      <w:r w:rsidR="008F5F58" w:rsidRPr="230F1D33">
        <w:rPr>
          <w:rFonts w:eastAsia="Times New Roman" w:cs="Times New Roman"/>
          <w:noProof/>
          <w:color w:val="000000" w:themeColor="text1"/>
          <w:lang w:val="en-GB"/>
        </w:rPr>
        <w:t>inclu</w:t>
      </w:r>
      <w:r w:rsidR="003A42F0" w:rsidRPr="230F1D33">
        <w:rPr>
          <w:rFonts w:eastAsia="Times New Roman" w:cs="Times New Roman"/>
          <w:noProof/>
          <w:color w:val="000000" w:themeColor="text1"/>
          <w:lang w:val="en-GB"/>
        </w:rPr>
        <w:t>d</w:t>
      </w:r>
      <w:r w:rsidR="008F5F58" w:rsidRPr="230F1D33">
        <w:rPr>
          <w:rFonts w:eastAsia="Times New Roman" w:cs="Times New Roman"/>
          <w:noProof/>
          <w:color w:val="000000" w:themeColor="text1"/>
          <w:lang w:val="en-GB"/>
        </w:rPr>
        <w:t xml:space="preserve">ing </w:t>
      </w:r>
      <w:r w:rsidR="00D6335D" w:rsidRPr="230F1D33">
        <w:rPr>
          <w:rFonts w:eastAsia="Times New Roman" w:cs="Times New Roman"/>
          <w:noProof/>
          <w:color w:val="000000" w:themeColor="text1"/>
          <w:lang w:val="en-GB"/>
        </w:rPr>
        <w:t xml:space="preserve">the </w:t>
      </w:r>
      <w:r w:rsidR="00994E3D" w:rsidRPr="230F1D33">
        <w:rPr>
          <w:rFonts w:eastAsia="Times New Roman" w:cs="Times New Roman"/>
          <w:noProof/>
          <w:color w:val="000000" w:themeColor="text1"/>
          <w:lang w:val="en-GB"/>
        </w:rPr>
        <w:t>IACS</w:t>
      </w:r>
      <w:r w:rsidR="00D6335D" w:rsidRPr="230F1D33">
        <w:rPr>
          <w:rFonts w:eastAsia="Times New Roman" w:cs="Times New Roman"/>
          <w:noProof/>
          <w:color w:val="000000" w:themeColor="text1"/>
          <w:lang w:val="en-GB"/>
        </w:rPr>
        <w:t xml:space="preserve"> quality assessment methodology, the use of </w:t>
      </w:r>
      <w:r w:rsidR="0093411D" w:rsidRPr="230F1D33">
        <w:rPr>
          <w:rFonts w:eastAsia="Times New Roman" w:cs="Times New Roman"/>
          <w:noProof/>
          <w:color w:val="000000" w:themeColor="text1"/>
          <w:lang w:val="en-GB"/>
        </w:rPr>
        <w:t>geotagged</w:t>
      </w:r>
      <w:r w:rsidR="00D6335D" w:rsidRPr="230F1D33">
        <w:rPr>
          <w:rFonts w:eastAsia="Times New Roman" w:cs="Times New Roman"/>
          <w:noProof/>
          <w:color w:val="000000" w:themeColor="text1"/>
          <w:lang w:val="en-GB"/>
        </w:rPr>
        <w:t xml:space="preserve"> photos, as well as the </w:t>
      </w:r>
      <w:r w:rsidR="00F44D7A" w:rsidRPr="230F1D33">
        <w:rPr>
          <w:rFonts w:eastAsia="Times New Roman" w:cs="Times New Roman"/>
          <w:noProof/>
          <w:color w:val="000000" w:themeColor="text1"/>
          <w:lang w:val="en-GB"/>
        </w:rPr>
        <w:t>control and</w:t>
      </w:r>
      <w:r w:rsidR="00D6335D" w:rsidRPr="230F1D33">
        <w:rPr>
          <w:rFonts w:eastAsia="Times New Roman" w:cs="Times New Roman"/>
          <w:noProof/>
          <w:color w:val="000000" w:themeColor="text1"/>
          <w:lang w:val="en-GB"/>
        </w:rPr>
        <w:t xml:space="preserve"> penalty system</w:t>
      </w:r>
      <w:r w:rsidR="009B7A3A" w:rsidRPr="230F1D33">
        <w:rPr>
          <w:rFonts w:eastAsia="Times New Roman" w:cs="Times New Roman"/>
          <w:noProof/>
          <w:color w:val="000000" w:themeColor="text1"/>
          <w:lang w:val="en-GB"/>
        </w:rPr>
        <w:t>s for conditionality and</w:t>
      </w:r>
      <w:r w:rsidR="009E337F" w:rsidRPr="230F1D33">
        <w:rPr>
          <w:rFonts w:eastAsia="Times New Roman" w:cs="Times New Roman"/>
          <w:noProof/>
          <w:color w:val="000000" w:themeColor="text1"/>
          <w:lang w:val="en-GB"/>
        </w:rPr>
        <w:t xml:space="preserve"> </w:t>
      </w:r>
      <w:r w:rsidR="00C23D21" w:rsidRPr="230F1D33">
        <w:rPr>
          <w:rFonts w:eastAsia="Times New Roman" w:cs="Times New Roman"/>
          <w:noProof/>
          <w:color w:val="000000" w:themeColor="text1"/>
          <w:lang w:val="en-GB"/>
        </w:rPr>
        <w:t xml:space="preserve">for payments </w:t>
      </w:r>
      <w:r w:rsidR="00257E2D" w:rsidRPr="230F1D33">
        <w:rPr>
          <w:rFonts w:eastAsia="Times New Roman" w:cs="Times New Roman"/>
          <w:noProof/>
          <w:color w:val="000000" w:themeColor="text1"/>
          <w:lang w:val="en-GB"/>
        </w:rPr>
        <w:t>under interventions</w:t>
      </w:r>
      <w:r w:rsidR="00F0017D" w:rsidRPr="230F1D33">
        <w:rPr>
          <w:rFonts w:eastAsia="Times New Roman" w:cs="Times New Roman"/>
          <w:noProof/>
          <w:color w:val="000000" w:themeColor="text1"/>
          <w:lang w:val="en-GB"/>
        </w:rPr>
        <w:t xml:space="preserve">. </w:t>
      </w:r>
      <w:r w:rsidR="66930B2D" w:rsidRPr="230F1D33">
        <w:rPr>
          <w:rFonts w:eastAsia="Times New Roman" w:cs="Times New Roman"/>
          <w:noProof/>
          <w:color w:val="000000" w:themeColor="text1"/>
          <w:lang w:val="en-GB"/>
        </w:rPr>
        <w:t xml:space="preserve">Another group of </w:t>
      </w:r>
      <w:r w:rsidR="00575A26" w:rsidRPr="230F1D33">
        <w:rPr>
          <w:rFonts w:eastAsia="Times New Roman" w:cs="Times New Roman"/>
          <w:noProof/>
          <w:color w:val="000000" w:themeColor="text1"/>
          <w:lang w:val="en-GB"/>
        </w:rPr>
        <w:t xml:space="preserve">suggestions </w:t>
      </w:r>
      <w:r w:rsidR="66930B2D" w:rsidRPr="230F1D33">
        <w:rPr>
          <w:rFonts w:eastAsia="Times New Roman" w:cs="Times New Roman"/>
          <w:noProof/>
          <w:color w:val="000000" w:themeColor="text1"/>
          <w:lang w:val="en-GB"/>
        </w:rPr>
        <w:t>concern</w:t>
      </w:r>
      <w:r w:rsidR="0DF0C7EB" w:rsidRPr="230F1D33">
        <w:rPr>
          <w:rFonts w:eastAsia="Times New Roman" w:cs="Times New Roman"/>
          <w:noProof/>
          <w:color w:val="000000" w:themeColor="text1"/>
          <w:lang w:val="en-GB"/>
        </w:rPr>
        <w:t>s</w:t>
      </w:r>
      <w:r w:rsidR="66930B2D" w:rsidRPr="230F1D33">
        <w:rPr>
          <w:rFonts w:eastAsia="Times New Roman" w:cs="Times New Roman"/>
          <w:noProof/>
          <w:color w:val="000000" w:themeColor="text1"/>
          <w:lang w:val="en-GB"/>
        </w:rPr>
        <w:t xml:space="preserve"> the </w:t>
      </w:r>
      <w:r w:rsidR="00871152" w:rsidRPr="230F1D33">
        <w:rPr>
          <w:rFonts w:eastAsia="Times New Roman" w:cs="Times New Roman"/>
          <w:noProof/>
          <w:color w:val="000000" w:themeColor="text1"/>
          <w:lang w:val="en-GB"/>
        </w:rPr>
        <w:t xml:space="preserve">simplification of </w:t>
      </w:r>
      <w:r w:rsidR="009D2A1A" w:rsidRPr="230F1D33">
        <w:rPr>
          <w:rFonts w:eastAsia="Times New Roman" w:cs="Times New Roman"/>
          <w:noProof/>
          <w:color w:val="000000" w:themeColor="text1"/>
          <w:lang w:val="en-GB"/>
        </w:rPr>
        <w:t xml:space="preserve">the </w:t>
      </w:r>
      <w:r w:rsidR="007B1CFC" w:rsidRPr="230F1D33">
        <w:rPr>
          <w:rFonts w:eastAsia="Times New Roman" w:cs="Times New Roman"/>
          <w:noProof/>
          <w:color w:val="000000" w:themeColor="text1"/>
          <w:lang w:val="en-GB"/>
        </w:rPr>
        <w:t>a</w:t>
      </w:r>
      <w:r w:rsidR="00F31F0E" w:rsidRPr="230F1D33">
        <w:rPr>
          <w:rFonts w:eastAsia="Times New Roman" w:cs="Times New Roman"/>
          <w:noProof/>
          <w:color w:val="000000" w:themeColor="text1"/>
          <w:lang w:val="en-GB"/>
        </w:rPr>
        <w:t xml:space="preserve">nnual </w:t>
      </w:r>
      <w:r w:rsidR="007B1CFC" w:rsidRPr="230F1D33">
        <w:rPr>
          <w:rFonts w:eastAsia="Times New Roman" w:cs="Times New Roman"/>
          <w:noProof/>
          <w:color w:val="000000" w:themeColor="text1"/>
          <w:lang w:val="en-GB"/>
        </w:rPr>
        <w:t>p</w:t>
      </w:r>
      <w:r w:rsidR="00F31F0E" w:rsidRPr="230F1D33">
        <w:rPr>
          <w:rFonts w:eastAsia="Times New Roman" w:cs="Times New Roman"/>
          <w:noProof/>
          <w:color w:val="000000" w:themeColor="text1"/>
          <w:lang w:val="en-GB"/>
        </w:rPr>
        <w:t xml:space="preserve">erformance </w:t>
      </w:r>
      <w:r w:rsidR="007B1CFC" w:rsidRPr="230F1D33">
        <w:rPr>
          <w:rFonts w:eastAsia="Times New Roman" w:cs="Times New Roman"/>
          <w:noProof/>
          <w:color w:val="000000" w:themeColor="text1"/>
          <w:lang w:val="en-GB"/>
        </w:rPr>
        <w:t>r</w:t>
      </w:r>
      <w:r w:rsidR="00F31F0E" w:rsidRPr="230F1D33">
        <w:rPr>
          <w:rFonts w:eastAsia="Times New Roman" w:cs="Times New Roman"/>
          <w:noProof/>
          <w:color w:val="000000" w:themeColor="text1"/>
          <w:lang w:val="en-GB"/>
        </w:rPr>
        <w:t>eview (APR)</w:t>
      </w:r>
      <w:r w:rsidR="009D2A1A" w:rsidRPr="230F1D33">
        <w:rPr>
          <w:rFonts w:eastAsia="Times New Roman" w:cs="Times New Roman"/>
          <w:noProof/>
          <w:color w:val="000000" w:themeColor="text1"/>
          <w:lang w:val="en-GB"/>
        </w:rPr>
        <w:t xml:space="preserve"> which is</w:t>
      </w:r>
      <w:r w:rsidR="586752A4" w:rsidRPr="230F1D33">
        <w:rPr>
          <w:rFonts w:eastAsia="Times New Roman" w:cs="Times New Roman"/>
          <w:noProof/>
          <w:color w:val="000000" w:themeColor="text1"/>
          <w:lang w:val="en-GB"/>
        </w:rPr>
        <w:t xml:space="preserve"> the </w:t>
      </w:r>
      <w:r w:rsidR="48AA091D" w:rsidRPr="230F1D33">
        <w:rPr>
          <w:rFonts w:eastAsia="Times New Roman" w:cs="Times New Roman"/>
          <w:noProof/>
          <w:color w:val="000000" w:themeColor="text1"/>
          <w:lang w:val="en-GB"/>
        </w:rPr>
        <w:t xml:space="preserve">reporting </w:t>
      </w:r>
      <w:r w:rsidR="586752A4" w:rsidRPr="230F1D33">
        <w:rPr>
          <w:rFonts w:eastAsia="Times New Roman" w:cs="Times New Roman"/>
          <w:noProof/>
          <w:color w:val="000000" w:themeColor="text1"/>
          <w:lang w:val="en-GB"/>
        </w:rPr>
        <w:t>tool</w:t>
      </w:r>
      <w:r w:rsidR="2530C001" w:rsidRPr="230F1D33">
        <w:rPr>
          <w:rFonts w:eastAsia="Times New Roman" w:cs="Times New Roman"/>
          <w:noProof/>
          <w:color w:val="000000" w:themeColor="text1"/>
          <w:lang w:val="en-GB"/>
        </w:rPr>
        <w:t xml:space="preserve"> </w:t>
      </w:r>
      <w:r w:rsidR="007B1CFC" w:rsidRPr="230F1D33">
        <w:rPr>
          <w:rFonts w:eastAsia="Times New Roman" w:cs="Times New Roman"/>
          <w:noProof/>
          <w:color w:val="000000" w:themeColor="text1"/>
          <w:lang w:val="en-GB"/>
        </w:rPr>
        <w:t xml:space="preserve">to </w:t>
      </w:r>
      <w:r w:rsidR="586752A4" w:rsidRPr="230F1D33">
        <w:rPr>
          <w:rFonts w:eastAsia="Times New Roman" w:cs="Times New Roman"/>
          <w:noProof/>
          <w:color w:val="000000" w:themeColor="text1"/>
          <w:lang w:val="en-GB"/>
        </w:rPr>
        <w:t>track</w:t>
      </w:r>
      <w:r w:rsidR="007B1CFC" w:rsidRPr="230F1D33">
        <w:rPr>
          <w:rFonts w:eastAsia="Times New Roman" w:cs="Times New Roman"/>
          <w:noProof/>
          <w:color w:val="000000" w:themeColor="text1"/>
          <w:lang w:val="en-GB"/>
        </w:rPr>
        <w:t xml:space="preserve"> the</w:t>
      </w:r>
      <w:r w:rsidR="2530C001" w:rsidRPr="230F1D33">
        <w:rPr>
          <w:rFonts w:eastAsia="Times New Roman" w:cs="Times New Roman"/>
          <w:noProof/>
          <w:color w:val="000000" w:themeColor="text1"/>
          <w:lang w:val="en-GB"/>
        </w:rPr>
        <w:t xml:space="preserve"> </w:t>
      </w:r>
      <w:r w:rsidR="00871152" w:rsidRPr="230F1D33">
        <w:rPr>
          <w:rFonts w:eastAsia="Times New Roman" w:cs="Times New Roman"/>
          <w:noProof/>
          <w:color w:val="000000" w:themeColor="text1"/>
          <w:lang w:val="en-GB"/>
        </w:rPr>
        <w:t>C</w:t>
      </w:r>
      <w:r w:rsidR="50141473" w:rsidRPr="230F1D33">
        <w:rPr>
          <w:rFonts w:eastAsia="Times New Roman" w:cs="Times New Roman"/>
          <w:noProof/>
          <w:color w:val="000000" w:themeColor="text1"/>
          <w:lang w:val="en-GB"/>
        </w:rPr>
        <w:t>AP Plan</w:t>
      </w:r>
      <w:r w:rsidR="007B1CFC" w:rsidRPr="230F1D33">
        <w:rPr>
          <w:rFonts w:eastAsia="Times New Roman" w:cs="Times New Roman"/>
          <w:noProof/>
          <w:color w:val="000000" w:themeColor="text1"/>
          <w:lang w:val="en-GB"/>
        </w:rPr>
        <w:t>’</w:t>
      </w:r>
      <w:r w:rsidR="00871152" w:rsidRPr="230F1D33">
        <w:rPr>
          <w:rFonts w:eastAsia="Times New Roman" w:cs="Times New Roman"/>
          <w:noProof/>
          <w:color w:val="000000" w:themeColor="text1"/>
          <w:lang w:val="en-GB"/>
        </w:rPr>
        <w:t xml:space="preserve">s </w:t>
      </w:r>
      <w:r w:rsidR="66930B2D" w:rsidRPr="230F1D33">
        <w:rPr>
          <w:rFonts w:eastAsia="Times New Roman" w:cs="Times New Roman"/>
          <w:noProof/>
          <w:color w:val="000000" w:themeColor="text1"/>
          <w:lang w:val="en-GB"/>
        </w:rPr>
        <w:t xml:space="preserve">performance. </w:t>
      </w:r>
      <w:r w:rsidR="18AE9ED7" w:rsidRPr="230F1D33">
        <w:rPr>
          <w:rFonts w:eastAsia="Times New Roman" w:cs="Times New Roman"/>
          <w:noProof/>
          <w:color w:val="000000" w:themeColor="text1"/>
          <w:lang w:val="en-GB"/>
        </w:rPr>
        <w:t>Other</w:t>
      </w:r>
      <w:r w:rsidR="000B1429" w:rsidRPr="230F1D33">
        <w:rPr>
          <w:rFonts w:eastAsia="Times New Roman" w:cs="Times New Roman"/>
          <w:noProof/>
          <w:color w:val="000000" w:themeColor="text1"/>
          <w:lang w:val="en-GB"/>
        </w:rPr>
        <w:t xml:space="preserve"> </w:t>
      </w:r>
      <w:r w:rsidR="4F1631AC" w:rsidRPr="230F1D33">
        <w:rPr>
          <w:rFonts w:eastAsia="Times New Roman" w:cs="Times New Roman"/>
          <w:noProof/>
          <w:color w:val="000000" w:themeColor="text1"/>
          <w:lang w:val="en-GB"/>
        </w:rPr>
        <w:t>suggestions</w:t>
      </w:r>
      <w:r w:rsidR="000B1429" w:rsidRPr="230F1D33">
        <w:rPr>
          <w:rFonts w:eastAsia="Times New Roman" w:cs="Times New Roman"/>
          <w:noProof/>
          <w:color w:val="000000" w:themeColor="text1"/>
          <w:lang w:val="en-GB"/>
        </w:rPr>
        <w:t xml:space="preserve"> </w:t>
      </w:r>
      <w:r w:rsidR="00310AE9" w:rsidRPr="230F1D33">
        <w:rPr>
          <w:rFonts w:eastAsia="Times New Roman" w:cs="Times New Roman"/>
          <w:noProof/>
          <w:color w:val="000000" w:themeColor="text1"/>
          <w:lang w:val="en-GB"/>
        </w:rPr>
        <w:t xml:space="preserve">concern the </w:t>
      </w:r>
      <w:r w:rsidR="007D2C18" w:rsidRPr="230F1D33">
        <w:rPr>
          <w:rFonts w:eastAsia="Times New Roman" w:cs="Times New Roman"/>
          <w:noProof/>
          <w:color w:val="000000" w:themeColor="text1"/>
          <w:lang w:val="en-GB"/>
        </w:rPr>
        <w:t xml:space="preserve">CAP’s </w:t>
      </w:r>
      <w:r w:rsidR="00310AE9" w:rsidRPr="230F1D33">
        <w:rPr>
          <w:rFonts w:eastAsia="Times New Roman" w:cs="Times New Roman"/>
          <w:noProof/>
          <w:color w:val="000000" w:themeColor="text1"/>
          <w:lang w:val="en-GB"/>
        </w:rPr>
        <w:t>methods of financing</w:t>
      </w:r>
      <w:r w:rsidR="00763E13" w:rsidRPr="230F1D33">
        <w:rPr>
          <w:rFonts w:eastAsia="Times New Roman" w:cs="Times New Roman"/>
          <w:noProof/>
          <w:color w:val="000000" w:themeColor="text1"/>
          <w:lang w:val="en-GB"/>
        </w:rPr>
        <w:t>,</w:t>
      </w:r>
      <w:r w:rsidR="007670D3" w:rsidRPr="230F1D33">
        <w:rPr>
          <w:rFonts w:eastAsia="Times New Roman" w:cs="Times New Roman"/>
          <w:noProof/>
          <w:color w:val="000000" w:themeColor="text1"/>
          <w:lang w:val="en-GB"/>
        </w:rPr>
        <w:t xml:space="preserve"> including to facilitate transfers between the funds</w:t>
      </w:r>
      <w:r w:rsidR="00BD55C3" w:rsidRPr="230F1D33">
        <w:rPr>
          <w:rFonts w:eastAsia="Times New Roman" w:cs="Times New Roman"/>
          <w:noProof/>
          <w:color w:val="000000" w:themeColor="text1"/>
          <w:lang w:val="en-GB"/>
        </w:rPr>
        <w:t xml:space="preserve">. </w:t>
      </w:r>
      <w:r w:rsidR="00257E2D" w:rsidRPr="230F1D33">
        <w:rPr>
          <w:rFonts w:eastAsia="Times New Roman" w:cs="Times New Roman"/>
          <w:noProof/>
          <w:color w:val="000000" w:themeColor="text1"/>
          <w:lang w:val="en-GB"/>
        </w:rPr>
        <w:t>O</w:t>
      </w:r>
      <w:r w:rsidR="008D6F9C" w:rsidRPr="230F1D33">
        <w:rPr>
          <w:rFonts w:eastAsia="Times New Roman" w:cs="Times New Roman"/>
          <w:noProof/>
          <w:color w:val="000000" w:themeColor="text1"/>
          <w:lang w:val="en-GB"/>
        </w:rPr>
        <w:t xml:space="preserve">ther </w:t>
      </w:r>
      <w:r w:rsidR="71538333" w:rsidRPr="230F1D33">
        <w:rPr>
          <w:rFonts w:eastAsia="Times New Roman" w:cs="Times New Roman"/>
          <w:noProof/>
          <w:color w:val="000000" w:themeColor="text1"/>
          <w:lang w:val="en-GB"/>
        </w:rPr>
        <w:t xml:space="preserve">suggested </w:t>
      </w:r>
      <w:r w:rsidR="00D6509A" w:rsidRPr="230F1D33">
        <w:rPr>
          <w:rFonts w:eastAsia="Times New Roman" w:cs="Times New Roman"/>
          <w:noProof/>
          <w:color w:val="000000" w:themeColor="text1"/>
          <w:lang w:val="en-GB"/>
        </w:rPr>
        <w:t xml:space="preserve">changes </w:t>
      </w:r>
      <w:r w:rsidR="00257E2D" w:rsidRPr="230F1D33">
        <w:rPr>
          <w:rFonts w:eastAsia="Times New Roman" w:cs="Times New Roman"/>
          <w:noProof/>
          <w:color w:val="000000" w:themeColor="text1"/>
          <w:lang w:val="en-GB"/>
        </w:rPr>
        <w:t>concern</w:t>
      </w:r>
      <w:r w:rsidR="00D6509A" w:rsidRPr="230F1D33">
        <w:rPr>
          <w:rFonts w:eastAsia="Times New Roman" w:cs="Times New Roman"/>
          <w:noProof/>
          <w:color w:val="000000" w:themeColor="text1"/>
          <w:lang w:val="en-GB"/>
        </w:rPr>
        <w:t xml:space="preserve"> </w:t>
      </w:r>
      <w:r w:rsidR="007B1CFC" w:rsidRPr="230F1D33">
        <w:rPr>
          <w:rFonts w:eastAsia="Times New Roman" w:cs="Times New Roman"/>
          <w:noProof/>
          <w:color w:val="000000" w:themeColor="text1"/>
          <w:lang w:val="en-GB"/>
        </w:rPr>
        <w:t xml:space="preserve">the </w:t>
      </w:r>
      <w:r w:rsidR="00D6509A" w:rsidRPr="230F1D33">
        <w:rPr>
          <w:rFonts w:eastAsia="Times New Roman" w:cs="Times New Roman"/>
          <w:noProof/>
          <w:color w:val="000000" w:themeColor="text1"/>
          <w:lang w:val="en-GB"/>
        </w:rPr>
        <w:t xml:space="preserve">definitions </w:t>
      </w:r>
      <w:r w:rsidR="008A0C53" w:rsidRPr="230F1D33">
        <w:rPr>
          <w:rFonts w:eastAsia="Times New Roman" w:cs="Times New Roman"/>
          <w:noProof/>
          <w:color w:val="000000" w:themeColor="text1"/>
          <w:lang w:val="en-GB"/>
        </w:rPr>
        <w:t xml:space="preserve">in the CSP Regulation </w:t>
      </w:r>
      <w:r w:rsidR="00D6509A" w:rsidRPr="230F1D33">
        <w:rPr>
          <w:rFonts w:eastAsia="Times New Roman" w:cs="Times New Roman"/>
          <w:noProof/>
          <w:color w:val="000000" w:themeColor="text1"/>
          <w:lang w:val="en-GB"/>
        </w:rPr>
        <w:t>deli</w:t>
      </w:r>
      <w:r w:rsidR="008A0C53" w:rsidRPr="230F1D33">
        <w:rPr>
          <w:rFonts w:eastAsia="Times New Roman" w:cs="Times New Roman"/>
          <w:noProof/>
          <w:color w:val="000000" w:themeColor="text1"/>
          <w:lang w:val="en-GB"/>
        </w:rPr>
        <w:t>miting</w:t>
      </w:r>
      <w:r w:rsidR="00D6509A" w:rsidRPr="230F1D33">
        <w:rPr>
          <w:rFonts w:eastAsia="Times New Roman" w:cs="Times New Roman"/>
          <w:noProof/>
          <w:color w:val="000000" w:themeColor="text1"/>
          <w:lang w:val="en-GB"/>
        </w:rPr>
        <w:t xml:space="preserve"> CAP support.</w:t>
      </w:r>
    </w:p>
    <w:p w14:paraId="4D48B9BD" w14:textId="626FC809" w:rsidR="00D6335D" w:rsidRPr="00FF77A3" w:rsidRDefault="00376A48" w:rsidP="00F97E30">
      <w:pPr>
        <w:spacing w:after="120"/>
        <w:jc w:val="both"/>
        <w:rPr>
          <w:rFonts w:eastAsia="Times New Roman" w:cs="Times New Roman"/>
          <w:noProof/>
          <w:color w:val="00B0F0"/>
          <w:szCs w:val="24"/>
          <w:lang w:val="en-GB"/>
        </w:rPr>
      </w:pPr>
      <w:r w:rsidRPr="00FF77A3">
        <w:rPr>
          <w:rFonts w:eastAsia="Times New Roman" w:cs="Times New Roman"/>
          <w:noProof/>
          <w:color w:val="000000" w:themeColor="text1"/>
          <w:szCs w:val="24"/>
          <w:lang w:val="en-GB"/>
        </w:rPr>
        <w:t xml:space="preserve">In response, the </w:t>
      </w:r>
      <w:r w:rsidR="00D6335D" w:rsidRPr="00FF77A3">
        <w:rPr>
          <w:rFonts w:eastAsia="Times New Roman" w:cs="Times New Roman"/>
          <w:noProof/>
          <w:color w:val="000000" w:themeColor="text1"/>
          <w:szCs w:val="24"/>
          <w:lang w:val="en-GB"/>
        </w:rPr>
        <w:t>Commission included a few targeted initiatives in th</w:t>
      </w:r>
      <w:r w:rsidR="007D4421" w:rsidRPr="00FF77A3">
        <w:rPr>
          <w:rFonts w:eastAsia="Times New Roman" w:cs="Times New Roman"/>
          <w:noProof/>
          <w:color w:val="000000" w:themeColor="text1"/>
          <w:szCs w:val="24"/>
          <w:lang w:val="en-GB"/>
        </w:rPr>
        <w:t>e</w:t>
      </w:r>
      <w:r w:rsidR="00D6335D" w:rsidRPr="00FF77A3">
        <w:rPr>
          <w:rFonts w:eastAsia="Times New Roman" w:cs="Times New Roman"/>
          <w:noProof/>
          <w:color w:val="000000" w:themeColor="text1"/>
          <w:szCs w:val="24"/>
          <w:lang w:val="en-GB"/>
        </w:rPr>
        <w:t xml:space="preserve"> proposal</w:t>
      </w:r>
      <w:r w:rsidR="007D4421" w:rsidRPr="00FF77A3">
        <w:rPr>
          <w:rFonts w:eastAsia="Times New Roman" w:cs="Times New Roman"/>
          <w:noProof/>
          <w:color w:val="000000" w:themeColor="text1"/>
          <w:szCs w:val="24"/>
          <w:lang w:val="en-GB"/>
        </w:rPr>
        <w:t xml:space="preserve"> </w:t>
      </w:r>
      <w:r w:rsidR="00C454D5" w:rsidRPr="00FF77A3">
        <w:rPr>
          <w:rFonts w:eastAsia="Times New Roman" w:cs="Times New Roman"/>
          <w:noProof/>
          <w:color w:val="000000" w:themeColor="text1"/>
          <w:szCs w:val="24"/>
          <w:lang w:val="en-GB"/>
        </w:rPr>
        <w:t xml:space="preserve">of 15 </w:t>
      </w:r>
      <w:r w:rsidR="00BF50C3" w:rsidRPr="00FF77A3">
        <w:rPr>
          <w:rFonts w:eastAsia="Times New Roman" w:cs="Times New Roman"/>
          <w:noProof/>
          <w:color w:val="000000" w:themeColor="text1"/>
          <w:szCs w:val="24"/>
          <w:lang w:val="en-GB"/>
        </w:rPr>
        <w:t>M</w:t>
      </w:r>
      <w:r w:rsidR="00C454D5" w:rsidRPr="00FF77A3">
        <w:rPr>
          <w:rFonts w:eastAsia="Times New Roman" w:cs="Times New Roman"/>
          <w:noProof/>
          <w:color w:val="000000" w:themeColor="text1"/>
          <w:szCs w:val="24"/>
          <w:lang w:val="en-GB"/>
        </w:rPr>
        <w:t xml:space="preserve">arch </w:t>
      </w:r>
      <w:r w:rsidR="007D4421" w:rsidRPr="00FF77A3">
        <w:rPr>
          <w:rFonts w:eastAsia="Times New Roman" w:cs="Times New Roman"/>
          <w:noProof/>
          <w:color w:val="000000" w:themeColor="text1"/>
          <w:szCs w:val="24"/>
          <w:lang w:val="en-GB"/>
        </w:rPr>
        <w:t xml:space="preserve">amending </w:t>
      </w:r>
      <w:r w:rsidR="007B1CFC" w:rsidRPr="00FF77A3">
        <w:rPr>
          <w:rFonts w:eastAsia="Times New Roman" w:cs="Times New Roman"/>
          <w:noProof/>
          <w:color w:val="000000" w:themeColor="text1"/>
          <w:szCs w:val="24"/>
          <w:lang w:val="en-GB"/>
        </w:rPr>
        <w:t xml:space="preserve">the EU’s </w:t>
      </w:r>
      <w:r w:rsidR="00130CA2" w:rsidRPr="00FF77A3">
        <w:rPr>
          <w:rFonts w:eastAsia="Times New Roman" w:cs="Times New Roman"/>
          <w:noProof/>
          <w:color w:val="000000" w:themeColor="text1"/>
          <w:szCs w:val="24"/>
          <w:lang w:val="en-GB"/>
        </w:rPr>
        <w:t xml:space="preserve">CAP </w:t>
      </w:r>
      <w:r w:rsidR="00130CA2" w:rsidRPr="005A0FE5">
        <w:rPr>
          <w:rFonts w:eastAsia="Times New Roman" w:cs="Times New Roman"/>
          <w:noProof/>
          <w:szCs w:val="24"/>
          <w:lang w:val="en-GB"/>
        </w:rPr>
        <w:t>legislation</w:t>
      </w:r>
      <w:r w:rsidR="00D6335D" w:rsidRPr="005A0FE5">
        <w:rPr>
          <w:rFonts w:eastAsia="Times New Roman" w:cs="Times New Roman"/>
          <w:noProof/>
          <w:szCs w:val="24"/>
          <w:lang w:val="en-GB"/>
        </w:rPr>
        <w:t xml:space="preserve">, </w:t>
      </w:r>
      <w:r w:rsidR="007B1CFC" w:rsidRPr="005A0FE5">
        <w:rPr>
          <w:rFonts w:eastAsia="Times New Roman" w:cs="Times New Roman"/>
          <w:noProof/>
          <w:szCs w:val="24"/>
          <w:lang w:val="en-GB"/>
        </w:rPr>
        <w:t xml:space="preserve">in particular </w:t>
      </w:r>
      <w:r w:rsidR="00D6335D" w:rsidRPr="005A0FE5">
        <w:rPr>
          <w:rFonts w:eastAsia="Times New Roman" w:cs="Times New Roman"/>
          <w:noProof/>
          <w:szCs w:val="24"/>
          <w:lang w:val="en-GB"/>
        </w:rPr>
        <w:t xml:space="preserve">to </w:t>
      </w:r>
      <w:r w:rsidR="00124DA2" w:rsidRPr="005A0FE5">
        <w:rPr>
          <w:rFonts w:eastAsia="Times New Roman" w:cs="Times New Roman"/>
          <w:noProof/>
          <w:szCs w:val="24"/>
          <w:lang w:val="en-GB"/>
        </w:rPr>
        <w:t xml:space="preserve">enable Member States to submit </w:t>
      </w:r>
      <w:r w:rsidR="00D6335D" w:rsidRPr="005A0FE5">
        <w:rPr>
          <w:rFonts w:eastAsia="Times New Roman" w:cs="Times New Roman"/>
          <w:noProof/>
          <w:szCs w:val="24"/>
          <w:lang w:val="en-GB"/>
        </w:rPr>
        <w:t xml:space="preserve">more </w:t>
      </w:r>
      <w:r w:rsidR="7FF5673F" w:rsidRPr="005A0FE5">
        <w:rPr>
          <w:rFonts w:eastAsia="Times New Roman" w:cs="Times New Roman"/>
          <w:noProof/>
          <w:szCs w:val="24"/>
          <w:lang w:val="en-GB"/>
        </w:rPr>
        <w:t>requests for</w:t>
      </w:r>
      <w:r w:rsidR="00D6335D" w:rsidRPr="005A0FE5">
        <w:rPr>
          <w:rFonts w:eastAsia="Times New Roman" w:cs="Times New Roman"/>
          <w:noProof/>
          <w:szCs w:val="24"/>
          <w:lang w:val="en-GB"/>
        </w:rPr>
        <w:t xml:space="preserve"> amendments of </w:t>
      </w:r>
      <w:r w:rsidR="00523AA0" w:rsidRPr="005A0FE5">
        <w:rPr>
          <w:rFonts w:eastAsia="Times New Roman" w:cs="Times New Roman"/>
          <w:noProof/>
          <w:szCs w:val="24"/>
          <w:lang w:val="en-GB"/>
        </w:rPr>
        <w:t>CAP Plans</w:t>
      </w:r>
      <w:r w:rsidR="00661ACB" w:rsidRPr="005A0FE5">
        <w:rPr>
          <w:rFonts w:eastAsia="Times New Roman" w:cs="Times New Roman"/>
          <w:noProof/>
          <w:szCs w:val="24"/>
          <w:lang w:val="en-GB"/>
        </w:rPr>
        <w:t xml:space="preserve"> </w:t>
      </w:r>
      <w:r w:rsidR="5D2FEE1A" w:rsidRPr="005A0FE5">
        <w:rPr>
          <w:rFonts w:eastAsia="Times New Roman" w:cs="Times New Roman"/>
          <w:noProof/>
          <w:szCs w:val="24"/>
          <w:lang w:val="en-GB"/>
        </w:rPr>
        <w:t xml:space="preserve">and </w:t>
      </w:r>
      <w:r w:rsidR="00D6335D" w:rsidRPr="005A0FE5">
        <w:rPr>
          <w:rFonts w:eastAsia="Times New Roman" w:cs="Times New Roman"/>
          <w:noProof/>
          <w:szCs w:val="24"/>
          <w:lang w:val="en-GB"/>
        </w:rPr>
        <w:t xml:space="preserve">to eliminate conditionality controls </w:t>
      </w:r>
      <w:r w:rsidR="006539A2" w:rsidRPr="005A0FE5">
        <w:rPr>
          <w:rFonts w:eastAsia="Times New Roman" w:cs="Times New Roman"/>
          <w:noProof/>
          <w:szCs w:val="24"/>
          <w:lang w:val="en-GB"/>
        </w:rPr>
        <w:t xml:space="preserve">and penalties </w:t>
      </w:r>
      <w:r w:rsidR="00D6335D" w:rsidRPr="005A0FE5">
        <w:rPr>
          <w:rFonts w:eastAsia="Times New Roman" w:cs="Times New Roman"/>
          <w:noProof/>
          <w:szCs w:val="24"/>
          <w:lang w:val="en-GB"/>
        </w:rPr>
        <w:t>for small farm</w:t>
      </w:r>
      <w:r w:rsidR="007A6F53" w:rsidRPr="005A0FE5">
        <w:rPr>
          <w:rFonts w:eastAsia="Times New Roman" w:cs="Times New Roman"/>
          <w:noProof/>
          <w:szCs w:val="24"/>
          <w:lang w:val="en-GB"/>
        </w:rPr>
        <w:t>er</w:t>
      </w:r>
      <w:r w:rsidR="00D6335D" w:rsidRPr="005A0FE5">
        <w:rPr>
          <w:rFonts w:eastAsia="Times New Roman" w:cs="Times New Roman"/>
          <w:noProof/>
          <w:szCs w:val="24"/>
          <w:lang w:val="en-GB"/>
        </w:rPr>
        <w:t>s</w:t>
      </w:r>
      <w:r w:rsidR="00B462C7" w:rsidRPr="005A0FE5">
        <w:rPr>
          <w:rFonts w:eastAsia="Times New Roman" w:cs="Times New Roman"/>
          <w:noProof/>
          <w:szCs w:val="24"/>
          <w:lang w:val="en-GB"/>
        </w:rPr>
        <w:t xml:space="preserve"> (</w:t>
      </w:r>
      <w:r w:rsidR="007A6F53" w:rsidRPr="005A0FE5">
        <w:rPr>
          <w:rFonts w:eastAsia="Times New Roman" w:cs="Times New Roman"/>
          <w:noProof/>
          <w:szCs w:val="24"/>
          <w:lang w:val="en-GB"/>
        </w:rPr>
        <w:t xml:space="preserve">farms </w:t>
      </w:r>
      <w:r w:rsidR="00B462C7" w:rsidRPr="005A0FE5">
        <w:rPr>
          <w:rFonts w:eastAsia="Times New Roman" w:cs="Times New Roman"/>
          <w:noProof/>
          <w:szCs w:val="24"/>
          <w:lang w:val="en-GB"/>
        </w:rPr>
        <w:t>up to 10 hectares)</w:t>
      </w:r>
      <w:r w:rsidR="004B6322" w:rsidRPr="005A0FE5">
        <w:rPr>
          <w:rFonts w:eastAsia="Times New Roman" w:cs="Times New Roman"/>
          <w:noProof/>
          <w:szCs w:val="24"/>
          <w:lang w:val="en-GB"/>
        </w:rPr>
        <w:t>.</w:t>
      </w:r>
      <w:r w:rsidR="009F2EDF" w:rsidRPr="005A0FE5">
        <w:rPr>
          <w:rFonts w:eastAsia="Times New Roman" w:cs="Times New Roman"/>
          <w:noProof/>
          <w:szCs w:val="24"/>
          <w:lang w:val="en-GB"/>
        </w:rPr>
        <w:t xml:space="preserve"> </w:t>
      </w:r>
      <w:r w:rsidR="00DD4684" w:rsidRPr="005A0FE5">
        <w:rPr>
          <w:rFonts w:eastAsia="Times New Roman" w:cs="Times New Roman"/>
          <w:noProof/>
          <w:szCs w:val="24"/>
          <w:lang w:val="en-GB"/>
        </w:rPr>
        <w:t xml:space="preserve">Other actions </w:t>
      </w:r>
      <w:r w:rsidR="00096399" w:rsidRPr="005A0FE5">
        <w:rPr>
          <w:rFonts w:eastAsia="Times New Roman" w:cs="Times New Roman"/>
          <w:noProof/>
          <w:szCs w:val="24"/>
          <w:lang w:val="en-GB"/>
        </w:rPr>
        <w:t>in</w:t>
      </w:r>
      <w:r w:rsidR="00DD4684" w:rsidRPr="005A0FE5">
        <w:rPr>
          <w:rFonts w:eastAsia="Times New Roman" w:cs="Times New Roman"/>
          <w:noProof/>
          <w:szCs w:val="24"/>
          <w:lang w:val="en-GB"/>
        </w:rPr>
        <w:t xml:space="preserve"> the simplification package ta</w:t>
      </w:r>
      <w:r w:rsidR="00442CFD" w:rsidRPr="005A0FE5">
        <w:rPr>
          <w:rFonts w:eastAsia="Times New Roman" w:cs="Times New Roman"/>
          <w:noProof/>
          <w:szCs w:val="24"/>
          <w:lang w:val="en-GB"/>
        </w:rPr>
        <w:t>c</w:t>
      </w:r>
      <w:r w:rsidR="00DD4684" w:rsidRPr="005A0FE5">
        <w:rPr>
          <w:rFonts w:eastAsia="Times New Roman" w:cs="Times New Roman"/>
          <w:noProof/>
          <w:szCs w:val="24"/>
          <w:lang w:val="en-GB"/>
        </w:rPr>
        <w:t>kle issues of control burden</w:t>
      </w:r>
      <w:r w:rsidR="005F445E" w:rsidRPr="005A0FE5">
        <w:rPr>
          <w:rFonts w:eastAsia="Times New Roman" w:cs="Times New Roman"/>
          <w:noProof/>
          <w:szCs w:val="24"/>
          <w:lang w:val="en-GB"/>
        </w:rPr>
        <w:t xml:space="preserve">, such as </w:t>
      </w:r>
      <w:r w:rsidR="00D17BF1" w:rsidRPr="005A0FE5">
        <w:rPr>
          <w:rFonts w:eastAsia="Times New Roman" w:cs="Times New Roman"/>
          <w:noProof/>
          <w:szCs w:val="24"/>
          <w:lang w:val="en-GB"/>
        </w:rPr>
        <w:t>mak</w:t>
      </w:r>
      <w:r w:rsidR="005F445E" w:rsidRPr="005A0FE5">
        <w:rPr>
          <w:rFonts w:eastAsia="Times New Roman" w:cs="Times New Roman"/>
          <w:noProof/>
          <w:szCs w:val="24"/>
          <w:lang w:val="en-GB"/>
        </w:rPr>
        <w:t>ing</w:t>
      </w:r>
      <w:r w:rsidR="00D17BF1" w:rsidRPr="005A0FE5">
        <w:rPr>
          <w:rFonts w:eastAsia="Times New Roman" w:cs="Times New Roman"/>
          <w:noProof/>
          <w:szCs w:val="24"/>
          <w:lang w:val="en-GB"/>
        </w:rPr>
        <w:t xml:space="preserve"> the use of </w:t>
      </w:r>
      <w:r w:rsidR="0093411D" w:rsidRPr="005A0FE5">
        <w:rPr>
          <w:rFonts w:eastAsia="Times New Roman" w:cs="Times New Roman"/>
          <w:noProof/>
          <w:szCs w:val="24"/>
          <w:lang w:val="en-GB"/>
        </w:rPr>
        <w:t>geotagged</w:t>
      </w:r>
      <w:r w:rsidR="00D17BF1" w:rsidRPr="005A0FE5">
        <w:rPr>
          <w:rFonts w:eastAsia="Times New Roman" w:cs="Times New Roman"/>
          <w:noProof/>
          <w:szCs w:val="24"/>
          <w:lang w:val="en-GB"/>
        </w:rPr>
        <w:t xml:space="preserve"> photos under the AMS</w:t>
      </w:r>
      <w:r w:rsidR="00A65655" w:rsidRPr="005A0FE5">
        <w:rPr>
          <w:rFonts w:eastAsia="Times New Roman" w:cs="Times New Roman"/>
          <w:noProof/>
          <w:szCs w:val="24"/>
          <w:lang w:val="en-GB"/>
        </w:rPr>
        <w:t xml:space="preserve"> voluntary</w:t>
      </w:r>
      <w:r w:rsidR="00C5232D" w:rsidRPr="005A0FE5" w:rsidDel="00C5232D">
        <w:rPr>
          <w:rFonts w:eastAsia="Times New Roman" w:cs="Times New Roman"/>
          <w:noProof/>
          <w:szCs w:val="24"/>
          <w:lang w:val="en-GB"/>
        </w:rPr>
        <w:t xml:space="preserve"> </w:t>
      </w:r>
      <w:r w:rsidR="00CF7D72" w:rsidRPr="005A0FE5">
        <w:rPr>
          <w:rFonts w:eastAsia="Times New Roman" w:cs="Times New Roman"/>
          <w:noProof/>
          <w:szCs w:val="24"/>
          <w:lang w:val="en-GB"/>
        </w:rPr>
        <w:t>(</w:t>
      </w:r>
      <w:r w:rsidR="00B462C7" w:rsidRPr="005A0FE5">
        <w:rPr>
          <w:rFonts w:eastAsia="Times New Roman" w:cs="Times New Roman"/>
          <w:noProof/>
          <w:szCs w:val="24"/>
          <w:lang w:val="en-GB"/>
        </w:rPr>
        <w:t>s</w:t>
      </w:r>
      <w:r w:rsidR="00FE4AAF" w:rsidRPr="005A0FE5">
        <w:rPr>
          <w:rFonts w:eastAsia="Times New Roman" w:cs="Times New Roman"/>
          <w:noProof/>
          <w:szCs w:val="24"/>
          <w:lang w:val="en-GB"/>
        </w:rPr>
        <w:t xml:space="preserve">ee </w:t>
      </w:r>
      <w:r w:rsidR="004C28DF" w:rsidRPr="005A0FE5">
        <w:rPr>
          <w:rFonts w:eastAsia="Times New Roman" w:cs="Times New Roman"/>
          <w:noProof/>
          <w:szCs w:val="24"/>
          <w:lang w:val="en-GB"/>
        </w:rPr>
        <w:t>S</w:t>
      </w:r>
      <w:r w:rsidR="00FE4AAF" w:rsidRPr="005A0FE5">
        <w:rPr>
          <w:rFonts w:eastAsia="Times New Roman" w:cs="Times New Roman"/>
          <w:noProof/>
          <w:szCs w:val="24"/>
          <w:lang w:val="en-GB"/>
        </w:rPr>
        <w:t>ection 5.1)</w:t>
      </w:r>
      <w:r w:rsidR="00575016" w:rsidRPr="005A0FE5">
        <w:rPr>
          <w:rFonts w:eastAsia="Times New Roman" w:cs="Times New Roman"/>
          <w:noProof/>
          <w:szCs w:val="24"/>
          <w:lang w:val="en-GB"/>
        </w:rPr>
        <w:t>.</w:t>
      </w:r>
      <w:r w:rsidR="00890638" w:rsidRPr="005A0FE5">
        <w:rPr>
          <w:rFonts w:eastAsia="Times New Roman" w:cs="Times New Roman"/>
          <w:noProof/>
          <w:szCs w:val="24"/>
          <w:lang w:val="en-GB"/>
        </w:rPr>
        <w:t xml:space="preserve"> The Commission </w:t>
      </w:r>
      <w:r w:rsidR="00625421" w:rsidRPr="005A0FE5">
        <w:rPr>
          <w:rFonts w:eastAsia="Times New Roman" w:cs="Times New Roman"/>
          <w:noProof/>
          <w:szCs w:val="24"/>
          <w:lang w:val="en-GB"/>
        </w:rPr>
        <w:t xml:space="preserve">also </w:t>
      </w:r>
      <w:r w:rsidR="00BF26EB" w:rsidRPr="005A0FE5">
        <w:rPr>
          <w:rFonts w:eastAsia="Times New Roman" w:cs="Times New Roman"/>
          <w:noProof/>
          <w:szCs w:val="24"/>
          <w:lang w:val="en-GB"/>
        </w:rPr>
        <w:t xml:space="preserve">launched discussions </w:t>
      </w:r>
      <w:r w:rsidR="009D7DBF" w:rsidRPr="005A0FE5">
        <w:rPr>
          <w:rFonts w:eastAsia="Times New Roman" w:cs="Times New Roman"/>
          <w:noProof/>
          <w:szCs w:val="24"/>
          <w:lang w:val="en-GB"/>
        </w:rPr>
        <w:t>in relation to the requirem</w:t>
      </w:r>
      <w:r w:rsidR="001F7215" w:rsidRPr="005A0FE5">
        <w:rPr>
          <w:rFonts w:eastAsia="Times New Roman" w:cs="Times New Roman"/>
          <w:noProof/>
          <w:szCs w:val="24"/>
          <w:lang w:val="en-GB"/>
        </w:rPr>
        <w:t xml:space="preserve">ents of </w:t>
      </w:r>
      <w:r w:rsidR="000B3AFB" w:rsidRPr="005A0FE5">
        <w:rPr>
          <w:rFonts w:eastAsia="Times New Roman" w:cs="Times New Roman"/>
          <w:noProof/>
          <w:szCs w:val="24"/>
          <w:lang w:val="en-GB"/>
        </w:rPr>
        <w:t xml:space="preserve"> the annual performance </w:t>
      </w:r>
      <w:r w:rsidR="005067B6" w:rsidRPr="005A0FE5">
        <w:rPr>
          <w:rFonts w:eastAsia="Times New Roman" w:cs="Times New Roman"/>
          <w:noProof/>
          <w:szCs w:val="24"/>
          <w:lang w:val="en-GB"/>
        </w:rPr>
        <w:t>clearance</w:t>
      </w:r>
      <w:r w:rsidR="001F7215" w:rsidRPr="005A0FE5">
        <w:rPr>
          <w:rFonts w:eastAsia="Times New Roman" w:cs="Times New Roman"/>
          <w:noProof/>
          <w:szCs w:val="24"/>
          <w:lang w:val="en-GB"/>
        </w:rPr>
        <w:t>.</w:t>
      </w:r>
    </w:p>
    <w:p w14:paraId="018A8103" w14:textId="66BE3AF3" w:rsidR="00C80FF9" w:rsidRPr="00724676" w:rsidRDefault="00E76B7B" w:rsidP="00F97E30">
      <w:pPr>
        <w:spacing w:after="120"/>
        <w:jc w:val="both"/>
        <w:rPr>
          <w:rFonts w:eastAsia="Times New Roman" w:cs="Times New Roman"/>
          <w:noProof/>
          <w:color w:val="000000" w:themeColor="text1"/>
          <w:lang w:val="en-GB"/>
        </w:rPr>
      </w:pPr>
      <w:r w:rsidRPr="532033A3">
        <w:rPr>
          <w:rFonts w:eastAsia="Times New Roman" w:cs="Times New Roman"/>
          <w:noProof/>
          <w:color w:val="000000" w:themeColor="text1"/>
          <w:lang w:val="en-GB"/>
        </w:rPr>
        <w:t xml:space="preserve">While those adjustments aim to facilitate processes and </w:t>
      </w:r>
      <w:r w:rsidR="002B7D7F" w:rsidRPr="532033A3">
        <w:rPr>
          <w:rFonts w:eastAsia="Times New Roman" w:cs="Times New Roman"/>
          <w:noProof/>
          <w:color w:val="000000" w:themeColor="text1"/>
          <w:lang w:val="en-GB"/>
        </w:rPr>
        <w:t xml:space="preserve">the </w:t>
      </w:r>
      <w:r w:rsidRPr="532033A3">
        <w:rPr>
          <w:rFonts w:eastAsia="Times New Roman" w:cs="Times New Roman"/>
          <w:noProof/>
          <w:color w:val="000000" w:themeColor="text1"/>
          <w:lang w:val="en-GB"/>
        </w:rPr>
        <w:t>administration of the CAP, the</w:t>
      </w:r>
      <w:r w:rsidR="009A68AD" w:rsidRPr="532033A3">
        <w:rPr>
          <w:rFonts w:eastAsia="Times New Roman" w:cs="Times New Roman"/>
          <w:noProof/>
          <w:color w:val="000000" w:themeColor="text1"/>
          <w:lang w:val="en-GB"/>
        </w:rPr>
        <w:t xml:space="preserve"> </w:t>
      </w:r>
      <w:r w:rsidR="00C80FF9" w:rsidRPr="532033A3">
        <w:rPr>
          <w:rFonts w:eastAsia="Times New Roman" w:cs="Times New Roman"/>
          <w:noProof/>
          <w:color w:val="000000" w:themeColor="text1"/>
          <w:lang w:val="en-GB"/>
        </w:rPr>
        <w:t>Commission did not conside</w:t>
      </w:r>
      <w:r w:rsidR="00AC7C05" w:rsidRPr="532033A3">
        <w:rPr>
          <w:rFonts w:eastAsia="Times New Roman" w:cs="Times New Roman"/>
          <w:noProof/>
          <w:color w:val="000000" w:themeColor="text1"/>
          <w:lang w:val="en-GB"/>
        </w:rPr>
        <w:t xml:space="preserve">r </w:t>
      </w:r>
      <w:r w:rsidR="40724F6B" w:rsidRPr="532033A3">
        <w:rPr>
          <w:rFonts w:eastAsia="Times New Roman" w:cs="Times New Roman"/>
          <w:noProof/>
          <w:color w:val="000000" w:themeColor="text1"/>
          <w:lang w:val="en-GB"/>
        </w:rPr>
        <w:t>suggestions</w:t>
      </w:r>
      <w:r w:rsidR="008F3230" w:rsidRPr="532033A3">
        <w:rPr>
          <w:rFonts w:eastAsia="Times New Roman" w:cs="Times New Roman"/>
          <w:noProof/>
          <w:color w:val="000000" w:themeColor="text1"/>
          <w:lang w:val="en-GB"/>
        </w:rPr>
        <w:t xml:space="preserve"> that would </w:t>
      </w:r>
      <w:r w:rsidRPr="532033A3">
        <w:rPr>
          <w:rFonts w:eastAsia="Times New Roman" w:cs="Times New Roman"/>
          <w:noProof/>
          <w:color w:val="000000" w:themeColor="text1"/>
          <w:lang w:val="en-GB"/>
        </w:rPr>
        <w:t xml:space="preserve">alter </w:t>
      </w:r>
      <w:r w:rsidR="008F3230" w:rsidRPr="532033A3">
        <w:rPr>
          <w:rFonts w:eastAsia="Times New Roman" w:cs="Times New Roman"/>
          <w:noProof/>
          <w:color w:val="000000" w:themeColor="text1"/>
          <w:lang w:val="en-GB"/>
        </w:rPr>
        <w:t xml:space="preserve">the </w:t>
      </w:r>
      <w:r w:rsidR="00F172B2">
        <w:rPr>
          <w:rFonts w:eastAsia="Times New Roman" w:cs="Times New Roman"/>
          <w:noProof/>
          <w:color w:val="000000" w:themeColor="text1"/>
          <w:lang w:val="en-GB"/>
        </w:rPr>
        <w:t>new delivery model</w:t>
      </w:r>
      <w:r w:rsidRPr="532033A3">
        <w:rPr>
          <w:rFonts w:eastAsia="Times New Roman" w:cs="Times New Roman"/>
          <w:noProof/>
          <w:color w:val="000000" w:themeColor="text1"/>
          <w:lang w:val="en-GB"/>
        </w:rPr>
        <w:t xml:space="preserve"> of the CAP </w:t>
      </w:r>
      <w:r w:rsidRPr="532033A3">
        <w:rPr>
          <w:rFonts w:eastAsia="Times New Roman" w:cs="Times New Roman"/>
          <w:noProof/>
          <w:color w:val="000000" w:themeColor="text1"/>
          <w:lang w:val="en-GB"/>
        </w:rPr>
        <w:lastRenderedPageBreak/>
        <w:t xml:space="preserve">more fundamentally. This new system was </w:t>
      </w:r>
      <w:r w:rsidR="008F3230" w:rsidRPr="532033A3">
        <w:rPr>
          <w:rFonts w:eastAsia="Times New Roman" w:cs="Times New Roman"/>
          <w:noProof/>
          <w:color w:val="000000" w:themeColor="text1"/>
          <w:lang w:val="en-GB"/>
        </w:rPr>
        <w:t xml:space="preserve">introduced </w:t>
      </w:r>
      <w:r w:rsidRPr="532033A3">
        <w:rPr>
          <w:rFonts w:eastAsia="Times New Roman" w:cs="Times New Roman"/>
          <w:noProof/>
          <w:color w:val="000000" w:themeColor="text1"/>
          <w:lang w:val="en-GB"/>
        </w:rPr>
        <w:t xml:space="preserve">by the </w:t>
      </w:r>
      <w:r w:rsidR="007A6F53" w:rsidRPr="532033A3">
        <w:rPr>
          <w:rFonts w:eastAsia="Times New Roman" w:cs="Times New Roman"/>
          <w:noProof/>
          <w:color w:val="000000" w:themeColor="text1"/>
          <w:lang w:val="en-GB"/>
        </w:rPr>
        <w:t>co-</w:t>
      </w:r>
      <w:r w:rsidRPr="532033A3">
        <w:rPr>
          <w:rFonts w:eastAsia="Times New Roman" w:cs="Times New Roman"/>
          <w:noProof/>
          <w:color w:val="000000" w:themeColor="text1"/>
          <w:lang w:val="en-GB"/>
        </w:rPr>
        <w:t>legislator</w:t>
      </w:r>
      <w:r w:rsidR="007A6F53" w:rsidRPr="532033A3">
        <w:rPr>
          <w:rFonts w:eastAsia="Times New Roman" w:cs="Times New Roman"/>
          <w:noProof/>
          <w:color w:val="000000" w:themeColor="text1"/>
          <w:lang w:val="en-GB"/>
        </w:rPr>
        <w:t>s</w:t>
      </w:r>
      <w:r w:rsidRPr="532033A3">
        <w:rPr>
          <w:rFonts w:eastAsia="Times New Roman" w:cs="Times New Roman"/>
          <w:noProof/>
          <w:color w:val="000000" w:themeColor="text1"/>
          <w:lang w:val="en-GB"/>
        </w:rPr>
        <w:t xml:space="preserve"> </w:t>
      </w:r>
      <w:r w:rsidR="0023387F" w:rsidRPr="532033A3">
        <w:rPr>
          <w:rFonts w:eastAsia="Times New Roman" w:cs="Times New Roman"/>
          <w:noProof/>
          <w:color w:val="000000" w:themeColor="text1"/>
          <w:lang w:val="en-GB"/>
        </w:rPr>
        <w:t xml:space="preserve">only </w:t>
      </w:r>
      <w:r w:rsidR="009B1035" w:rsidRPr="532033A3">
        <w:rPr>
          <w:rFonts w:eastAsia="Times New Roman" w:cs="Times New Roman"/>
          <w:noProof/>
          <w:color w:val="000000" w:themeColor="text1"/>
          <w:lang w:val="en-GB"/>
        </w:rPr>
        <w:t xml:space="preserve">as of claim year </w:t>
      </w:r>
      <w:r w:rsidR="0023387F" w:rsidRPr="532033A3">
        <w:rPr>
          <w:rFonts w:eastAsia="Times New Roman" w:cs="Times New Roman"/>
          <w:noProof/>
          <w:color w:val="000000" w:themeColor="text1"/>
          <w:lang w:val="en-GB"/>
        </w:rPr>
        <w:t>2023</w:t>
      </w:r>
      <w:r w:rsidR="002B7D7F" w:rsidRPr="532033A3">
        <w:rPr>
          <w:rFonts w:eastAsia="Times New Roman" w:cs="Times New Roman"/>
          <w:noProof/>
          <w:color w:val="000000" w:themeColor="text1"/>
          <w:lang w:val="en-GB"/>
        </w:rPr>
        <w:t>,</w:t>
      </w:r>
      <w:r w:rsidRPr="532033A3">
        <w:rPr>
          <w:rFonts w:eastAsia="Times New Roman" w:cs="Times New Roman"/>
          <w:noProof/>
          <w:color w:val="000000" w:themeColor="text1"/>
          <w:lang w:val="en-GB"/>
        </w:rPr>
        <w:t xml:space="preserve"> and </w:t>
      </w:r>
      <w:r w:rsidR="009B1035" w:rsidRPr="532033A3">
        <w:rPr>
          <w:rFonts w:eastAsia="Times New Roman" w:cs="Times New Roman"/>
          <w:noProof/>
          <w:color w:val="000000" w:themeColor="text1"/>
          <w:lang w:val="en-GB"/>
        </w:rPr>
        <w:t xml:space="preserve">further experience </w:t>
      </w:r>
      <w:r w:rsidR="002B7D7F" w:rsidRPr="532033A3">
        <w:rPr>
          <w:rFonts w:eastAsia="Times New Roman" w:cs="Times New Roman"/>
          <w:noProof/>
          <w:color w:val="000000" w:themeColor="text1"/>
          <w:lang w:val="en-GB"/>
        </w:rPr>
        <w:t xml:space="preserve">of its </w:t>
      </w:r>
      <w:r w:rsidR="009B1035" w:rsidRPr="532033A3">
        <w:rPr>
          <w:rFonts w:eastAsia="Times New Roman" w:cs="Times New Roman"/>
          <w:noProof/>
          <w:color w:val="000000" w:themeColor="text1"/>
          <w:lang w:val="en-GB"/>
        </w:rPr>
        <w:t xml:space="preserve">implementation and </w:t>
      </w:r>
      <w:r w:rsidR="002B7D7F" w:rsidRPr="532033A3">
        <w:rPr>
          <w:rFonts w:eastAsia="Times New Roman" w:cs="Times New Roman"/>
          <w:noProof/>
          <w:color w:val="000000" w:themeColor="text1"/>
          <w:lang w:val="en-GB"/>
        </w:rPr>
        <w:t xml:space="preserve">an </w:t>
      </w:r>
      <w:r w:rsidR="009B1035" w:rsidRPr="532033A3">
        <w:rPr>
          <w:rFonts w:eastAsia="Times New Roman" w:cs="Times New Roman"/>
          <w:noProof/>
          <w:color w:val="000000" w:themeColor="text1"/>
          <w:lang w:val="en-GB"/>
        </w:rPr>
        <w:t xml:space="preserve">assessment of its functioning </w:t>
      </w:r>
      <w:r w:rsidR="002B7D7F" w:rsidRPr="532033A3">
        <w:rPr>
          <w:rFonts w:eastAsia="Times New Roman" w:cs="Times New Roman"/>
          <w:noProof/>
          <w:color w:val="000000" w:themeColor="text1"/>
          <w:lang w:val="en-GB"/>
        </w:rPr>
        <w:t xml:space="preserve">are </w:t>
      </w:r>
      <w:r w:rsidR="009B1035" w:rsidRPr="532033A3">
        <w:rPr>
          <w:rFonts w:eastAsia="Times New Roman" w:cs="Times New Roman"/>
          <w:noProof/>
          <w:color w:val="000000" w:themeColor="text1"/>
          <w:lang w:val="en-GB"/>
        </w:rPr>
        <w:t>necessary.</w:t>
      </w:r>
      <w:r w:rsidR="00A97518" w:rsidRPr="532033A3">
        <w:rPr>
          <w:rFonts w:eastAsia="Times New Roman" w:cs="Times New Roman"/>
          <w:noProof/>
          <w:color w:val="000000" w:themeColor="text1"/>
          <w:lang w:val="en-GB"/>
        </w:rPr>
        <w:t xml:space="preserve"> </w:t>
      </w:r>
      <w:r w:rsidR="00A567FD" w:rsidRPr="532033A3">
        <w:rPr>
          <w:rFonts w:eastAsia="Times New Roman" w:cs="Times New Roman"/>
          <w:noProof/>
          <w:color w:val="000000" w:themeColor="text1"/>
          <w:lang w:val="en-GB"/>
        </w:rPr>
        <w:t>In contrast</w:t>
      </w:r>
      <w:r w:rsidR="00644C9D" w:rsidRPr="532033A3" w:rsidDel="00A567FD">
        <w:rPr>
          <w:rFonts w:eastAsia="Times New Roman" w:cs="Times New Roman"/>
          <w:noProof/>
          <w:color w:val="000000" w:themeColor="text1"/>
          <w:lang w:val="en-GB"/>
        </w:rPr>
        <w:t xml:space="preserve">, </w:t>
      </w:r>
      <w:r w:rsidR="003F1C44" w:rsidRPr="532033A3">
        <w:rPr>
          <w:rFonts w:eastAsia="Times New Roman" w:cs="Times New Roman"/>
          <w:noProof/>
          <w:color w:val="000000" w:themeColor="text1"/>
          <w:lang w:val="en-GB"/>
        </w:rPr>
        <w:t xml:space="preserve">a number of other </w:t>
      </w:r>
      <w:r w:rsidR="004B564A" w:rsidRPr="532033A3">
        <w:rPr>
          <w:rFonts w:eastAsia="Times New Roman" w:cs="Times New Roman"/>
          <w:noProof/>
          <w:color w:val="000000" w:themeColor="text1"/>
          <w:lang w:val="en-GB"/>
        </w:rPr>
        <w:t xml:space="preserve">suggestions </w:t>
      </w:r>
      <w:r w:rsidR="00BF25C5" w:rsidRPr="532033A3">
        <w:rPr>
          <w:rFonts w:eastAsia="Times New Roman" w:cs="Times New Roman"/>
          <w:noProof/>
          <w:color w:val="000000" w:themeColor="text1"/>
          <w:lang w:val="en-GB"/>
        </w:rPr>
        <w:t>promoting</w:t>
      </w:r>
      <w:r w:rsidR="003F1C44" w:rsidRPr="532033A3">
        <w:rPr>
          <w:rFonts w:eastAsia="Times New Roman" w:cs="Times New Roman"/>
          <w:noProof/>
          <w:color w:val="000000" w:themeColor="text1"/>
          <w:lang w:val="en-GB"/>
        </w:rPr>
        <w:t xml:space="preserve"> </w:t>
      </w:r>
      <w:r w:rsidR="00BE0CD2" w:rsidRPr="532033A3">
        <w:rPr>
          <w:rFonts w:eastAsia="Times New Roman" w:cs="Times New Roman"/>
          <w:noProof/>
          <w:color w:val="000000" w:themeColor="text1"/>
          <w:lang w:val="en-GB"/>
        </w:rPr>
        <w:t>greater flexibility</w:t>
      </w:r>
      <w:r w:rsidR="003F1C44" w:rsidRPr="532033A3">
        <w:rPr>
          <w:rFonts w:eastAsia="Times New Roman" w:cs="Times New Roman"/>
          <w:noProof/>
          <w:color w:val="000000" w:themeColor="text1"/>
          <w:lang w:val="en-GB"/>
        </w:rPr>
        <w:t xml:space="preserve"> for Member States can already be addressed within the current legal framework</w:t>
      </w:r>
      <w:r w:rsidR="003C63F7" w:rsidRPr="532033A3">
        <w:rPr>
          <w:rFonts w:eastAsia="Times New Roman" w:cs="Times New Roman"/>
          <w:noProof/>
          <w:color w:val="000000" w:themeColor="text1"/>
          <w:lang w:val="en-GB"/>
        </w:rPr>
        <w:t>, for example as regards</w:t>
      </w:r>
      <w:r w:rsidR="002B7D7F" w:rsidRPr="532033A3">
        <w:rPr>
          <w:rFonts w:eastAsia="Times New Roman" w:cs="Times New Roman"/>
          <w:noProof/>
          <w:color w:val="000000" w:themeColor="text1"/>
          <w:lang w:val="en-GB"/>
        </w:rPr>
        <w:t xml:space="preserve"> the</w:t>
      </w:r>
      <w:r w:rsidR="003C63F7" w:rsidRPr="532033A3">
        <w:rPr>
          <w:rFonts w:eastAsia="Times New Roman" w:cs="Times New Roman"/>
          <w:noProof/>
          <w:color w:val="000000" w:themeColor="text1"/>
          <w:lang w:val="en-GB"/>
        </w:rPr>
        <w:t xml:space="preserve"> organisation of controls</w:t>
      </w:r>
      <w:r w:rsidR="00D823B3" w:rsidRPr="532033A3">
        <w:rPr>
          <w:rFonts w:eastAsia="Times New Roman" w:cs="Times New Roman"/>
          <w:noProof/>
          <w:color w:val="000000" w:themeColor="text1"/>
          <w:lang w:val="en-GB"/>
        </w:rPr>
        <w:t xml:space="preserve"> and </w:t>
      </w:r>
      <w:r w:rsidR="002B7D7F" w:rsidRPr="532033A3">
        <w:rPr>
          <w:rFonts w:eastAsia="Times New Roman" w:cs="Times New Roman"/>
          <w:noProof/>
          <w:color w:val="000000" w:themeColor="text1"/>
          <w:lang w:val="en-GB"/>
        </w:rPr>
        <w:t xml:space="preserve">the </w:t>
      </w:r>
      <w:r w:rsidR="00D823B3" w:rsidRPr="532033A3">
        <w:rPr>
          <w:rFonts w:eastAsia="Times New Roman" w:cs="Times New Roman"/>
          <w:noProof/>
          <w:color w:val="000000" w:themeColor="text1"/>
          <w:lang w:val="en-GB"/>
        </w:rPr>
        <w:t xml:space="preserve">penalty system, including </w:t>
      </w:r>
      <w:r w:rsidR="003C63F7" w:rsidRPr="532033A3">
        <w:rPr>
          <w:rFonts w:eastAsia="Times New Roman" w:cs="Times New Roman"/>
          <w:noProof/>
          <w:color w:val="000000" w:themeColor="text1"/>
          <w:lang w:val="en-GB"/>
        </w:rPr>
        <w:t xml:space="preserve">the introduction of </w:t>
      </w:r>
      <w:r w:rsidR="00D823B3" w:rsidRPr="532033A3">
        <w:rPr>
          <w:rFonts w:eastAsia="Times New Roman" w:cs="Times New Roman"/>
          <w:noProof/>
          <w:color w:val="000000" w:themeColor="text1"/>
          <w:lang w:val="en-GB"/>
        </w:rPr>
        <w:t xml:space="preserve">a single control of agricultural holdings and the level of sanctions, as long as they comply with the </w:t>
      </w:r>
      <w:r w:rsidR="00AF7B1A" w:rsidRPr="532033A3">
        <w:rPr>
          <w:rFonts w:eastAsia="Times New Roman" w:cs="Times New Roman"/>
          <w:noProof/>
          <w:color w:val="000000" w:themeColor="text1"/>
          <w:lang w:val="en-GB"/>
        </w:rPr>
        <w:t xml:space="preserve">EU </w:t>
      </w:r>
      <w:r w:rsidR="00D823B3" w:rsidRPr="532033A3">
        <w:rPr>
          <w:rFonts w:eastAsia="Times New Roman" w:cs="Times New Roman"/>
          <w:noProof/>
          <w:color w:val="000000" w:themeColor="text1"/>
          <w:lang w:val="en-GB"/>
        </w:rPr>
        <w:t>requirements</w:t>
      </w:r>
      <w:r w:rsidR="74FD33A1" w:rsidRPr="532033A3">
        <w:rPr>
          <w:rFonts w:eastAsia="Times New Roman" w:cs="Times New Roman"/>
          <w:noProof/>
          <w:color w:val="000000" w:themeColor="text1"/>
          <w:lang w:val="en-GB"/>
        </w:rPr>
        <w:t>.</w:t>
      </w:r>
      <w:r w:rsidR="004066D8" w:rsidRPr="532033A3">
        <w:rPr>
          <w:rFonts w:eastAsia="Times New Roman" w:cs="Times New Roman"/>
          <w:noProof/>
          <w:color w:val="000000" w:themeColor="text1"/>
          <w:lang w:val="en-GB"/>
        </w:rPr>
        <w:t xml:space="preserve"> </w:t>
      </w:r>
      <w:r w:rsidR="00753ABD" w:rsidRPr="532033A3">
        <w:rPr>
          <w:rFonts w:eastAsia="Times New Roman" w:cs="Times New Roman"/>
          <w:noProof/>
          <w:color w:val="000000" w:themeColor="text1"/>
          <w:lang w:val="en-GB"/>
        </w:rPr>
        <w:t xml:space="preserve">For certain other suggestions, such as the </w:t>
      </w:r>
      <w:r w:rsidR="00DF11B8" w:rsidRPr="532033A3">
        <w:rPr>
          <w:rFonts w:eastAsia="Times New Roman" w:cs="Times New Roman"/>
          <w:noProof/>
          <w:color w:val="000000" w:themeColor="text1"/>
          <w:lang w:val="en-GB"/>
        </w:rPr>
        <w:t>level of detail</w:t>
      </w:r>
      <w:r w:rsidR="002B7D7F" w:rsidRPr="532033A3">
        <w:rPr>
          <w:rFonts w:eastAsia="Times New Roman" w:cs="Times New Roman"/>
          <w:noProof/>
          <w:color w:val="000000" w:themeColor="text1"/>
          <w:lang w:val="en-GB"/>
        </w:rPr>
        <w:t xml:space="preserve"> in the </w:t>
      </w:r>
      <w:r w:rsidR="00523AA0" w:rsidRPr="532033A3">
        <w:rPr>
          <w:rFonts w:eastAsia="Times New Roman" w:cs="Times New Roman"/>
          <w:noProof/>
          <w:color w:val="000000" w:themeColor="text1"/>
          <w:lang w:val="en-GB"/>
        </w:rPr>
        <w:t>CAP Plans</w:t>
      </w:r>
      <w:r w:rsidR="00753ABD" w:rsidRPr="532033A3">
        <w:rPr>
          <w:rFonts w:eastAsia="Times New Roman" w:cs="Times New Roman"/>
          <w:noProof/>
          <w:color w:val="000000" w:themeColor="text1"/>
          <w:lang w:val="en-GB"/>
        </w:rPr>
        <w:t xml:space="preserve">, the lessons learned from the current period will feed </w:t>
      </w:r>
      <w:r w:rsidR="002B7D7F" w:rsidRPr="532033A3">
        <w:rPr>
          <w:rFonts w:eastAsia="Times New Roman" w:cs="Times New Roman"/>
          <w:noProof/>
          <w:color w:val="000000" w:themeColor="text1"/>
          <w:lang w:val="en-GB"/>
        </w:rPr>
        <w:t xml:space="preserve">into </w:t>
      </w:r>
      <w:r w:rsidR="00753ABD" w:rsidRPr="532033A3">
        <w:rPr>
          <w:rFonts w:eastAsia="Times New Roman" w:cs="Times New Roman"/>
          <w:noProof/>
          <w:color w:val="000000" w:themeColor="text1"/>
          <w:lang w:val="en-GB"/>
        </w:rPr>
        <w:t>the reflection on</w:t>
      </w:r>
      <w:r w:rsidR="00A70220" w:rsidRPr="532033A3">
        <w:rPr>
          <w:rFonts w:eastAsia="Times New Roman" w:cs="Times New Roman"/>
          <w:noProof/>
          <w:color w:val="000000" w:themeColor="text1"/>
          <w:lang w:val="en-GB"/>
        </w:rPr>
        <w:t xml:space="preserve"> the</w:t>
      </w:r>
      <w:r w:rsidR="00753ABD" w:rsidRPr="532033A3">
        <w:rPr>
          <w:rFonts w:eastAsia="Times New Roman" w:cs="Times New Roman"/>
          <w:noProof/>
          <w:color w:val="000000" w:themeColor="text1"/>
          <w:lang w:val="en-GB"/>
        </w:rPr>
        <w:t xml:space="preserve"> post-2027 CAP and the work on future</w:t>
      </w:r>
      <w:r w:rsidR="008161BF" w:rsidRPr="532033A3">
        <w:rPr>
          <w:rFonts w:eastAsia="Times New Roman" w:cs="Times New Roman"/>
          <w:noProof/>
          <w:color w:val="000000" w:themeColor="text1"/>
          <w:lang w:val="en-GB"/>
        </w:rPr>
        <w:t xml:space="preserve"> </w:t>
      </w:r>
      <w:r w:rsidR="00AF7B1A" w:rsidRPr="532033A3">
        <w:rPr>
          <w:rFonts w:eastAsia="Times New Roman" w:cs="Times New Roman"/>
          <w:noProof/>
          <w:color w:val="000000" w:themeColor="text1"/>
          <w:lang w:val="en-GB"/>
        </w:rPr>
        <w:t xml:space="preserve">EU </w:t>
      </w:r>
      <w:r w:rsidR="00753ABD" w:rsidRPr="532033A3">
        <w:rPr>
          <w:rFonts w:eastAsia="Times New Roman" w:cs="Times New Roman"/>
          <w:noProof/>
          <w:color w:val="000000" w:themeColor="text1"/>
          <w:lang w:val="en-GB"/>
        </w:rPr>
        <w:t>legislation</w:t>
      </w:r>
      <w:r w:rsidR="00FE4AAF" w:rsidRPr="532033A3">
        <w:rPr>
          <w:rFonts w:eastAsia="Times New Roman" w:cs="Times New Roman"/>
          <w:noProof/>
          <w:color w:val="000000" w:themeColor="text1"/>
          <w:lang w:val="en-GB"/>
        </w:rPr>
        <w:t>.</w:t>
      </w:r>
    </w:p>
    <w:p w14:paraId="2F41E72E" w14:textId="2AE87716" w:rsidR="004F1B3B" w:rsidRPr="00A95DF5" w:rsidRDefault="004A133C" w:rsidP="006807F6">
      <w:pPr>
        <w:pStyle w:val="Heading2"/>
        <w:spacing w:before="240"/>
        <w:rPr>
          <w:noProof/>
        </w:rPr>
      </w:pPr>
      <w:bookmarkStart w:id="40" w:name="_Toc1647098235"/>
      <w:bookmarkStart w:id="41" w:name="_Toc723534260"/>
      <w:bookmarkStart w:id="42" w:name="_Toc1755468491"/>
      <w:bookmarkStart w:id="43" w:name="_Toc172125123"/>
      <w:bookmarkStart w:id="44" w:name="_Toc167974737"/>
      <w:r w:rsidRPr="00A95DF5">
        <w:rPr>
          <w:noProof/>
        </w:rPr>
        <w:t>4</w:t>
      </w:r>
      <w:r w:rsidR="4C8EB056" w:rsidRPr="00A95DF5">
        <w:rPr>
          <w:noProof/>
        </w:rPr>
        <w:t xml:space="preserve">.2. </w:t>
      </w:r>
      <w:r w:rsidR="00A2463C" w:rsidRPr="00A95DF5">
        <w:rPr>
          <w:noProof/>
        </w:rPr>
        <w:t xml:space="preserve">CAP </w:t>
      </w:r>
      <w:r w:rsidR="002B7D7F">
        <w:rPr>
          <w:noProof/>
        </w:rPr>
        <w:t>s</w:t>
      </w:r>
      <w:r w:rsidR="000C2DCE" w:rsidRPr="00A95DF5">
        <w:rPr>
          <w:noProof/>
        </w:rPr>
        <w:t>trategic plans</w:t>
      </w:r>
      <w:r w:rsidR="00FF70CF" w:rsidRPr="00A95DF5">
        <w:rPr>
          <w:noProof/>
        </w:rPr>
        <w:t>:</w:t>
      </w:r>
      <w:r w:rsidR="000C2DCE" w:rsidRPr="00A95DF5">
        <w:rPr>
          <w:noProof/>
        </w:rPr>
        <w:t xml:space="preserve"> </w:t>
      </w:r>
      <w:r w:rsidR="00142515" w:rsidRPr="00A95DF5">
        <w:rPr>
          <w:noProof/>
        </w:rPr>
        <w:t>t</w:t>
      </w:r>
      <w:r w:rsidR="000C2DCE" w:rsidRPr="00A95DF5">
        <w:rPr>
          <w:noProof/>
        </w:rPr>
        <w:t xml:space="preserve">he </w:t>
      </w:r>
      <w:r w:rsidR="00142515" w:rsidRPr="00A95DF5">
        <w:rPr>
          <w:noProof/>
        </w:rPr>
        <w:t xml:space="preserve">green </w:t>
      </w:r>
      <w:r w:rsidR="004F1B3B" w:rsidRPr="00A95DF5">
        <w:rPr>
          <w:noProof/>
        </w:rPr>
        <w:t>architecture</w:t>
      </w:r>
      <w:bookmarkEnd w:id="40"/>
      <w:bookmarkEnd w:id="41"/>
      <w:bookmarkEnd w:id="42"/>
      <w:bookmarkEnd w:id="43"/>
      <w:r w:rsidR="004F1B3B" w:rsidRPr="00A95DF5">
        <w:rPr>
          <w:noProof/>
        </w:rPr>
        <w:t xml:space="preserve"> </w:t>
      </w:r>
      <w:bookmarkEnd w:id="44"/>
    </w:p>
    <w:p w14:paraId="5DFC6360" w14:textId="73C0F1B6" w:rsidR="004F1B3B" w:rsidRPr="00724676" w:rsidRDefault="003F7DC8" w:rsidP="00F97E30">
      <w:pPr>
        <w:spacing w:after="120"/>
        <w:jc w:val="both"/>
        <w:rPr>
          <w:rFonts w:eastAsia="Times New Roman" w:cs="Times New Roman"/>
          <w:noProof/>
          <w:color w:val="000000" w:themeColor="text1"/>
          <w:lang w:val="en-GB"/>
        </w:rPr>
      </w:pPr>
      <w:r w:rsidRPr="5B7F1876">
        <w:rPr>
          <w:rFonts w:eastAsia="Times New Roman" w:cs="Times New Roman"/>
          <w:noProof/>
          <w:color w:val="000000" w:themeColor="text1"/>
          <w:lang w:val="en-GB"/>
        </w:rPr>
        <w:t xml:space="preserve">These </w:t>
      </w:r>
      <w:r w:rsidR="003561C6" w:rsidRPr="5B7F1876">
        <w:rPr>
          <w:rFonts w:eastAsia="Times New Roman" w:cs="Times New Roman"/>
          <w:noProof/>
          <w:color w:val="000000" w:themeColor="text1"/>
          <w:lang w:val="en-GB"/>
        </w:rPr>
        <w:t xml:space="preserve">suggestions </w:t>
      </w:r>
      <w:r w:rsidR="004F1B3B" w:rsidRPr="5B7F1876">
        <w:rPr>
          <w:rFonts w:eastAsia="Times New Roman" w:cs="Times New Roman"/>
          <w:noProof/>
          <w:color w:val="000000" w:themeColor="text1"/>
          <w:lang w:val="en-GB"/>
        </w:rPr>
        <w:t xml:space="preserve">concern </w:t>
      </w:r>
      <w:r w:rsidR="00702689" w:rsidRPr="5B7F1876">
        <w:rPr>
          <w:rFonts w:eastAsia="Times New Roman" w:cs="Times New Roman"/>
          <w:noProof/>
          <w:color w:val="000000" w:themeColor="text1"/>
          <w:lang w:val="en-GB"/>
        </w:rPr>
        <w:t>the</w:t>
      </w:r>
      <w:r w:rsidR="004F1B3B" w:rsidRPr="5B7F1876">
        <w:rPr>
          <w:rFonts w:eastAsia="Times New Roman" w:cs="Times New Roman"/>
          <w:noProof/>
          <w:color w:val="000000" w:themeColor="text1"/>
          <w:lang w:val="en-GB"/>
        </w:rPr>
        <w:t xml:space="preserve"> </w:t>
      </w:r>
      <w:r w:rsidR="001165A5" w:rsidRPr="5B7F1876">
        <w:rPr>
          <w:rFonts w:eastAsia="Times New Roman" w:cs="Times New Roman"/>
          <w:noProof/>
          <w:color w:val="000000" w:themeColor="text1"/>
          <w:lang w:val="en-GB"/>
        </w:rPr>
        <w:t xml:space="preserve">various </w:t>
      </w:r>
      <w:r w:rsidR="4D9DD128" w:rsidRPr="6FE283EC">
        <w:rPr>
          <w:rFonts w:eastAsia="Times New Roman" w:cs="Times New Roman"/>
          <w:noProof/>
          <w:color w:val="000000" w:themeColor="text1"/>
          <w:lang w:val="en-GB"/>
        </w:rPr>
        <w:t>CAP Plan</w:t>
      </w:r>
      <w:r w:rsidR="004F1B3B" w:rsidRPr="5B7F1876">
        <w:rPr>
          <w:rFonts w:eastAsia="Times New Roman" w:cs="Times New Roman"/>
          <w:noProof/>
          <w:color w:val="000000" w:themeColor="text1"/>
          <w:lang w:val="en-GB"/>
        </w:rPr>
        <w:t xml:space="preserve"> </w:t>
      </w:r>
      <w:r w:rsidR="00697734" w:rsidRPr="5B7F1876">
        <w:rPr>
          <w:rFonts w:eastAsia="Times New Roman" w:cs="Times New Roman"/>
          <w:noProof/>
          <w:color w:val="000000" w:themeColor="text1"/>
          <w:lang w:val="en-GB"/>
        </w:rPr>
        <w:t xml:space="preserve">tools </w:t>
      </w:r>
      <w:r w:rsidR="004042CE" w:rsidRPr="5B7F1876">
        <w:rPr>
          <w:rFonts w:eastAsia="Times New Roman" w:cs="Times New Roman"/>
          <w:noProof/>
          <w:color w:val="000000" w:themeColor="text1"/>
          <w:lang w:val="en-GB"/>
        </w:rPr>
        <w:t>to implement</w:t>
      </w:r>
      <w:r w:rsidR="004F1B3B" w:rsidRPr="5B7F1876">
        <w:rPr>
          <w:rFonts w:eastAsia="Times New Roman" w:cs="Times New Roman"/>
          <w:noProof/>
          <w:color w:val="000000" w:themeColor="text1"/>
          <w:lang w:val="en-GB"/>
        </w:rPr>
        <w:t xml:space="preserve"> the </w:t>
      </w:r>
      <w:r w:rsidR="0036577D" w:rsidRPr="5B7F1876">
        <w:rPr>
          <w:rFonts w:eastAsia="Times New Roman" w:cs="Times New Roman"/>
          <w:noProof/>
          <w:color w:val="000000" w:themeColor="text1"/>
          <w:lang w:val="en-GB"/>
        </w:rPr>
        <w:t>objectives of the CAP in relation to</w:t>
      </w:r>
      <w:r w:rsidR="004F1B3B" w:rsidRPr="5B7F1876">
        <w:rPr>
          <w:rFonts w:eastAsia="Times New Roman" w:cs="Times New Roman"/>
          <w:noProof/>
          <w:color w:val="000000" w:themeColor="text1"/>
          <w:lang w:val="en-GB"/>
        </w:rPr>
        <w:t xml:space="preserve"> the environment and climate</w:t>
      </w:r>
      <w:r w:rsidR="006D071C" w:rsidRPr="5B7F1876">
        <w:rPr>
          <w:rStyle w:val="FootnoteReference"/>
          <w:rFonts w:eastAsia="Times New Roman" w:cs="Times New Roman"/>
          <w:noProof/>
          <w:color w:val="000000" w:themeColor="text1"/>
          <w:lang w:val="en-GB"/>
        </w:rPr>
        <w:footnoteReference w:id="19"/>
      </w:r>
      <w:r w:rsidR="001165A5" w:rsidRPr="5B7F1876">
        <w:rPr>
          <w:rFonts w:eastAsia="Times New Roman" w:cs="Times New Roman"/>
          <w:noProof/>
          <w:color w:val="000000" w:themeColor="text1"/>
          <w:lang w:val="en-GB"/>
        </w:rPr>
        <w:t xml:space="preserve">, </w:t>
      </w:r>
      <w:r w:rsidR="00E136D9" w:rsidRPr="5B7F1876">
        <w:rPr>
          <w:rFonts w:eastAsia="Times New Roman" w:cs="Times New Roman"/>
          <w:noProof/>
          <w:color w:val="000000" w:themeColor="text1"/>
          <w:lang w:val="en-GB"/>
        </w:rPr>
        <w:t>often</w:t>
      </w:r>
      <w:r w:rsidR="001165A5" w:rsidRPr="5B7F1876">
        <w:rPr>
          <w:rFonts w:eastAsia="Times New Roman" w:cs="Times New Roman"/>
          <w:noProof/>
          <w:color w:val="000000" w:themeColor="text1"/>
          <w:lang w:val="en-GB"/>
        </w:rPr>
        <w:t xml:space="preserve"> together referred to as the </w:t>
      </w:r>
      <w:r w:rsidR="00A37AC4" w:rsidRPr="5B7F1876">
        <w:rPr>
          <w:rFonts w:eastAsia="Times New Roman" w:cs="Times New Roman"/>
          <w:noProof/>
          <w:color w:val="000000" w:themeColor="text1"/>
          <w:lang w:val="en-GB"/>
        </w:rPr>
        <w:t>‘</w:t>
      </w:r>
      <w:r w:rsidR="001165A5" w:rsidRPr="5B7F1876">
        <w:rPr>
          <w:rFonts w:eastAsia="Times New Roman" w:cs="Times New Roman"/>
          <w:noProof/>
          <w:color w:val="000000" w:themeColor="text1"/>
          <w:lang w:val="en-GB"/>
        </w:rPr>
        <w:t>green arc</w:t>
      </w:r>
      <w:r w:rsidR="00425877" w:rsidRPr="5B7F1876">
        <w:rPr>
          <w:rFonts w:eastAsia="Times New Roman" w:cs="Times New Roman"/>
          <w:noProof/>
          <w:color w:val="000000" w:themeColor="text1"/>
          <w:lang w:val="en-GB"/>
        </w:rPr>
        <w:t>h</w:t>
      </w:r>
      <w:r w:rsidR="001165A5" w:rsidRPr="5B7F1876">
        <w:rPr>
          <w:rFonts w:eastAsia="Times New Roman" w:cs="Times New Roman"/>
          <w:noProof/>
          <w:color w:val="000000" w:themeColor="text1"/>
          <w:lang w:val="en-GB"/>
        </w:rPr>
        <w:t>itecture</w:t>
      </w:r>
      <w:r w:rsidR="00A37AC4" w:rsidRPr="5B7F1876">
        <w:rPr>
          <w:rFonts w:eastAsia="Times New Roman" w:cs="Times New Roman"/>
          <w:noProof/>
          <w:color w:val="000000" w:themeColor="text1"/>
          <w:lang w:val="en-GB"/>
        </w:rPr>
        <w:t>’</w:t>
      </w:r>
      <w:r w:rsidR="001165A5" w:rsidRPr="5B7F1876">
        <w:rPr>
          <w:rFonts w:eastAsia="Times New Roman" w:cs="Times New Roman"/>
          <w:noProof/>
          <w:color w:val="000000" w:themeColor="text1"/>
          <w:lang w:val="en-GB"/>
        </w:rPr>
        <w:t xml:space="preserve"> of the CAP</w:t>
      </w:r>
      <w:r w:rsidR="003561C6" w:rsidRPr="5B7F1876">
        <w:rPr>
          <w:rFonts w:eastAsia="Times New Roman" w:cs="Times New Roman"/>
          <w:noProof/>
          <w:color w:val="000000" w:themeColor="text1"/>
          <w:lang w:val="en-GB"/>
        </w:rPr>
        <w:t xml:space="preserve"> </w:t>
      </w:r>
      <w:r w:rsidR="52BA52EF" w:rsidRPr="6FE283EC">
        <w:rPr>
          <w:rFonts w:eastAsia="Times New Roman" w:cs="Times New Roman"/>
          <w:noProof/>
          <w:color w:val="000000" w:themeColor="text1"/>
          <w:lang w:val="en-GB"/>
        </w:rPr>
        <w:t>S</w:t>
      </w:r>
      <w:r w:rsidR="77EC7351" w:rsidRPr="532033A3">
        <w:rPr>
          <w:rFonts w:eastAsia="Times New Roman" w:cs="Times New Roman"/>
          <w:noProof/>
          <w:color w:val="000000" w:themeColor="text1"/>
          <w:lang w:val="en-GB"/>
        </w:rPr>
        <w:t xml:space="preserve">trategic </w:t>
      </w:r>
      <w:r w:rsidR="16E9DCE4" w:rsidRPr="6FE283EC">
        <w:rPr>
          <w:rFonts w:eastAsia="Times New Roman" w:cs="Times New Roman"/>
          <w:noProof/>
          <w:color w:val="000000" w:themeColor="text1"/>
          <w:lang w:val="en-GB"/>
        </w:rPr>
        <w:t>P</w:t>
      </w:r>
      <w:r w:rsidR="77EC7351" w:rsidRPr="532033A3">
        <w:rPr>
          <w:rFonts w:eastAsia="Times New Roman" w:cs="Times New Roman"/>
          <w:noProof/>
          <w:color w:val="000000" w:themeColor="text1"/>
          <w:lang w:val="en-GB"/>
        </w:rPr>
        <w:t>lans</w:t>
      </w:r>
      <w:r w:rsidR="7A11E5BC" w:rsidRPr="532033A3">
        <w:rPr>
          <w:rFonts w:eastAsia="Times New Roman" w:cs="Times New Roman"/>
          <w:noProof/>
          <w:color w:val="000000" w:themeColor="text1"/>
          <w:lang w:val="en-GB"/>
        </w:rPr>
        <w:t>.</w:t>
      </w:r>
      <w:r w:rsidR="004F1B3B" w:rsidRPr="5B7F1876">
        <w:rPr>
          <w:rFonts w:eastAsia="Times New Roman" w:cs="Times New Roman"/>
          <w:noProof/>
          <w:color w:val="000000" w:themeColor="text1"/>
          <w:lang w:val="en-GB"/>
        </w:rPr>
        <w:t xml:space="preserve"> Many </w:t>
      </w:r>
      <w:r w:rsidR="00CB7D45" w:rsidRPr="5B7F1876">
        <w:rPr>
          <w:rFonts w:eastAsia="Times New Roman" w:cs="Times New Roman"/>
          <w:noProof/>
          <w:color w:val="000000" w:themeColor="text1"/>
          <w:lang w:val="en-GB"/>
        </w:rPr>
        <w:t>suggestions</w:t>
      </w:r>
      <w:r w:rsidR="004F1B3B" w:rsidRPr="5B7F1876">
        <w:rPr>
          <w:rFonts w:eastAsia="Times New Roman" w:cs="Times New Roman"/>
          <w:noProof/>
          <w:color w:val="000000" w:themeColor="text1"/>
          <w:lang w:val="en-GB"/>
        </w:rPr>
        <w:t xml:space="preserve"> concern</w:t>
      </w:r>
      <w:r w:rsidR="00B66A55" w:rsidRPr="5B7F1876">
        <w:rPr>
          <w:rFonts w:eastAsia="Times New Roman" w:cs="Times New Roman"/>
          <w:noProof/>
          <w:color w:val="000000" w:themeColor="text1"/>
          <w:lang w:val="en-GB"/>
        </w:rPr>
        <w:t>ed</w:t>
      </w:r>
      <w:r w:rsidR="004F1B3B" w:rsidRPr="5B7F1876">
        <w:rPr>
          <w:rFonts w:eastAsia="Times New Roman" w:cs="Times New Roman"/>
          <w:noProof/>
          <w:color w:val="000000" w:themeColor="text1"/>
          <w:lang w:val="en-GB"/>
        </w:rPr>
        <w:t xml:space="preserve"> </w:t>
      </w:r>
      <w:r w:rsidR="00137AD1" w:rsidRPr="5B7F1876">
        <w:rPr>
          <w:rFonts w:eastAsia="Times New Roman" w:cs="Times New Roman"/>
          <w:noProof/>
          <w:color w:val="000000" w:themeColor="text1"/>
          <w:lang w:val="en-GB"/>
        </w:rPr>
        <w:t>targeted</w:t>
      </w:r>
      <w:r w:rsidR="004F1B3B" w:rsidRPr="5B7F1876">
        <w:rPr>
          <w:rFonts w:eastAsia="Times New Roman" w:cs="Times New Roman"/>
          <w:noProof/>
          <w:color w:val="000000" w:themeColor="text1"/>
          <w:lang w:val="en-GB"/>
        </w:rPr>
        <w:t xml:space="preserve"> changes to </w:t>
      </w:r>
      <w:r w:rsidR="00A37AC4" w:rsidRPr="5B7F1876">
        <w:rPr>
          <w:rFonts w:eastAsia="Times New Roman" w:cs="Times New Roman"/>
          <w:noProof/>
          <w:color w:val="000000" w:themeColor="text1"/>
          <w:lang w:val="en-GB"/>
        </w:rPr>
        <w:t>‘</w:t>
      </w:r>
      <w:r w:rsidR="004F1B3B" w:rsidRPr="5B7F1876">
        <w:rPr>
          <w:rFonts w:eastAsia="Times New Roman" w:cs="Times New Roman"/>
          <w:noProof/>
          <w:color w:val="000000" w:themeColor="text1"/>
          <w:lang w:val="en-GB"/>
        </w:rPr>
        <w:t>conditionality requirements</w:t>
      </w:r>
      <w:r w:rsidR="00A37AC4" w:rsidRPr="5B7F1876">
        <w:rPr>
          <w:rFonts w:eastAsia="Times New Roman" w:cs="Times New Roman"/>
          <w:noProof/>
          <w:color w:val="000000" w:themeColor="text1"/>
          <w:lang w:val="en-GB"/>
        </w:rPr>
        <w:t>’</w:t>
      </w:r>
      <w:r w:rsidR="00E136D9" w:rsidRPr="5B7F1876">
        <w:rPr>
          <w:rFonts w:eastAsia="Times New Roman" w:cs="Times New Roman"/>
          <w:noProof/>
          <w:color w:val="000000" w:themeColor="text1"/>
          <w:lang w:val="en-GB"/>
        </w:rPr>
        <w:t xml:space="preserve"> (the basi</w:t>
      </w:r>
      <w:r w:rsidR="00B6187A" w:rsidRPr="5B7F1876">
        <w:rPr>
          <w:rFonts w:eastAsia="Times New Roman" w:cs="Times New Roman"/>
          <w:noProof/>
          <w:color w:val="000000" w:themeColor="text1"/>
          <w:lang w:val="en-GB"/>
        </w:rPr>
        <w:t>c</w:t>
      </w:r>
      <w:r w:rsidR="00E136D9" w:rsidRPr="5B7F1876">
        <w:rPr>
          <w:rFonts w:eastAsia="Times New Roman" w:cs="Times New Roman"/>
          <w:noProof/>
          <w:color w:val="000000" w:themeColor="text1"/>
          <w:lang w:val="en-GB"/>
        </w:rPr>
        <w:t xml:space="preserve"> layer of the </w:t>
      </w:r>
      <w:r w:rsidR="0017741F" w:rsidRPr="5B7F1876">
        <w:rPr>
          <w:rFonts w:eastAsia="Times New Roman" w:cs="Times New Roman"/>
          <w:noProof/>
          <w:color w:val="000000" w:themeColor="text1"/>
          <w:lang w:val="en-GB"/>
        </w:rPr>
        <w:t>‘</w:t>
      </w:r>
      <w:r w:rsidR="00E136D9" w:rsidRPr="5B7F1876">
        <w:rPr>
          <w:rFonts w:eastAsia="Times New Roman" w:cs="Times New Roman"/>
          <w:noProof/>
          <w:color w:val="000000" w:themeColor="text1"/>
          <w:lang w:val="en-GB"/>
        </w:rPr>
        <w:t>green architecture</w:t>
      </w:r>
      <w:r w:rsidR="0017741F" w:rsidRPr="5B7F1876">
        <w:rPr>
          <w:rFonts w:eastAsia="Times New Roman" w:cs="Times New Roman"/>
          <w:noProof/>
          <w:color w:val="000000" w:themeColor="text1"/>
          <w:lang w:val="en-GB"/>
        </w:rPr>
        <w:t>’</w:t>
      </w:r>
      <w:r w:rsidR="00B6187A" w:rsidRPr="5B7F1876">
        <w:rPr>
          <w:rFonts w:eastAsia="Times New Roman" w:cs="Times New Roman"/>
          <w:noProof/>
          <w:color w:val="000000" w:themeColor="text1"/>
          <w:lang w:val="en-GB"/>
        </w:rPr>
        <w:t>)</w:t>
      </w:r>
      <w:r w:rsidR="004F1B3B" w:rsidRPr="5B7F1876">
        <w:rPr>
          <w:rFonts w:eastAsia="Times New Roman" w:cs="Times New Roman"/>
          <w:noProof/>
          <w:color w:val="000000" w:themeColor="text1"/>
          <w:lang w:val="en-GB"/>
        </w:rPr>
        <w:t xml:space="preserve"> but other </w:t>
      </w:r>
      <w:r w:rsidR="0017741F" w:rsidRPr="5B7F1876">
        <w:rPr>
          <w:rFonts w:eastAsia="Times New Roman" w:cs="Times New Roman"/>
          <w:noProof/>
          <w:color w:val="000000" w:themeColor="text1"/>
          <w:lang w:val="en-GB"/>
        </w:rPr>
        <w:t xml:space="preserve">suggestions </w:t>
      </w:r>
      <w:r w:rsidR="004F1B3B" w:rsidRPr="5B7F1876">
        <w:rPr>
          <w:rFonts w:eastAsia="Times New Roman" w:cs="Times New Roman"/>
          <w:noProof/>
          <w:color w:val="000000" w:themeColor="text1"/>
          <w:lang w:val="en-GB"/>
        </w:rPr>
        <w:t xml:space="preserve">were </w:t>
      </w:r>
      <w:r w:rsidR="002B7D7F" w:rsidRPr="5B7F1876">
        <w:rPr>
          <w:rFonts w:eastAsia="Times New Roman" w:cs="Times New Roman"/>
          <w:noProof/>
          <w:color w:val="000000" w:themeColor="text1"/>
          <w:lang w:val="en-GB"/>
        </w:rPr>
        <w:t xml:space="preserve">also </w:t>
      </w:r>
      <w:r w:rsidR="00CB7D45" w:rsidRPr="5B7F1876">
        <w:rPr>
          <w:rFonts w:eastAsia="Times New Roman" w:cs="Times New Roman"/>
          <w:noProof/>
          <w:color w:val="000000" w:themeColor="text1"/>
          <w:lang w:val="en-GB"/>
        </w:rPr>
        <w:t>made</w:t>
      </w:r>
      <w:r w:rsidR="004F1B3B" w:rsidRPr="5B7F1876">
        <w:rPr>
          <w:rFonts w:eastAsia="Times New Roman" w:cs="Times New Roman"/>
          <w:noProof/>
          <w:color w:val="000000" w:themeColor="text1"/>
          <w:lang w:val="en-GB"/>
        </w:rPr>
        <w:t xml:space="preserve">, e.g. </w:t>
      </w:r>
      <w:r w:rsidR="00E8368E" w:rsidRPr="5B7F1876">
        <w:rPr>
          <w:rFonts w:eastAsia="Times New Roman" w:cs="Times New Roman"/>
          <w:noProof/>
          <w:color w:val="000000" w:themeColor="text1"/>
          <w:lang w:val="en-GB"/>
        </w:rPr>
        <w:t xml:space="preserve">exempting </w:t>
      </w:r>
      <w:r w:rsidR="004F1B3B" w:rsidRPr="5B7F1876">
        <w:rPr>
          <w:rFonts w:eastAsia="Times New Roman" w:cs="Times New Roman"/>
          <w:noProof/>
          <w:color w:val="000000" w:themeColor="text1"/>
          <w:lang w:val="en-GB"/>
        </w:rPr>
        <w:t xml:space="preserve">small </w:t>
      </w:r>
      <w:r w:rsidR="008C3626" w:rsidRPr="5B7F1876">
        <w:rPr>
          <w:rFonts w:eastAsia="Times New Roman" w:cs="Times New Roman"/>
          <w:noProof/>
          <w:color w:val="000000" w:themeColor="text1"/>
          <w:lang w:val="en-GB"/>
        </w:rPr>
        <w:t xml:space="preserve">and organic </w:t>
      </w:r>
      <w:r w:rsidR="004F1B3B" w:rsidRPr="5B7F1876">
        <w:rPr>
          <w:rFonts w:eastAsia="Times New Roman" w:cs="Times New Roman"/>
          <w:noProof/>
          <w:color w:val="000000" w:themeColor="text1"/>
          <w:lang w:val="en-GB"/>
        </w:rPr>
        <w:t>farms</w:t>
      </w:r>
      <w:r w:rsidR="008C3626" w:rsidRPr="5B7F1876">
        <w:rPr>
          <w:rFonts w:eastAsia="Times New Roman" w:cs="Times New Roman"/>
          <w:noProof/>
          <w:color w:val="000000" w:themeColor="text1"/>
          <w:lang w:val="en-GB"/>
        </w:rPr>
        <w:t xml:space="preserve"> </w:t>
      </w:r>
      <w:r w:rsidR="00646513" w:rsidRPr="5B7F1876">
        <w:rPr>
          <w:rFonts w:eastAsia="Times New Roman" w:cs="Times New Roman"/>
          <w:noProof/>
          <w:color w:val="000000" w:themeColor="text1"/>
          <w:lang w:val="en-GB"/>
        </w:rPr>
        <w:t>from conditionality requi</w:t>
      </w:r>
      <w:r w:rsidR="00E51AFD" w:rsidRPr="5B7F1876">
        <w:rPr>
          <w:rFonts w:eastAsia="Times New Roman" w:cs="Times New Roman"/>
          <w:noProof/>
          <w:color w:val="000000" w:themeColor="text1"/>
          <w:lang w:val="en-GB"/>
        </w:rPr>
        <w:t>r</w:t>
      </w:r>
      <w:r w:rsidR="00646513" w:rsidRPr="5B7F1876">
        <w:rPr>
          <w:rFonts w:eastAsia="Times New Roman" w:cs="Times New Roman"/>
          <w:noProof/>
          <w:color w:val="000000" w:themeColor="text1"/>
          <w:lang w:val="en-GB"/>
        </w:rPr>
        <w:t xml:space="preserve">ements, </w:t>
      </w:r>
      <w:r w:rsidR="004F1B3B" w:rsidRPr="5B7F1876">
        <w:rPr>
          <w:rFonts w:eastAsia="Times New Roman" w:cs="Times New Roman"/>
          <w:noProof/>
          <w:color w:val="000000" w:themeColor="text1"/>
          <w:lang w:val="en-GB"/>
        </w:rPr>
        <w:t xml:space="preserve">or </w:t>
      </w:r>
      <w:r w:rsidR="002B7D7F" w:rsidRPr="5B7F1876">
        <w:rPr>
          <w:rFonts w:eastAsia="Times New Roman" w:cs="Times New Roman"/>
          <w:noProof/>
          <w:color w:val="000000" w:themeColor="text1"/>
          <w:lang w:val="en-GB"/>
        </w:rPr>
        <w:t>changing</w:t>
      </w:r>
      <w:r w:rsidR="1E3ACFB5" w:rsidRPr="5B7F1876">
        <w:rPr>
          <w:rFonts w:eastAsia="Times New Roman" w:cs="Times New Roman"/>
          <w:noProof/>
          <w:color w:val="000000" w:themeColor="text1"/>
          <w:lang w:val="en-GB"/>
        </w:rPr>
        <w:t xml:space="preserve"> the</w:t>
      </w:r>
      <w:r w:rsidR="00A37AC4" w:rsidRPr="5B7F1876">
        <w:rPr>
          <w:rFonts w:eastAsia="Times New Roman" w:cs="Times New Roman"/>
          <w:noProof/>
          <w:color w:val="000000" w:themeColor="text1"/>
          <w:lang w:val="en-GB"/>
        </w:rPr>
        <w:t xml:space="preserve"> </w:t>
      </w:r>
      <w:r w:rsidR="004F1B3B" w:rsidRPr="5B7F1876">
        <w:rPr>
          <w:rFonts w:eastAsia="Times New Roman" w:cs="Times New Roman"/>
          <w:noProof/>
          <w:color w:val="000000" w:themeColor="text1"/>
          <w:lang w:val="en-GB"/>
        </w:rPr>
        <w:t xml:space="preserve">financial management of environmental interventions. </w:t>
      </w:r>
    </w:p>
    <w:p w14:paraId="559B8D20" w14:textId="43CD2577" w:rsidR="002A0EC9" w:rsidRPr="00724676" w:rsidRDefault="00784921" w:rsidP="00F97E30">
      <w:pPr>
        <w:spacing w:after="120"/>
        <w:jc w:val="both"/>
        <w:rPr>
          <w:rFonts w:eastAsia="Times New Roman" w:cs="Times New Roman"/>
          <w:noProof/>
          <w:color w:val="000000" w:themeColor="text1"/>
          <w:lang w:val="en-GB"/>
        </w:rPr>
      </w:pPr>
      <w:r w:rsidRPr="5B7F1876">
        <w:rPr>
          <w:rFonts w:eastAsia="Times New Roman" w:cs="Times New Roman"/>
          <w:noProof/>
          <w:color w:val="000000" w:themeColor="text1"/>
          <w:lang w:val="en-GB"/>
        </w:rPr>
        <w:t xml:space="preserve">As </w:t>
      </w:r>
      <w:r w:rsidR="008E42A5" w:rsidRPr="5B7F1876">
        <w:rPr>
          <w:rFonts w:eastAsia="Times New Roman" w:cs="Times New Roman"/>
          <w:noProof/>
          <w:color w:val="000000" w:themeColor="text1"/>
          <w:lang w:val="en-GB"/>
        </w:rPr>
        <w:t xml:space="preserve">a </w:t>
      </w:r>
      <w:r w:rsidR="00CF35E6" w:rsidRPr="5B7F1876">
        <w:rPr>
          <w:rFonts w:eastAsia="Times New Roman" w:cs="Times New Roman"/>
          <w:noProof/>
          <w:color w:val="000000" w:themeColor="text1"/>
          <w:lang w:val="en-GB"/>
        </w:rPr>
        <w:t>preliminary step</w:t>
      </w:r>
      <w:r w:rsidR="00C337B0" w:rsidRPr="5B7F1876">
        <w:rPr>
          <w:rFonts w:eastAsia="Times New Roman" w:cs="Times New Roman"/>
          <w:noProof/>
          <w:color w:val="000000" w:themeColor="text1"/>
          <w:lang w:val="en-GB"/>
        </w:rPr>
        <w:t xml:space="preserve"> </w:t>
      </w:r>
      <w:r w:rsidR="005645AC" w:rsidRPr="5B7F1876">
        <w:rPr>
          <w:rFonts w:eastAsia="Times New Roman" w:cs="Times New Roman"/>
          <w:noProof/>
          <w:color w:val="000000" w:themeColor="text1"/>
          <w:lang w:val="en-GB"/>
        </w:rPr>
        <w:t>to address</w:t>
      </w:r>
      <w:r w:rsidR="00E8191F" w:rsidRPr="365B9462">
        <w:rPr>
          <w:rFonts w:eastAsia="Times New Roman" w:cs="Times New Roman"/>
          <w:noProof/>
          <w:color w:val="000000" w:themeColor="text1"/>
          <w:lang w:val="en-GB"/>
        </w:rPr>
        <w:t>ing</w:t>
      </w:r>
      <w:r w:rsidR="004C7CA9" w:rsidRPr="5B7F1876">
        <w:rPr>
          <w:rFonts w:eastAsia="Times New Roman" w:cs="Times New Roman"/>
          <w:noProof/>
          <w:color w:val="000000" w:themeColor="text1"/>
          <w:lang w:val="en-GB"/>
        </w:rPr>
        <w:t xml:space="preserve"> </w:t>
      </w:r>
      <w:r w:rsidR="00741D1F" w:rsidRPr="5B7F1876">
        <w:rPr>
          <w:rFonts w:eastAsia="Times New Roman" w:cs="Times New Roman"/>
          <w:noProof/>
          <w:color w:val="000000" w:themeColor="text1"/>
          <w:lang w:val="en-GB"/>
        </w:rPr>
        <w:t>the</w:t>
      </w:r>
      <w:r w:rsidR="009F6C57" w:rsidRPr="5B7F1876">
        <w:rPr>
          <w:rFonts w:eastAsia="Times New Roman" w:cs="Times New Roman"/>
          <w:noProof/>
          <w:color w:val="000000" w:themeColor="text1"/>
          <w:lang w:val="en-GB"/>
        </w:rPr>
        <w:t xml:space="preserve"> </w:t>
      </w:r>
      <w:r w:rsidR="00862845" w:rsidRPr="5B7F1876">
        <w:rPr>
          <w:rFonts w:eastAsia="Times New Roman" w:cs="Times New Roman"/>
          <w:noProof/>
          <w:color w:val="000000" w:themeColor="text1"/>
          <w:lang w:val="en-GB"/>
        </w:rPr>
        <w:t>concerns</w:t>
      </w:r>
      <w:r w:rsidR="00A250E1" w:rsidRPr="5B7F1876">
        <w:rPr>
          <w:rFonts w:eastAsia="Times New Roman" w:cs="Times New Roman"/>
          <w:noProof/>
          <w:color w:val="000000" w:themeColor="text1"/>
          <w:lang w:val="en-GB"/>
        </w:rPr>
        <w:t xml:space="preserve"> </w:t>
      </w:r>
      <w:r w:rsidR="008E42A5" w:rsidRPr="5B7F1876">
        <w:rPr>
          <w:rFonts w:eastAsia="Times New Roman" w:cs="Times New Roman"/>
          <w:noProof/>
          <w:color w:val="000000" w:themeColor="text1"/>
          <w:lang w:val="en-GB"/>
        </w:rPr>
        <w:t>underlying</w:t>
      </w:r>
      <w:r w:rsidR="005645AC" w:rsidRPr="5B7F1876">
        <w:rPr>
          <w:rFonts w:eastAsia="Times New Roman" w:cs="Times New Roman"/>
          <w:noProof/>
          <w:color w:val="000000" w:themeColor="text1"/>
          <w:lang w:val="en-GB"/>
        </w:rPr>
        <w:t xml:space="preserve"> these </w:t>
      </w:r>
      <w:r w:rsidR="00E8368E" w:rsidRPr="5B7F1876">
        <w:rPr>
          <w:rFonts w:eastAsia="Times New Roman" w:cs="Times New Roman"/>
          <w:noProof/>
          <w:color w:val="000000" w:themeColor="text1"/>
          <w:lang w:val="en-GB"/>
        </w:rPr>
        <w:t>suggestions</w:t>
      </w:r>
      <w:r w:rsidR="00373874" w:rsidRPr="5B7F1876">
        <w:rPr>
          <w:rFonts w:eastAsia="Times New Roman" w:cs="Times New Roman"/>
          <w:noProof/>
          <w:color w:val="000000" w:themeColor="text1"/>
          <w:lang w:val="en-GB"/>
        </w:rPr>
        <w:t>, t</w:t>
      </w:r>
      <w:r w:rsidR="004F1B3B" w:rsidRPr="5B7F1876">
        <w:rPr>
          <w:rFonts w:eastAsia="Times New Roman" w:cs="Times New Roman"/>
          <w:noProof/>
          <w:color w:val="000000" w:themeColor="text1"/>
          <w:lang w:val="en-GB"/>
        </w:rPr>
        <w:t xml:space="preserve">he Commission had adopted a temporary and partial derogation </w:t>
      </w:r>
      <w:r w:rsidR="00AE01B5" w:rsidRPr="365B9462">
        <w:rPr>
          <w:rFonts w:eastAsia="Times New Roman" w:cs="Times New Roman"/>
          <w:noProof/>
          <w:color w:val="000000" w:themeColor="text1"/>
          <w:lang w:val="en-GB"/>
        </w:rPr>
        <w:t>from</w:t>
      </w:r>
      <w:r w:rsidR="004F1B3B" w:rsidRPr="365B9462">
        <w:rPr>
          <w:rFonts w:eastAsia="Times New Roman" w:cs="Times New Roman"/>
          <w:noProof/>
          <w:color w:val="000000" w:themeColor="text1"/>
          <w:lang w:val="en-GB"/>
        </w:rPr>
        <w:t xml:space="preserve"> </w:t>
      </w:r>
      <w:r w:rsidR="00122B9C" w:rsidRPr="365B9462">
        <w:rPr>
          <w:rFonts w:eastAsia="Times New Roman" w:cs="Times New Roman"/>
          <w:noProof/>
          <w:color w:val="000000" w:themeColor="text1"/>
          <w:lang w:val="en-GB"/>
        </w:rPr>
        <w:t xml:space="preserve">the </w:t>
      </w:r>
      <w:r w:rsidR="008343EB" w:rsidRPr="365B9462">
        <w:rPr>
          <w:rFonts w:eastAsia="Times New Roman" w:cs="Times New Roman"/>
          <w:noProof/>
          <w:color w:val="000000" w:themeColor="text1"/>
          <w:lang w:val="en-GB"/>
        </w:rPr>
        <w:t xml:space="preserve">first </w:t>
      </w:r>
      <w:r w:rsidR="00122B9C" w:rsidRPr="365B9462">
        <w:rPr>
          <w:rFonts w:eastAsia="Times New Roman" w:cs="Times New Roman"/>
          <w:noProof/>
          <w:color w:val="000000" w:themeColor="text1"/>
          <w:lang w:val="en-GB"/>
        </w:rPr>
        <w:t xml:space="preserve">requirement </w:t>
      </w:r>
      <w:r w:rsidR="00AE01B5" w:rsidRPr="365B9462">
        <w:rPr>
          <w:rFonts w:eastAsia="Times New Roman" w:cs="Times New Roman"/>
          <w:noProof/>
          <w:color w:val="000000" w:themeColor="text1"/>
          <w:lang w:val="en-GB"/>
        </w:rPr>
        <w:t xml:space="preserve">of </w:t>
      </w:r>
      <w:r w:rsidR="004F1B3B" w:rsidRPr="365B9462">
        <w:rPr>
          <w:rFonts w:eastAsia="Times New Roman" w:cs="Times New Roman"/>
          <w:noProof/>
          <w:color w:val="000000" w:themeColor="text1"/>
          <w:lang w:val="en-GB"/>
        </w:rPr>
        <w:t xml:space="preserve">GAEC </w:t>
      </w:r>
      <w:r w:rsidR="00AE01B5" w:rsidRPr="365B9462">
        <w:rPr>
          <w:rFonts w:eastAsia="Times New Roman" w:cs="Times New Roman"/>
          <w:noProof/>
          <w:color w:val="000000" w:themeColor="text1"/>
          <w:lang w:val="en-GB"/>
        </w:rPr>
        <w:t>standard</w:t>
      </w:r>
      <w:r w:rsidR="00E8191F" w:rsidRPr="365B9462">
        <w:rPr>
          <w:rFonts w:eastAsia="Times New Roman" w:cs="Times New Roman"/>
          <w:noProof/>
          <w:color w:val="000000" w:themeColor="text1"/>
          <w:lang w:val="en-GB"/>
        </w:rPr>
        <w:t> </w:t>
      </w:r>
      <w:r w:rsidR="00122B9C" w:rsidRPr="365B9462">
        <w:rPr>
          <w:rFonts w:eastAsia="Times New Roman" w:cs="Times New Roman"/>
          <w:noProof/>
          <w:color w:val="000000" w:themeColor="text1"/>
          <w:lang w:val="en-GB"/>
        </w:rPr>
        <w:t>8</w:t>
      </w:r>
      <w:r w:rsidR="00122B9C" w:rsidRPr="5B7F1876">
        <w:rPr>
          <w:rFonts w:eastAsia="Times New Roman" w:cs="Times New Roman"/>
          <w:noProof/>
          <w:color w:val="000000" w:themeColor="text1"/>
          <w:lang w:val="en-GB"/>
        </w:rPr>
        <w:t xml:space="preserve"> </w:t>
      </w:r>
      <w:r w:rsidR="004F1B3B" w:rsidRPr="5B7F1876">
        <w:rPr>
          <w:rFonts w:eastAsia="Times New Roman" w:cs="Times New Roman"/>
          <w:noProof/>
          <w:color w:val="000000" w:themeColor="text1"/>
          <w:lang w:val="en-GB"/>
        </w:rPr>
        <w:t xml:space="preserve">for </w:t>
      </w:r>
      <w:r w:rsidR="00AE01B5" w:rsidRPr="5B7F1876">
        <w:rPr>
          <w:rFonts w:eastAsia="Times New Roman" w:cs="Times New Roman"/>
          <w:noProof/>
          <w:color w:val="000000" w:themeColor="text1"/>
          <w:lang w:val="en-GB"/>
        </w:rPr>
        <w:t xml:space="preserve">claim year </w:t>
      </w:r>
      <w:r w:rsidR="004F1B3B" w:rsidRPr="5B7F1876">
        <w:rPr>
          <w:rFonts w:eastAsia="Times New Roman" w:cs="Times New Roman"/>
          <w:noProof/>
          <w:color w:val="000000" w:themeColor="text1"/>
          <w:lang w:val="en-GB"/>
        </w:rPr>
        <w:t xml:space="preserve">2024 </w:t>
      </w:r>
      <w:r w:rsidR="00122B9C" w:rsidRPr="5B7F1876">
        <w:rPr>
          <w:rFonts w:eastAsia="Times New Roman" w:cs="Times New Roman"/>
          <w:noProof/>
          <w:color w:val="000000" w:themeColor="text1"/>
          <w:lang w:val="en-GB"/>
        </w:rPr>
        <w:t>(</w:t>
      </w:r>
      <w:r w:rsidR="00E8191F" w:rsidRPr="365B9462">
        <w:rPr>
          <w:rFonts w:eastAsia="Times New Roman" w:cs="Times New Roman"/>
          <w:noProof/>
          <w:color w:val="000000" w:themeColor="text1"/>
          <w:lang w:val="en-GB"/>
        </w:rPr>
        <w:t xml:space="preserve">on the </w:t>
      </w:r>
      <w:r w:rsidR="00122B9C" w:rsidRPr="5B7F1876">
        <w:rPr>
          <w:rFonts w:eastAsia="Times New Roman" w:cs="Times New Roman"/>
          <w:noProof/>
          <w:color w:val="000000" w:themeColor="text1"/>
          <w:lang w:val="en-GB"/>
        </w:rPr>
        <w:t>share of non-productive areas/features</w:t>
      </w:r>
      <w:r w:rsidR="00741D1F" w:rsidRPr="5B7F1876">
        <w:rPr>
          <w:rFonts w:eastAsia="Times New Roman" w:cs="Times New Roman"/>
          <w:noProof/>
          <w:color w:val="000000" w:themeColor="text1"/>
          <w:lang w:val="en-GB"/>
        </w:rPr>
        <w:t xml:space="preserve"> on arable land</w:t>
      </w:r>
      <w:r w:rsidR="00122B9C" w:rsidRPr="5B7F1876">
        <w:rPr>
          <w:rFonts w:eastAsia="Times New Roman" w:cs="Times New Roman"/>
          <w:noProof/>
          <w:color w:val="000000" w:themeColor="text1"/>
          <w:lang w:val="en-GB"/>
        </w:rPr>
        <w:t>)</w:t>
      </w:r>
      <w:r w:rsidR="006B248C" w:rsidRPr="5B7F1876">
        <w:rPr>
          <w:rStyle w:val="FootnoteReference"/>
          <w:rFonts w:eastAsia="Times New Roman" w:cs="Times New Roman"/>
          <w:noProof/>
          <w:color w:val="000000" w:themeColor="text1"/>
          <w:lang w:val="en-GB"/>
        </w:rPr>
        <w:footnoteReference w:id="20"/>
      </w:r>
      <w:r w:rsidR="002265F2" w:rsidRPr="5B7F1876">
        <w:rPr>
          <w:rFonts w:eastAsia="Times New Roman" w:cs="Times New Roman"/>
          <w:noProof/>
          <w:color w:val="000000" w:themeColor="text1"/>
          <w:lang w:val="en-GB"/>
        </w:rPr>
        <w:t xml:space="preserve">, and adjusted </w:t>
      </w:r>
      <w:r w:rsidR="001C1FD5" w:rsidRPr="5B7F1876">
        <w:rPr>
          <w:rFonts w:eastAsia="Times New Roman" w:cs="Times New Roman"/>
          <w:noProof/>
          <w:color w:val="000000" w:themeColor="text1"/>
          <w:lang w:val="en-GB"/>
        </w:rPr>
        <w:t>the rules for</w:t>
      </w:r>
      <w:r w:rsidR="008B0D19" w:rsidRPr="5B7F1876">
        <w:rPr>
          <w:rFonts w:eastAsia="Times New Roman" w:cs="Times New Roman"/>
          <w:noProof/>
          <w:color w:val="000000" w:themeColor="text1"/>
          <w:lang w:val="en-GB"/>
        </w:rPr>
        <w:t xml:space="preserve"> </w:t>
      </w:r>
      <w:r w:rsidR="000B41CB" w:rsidRPr="5B7F1876">
        <w:rPr>
          <w:rFonts w:eastAsia="Times New Roman" w:cs="Times New Roman"/>
          <w:noProof/>
          <w:color w:val="000000" w:themeColor="text1"/>
          <w:lang w:val="en-GB"/>
        </w:rPr>
        <w:t>GAEC standard</w:t>
      </w:r>
      <w:r w:rsidR="006A2E0E" w:rsidRPr="365B9462">
        <w:rPr>
          <w:rFonts w:eastAsia="Times New Roman" w:cs="Times New Roman"/>
          <w:noProof/>
          <w:color w:val="000000" w:themeColor="text1"/>
          <w:lang w:val="en-GB"/>
        </w:rPr>
        <w:t> </w:t>
      </w:r>
      <w:r w:rsidR="000B41CB" w:rsidRPr="5B7F1876">
        <w:rPr>
          <w:rFonts w:eastAsia="Times New Roman" w:cs="Times New Roman"/>
          <w:noProof/>
          <w:color w:val="000000" w:themeColor="text1"/>
          <w:lang w:val="en-GB"/>
        </w:rPr>
        <w:t xml:space="preserve">1 </w:t>
      </w:r>
      <w:r w:rsidR="006A2E0E" w:rsidRPr="365B9462">
        <w:rPr>
          <w:rFonts w:eastAsia="Times New Roman" w:cs="Times New Roman"/>
          <w:noProof/>
          <w:color w:val="000000" w:themeColor="text1"/>
          <w:lang w:val="en-GB"/>
        </w:rPr>
        <w:t xml:space="preserve">on </w:t>
      </w:r>
      <w:r w:rsidR="00684CD2" w:rsidRPr="5B7F1876">
        <w:rPr>
          <w:rFonts w:eastAsia="Times New Roman" w:cs="Times New Roman"/>
          <w:noProof/>
          <w:color w:val="000000" w:themeColor="text1"/>
          <w:lang w:val="en-GB"/>
        </w:rPr>
        <w:t xml:space="preserve">the calculation of the </w:t>
      </w:r>
      <w:r w:rsidR="000B41CB" w:rsidRPr="5B7F1876">
        <w:rPr>
          <w:rFonts w:eastAsia="Times New Roman" w:cs="Times New Roman"/>
          <w:noProof/>
          <w:color w:val="000000" w:themeColor="text1"/>
          <w:lang w:val="en-GB"/>
        </w:rPr>
        <w:t>permanent grassland</w:t>
      </w:r>
      <w:r w:rsidR="00684CD2" w:rsidRPr="5B7F1876">
        <w:rPr>
          <w:rFonts w:eastAsia="Times New Roman" w:cs="Times New Roman"/>
          <w:noProof/>
          <w:color w:val="000000" w:themeColor="text1"/>
          <w:lang w:val="en-GB"/>
        </w:rPr>
        <w:t xml:space="preserve"> ratios and reconversion obligations</w:t>
      </w:r>
      <w:r w:rsidR="00DC1280" w:rsidRPr="5B7F1876">
        <w:rPr>
          <w:rFonts w:eastAsia="Times New Roman" w:cs="Times New Roman"/>
          <w:noProof/>
          <w:color w:val="000000" w:themeColor="text1"/>
          <w:lang w:val="en-GB"/>
        </w:rPr>
        <w:t xml:space="preserve"> (see </w:t>
      </w:r>
      <w:r w:rsidR="006A2E0E" w:rsidRPr="365B9462">
        <w:rPr>
          <w:rFonts w:eastAsia="Times New Roman" w:cs="Times New Roman"/>
          <w:noProof/>
          <w:color w:val="000000" w:themeColor="text1"/>
          <w:lang w:val="en-GB"/>
        </w:rPr>
        <w:t>S</w:t>
      </w:r>
      <w:r w:rsidR="00DC1280" w:rsidRPr="5B7F1876">
        <w:rPr>
          <w:rFonts w:eastAsia="Times New Roman" w:cs="Times New Roman"/>
          <w:noProof/>
          <w:color w:val="000000" w:themeColor="text1"/>
          <w:lang w:val="en-GB"/>
        </w:rPr>
        <w:t>ection 5.2)</w:t>
      </w:r>
      <w:r w:rsidR="000B41CB" w:rsidRPr="5B7F1876">
        <w:rPr>
          <w:rStyle w:val="FootnoteReference"/>
          <w:rFonts w:eastAsia="Times New Roman" w:cs="Times New Roman"/>
          <w:noProof/>
          <w:color w:val="000000" w:themeColor="text1"/>
          <w:lang w:val="en-GB"/>
        </w:rPr>
        <w:footnoteReference w:id="21"/>
      </w:r>
      <w:r w:rsidR="00550B99" w:rsidRPr="5B7F1876">
        <w:rPr>
          <w:rFonts w:eastAsia="Times New Roman" w:cs="Times New Roman"/>
          <w:noProof/>
          <w:color w:val="000000" w:themeColor="text1"/>
          <w:lang w:val="en-GB"/>
        </w:rPr>
        <w:t>.</w:t>
      </w:r>
    </w:p>
    <w:p w14:paraId="20B14926" w14:textId="7FFDC9E5" w:rsidR="00FD3D2F" w:rsidRPr="00724676" w:rsidRDefault="00C03414" w:rsidP="00F97E30">
      <w:pPr>
        <w:spacing w:after="120"/>
        <w:jc w:val="both"/>
        <w:rPr>
          <w:rFonts w:eastAsia="Times New Roman" w:cs="Times New Roman"/>
          <w:noProof/>
          <w:color w:val="000000" w:themeColor="text1"/>
          <w:lang w:val="en-GB"/>
        </w:rPr>
      </w:pPr>
      <w:r w:rsidRPr="532033A3">
        <w:rPr>
          <w:rFonts w:eastAsia="Times New Roman" w:cs="Times New Roman"/>
          <w:noProof/>
          <w:color w:val="000000" w:themeColor="text1"/>
          <w:lang w:val="en-GB"/>
        </w:rPr>
        <w:t>Further</w:t>
      </w:r>
      <w:r w:rsidR="005011F0" w:rsidRPr="532033A3">
        <w:rPr>
          <w:rFonts w:eastAsia="Times New Roman" w:cs="Times New Roman"/>
          <w:noProof/>
          <w:color w:val="000000" w:themeColor="text1"/>
          <w:lang w:val="en-GB"/>
        </w:rPr>
        <w:t xml:space="preserve"> </w:t>
      </w:r>
      <w:r w:rsidR="008722B9" w:rsidRPr="532033A3">
        <w:rPr>
          <w:rFonts w:eastAsia="Times New Roman" w:cs="Times New Roman"/>
          <w:noProof/>
          <w:color w:val="000000" w:themeColor="text1"/>
          <w:lang w:val="en-GB"/>
        </w:rPr>
        <w:t>modification</w:t>
      </w:r>
      <w:r w:rsidR="002A0EC9" w:rsidRPr="532033A3">
        <w:rPr>
          <w:rFonts w:eastAsia="Times New Roman" w:cs="Times New Roman"/>
          <w:noProof/>
          <w:color w:val="000000" w:themeColor="text1"/>
          <w:lang w:val="en-GB"/>
        </w:rPr>
        <w:t>s</w:t>
      </w:r>
      <w:r w:rsidR="008722B9" w:rsidRPr="532033A3">
        <w:rPr>
          <w:rFonts w:eastAsia="Times New Roman" w:cs="Times New Roman"/>
          <w:noProof/>
          <w:color w:val="000000" w:themeColor="text1"/>
          <w:lang w:val="en-GB"/>
        </w:rPr>
        <w:t xml:space="preserve"> </w:t>
      </w:r>
      <w:r w:rsidR="00A71C90" w:rsidRPr="532033A3">
        <w:rPr>
          <w:rFonts w:eastAsia="Times New Roman" w:cs="Times New Roman"/>
          <w:noProof/>
          <w:color w:val="000000" w:themeColor="text1"/>
          <w:lang w:val="en-GB"/>
        </w:rPr>
        <w:t xml:space="preserve">followed with the </w:t>
      </w:r>
      <w:r w:rsidR="00DD742F" w:rsidRPr="532033A3">
        <w:rPr>
          <w:rFonts w:eastAsia="Times New Roman" w:cs="Times New Roman"/>
          <w:noProof/>
          <w:color w:val="000000" w:themeColor="text1"/>
          <w:lang w:val="en-GB"/>
        </w:rPr>
        <w:t>amend</w:t>
      </w:r>
      <w:r w:rsidRPr="532033A3">
        <w:rPr>
          <w:rFonts w:eastAsia="Times New Roman" w:cs="Times New Roman"/>
          <w:noProof/>
          <w:color w:val="000000" w:themeColor="text1"/>
          <w:lang w:val="en-GB"/>
        </w:rPr>
        <w:t>ments to</w:t>
      </w:r>
      <w:r w:rsidR="00DD742F" w:rsidRPr="532033A3">
        <w:rPr>
          <w:rFonts w:eastAsia="Times New Roman" w:cs="Times New Roman"/>
          <w:noProof/>
          <w:color w:val="000000" w:themeColor="text1"/>
          <w:lang w:val="en-GB"/>
        </w:rPr>
        <w:t xml:space="preserve"> the </w:t>
      </w:r>
      <w:r w:rsidR="007B38AD" w:rsidRPr="532033A3">
        <w:rPr>
          <w:rFonts w:eastAsia="Times New Roman" w:cs="Times New Roman"/>
          <w:noProof/>
          <w:color w:val="000000" w:themeColor="text1"/>
          <w:lang w:val="en-GB"/>
        </w:rPr>
        <w:t>CSP</w:t>
      </w:r>
      <w:r w:rsidR="00DD742F" w:rsidRPr="532033A3">
        <w:rPr>
          <w:rFonts w:eastAsia="Times New Roman" w:cs="Times New Roman"/>
          <w:noProof/>
          <w:color w:val="000000" w:themeColor="text1"/>
          <w:lang w:val="en-GB"/>
        </w:rPr>
        <w:t xml:space="preserve"> Regulation</w:t>
      </w:r>
      <w:r w:rsidRPr="532033A3">
        <w:rPr>
          <w:rFonts w:eastAsia="Times New Roman" w:cs="Times New Roman"/>
          <w:noProof/>
          <w:color w:val="000000" w:themeColor="text1"/>
          <w:lang w:val="en-GB"/>
        </w:rPr>
        <w:t xml:space="preserve"> </w:t>
      </w:r>
      <w:r w:rsidR="005C4980">
        <w:rPr>
          <w:rFonts w:eastAsia="Times New Roman" w:cs="Times New Roman"/>
          <w:noProof/>
          <w:color w:val="000000" w:themeColor="text1"/>
          <w:lang w:val="en-GB"/>
        </w:rPr>
        <w:t xml:space="preserve">and Horizontal Regulation </w:t>
      </w:r>
      <w:r w:rsidR="006A2E0E" w:rsidRPr="532033A3">
        <w:rPr>
          <w:rFonts w:eastAsia="Times New Roman" w:cs="Times New Roman"/>
          <w:noProof/>
          <w:color w:val="000000" w:themeColor="text1"/>
          <w:lang w:val="en-GB"/>
        </w:rPr>
        <w:t xml:space="preserve">as part of </w:t>
      </w:r>
      <w:r w:rsidRPr="532033A3">
        <w:rPr>
          <w:rFonts w:eastAsia="Times New Roman" w:cs="Times New Roman"/>
          <w:noProof/>
          <w:color w:val="000000" w:themeColor="text1"/>
          <w:lang w:val="en-GB"/>
        </w:rPr>
        <w:t>the simplification package</w:t>
      </w:r>
      <w:r w:rsidR="00280A14" w:rsidRPr="532033A3">
        <w:rPr>
          <w:rFonts w:eastAsia="Times New Roman" w:cs="Times New Roman"/>
          <w:noProof/>
          <w:color w:val="000000" w:themeColor="text1"/>
          <w:lang w:val="en-GB"/>
        </w:rPr>
        <w:t xml:space="preserve">. </w:t>
      </w:r>
      <w:r w:rsidR="00A52901" w:rsidRPr="532033A3">
        <w:rPr>
          <w:rFonts w:eastAsia="Times New Roman" w:cs="Times New Roman"/>
          <w:noProof/>
          <w:color w:val="000000" w:themeColor="text1"/>
          <w:lang w:val="en-GB"/>
        </w:rPr>
        <w:t>T</w:t>
      </w:r>
      <w:r w:rsidRPr="532033A3">
        <w:rPr>
          <w:rFonts w:eastAsia="Times New Roman" w:cs="Times New Roman"/>
          <w:noProof/>
          <w:color w:val="000000" w:themeColor="text1"/>
          <w:lang w:val="en-GB"/>
        </w:rPr>
        <w:t xml:space="preserve">hey </w:t>
      </w:r>
      <w:r w:rsidR="004F1B3B" w:rsidRPr="532033A3">
        <w:rPr>
          <w:rFonts w:eastAsia="Times New Roman" w:cs="Times New Roman"/>
          <w:noProof/>
          <w:color w:val="000000" w:themeColor="text1"/>
          <w:lang w:val="en-GB"/>
        </w:rPr>
        <w:t>contain</w:t>
      </w:r>
      <w:r w:rsidR="60D7227B" w:rsidRPr="532033A3">
        <w:rPr>
          <w:rFonts w:eastAsia="Times New Roman" w:cs="Times New Roman"/>
          <w:noProof/>
          <w:color w:val="000000" w:themeColor="text1"/>
          <w:lang w:val="en-GB"/>
        </w:rPr>
        <w:t>ed</w:t>
      </w:r>
      <w:r w:rsidR="004F1B3B" w:rsidRPr="532033A3">
        <w:rPr>
          <w:rFonts w:eastAsia="Times New Roman" w:cs="Times New Roman"/>
          <w:noProof/>
          <w:color w:val="000000" w:themeColor="text1"/>
          <w:lang w:val="en-GB"/>
        </w:rPr>
        <w:t xml:space="preserve"> targeted adjustments to conditionality </w:t>
      </w:r>
      <w:r w:rsidR="00A52901" w:rsidRPr="532033A3">
        <w:rPr>
          <w:rFonts w:eastAsia="Times New Roman" w:cs="Times New Roman"/>
          <w:noProof/>
          <w:color w:val="000000" w:themeColor="text1"/>
          <w:lang w:val="en-GB"/>
        </w:rPr>
        <w:t xml:space="preserve">rules </w:t>
      </w:r>
      <w:r w:rsidR="004F1B3B" w:rsidRPr="532033A3">
        <w:rPr>
          <w:rFonts w:eastAsia="Times New Roman" w:cs="Times New Roman"/>
          <w:noProof/>
          <w:color w:val="000000" w:themeColor="text1"/>
          <w:lang w:val="en-GB"/>
        </w:rPr>
        <w:t>that aim</w:t>
      </w:r>
      <w:r w:rsidR="68B2E23A" w:rsidRPr="532033A3">
        <w:rPr>
          <w:rFonts w:eastAsia="Times New Roman" w:cs="Times New Roman"/>
          <w:noProof/>
          <w:color w:val="000000" w:themeColor="text1"/>
          <w:lang w:val="en-GB"/>
        </w:rPr>
        <w:t>ed</w:t>
      </w:r>
      <w:r w:rsidR="004F1B3B" w:rsidRPr="532033A3">
        <w:rPr>
          <w:rFonts w:eastAsia="Times New Roman" w:cs="Times New Roman"/>
          <w:noProof/>
          <w:color w:val="000000" w:themeColor="text1"/>
          <w:lang w:val="en-GB"/>
        </w:rPr>
        <w:t xml:space="preserve"> to address implementation concerns</w:t>
      </w:r>
      <w:r w:rsidR="0041472C" w:rsidRPr="532033A3">
        <w:rPr>
          <w:rFonts w:eastAsia="Times New Roman" w:cs="Times New Roman"/>
          <w:noProof/>
          <w:color w:val="000000" w:themeColor="text1"/>
          <w:lang w:val="en-GB"/>
        </w:rPr>
        <w:t xml:space="preserve"> for </w:t>
      </w:r>
      <w:r w:rsidR="00396809" w:rsidRPr="532033A3">
        <w:rPr>
          <w:rFonts w:eastAsia="Times New Roman" w:cs="Times New Roman"/>
          <w:noProof/>
          <w:color w:val="000000" w:themeColor="text1"/>
          <w:lang w:val="en-GB"/>
        </w:rPr>
        <w:t>several GAEC</w:t>
      </w:r>
      <w:r w:rsidR="00BB1F1C" w:rsidRPr="532033A3">
        <w:rPr>
          <w:rFonts w:eastAsia="Times New Roman" w:cs="Times New Roman"/>
          <w:noProof/>
          <w:color w:val="000000" w:themeColor="text1"/>
          <w:lang w:val="en-GB"/>
        </w:rPr>
        <w:t xml:space="preserve"> standards</w:t>
      </w:r>
      <w:r w:rsidR="006A2E0E" w:rsidRPr="532033A3">
        <w:rPr>
          <w:rFonts w:eastAsia="Times New Roman" w:cs="Times New Roman"/>
          <w:noProof/>
          <w:color w:val="000000" w:themeColor="text1"/>
          <w:lang w:val="en-GB"/>
        </w:rPr>
        <w:t>,</w:t>
      </w:r>
      <w:r w:rsidR="0041472C" w:rsidRPr="532033A3">
        <w:rPr>
          <w:rFonts w:eastAsia="Times New Roman" w:cs="Times New Roman"/>
          <w:noProof/>
          <w:color w:val="000000" w:themeColor="text1"/>
          <w:lang w:val="en-GB"/>
        </w:rPr>
        <w:t xml:space="preserve"> and </w:t>
      </w:r>
      <w:r w:rsidR="00BB1F1C" w:rsidRPr="532033A3">
        <w:rPr>
          <w:rFonts w:eastAsia="Times New Roman" w:cs="Times New Roman"/>
          <w:noProof/>
          <w:color w:val="000000" w:themeColor="text1"/>
          <w:lang w:val="en-GB"/>
        </w:rPr>
        <w:t xml:space="preserve">controls and penalties for </w:t>
      </w:r>
      <w:r w:rsidR="0041472C" w:rsidRPr="532033A3">
        <w:rPr>
          <w:rFonts w:eastAsia="Times New Roman" w:cs="Times New Roman"/>
          <w:noProof/>
          <w:color w:val="000000" w:themeColor="text1"/>
          <w:lang w:val="en-GB"/>
        </w:rPr>
        <w:t>small farmers</w:t>
      </w:r>
      <w:r w:rsidR="00FE4AAF" w:rsidRPr="532033A3">
        <w:rPr>
          <w:rFonts w:eastAsia="Times New Roman" w:cs="Times New Roman"/>
          <w:noProof/>
          <w:lang w:val="en-GB"/>
        </w:rPr>
        <w:t xml:space="preserve"> (see </w:t>
      </w:r>
      <w:r w:rsidR="006A2E0E" w:rsidRPr="532033A3">
        <w:rPr>
          <w:rFonts w:eastAsia="Times New Roman" w:cs="Times New Roman"/>
          <w:noProof/>
          <w:lang w:val="en-GB"/>
        </w:rPr>
        <w:t>S</w:t>
      </w:r>
      <w:r w:rsidR="00FE4AAF" w:rsidRPr="532033A3">
        <w:rPr>
          <w:rFonts w:eastAsia="Times New Roman" w:cs="Times New Roman"/>
          <w:noProof/>
          <w:lang w:val="en-GB"/>
        </w:rPr>
        <w:t>ection</w:t>
      </w:r>
      <w:r w:rsidR="00D42D74" w:rsidRPr="532033A3">
        <w:rPr>
          <w:rFonts w:eastAsia="Times New Roman" w:cs="Times New Roman"/>
          <w:noProof/>
          <w:lang w:val="en-GB"/>
        </w:rPr>
        <w:t>s 5.1 and</w:t>
      </w:r>
      <w:r w:rsidR="00FE4AAF" w:rsidRPr="532033A3">
        <w:rPr>
          <w:rFonts w:eastAsia="Times New Roman" w:cs="Times New Roman"/>
          <w:noProof/>
          <w:lang w:val="en-GB"/>
        </w:rPr>
        <w:t xml:space="preserve"> 5.2)</w:t>
      </w:r>
      <w:r w:rsidR="004F1B3B" w:rsidRPr="532033A3">
        <w:rPr>
          <w:rFonts w:eastAsia="Times New Roman" w:cs="Times New Roman"/>
          <w:noProof/>
          <w:color w:val="000000" w:themeColor="text1"/>
          <w:lang w:val="en-GB"/>
        </w:rPr>
        <w:t xml:space="preserve">. </w:t>
      </w:r>
    </w:p>
    <w:p w14:paraId="03661423" w14:textId="363DBBA4" w:rsidR="0000180B" w:rsidRPr="00724676" w:rsidRDefault="004F1B3B" w:rsidP="00F97E30">
      <w:pPr>
        <w:spacing w:after="120"/>
        <w:jc w:val="both"/>
        <w:rPr>
          <w:rFonts w:eastAsia="Times New Roman" w:cs="Times New Roman"/>
          <w:noProof/>
          <w:color w:val="000000" w:themeColor="text1"/>
          <w:szCs w:val="24"/>
          <w:lang w:val="en-GB"/>
        </w:rPr>
      </w:pPr>
      <w:r w:rsidRPr="00724676">
        <w:rPr>
          <w:rFonts w:eastAsia="Times New Roman" w:cs="Times New Roman"/>
          <w:noProof/>
          <w:color w:val="000000" w:themeColor="text1"/>
          <w:szCs w:val="24"/>
          <w:lang w:val="en-GB"/>
        </w:rPr>
        <w:t xml:space="preserve">The Commission </w:t>
      </w:r>
      <w:r w:rsidR="00DD742F" w:rsidRPr="00724676">
        <w:rPr>
          <w:rFonts w:eastAsia="Times New Roman" w:cs="Times New Roman"/>
          <w:noProof/>
          <w:color w:val="000000" w:themeColor="text1"/>
          <w:szCs w:val="24"/>
          <w:lang w:val="en-GB"/>
        </w:rPr>
        <w:t>opted</w:t>
      </w:r>
      <w:r w:rsidRPr="00724676">
        <w:rPr>
          <w:rFonts w:eastAsia="Times New Roman" w:cs="Times New Roman"/>
          <w:noProof/>
          <w:color w:val="000000" w:themeColor="text1"/>
          <w:szCs w:val="24"/>
          <w:lang w:val="en-GB"/>
        </w:rPr>
        <w:t xml:space="preserve"> for this </w:t>
      </w:r>
      <w:r w:rsidR="00C3361B" w:rsidRPr="00724676">
        <w:rPr>
          <w:rFonts w:eastAsia="Times New Roman" w:cs="Times New Roman"/>
          <w:noProof/>
          <w:color w:val="000000" w:themeColor="text1"/>
          <w:szCs w:val="24"/>
          <w:lang w:val="en-GB"/>
        </w:rPr>
        <w:t xml:space="preserve">rebalancing </w:t>
      </w:r>
      <w:r w:rsidR="0060322E" w:rsidRPr="00724676">
        <w:rPr>
          <w:rFonts w:eastAsia="Times New Roman" w:cs="Times New Roman"/>
          <w:noProof/>
          <w:color w:val="000000" w:themeColor="text1"/>
          <w:szCs w:val="24"/>
          <w:lang w:val="en-GB"/>
        </w:rPr>
        <w:t>in the direction of a more voluntary</w:t>
      </w:r>
      <w:r w:rsidR="00C3361B" w:rsidRPr="00724676">
        <w:rPr>
          <w:rFonts w:eastAsia="Times New Roman" w:cs="Times New Roman"/>
          <w:noProof/>
          <w:color w:val="000000" w:themeColor="text1"/>
          <w:szCs w:val="24"/>
          <w:lang w:val="en-GB"/>
        </w:rPr>
        <w:t xml:space="preserve"> </w:t>
      </w:r>
      <w:r w:rsidRPr="00724676">
        <w:rPr>
          <w:rFonts w:eastAsia="Times New Roman" w:cs="Times New Roman"/>
          <w:noProof/>
          <w:color w:val="000000" w:themeColor="text1"/>
          <w:szCs w:val="24"/>
          <w:lang w:val="en-GB"/>
        </w:rPr>
        <w:t xml:space="preserve">approach to </w:t>
      </w:r>
      <w:r w:rsidR="006A2E0E">
        <w:rPr>
          <w:rFonts w:eastAsia="Times New Roman" w:cs="Times New Roman"/>
          <w:noProof/>
          <w:color w:val="000000" w:themeColor="text1"/>
          <w:szCs w:val="24"/>
          <w:lang w:val="en-GB"/>
        </w:rPr>
        <w:t>keep</w:t>
      </w:r>
      <w:r w:rsidR="006A2E0E" w:rsidRPr="00724676">
        <w:rPr>
          <w:rFonts w:eastAsia="Times New Roman" w:cs="Times New Roman"/>
          <w:noProof/>
          <w:color w:val="000000" w:themeColor="text1"/>
          <w:szCs w:val="24"/>
          <w:lang w:val="en-GB"/>
        </w:rPr>
        <w:t xml:space="preserve"> </w:t>
      </w:r>
      <w:r w:rsidRPr="00724676">
        <w:rPr>
          <w:rFonts w:eastAsia="Times New Roman" w:cs="Times New Roman"/>
          <w:noProof/>
          <w:color w:val="000000" w:themeColor="text1"/>
          <w:szCs w:val="24"/>
          <w:lang w:val="en-GB"/>
        </w:rPr>
        <w:t xml:space="preserve">the overall policy objectives </w:t>
      </w:r>
      <w:r w:rsidR="0060322E" w:rsidRPr="00724676">
        <w:rPr>
          <w:rFonts w:eastAsia="Times New Roman" w:cs="Times New Roman"/>
          <w:noProof/>
          <w:color w:val="000000" w:themeColor="text1"/>
          <w:szCs w:val="24"/>
          <w:lang w:val="en-GB"/>
        </w:rPr>
        <w:t>supporting the transition to sustainable agriculture</w:t>
      </w:r>
      <w:r w:rsidRPr="00724676">
        <w:rPr>
          <w:rFonts w:eastAsia="Times New Roman" w:cs="Times New Roman"/>
          <w:noProof/>
          <w:color w:val="000000" w:themeColor="text1"/>
          <w:szCs w:val="24"/>
          <w:lang w:val="en-GB"/>
        </w:rPr>
        <w:t xml:space="preserve"> </w:t>
      </w:r>
      <w:r w:rsidR="00643E6E" w:rsidRPr="00724676">
        <w:rPr>
          <w:rFonts w:eastAsia="Times New Roman" w:cs="Times New Roman"/>
          <w:noProof/>
          <w:color w:val="000000" w:themeColor="text1"/>
          <w:szCs w:val="24"/>
          <w:lang w:val="en-GB"/>
        </w:rPr>
        <w:t xml:space="preserve">and </w:t>
      </w:r>
      <w:r w:rsidR="006A2E0E">
        <w:rPr>
          <w:rFonts w:eastAsia="Times New Roman" w:cs="Times New Roman"/>
          <w:noProof/>
          <w:color w:val="000000" w:themeColor="text1"/>
          <w:szCs w:val="24"/>
          <w:lang w:val="en-GB"/>
        </w:rPr>
        <w:t xml:space="preserve">to maintain </w:t>
      </w:r>
      <w:r w:rsidR="00643E6E" w:rsidRPr="00724676">
        <w:rPr>
          <w:rFonts w:eastAsia="Times New Roman" w:cs="Times New Roman"/>
          <w:noProof/>
          <w:color w:val="000000" w:themeColor="text1"/>
          <w:szCs w:val="24"/>
          <w:lang w:val="en-GB"/>
        </w:rPr>
        <w:t>the</w:t>
      </w:r>
      <w:r w:rsidR="00FD5F53" w:rsidRPr="00724676">
        <w:rPr>
          <w:rFonts w:eastAsia="Times New Roman" w:cs="Times New Roman"/>
          <w:noProof/>
          <w:color w:val="000000" w:themeColor="text1"/>
          <w:szCs w:val="24"/>
          <w:lang w:val="en-GB"/>
        </w:rPr>
        <w:t xml:space="preserve"> </w:t>
      </w:r>
      <w:r w:rsidR="008A5E0D" w:rsidRPr="00724676">
        <w:rPr>
          <w:rFonts w:eastAsia="Times New Roman" w:cs="Times New Roman"/>
          <w:noProof/>
          <w:color w:val="000000" w:themeColor="text1"/>
          <w:szCs w:val="24"/>
          <w:lang w:val="en-GB"/>
        </w:rPr>
        <w:t>set</w:t>
      </w:r>
      <w:r w:rsidR="00FD5F53" w:rsidRPr="00724676">
        <w:rPr>
          <w:rFonts w:eastAsia="Times New Roman" w:cs="Times New Roman"/>
          <w:noProof/>
          <w:color w:val="000000" w:themeColor="text1"/>
          <w:szCs w:val="24"/>
          <w:lang w:val="en-GB"/>
        </w:rPr>
        <w:t xml:space="preserve"> of instruments</w:t>
      </w:r>
      <w:r w:rsidRPr="00724676">
        <w:rPr>
          <w:rFonts w:eastAsia="Times New Roman" w:cs="Times New Roman"/>
          <w:noProof/>
          <w:color w:val="000000" w:themeColor="text1"/>
          <w:szCs w:val="24"/>
          <w:lang w:val="en-GB"/>
        </w:rPr>
        <w:t xml:space="preserve"> of the </w:t>
      </w:r>
      <w:r w:rsidR="00023ACB" w:rsidRPr="00724676">
        <w:rPr>
          <w:rFonts w:eastAsia="Times New Roman" w:cs="Times New Roman"/>
          <w:noProof/>
          <w:color w:val="000000" w:themeColor="text1"/>
          <w:szCs w:val="24"/>
          <w:lang w:val="en-GB"/>
        </w:rPr>
        <w:t>CSP</w:t>
      </w:r>
      <w:r w:rsidRPr="00724676">
        <w:rPr>
          <w:rFonts w:eastAsia="Times New Roman" w:cs="Times New Roman"/>
          <w:noProof/>
          <w:color w:val="000000" w:themeColor="text1"/>
          <w:szCs w:val="24"/>
          <w:lang w:val="en-GB"/>
        </w:rPr>
        <w:t xml:space="preserve"> Regulation as </w:t>
      </w:r>
      <w:r w:rsidR="00FE0A10" w:rsidRPr="00724676">
        <w:rPr>
          <w:rFonts w:eastAsia="Times New Roman" w:cs="Times New Roman"/>
          <w:noProof/>
          <w:color w:val="000000" w:themeColor="text1"/>
          <w:szCs w:val="24"/>
          <w:lang w:val="en-GB"/>
        </w:rPr>
        <w:t xml:space="preserve">decided by </w:t>
      </w:r>
      <w:r w:rsidRPr="00724676">
        <w:rPr>
          <w:rFonts w:eastAsia="Times New Roman" w:cs="Times New Roman"/>
          <w:noProof/>
          <w:color w:val="000000" w:themeColor="text1"/>
          <w:szCs w:val="24"/>
          <w:lang w:val="en-GB"/>
        </w:rPr>
        <w:t>the co-legislators in 2021</w:t>
      </w:r>
      <w:r w:rsidR="006637D5" w:rsidRPr="00724676">
        <w:rPr>
          <w:rFonts w:eastAsia="Times New Roman" w:cs="Times New Roman"/>
          <w:noProof/>
          <w:color w:val="000000" w:themeColor="text1"/>
          <w:szCs w:val="24"/>
          <w:lang w:val="en-GB"/>
        </w:rPr>
        <w:t>.</w:t>
      </w:r>
      <w:r w:rsidR="007B59BA" w:rsidRPr="00724676">
        <w:rPr>
          <w:rFonts w:eastAsia="Times New Roman" w:cs="Times New Roman"/>
          <w:noProof/>
          <w:color w:val="000000" w:themeColor="text1"/>
          <w:szCs w:val="24"/>
          <w:lang w:val="en-GB"/>
        </w:rPr>
        <w:t xml:space="preserve"> </w:t>
      </w:r>
      <w:r w:rsidR="006637D5" w:rsidRPr="00724676">
        <w:rPr>
          <w:rFonts w:eastAsia="Times New Roman" w:cs="Times New Roman"/>
          <w:noProof/>
          <w:color w:val="000000" w:themeColor="text1"/>
          <w:szCs w:val="24"/>
          <w:lang w:val="en-GB"/>
        </w:rPr>
        <w:t xml:space="preserve">It considered </w:t>
      </w:r>
      <w:r w:rsidR="00232EF4" w:rsidRPr="00724676">
        <w:rPr>
          <w:rFonts w:eastAsia="Times New Roman" w:cs="Times New Roman"/>
          <w:noProof/>
          <w:color w:val="000000" w:themeColor="text1"/>
          <w:szCs w:val="24"/>
          <w:lang w:val="en-GB"/>
        </w:rPr>
        <w:t>that</w:t>
      </w:r>
      <w:r w:rsidR="00EA1B7A" w:rsidRPr="00724676">
        <w:rPr>
          <w:rFonts w:eastAsia="Times New Roman" w:cs="Times New Roman"/>
          <w:noProof/>
          <w:szCs w:val="24"/>
          <w:lang w:val="en-GB"/>
        </w:rPr>
        <w:t xml:space="preserve">, </w:t>
      </w:r>
      <w:r w:rsidR="003C4679" w:rsidRPr="00724676">
        <w:rPr>
          <w:rFonts w:eastAsia="Times New Roman" w:cs="Times New Roman"/>
          <w:noProof/>
          <w:szCs w:val="24"/>
          <w:lang w:val="en-GB"/>
        </w:rPr>
        <w:t>in general</w:t>
      </w:r>
      <w:r w:rsidR="00232EF4" w:rsidRPr="00724676">
        <w:rPr>
          <w:rFonts w:eastAsia="Times New Roman" w:cs="Times New Roman"/>
          <w:noProof/>
          <w:szCs w:val="24"/>
          <w:lang w:val="en-GB"/>
        </w:rPr>
        <w:t>,</w:t>
      </w:r>
      <w:r w:rsidR="00CC7AF8" w:rsidRPr="00724676">
        <w:rPr>
          <w:rFonts w:eastAsia="Times New Roman" w:cs="Times New Roman"/>
          <w:noProof/>
          <w:szCs w:val="24"/>
          <w:lang w:val="en-GB"/>
        </w:rPr>
        <w:t xml:space="preserve"> </w:t>
      </w:r>
      <w:r w:rsidR="00EA1B7A" w:rsidRPr="00724676">
        <w:rPr>
          <w:rFonts w:eastAsia="Times New Roman" w:cs="Times New Roman"/>
          <w:noProof/>
          <w:szCs w:val="24"/>
          <w:lang w:val="en-GB"/>
        </w:rPr>
        <w:t xml:space="preserve">GAEC </w:t>
      </w:r>
      <w:r w:rsidR="00706EF2" w:rsidRPr="00724676">
        <w:rPr>
          <w:rFonts w:eastAsia="Times New Roman" w:cs="Times New Roman"/>
          <w:noProof/>
          <w:szCs w:val="24"/>
          <w:lang w:val="en-GB"/>
        </w:rPr>
        <w:t>requirement</w:t>
      </w:r>
      <w:r w:rsidR="000621B8" w:rsidRPr="00724676">
        <w:rPr>
          <w:rFonts w:eastAsia="Times New Roman" w:cs="Times New Roman"/>
          <w:noProof/>
          <w:szCs w:val="24"/>
          <w:lang w:val="en-GB"/>
        </w:rPr>
        <w:t>s</w:t>
      </w:r>
      <w:r w:rsidR="001450A5" w:rsidRPr="00724676">
        <w:rPr>
          <w:rFonts w:eastAsia="Times New Roman" w:cs="Times New Roman"/>
          <w:noProof/>
          <w:szCs w:val="24"/>
          <w:lang w:val="en-GB"/>
        </w:rPr>
        <w:t xml:space="preserve"> </w:t>
      </w:r>
      <w:r w:rsidR="00CE159C" w:rsidRPr="00724676">
        <w:rPr>
          <w:rFonts w:eastAsia="Times New Roman" w:cs="Times New Roman"/>
          <w:noProof/>
          <w:szCs w:val="24"/>
          <w:lang w:val="en-GB"/>
        </w:rPr>
        <w:t>cover</w:t>
      </w:r>
      <w:r w:rsidR="001450A5" w:rsidRPr="00724676">
        <w:rPr>
          <w:rFonts w:eastAsia="Times New Roman" w:cs="Times New Roman"/>
          <w:noProof/>
          <w:szCs w:val="24"/>
          <w:lang w:val="en-GB"/>
        </w:rPr>
        <w:t xml:space="preserve"> </w:t>
      </w:r>
      <w:r w:rsidR="006A2E0E">
        <w:rPr>
          <w:rFonts w:eastAsia="Times New Roman" w:cs="Times New Roman"/>
          <w:noProof/>
          <w:szCs w:val="24"/>
          <w:lang w:val="en-GB"/>
        </w:rPr>
        <w:t xml:space="preserve">the </w:t>
      </w:r>
      <w:r w:rsidR="001450A5" w:rsidRPr="00724676">
        <w:rPr>
          <w:rFonts w:eastAsia="Times New Roman" w:cs="Times New Roman"/>
          <w:noProof/>
          <w:szCs w:val="24"/>
          <w:lang w:val="en-GB"/>
        </w:rPr>
        <w:t xml:space="preserve">basic practices </w:t>
      </w:r>
      <w:r w:rsidR="00033296" w:rsidRPr="00724676">
        <w:rPr>
          <w:rFonts w:eastAsia="Times New Roman" w:cs="Times New Roman"/>
          <w:noProof/>
          <w:szCs w:val="24"/>
          <w:lang w:val="en-GB"/>
        </w:rPr>
        <w:t>backed by</w:t>
      </w:r>
      <w:r w:rsidR="001450A5" w:rsidRPr="00724676">
        <w:rPr>
          <w:rFonts w:eastAsia="Times New Roman" w:cs="Times New Roman"/>
          <w:noProof/>
          <w:szCs w:val="24"/>
          <w:lang w:val="en-GB"/>
        </w:rPr>
        <w:t xml:space="preserve"> </w:t>
      </w:r>
      <w:r w:rsidR="00A31376">
        <w:rPr>
          <w:rFonts w:eastAsia="Times New Roman" w:cs="Times New Roman"/>
          <w:noProof/>
          <w:szCs w:val="24"/>
          <w:lang w:val="en-GB"/>
        </w:rPr>
        <w:t xml:space="preserve">the general </w:t>
      </w:r>
      <w:r w:rsidR="001450A5" w:rsidRPr="00724676">
        <w:rPr>
          <w:rFonts w:eastAsia="Times New Roman" w:cs="Times New Roman"/>
          <w:noProof/>
          <w:szCs w:val="24"/>
          <w:lang w:val="en-GB"/>
        </w:rPr>
        <w:t>agronomic consensus</w:t>
      </w:r>
      <w:r w:rsidR="00E3599C" w:rsidRPr="00724676">
        <w:rPr>
          <w:rFonts w:eastAsia="Times New Roman" w:cs="Times New Roman"/>
          <w:noProof/>
          <w:szCs w:val="24"/>
          <w:lang w:val="en-GB"/>
        </w:rPr>
        <w:t xml:space="preserve"> and are</w:t>
      </w:r>
      <w:r w:rsidR="001450A5" w:rsidRPr="00724676">
        <w:rPr>
          <w:rFonts w:eastAsia="Times New Roman" w:cs="Times New Roman"/>
          <w:noProof/>
          <w:szCs w:val="24"/>
          <w:lang w:val="en-GB"/>
        </w:rPr>
        <w:t xml:space="preserve"> appropriate to address the relevant needs across all farming systems</w:t>
      </w:r>
      <w:r w:rsidR="00E45BC2" w:rsidRPr="00724676">
        <w:rPr>
          <w:rFonts w:eastAsia="Times New Roman" w:cs="Times New Roman"/>
          <w:noProof/>
          <w:szCs w:val="24"/>
          <w:lang w:val="en-GB"/>
        </w:rPr>
        <w:t>. Additionally,</w:t>
      </w:r>
      <w:r w:rsidR="001450A5" w:rsidRPr="00724676">
        <w:rPr>
          <w:rFonts w:eastAsia="Times New Roman" w:cs="Times New Roman"/>
          <w:noProof/>
          <w:szCs w:val="24"/>
          <w:lang w:val="en-GB"/>
        </w:rPr>
        <w:t xml:space="preserve"> </w:t>
      </w:r>
      <w:r w:rsidR="000334BA" w:rsidRPr="00724676">
        <w:rPr>
          <w:rFonts w:eastAsia="Times New Roman" w:cs="Times New Roman"/>
          <w:noProof/>
          <w:szCs w:val="24"/>
          <w:lang w:val="en-GB"/>
        </w:rPr>
        <w:t>the</w:t>
      </w:r>
      <w:r w:rsidR="00C2024B" w:rsidRPr="00724676">
        <w:rPr>
          <w:rFonts w:eastAsia="Times New Roman" w:cs="Times New Roman"/>
          <w:noProof/>
          <w:szCs w:val="24"/>
          <w:lang w:val="en-GB"/>
        </w:rPr>
        <w:t>se</w:t>
      </w:r>
      <w:r w:rsidR="000334BA" w:rsidRPr="00724676">
        <w:rPr>
          <w:rFonts w:eastAsia="Times New Roman" w:cs="Times New Roman"/>
          <w:noProof/>
          <w:szCs w:val="24"/>
          <w:lang w:val="en-GB"/>
        </w:rPr>
        <w:t xml:space="preserve"> requirements </w:t>
      </w:r>
      <w:r w:rsidR="008E1303" w:rsidRPr="00724676">
        <w:rPr>
          <w:rFonts w:eastAsia="Times New Roman" w:cs="Times New Roman"/>
          <w:noProof/>
          <w:szCs w:val="24"/>
          <w:lang w:val="en-GB"/>
        </w:rPr>
        <w:t xml:space="preserve">mostly </w:t>
      </w:r>
      <w:r w:rsidR="00706EF2" w:rsidRPr="00724676">
        <w:rPr>
          <w:rFonts w:eastAsia="Times New Roman" w:cs="Times New Roman"/>
          <w:noProof/>
          <w:szCs w:val="24"/>
          <w:lang w:val="en-GB"/>
        </w:rPr>
        <w:t>prolong or reinforce</w:t>
      </w:r>
      <w:r w:rsidR="008E1303" w:rsidRPr="00724676">
        <w:rPr>
          <w:rFonts w:eastAsia="Times New Roman" w:cs="Times New Roman"/>
          <w:noProof/>
          <w:szCs w:val="24"/>
          <w:lang w:val="en-GB"/>
        </w:rPr>
        <w:t xml:space="preserve"> </w:t>
      </w:r>
      <w:r w:rsidR="006A2E0E">
        <w:rPr>
          <w:rFonts w:eastAsia="Times New Roman" w:cs="Times New Roman"/>
          <w:noProof/>
          <w:szCs w:val="24"/>
          <w:lang w:val="en-GB"/>
        </w:rPr>
        <w:t>the requirements that already applied</w:t>
      </w:r>
      <w:r w:rsidR="00706EF2" w:rsidRPr="00724676">
        <w:rPr>
          <w:rFonts w:eastAsia="Times New Roman" w:cs="Times New Roman"/>
          <w:noProof/>
          <w:szCs w:val="24"/>
          <w:lang w:val="en-GB"/>
        </w:rPr>
        <w:t xml:space="preserve"> to all farmers </w:t>
      </w:r>
      <w:r w:rsidR="006A2E0E">
        <w:rPr>
          <w:rFonts w:eastAsia="Times New Roman" w:cs="Times New Roman"/>
          <w:noProof/>
          <w:szCs w:val="24"/>
          <w:lang w:val="en-GB"/>
        </w:rPr>
        <w:t xml:space="preserve">before </w:t>
      </w:r>
      <w:r w:rsidR="00101253" w:rsidRPr="00724676">
        <w:rPr>
          <w:rFonts w:eastAsia="Times New Roman" w:cs="Times New Roman"/>
          <w:noProof/>
          <w:szCs w:val="24"/>
          <w:lang w:val="en-GB"/>
        </w:rPr>
        <w:t>2023</w:t>
      </w:r>
      <w:r w:rsidR="001450A5" w:rsidRPr="00724676">
        <w:rPr>
          <w:rFonts w:eastAsia="Times New Roman" w:cs="Times New Roman"/>
          <w:noProof/>
          <w:szCs w:val="24"/>
          <w:lang w:val="en-GB"/>
        </w:rPr>
        <w:t>.</w:t>
      </w:r>
      <w:r w:rsidR="00B02C42" w:rsidRPr="00724676">
        <w:rPr>
          <w:rFonts w:eastAsia="Times New Roman" w:cs="Times New Roman"/>
          <w:noProof/>
          <w:szCs w:val="24"/>
          <w:lang w:val="en-GB"/>
        </w:rPr>
        <w:t xml:space="preserve"> </w:t>
      </w:r>
      <w:r w:rsidR="00587A9F" w:rsidRPr="00724676">
        <w:rPr>
          <w:rFonts w:eastAsia="Times New Roman" w:cs="Times New Roman"/>
          <w:noProof/>
          <w:szCs w:val="24"/>
          <w:lang w:val="en-GB"/>
        </w:rPr>
        <w:t>It is true</w:t>
      </w:r>
      <w:r w:rsidR="00400372" w:rsidRPr="00724676">
        <w:rPr>
          <w:rFonts w:eastAsia="Times New Roman" w:cs="Times New Roman"/>
          <w:noProof/>
          <w:szCs w:val="24"/>
          <w:lang w:val="en-GB"/>
        </w:rPr>
        <w:t>,</w:t>
      </w:r>
      <w:r w:rsidR="0000180B" w:rsidRPr="00724676">
        <w:rPr>
          <w:rFonts w:eastAsia="Times New Roman" w:cs="Times New Roman"/>
          <w:noProof/>
          <w:szCs w:val="24"/>
          <w:lang w:val="en-GB"/>
        </w:rPr>
        <w:t xml:space="preserve"> however</w:t>
      </w:r>
      <w:r w:rsidR="00263DCA" w:rsidRPr="00724676">
        <w:rPr>
          <w:rFonts w:eastAsia="Times New Roman" w:cs="Times New Roman"/>
          <w:noProof/>
          <w:szCs w:val="24"/>
          <w:lang w:val="en-GB"/>
        </w:rPr>
        <w:t>,</w:t>
      </w:r>
      <w:r w:rsidR="00587A9F" w:rsidRPr="00724676">
        <w:rPr>
          <w:rFonts w:eastAsia="Times New Roman" w:cs="Times New Roman"/>
          <w:noProof/>
          <w:szCs w:val="24"/>
          <w:lang w:val="en-GB"/>
        </w:rPr>
        <w:t xml:space="preserve"> that </w:t>
      </w:r>
      <w:r w:rsidR="000F5509" w:rsidRPr="00724676">
        <w:rPr>
          <w:rFonts w:eastAsia="Times New Roman" w:cs="Times New Roman"/>
          <w:noProof/>
          <w:szCs w:val="24"/>
          <w:lang w:val="en-GB"/>
        </w:rPr>
        <w:t>s</w:t>
      </w:r>
      <w:r w:rsidR="00B02C42" w:rsidRPr="00724676">
        <w:rPr>
          <w:rFonts w:eastAsia="Times New Roman" w:cs="Times New Roman"/>
          <w:noProof/>
          <w:szCs w:val="24"/>
          <w:lang w:val="en-GB"/>
        </w:rPr>
        <w:t>ome new GAEC</w:t>
      </w:r>
      <w:r w:rsidR="009F471A" w:rsidRPr="00724676">
        <w:rPr>
          <w:rFonts w:eastAsia="Times New Roman" w:cs="Times New Roman"/>
          <w:noProof/>
          <w:szCs w:val="24"/>
          <w:lang w:val="en-GB"/>
        </w:rPr>
        <w:t xml:space="preserve"> standards</w:t>
      </w:r>
      <w:r w:rsidR="00B02C42" w:rsidRPr="00724676">
        <w:rPr>
          <w:rFonts w:eastAsia="Times New Roman" w:cs="Times New Roman"/>
          <w:noProof/>
          <w:szCs w:val="24"/>
          <w:lang w:val="en-GB"/>
        </w:rPr>
        <w:t xml:space="preserve"> introduced </w:t>
      </w:r>
      <w:r w:rsidR="006A2E0E">
        <w:rPr>
          <w:rFonts w:eastAsia="Times New Roman" w:cs="Times New Roman"/>
          <w:noProof/>
          <w:szCs w:val="24"/>
          <w:lang w:val="en-GB"/>
        </w:rPr>
        <w:t>in</w:t>
      </w:r>
      <w:r w:rsidR="009F471A" w:rsidRPr="00724676">
        <w:rPr>
          <w:rFonts w:eastAsia="Times New Roman" w:cs="Times New Roman"/>
          <w:noProof/>
          <w:szCs w:val="24"/>
          <w:lang w:val="en-GB"/>
        </w:rPr>
        <w:t xml:space="preserve"> </w:t>
      </w:r>
      <w:r w:rsidR="00847AF8" w:rsidRPr="00724676">
        <w:rPr>
          <w:rFonts w:eastAsia="Times New Roman" w:cs="Times New Roman"/>
          <w:noProof/>
          <w:szCs w:val="24"/>
          <w:lang w:val="en-GB"/>
        </w:rPr>
        <w:t>2023</w:t>
      </w:r>
      <w:r w:rsidR="0000180B" w:rsidRPr="00724676" w:rsidDel="00400372">
        <w:rPr>
          <w:rFonts w:eastAsia="Times New Roman" w:cs="Times New Roman"/>
          <w:noProof/>
          <w:szCs w:val="24"/>
          <w:lang w:val="en-GB"/>
        </w:rPr>
        <w:t xml:space="preserve"> </w:t>
      </w:r>
      <w:r w:rsidR="0000180B" w:rsidRPr="00724676">
        <w:rPr>
          <w:rFonts w:eastAsia="Times New Roman" w:cs="Times New Roman"/>
          <w:noProof/>
          <w:szCs w:val="24"/>
          <w:lang w:val="en-GB"/>
        </w:rPr>
        <w:t>made th</w:t>
      </w:r>
      <w:r w:rsidR="00400372" w:rsidRPr="00724676">
        <w:rPr>
          <w:rFonts w:eastAsia="Times New Roman" w:cs="Times New Roman"/>
          <w:noProof/>
          <w:szCs w:val="24"/>
          <w:lang w:val="en-GB"/>
        </w:rPr>
        <w:t>e</w:t>
      </w:r>
      <w:r w:rsidR="0000180B" w:rsidRPr="00724676">
        <w:rPr>
          <w:rFonts w:eastAsia="Times New Roman" w:cs="Times New Roman"/>
          <w:noProof/>
          <w:szCs w:val="24"/>
          <w:lang w:val="en-GB"/>
        </w:rPr>
        <w:t xml:space="preserve"> conditionality </w:t>
      </w:r>
      <w:r w:rsidR="00A31376">
        <w:rPr>
          <w:rFonts w:eastAsia="Times New Roman" w:cs="Times New Roman"/>
          <w:noProof/>
          <w:szCs w:val="24"/>
          <w:lang w:val="en-GB"/>
        </w:rPr>
        <w:t xml:space="preserve">rules </w:t>
      </w:r>
      <w:r w:rsidR="0000180B" w:rsidRPr="00724676">
        <w:rPr>
          <w:rFonts w:eastAsia="Times New Roman" w:cs="Times New Roman"/>
          <w:noProof/>
          <w:szCs w:val="24"/>
          <w:lang w:val="en-GB"/>
        </w:rPr>
        <w:t xml:space="preserve">much more demanding than </w:t>
      </w:r>
      <w:r w:rsidR="00400372" w:rsidRPr="00724676">
        <w:rPr>
          <w:rFonts w:eastAsia="Times New Roman" w:cs="Times New Roman"/>
          <w:noProof/>
          <w:szCs w:val="24"/>
          <w:lang w:val="en-GB"/>
        </w:rPr>
        <w:t>in the previous period</w:t>
      </w:r>
      <w:r w:rsidR="00A31376">
        <w:rPr>
          <w:rFonts w:eastAsia="Times New Roman" w:cs="Times New Roman"/>
          <w:noProof/>
          <w:szCs w:val="24"/>
          <w:lang w:val="en-GB"/>
        </w:rPr>
        <w:t>,</w:t>
      </w:r>
      <w:r w:rsidR="001935B7" w:rsidRPr="00724676">
        <w:rPr>
          <w:rFonts w:eastAsia="Times New Roman" w:cs="Times New Roman"/>
          <w:noProof/>
          <w:szCs w:val="24"/>
          <w:lang w:val="en-GB"/>
        </w:rPr>
        <w:t xml:space="preserve"> </w:t>
      </w:r>
      <w:r w:rsidR="007A79EE" w:rsidRPr="00724676">
        <w:rPr>
          <w:rFonts w:eastAsia="Times New Roman" w:cs="Times New Roman"/>
          <w:noProof/>
          <w:szCs w:val="24"/>
          <w:lang w:val="en-GB"/>
        </w:rPr>
        <w:t xml:space="preserve">or </w:t>
      </w:r>
      <w:r w:rsidR="005014A6" w:rsidRPr="00724676">
        <w:rPr>
          <w:rFonts w:eastAsia="Times New Roman" w:cs="Times New Roman"/>
          <w:noProof/>
          <w:szCs w:val="24"/>
          <w:lang w:val="en-GB"/>
        </w:rPr>
        <w:t>include</w:t>
      </w:r>
      <w:r w:rsidR="006A2E0E">
        <w:rPr>
          <w:rFonts w:eastAsia="Times New Roman" w:cs="Times New Roman"/>
          <w:noProof/>
          <w:szCs w:val="24"/>
          <w:lang w:val="en-GB"/>
        </w:rPr>
        <w:t>d</w:t>
      </w:r>
      <w:r w:rsidR="005014A6" w:rsidRPr="00724676">
        <w:rPr>
          <w:rFonts w:eastAsia="Times New Roman" w:cs="Times New Roman"/>
          <w:noProof/>
          <w:szCs w:val="24"/>
          <w:lang w:val="en-GB"/>
        </w:rPr>
        <w:t xml:space="preserve"> </w:t>
      </w:r>
      <w:r w:rsidR="007A79EE" w:rsidRPr="00724676">
        <w:rPr>
          <w:rFonts w:eastAsia="Times New Roman" w:cs="Times New Roman"/>
          <w:noProof/>
          <w:szCs w:val="24"/>
          <w:lang w:val="en-GB"/>
        </w:rPr>
        <w:t xml:space="preserve">practices that used to be remunerated under the previous CAP </w:t>
      </w:r>
      <w:r w:rsidR="001935B7" w:rsidRPr="00724676">
        <w:rPr>
          <w:rFonts w:eastAsia="Times New Roman" w:cs="Times New Roman"/>
          <w:noProof/>
          <w:szCs w:val="24"/>
          <w:lang w:val="en-GB"/>
        </w:rPr>
        <w:t xml:space="preserve">and </w:t>
      </w:r>
      <w:r w:rsidR="008C4F63" w:rsidRPr="00724676">
        <w:rPr>
          <w:rFonts w:eastAsia="Times New Roman" w:cs="Times New Roman"/>
          <w:noProof/>
          <w:szCs w:val="24"/>
          <w:lang w:val="en-GB"/>
        </w:rPr>
        <w:t xml:space="preserve">that </w:t>
      </w:r>
      <w:r w:rsidR="001935B7" w:rsidRPr="00724676">
        <w:rPr>
          <w:rFonts w:eastAsia="Times New Roman" w:cs="Times New Roman"/>
          <w:noProof/>
          <w:szCs w:val="24"/>
          <w:lang w:val="en-GB"/>
        </w:rPr>
        <w:t xml:space="preserve">have cost implications </w:t>
      </w:r>
      <w:r w:rsidR="008C4F63" w:rsidRPr="00724676">
        <w:rPr>
          <w:rFonts w:eastAsia="Times New Roman" w:cs="Times New Roman"/>
          <w:noProof/>
          <w:szCs w:val="24"/>
          <w:lang w:val="en-GB"/>
        </w:rPr>
        <w:t xml:space="preserve">for </w:t>
      </w:r>
      <w:r w:rsidR="005D3F50" w:rsidRPr="00724676">
        <w:rPr>
          <w:rFonts w:eastAsia="Times New Roman" w:cs="Times New Roman"/>
          <w:noProof/>
          <w:szCs w:val="24"/>
          <w:lang w:val="en-GB"/>
        </w:rPr>
        <w:t xml:space="preserve">farmers’ </w:t>
      </w:r>
      <w:r w:rsidR="001935B7" w:rsidRPr="00724676">
        <w:rPr>
          <w:rFonts w:eastAsia="Times New Roman" w:cs="Times New Roman"/>
          <w:noProof/>
          <w:szCs w:val="24"/>
          <w:lang w:val="en-GB"/>
        </w:rPr>
        <w:t>income</w:t>
      </w:r>
      <w:r w:rsidR="0000180B" w:rsidRPr="00724676">
        <w:rPr>
          <w:rFonts w:eastAsia="Times New Roman" w:cs="Times New Roman"/>
          <w:noProof/>
          <w:szCs w:val="24"/>
          <w:lang w:val="en-GB"/>
        </w:rPr>
        <w:t>.</w:t>
      </w:r>
      <w:r w:rsidR="00C1520E" w:rsidRPr="00724676">
        <w:rPr>
          <w:rFonts w:eastAsia="Times New Roman" w:cs="Times New Roman"/>
          <w:noProof/>
          <w:szCs w:val="24"/>
          <w:lang w:val="en-GB"/>
        </w:rPr>
        <w:t xml:space="preserve"> </w:t>
      </w:r>
    </w:p>
    <w:p w14:paraId="3F0740CD" w14:textId="7D566EB5" w:rsidR="00B426C8" w:rsidRPr="00724676" w:rsidRDefault="006E0BB8" w:rsidP="006807F6">
      <w:pPr>
        <w:pStyle w:val="Heading2"/>
        <w:spacing w:before="240"/>
        <w:rPr>
          <w:noProof/>
        </w:rPr>
      </w:pPr>
      <w:bookmarkStart w:id="45" w:name="_Toc167974738"/>
      <w:bookmarkStart w:id="46" w:name="_Toc172125124"/>
      <w:r w:rsidRPr="00724676">
        <w:rPr>
          <w:noProof/>
        </w:rPr>
        <w:lastRenderedPageBreak/>
        <w:t>4</w:t>
      </w:r>
      <w:r w:rsidR="00B426C8" w:rsidRPr="00724676">
        <w:rPr>
          <w:noProof/>
        </w:rPr>
        <w:t>.3. Farm income and competitiveness</w:t>
      </w:r>
      <w:bookmarkEnd w:id="45"/>
      <w:bookmarkEnd w:id="46"/>
      <w:r w:rsidR="005B2316" w:rsidRPr="00724676">
        <w:rPr>
          <w:noProof/>
        </w:rPr>
        <w:t xml:space="preserve"> </w:t>
      </w:r>
    </w:p>
    <w:p w14:paraId="144DC9FF" w14:textId="530C90F2" w:rsidR="00B426C8" w:rsidRPr="00724676" w:rsidRDefault="00363C81" w:rsidP="5B7F1876">
      <w:pPr>
        <w:spacing w:after="120"/>
        <w:jc w:val="both"/>
        <w:rPr>
          <w:rFonts w:eastAsia="Times New Roman" w:cs="Times New Roman"/>
          <w:noProof/>
          <w:color w:val="000000" w:themeColor="text1"/>
          <w:lang w:val="en-GB"/>
        </w:rPr>
      </w:pPr>
      <w:r w:rsidRPr="5B7F1876">
        <w:rPr>
          <w:rFonts w:eastAsia="Times New Roman" w:cs="Times New Roman"/>
          <w:noProof/>
          <w:color w:val="000000" w:themeColor="text1"/>
          <w:lang w:val="en-GB"/>
        </w:rPr>
        <w:t xml:space="preserve">This </w:t>
      </w:r>
      <w:r w:rsidR="00936121" w:rsidRPr="5B7F1876">
        <w:rPr>
          <w:rFonts w:eastAsia="Times New Roman" w:cs="Times New Roman"/>
          <w:noProof/>
          <w:color w:val="000000" w:themeColor="text1"/>
          <w:lang w:val="en-GB"/>
        </w:rPr>
        <w:t>area</w:t>
      </w:r>
      <w:r w:rsidR="00B426C8" w:rsidRPr="5B7F1876">
        <w:rPr>
          <w:rFonts w:eastAsia="Times New Roman" w:cs="Times New Roman"/>
          <w:noProof/>
          <w:color w:val="000000" w:themeColor="text1"/>
          <w:lang w:val="en-GB"/>
        </w:rPr>
        <w:t xml:space="preserve"> </w:t>
      </w:r>
      <w:r w:rsidR="004E26D8" w:rsidRPr="5B7F1876">
        <w:rPr>
          <w:rFonts w:eastAsia="Times New Roman" w:cs="Times New Roman"/>
          <w:noProof/>
          <w:color w:val="000000" w:themeColor="text1"/>
          <w:lang w:val="en-GB"/>
        </w:rPr>
        <w:t>reflect</w:t>
      </w:r>
      <w:r w:rsidRPr="5B7F1876">
        <w:rPr>
          <w:rFonts w:eastAsia="Times New Roman" w:cs="Times New Roman"/>
          <w:noProof/>
          <w:color w:val="000000" w:themeColor="text1"/>
          <w:lang w:val="en-GB"/>
        </w:rPr>
        <w:t>s</w:t>
      </w:r>
      <w:r w:rsidR="00B426C8" w:rsidRPr="5B7F1876">
        <w:rPr>
          <w:rFonts w:eastAsia="Times New Roman" w:cs="Times New Roman"/>
          <w:noProof/>
          <w:color w:val="000000" w:themeColor="text1"/>
          <w:lang w:val="en-GB"/>
        </w:rPr>
        <w:t xml:space="preserve"> </w:t>
      </w:r>
      <w:r w:rsidR="004E26D8" w:rsidRPr="5B7F1876">
        <w:rPr>
          <w:rFonts w:eastAsia="Times New Roman" w:cs="Times New Roman"/>
          <w:noProof/>
          <w:color w:val="000000" w:themeColor="text1"/>
          <w:lang w:val="en-GB"/>
        </w:rPr>
        <w:t xml:space="preserve">concerns </w:t>
      </w:r>
      <w:r w:rsidR="00FE675C" w:rsidRPr="5B7F1876">
        <w:rPr>
          <w:rFonts w:eastAsia="Times New Roman" w:cs="Times New Roman"/>
          <w:noProof/>
          <w:color w:val="000000" w:themeColor="text1"/>
          <w:lang w:val="en-GB"/>
        </w:rPr>
        <w:t xml:space="preserve">about </w:t>
      </w:r>
      <w:r w:rsidR="00B426C8" w:rsidRPr="5B7F1876">
        <w:rPr>
          <w:rFonts w:eastAsia="Times New Roman" w:cs="Times New Roman"/>
          <w:noProof/>
          <w:color w:val="000000" w:themeColor="text1"/>
          <w:lang w:val="en-GB"/>
        </w:rPr>
        <w:t>farm income</w:t>
      </w:r>
      <w:r w:rsidR="00AF29FB" w:rsidRPr="5B7F1876">
        <w:rPr>
          <w:rFonts w:eastAsia="Times New Roman" w:cs="Times New Roman"/>
          <w:noProof/>
          <w:color w:val="000000" w:themeColor="text1"/>
          <w:lang w:val="en-GB"/>
        </w:rPr>
        <w:t>,</w:t>
      </w:r>
      <w:r w:rsidR="00B426C8" w:rsidRPr="5B7F1876">
        <w:rPr>
          <w:rFonts w:eastAsia="Times New Roman" w:cs="Times New Roman"/>
          <w:noProof/>
          <w:color w:val="000000" w:themeColor="text1"/>
          <w:lang w:val="en-GB"/>
        </w:rPr>
        <w:t xml:space="preserve"> with suggestions</w:t>
      </w:r>
      <w:r w:rsidR="00EA5189" w:rsidRPr="5B7F1876">
        <w:rPr>
          <w:rFonts w:eastAsia="Times New Roman" w:cs="Times New Roman"/>
          <w:noProof/>
          <w:color w:val="000000" w:themeColor="text1"/>
          <w:lang w:val="en-GB"/>
        </w:rPr>
        <w:t xml:space="preserve"> to</w:t>
      </w:r>
      <w:r w:rsidR="00FE675C" w:rsidRPr="5B7F1876">
        <w:rPr>
          <w:rFonts w:eastAsia="Times New Roman" w:cs="Times New Roman"/>
          <w:noProof/>
          <w:color w:val="000000" w:themeColor="text1"/>
          <w:lang w:val="en-GB"/>
        </w:rPr>
        <w:t>: (i)</w:t>
      </w:r>
      <w:r w:rsidR="00B426C8" w:rsidRPr="5B7F1876">
        <w:rPr>
          <w:rFonts w:eastAsia="Times New Roman" w:cs="Times New Roman"/>
          <w:noProof/>
          <w:color w:val="000000" w:themeColor="text1"/>
          <w:lang w:val="en-GB"/>
        </w:rPr>
        <w:t xml:space="preserve"> </w:t>
      </w:r>
      <w:r w:rsidR="00EA5189" w:rsidRPr="5B7F1876">
        <w:rPr>
          <w:rFonts w:eastAsia="Times New Roman" w:cs="Times New Roman"/>
          <w:noProof/>
          <w:color w:val="000000" w:themeColor="text1"/>
          <w:lang w:val="en-GB"/>
        </w:rPr>
        <w:t xml:space="preserve">revise </w:t>
      </w:r>
      <w:r w:rsidR="00FE675C" w:rsidRPr="5B7F1876">
        <w:rPr>
          <w:rFonts w:eastAsia="Times New Roman" w:cs="Times New Roman"/>
          <w:noProof/>
          <w:color w:val="000000" w:themeColor="text1"/>
          <w:lang w:val="en-GB"/>
        </w:rPr>
        <w:t xml:space="preserve">the </w:t>
      </w:r>
      <w:r w:rsidR="00EA5189" w:rsidRPr="5B7F1876">
        <w:rPr>
          <w:rFonts w:eastAsia="Times New Roman" w:cs="Times New Roman"/>
          <w:noProof/>
          <w:color w:val="000000" w:themeColor="text1"/>
          <w:lang w:val="en-GB"/>
        </w:rPr>
        <w:t xml:space="preserve">CAP provisions on risk management instruments and </w:t>
      </w:r>
      <w:r w:rsidR="00B426C8" w:rsidRPr="5B7F1876">
        <w:rPr>
          <w:rFonts w:eastAsia="Times New Roman" w:cs="Times New Roman"/>
          <w:noProof/>
          <w:color w:val="000000" w:themeColor="text1"/>
          <w:lang w:val="en-GB"/>
        </w:rPr>
        <w:t>to allocate more CAP funds to crisis management</w:t>
      </w:r>
      <w:r w:rsidR="00FE675C" w:rsidRPr="5B7F1876">
        <w:rPr>
          <w:rFonts w:eastAsia="Times New Roman" w:cs="Times New Roman"/>
          <w:noProof/>
          <w:color w:val="000000" w:themeColor="text1"/>
          <w:lang w:val="en-GB"/>
        </w:rPr>
        <w:t>; (ii)</w:t>
      </w:r>
      <w:r w:rsidR="00B426C8" w:rsidRPr="5B7F1876">
        <w:rPr>
          <w:rFonts w:eastAsia="Times New Roman" w:cs="Times New Roman"/>
          <w:noProof/>
          <w:color w:val="000000" w:themeColor="text1"/>
          <w:lang w:val="en-GB"/>
        </w:rPr>
        <w:t xml:space="preserve"> </w:t>
      </w:r>
      <w:r w:rsidR="008E2620" w:rsidRPr="5B7F1876">
        <w:rPr>
          <w:rFonts w:eastAsia="Times New Roman" w:cs="Times New Roman"/>
          <w:noProof/>
          <w:color w:val="000000" w:themeColor="text1"/>
          <w:lang w:val="en-GB"/>
        </w:rPr>
        <w:t xml:space="preserve">expand coupled support, or </w:t>
      </w:r>
      <w:r w:rsidR="00E8289D" w:rsidRPr="5B7F1876">
        <w:rPr>
          <w:rFonts w:eastAsia="Times New Roman" w:cs="Times New Roman"/>
          <w:noProof/>
          <w:color w:val="000000" w:themeColor="text1"/>
          <w:lang w:val="en-GB"/>
        </w:rPr>
        <w:t>adjust</w:t>
      </w:r>
      <w:r w:rsidR="008E2620" w:rsidRPr="5B7F1876">
        <w:rPr>
          <w:rFonts w:eastAsia="Times New Roman" w:cs="Times New Roman"/>
          <w:noProof/>
          <w:color w:val="000000" w:themeColor="text1"/>
          <w:lang w:val="en-GB"/>
        </w:rPr>
        <w:t xml:space="preserve"> </w:t>
      </w:r>
      <w:r w:rsidR="00E8289D" w:rsidRPr="5B7F1876">
        <w:rPr>
          <w:rFonts w:eastAsia="Times New Roman" w:cs="Times New Roman"/>
          <w:noProof/>
          <w:color w:val="000000" w:themeColor="text1"/>
          <w:lang w:val="en-GB"/>
        </w:rPr>
        <w:t xml:space="preserve">the </w:t>
      </w:r>
      <w:r w:rsidR="003A3F5F" w:rsidRPr="5B7F1876">
        <w:rPr>
          <w:rFonts w:eastAsia="Times New Roman" w:cs="Times New Roman"/>
          <w:noProof/>
          <w:color w:val="000000" w:themeColor="text1"/>
          <w:lang w:val="en-GB"/>
        </w:rPr>
        <w:t>sectoral support schemes</w:t>
      </w:r>
      <w:r w:rsidR="008E2620" w:rsidRPr="5B7F1876">
        <w:rPr>
          <w:rFonts w:eastAsia="Times New Roman" w:cs="Times New Roman"/>
          <w:noProof/>
          <w:color w:val="000000" w:themeColor="text1"/>
          <w:lang w:val="en-GB"/>
        </w:rPr>
        <w:t xml:space="preserve"> or </w:t>
      </w:r>
      <w:r w:rsidR="00FE675C" w:rsidRPr="5B7F1876">
        <w:rPr>
          <w:rFonts w:eastAsia="Times New Roman" w:cs="Times New Roman"/>
          <w:noProof/>
          <w:color w:val="000000" w:themeColor="text1"/>
          <w:lang w:val="en-GB"/>
        </w:rPr>
        <w:t xml:space="preserve">their </w:t>
      </w:r>
      <w:r w:rsidR="00ED3706" w:rsidRPr="5B7F1876">
        <w:rPr>
          <w:rFonts w:eastAsia="Times New Roman" w:cs="Times New Roman"/>
          <w:noProof/>
          <w:color w:val="000000" w:themeColor="text1"/>
          <w:lang w:val="en-GB"/>
        </w:rPr>
        <w:t>financial management</w:t>
      </w:r>
      <w:r w:rsidR="00FE675C" w:rsidRPr="5B7F1876">
        <w:rPr>
          <w:rFonts w:eastAsia="Times New Roman" w:cs="Times New Roman"/>
          <w:noProof/>
          <w:color w:val="000000" w:themeColor="text1"/>
          <w:lang w:val="en-GB"/>
        </w:rPr>
        <w:t>; (iii)</w:t>
      </w:r>
      <w:r w:rsidR="00241164" w:rsidRPr="5B7F1876">
        <w:rPr>
          <w:rFonts w:eastAsia="Times New Roman" w:cs="Times New Roman"/>
          <w:noProof/>
          <w:color w:val="000000" w:themeColor="text1"/>
          <w:lang w:val="en-GB"/>
        </w:rPr>
        <w:t xml:space="preserve"> </w:t>
      </w:r>
      <w:r w:rsidR="008E2620" w:rsidRPr="5B7F1876">
        <w:rPr>
          <w:rFonts w:eastAsia="Times New Roman" w:cs="Times New Roman"/>
          <w:noProof/>
          <w:color w:val="000000" w:themeColor="text1"/>
          <w:lang w:val="en-GB"/>
        </w:rPr>
        <w:t xml:space="preserve">change </w:t>
      </w:r>
      <w:r w:rsidR="00FE675C" w:rsidRPr="5B7F1876">
        <w:rPr>
          <w:rFonts w:eastAsia="Times New Roman" w:cs="Times New Roman"/>
          <w:noProof/>
          <w:color w:val="000000" w:themeColor="text1"/>
          <w:lang w:val="en-GB"/>
        </w:rPr>
        <w:t xml:space="preserve">the </w:t>
      </w:r>
      <w:r w:rsidR="00241164" w:rsidRPr="5B7F1876">
        <w:rPr>
          <w:rFonts w:eastAsia="Times New Roman" w:cs="Times New Roman"/>
          <w:noProof/>
          <w:color w:val="000000" w:themeColor="text1"/>
          <w:lang w:val="en-GB"/>
        </w:rPr>
        <w:t xml:space="preserve">rules </w:t>
      </w:r>
      <w:r w:rsidR="00FE675C" w:rsidRPr="5B7F1876">
        <w:rPr>
          <w:rFonts w:eastAsia="Times New Roman" w:cs="Times New Roman"/>
          <w:noProof/>
          <w:color w:val="000000" w:themeColor="text1"/>
          <w:lang w:val="en-GB"/>
        </w:rPr>
        <w:t>on</w:t>
      </w:r>
      <w:r w:rsidR="00241164" w:rsidRPr="5B7F1876">
        <w:rPr>
          <w:rFonts w:eastAsia="Times New Roman" w:cs="Times New Roman"/>
          <w:noProof/>
          <w:color w:val="000000" w:themeColor="text1"/>
          <w:lang w:val="en-GB"/>
        </w:rPr>
        <w:t xml:space="preserve"> investments</w:t>
      </w:r>
      <w:r w:rsidR="00FE675C" w:rsidRPr="5B7F1876">
        <w:rPr>
          <w:rFonts w:eastAsia="Times New Roman" w:cs="Times New Roman"/>
          <w:noProof/>
          <w:color w:val="000000" w:themeColor="text1"/>
          <w:lang w:val="en-GB"/>
        </w:rPr>
        <w:t>; (iv)</w:t>
      </w:r>
      <w:r w:rsidR="00B426C8" w:rsidRPr="5B7F1876">
        <w:rPr>
          <w:rFonts w:eastAsia="Times New Roman" w:cs="Times New Roman"/>
          <w:noProof/>
          <w:color w:val="000000" w:themeColor="text1"/>
          <w:lang w:val="en-GB"/>
        </w:rPr>
        <w:t xml:space="preserve"> and take action to improve the position of farmers in the </w:t>
      </w:r>
      <w:r w:rsidR="100E4A09" w:rsidRPr="532033A3">
        <w:rPr>
          <w:rFonts w:eastAsia="Times New Roman" w:cs="Times New Roman"/>
          <w:noProof/>
          <w:color w:val="000000" w:themeColor="text1"/>
          <w:lang w:val="en-GB"/>
        </w:rPr>
        <w:t>agri-</w:t>
      </w:r>
      <w:r w:rsidR="00B426C8" w:rsidRPr="5B7F1876">
        <w:rPr>
          <w:rFonts w:eastAsia="Times New Roman" w:cs="Times New Roman"/>
          <w:noProof/>
          <w:color w:val="000000" w:themeColor="text1"/>
          <w:lang w:val="en-GB"/>
        </w:rPr>
        <w:t xml:space="preserve">food </w:t>
      </w:r>
      <w:r w:rsidR="341B813A" w:rsidRPr="5B7F1876">
        <w:rPr>
          <w:rFonts w:eastAsia="Times New Roman" w:cs="Times New Roman"/>
          <w:noProof/>
          <w:color w:val="000000" w:themeColor="text1"/>
          <w:lang w:val="en-GB"/>
        </w:rPr>
        <w:t xml:space="preserve">supply </w:t>
      </w:r>
      <w:r w:rsidR="00B426C8" w:rsidRPr="5B7F1876">
        <w:rPr>
          <w:rFonts w:eastAsia="Times New Roman" w:cs="Times New Roman"/>
          <w:noProof/>
          <w:color w:val="000000" w:themeColor="text1"/>
          <w:lang w:val="en-GB"/>
        </w:rPr>
        <w:t xml:space="preserve">chain. </w:t>
      </w:r>
    </w:p>
    <w:p w14:paraId="7F05EC94" w14:textId="3433505B" w:rsidR="00EB1B97" w:rsidRPr="00724676" w:rsidRDefault="001E4357" w:rsidP="5B7F1876">
      <w:pPr>
        <w:spacing w:after="120"/>
        <w:jc w:val="both"/>
        <w:rPr>
          <w:rFonts w:eastAsia="Times New Roman" w:cs="Times New Roman"/>
          <w:noProof/>
          <w:color w:val="000000" w:themeColor="text1"/>
          <w:lang w:val="en-GB"/>
        </w:rPr>
      </w:pPr>
      <w:r w:rsidRPr="365B9462">
        <w:rPr>
          <w:rFonts w:eastAsia="Times New Roman" w:cs="Times New Roman"/>
          <w:noProof/>
          <w:color w:val="000000" w:themeColor="text1"/>
          <w:lang w:val="en-GB"/>
        </w:rPr>
        <w:t xml:space="preserve">The Commission shares the concerns related to farm income and </w:t>
      </w:r>
      <w:r w:rsidR="00330491" w:rsidRPr="365B9462">
        <w:rPr>
          <w:rFonts w:eastAsia="Times New Roman" w:cs="Times New Roman"/>
          <w:noProof/>
          <w:color w:val="000000" w:themeColor="text1"/>
          <w:lang w:val="en-GB"/>
        </w:rPr>
        <w:t>proposed</w:t>
      </w:r>
      <w:r w:rsidRPr="365B9462">
        <w:rPr>
          <w:rFonts w:eastAsia="Times New Roman" w:cs="Times New Roman"/>
          <w:noProof/>
          <w:color w:val="000000" w:themeColor="text1"/>
          <w:lang w:val="en-GB"/>
        </w:rPr>
        <w:t xml:space="preserve"> </w:t>
      </w:r>
      <w:r w:rsidR="00330491" w:rsidRPr="365B9462">
        <w:rPr>
          <w:rFonts w:eastAsia="Times New Roman" w:cs="Times New Roman"/>
          <w:noProof/>
          <w:color w:val="000000" w:themeColor="text1"/>
          <w:lang w:val="en-GB"/>
        </w:rPr>
        <w:t xml:space="preserve">measures </w:t>
      </w:r>
      <w:r w:rsidRPr="365B9462">
        <w:rPr>
          <w:rFonts w:eastAsia="Times New Roman" w:cs="Times New Roman"/>
          <w:noProof/>
          <w:color w:val="000000" w:themeColor="text1"/>
          <w:lang w:val="en-GB"/>
        </w:rPr>
        <w:t xml:space="preserve">to improve the position of farmers in the </w:t>
      </w:r>
      <w:r w:rsidR="78F6EBD9" w:rsidRPr="365B9462">
        <w:rPr>
          <w:rFonts w:eastAsia="Times New Roman" w:cs="Times New Roman"/>
          <w:noProof/>
          <w:color w:val="000000" w:themeColor="text1"/>
          <w:lang w:val="en-GB"/>
        </w:rPr>
        <w:t>agri-</w:t>
      </w:r>
      <w:r w:rsidRPr="365B9462">
        <w:rPr>
          <w:rFonts w:eastAsia="Times New Roman" w:cs="Times New Roman"/>
          <w:noProof/>
          <w:color w:val="000000" w:themeColor="text1"/>
          <w:lang w:val="en-GB"/>
        </w:rPr>
        <w:t xml:space="preserve">food </w:t>
      </w:r>
      <w:r w:rsidR="1968CD60" w:rsidRPr="365B9462">
        <w:rPr>
          <w:rFonts w:eastAsia="Times New Roman" w:cs="Times New Roman"/>
          <w:noProof/>
          <w:color w:val="000000" w:themeColor="text1"/>
          <w:lang w:val="en-GB"/>
        </w:rPr>
        <w:t xml:space="preserve">supply </w:t>
      </w:r>
      <w:r w:rsidRPr="365B9462">
        <w:rPr>
          <w:rFonts w:eastAsia="Times New Roman" w:cs="Times New Roman"/>
          <w:noProof/>
          <w:color w:val="000000" w:themeColor="text1"/>
          <w:lang w:val="en-GB"/>
        </w:rPr>
        <w:t xml:space="preserve">chain </w:t>
      </w:r>
      <w:r w:rsidR="7E9ADBAE" w:rsidRPr="365B9462">
        <w:rPr>
          <w:rFonts w:eastAsia="Times New Roman" w:cs="Times New Roman"/>
          <w:noProof/>
          <w:color w:val="000000" w:themeColor="text1"/>
          <w:lang w:val="en-GB"/>
        </w:rPr>
        <w:t xml:space="preserve">and to protect them against unfair trading practices </w:t>
      </w:r>
      <w:r w:rsidRPr="365B9462">
        <w:rPr>
          <w:rFonts w:eastAsia="Times New Roman" w:cs="Times New Roman"/>
          <w:noProof/>
          <w:color w:val="000000" w:themeColor="text1"/>
          <w:lang w:val="en-GB"/>
        </w:rPr>
        <w:t xml:space="preserve">in </w:t>
      </w:r>
      <w:r w:rsidR="001F7E7A" w:rsidRPr="365B9462">
        <w:rPr>
          <w:rFonts w:eastAsia="Times New Roman" w:cs="Times New Roman"/>
          <w:noProof/>
          <w:color w:val="000000" w:themeColor="text1"/>
          <w:lang w:val="en-GB"/>
        </w:rPr>
        <w:t>the</w:t>
      </w:r>
      <w:r w:rsidRPr="365B9462">
        <w:rPr>
          <w:rFonts w:eastAsia="Times New Roman" w:cs="Times New Roman"/>
          <w:noProof/>
          <w:color w:val="000000" w:themeColor="text1"/>
          <w:lang w:val="en-GB"/>
        </w:rPr>
        <w:t xml:space="preserve"> separate reflection paper</w:t>
      </w:r>
      <w:r w:rsidR="001F7E7A" w:rsidRPr="365B9462">
        <w:rPr>
          <w:rFonts w:eastAsia="Times New Roman" w:cs="Times New Roman"/>
          <w:noProof/>
          <w:color w:val="000000" w:themeColor="text1"/>
          <w:lang w:val="en-GB"/>
        </w:rPr>
        <w:t xml:space="preserve"> of</w:t>
      </w:r>
      <w:r w:rsidRPr="365B9462">
        <w:rPr>
          <w:rFonts w:eastAsia="Times New Roman" w:cs="Times New Roman"/>
          <w:noProof/>
          <w:color w:val="000000" w:themeColor="text1"/>
          <w:lang w:val="en-GB"/>
        </w:rPr>
        <w:t xml:space="preserve"> </w:t>
      </w:r>
      <w:r w:rsidR="00F823A9" w:rsidRPr="365B9462">
        <w:rPr>
          <w:rFonts w:eastAsia="Times New Roman" w:cs="Times New Roman"/>
          <w:noProof/>
          <w:color w:val="000000" w:themeColor="text1"/>
          <w:lang w:val="en-GB"/>
        </w:rPr>
        <w:t xml:space="preserve">15 </w:t>
      </w:r>
      <w:r w:rsidR="006366F3" w:rsidRPr="365B9462">
        <w:rPr>
          <w:rFonts w:eastAsia="Times New Roman" w:cs="Times New Roman"/>
          <w:noProof/>
          <w:color w:val="000000" w:themeColor="text1"/>
          <w:lang w:val="en-GB"/>
        </w:rPr>
        <w:t xml:space="preserve">March 2024. </w:t>
      </w:r>
      <w:r w:rsidRPr="365B9462">
        <w:rPr>
          <w:rFonts w:eastAsia="Times New Roman" w:cs="Times New Roman"/>
          <w:noProof/>
          <w:color w:val="000000" w:themeColor="text1"/>
          <w:lang w:val="en-GB"/>
        </w:rPr>
        <w:t xml:space="preserve">Work </w:t>
      </w:r>
      <w:r w:rsidR="00884ED0" w:rsidRPr="365B9462">
        <w:rPr>
          <w:rFonts w:eastAsia="Times New Roman" w:cs="Times New Roman"/>
          <w:noProof/>
          <w:color w:val="000000" w:themeColor="text1"/>
          <w:lang w:val="en-GB"/>
        </w:rPr>
        <w:t>is ongoing</w:t>
      </w:r>
      <w:r w:rsidRPr="365B9462">
        <w:rPr>
          <w:rFonts w:eastAsia="Times New Roman" w:cs="Times New Roman"/>
          <w:noProof/>
          <w:color w:val="000000" w:themeColor="text1"/>
          <w:lang w:val="en-GB"/>
        </w:rPr>
        <w:t xml:space="preserve"> on </w:t>
      </w:r>
      <w:r w:rsidR="00330491" w:rsidRPr="365B9462">
        <w:rPr>
          <w:rFonts w:eastAsia="Times New Roman" w:cs="Times New Roman"/>
          <w:noProof/>
          <w:color w:val="000000" w:themeColor="text1"/>
          <w:lang w:val="en-GB"/>
        </w:rPr>
        <w:t>putting the ideas in this paper into practice</w:t>
      </w:r>
      <w:r w:rsidR="763A1C14" w:rsidRPr="365B9462">
        <w:rPr>
          <w:rFonts w:eastAsia="Times New Roman" w:cs="Times New Roman"/>
          <w:noProof/>
          <w:color w:val="000000" w:themeColor="text1"/>
          <w:lang w:val="en-GB"/>
        </w:rPr>
        <w:t xml:space="preserve"> </w:t>
      </w:r>
      <w:r w:rsidR="007E6C40" w:rsidRPr="365B9462">
        <w:rPr>
          <w:rFonts w:eastAsia="Times New Roman" w:cs="Times New Roman"/>
          <w:noProof/>
          <w:lang w:val="en-GB"/>
        </w:rPr>
        <w:t xml:space="preserve">(see </w:t>
      </w:r>
      <w:r w:rsidR="00330491" w:rsidRPr="365B9462">
        <w:rPr>
          <w:rFonts w:eastAsia="Times New Roman" w:cs="Times New Roman"/>
          <w:noProof/>
          <w:lang w:val="en-GB"/>
        </w:rPr>
        <w:t>S</w:t>
      </w:r>
      <w:r w:rsidR="007E6C40" w:rsidRPr="365B9462">
        <w:rPr>
          <w:rFonts w:eastAsia="Times New Roman" w:cs="Times New Roman"/>
          <w:noProof/>
          <w:lang w:val="en-GB"/>
        </w:rPr>
        <w:t xml:space="preserve">ection </w:t>
      </w:r>
      <w:r w:rsidR="00C13616" w:rsidRPr="365B9462">
        <w:rPr>
          <w:rFonts w:eastAsia="Times New Roman" w:cs="Times New Roman"/>
          <w:noProof/>
          <w:lang w:val="en-GB"/>
        </w:rPr>
        <w:t>5</w:t>
      </w:r>
      <w:r w:rsidR="007E6C40" w:rsidRPr="365B9462">
        <w:rPr>
          <w:rFonts w:eastAsia="Times New Roman" w:cs="Times New Roman"/>
          <w:noProof/>
          <w:lang w:val="en-GB"/>
        </w:rPr>
        <w:t>.3).</w:t>
      </w:r>
      <w:r w:rsidR="00FC0912" w:rsidRPr="365B9462">
        <w:rPr>
          <w:rFonts w:eastAsia="Times New Roman" w:cs="Times New Roman"/>
          <w:noProof/>
          <w:lang w:val="en-GB"/>
        </w:rPr>
        <w:t xml:space="preserve"> </w:t>
      </w:r>
    </w:p>
    <w:p w14:paraId="15120BC7" w14:textId="361C5075" w:rsidR="00B426C8" w:rsidRPr="00724676" w:rsidRDefault="00B426C8" w:rsidP="00F97E30">
      <w:pPr>
        <w:spacing w:after="120"/>
        <w:jc w:val="both"/>
        <w:rPr>
          <w:rFonts w:eastAsia="Times New Roman" w:cs="Times New Roman"/>
          <w:noProof/>
          <w:color w:val="000000" w:themeColor="text1"/>
          <w:lang w:val="en-GB"/>
        </w:rPr>
      </w:pPr>
      <w:r w:rsidRPr="230F1D33">
        <w:rPr>
          <w:rFonts w:eastAsia="Times New Roman" w:cs="Times New Roman"/>
          <w:noProof/>
          <w:color w:val="000000" w:themeColor="text1"/>
          <w:lang w:val="en-GB"/>
        </w:rPr>
        <w:t xml:space="preserve">The Commission </w:t>
      </w:r>
      <w:r w:rsidR="00952B09" w:rsidRPr="230F1D33">
        <w:rPr>
          <w:rFonts w:eastAsia="Times New Roman" w:cs="Times New Roman"/>
          <w:noProof/>
          <w:color w:val="000000" w:themeColor="text1"/>
          <w:lang w:val="en-GB"/>
        </w:rPr>
        <w:t>is examining the feasibility and the impact of certain limited adjustments to the CAP framework</w:t>
      </w:r>
      <w:r w:rsidR="00C926A2" w:rsidRPr="6F217AB4">
        <w:rPr>
          <w:rFonts w:eastAsia="Times New Roman" w:cs="Times New Roman"/>
          <w:noProof/>
          <w:color w:val="000000" w:themeColor="text1"/>
          <w:lang w:val="en-GB"/>
        </w:rPr>
        <w:t>,</w:t>
      </w:r>
      <w:r w:rsidR="002457F9" w:rsidRPr="230F1D33">
        <w:rPr>
          <w:rFonts w:eastAsia="Times New Roman" w:cs="Times New Roman"/>
          <w:noProof/>
          <w:color w:val="000000" w:themeColor="text1"/>
          <w:lang w:val="en-GB"/>
        </w:rPr>
        <w:t xml:space="preserve"> addressing farmers </w:t>
      </w:r>
      <w:r w:rsidR="00C926A2" w:rsidRPr="6F217AB4">
        <w:rPr>
          <w:rFonts w:eastAsia="Times New Roman" w:cs="Times New Roman"/>
          <w:noProof/>
          <w:color w:val="000000" w:themeColor="text1"/>
          <w:lang w:val="en-GB"/>
        </w:rPr>
        <w:t xml:space="preserve">who are </w:t>
      </w:r>
      <w:r w:rsidR="002457F9" w:rsidRPr="230F1D33">
        <w:rPr>
          <w:rFonts w:eastAsia="Times New Roman" w:cs="Times New Roman"/>
          <w:noProof/>
          <w:color w:val="000000" w:themeColor="text1"/>
          <w:lang w:val="en-GB"/>
        </w:rPr>
        <w:t>acting together</w:t>
      </w:r>
      <w:r w:rsidR="00C926A2" w:rsidRPr="6F217AB4">
        <w:rPr>
          <w:rFonts w:eastAsia="Times New Roman" w:cs="Times New Roman"/>
          <w:noProof/>
          <w:color w:val="000000" w:themeColor="text1"/>
          <w:lang w:val="en-GB"/>
        </w:rPr>
        <w:t>,</w:t>
      </w:r>
      <w:r w:rsidR="00952B09" w:rsidRPr="230F1D33">
        <w:rPr>
          <w:rFonts w:eastAsia="Times New Roman" w:cs="Times New Roman"/>
          <w:noProof/>
          <w:color w:val="000000" w:themeColor="text1"/>
          <w:lang w:val="en-GB"/>
        </w:rPr>
        <w:t xml:space="preserve"> that could </w:t>
      </w:r>
      <w:r w:rsidR="00330491" w:rsidRPr="6F217AB4">
        <w:rPr>
          <w:rFonts w:eastAsia="Times New Roman" w:cs="Times New Roman"/>
          <w:noProof/>
          <w:color w:val="000000" w:themeColor="text1"/>
          <w:lang w:val="en-GB"/>
        </w:rPr>
        <w:t xml:space="preserve">respond to </w:t>
      </w:r>
      <w:r w:rsidR="00952B09" w:rsidRPr="230F1D33">
        <w:rPr>
          <w:rFonts w:eastAsia="Times New Roman" w:cs="Times New Roman"/>
          <w:noProof/>
          <w:color w:val="000000" w:themeColor="text1"/>
          <w:lang w:val="en-GB"/>
        </w:rPr>
        <w:t xml:space="preserve">the concerns behind the </w:t>
      </w:r>
      <w:r w:rsidR="00A147E8" w:rsidRPr="230F1D33">
        <w:rPr>
          <w:rFonts w:eastAsia="Times New Roman" w:cs="Times New Roman"/>
          <w:noProof/>
          <w:color w:val="000000" w:themeColor="text1"/>
          <w:lang w:val="en-GB"/>
        </w:rPr>
        <w:t xml:space="preserve">suggestions </w:t>
      </w:r>
      <w:r w:rsidR="00952B09" w:rsidRPr="230F1D33">
        <w:rPr>
          <w:rFonts w:eastAsia="Times New Roman" w:cs="Times New Roman"/>
          <w:noProof/>
          <w:color w:val="000000" w:themeColor="text1"/>
          <w:lang w:val="en-GB"/>
        </w:rPr>
        <w:t>received.</w:t>
      </w:r>
      <w:r w:rsidR="00952B09" w:rsidRPr="5B7F1876">
        <w:rPr>
          <w:rFonts w:eastAsia="Times New Roman" w:cs="Times New Roman"/>
          <w:noProof/>
          <w:color w:val="000000" w:themeColor="text1"/>
          <w:lang w:val="en-GB"/>
        </w:rPr>
        <w:t xml:space="preserve"> </w:t>
      </w:r>
      <w:r w:rsidR="00C926A2" w:rsidRPr="6F217AB4">
        <w:rPr>
          <w:rFonts w:eastAsia="Times New Roman" w:cs="Times New Roman"/>
          <w:noProof/>
          <w:color w:val="000000" w:themeColor="text1"/>
          <w:lang w:val="en-GB"/>
        </w:rPr>
        <w:t>However</w:t>
      </w:r>
      <w:r w:rsidR="00952B09" w:rsidRPr="5B7F1876">
        <w:rPr>
          <w:rFonts w:eastAsia="Times New Roman" w:cs="Times New Roman"/>
          <w:noProof/>
          <w:color w:val="000000" w:themeColor="text1"/>
          <w:lang w:val="en-GB"/>
        </w:rPr>
        <w:t>,</w:t>
      </w:r>
      <w:r w:rsidRPr="5B7F1876">
        <w:rPr>
          <w:rFonts w:eastAsia="Times New Roman" w:cs="Times New Roman"/>
          <w:noProof/>
          <w:color w:val="000000" w:themeColor="text1"/>
          <w:lang w:val="en-GB"/>
        </w:rPr>
        <w:t xml:space="preserve"> </w:t>
      </w:r>
      <w:r w:rsidR="1A07B59B" w:rsidRPr="5B7F1876">
        <w:rPr>
          <w:rFonts w:eastAsia="Times New Roman" w:cs="Times New Roman"/>
          <w:noProof/>
          <w:color w:val="000000" w:themeColor="text1"/>
          <w:lang w:val="en-GB"/>
        </w:rPr>
        <w:t xml:space="preserve">the vast majority of the </w:t>
      </w:r>
      <w:r w:rsidR="00C165E7" w:rsidRPr="5B7F1876">
        <w:rPr>
          <w:rFonts w:eastAsia="Times New Roman" w:cs="Times New Roman"/>
          <w:noProof/>
          <w:color w:val="000000" w:themeColor="text1"/>
          <w:lang w:val="en-GB"/>
        </w:rPr>
        <w:t xml:space="preserve">suggested </w:t>
      </w:r>
      <w:r w:rsidRPr="5B7F1876">
        <w:rPr>
          <w:rFonts w:eastAsia="Times New Roman" w:cs="Times New Roman"/>
          <w:noProof/>
          <w:color w:val="000000" w:themeColor="text1"/>
          <w:lang w:val="en-GB"/>
        </w:rPr>
        <w:t>changes</w:t>
      </w:r>
      <w:r w:rsidR="00851F0C" w:rsidRPr="5B7F1876">
        <w:rPr>
          <w:rFonts w:eastAsia="Times New Roman" w:cs="Times New Roman"/>
          <w:noProof/>
          <w:color w:val="000000" w:themeColor="text1"/>
          <w:lang w:val="en-GB"/>
        </w:rPr>
        <w:t xml:space="preserve"> </w:t>
      </w:r>
      <w:r w:rsidR="00C926A2" w:rsidRPr="6F217AB4">
        <w:rPr>
          <w:rFonts w:eastAsia="Times New Roman" w:cs="Times New Roman"/>
          <w:noProof/>
          <w:color w:val="000000" w:themeColor="text1"/>
          <w:lang w:val="en-GB"/>
        </w:rPr>
        <w:t xml:space="preserve">to </w:t>
      </w:r>
      <w:r w:rsidR="00851F0C" w:rsidRPr="5B7F1876">
        <w:rPr>
          <w:rFonts w:eastAsia="Times New Roman" w:cs="Times New Roman"/>
          <w:noProof/>
          <w:color w:val="000000" w:themeColor="text1"/>
          <w:lang w:val="en-GB"/>
        </w:rPr>
        <w:t>the CAP</w:t>
      </w:r>
      <w:r w:rsidRPr="5B7F1876">
        <w:rPr>
          <w:rFonts w:eastAsia="Times New Roman" w:cs="Times New Roman"/>
          <w:noProof/>
          <w:color w:val="000000" w:themeColor="text1"/>
          <w:lang w:val="en-GB"/>
        </w:rPr>
        <w:t xml:space="preserve"> </w:t>
      </w:r>
      <w:r w:rsidR="00123B71" w:rsidRPr="5B7F1876">
        <w:rPr>
          <w:rFonts w:eastAsia="Times New Roman" w:cs="Times New Roman"/>
          <w:noProof/>
          <w:color w:val="000000" w:themeColor="text1"/>
          <w:lang w:val="en-GB"/>
        </w:rPr>
        <w:t xml:space="preserve">would </w:t>
      </w:r>
      <w:r w:rsidR="00851F0C" w:rsidRPr="5B7F1876">
        <w:rPr>
          <w:rFonts w:eastAsia="Times New Roman" w:cs="Times New Roman"/>
          <w:noProof/>
          <w:color w:val="000000" w:themeColor="text1"/>
          <w:lang w:val="en-GB"/>
        </w:rPr>
        <w:t>entail fundamental policy changes</w:t>
      </w:r>
      <w:r w:rsidR="00C926A2" w:rsidRPr="6F217AB4">
        <w:rPr>
          <w:rFonts w:eastAsia="Times New Roman" w:cs="Times New Roman"/>
          <w:noProof/>
          <w:color w:val="000000" w:themeColor="text1"/>
          <w:lang w:val="en-GB"/>
        </w:rPr>
        <w:t>,</w:t>
      </w:r>
      <w:r w:rsidR="00851F0C" w:rsidRPr="5B7F1876">
        <w:rPr>
          <w:rFonts w:eastAsia="Times New Roman" w:cs="Times New Roman"/>
          <w:noProof/>
          <w:color w:val="000000" w:themeColor="text1"/>
          <w:lang w:val="en-GB"/>
        </w:rPr>
        <w:t xml:space="preserve"> and </w:t>
      </w:r>
      <w:r w:rsidR="00C926A2" w:rsidRPr="6F217AB4">
        <w:rPr>
          <w:rFonts w:eastAsia="Times New Roman" w:cs="Times New Roman"/>
          <w:noProof/>
          <w:color w:val="000000" w:themeColor="text1"/>
          <w:lang w:val="en-GB"/>
        </w:rPr>
        <w:t xml:space="preserve">therefore </w:t>
      </w:r>
      <w:r w:rsidR="008347BD" w:rsidRPr="5B7F1876">
        <w:rPr>
          <w:rFonts w:eastAsia="Times New Roman" w:cs="Times New Roman"/>
          <w:noProof/>
          <w:color w:val="000000" w:themeColor="text1"/>
          <w:lang w:val="en-GB"/>
        </w:rPr>
        <w:t xml:space="preserve">pertain to </w:t>
      </w:r>
      <w:r w:rsidRPr="5B7F1876" w:rsidDel="00952B09">
        <w:rPr>
          <w:rFonts w:eastAsia="Times New Roman" w:cs="Times New Roman"/>
          <w:noProof/>
          <w:color w:val="000000" w:themeColor="text1"/>
          <w:lang w:val="en-GB"/>
        </w:rPr>
        <w:t xml:space="preserve">the </w:t>
      </w:r>
      <w:r w:rsidR="00851F0C" w:rsidRPr="5B7F1876">
        <w:rPr>
          <w:rFonts w:eastAsia="Times New Roman" w:cs="Times New Roman"/>
          <w:noProof/>
          <w:color w:val="000000" w:themeColor="text1"/>
          <w:lang w:val="en-GB"/>
        </w:rPr>
        <w:t xml:space="preserve">reflection on </w:t>
      </w:r>
      <w:r w:rsidRPr="5B7F1876">
        <w:rPr>
          <w:rFonts w:eastAsia="Times New Roman" w:cs="Times New Roman"/>
          <w:noProof/>
          <w:color w:val="000000" w:themeColor="text1"/>
          <w:lang w:val="en-GB"/>
        </w:rPr>
        <w:t xml:space="preserve">the </w:t>
      </w:r>
      <w:r w:rsidR="009D1DAF" w:rsidRPr="5B7F1876">
        <w:rPr>
          <w:rFonts w:eastAsia="Times New Roman" w:cs="Times New Roman"/>
          <w:noProof/>
          <w:color w:val="000000" w:themeColor="text1"/>
          <w:lang w:val="en-GB"/>
        </w:rPr>
        <w:t xml:space="preserve">CAP </w:t>
      </w:r>
      <w:r w:rsidR="006E265D" w:rsidRPr="5B7F1876">
        <w:rPr>
          <w:rFonts w:eastAsia="Times New Roman" w:cs="Times New Roman"/>
          <w:noProof/>
          <w:color w:val="000000" w:themeColor="text1"/>
          <w:lang w:val="en-GB"/>
        </w:rPr>
        <w:t>after 2027</w:t>
      </w:r>
      <w:r w:rsidR="00E83A45" w:rsidRPr="5B7F1876">
        <w:rPr>
          <w:rFonts w:eastAsia="Times New Roman" w:cs="Times New Roman"/>
          <w:noProof/>
          <w:color w:val="000000" w:themeColor="text1"/>
          <w:lang w:val="en-GB"/>
        </w:rPr>
        <w:t>.</w:t>
      </w:r>
      <w:r w:rsidR="007E116A" w:rsidRPr="5B7F1876" w:rsidDel="00E83A45">
        <w:rPr>
          <w:rFonts w:eastAsia="Times New Roman" w:cs="Times New Roman"/>
          <w:noProof/>
          <w:color w:val="000000" w:themeColor="text1"/>
          <w:lang w:val="en-GB"/>
        </w:rPr>
        <w:t xml:space="preserve"> </w:t>
      </w:r>
      <w:r w:rsidR="00E83A45" w:rsidRPr="5B7F1876">
        <w:rPr>
          <w:rFonts w:eastAsia="Times New Roman" w:cs="Times New Roman"/>
          <w:noProof/>
          <w:color w:val="000000" w:themeColor="text1"/>
          <w:lang w:val="en-GB"/>
        </w:rPr>
        <w:t>S</w:t>
      </w:r>
      <w:r w:rsidR="007E116A" w:rsidRPr="5B7F1876">
        <w:rPr>
          <w:rFonts w:eastAsia="Times New Roman" w:cs="Times New Roman"/>
          <w:noProof/>
          <w:color w:val="000000" w:themeColor="text1"/>
          <w:lang w:val="en-GB"/>
        </w:rPr>
        <w:t xml:space="preserve">ome </w:t>
      </w:r>
      <w:r w:rsidR="00C926A2" w:rsidRPr="6F217AB4">
        <w:rPr>
          <w:rFonts w:eastAsia="Times New Roman" w:cs="Times New Roman"/>
          <w:noProof/>
          <w:color w:val="000000" w:themeColor="text1"/>
          <w:lang w:val="en-GB"/>
        </w:rPr>
        <w:t xml:space="preserve">suggestions </w:t>
      </w:r>
      <w:r w:rsidR="00120FE2" w:rsidRPr="5B7F1876">
        <w:rPr>
          <w:rFonts w:eastAsia="Times New Roman" w:cs="Times New Roman"/>
          <w:noProof/>
          <w:color w:val="000000" w:themeColor="text1"/>
          <w:lang w:val="en-GB"/>
        </w:rPr>
        <w:t xml:space="preserve">were </w:t>
      </w:r>
      <w:r w:rsidR="00E83A45" w:rsidRPr="5B7F1876">
        <w:rPr>
          <w:rFonts w:eastAsia="Times New Roman" w:cs="Times New Roman"/>
          <w:noProof/>
          <w:color w:val="000000" w:themeColor="text1"/>
          <w:lang w:val="en-GB"/>
        </w:rPr>
        <w:t xml:space="preserve">also </w:t>
      </w:r>
      <w:r w:rsidR="007E116A" w:rsidRPr="5B7F1876">
        <w:rPr>
          <w:rFonts w:eastAsia="Times New Roman" w:cs="Times New Roman"/>
          <w:noProof/>
          <w:color w:val="000000" w:themeColor="text1"/>
          <w:lang w:val="en-GB"/>
        </w:rPr>
        <w:t xml:space="preserve">not </w:t>
      </w:r>
      <w:r w:rsidR="004F1FD9" w:rsidRPr="5B7F1876">
        <w:rPr>
          <w:rFonts w:eastAsia="Times New Roman" w:cs="Times New Roman"/>
          <w:noProof/>
          <w:color w:val="000000" w:themeColor="text1"/>
          <w:lang w:val="en-GB"/>
        </w:rPr>
        <w:t xml:space="preserve">taken up </w:t>
      </w:r>
      <w:r w:rsidR="00C926A2" w:rsidRPr="6F217AB4">
        <w:rPr>
          <w:rFonts w:eastAsia="Times New Roman" w:cs="Times New Roman"/>
          <w:noProof/>
          <w:color w:val="000000" w:themeColor="text1"/>
          <w:lang w:val="en-GB"/>
        </w:rPr>
        <w:t xml:space="preserve">because </w:t>
      </w:r>
      <w:r w:rsidR="00E83A45" w:rsidRPr="5B7F1876">
        <w:rPr>
          <w:rFonts w:eastAsia="Times New Roman" w:cs="Times New Roman"/>
          <w:noProof/>
          <w:color w:val="000000" w:themeColor="text1"/>
          <w:lang w:val="en-GB"/>
        </w:rPr>
        <w:t xml:space="preserve">they were deemed to </w:t>
      </w:r>
      <w:r w:rsidR="00371C4B" w:rsidRPr="5B7F1876">
        <w:rPr>
          <w:rFonts w:eastAsia="Times New Roman" w:cs="Times New Roman"/>
          <w:noProof/>
          <w:color w:val="000000" w:themeColor="text1"/>
          <w:lang w:val="en-GB"/>
        </w:rPr>
        <w:t>hamper the achievement of the policy ob</w:t>
      </w:r>
      <w:r w:rsidR="003F7BD1" w:rsidRPr="5B7F1876">
        <w:rPr>
          <w:rFonts w:eastAsia="Times New Roman" w:cs="Times New Roman"/>
          <w:noProof/>
          <w:color w:val="000000" w:themeColor="text1"/>
          <w:lang w:val="en-GB"/>
        </w:rPr>
        <w:t>j</w:t>
      </w:r>
      <w:r w:rsidR="00371C4B" w:rsidRPr="5B7F1876">
        <w:rPr>
          <w:rFonts w:eastAsia="Times New Roman" w:cs="Times New Roman"/>
          <w:noProof/>
          <w:color w:val="000000" w:themeColor="text1"/>
          <w:lang w:val="en-GB"/>
        </w:rPr>
        <w:t xml:space="preserve">ectives of the </w:t>
      </w:r>
      <w:r w:rsidR="00523AA0" w:rsidRPr="6F217AB4">
        <w:rPr>
          <w:rFonts w:eastAsia="Times New Roman" w:cs="Times New Roman"/>
          <w:noProof/>
          <w:color w:val="000000" w:themeColor="text1"/>
          <w:lang w:val="en-GB"/>
        </w:rPr>
        <w:t>CAP Plans</w:t>
      </w:r>
      <w:r w:rsidR="00445951" w:rsidRPr="5B7F1876">
        <w:rPr>
          <w:rFonts w:eastAsia="Times New Roman" w:cs="Times New Roman"/>
          <w:noProof/>
          <w:color w:val="000000" w:themeColor="text1"/>
          <w:lang w:val="en-GB"/>
        </w:rPr>
        <w:t xml:space="preserve">. </w:t>
      </w:r>
      <w:r w:rsidR="00445951" w:rsidRPr="00FF77A3">
        <w:rPr>
          <w:rFonts w:eastAsia="Times New Roman" w:cs="Times New Roman"/>
          <w:noProof/>
          <w:color w:val="000000" w:themeColor="text1"/>
          <w:lang w:val="en-GB"/>
        </w:rPr>
        <w:t xml:space="preserve">Some </w:t>
      </w:r>
      <w:r w:rsidR="007D5B00" w:rsidRPr="00FF77A3">
        <w:rPr>
          <w:rFonts w:eastAsia="Times New Roman" w:cs="Times New Roman"/>
          <w:noProof/>
          <w:color w:val="000000" w:themeColor="text1"/>
          <w:lang w:val="en-GB"/>
        </w:rPr>
        <w:t xml:space="preserve">suggestions </w:t>
      </w:r>
      <w:r w:rsidR="00B60540" w:rsidRPr="00FF77A3">
        <w:rPr>
          <w:rFonts w:eastAsia="Times New Roman" w:cs="Times New Roman"/>
          <w:noProof/>
          <w:color w:val="000000" w:themeColor="text1"/>
          <w:lang w:val="en-GB"/>
        </w:rPr>
        <w:t>may be covered by the</w:t>
      </w:r>
      <w:r w:rsidR="00B60540" w:rsidRPr="00FF77A3">
        <w:rPr>
          <w:rFonts w:eastAsia="Calibri" w:cs="Times New Roman"/>
          <w:noProof/>
          <w:lang w:val="en-GB"/>
        </w:rPr>
        <w:t xml:space="preserve"> </w:t>
      </w:r>
      <w:r w:rsidR="00534E1E" w:rsidRPr="00FF77A3">
        <w:rPr>
          <w:rFonts w:eastAsia="Calibri" w:cs="Times New Roman"/>
          <w:noProof/>
          <w:lang w:val="en-GB"/>
        </w:rPr>
        <w:t xml:space="preserve">contemplated </w:t>
      </w:r>
      <w:r w:rsidR="00B60540" w:rsidRPr="00FF77A3">
        <w:rPr>
          <w:rFonts w:eastAsia="Calibri" w:cs="Times New Roman"/>
          <w:noProof/>
          <w:lang w:val="en-GB"/>
        </w:rPr>
        <w:t xml:space="preserve">targeted changes to the Regulation </w:t>
      </w:r>
      <w:r w:rsidR="00881C47" w:rsidRPr="00FF77A3">
        <w:rPr>
          <w:rFonts w:eastAsia="Calibri" w:cs="Times New Roman"/>
          <w:noProof/>
          <w:lang w:val="en-GB"/>
        </w:rPr>
        <w:t xml:space="preserve">on the </w:t>
      </w:r>
      <w:r w:rsidR="00B60540" w:rsidRPr="00FF77A3">
        <w:rPr>
          <w:rFonts w:eastAsia="Calibri" w:cs="Times New Roman"/>
          <w:noProof/>
          <w:lang w:val="en-GB"/>
        </w:rPr>
        <w:t xml:space="preserve">common organisation of </w:t>
      </w:r>
      <w:r w:rsidR="00881C47" w:rsidRPr="00FF77A3">
        <w:rPr>
          <w:rFonts w:eastAsia="Calibri" w:cs="Times New Roman"/>
          <w:noProof/>
          <w:lang w:val="en-GB"/>
        </w:rPr>
        <w:t xml:space="preserve">markets in </w:t>
      </w:r>
      <w:r w:rsidR="00B60540" w:rsidRPr="00FF77A3">
        <w:rPr>
          <w:rFonts w:eastAsia="Calibri" w:cs="Times New Roman"/>
          <w:noProof/>
          <w:lang w:val="en-GB"/>
        </w:rPr>
        <w:t>agricultural products</w:t>
      </w:r>
      <w:r w:rsidR="00AB3E80" w:rsidRPr="00FF77A3">
        <w:rPr>
          <w:rStyle w:val="FootnoteReference"/>
          <w:rFonts w:eastAsia="Calibri" w:cs="Times New Roman"/>
          <w:noProof/>
          <w:lang w:val="en-GB"/>
        </w:rPr>
        <w:footnoteReference w:id="22"/>
      </w:r>
      <w:r w:rsidR="003512FE" w:rsidRPr="00FF77A3">
        <w:rPr>
          <w:rFonts w:eastAsia="Times New Roman" w:cs="Times New Roman"/>
          <w:noProof/>
          <w:color w:val="000000" w:themeColor="text1"/>
          <w:lang w:val="en-GB"/>
        </w:rPr>
        <w:t>.</w:t>
      </w:r>
    </w:p>
    <w:p w14:paraId="3D24BF30" w14:textId="2132BDA4" w:rsidR="001B70D8" w:rsidRPr="00724676" w:rsidRDefault="478934F0" w:rsidP="006807F6">
      <w:pPr>
        <w:pStyle w:val="Heading2"/>
        <w:spacing w:before="240"/>
        <w:rPr>
          <w:noProof/>
        </w:rPr>
      </w:pPr>
      <w:bookmarkStart w:id="47" w:name="_Toc147559109"/>
      <w:bookmarkStart w:id="48" w:name="_Toc1150276810"/>
      <w:bookmarkStart w:id="49" w:name="_Toc171127893"/>
      <w:bookmarkStart w:id="50" w:name="_Toc167974739"/>
      <w:bookmarkStart w:id="51" w:name="_Toc172125125"/>
      <w:r w:rsidRPr="00724676">
        <w:rPr>
          <w:noProof/>
        </w:rPr>
        <w:t>4</w:t>
      </w:r>
      <w:r w:rsidR="4BBB6C2A" w:rsidRPr="00724676">
        <w:rPr>
          <w:noProof/>
        </w:rPr>
        <w:t>.</w:t>
      </w:r>
      <w:r w:rsidR="19B2F25B" w:rsidRPr="00724676">
        <w:rPr>
          <w:noProof/>
        </w:rPr>
        <w:t>4</w:t>
      </w:r>
      <w:r w:rsidR="4BBB6C2A" w:rsidRPr="00724676">
        <w:rPr>
          <w:noProof/>
        </w:rPr>
        <w:t xml:space="preserve">. </w:t>
      </w:r>
      <w:r w:rsidR="1E7F5AFA" w:rsidRPr="00724676">
        <w:rPr>
          <w:noProof/>
        </w:rPr>
        <w:t xml:space="preserve">Other </w:t>
      </w:r>
      <w:r w:rsidR="002F0900" w:rsidRPr="00724676">
        <w:rPr>
          <w:noProof/>
        </w:rPr>
        <w:t xml:space="preserve">CAP </w:t>
      </w:r>
      <w:r w:rsidR="000461B7" w:rsidRPr="00724676">
        <w:rPr>
          <w:noProof/>
        </w:rPr>
        <w:t>instruments</w:t>
      </w:r>
      <w:bookmarkEnd w:id="47"/>
      <w:bookmarkEnd w:id="48"/>
      <w:bookmarkEnd w:id="49"/>
      <w:bookmarkEnd w:id="50"/>
      <w:bookmarkEnd w:id="51"/>
    </w:p>
    <w:p w14:paraId="68F1B1F9" w14:textId="465F71A0" w:rsidR="001B70D8" w:rsidRPr="003E7CF4" w:rsidRDefault="1CB386BD" w:rsidP="7E954136">
      <w:pPr>
        <w:spacing w:after="120"/>
        <w:jc w:val="both"/>
        <w:rPr>
          <w:rFonts w:eastAsia="Times New Roman" w:cs="Times New Roman"/>
          <w:noProof/>
          <w:color w:val="000000" w:themeColor="text1"/>
          <w:highlight w:val="yellow"/>
          <w:lang w:val="en-GB"/>
        </w:rPr>
      </w:pPr>
      <w:r w:rsidRPr="28CC1A24">
        <w:rPr>
          <w:rFonts w:eastAsia="Times New Roman" w:cs="Times New Roman"/>
          <w:noProof/>
          <w:color w:val="000000" w:themeColor="text1"/>
          <w:lang w:val="en-GB"/>
        </w:rPr>
        <w:t>This</w:t>
      </w:r>
      <w:r w:rsidR="7429BAAB" w:rsidRPr="28CC1A24">
        <w:rPr>
          <w:rFonts w:eastAsia="Times New Roman" w:cs="Times New Roman"/>
          <w:noProof/>
          <w:color w:val="000000" w:themeColor="text1"/>
          <w:lang w:val="en-GB"/>
        </w:rPr>
        <w:t xml:space="preserve"> </w:t>
      </w:r>
      <w:r w:rsidR="187CB38D" w:rsidRPr="28CC1A24">
        <w:rPr>
          <w:rFonts w:eastAsia="Times New Roman" w:cs="Times New Roman"/>
          <w:noProof/>
          <w:color w:val="000000" w:themeColor="text1"/>
          <w:lang w:val="en-GB"/>
        </w:rPr>
        <w:t>area</w:t>
      </w:r>
      <w:r w:rsidR="7429BAAB" w:rsidRPr="28CC1A24">
        <w:rPr>
          <w:rFonts w:eastAsia="Times New Roman" w:cs="Times New Roman"/>
          <w:noProof/>
          <w:color w:val="000000" w:themeColor="text1"/>
          <w:lang w:val="en-GB"/>
        </w:rPr>
        <w:t xml:space="preserve"> </w:t>
      </w:r>
      <w:r w:rsidRPr="003512FE">
        <w:rPr>
          <w:rFonts w:eastAsia="Times New Roman" w:cs="Times New Roman"/>
          <w:noProof/>
          <w:color w:val="000000" w:themeColor="text1"/>
          <w:lang w:val="en-GB"/>
        </w:rPr>
        <w:t>cover</w:t>
      </w:r>
      <w:r w:rsidR="5936AF67" w:rsidRPr="003512FE">
        <w:rPr>
          <w:rFonts w:eastAsia="Times New Roman" w:cs="Times New Roman"/>
          <w:noProof/>
          <w:color w:val="000000" w:themeColor="text1"/>
          <w:lang w:val="en-GB"/>
        </w:rPr>
        <w:t>ed</w:t>
      </w:r>
      <w:r w:rsidR="7429BAAB" w:rsidRPr="003512FE">
        <w:rPr>
          <w:rFonts w:eastAsia="Times New Roman" w:cs="Times New Roman"/>
          <w:noProof/>
          <w:color w:val="000000" w:themeColor="text1"/>
          <w:lang w:val="en-GB"/>
        </w:rPr>
        <w:t xml:space="preserve"> other </w:t>
      </w:r>
      <w:r w:rsidRPr="003512FE">
        <w:rPr>
          <w:rFonts w:eastAsia="Times New Roman" w:cs="Times New Roman"/>
          <w:noProof/>
          <w:color w:val="000000" w:themeColor="text1"/>
          <w:lang w:val="en-GB"/>
        </w:rPr>
        <w:t xml:space="preserve">elements of the </w:t>
      </w:r>
      <w:r w:rsidR="3B0BA557" w:rsidRPr="003512FE">
        <w:rPr>
          <w:rFonts w:eastAsia="Times New Roman" w:cs="Times New Roman"/>
          <w:noProof/>
          <w:color w:val="000000" w:themeColor="text1"/>
          <w:lang w:val="en-GB"/>
        </w:rPr>
        <w:t xml:space="preserve">EU </w:t>
      </w:r>
      <w:r w:rsidRPr="003512FE">
        <w:rPr>
          <w:rFonts w:eastAsia="Times New Roman" w:cs="Times New Roman"/>
          <w:noProof/>
          <w:color w:val="000000" w:themeColor="text1"/>
          <w:lang w:val="en-GB"/>
        </w:rPr>
        <w:t xml:space="preserve">CAP </w:t>
      </w:r>
      <w:r w:rsidR="5DEDD8EC" w:rsidRPr="003512FE">
        <w:rPr>
          <w:rFonts w:eastAsia="Times New Roman" w:cs="Times New Roman"/>
          <w:noProof/>
          <w:color w:val="000000" w:themeColor="text1"/>
          <w:lang w:val="en-GB"/>
        </w:rPr>
        <w:t xml:space="preserve">legal </w:t>
      </w:r>
      <w:r w:rsidRPr="003512FE">
        <w:rPr>
          <w:rFonts w:eastAsia="Times New Roman" w:cs="Times New Roman"/>
          <w:noProof/>
          <w:color w:val="000000" w:themeColor="text1"/>
          <w:lang w:val="en-GB"/>
        </w:rPr>
        <w:t>framework</w:t>
      </w:r>
      <w:r w:rsidR="5BC50187" w:rsidRPr="003512FE">
        <w:rPr>
          <w:rFonts w:eastAsia="Times New Roman" w:cs="Times New Roman"/>
          <w:noProof/>
          <w:color w:val="000000" w:themeColor="text1"/>
          <w:lang w:val="en-GB"/>
        </w:rPr>
        <w:t xml:space="preserve"> </w:t>
      </w:r>
      <w:r w:rsidR="7429BAAB" w:rsidRPr="003512FE">
        <w:rPr>
          <w:rFonts w:eastAsia="Times New Roman" w:cs="Times New Roman"/>
          <w:noProof/>
          <w:color w:val="000000" w:themeColor="text1"/>
          <w:lang w:val="en-GB"/>
        </w:rPr>
        <w:t xml:space="preserve">such as postponing or removing social conditionality, </w:t>
      </w:r>
      <w:r w:rsidR="5BC50187" w:rsidRPr="003512FE">
        <w:rPr>
          <w:rFonts w:eastAsia="Times New Roman" w:cs="Times New Roman"/>
          <w:noProof/>
          <w:color w:val="000000" w:themeColor="text1"/>
          <w:lang w:val="en-GB"/>
        </w:rPr>
        <w:t>and other</w:t>
      </w:r>
      <w:r w:rsidRPr="003512FE">
        <w:rPr>
          <w:rFonts w:eastAsia="Times New Roman" w:cs="Times New Roman"/>
          <w:noProof/>
          <w:color w:val="000000" w:themeColor="text1"/>
          <w:lang w:val="en-GB"/>
        </w:rPr>
        <w:t xml:space="preserve"> </w:t>
      </w:r>
      <w:r w:rsidR="5BC50187" w:rsidRPr="003512FE">
        <w:rPr>
          <w:rFonts w:eastAsia="Times New Roman" w:cs="Times New Roman"/>
          <w:noProof/>
          <w:color w:val="000000" w:themeColor="text1"/>
          <w:lang w:val="en-GB"/>
        </w:rPr>
        <w:t xml:space="preserve">instruments </w:t>
      </w:r>
      <w:r w:rsidR="780E9253" w:rsidRPr="003512FE">
        <w:rPr>
          <w:rFonts w:eastAsia="Times New Roman" w:cs="Times New Roman"/>
          <w:noProof/>
          <w:color w:val="000000" w:themeColor="text1"/>
          <w:lang w:val="en-GB"/>
        </w:rPr>
        <w:t>of the CAP</w:t>
      </w:r>
      <w:r w:rsidR="7D780957" w:rsidRPr="003512FE">
        <w:rPr>
          <w:rFonts w:eastAsia="Times New Roman" w:cs="Times New Roman"/>
          <w:noProof/>
          <w:color w:val="000000" w:themeColor="text1"/>
          <w:lang w:val="en-GB"/>
        </w:rPr>
        <w:t>,</w:t>
      </w:r>
      <w:r w:rsidR="780E9253" w:rsidRPr="003512FE">
        <w:rPr>
          <w:rFonts w:eastAsia="Times New Roman" w:cs="Times New Roman"/>
          <w:noProof/>
          <w:color w:val="000000" w:themeColor="text1"/>
          <w:lang w:val="en-GB"/>
        </w:rPr>
        <w:t xml:space="preserve"> </w:t>
      </w:r>
      <w:r w:rsidR="5BC50187" w:rsidRPr="003512FE">
        <w:rPr>
          <w:rFonts w:eastAsia="Times New Roman" w:cs="Times New Roman"/>
          <w:noProof/>
          <w:color w:val="000000" w:themeColor="text1"/>
          <w:lang w:val="en-GB"/>
        </w:rPr>
        <w:t xml:space="preserve">such as reducing </w:t>
      </w:r>
      <w:r w:rsidR="4B6C449C" w:rsidRPr="003512FE">
        <w:rPr>
          <w:rFonts w:eastAsia="Times New Roman" w:cs="Times New Roman"/>
          <w:noProof/>
          <w:color w:val="000000" w:themeColor="text1"/>
          <w:lang w:val="en-GB"/>
        </w:rPr>
        <w:t xml:space="preserve">the variables to be collected </w:t>
      </w:r>
      <w:r w:rsidR="55742A4B" w:rsidRPr="003512FE">
        <w:rPr>
          <w:rFonts w:eastAsia="Times New Roman" w:cs="Times New Roman"/>
          <w:noProof/>
          <w:color w:val="000000" w:themeColor="text1"/>
          <w:lang w:val="en-GB"/>
        </w:rPr>
        <w:t xml:space="preserve">under </w:t>
      </w:r>
      <w:r w:rsidR="7A685BE6" w:rsidRPr="003512FE">
        <w:rPr>
          <w:rFonts w:eastAsia="Times New Roman" w:cs="Times New Roman"/>
          <w:noProof/>
          <w:color w:val="000000" w:themeColor="text1"/>
          <w:lang w:val="en-GB"/>
        </w:rPr>
        <w:t xml:space="preserve">the </w:t>
      </w:r>
      <w:r w:rsidR="200531B5" w:rsidRPr="003512FE">
        <w:rPr>
          <w:rFonts w:eastAsia="Times New Roman" w:cs="Times New Roman"/>
          <w:noProof/>
          <w:color w:val="000000" w:themeColor="text1"/>
          <w:lang w:val="en-GB"/>
        </w:rPr>
        <w:t>F</w:t>
      </w:r>
      <w:r w:rsidR="7A685BE6" w:rsidRPr="003512FE">
        <w:rPr>
          <w:rFonts w:eastAsia="Times New Roman" w:cs="Times New Roman"/>
          <w:noProof/>
          <w:color w:val="000000" w:themeColor="text1"/>
          <w:lang w:val="en-GB"/>
        </w:rPr>
        <w:t xml:space="preserve">arm </w:t>
      </w:r>
      <w:r w:rsidR="200531B5" w:rsidRPr="003512FE">
        <w:rPr>
          <w:rFonts w:eastAsia="Times New Roman" w:cs="Times New Roman"/>
          <w:noProof/>
          <w:color w:val="000000" w:themeColor="text1"/>
          <w:lang w:val="en-GB"/>
        </w:rPr>
        <w:t>S</w:t>
      </w:r>
      <w:r w:rsidR="7A685BE6" w:rsidRPr="003512FE">
        <w:rPr>
          <w:rFonts w:eastAsia="Times New Roman" w:cs="Times New Roman"/>
          <w:noProof/>
          <w:color w:val="000000" w:themeColor="text1"/>
          <w:lang w:val="en-GB"/>
        </w:rPr>
        <w:t xml:space="preserve">ustainability </w:t>
      </w:r>
      <w:r w:rsidR="200531B5" w:rsidRPr="003512FE">
        <w:rPr>
          <w:rFonts w:eastAsia="Times New Roman" w:cs="Times New Roman"/>
          <w:noProof/>
          <w:color w:val="000000" w:themeColor="text1"/>
          <w:lang w:val="en-GB"/>
        </w:rPr>
        <w:t>D</w:t>
      </w:r>
      <w:r w:rsidR="7A685BE6" w:rsidRPr="003512FE">
        <w:rPr>
          <w:rFonts w:eastAsia="Times New Roman" w:cs="Times New Roman"/>
          <w:noProof/>
          <w:color w:val="000000" w:themeColor="text1"/>
          <w:lang w:val="en-GB"/>
        </w:rPr>
        <w:t xml:space="preserve">ata </w:t>
      </w:r>
      <w:r w:rsidR="200531B5" w:rsidRPr="003512FE">
        <w:rPr>
          <w:rFonts w:eastAsia="Times New Roman" w:cs="Times New Roman"/>
          <w:noProof/>
          <w:color w:val="000000" w:themeColor="text1"/>
          <w:lang w:val="en-GB"/>
        </w:rPr>
        <w:t>N</w:t>
      </w:r>
      <w:r w:rsidR="7A685BE6" w:rsidRPr="003512FE">
        <w:rPr>
          <w:rFonts w:eastAsia="Times New Roman" w:cs="Times New Roman"/>
          <w:noProof/>
          <w:color w:val="000000" w:themeColor="text1"/>
          <w:lang w:val="en-GB"/>
        </w:rPr>
        <w:t>etwork</w:t>
      </w:r>
      <w:r w:rsidR="780E9253" w:rsidRPr="003512FE">
        <w:rPr>
          <w:rFonts w:eastAsia="Times New Roman" w:cs="Times New Roman"/>
          <w:noProof/>
          <w:color w:val="000000" w:themeColor="text1"/>
          <w:lang w:val="en-GB"/>
        </w:rPr>
        <w:t xml:space="preserve"> (FSDN)</w:t>
      </w:r>
      <w:r w:rsidR="7429BAAB" w:rsidRPr="003512FE">
        <w:rPr>
          <w:rFonts w:eastAsia="Times New Roman" w:cs="Times New Roman"/>
          <w:noProof/>
          <w:color w:val="000000" w:themeColor="text1"/>
          <w:lang w:val="en-GB"/>
        </w:rPr>
        <w:t>, promotion measures</w:t>
      </w:r>
      <w:r w:rsidR="6FF21A14" w:rsidRPr="003512FE">
        <w:rPr>
          <w:rFonts w:eastAsia="Times New Roman" w:cs="Times New Roman"/>
          <w:noProof/>
          <w:color w:val="000000" w:themeColor="text1"/>
          <w:lang w:val="en-GB"/>
        </w:rPr>
        <w:t xml:space="preserve">, </w:t>
      </w:r>
      <w:r w:rsidR="2E81B4EC" w:rsidRPr="003512FE">
        <w:rPr>
          <w:rFonts w:eastAsia="Times New Roman" w:cs="Times New Roman"/>
          <w:noProof/>
          <w:color w:val="000000" w:themeColor="text1"/>
          <w:lang w:val="en-GB"/>
        </w:rPr>
        <w:t xml:space="preserve">the EU </w:t>
      </w:r>
      <w:r w:rsidR="6CDD4987" w:rsidRPr="003512FE">
        <w:rPr>
          <w:rFonts w:eastAsia="Times New Roman" w:cs="Times New Roman"/>
          <w:noProof/>
          <w:color w:val="000000" w:themeColor="text1"/>
          <w:lang w:val="en-GB"/>
        </w:rPr>
        <w:t>s</w:t>
      </w:r>
      <w:r w:rsidR="6FF21A14" w:rsidRPr="003512FE">
        <w:rPr>
          <w:rFonts w:eastAsia="Times New Roman" w:cs="Times New Roman"/>
          <w:noProof/>
          <w:color w:val="000000" w:themeColor="text1"/>
          <w:lang w:val="en-GB"/>
        </w:rPr>
        <w:t>chool scheme</w:t>
      </w:r>
      <w:r w:rsidR="5EEC623A" w:rsidRPr="003512FE">
        <w:rPr>
          <w:rFonts w:eastAsia="Times New Roman" w:cs="Times New Roman"/>
          <w:noProof/>
          <w:color w:val="000000" w:themeColor="text1"/>
          <w:lang w:val="en-GB"/>
        </w:rPr>
        <w:t>, marketing standards</w:t>
      </w:r>
      <w:r w:rsidR="7429BAAB" w:rsidRPr="003512FE">
        <w:rPr>
          <w:rFonts w:eastAsia="Times New Roman" w:cs="Times New Roman"/>
          <w:noProof/>
          <w:color w:val="000000" w:themeColor="text1"/>
          <w:lang w:val="en-GB"/>
        </w:rPr>
        <w:t xml:space="preserve"> and organic farming. Other suggestions call</w:t>
      </w:r>
      <w:r w:rsidR="544AA28F" w:rsidRPr="003512FE">
        <w:rPr>
          <w:rFonts w:eastAsia="Times New Roman" w:cs="Times New Roman"/>
          <w:noProof/>
          <w:color w:val="000000" w:themeColor="text1"/>
          <w:lang w:val="en-GB"/>
        </w:rPr>
        <w:t>ed</w:t>
      </w:r>
      <w:r w:rsidR="7429BAAB" w:rsidRPr="003512FE">
        <w:rPr>
          <w:rFonts w:eastAsia="Times New Roman" w:cs="Times New Roman"/>
          <w:noProof/>
          <w:color w:val="000000" w:themeColor="text1"/>
          <w:lang w:val="en-GB"/>
        </w:rPr>
        <w:t xml:space="preserve"> for a more fundamental rethink</w:t>
      </w:r>
      <w:r w:rsidR="7429BAAB" w:rsidRPr="28CC1A24">
        <w:rPr>
          <w:rFonts w:eastAsia="Times New Roman" w:cs="Times New Roman"/>
          <w:noProof/>
          <w:color w:val="000000" w:themeColor="text1"/>
          <w:lang w:val="en-GB"/>
        </w:rPr>
        <w:t xml:space="preserve"> of EU agricultural policy</w:t>
      </w:r>
      <w:r w:rsidR="31F81179" w:rsidRPr="28CC1A24">
        <w:rPr>
          <w:rFonts w:eastAsia="Times New Roman" w:cs="Times New Roman"/>
          <w:noProof/>
          <w:color w:val="000000" w:themeColor="text1"/>
          <w:lang w:val="en-GB"/>
        </w:rPr>
        <w:t>,</w:t>
      </w:r>
      <w:r w:rsidR="47CE5EB9" w:rsidRPr="28CC1A24">
        <w:rPr>
          <w:rFonts w:eastAsia="Times New Roman" w:cs="Times New Roman"/>
          <w:noProof/>
          <w:color w:val="000000" w:themeColor="text1"/>
          <w:lang w:val="en-GB"/>
        </w:rPr>
        <w:t xml:space="preserve"> such a</w:t>
      </w:r>
      <w:r w:rsidR="3D9C646D" w:rsidRPr="28CC1A24">
        <w:rPr>
          <w:rFonts w:eastAsia="Times New Roman" w:cs="Times New Roman"/>
          <w:noProof/>
          <w:color w:val="000000" w:themeColor="text1"/>
          <w:lang w:val="en-GB"/>
        </w:rPr>
        <w:t>s</w:t>
      </w:r>
      <w:r w:rsidR="6CEA62A5" w:rsidRPr="28CC1A24">
        <w:rPr>
          <w:rFonts w:eastAsia="Times New Roman" w:cs="Times New Roman"/>
          <w:noProof/>
          <w:color w:val="000000" w:themeColor="text1"/>
          <w:lang w:val="en-GB"/>
        </w:rPr>
        <w:t xml:space="preserve"> </w:t>
      </w:r>
      <w:r w:rsidR="4A65D221" w:rsidRPr="28CC1A24">
        <w:rPr>
          <w:rFonts w:eastAsia="Times New Roman" w:cs="Times New Roman"/>
          <w:noProof/>
          <w:color w:val="000000" w:themeColor="text1"/>
          <w:lang w:val="en-GB"/>
        </w:rPr>
        <w:t>making CAP Plans more strategic</w:t>
      </w:r>
      <w:r w:rsidR="7429BAAB" w:rsidRPr="28CC1A24">
        <w:rPr>
          <w:rFonts w:eastAsia="Times New Roman" w:cs="Times New Roman"/>
          <w:noProof/>
          <w:color w:val="000000" w:themeColor="text1"/>
          <w:lang w:val="en-GB"/>
        </w:rPr>
        <w:t xml:space="preserve">. </w:t>
      </w:r>
    </w:p>
    <w:p w14:paraId="348A18EF" w14:textId="178ECF43" w:rsidR="001B70D8" w:rsidRPr="00724676" w:rsidRDefault="001B70D8" w:rsidP="00F97E30">
      <w:pPr>
        <w:spacing w:after="120"/>
        <w:jc w:val="both"/>
        <w:rPr>
          <w:rFonts w:eastAsia="Times New Roman" w:cs="Times New Roman"/>
          <w:noProof/>
          <w:color w:val="000000" w:themeColor="text1"/>
          <w:szCs w:val="24"/>
          <w:lang w:val="en-GB"/>
        </w:rPr>
      </w:pPr>
      <w:r w:rsidRPr="00724676">
        <w:rPr>
          <w:rFonts w:eastAsia="Times New Roman" w:cs="Times New Roman"/>
          <w:noProof/>
          <w:color w:val="000000" w:themeColor="text1"/>
          <w:szCs w:val="24"/>
          <w:lang w:val="en-GB"/>
        </w:rPr>
        <w:t xml:space="preserve">Many of these suggestions </w:t>
      </w:r>
      <w:r w:rsidR="00363C81" w:rsidRPr="00724676">
        <w:rPr>
          <w:rFonts w:eastAsia="Times New Roman" w:cs="Times New Roman"/>
          <w:noProof/>
          <w:color w:val="000000" w:themeColor="text1"/>
          <w:szCs w:val="24"/>
          <w:lang w:val="en-GB"/>
        </w:rPr>
        <w:t xml:space="preserve">went </w:t>
      </w:r>
      <w:r w:rsidRPr="00724676">
        <w:rPr>
          <w:rFonts w:eastAsia="Times New Roman" w:cs="Times New Roman"/>
          <w:noProof/>
          <w:color w:val="000000" w:themeColor="text1"/>
          <w:szCs w:val="24"/>
          <w:lang w:val="en-GB"/>
        </w:rPr>
        <w:t xml:space="preserve">beyond the remit of </w:t>
      </w:r>
      <w:r w:rsidRPr="00724676" w:rsidDel="003747BA">
        <w:rPr>
          <w:rFonts w:eastAsia="Times New Roman" w:cs="Times New Roman"/>
          <w:noProof/>
          <w:color w:val="000000" w:themeColor="text1"/>
          <w:szCs w:val="24"/>
          <w:lang w:val="en-GB"/>
        </w:rPr>
        <w:t xml:space="preserve">simplification and </w:t>
      </w:r>
      <w:r w:rsidR="00C926A2">
        <w:rPr>
          <w:rFonts w:eastAsia="Times New Roman" w:cs="Times New Roman"/>
          <w:noProof/>
          <w:color w:val="000000" w:themeColor="text1"/>
          <w:szCs w:val="24"/>
          <w:lang w:val="en-GB"/>
        </w:rPr>
        <w:t xml:space="preserve">the </w:t>
      </w:r>
      <w:r w:rsidRPr="00724676">
        <w:rPr>
          <w:rFonts w:eastAsia="Times New Roman" w:cs="Times New Roman"/>
          <w:noProof/>
          <w:color w:val="000000" w:themeColor="text1"/>
          <w:szCs w:val="24"/>
          <w:lang w:val="en-GB"/>
        </w:rPr>
        <w:t xml:space="preserve">improved implementation of the </w:t>
      </w:r>
      <w:r w:rsidR="00523AA0">
        <w:rPr>
          <w:rFonts w:eastAsia="Times New Roman" w:cs="Times New Roman"/>
          <w:noProof/>
          <w:color w:val="000000" w:themeColor="text1"/>
          <w:szCs w:val="24"/>
          <w:lang w:val="en-GB"/>
        </w:rPr>
        <w:t>CAP Plans</w:t>
      </w:r>
      <w:r w:rsidRPr="00724676">
        <w:rPr>
          <w:rFonts w:eastAsia="Times New Roman" w:cs="Times New Roman"/>
          <w:noProof/>
          <w:color w:val="000000" w:themeColor="text1"/>
          <w:szCs w:val="24"/>
          <w:lang w:val="en-GB"/>
        </w:rPr>
        <w:t xml:space="preserve">. </w:t>
      </w:r>
      <w:r w:rsidR="000A678C" w:rsidRPr="00724676">
        <w:rPr>
          <w:rFonts w:eastAsia="Times New Roman" w:cs="Times New Roman"/>
          <w:noProof/>
          <w:color w:val="000000" w:themeColor="text1"/>
          <w:szCs w:val="24"/>
          <w:lang w:val="en-GB"/>
        </w:rPr>
        <w:t>T</w:t>
      </w:r>
      <w:r w:rsidRPr="00724676">
        <w:rPr>
          <w:rFonts w:eastAsia="Times New Roman" w:cs="Times New Roman"/>
          <w:noProof/>
          <w:color w:val="000000" w:themeColor="text1"/>
          <w:szCs w:val="24"/>
          <w:lang w:val="en-GB"/>
        </w:rPr>
        <w:t xml:space="preserve">he Commission </w:t>
      </w:r>
      <w:r w:rsidR="00050C79" w:rsidRPr="00724676">
        <w:rPr>
          <w:rFonts w:eastAsia="Times New Roman" w:cs="Times New Roman"/>
          <w:noProof/>
          <w:color w:val="000000" w:themeColor="text1"/>
          <w:szCs w:val="24"/>
          <w:lang w:val="en-GB"/>
        </w:rPr>
        <w:t xml:space="preserve">took the view that </w:t>
      </w:r>
      <w:r w:rsidR="00861EB6" w:rsidRPr="00724676">
        <w:rPr>
          <w:rFonts w:eastAsia="Times New Roman" w:cs="Times New Roman"/>
          <w:noProof/>
          <w:color w:val="000000" w:themeColor="text1"/>
          <w:szCs w:val="24"/>
          <w:lang w:val="en-GB"/>
        </w:rPr>
        <w:t>the</w:t>
      </w:r>
      <w:r w:rsidRPr="00724676">
        <w:rPr>
          <w:rFonts w:eastAsia="Times New Roman" w:cs="Times New Roman"/>
          <w:noProof/>
          <w:color w:val="000000" w:themeColor="text1"/>
          <w:szCs w:val="24"/>
          <w:lang w:val="en-GB"/>
        </w:rPr>
        <w:t xml:space="preserve"> key </w:t>
      </w:r>
      <w:r w:rsidR="00250ADB" w:rsidRPr="00724676">
        <w:rPr>
          <w:rFonts w:eastAsia="Times New Roman" w:cs="Times New Roman"/>
          <w:noProof/>
          <w:color w:val="000000" w:themeColor="text1"/>
          <w:szCs w:val="24"/>
          <w:lang w:val="en-GB"/>
        </w:rPr>
        <w:t xml:space="preserve">elements </w:t>
      </w:r>
      <w:r w:rsidRPr="00724676">
        <w:rPr>
          <w:rFonts w:eastAsia="Times New Roman" w:cs="Times New Roman"/>
          <w:noProof/>
          <w:color w:val="000000" w:themeColor="text1"/>
          <w:szCs w:val="24"/>
          <w:lang w:val="en-GB"/>
        </w:rPr>
        <w:t xml:space="preserve">of the </w:t>
      </w:r>
      <w:r w:rsidR="5503FB3F" w:rsidRPr="00724676">
        <w:rPr>
          <w:rFonts w:eastAsia="Times New Roman" w:cs="Times New Roman"/>
          <w:noProof/>
          <w:color w:val="000000" w:themeColor="text1"/>
          <w:szCs w:val="24"/>
          <w:lang w:val="en-GB"/>
        </w:rPr>
        <w:t>CSP</w:t>
      </w:r>
      <w:r w:rsidRPr="00724676">
        <w:rPr>
          <w:rFonts w:eastAsia="Times New Roman" w:cs="Times New Roman"/>
          <w:noProof/>
          <w:color w:val="000000" w:themeColor="text1"/>
          <w:szCs w:val="24"/>
          <w:lang w:val="en-GB"/>
        </w:rPr>
        <w:t xml:space="preserve"> Regulation, such as social conditionality</w:t>
      </w:r>
      <w:r w:rsidR="00E12370" w:rsidRPr="00724676">
        <w:rPr>
          <w:rFonts w:eastAsia="Times New Roman" w:cs="Times New Roman"/>
          <w:noProof/>
          <w:color w:val="000000" w:themeColor="text1"/>
          <w:szCs w:val="24"/>
          <w:lang w:val="en-GB"/>
        </w:rPr>
        <w:t xml:space="preserve"> should be maintained</w:t>
      </w:r>
      <w:r w:rsidRPr="00724676">
        <w:rPr>
          <w:rFonts w:eastAsia="Times New Roman" w:cs="Times New Roman"/>
          <w:noProof/>
          <w:color w:val="000000" w:themeColor="text1"/>
          <w:szCs w:val="24"/>
          <w:lang w:val="en-GB"/>
        </w:rPr>
        <w:t xml:space="preserve">. </w:t>
      </w:r>
      <w:r w:rsidR="00861EB6" w:rsidRPr="00724676">
        <w:rPr>
          <w:rFonts w:eastAsia="Times New Roman" w:cs="Times New Roman"/>
          <w:noProof/>
          <w:color w:val="000000" w:themeColor="text1"/>
          <w:szCs w:val="24"/>
          <w:lang w:val="en-GB"/>
        </w:rPr>
        <w:t>The Commission also</w:t>
      </w:r>
      <w:r w:rsidR="00861EB6" w:rsidRPr="00724676" w:rsidDel="00363C81">
        <w:rPr>
          <w:rFonts w:eastAsia="Times New Roman" w:cs="Times New Roman"/>
          <w:noProof/>
          <w:color w:val="000000" w:themeColor="text1"/>
          <w:szCs w:val="24"/>
          <w:lang w:val="en-GB"/>
        </w:rPr>
        <w:t xml:space="preserve"> </w:t>
      </w:r>
      <w:r w:rsidR="00363C81" w:rsidRPr="00724676">
        <w:rPr>
          <w:rFonts w:eastAsia="Times New Roman" w:cs="Times New Roman"/>
          <w:noProof/>
          <w:color w:val="000000" w:themeColor="text1"/>
          <w:szCs w:val="24"/>
          <w:lang w:val="en-GB"/>
        </w:rPr>
        <w:t xml:space="preserve">considered </w:t>
      </w:r>
      <w:r w:rsidR="00861EB6" w:rsidRPr="00724676">
        <w:rPr>
          <w:rFonts w:eastAsia="Times New Roman" w:cs="Times New Roman"/>
          <w:noProof/>
          <w:color w:val="000000" w:themeColor="text1"/>
          <w:szCs w:val="24"/>
          <w:lang w:val="en-GB"/>
        </w:rPr>
        <w:t>that</w:t>
      </w:r>
      <w:r w:rsidRPr="00724676">
        <w:rPr>
          <w:rFonts w:eastAsia="Times New Roman" w:cs="Times New Roman"/>
          <w:noProof/>
          <w:color w:val="000000" w:themeColor="text1"/>
          <w:szCs w:val="24"/>
          <w:lang w:val="en-GB"/>
        </w:rPr>
        <w:t xml:space="preserve"> several suggestions</w:t>
      </w:r>
      <w:r w:rsidR="00873755">
        <w:rPr>
          <w:rFonts w:eastAsia="Times New Roman" w:cs="Times New Roman"/>
          <w:noProof/>
          <w:color w:val="000000" w:themeColor="text1"/>
          <w:szCs w:val="24"/>
          <w:lang w:val="en-GB"/>
        </w:rPr>
        <w:t>,</w:t>
      </w:r>
      <w:r w:rsidR="001A2B32" w:rsidRPr="00724676">
        <w:rPr>
          <w:rFonts w:eastAsia="Times New Roman" w:cs="Times New Roman"/>
          <w:noProof/>
          <w:color w:val="000000" w:themeColor="text1"/>
          <w:szCs w:val="24"/>
          <w:lang w:val="en-GB"/>
        </w:rPr>
        <w:t xml:space="preserve"> such as </w:t>
      </w:r>
      <w:r w:rsidR="00CE2356" w:rsidRPr="00724676">
        <w:rPr>
          <w:rFonts w:eastAsia="Times New Roman" w:cs="Times New Roman"/>
          <w:noProof/>
          <w:color w:val="000000" w:themeColor="text1"/>
          <w:szCs w:val="24"/>
          <w:lang w:val="en-GB"/>
        </w:rPr>
        <w:t xml:space="preserve">the </w:t>
      </w:r>
      <w:r w:rsidR="007406AE" w:rsidRPr="00724676">
        <w:rPr>
          <w:rFonts w:eastAsia="Times New Roman" w:cs="Times New Roman"/>
          <w:noProof/>
          <w:color w:val="000000" w:themeColor="text1"/>
          <w:szCs w:val="24"/>
          <w:lang w:val="en-GB"/>
        </w:rPr>
        <w:t>level of detail on mea</w:t>
      </w:r>
      <w:r w:rsidR="00CE2356" w:rsidRPr="00724676">
        <w:rPr>
          <w:rFonts w:eastAsia="Times New Roman" w:cs="Times New Roman"/>
          <w:noProof/>
          <w:color w:val="000000" w:themeColor="text1"/>
          <w:szCs w:val="24"/>
          <w:lang w:val="en-GB"/>
        </w:rPr>
        <w:t>sures requ</w:t>
      </w:r>
      <w:r w:rsidR="009B2C1B" w:rsidRPr="00724676">
        <w:rPr>
          <w:rFonts w:eastAsia="Times New Roman" w:cs="Times New Roman"/>
          <w:noProof/>
          <w:color w:val="000000" w:themeColor="text1"/>
          <w:szCs w:val="24"/>
          <w:lang w:val="en-GB"/>
        </w:rPr>
        <w:t>i</w:t>
      </w:r>
      <w:r w:rsidR="00CE2356" w:rsidRPr="00724676">
        <w:rPr>
          <w:rFonts w:eastAsia="Times New Roman" w:cs="Times New Roman"/>
          <w:noProof/>
          <w:color w:val="000000" w:themeColor="text1"/>
          <w:szCs w:val="24"/>
          <w:lang w:val="en-GB"/>
        </w:rPr>
        <w:t xml:space="preserve">red </w:t>
      </w:r>
      <w:r w:rsidR="00F15BCB" w:rsidRPr="00724676">
        <w:rPr>
          <w:rFonts w:eastAsia="Times New Roman" w:cs="Times New Roman"/>
          <w:noProof/>
          <w:color w:val="000000" w:themeColor="text1"/>
          <w:szCs w:val="24"/>
          <w:lang w:val="en-GB"/>
        </w:rPr>
        <w:t xml:space="preserve">in the </w:t>
      </w:r>
      <w:r w:rsidR="00523AA0">
        <w:rPr>
          <w:rFonts w:eastAsia="Times New Roman" w:cs="Times New Roman"/>
          <w:noProof/>
          <w:color w:val="000000" w:themeColor="text1"/>
          <w:szCs w:val="24"/>
          <w:lang w:val="en-GB"/>
        </w:rPr>
        <w:t>CAP Plans</w:t>
      </w:r>
      <w:r w:rsidR="00980940" w:rsidRPr="00724676">
        <w:rPr>
          <w:rFonts w:eastAsia="Times New Roman" w:cs="Times New Roman"/>
          <w:noProof/>
          <w:color w:val="000000" w:themeColor="text1"/>
          <w:szCs w:val="24"/>
          <w:lang w:val="en-GB"/>
        </w:rPr>
        <w:t>,</w:t>
      </w:r>
      <w:r w:rsidR="00F15BCB" w:rsidRPr="00724676">
        <w:rPr>
          <w:rFonts w:eastAsia="Times New Roman" w:cs="Times New Roman"/>
          <w:noProof/>
          <w:color w:val="000000" w:themeColor="text1"/>
          <w:szCs w:val="24"/>
          <w:lang w:val="en-GB"/>
        </w:rPr>
        <w:t xml:space="preserve"> </w:t>
      </w:r>
      <w:r w:rsidR="00861EB6" w:rsidRPr="00724676">
        <w:rPr>
          <w:rFonts w:eastAsia="Times New Roman" w:cs="Times New Roman"/>
          <w:noProof/>
          <w:color w:val="000000" w:themeColor="text1"/>
          <w:szCs w:val="24"/>
          <w:lang w:val="en-GB"/>
        </w:rPr>
        <w:t>were</w:t>
      </w:r>
      <w:r w:rsidRPr="00724676">
        <w:rPr>
          <w:rFonts w:eastAsia="Times New Roman" w:cs="Times New Roman"/>
          <w:noProof/>
          <w:color w:val="000000" w:themeColor="text1"/>
          <w:szCs w:val="24"/>
          <w:lang w:val="en-GB"/>
        </w:rPr>
        <w:t xml:space="preserve"> already feasible within the increased </w:t>
      </w:r>
      <w:r w:rsidR="00250ADB" w:rsidRPr="00724676">
        <w:rPr>
          <w:rFonts w:eastAsia="Times New Roman" w:cs="Times New Roman"/>
          <w:noProof/>
          <w:color w:val="000000" w:themeColor="text1"/>
          <w:szCs w:val="24"/>
          <w:lang w:val="en-GB"/>
        </w:rPr>
        <w:t>flexibility</w:t>
      </w:r>
      <w:r w:rsidRPr="00724676">
        <w:rPr>
          <w:rFonts w:eastAsia="Times New Roman" w:cs="Times New Roman"/>
          <w:noProof/>
          <w:color w:val="000000" w:themeColor="text1"/>
          <w:szCs w:val="24"/>
          <w:lang w:val="en-GB"/>
        </w:rPr>
        <w:t xml:space="preserve"> </w:t>
      </w:r>
      <w:r w:rsidR="00611680" w:rsidRPr="00724676">
        <w:rPr>
          <w:rFonts w:eastAsia="Times New Roman" w:cs="Times New Roman"/>
          <w:noProof/>
          <w:color w:val="000000" w:themeColor="text1"/>
          <w:szCs w:val="24"/>
          <w:lang w:val="en-GB"/>
        </w:rPr>
        <w:t xml:space="preserve">for </w:t>
      </w:r>
      <w:r w:rsidRPr="00724676">
        <w:rPr>
          <w:rFonts w:eastAsia="Times New Roman" w:cs="Times New Roman"/>
          <w:noProof/>
          <w:color w:val="000000" w:themeColor="text1"/>
          <w:szCs w:val="24"/>
          <w:lang w:val="en-GB"/>
        </w:rPr>
        <w:t xml:space="preserve">the Member States </w:t>
      </w:r>
      <w:r w:rsidR="00F22000" w:rsidRPr="00724676">
        <w:rPr>
          <w:rFonts w:eastAsia="Times New Roman" w:cs="Times New Roman"/>
          <w:noProof/>
          <w:color w:val="000000" w:themeColor="text1"/>
          <w:szCs w:val="24"/>
          <w:lang w:val="en-GB"/>
        </w:rPr>
        <w:t>in</w:t>
      </w:r>
      <w:r w:rsidRPr="00724676">
        <w:rPr>
          <w:rFonts w:eastAsia="Times New Roman" w:cs="Times New Roman"/>
          <w:noProof/>
          <w:color w:val="000000" w:themeColor="text1"/>
          <w:szCs w:val="24"/>
          <w:lang w:val="en-GB"/>
        </w:rPr>
        <w:t xml:space="preserve"> the </w:t>
      </w:r>
      <w:r w:rsidR="006A5D3D">
        <w:rPr>
          <w:rFonts w:eastAsia="Times New Roman" w:cs="Times New Roman"/>
          <w:noProof/>
          <w:color w:val="000000" w:themeColor="text1"/>
          <w:szCs w:val="24"/>
          <w:lang w:val="en-GB"/>
        </w:rPr>
        <w:t>n</w:t>
      </w:r>
      <w:r w:rsidRPr="00724676">
        <w:rPr>
          <w:rFonts w:eastAsia="Times New Roman" w:cs="Times New Roman"/>
          <w:noProof/>
          <w:color w:val="000000" w:themeColor="text1"/>
          <w:szCs w:val="24"/>
          <w:lang w:val="en-GB"/>
        </w:rPr>
        <w:t xml:space="preserve">ew </w:t>
      </w:r>
      <w:r w:rsidR="006A5D3D">
        <w:rPr>
          <w:rFonts w:eastAsia="Times New Roman" w:cs="Times New Roman"/>
          <w:noProof/>
          <w:color w:val="000000" w:themeColor="text1"/>
          <w:szCs w:val="24"/>
          <w:lang w:val="en-GB"/>
        </w:rPr>
        <w:t>d</w:t>
      </w:r>
      <w:r w:rsidRPr="00724676">
        <w:rPr>
          <w:rFonts w:eastAsia="Times New Roman" w:cs="Times New Roman"/>
          <w:noProof/>
          <w:color w:val="000000" w:themeColor="text1"/>
          <w:szCs w:val="24"/>
          <w:lang w:val="en-GB"/>
        </w:rPr>
        <w:t xml:space="preserve">elivery </w:t>
      </w:r>
      <w:r w:rsidR="006A5D3D">
        <w:rPr>
          <w:rFonts w:eastAsia="Times New Roman" w:cs="Times New Roman"/>
          <w:noProof/>
          <w:color w:val="000000" w:themeColor="text1"/>
          <w:szCs w:val="24"/>
          <w:lang w:val="en-GB"/>
        </w:rPr>
        <w:t>m</w:t>
      </w:r>
      <w:r w:rsidRPr="00724676">
        <w:rPr>
          <w:rFonts w:eastAsia="Times New Roman" w:cs="Times New Roman"/>
          <w:noProof/>
          <w:color w:val="000000" w:themeColor="text1"/>
          <w:szCs w:val="24"/>
          <w:lang w:val="en-GB"/>
        </w:rPr>
        <w:t>odel of the CAP.</w:t>
      </w:r>
    </w:p>
    <w:p w14:paraId="1C5D9C89" w14:textId="303CC170" w:rsidR="001B70D8" w:rsidRPr="001F53B5" w:rsidRDefault="004E0823" w:rsidP="006807F6">
      <w:pPr>
        <w:pStyle w:val="Style5"/>
        <w:spacing w:before="240"/>
        <w:rPr>
          <w:b/>
          <w:i w:val="0"/>
        </w:rPr>
      </w:pPr>
      <w:bookmarkStart w:id="52" w:name="_Toc838949106"/>
      <w:bookmarkStart w:id="53" w:name="_Toc469905893"/>
      <w:bookmarkStart w:id="54" w:name="_Toc188266977"/>
      <w:bookmarkStart w:id="55" w:name="_Toc167974740"/>
      <w:bookmarkStart w:id="56" w:name="_Toc172125126"/>
      <w:r w:rsidRPr="001F53B5">
        <w:rPr>
          <w:b/>
          <w:i w:val="0"/>
        </w:rPr>
        <w:t>4</w:t>
      </w:r>
      <w:r w:rsidR="32B738ED" w:rsidRPr="001F53B5">
        <w:rPr>
          <w:b/>
          <w:i w:val="0"/>
        </w:rPr>
        <w:t xml:space="preserve">.5. </w:t>
      </w:r>
      <w:r w:rsidR="001B70D8" w:rsidRPr="001F53B5">
        <w:rPr>
          <w:b/>
          <w:i w:val="0"/>
        </w:rPr>
        <w:t>Legislation outside the CAP</w:t>
      </w:r>
      <w:bookmarkEnd w:id="52"/>
      <w:bookmarkEnd w:id="53"/>
      <w:bookmarkEnd w:id="54"/>
      <w:bookmarkEnd w:id="55"/>
      <w:bookmarkEnd w:id="56"/>
    </w:p>
    <w:p w14:paraId="200AA3F4" w14:textId="57416B81" w:rsidR="001B70D8" w:rsidRPr="00724676" w:rsidRDefault="00FE4AAF" w:rsidP="006D5C9F">
      <w:pPr>
        <w:spacing w:after="120"/>
        <w:jc w:val="both"/>
        <w:rPr>
          <w:rFonts w:eastAsia="Times New Roman" w:cs="Times New Roman"/>
          <w:noProof/>
          <w:color w:val="000000" w:themeColor="text1"/>
          <w:szCs w:val="24"/>
          <w:lang w:val="en-GB"/>
        </w:rPr>
      </w:pPr>
      <w:r w:rsidRPr="00724676">
        <w:rPr>
          <w:rFonts w:eastAsia="Times New Roman" w:cs="Times New Roman"/>
          <w:noProof/>
          <w:color w:val="000000" w:themeColor="text1"/>
          <w:szCs w:val="24"/>
          <w:lang w:val="en-GB"/>
        </w:rPr>
        <w:t xml:space="preserve">The </w:t>
      </w:r>
      <w:r w:rsidR="001B70D8" w:rsidRPr="00724676">
        <w:rPr>
          <w:rFonts w:eastAsia="Times New Roman" w:cs="Times New Roman"/>
          <w:noProof/>
          <w:color w:val="000000" w:themeColor="text1"/>
          <w:szCs w:val="24"/>
          <w:lang w:val="en-GB"/>
        </w:rPr>
        <w:t xml:space="preserve">final set of suggestions </w:t>
      </w:r>
      <w:r w:rsidR="00385A59" w:rsidRPr="00724676">
        <w:rPr>
          <w:rFonts w:eastAsia="Times New Roman" w:cs="Times New Roman"/>
          <w:noProof/>
          <w:color w:val="000000" w:themeColor="text1"/>
          <w:szCs w:val="24"/>
          <w:lang w:val="en-GB"/>
        </w:rPr>
        <w:t xml:space="preserve">concerned </w:t>
      </w:r>
      <w:r w:rsidR="001A2B32" w:rsidRPr="00724676">
        <w:rPr>
          <w:rFonts w:eastAsia="Times New Roman" w:cs="Times New Roman"/>
          <w:noProof/>
          <w:color w:val="000000" w:themeColor="text1"/>
          <w:szCs w:val="24"/>
          <w:lang w:val="en-GB"/>
        </w:rPr>
        <w:t xml:space="preserve">legislation </w:t>
      </w:r>
      <w:r w:rsidR="001B70D8" w:rsidRPr="00724676">
        <w:rPr>
          <w:rFonts w:eastAsia="Times New Roman" w:cs="Times New Roman"/>
          <w:noProof/>
          <w:color w:val="000000" w:themeColor="text1"/>
          <w:szCs w:val="24"/>
          <w:lang w:val="en-GB"/>
        </w:rPr>
        <w:t xml:space="preserve">outside the CAP, </w:t>
      </w:r>
      <w:r w:rsidR="00F22000" w:rsidRPr="00724676">
        <w:rPr>
          <w:rFonts w:eastAsia="Times New Roman" w:cs="Times New Roman"/>
          <w:noProof/>
          <w:color w:val="000000" w:themeColor="text1"/>
          <w:szCs w:val="24"/>
          <w:lang w:val="en-GB"/>
        </w:rPr>
        <w:t xml:space="preserve">in the areas of </w:t>
      </w:r>
      <w:r w:rsidR="000233A4">
        <w:rPr>
          <w:rFonts w:eastAsia="Times New Roman" w:cs="Times New Roman"/>
          <w:noProof/>
          <w:color w:val="000000" w:themeColor="text1"/>
          <w:szCs w:val="24"/>
          <w:lang w:val="en-GB"/>
        </w:rPr>
        <w:t>S</w:t>
      </w:r>
      <w:r w:rsidRPr="00724676">
        <w:rPr>
          <w:rFonts w:eastAsia="Times New Roman" w:cs="Times New Roman"/>
          <w:noProof/>
          <w:color w:val="000000" w:themeColor="text1"/>
          <w:szCs w:val="24"/>
          <w:lang w:val="en-GB"/>
        </w:rPr>
        <w:t xml:space="preserve">tate </w:t>
      </w:r>
      <w:r w:rsidR="00F44334" w:rsidRPr="00724676">
        <w:rPr>
          <w:rFonts w:eastAsia="Times New Roman" w:cs="Times New Roman"/>
          <w:noProof/>
          <w:color w:val="000000" w:themeColor="text1"/>
          <w:szCs w:val="24"/>
          <w:lang w:val="en-GB"/>
        </w:rPr>
        <w:t xml:space="preserve">aid, </w:t>
      </w:r>
      <w:r w:rsidR="00F22000" w:rsidRPr="00724676">
        <w:rPr>
          <w:rFonts w:eastAsia="Times New Roman" w:cs="Times New Roman"/>
          <w:noProof/>
          <w:color w:val="000000" w:themeColor="text1"/>
          <w:szCs w:val="24"/>
          <w:lang w:val="en-GB"/>
        </w:rPr>
        <w:t>envi</w:t>
      </w:r>
      <w:r w:rsidR="00A36DAE" w:rsidRPr="00724676">
        <w:rPr>
          <w:rFonts w:eastAsia="Times New Roman" w:cs="Times New Roman"/>
          <w:noProof/>
          <w:color w:val="000000" w:themeColor="text1"/>
          <w:szCs w:val="24"/>
          <w:lang w:val="en-GB"/>
        </w:rPr>
        <w:t>r</w:t>
      </w:r>
      <w:r w:rsidR="00F22000" w:rsidRPr="00724676">
        <w:rPr>
          <w:rFonts w:eastAsia="Times New Roman" w:cs="Times New Roman"/>
          <w:noProof/>
          <w:color w:val="000000" w:themeColor="text1"/>
          <w:szCs w:val="24"/>
          <w:lang w:val="en-GB"/>
        </w:rPr>
        <w:t xml:space="preserve">onment, </w:t>
      </w:r>
      <w:r w:rsidR="0043182C" w:rsidRPr="00724676">
        <w:rPr>
          <w:rFonts w:eastAsia="Times New Roman" w:cs="Times New Roman"/>
          <w:noProof/>
          <w:color w:val="000000" w:themeColor="text1"/>
          <w:szCs w:val="24"/>
          <w:lang w:val="en-GB"/>
        </w:rPr>
        <w:t xml:space="preserve">animal and plant health, </w:t>
      </w:r>
      <w:r w:rsidR="00F22000" w:rsidRPr="00724676">
        <w:rPr>
          <w:rFonts w:eastAsia="Times New Roman" w:cs="Times New Roman"/>
          <w:noProof/>
          <w:color w:val="000000" w:themeColor="text1"/>
          <w:szCs w:val="24"/>
          <w:lang w:val="en-GB"/>
        </w:rPr>
        <w:t>food safety</w:t>
      </w:r>
      <w:r w:rsidR="00F44334" w:rsidRPr="00724676">
        <w:rPr>
          <w:rFonts w:eastAsia="Times New Roman" w:cs="Times New Roman"/>
          <w:noProof/>
          <w:color w:val="000000" w:themeColor="text1"/>
          <w:szCs w:val="24"/>
          <w:lang w:val="en-GB"/>
        </w:rPr>
        <w:t>,</w:t>
      </w:r>
      <w:r w:rsidR="00F22000" w:rsidRPr="00724676">
        <w:rPr>
          <w:rFonts w:eastAsia="Times New Roman" w:cs="Times New Roman"/>
          <w:noProof/>
          <w:color w:val="000000" w:themeColor="text1"/>
          <w:szCs w:val="24"/>
          <w:lang w:val="en-GB"/>
        </w:rPr>
        <w:t xml:space="preserve"> </w:t>
      </w:r>
      <w:r w:rsidR="0043182C" w:rsidRPr="00724676">
        <w:rPr>
          <w:rFonts w:eastAsia="Times New Roman" w:cs="Times New Roman"/>
          <w:noProof/>
          <w:color w:val="000000" w:themeColor="text1"/>
          <w:szCs w:val="24"/>
          <w:lang w:val="en-GB"/>
        </w:rPr>
        <w:t xml:space="preserve">climate and </w:t>
      </w:r>
      <w:r w:rsidR="00F22000" w:rsidRPr="00724676">
        <w:rPr>
          <w:rFonts w:eastAsia="Times New Roman" w:cs="Times New Roman"/>
          <w:noProof/>
          <w:color w:val="000000" w:themeColor="text1"/>
          <w:szCs w:val="24"/>
          <w:lang w:val="en-GB"/>
        </w:rPr>
        <w:t>energy</w:t>
      </w:r>
      <w:r w:rsidR="001B70D8" w:rsidRPr="00724676">
        <w:rPr>
          <w:rFonts w:eastAsia="Times New Roman" w:cs="Times New Roman"/>
          <w:noProof/>
          <w:color w:val="000000" w:themeColor="text1"/>
          <w:szCs w:val="24"/>
          <w:lang w:val="en-GB"/>
        </w:rPr>
        <w:t xml:space="preserve">. </w:t>
      </w:r>
    </w:p>
    <w:p w14:paraId="23F7AA03" w14:textId="2D9B9CEE" w:rsidR="004E0823" w:rsidRPr="00724676" w:rsidRDefault="5850B031" w:rsidP="006D5C9F">
      <w:pPr>
        <w:spacing w:after="120"/>
        <w:jc w:val="both"/>
        <w:rPr>
          <w:rFonts w:eastAsia="Times New Roman" w:cs="Times New Roman"/>
          <w:noProof/>
          <w:color w:val="000000" w:themeColor="text1"/>
          <w:lang w:val="en-GB"/>
        </w:rPr>
      </w:pPr>
      <w:r w:rsidRPr="00EA1866">
        <w:rPr>
          <w:rFonts w:eastAsia="Times New Roman" w:cs="Times New Roman"/>
          <w:noProof/>
          <w:color w:val="000000" w:themeColor="text1"/>
          <w:lang w:val="en-GB"/>
        </w:rPr>
        <w:t>In its simplification package t</w:t>
      </w:r>
      <w:r w:rsidR="0C56FEA2" w:rsidRPr="00EA1866">
        <w:rPr>
          <w:rFonts w:eastAsia="Times New Roman" w:cs="Times New Roman"/>
          <w:noProof/>
          <w:color w:val="000000" w:themeColor="text1"/>
          <w:lang w:val="en-GB"/>
        </w:rPr>
        <w:t xml:space="preserve">he </w:t>
      </w:r>
      <w:r w:rsidR="762DDB1F" w:rsidRPr="00EA1866">
        <w:rPr>
          <w:rFonts w:eastAsia="Times New Roman" w:cs="Times New Roman"/>
          <w:noProof/>
          <w:color w:val="000000" w:themeColor="text1"/>
          <w:lang w:val="en-GB"/>
        </w:rPr>
        <w:t xml:space="preserve">Commission </w:t>
      </w:r>
      <w:r w:rsidR="659A86FD" w:rsidRPr="00EA1866">
        <w:rPr>
          <w:rFonts w:eastAsia="Times New Roman" w:cs="Times New Roman"/>
          <w:noProof/>
          <w:color w:val="000000" w:themeColor="text1"/>
          <w:lang w:val="en-GB"/>
        </w:rPr>
        <w:t xml:space="preserve">announced </w:t>
      </w:r>
      <w:r w:rsidR="0DA5CD9C" w:rsidRPr="00EA1866">
        <w:rPr>
          <w:rFonts w:eastAsia="Times New Roman" w:cs="Times New Roman"/>
          <w:noProof/>
          <w:color w:val="000000" w:themeColor="text1"/>
          <w:lang w:val="en-GB"/>
        </w:rPr>
        <w:t xml:space="preserve">a number of </w:t>
      </w:r>
      <w:r w:rsidR="2A712DCB" w:rsidRPr="00EA1866">
        <w:rPr>
          <w:rFonts w:eastAsia="Times New Roman" w:cs="Times New Roman"/>
          <w:noProof/>
          <w:color w:val="000000" w:themeColor="text1"/>
          <w:lang w:val="en-GB"/>
        </w:rPr>
        <w:t>targeted</w:t>
      </w:r>
      <w:r w:rsidR="0DA5CD9C" w:rsidRPr="00EA1866">
        <w:rPr>
          <w:rFonts w:eastAsia="Times New Roman" w:cs="Times New Roman"/>
          <w:noProof/>
          <w:color w:val="000000" w:themeColor="text1"/>
          <w:lang w:val="en-GB"/>
        </w:rPr>
        <w:t xml:space="preserve"> changes in acts outside the CAP and </w:t>
      </w:r>
      <w:r w:rsidR="78A0BEC6" w:rsidRPr="00EA1866">
        <w:rPr>
          <w:rFonts w:eastAsia="Times New Roman" w:cs="Times New Roman"/>
          <w:noProof/>
          <w:color w:val="000000" w:themeColor="text1"/>
          <w:lang w:val="en-GB"/>
        </w:rPr>
        <w:t xml:space="preserve">is </w:t>
      </w:r>
      <w:r w:rsidR="0DA5CD9C" w:rsidRPr="00EA1866">
        <w:rPr>
          <w:rFonts w:eastAsia="Times New Roman" w:cs="Times New Roman"/>
          <w:noProof/>
          <w:color w:val="000000" w:themeColor="text1"/>
          <w:lang w:val="en-GB"/>
        </w:rPr>
        <w:t>working on non-legislative measures with the aim of simplifying or clarifying certain rules</w:t>
      </w:r>
      <w:r w:rsidR="44B4AE79" w:rsidRPr="00EA1866" w:rsidDel="00EB1956">
        <w:rPr>
          <w:rFonts w:eastAsia="Times New Roman" w:cs="Times New Roman"/>
          <w:noProof/>
          <w:color w:val="000000" w:themeColor="text1"/>
          <w:lang w:val="en-GB"/>
        </w:rPr>
        <w:t>.</w:t>
      </w:r>
      <w:r w:rsidR="44B4AE79" w:rsidRPr="00EA1866">
        <w:rPr>
          <w:rFonts w:eastAsia="Times New Roman" w:cs="Times New Roman"/>
          <w:noProof/>
          <w:color w:val="000000" w:themeColor="text1"/>
          <w:lang w:val="en-GB"/>
        </w:rPr>
        <w:t xml:space="preserve"> </w:t>
      </w:r>
      <w:r w:rsidR="4CE65D04" w:rsidRPr="00FF77A3">
        <w:rPr>
          <w:rFonts w:eastAsia="Times New Roman" w:cs="Times New Roman"/>
          <w:noProof/>
          <w:color w:val="000000" w:themeColor="text1"/>
          <w:lang w:val="en-GB"/>
        </w:rPr>
        <w:t xml:space="preserve">On 2 May 2024, the Commission also </w:t>
      </w:r>
      <w:r w:rsidR="00640E02" w:rsidRPr="00FF77A3">
        <w:rPr>
          <w:rFonts w:eastAsia="Times New Roman" w:cs="Times New Roman"/>
          <w:noProof/>
          <w:color w:val="000000" w:themeColor="text1"/>
          <w:lang w:val="en-GB"/>
        </w:rPr>
        <w:t xml:space="preserve">launched the </w:t>
      </w:r>
      <w:r w:rsidR="4CE65D04" w:rsidRPr="00FF77A3">
        <w:rPr>
          <w:rFonts w:eastAsia="Times New Roman" w:cs="Times New Roman"/>
          <w:noProof/>
          <w:color w:val="000000" w:themeColor="text1"/>
          <w:lang w:val="en-GB"/>
        </w:rPr>
        <w:t xml:space="preserve"> review of the agricultural </w:t>
      </w:r>
      <w:r w:rsidR="4CE65D04" w:rsidRPr="00FF77A3">
        <w:rPr>
          <w:rFonts w:eastAsia="Times New Roman" w:cs="Times New Roman"/>
          <w:i/>
          <w:noProof/>
          <w:color w:val="000000" w:themeColor="text1"/>
          <w:lang w:val="en-GB"/>
        </w:rPr>
        <w:t>de minimis</w:t>
      </w:r>
      <w:r w:rsidR="4CE65D04" w:rsidRPr="00FF77A3">
        <w:rPr>
          <w:rFonts w:eastAsia="Times New Roman" w:cs="Times New Roman"/>
          <w:noProof/>
          <w:color w:val="000000" w:themeColor="text1"/>
          <w:lang w:val="en-GB"/>
        </w:rPr>
        <w:t xml:space="preserve"> Regulation</w:t>
      </w:r>
      <w:r w:rsidR="00E86A89" w:rsidRPr="00FF77A3">
        <w:rPr>
          <w:rStyle w:val="FootnoteReference"/>
          <w:rFonts w:eastAsia="Times New Roman" w:cs="Times New Roman"/>
          <w:noProof/>
          <w:color w:val="000000" w:themeColor="text1"/>
          <w:lang w:val="en-GB"/>
        </w:rPr>
        <w:footnoteReference w:id="23"/>
      </w:r>
      <w:r w:rsidR="00DC7878" w:rsidRPr="00EA1866">
        <w:rPr>
          <w:rFonts w:eastAsia="Times New Roman" w:cs="Times New Roman"/>
          <w:noProof/>
          <w:color w:val="000000" w:themeColor="text1"/>
          <w:lang w:val="en-GB"/>
        </w:rPr>
        <w:t>.</w:t>
      </w:r>
      <w:r w:rsidR="4CE65D04" w:rsidRPr="00EA1866">
        <w:rPr>
          <w:rFonts w:eastAsia="Times New Roman" w:cs="Times New Roman"/>
          <w:noProof/>
          <w:color w:val="000000" w:themeColor="text1"/>
          <w:lang w:val="en-GB"/>
        </w:rPr>
        <w:t xml:space="preserve"> </w:t>
      </w:r>
      <w:r w:rsidR="4E2B1747" w:rsidRPr="00EA1866">
        <w:rPr>
          <w:rFonts w:eastAsia="Times New Roman" w:cs="Times New Roman"/>
          <w:noProof/>
          <w:color w:val="000000" w:themeColor="text1"/>
          <w:lang w:val="en-GB"/>
        </w:rPr>
        <w:t>The</w:t>
      </w:r>
      <w:r w:rsidR="08AAF2D9" w:rsidRPr="00EA1866">
        <w:rPr>
          <w:rFonts w:eastAsia="Times New Roman" w:cs="Times New Roman"/>
          <w:noProof/>
          <w:color w:val="000000" w:themeColor="text1"/>
          <w:lang w:val="en-GB"/>
        </w:rPr>
        <w:t>se</w:t>
      </w:r>
      <w:r w:rsidR="4E2B1747" w:rsidRPr="00EA1866">
        <w:rPr>
          <w:rFonts w:eastAsia="Times New Roman" w:cs="Times New Roman"/>
          <w:noProof/>
          <w:color w:val="000000" w:themeColor="text1"/>
          <w:lang w:val="en-GB"/>
        </w:rPr>
        <w:t xml:space="preserve"> rules were last revised in 2019 and were originally set to expire </w:t>
      </w:r>
      <w:r w:rsidR="7426187E" w:rsidRPr="00EA1866">
        <w:rPr>
          <w:rFonts w:eastAsia="Times New Roman" w:cs="Times New Roman"/>
          <w:noProof/>
          <w:color w:val="000000" w:themeColor="text1"/>
          <w:lang w:val="en-GB"/>
        </w:rPr>
        <w:t xml:space="preserve">at the </w:t>
      </w:r>
      <w:r w:rsidR="4E2B1747" w:rsidRPr="00EA1866">
        <w:rPr>
          <w:rFonts w:eastAsia="Times New Roman" w:cs="Times New Roman"/>
          <w:noProof/>
          <w:color w:val="000000" w:themeColor="text1"/>
          <w:lang w:val="en-GB"/>
        </w:rPr>
        <w:t>end</w:t>
      </w:r>
      <w:r w:rsidR="7426187E" w:rsidRPr="00EA1866">
        <w:rPr>
          <w:rFonts w:eastAsia="Times New Roman" w:cs="Times New Roman"/>
          <w:noProof/>
          <w:color w:val="000000" w:themeColor="text1"/>
          <w:lang w:val="en-GB"/>
        </w:rPr>
        <w:t xml:space="preserve"> of </w:t>
      </w:r>
      <w:r w:rsidR="4E2B1747" w:rsidRPr="00EA1866">
        <w:rPr>
          <w:rFonts w:eastAsia="Times New Roman" w:cs="Times New Roman"/>
          <w:noProof/>
          <w:color w:val="000000" w:themeColor="text1"/>
          <w:lang w:val="en-GB"/>
        </w:rPr>
        <w:t xml:space="preserve">2027. Their revision </w:t>
      </w:r>
      <w:r w:rsidR="08AAF2D9" w:rsidRPr="00EA1866">
        <w:rPr>
          <w:rFonts w:eastAsia="Times New Roman" w:cs="Times New Roman"/>
          <w:noProof/>
          <w:color w:val="000000" w:themeColor="text1"/>
          <w:lang w:val="en-GB"/>
        </w:rPr>
        <w:t>was</w:t>
      </w:r>
      <w:r w:rsidR="4E2B1747" w:rsidRPr="00EA1866">
        <w:rPr>
          <w:rFonts w:eastAsia="Times New Roman" w:cs="Times New Roman"/>
          <w:noProof/>
          <w:color w:val="000000" w:themeColor="text1"/>
          <w:lang w:val="en-GB"/>
        </w:rPr>
        <w:t xml:space="preserve"> </w:t>
      </w:r>
      <w:r w:rsidR="7426187E" w:rsidRPr="00EA1866">
        <w:rPr>
          <w:rFonts w:eastAsia="Times New Roman" w:cs="Times New Roman"/>
          <w:noProof/>
          <w:color w:val="000000" w:themeColor="text1"/>
          <w:lang w:val="en-GB"/>
        </w:rPr>
        <w:t xml:space="preserve">brought forward </w:t>
      </w:r>
      <w:r w:rsidR="4E2B1747" w:rsidRPr="00EA1866">
        <w:rPr>
          <w:rFonts w:eastAsia="Times New Roman" w:cs="Times New Roman"/>
          <w:noProof/>
          <w:color w:val="000000" w:themeColor="text1"/>
          <w:lang w:val="en-GB"/>
        </w:rPr>
        <w:t>and accelerated in light of the inflationary pressure in recent years and the current context with, among other</w:t>
      </w:r>
      <w:r w:rsidR="7426187E" w:rsidRPr="00EA1866">
        <w:rPr>
          <w:rFonts w:eastAsia="Times New Roman" w:cs="Times New Roman"/>
          <w:noProof/>
          <w:color w:val="000000" w:themeColor="text1"/>
          <w:lang w:val="en-GB"/>
        </w:rPr>
        <w:t xml:space="preserve"> things</w:t>
      </w:r>
      <w:r w:rsidR="4E2B1747" w:rsidRPr="00EA1866">
        <w:rPr>
          <w:rFonts w:eastAsia="Times New Roman" w:cs="Times New Roman"/>
          <w:noProof/>
          <w:color w:val="000000" w:themeColor="text1"/>
          <w:lang w:val="en-GB"/>
        </w:rPr>
        <w:t xml:space="preserve">, high </w:t>
      </w:r>
      <w:r w:rsidR="4E2B1747" w:rsidRPr="00EA1866">
        <w:rPr>
          <w:rFonts w:eastAsia="Times New Roman" w:cs="Times New Roman"/>
          <w:noProof/>
          <w:color w:val="000000" w:themeColor="text1"/>
          <w:lang w:val="en-GB"/>
        </w:rPr>
        <w:lastRenderedPageBreak/>
        <w:t xml:space="preserve">commodity prices affecting the agricultural sector. </w:t>
      </w:r>
      <w:r w:rsidR="30FAAF21" w:rsidRPr="00EA1866">
        <w:rPr>
          <w:rStyle w:val="normaltextrun"/>
          <w:rFonts w:cs="Times New Roman"/>
          <w:noProof/>
          <w:lang w:val="en-GB"/>
        </w:rPr>
        <w:t>On 7 June</w:t>
      </w:r>
      <w:r w:rsidR="30FAAF21" w:rsidRPr="00956FFD">
        <w:rPr>
          <w:rStyle w:val="normaltextrun"/>
          <w:rFonts w:cs="Times New Roman"/>
          <w:noProof/>
          <w:lang w:val="en-GB"/>
        </w:rPr>
        <w:t xml:space="preserve"> 2024, the Commission launched a public consultation</w:t>
      </w:r>
      <w:r w:rsidR="7426187E" w:rsidRPr="00956FFD">
        <w:rPr>
          <w:rStyle w:val="normaltextrun"/>
          <w:rFonts w:cs="Times New Roman"/>
          <w:noProof/>
          <w:lang w:val="en-GB"/>
        </w:rPr>
        <w:t>,</w:t>
      </w:r>
      <w:r w:rsidR="508F58F6" w:rsidRPr="00956FFD">
        <w:rPr>
          <w:rStyle w:val="normaltextrun"/>
          <w:rFonts w:cs="Times New Roman"/>
          <w:noProof/>
          <w:lang w:val="en-GB"/>
        </w:rPr>
        <w:t xml:space="preserve"> which ended on 21 July</w:t>
      </w:r>
      <w:r w:rsidR="508F58F6" w:rsidRPr="6F217AB4">
        <w:rPr>
          <w:rStyle w:val="normaltextrun"/>
          <w:rFonts w:cs="Times New Roman"/>
          <w:noProof/>
          <w:lang w:val="en-GB"/>
        </w:rPr>
        <w:t xml:space="preserve"> 2024</w:t>
      </w:r>
      <w:r w:rsidR="30FAAF21" w:rsidRPr="5B7F1876">
        <w:rPr>
          <w:rStyle w:val="normaltextrun"/>
          <w:rFonts w:cs="Times New Roman"/>
          <w:noProof/>
          <w:lang w:val="en-GB"/>
        </w:rPr>
        <w:t xml:space="preserve"> seeking feedback from stakeholders on its proposal for a draft amendment</w:t>
      </w:r>
      <w:r w:rsidR="00985C87" w:rsidRPr="5B7F1876">
        <w:rPr>
          <w:rStyle w:val="FootnoteReference"/>
          <w:rFonts w:cs="Times New Roman"/>
          <w:noProof/>
          <w:lang w:val="en-GB"/>
        </w:rPr>
        <w:footnoteReference w:id="24"/>
      </w:r>
      <w:r w:rsidR="00E035AD">
        <w:rPr>
          <w:rStyle w:val="normaltextrun"/>
          <w:rFonts w:cs="Times New Roman"/>
          <w:noProof/>
          <w:lang w:val="en-GB"/>
        </w:rPr>
        <w:t>.</w:t>
      </w:r>
      <w:r w:rsidR="726D50B0" w:rsidRPr="00724676">
        <w:rPr>
          <w:rStyle w:val="superscript"/>
          <w:rFonts w:cs="Times New Roman"/>
          <w:noProof/>
          <w:sz w:val="20"/>
          <w:szCs w:val="20"/>
          <w:vertAlign w:val="superscript"/>
          <w:lang w:val="en-GB"/>
        </w:rPr>
        <w:t xml:space="preserve"> </w:t>
      </w:r>
      <w:r w:rsidR="44B3DD9C" w:rsidRPr="58ACE821">
        <w:rPr>
          <w:rFonts w:eastAsia="Times New Roman" w:cs="Times New Roman"/>
          <w:noProof/>
          <w:color w:val="000000" w:themeColor="text1"/>
          <w:lang w:val="en-GB"/>
        </w:rPr>
        <w:t>F</w:t>
      </w:r>
      <w:r w:rsidR="2CA16AD8" w:rsidRPr="58ACE821">
        <w:rPr>
          <w:rFonts w:eastAsia="Times New Roman" w:cs="Times New Roman"/>
          <w:noProof/>
          <w:color w:val="000000" w:themeColor="text1"/>
          <w:lang w:val="en-GB"/>
        </w:rPr>
        <w:t xml:space="preserve">or a number of </w:t>
      </w:r>
      <w:r w:rsidR="4393F892" w:rsidRPr="58ACE821">
        <w:rPr>
          <w:rFonts w:eastAsia="Times New Roman" w:cs="Times New Roman"/>
          <w:noProof/>
          <w:color w:val="000000" w:themeColor="text1"/>
          <w:lang w:val="en-GB"/>
        </w:rPr>
        <w:t xml:space="preserve">other </w:t>
      </w:r>
      <w:r w:rsidR="4ED8D564" w:rsidRPr="58ACE821">
        <w:rPr>
          <w:rFonts w:eastAsia="Times New Roman" w:cs="Times New Roman"/>
          <w:noProof/>
          <w:color w:val="000000" w:themeColor="text1"/>
          <w:lang w:val="en-GB"/>
        </w:rPr>
        <w:t>legislative proposals</w:t>
      </w:r>
      <w:r w:rsidR="2CA16AD8" w:rsidRPr="58ACE821">
        <w:rPr>
          <w:rFonts w:eastAsia="Times New Roman" w:cs="Times New Roman"/>
          <w:noProof/>
          <w:color w:val="000000" w:themeColor="text1"/>
          <w:lang w:val="en-GB"/>
        </w:rPr>
        <w:t xml:space="preserve">, </w:t>
      </w:r>
      <w:r w:rsidR="0DA5CD9C" w:rsidRPr="58ACE821">
        <w:rPr>
          <w:rFonts w:eastAsia="Times New Roman" w:cs="Times New Roman"/>
          <w:noProof/>
          <w:color w:val="000000" w:themeColor="text1"/>
          <w:lang w:val="en-GB"/>
        </w:rPr>
        <w:t xml:space="preserve">policy </w:t>
      </w:r>
      <w:r w:rsidR="2CA16AD8" w:rsidRPr="58ACE821">
        <w:rPr>
          <w:rFonts w:eastAsia="Times New Roman" w:cs="Times New Roman"/>
          <w:noProof/>
          <w:color w:val="000000" w:themeColor="text1"/>
          <w:lang w:val="en-GB"/>
        </w:rPr>
        <w:t>simplification</w:t>
      </w:r>
      <w:r w:rsidR="0DFF02D3" w:rsidRPr="58ACE821">
        <w:rPr>
          <w:rFonts w:eastAsia="Times New Roman" w:cs="Times New Roman"/>
          <w:noProof/>
          <w:color w:val="000000" w:themeColor="text1"/>
          <w:lang w:val="en-GB"/>
        </w:rPr>
        <w:t xml:space="preserve"> can </w:t>
      </w:r>
      <w:r w:rsidR="618139F7" w:rsidRPr="58ACE821">
        <w:rPr>
          <w:rFonts w:eastAsia="Times New Roman" w:cs="Times New Roman"/>
          <w:noProof/>
          <w:color w:val="000000" w:themeColor="text1"/>
          <w:lang w:val="en-GB"/>
        </w:rPr>
        <w:t>still</w:t>
      </w:r>
      <w:r w:rsidR="2CA16AD8" w:rsidRPr="58ACE821">
        <w:rPr>
          <w:rFonts w:eastAsia="Times New Roman" w:cs="Times New Roman"/>
          <w:noProof/>
          <w:color w:val="000000" w:themeColor="text1"/>
          <w:lang w:val="en-GB"/>
        </w:rPr>
        <w:t xml:space="preserve"> </w:t>
      </w:r>
      <w:r w:rsidR="0DA5CD9C" w:rsidRPr="58ACE821">
        <w:rPr>
          <w:rFonts w:eastAsia="Times New Roman" w:cs="Times New Roman"/>
          <w:noProof/>
          <w:color w:val="000000" w:themeColor="text1"/>
          <w:lang w:val="en-GB"/>
        </w:rPr>
        <w:t>be</w:t>
      </w:r>
      <w:r w:rsidR="419BB95C" w:rsidRPr="58ACE821">
        <w:rPr>
          <w:rFonts w:eastAsia="Times New Roman" w:cs="Times New Roman"/>
          <w:noProof/>
          <w:color w:val="000000" w:themeColor="text1"/>
          <w:lang w:val="en-GB"/>
        </w:rPr>
        <w:t xml:space="preserve"> addressed</w:t>
      </w:r>
      <w:r w:rsidR="0DA5CD9C" w:rsidRPr="58ACE821">
        <w:rPr>
          <w:rFonts w:eastAsia="Times New Roman" w:cs="Times New Roman"/>
          <w:noProof/>
          <w:color w:val="000000" w:themeColor="text1"/>
          <w:lang w:val="en-GB"/>
        </w:rPr>
        <w:t xml:space="preserve"> during </w:t>
      </w:r>
      <w:r w:rsidR="618139F7" w:rsidRPr="58ACE821">
        <w:rPr>
          <w:rFonts w:eastAsia="Times New Roman" w:cs="Times New Roman"/>
          <w:noProof/>
          <w:color w:val="000000" w:themeColor="text1"/>
          <w:lang w:val="en-GB"/>
        </w:rPr>
        <w:t xml:space="preserve">the </w:t>
      </w:r>
      <w:r w:rsidR="0DA5CD9C" w:rsidRPr="58ACE821">
        <w:rPr>
          <w:rFonts w:eastAsia="Times New Roman" w:cs="Times New Roman"/>
          <w:noProof/>
          <w:color w:val="000000" w:themeColor="text1"/>
          <w:lang w:val="en-GB"/>
        </w:rPr>
        <w:t>ongoing legislative procedures</w:t>
      </w:r>
      <w:r w:rsidR="522ED515" w:rsidRPr="58ACE821">
        <w:rPr>
          <w:rFonts w:eastAsia="Times New Roman" w:cs="Times New Roman"/>
          <w:noProof/>
          <w:color w:val="000000" w:themeColor="text1"/>
          <w:lang w:val="en-GB"/>
        </w:rPr>
        <w:t xml:space="preserve"> as </w:t>
      </w:r>
      <w:r w:rsidR="330A5D2E" w:rsidRPr="58ACE821">
        <w:rPr>
          <w:rFonts w:eastAsia="Times New Roman" w:cs="Times New Roman"/>
          <w:noProof/>
          <w:color w:val="000000" w:themeColor="text1"/>
          <w:lang w:val="en-GB"/>
        </w:rPr>
        <w:t>explained</w:t>
      </w:r>
      <w:r w:rsidR="522ED515" w:rsidRPr="58ACE821">
        <w:rPr>
          <w:rFonts w:eastAsia="Times New Roman" w:cs="Times New Roman"/>
          <w:noProof/>
          <w:color w:val="000000" w:themeColor="text1"/>
          <w:lang w:val="en-GB"/>
        </w:rPr>
        <w:t xml:space="preserve"> in </w:t>
      </w:r>
      <w:r w:rsidR="330A5D2E" w:rsidRPr="58ACE821">
        <w:rPr>
          <w:rFonts w:eastAsia="Times New Roman" w:cs="Times New Roman"/>
          <w:noProof/>
          <w:color w:val="000000" w:themeColor="text1"/>
          <w:lang w:val="en-GB"/>
        </w:rPr>
        <w:t>A</w:t>
      </w:r>
      <w:r w:rsidR="522ED515" w:rsidRPr="58ACE821">
        <w:rPr>
          <w:rFonts w:eastAsia="Times New Roman" w:cs="Times New Roman"/>
          <w:noProof/>
          <w:color w:val="000000" w:themeColor="text1"/>
          <w:lang w:val="en-GB"/>
        </w:rPr>
        <w:t>nnex 2</w:t>
      </w:r>
      <w:r w:rsidR="330A5D2E" w:rsidRPr="58ACE821">
        <w:rPr>
          <w:rFonts w:eastAsia="Times New Roman" w:cs="Times New Roman"/>
          <w:noProof/>
          <w:color w:val="000000" w:themeColor="text1"/>
          <w:lang w:val="en-GB"/>
        </w:rPr>
        <w:t>.</w:t>
      </w:r>
    </w:p>
    <w:p w14:paraId="2861E5BA" w14:textId="192CC3A3" w:rsidR="004E0823" w:rsidRPr="00724676" w:rsidRDefault="009309E9" w:rsidP="00F97E30">
      <w:pPr>
        <w:spacing w:after="120"/>
        <w:jc w:val="both"/>
        <w:rPr>
          <w:rFonts w:eastAsia="Times New Roman" w:cs="Times New Roman"/>
          <w:noProof/>
          <w:color w:val="000000" w:themeColor="text1"/>
          <w:lang w:val="en-GB"/>
        </w:rPr>
      </w:pPr>
      <w:r w:rsidRPr="40BF105E">
        <w:rPr>
          <w:rFonts w:eastAsia="Times New Roman" w:cs="Times New Roman"/>
          <w:noProof/>
          <w:color w:val="000000" w:themeColor="text1"/>
          <w:lang w:val="en-GB"/>
        </w:rPr>
        <w:t xml:space="preserve">For certain other suggestions, </w:t>
      </w:r>
      <w:r w:rsidR="000E6A16" w:rsidRPr="40BF105E">
        <w:rPr>
          <w:rFonts w:eastAsia="Times New Roman" w:cs="Times New Roman"/>
          <w:noProof/>
          <w:color w:val="000000" w:themeColor="text1"/>
          <w:lang w:val="en-GB"/>
        </w:rPr>
        <w:t>such as</w:t>
      </w:r>
      <w:r w:rsidR="000C7E24" w:rsidRPr="40BF105E">
        <w:rPr>
          <w:rFonts w:eastAsia="Times New Roman" w:cs="Times New Roman"/>
          <w:noProof/>
          <w:color w:val="000000" w:themeColor="text1"/>
          <w:lang w:val="en-GB"/>
        </w:rPr>
        <w:t xml:space="preserve"> the consistency between laws affecting </w:t>
      </w:r>
      <w:r w:rsidR="008E3292" w:rsidRPr="40BF105E">
        <w:rPr>
          <w:rFonts w:eastAsia="Times New Roman" w:cs="Times New Roman"/>
          <w:noProof/>
          <w:color w:val="000000" w:themeColor="text1"/>
          <w:lang w:val="en-GB"/>
        </w:rPr>
        <w:t>farmers</w:t>
      </w:r>
      <w:r w:rsidR="000E0791" w:rsidRPr="40BF105E">
        <w:rPr>
          <w:rFonts w:eastAsia="Times New Roman" w:cs="Times New Roman"/>
          <w:noProof/>
          <w:color w:val="000000" w:themeColor="text1"/>
          <w:lang w:val="en-GB"/>
        </w:rPr>
        <w:t>,</w:t>
      </w:r>
      <w:r w:rsidR="008E3292" w:rsidRPr="40BF105E">
        <w:rPr>
          <w:rFonts w:eastAsia="Times New Roman" w:cs="Times New Roman"/>
          <w:noProof/>
          <w:color w:val="000000" w:themeColor="text1"/>
          <w:lang w:val="en-GB"/>
        </w:rPr>
        <w:t xml:space="preserve"> </w:t>
      </w:r>
      <w:r w:rsidR="00480D19" w:rsidRPr="40BF105E">
        <w:rPr>
          <w:rFonts w:eastAsia="Times New Roman" w:cs="Times New Roman"/>
          <w:noProof/>
          <w:color w:val="000000" w:themeColor="text1"/>
          <w:lang w:val="en-GB"/>
        </w:rPr>
        <w:t xml:space="preserve">the lessons learned from the current period will feed </w:t>
      </w:r>
      <w:r w:rsidR="00D531C4" w:rsidRPr="40BF105E">
        <w:rPr>
          <w:rFonts w:eastAsia="Times New Roman" w:cs="Times New Roman"/>
          <w:noProof/>
          <w:color w:val="000000" w:themeColor="text1"/>
          <w:lang w:val="en-GB"/>
        </w:rPr>
        <w:t xml:space="preserve">into </w:t>
      </w:r>
      <w:r w:rsidR="00480D19" w:rsidRPr="40BF105E">
        <w:rPr>
          <w:rFonts w:eastAsia="Times New Roman" w:cs="Times New Roman"/>
          <w:noProof/>
          <w:color w:val="000000" w:themeColor="text1"/>
          <w:lang w:val="en-GB"/>
        </w:rPr>
        <w:t>the reflection on</w:t>
      </w:r>
      <w:r w:rsidR="00A70220" w:rsidRPr="40BF105E">
        <w:rPr>
          <w:rFonts w:eastAsia="Times New Roman" w:cs="Times New Roman"/>
          <w:noProof/>
          <w:color w:val="000000" w:themeColor="text1"/>
          <w:lang w:val="en-GB"/>
        </w:rPr>
        <w:t xml:space="preserve"> the</w:t>
      </w:r>
      <w:r w:rsidR="00480D19" w:rsidRPr="40BF105E">
        <w:rPr>
          <w:rFonts w:eastAsia="Times New Roman" w:cs="Times New Roman"/>
          <w:noProof/>
          <w:color w:val="000000" w:themeColor="text1"/>
          <w:lang w:val="en-GB"/>
        </w:rPr>
        <w:t xml:space="preserve"> </w:t>
      </w:r>
      <w:r w:rsidR="000E0791" w:rsidRPr="40BF105E">
        <w:rPr>
          <w:rFonts w:eastAsia="Times New Roman" w:cs="Times New Roman"/>
          <w:noProof/>
          <w:color w:val="000000" w:themeColor="text1"/>
          <w:lang w:val="en-GB"/>
        </w:rPr>
        <w:t>post-2027 CAP</w:t>
      </w:r>
      <w:r w:rsidR="00B97ED0" w:rsidRPr="40BF105E">
        <w:rPr>
          <w:rFonts w:eastAsia="Times New Roman" w:cs="Times New Roman"/>
          <w:noProof/>
          <w:color w:val="000000" w:themeColor="text1"/>
          <w:lang w:val="en-GB"/>
        </w:rPr>
        <w:t xml:space="preserve"> and </w:t>
      </w:r>
      <w:r w:rsidR="00FC01E3" w:rsidRPr="40BF105E">
        <w:rPr>
          <w:rFonts w:eastAsia="Times New Roman" w:cs="Times New Roman"/>
          <w:noProof/>
          <w:color w:val="000000" w:themeColor="text1"/>
          <w:lang w:val="en-GB"/>
        </w:rPr>
        <w:t xml:space="preserve">the work on relevant </w:t>
      </w:r>
      <w:r w:rsidR="00D531C4" w:rsidRPr="40BF105E">
        <w:rPr>
          <w:rFonts w:eastAsia="Times New Roman" w:cs="Times New Roman"/>
          <w:noProof/>
          <w:color w:val="000000" w:themeColor="text1"/>
          <w:lang w:val="en-GB"/>
        </w:rPr>
        <w:t xml:space="preserve">future </w:t>
      </w:r>
      <w:r w:rsidR="00AF7B1A" w:rsidRPr="40BF105E">
        <w:rPr>
          <w:rFonts w:eastAsia="Times New Roman" w:cs="Times New Roman"/>
          <w:noProof/>
          <w:color w:val="000000" w:themeColor="text1"/>
          <w:lang w:val="en-GB"/>
        </w:rPr>
        <w:t xml:space="preserve">EU </w:t>
      </w:r>
      <w:r w:rsidR="00FC01E3" w:rsidRPr="40BF105E">
        <w:rPr>
          <w:rFonts w:eastAsia="Times New Roman" w:cs="Times New Roman"/>
          <w:noProof/>
          <w:color w:val="000000" w:themeColor="text1"/>
          <w:lang w:val="en-GB"/>
        </w:rPr>
        <w:t>legislation.</w:t>
      </w:r>
    </w:p>
    <w:p w14:paraId="4B7A7881" w14:textId="4B15EDBE" w:rsidR="000D24DD" w:rsidRDefault="44767AE0" w:rsidP="08B2124B">
      <w:pPr>
        <w:spacing w:after="120"/>
        <w:jc w:val="both"/>
        <w:rPr>
          <w:noProof/>
        </w:rPr>
      </w:pPr>
      <w:r w:rsidRPr="003601A3">
        <w:rPr>
          <w:rFonts w:eastAsia="Times New Roman" w:cs="Times New Roman"/>
          <w:noProof/>
          <w:color w:val="000000" w:themeColor="text1"/>
          <w:lang w:val="en-GB"/>
        </w:rPr>
        <w:t xml:space="preserve">Certain comments referred to the ongoing evaluation of the Nitrates Directive and suggestions were made for a temporary exemption </w:t>
      </w:r>
      <w:r w:rsidR="7A97CE24" w:rsidRPr="08B2124B">
        <w:rPr>
          <w:rFonts w:eastAsia="Times New Roman" w:cs="Times New Roman"/>
          <w:noProof/>
          <w:color w:val="000000" w:themeColor="text1"/>
          <w:lang w:val="en-GB"/>
        </w:rPr>
        <w:t xml:space="preserve">that would enable the safe use of RENURE products </w:t>
      </w:r>
      <w:r w:rsidR="30371B85" w:rsidRPr="08B2124B">
        <w:rPr>
          <w:rFonts w:eastAsia="Times New Roman" w:cs="Times New Roman"/>
          <w:noProof/>
          <w:color w:val="000000" w:themeColor="text1"/>
          <w:lang w:val="en-GB"/>
        </w:rPr>
        <w:t xml:space="preserve">(recovered nitrogen from manure) </w:t>
      </w:r>
      <w:r w:rsidR="66A385EA" w:rsidRPr="08B2124B">
        <w:rPr>
          <w:rFonts w:eastAsia="Times New Roman" w:cs="Times New Roman"/>
          <w:noProof/>
          <w:color w:val="000000" w:themeColor="text1"/>
          <w:lang w:val="en-GB"/>
        </w:rPr>
        <w:t xml:space="preserve">in Nitrates Vulnerable Zones </w:t>
      </w:r>
      <w:r w:rsidR="7A97CE24" w:rsidRPr="08B2124B">
        <w:rPr>
          <w:rFonts w:eastAsia="Times New Roman" w:cs="Times New Roman"/>
          <w:noProof/>
          <w:color w:val="000000" w:themeColor="text1"/>
          <w:lang w:val="en-GB"/>
        </w:rPr>
        <w:t>beyond the curre</w:t>
      </w:r>
      <w:r w:rsidR="3957024C" w:rsidRPr="08B2124B">
        <w:rPr>
          <w:rFonts w:eastAsia="Times New Roman" w:cs="Times New Roman"/>
          <w:noProof/>
          <w:color w:val="000000" w:themeColor="text1"/>
          <w:lang w:val="en-GB"/>
        </w:rPr>
        <w:t>nt</w:t>
      </w:r>
      <w:r w:rsidR="7A97CE24" w:rsidRPr="08B2124B">
        <w:rPr>
          <w:rFonts w:eastAsia="Times New Roman" w:cs="Times New Roman"/>
          <w:noProof/>
          <w:color w:val="000000" w:themeColor="text1"/>
          <w:lang w:val="en-GB"/>
        </w:rPr>
        <w:t xml:space="preserve"> limit of </w:t>
      </w:r>
      <w:r w:rsidR="0008420C">
        <w:rPr>
          <w:rFonts w:eastAsia="Times New Roman" w:cs="Times New Roman"/>
          <w:noProof/>
          <w:color w:val="000000" w:themeColor="text1"/>
          <w:lang w:val="en-GB"/>
        </w:rPr>
        <w:br/>
      </w:r>
      <w:r w:rsidR="7A97CE24" w:rsidRPr="08B2124B">
        <w:rPr>
          <w:rFonts w:eastAsia="Times New Roman" w:cs="Times New Roman"/>
          <w:noProof/>
          <w:color w:val="000000" w:themeColor="text1"/>
          <w:lang w:val="en-GB"/>
        </w:rPr>
        <w:t>170</w:t>
      </w:r>
      <w:r w:rsidR="009D6FF6" w:rsidRPr="08B2124B">
        <w:rPr>
          <w:rFonts w:eastAsia="Times New Roman" w:cs="Times New Roman"/>
          <w:noProof/>
          <w:color w:val="000000" w:themeColor="text1"/>
          <w:lang w:val="en-GB"/>
        </w:rPr>
        <w:t xml:space="preserve"> </w:t>
      </w:r>
      <w:r w:rsidR="7A97CE24" w:rsidRPr="08B2124B">
        <w:rPr>
          <w:rFonts w:eastAsia="Times New Roman" w:cs="Times New Roman"/>
          <w:noProof/>
          <w:color w:val="000000" w:themeColor="text1"/>
          <w:lang w:val="en-GB"/>
        </w:rPr>
        <w:t>kg N/ha/year from manure</w:t>
      </w:r>
      <w:r w:rsidR="08D34B3A" w:rsidRPr="08B2124B">
        <w:rPr>
          <w:rFonts w:eastAsia="Times New Roman" w:cs="Times New Roman"/>
          <w:noProof/>
          <w:color w:val="000000" w:themeColor="text1"/>
          <w:lang w:val="en-GB"/>
        </w:rPr>
        <w:t>,</w:t>
      </w:r>
      <w:r w:rsidR="7A97CE24" w:rsidRPr="08B2124B">
        <w:rPr>
          <w:rFonts w:eastAsia="Times New Roman" w:cs="Times New Roman"/>
          <w:noProof/>
          <w:color w:val="000000" w:themeColor="text1"/>
          <w:lang w:val="en-GB"/>
        </w:rPr>
        <w:t xml:space="preserve"> based on</w:t>
      </w:r>
      <w:r w:rsidR="6F97A27E" w:rsidRPr="08B2124B">
        <w:rPr>
          <w:rFonts w:eastAsia="Times New Roman" w:cs="Times New Roman"/>
          <w:noProof/>
          <w:color w:val="000000" w:themeColor="text1"/>
          <w:lang w:val="en-GB"/>
        </w:rPr>
        <w:t xml:space="preserve"> </w:t>
      </w:r>
      <w:r w:rsidR="7A97CE24" w:rsidRPr="08B2124B">
        <w:rPr>
          <w:rFonts w:eastAsia="Times New Roman" w:cs="Times New Roman"/>
          <w:noProof/>
          <w:color w:val="000000" w:themeColor="text1"/>
          <w:lang w:val="en-GB"/>
        </w:rPr>
        <w:t>R</w:t>
      </w:r>
      <w:r w:rsidR="5CAA4EAA" w:rsidRPr="08B2124B">
        <w:rPr>
          <w:rFonts w:eastAsia="Times New Roman" w:cs="Times New Roman"/>
          <w:noProof/>
          <w:color w:val="000000" w:themeColor="text1"/>
          <w:lang w:val="en-GB"/>
        </w:rPr>
        <w:t xml:space="preserve">ENURE criteria developed by the Commission’s Joint </w:t>
      </w:r>
      <w:r w:rsidR="00956FFD" w:rsidRPr="08B2124B">
        <w:rPr>
          <w:rFonts w:eastAsia="Times New Roman" w:cs="Times New Roman"/>
          <w:noProof/>
          <w:color w:val="000000" w:themeColor="text1"/>
          <w:lang w:val="en-GB"/>
        </w:rPr>
        <w:t>Research</w:t>
      </w:r>
      <w:r w:rsidR="5CAA4EAA" w:rsidRPr="08B2124B">
        <w:rPr>
          <w:rFonts w:eastAsia="Times New Roman" w:cs="Times New Roman"/>
          <w:noProof/>
          <w:color w:val="000000" w:themeColor="text1"/>
          <w:lang w:val="en-GB"/>
        </w:rPr>
        <w:t xml:space="preserve"> Centre, and which </w:t>
      </w:r>
      <w:r w:rsidR="0CF2287E" w:rsidRPr="08B2124B">
        <w:rPr>
          <w:rFonts w:eastAsia="Times New Roman" w:cs="Times New Roman"/>
          <w:noProof/>
          <w:color w:val="000000" w:themeColor="text1"/>
          <w:lang w:val="en-GB"/>
        </w:rPr>
        <w:t>could</w:t>
      </w:r>
      <w:r w:rsidR="19E68AC3" w:rsidRPr="003601A3">
        <w:rPr>
          <w:rFonts w:eastAsia="Times New Roman" w:cs="Times New Roman"/>
          <w:noProof/>
          <w:color w:val="000000" w:themeColor="text1"/>
          <w:lang w:val="en-GB"/>
        </w:rPr>
        <w:t xml:space="preserve"> substitut</w:t>
      </w:r>
      <w:r w:rsidR="0BB49C53" w:rsidRPr="08B2124B">
        <w:rPr>
          <w:rFonts w:eastAsia="Times New Roman" w:cs="Times New Roman"/>
          <w:noProof/>
          <w:color w:val="000000" w:themeColor="text1"/>
          <w:lang w:val="en-GB"/>
        </w:rPr>
        <w:t>e</w:t>
      </w:r>
      <w:r w:rsidR="19E68AC3" w:rsidRPr="003601A3">
        <w:rPr>
          <w:rFonts w:eastAsia="Times New Roman" w:cs="Times New Roman"/>
          <w:noProof/>
          <w:color w:val="000000" w:themeColor="text1"/>
          <w:lang w:val="en-GB"/>
        </w:rPr>
        <w:t xml:space="preserve"> </w:t>
      </w:r>
      <w:r w:rsidR="29774E8F" w:rsidRPr="08B2124B">
        <w:rPr>
          <w:rFonts w:eastAsia="Times New Roman" w:cs="Times New Roman"/>
          <w:noProof/>
          <w:color w:val="000000" w:themeColor="text1"/>
          <w:lang w:val="en-GB"/>
        </w:rPr>
        <w:t>the use of</w:t>
      </w:r>
      <w:r w:rsidR="19E68AC3" w:rsidRPr="08B2124B">
        <w:rPr>
          <w:rFonts w:eastAsia="Times New Roman" w:cs="Times New Roman"/>
          <w:noProof/>
          <w:color w:val="000000" w:themeColor="text1"/>
          <w:lang w:val="en-GB"/>
        </w:rPr>
        <w:t xml:space="preserve"> </w:t>
      </w:r>
      <w:r w:rsidR="19E68AC3" w:rsidRPr="003601A3">
        <w:rPr>
          <w:rFonts w:eastAsia="Times New Roman" w:cs="Times New Roman"/>
          <w:noProof/>
          <w:color w:val="000000" w:themeColor="text1"/>
          <w:lang w:val="en-GB"/>
        </w:rPr>
        <w:t>chemical fertilisers</w:t>
      </w:r>
      <w:r w:rsidR="0008420C">
        <w:rPr>
          <w:rFonts w:eastAsia="Times New Roman" w:cs="Times New Roman"/>
          <w:noProof/>
          <w:color w:val="000000" w:themeColor="text1"/>
          <w:lang w:val="en-GB"/>
        </w:rPr>
        <w:t>.</w:t>
      </w:r>
      <w:r w:rsidR="19E68AC3" w:rsidRPr="003601A3">
        <w:rPr>
          <w:rFonts w:eastAsia="Times New Roman" w:cs="Times New Roman"/>
          <w:noProof/>
          <w:color w:val="000000" w:themeColor="text1"/>
          <w:lang w:val="en-GB"/>
        </w:rPr>
        <w:t xml:space="preserve"> </w:t>
      </w:r>
      <w:r w:rsidRPr="003601A3">
        <w:rPr>
          <w:rFonts w:eastAsia="Times New Roman" w:cs="Times New Roman"/>
          <w:noProof/>
          <w:color w:val="000000" w:themeColor="text1"/>
          <w:lang w:val="en-GB"/>
        </w:rPr>
        <w:t xml:space="preserve"> </w:t>
      </w:r>
      <w:r w:rsidR="250FE32A" w:rsidRPr="003601A3">
        <w:rPr>
          <w:rFonts w:eastAsia="Times New Roman" w:cs="Times New Roman"/>
          <w:noProof/>
          <w:color w:val="000000" w:themeColor="text1"/>
          <w:lang w:val="en-GB"/>
        </w:rPr>
        <w:t>A</w:t>
      </w:r>
      <w:r w:rsidRPr="003601A3">
        <w:rPr>
          <w:rFonts w:eastAsia="Times New Roman" w:cs="Times New Roman"/>
          <w:noProof/>
          <w:color w:val="000000" w:themeColor="text1"/>
          <w:lang w:val="en-GB"/>
        </w:rPr>
        <w:t>waiting the outcome of the evaluation</w:t>
      </w:r>
      <w:r w:rsidR="335C7E99" w:rsidRPr="003601A3">
        <w:rPr>
          <w:rFonts w:eastAsia="Times New Roman" w:cs="Times New Roman"/>
          <w:noProof/>
          <w:color w:val="000000" w:themeColor="text1"/>
          <w:lang w:val="en-GB"/>
        </w:rPr>
        <w:t>,</w:t>
      </w:r>
      <w:r w:rsidR="4185A6DE" w:rsidRPr="003601A3">
        <w:rPr>
          <w:rFonts w:eastAsia="Times New Roman" w:cs="Times New Roman"/>
          <w:noProof/>
          <w:color w:val="000000" w:themeColor="text1"/>
          <w:lang w:val="en-GB"/>
        </w:rPr>
        <w:t xml:space="preserve"> </w:t>
      </w:r>
      <w:r w:rsidR="5E4754BB" w:rsidRPr="003601A3">
        <w:rPr>
          <w:rFonts w:eastAsia="Times New Roman" w:cs="Times New Roman"/>
          <w:noProof/>
          <w:color w:val="000000" w:themeColor="text1"/>
          <w:lang w:val="en-GB"/>
        </w:rPr>
        <w:t>a</w:t>
      </w:r>
      <w:r w:rsidRPr="003601A3">
        <w:rPr>
          <w:rFonts w:eastAsia="Times New Roman" w:cs="Times New Roman"/>
          <w:noProof/>
          <w:color w:val="000000" w:themeColor="text1"/>
          <w:lang w:val="en-GB"/>
        </w:rPr>
        <w:t xml:space="preserve">n interim solution </w:t>
      </w:r>
      <w:r w:rsidR="1AE3B076" w:rsidRPr="003601A3">
        <w:rPr>
          <w:rFonts w:eastAsia="Times New Roman" w:cs="Times New Roman"/>
          <w:noProof/>
          <w:color w:val="000000" w:themeColor="text1"/>
          <w:lang w:val="en-GB"/>
        </w:rPr>
        <w:t xml:space="preserve">that </w:t>
      </w:r>
      <w:r w:rsidRPr="003601A3">
        <w:rPr>
          <w:rFonts w:eastAsia="Times New Roman" w:cs="Times New Roman"/>
          <w:noProof/>
          <w:color w:val="000000" w:themeColor="text1"/>
          <w:lang w:val="en-GB"/>
        </w:rPr>
        <w:t xml:space="preserve">would allow RENURE products </w:t>
      </w:r>
      <w:r w:rsidR="1AE3B076" w:rsidRPr="003601A3">
        <w:rPr>
          <w:rFonts w:eastAsia="Times New Roman" w:cs="Times New Roman"/>
          <w:noProof/>
          <w:color w:val="000000" w:themeColor="text1"/>
          <w:lang w:val="en-GB"/>
        </w:rPr>
        <w:t xml:space="preserve">to be used </w:t>
      </w:r>
      <w:r w:rsidRPr="003601A3">
        <w:rPr>
          <w:rFonts w:eastAsia="Times New Roman" w:cs="Times New Roman"/>
          <w:noProof/>
          <w:color w:val="000000" w:themeColor="text1"/>
          <w:lang w:val="en-GB"/>
        </w:rPr>
        <w:t xml:space="preserve"> </w:t>
      </w:r>
      <w:r w:rsidR="16D49DAB" w:rsidRPr="003601A3">
        <w:rPr>
          <w:rFonts w:eastAsia="Times New Roman" w:cs="Times New Roman"/>
          <w:noProof/>
          <w:color w:val="000000" w:themeColor="text1"/>
          <w:lang w:val="en-GB"/>
        </w:rPr>
        <w:t xml:space="preserve">has been </w:t>
      </w:r>
      <w:r w:rsidR="2C08BA44" w:rsidRPr="003601A3">
        <w:rPr>
          <w:rFonts w:eastAsia="Times New Roman" w:cs="Times New Roman"/>
          <w:noProof/>
          <w:color w:val="000000" w:themeColor="text1"/>
          <w:lang w:val="en-GB"/>
        </w:rPr>
        <w:t>prepared</w:t>
      </w:r>
      <w:r w:rsidR="16D49DAB" w:rsidRPr="003601A3">
        <w:rPr>
          <w:rFonts w:eastAsia="Times New Roman" w:cs="Times New Roman"/>
          <w:noProof/>
          <w:color w:val="000000" w:themeColor="text1"/>
          <w:lang w:val="en-GB"/>
        </w:rPr>
        <w:t xml:space="preserve"> by the Commission and</w:t>
      </w:r>
      <w:r w:rsidR="00401610" w:rsidRPr="003601A3">
        <w:rPr>
          <w:rFonts w:eastAsia="Times New Roman" w:cs="Times New Roman"/>
          <w:noProof/>
          <w:color w:val="000000" w:themeColor="text1"/>
          <w:lang w:val="en-GB"/>
        </w:rPr>
        <w:t>, at the time of writing,</w:t>
      </w:r>
      <w:r w:rsidR="16D49DAB" w:rsidRPr="003601A3">
        <w:rPr>
          <w:rFonts w:eastAsia="Times New Roman" w:cs="Times New Roman"/>
          <w:noProof/>
          <w:color w:val="000000" w:themeColor="text1"/>
          <w:lang w:val="en-GB"/>
        </w:rPr>
        <w:t xml:space="preserve"> is pending opinion of the Member States in the Nitrates Committee</w:t>
      </w:r>
      <w:r w:rsidR="003925D3" w:rsidRPr="003601A3">
        <w:rPr>
          <w:rStyle w:val="FootnoteReference"/>
          <w:rFonts w:eastAsia="Times New Roman" w:cs="Times New Roman"/>
          <w:noProof/>
          <w:color w:val="000000" w:themeColor="text1"/>
          <w:lang w:val="en-GB"/>
        </w:rPr>
        <w:footnoteReference w:id="25"/>
      </w:r>
      <w:r w:rsidR="16D49DAB" w:rsidRPr="003601A3">
        <w:rPr>
          <w:rFonts w:eastAsia="Times New Roman" w:cs="Times New Roman"/>
          <w:noProof/>
          <w:color w:val="000000" w:themeColor="text1"/>
          <w:lang w:val="en-GB"/>
        </w:rPr>
        <w:t xml:space="preserve"> and the scrutiny of the co-legislators before coming into law.</w:t>
      </w:r>
      <w:r w:rsidR="00570E59">
        <w:rPr>
          <w:noProof/>
        </w:rPr>
        <w:t xml:space="preserve"> </w:t>
      </w:r>
    </w:p>
    <w:p w14:paraId="34927ADA" w14:textId="34627E60" w:rsidR="00425DF4" w:rsidRPr="00724676" w:rsidRDefault="00077281" w:rsidP="00380DD3">
      <w:pPr>
        <w:pStyle w:val="Style1"/>
        <w:numPr>
          <w:ilvl w:val="0"/>
          <w:numId w:val="0"/>
        </w:numPr>
        <w:spacing w:before="240" w:after="240"/>
        <w:rPr>
          <w:rFonts w:cs="Times New Roman"/>
          <w:noProof/>
          <w:lang w:val="en-GB"/>
        </w:rPr>
      </w:pPr>
      <w:bookmarkStart w:id="57" w:name="_Toc165537395"/>
      <w:bookmarkStart w:id="58" w:name="_Toc165537577"/>
      <w:bookmarkStart w:id="59" w:name="_Toc2111121648"/>
      <w:bookmarkStart w:id="60" w:name="_Toc338215086"/>
      <w:bookmarkStart w:id="61" w:name="_Toc1432926386"/>
      <w:bookmarkStart w:id="62" w:name="_Toc167974741"/>
      <w:bookmarkStart w:id="63" w:name="_Toc172125127"/>
      <w:bookmarkEnd w:id="57"/>
      <w:bookmarkEnd w:id="58"/>
      <w:r w:rsidRPr="00724676">
        <w:rPr>
          <w:b/>
          <w:bCs/>
          <w:noProof/>
          <w:lang w:val="en-GB"/>
        </w:rPr>
        <w:t>5.</w:t>
      </w:r>
      <w:r w:rsidRPr="00724676" w:rsidDel="00236F4F">
        <w:rPr>
          <w:b/>
          <w:bCs/>
          <w:noProof/>
          <w:lang w:val="en-GB"/>
        </w:rPr>
        <w:t xml:space="preserve"> </w:t>
      </w:r>
      <w:r w:rsidRPr="00724676">
        <w:rPr>
          <w:b/>
          <w:bCs/>
          <w:noProof/>
          <w:lang w:val="en-GB"/>
        </w:rPr>
        <w:t xml:space="preserve">DESCRIPTION OF THE </w:t>
      </w:r>
      <w:r w:rsidR="00A9552D" w:rsidRPr="00724676">
        <w:rPr>
          <w:b/>
          <w:bCs/>
          <w:noProof/>
          <w:lang w:val="en-GB"/>
        </w:rPr>
        <w:t xml:space="preserve">ACTIONS </w:t>
      </w:r>
      <w:r w:rsidRPr="00724676">
        <w:rPr>
          <w:b/>
          <w:bCs/>
          <w:noProof/>
          <w:lang w:val="en-GB"/>
        </w:rPr>
        <w:t>TAKEN</w:t>
      </w:r>
      <w:bookmarkEnd w:id="59"/>
      <w:bookmarkEnd w:id="60"/>
      <w:bookmarkEnd w:id="61"/>
      <w:bookmarkEnd w:id="62"/>
      <w:bookmarkEnd w:id="63"/>
    </w:p>
    <w:p w14:paraId="73A91179" w14:textId="53724256" w:rsidR="009E21D8" w:rsidRPr="00724676" w:rsidRDefault="00077281" w:rsidP="00BA4E5B">
      <w:pPr>
        <w:pStyle w:val="Heading2"/>
        <w:rPr>
          <w:noProof/>
          <w:lang w:val="en-GB"/>
        </w:rPr>
      </w:pPr>
      <w:bookmarkStart w:id="64" w:name="_Toc167974742"/>
      <w:bookmarkStart w:id="65" w:name="_Toc172125128"/>
      <w:r w:rsidRPr="00724676">
        <w:rPr>
          <w:noProof/>
          <w:lang w:val="en-GB"/>
        </w:rPr>
        <w:t>5</w:t>
      </w:r>
      <w:r w:rsidR="00324F15" w:rsidRPr="00724676">
        <w:rPr>
          <w:noProof/>
          <w:lang w:val="en-GB"/>
        </w:rPr>
        <w:t xml:space="preserve">.1 </w:t>
      </w:r>
      <w:r w:rsidR="00F44D7A" w:rsidRPr="00724676">
        <w:rPr>
          <w:noProof/>
          <w:lang w:val="en-GB"/>
        </w:rPr>
        <w:t>CAP Plans</w:t>
      </w:r>
      <w:r w:rsidRPr="00724676">
        <w:rPr>
          <w:noProof/>
          <w:lang w:val="en-GB"/>
        </w:rPr>
        <w:t>:</w:t>
      </w:r>
      <w:r w:rsidR="009A4321" w:rsidRPr="00724676">
        <w:rPr>
          <w:noProof/>
          <w:lang w:val="en-GB"/>
        </w:rPr>
        <w:t xml:space="preserve"> </w:t>
      </w:r>
      <w:r w:rsidR="00D531C4">
        <w:rPr>
          <w:noProof/>
          <w:lang w:val="en-GB"/>
        </w:rPr>
        <w:t>m</w:t>
      </w:r>
      <w:r w:rsidR="004079D5" w:rsidRPr="00724676">
        <w:rPr>
          <w:noProof/>
          <w:lang w:val="en-GB"/>
        </w:rPr>
        <w:t>anagement</w:t>
      </w:r>
      <w:r w:rsidR="00F42657" w:rsidRPr="00724676">
        <w:rPr>
          <w:noProof/>
          <w:lang w:val="en-GB"/>
        </w:rPr>
        <w:t>,</w:t>
      </w:r>
      <w:r w:rsidR="004079D5" w:rsidRPr="00724676">
        <w:rPr>
          <w:noProof/>
          <w:lang w:val="en-GB"/>
        </w:rPr>
        <w:t xml:space="preserve"> a</w:t>
      </w:r>
      <w:r w:rsidR="00DB7837" w:rsidRPr="00724676">
        <w:rPr>
          <w:noProof/>
          <w:lang w:val="en-GB"/>
        </w:rPr>
        <w:t>dministrati</w:t>
      </w:r>
      <w:r w:rsidR="004079D5" w:rsidRPr="00724676">
        <w:rPr>
          <w:noProof/>
          <w:lang w:val="en-GB"/>
        </w:rPr>
        <w:t>on</w:t>
      </w:r>
      <w:r w:rsidR="00DB7837" w:rsidRPr="00724676">
        <w:rPr>
          <w:noProof/>
          <w:lang w:val="en-GB"/>
        </w:rPr>
        <w:t xml:space="preserve"> </w:t>
      </w:r>
      <w:bookmarkEnd w:id="64"/>
      <w:r w:rsidR="00F42657" w:rsidRPr="00724676">
        <w:rPr>
          <w:noProof/>
          <w:lang w:val="en-GB"/>
        </w:rPr>
        <w:t>and co</w:t>
      </w:r>
      <w:r w:rsidR="00B1680D" w:rsidRPr="00724676">
        <w:rPr>
          <w:noProof/>
          <w:lang w:val="en-GB"/>
        </w:rPr>
        <w:t>ntrols</w:t>
      </w:r>
      <w:bookmarkEnd w:id="65"/>
    </w:p>
    <w:p w14:paraId="61A46E58" w14:textId="4146DDA5" w:rsidR="797DA618" w:rsidRPr="00724676" w:rsidRDefault="797DA618" w:rsidP="7579D475">
      <w:pPr>
        <w:pStyle w:val="NoSpacing"/>
        <w:spacing w:before="120" w:after="240"/>
        <w:rPr>
          <w:rFonts w:cs="Times New Roman"/>
          <w:b/>
          <w:noProof/>
          <w:lang w:val="en-GB"/>
        </w:rPr>
      </w:pPr>
      <w:r w:rsidRPr="532033A3">
        <w:rPr>
          <w:rFonts w:cs="Times New Roman"/>
          <w:b/>
          <w:noProof/>
          <w:lang w:val="en-GB"/>
        </w:rPr>
        <w:t>Improv</w:t>
      </w:r>
      <w:r w:rsidR="00D531C4" w:rsidRPr="532033A3">
        <w:rPr>
          <w:rFonts w:cs="Times New Roman"/>
          <w:b/>
          <w:noProof/>
          <w:lang w:val="en-GB"/>
        </w:rPr>
        <w:t>ing</w:t>
      </w:r>
      <w:r w:rsidRPr="532033A3">
        <w:rPr>
          <w:rFonts w:cs="Times New Roman"/>
          <w:b/>
          <w:noProof/>
          <w:lang w:val="en-GB"/>
        </w:rPr>
        <w:t xml:space="preserve"> the procedure </w:t>
      </w:r>
      <w:r w:rsidR="00D531C4" w:rsidRPr="532033A3">
        <w:rPr>
          <w:rFonts w:cs="Times New Roman"/>
          <w:b/>
          <w:noProof/>
          <w:lang w:val="en-GB"/>
        </w:rPr>
        <w:t>to amend</w:t>
      </w:r>
      <w:r w:rsidRPr="532033A3">
        <w:rPr>
          <w:rFonts w:cs="Times New Roman"/>
          <w:b/>
          <w:noProof/>
          <w:lang w:val="en-GB"/>
        </w:rPr>
        <w:t xml:space="preserve"> </w:t>
      </w:r>
      <w:r w:rsidR="00F44D7A" w:rsidRPr="532033A3">
        <w:rPr>
          <w:rFonts w:cs="Times New Roman"/>
          <w:b/>
          <w:noProof/>
          <w:lang w:val="en-GB"/>
        </w:rPr>
        <w:t>CAP Plans</w:t>
      </w:r>
      <w:r w:rsidRPr="532033A3">
        <w:rPr>
          <w:rFonts w:cs="Times New Roman"/>
          <w:b/>
          <w:noProof/>
          <w:lang w:val="en-GB"/>
        </w:rPr>
        <w:t xml:space="preserve">  </w:t>
      </w:r>
    </w:p>
    <w:p w14:paraId="10EEBF27" w14:textId="2CE1DF81" w:rsidR="00910852" w:rsidRPr="00724676" w:rsidRDefault="797DA618" w:rsidP="7579D475">
      <w:pPr>
        <w:spacing w:after="120"/>
        <w:jc w:val="both"/>
        <w:rPr>
          <w:rFonts w:eastAsia="Times New Roman" w:cs="Times New Roman"/>
          <w:noProof/>
          <w:lang w:val="en-GB"/>
        </w:rPr>
      </w:pPr>
      <w:r w:rsidRPr="532033A3">
        <w:rPr>
          <w:rFonts w:eastAsia="Times New Roman" w:cs="Times New Roman"/>
          <w:noProof/>
          <w:lang w:val="en-GB"/>
        </w:rPr>
        <w:t xml:space="preserve">The handling and management of amendments to </w:t>
      </w:r>
      <w:r w:rsidR="00523AA0" w:rsidRPr="532033A3">
        <w:rPr>
          <w:rFonts w:eastAsia="Times New Roman" w:cs="Times New Roman"/>
          <w:noProof/>
          <w:lang w:val="en-GB"/>
        </w:rPr>
        <w:t>CAP Plans</w:t>
      </w:r>
      <w:r w:rsidRPr="532033A3">
        <w:rPr>
          <w:rFonts w:eastAsia="Times New Roman" w:cs="Times New Roman"/>
          <w:noProof/>
          <w:lang w:val="en-GB"/>
        </w:rPr>
        <w:t xml:space="preserve"> is a joint process, requiring a partnership between the Commission and Member States’ administrations to ensure </w:t>
      </w:r>
      <w:r w:rsidR="00D531C4" w:rsidRPr="532033A3">
        <w:rPr>
          <w:rFonts w:eastAsia="Times New Roman" w:cs="Times New Roman"/>
          <w:noProof/>
          <w:lang w:val="en-GB"/>
        </w:rPr>
        <w:t>a successful</w:t>
      </w:r>
      <w:r w:rsidR="006807F6">
        <w:rPr>
          <w:rFonts w:eastAsia="Times New Roman" w:cs="Times New Roman"/>
          <w:noProof/>
          <w:lang w:val="en-GB"/>
        </w:rPr>
        <w:t xml:space="preserve"> </w:t>
      </w:r>
      <w:r w:rsidRPr="532033A3">
        <w:rPr>
          <w:rFonts w:eastAsia="Times New Roman" w:cs="Times New Roman"/>
          <w:noProof/>
          <w:lang w:val="en-GB"/>
        </w:rPr>
        <w:t xml:space="preserve">outcome. Building on the experience of the first year of implementation of the </w:t>
      </w:r>
      <w:r w:rsidR="00523AA0" w:rsidRPr="532033A3">
        <w:rPr>
          <w:rFonts w:eastAsia="Times New Roman" w:cs="Times New Roman"/>
          <w:noProof/>
          <w:lang w:val="en-GB"/>
        </w:rPr>
        <w:t>CAP Plans</w:t>
      </w:r>
      <w:r w:rsidRPr="532033A3">
        <w:rPr>
          <w:rFonts w:eastAsia="Times New Roman" w:cs="Times New Roman"/>
          <w:noProof/>
          <w:lang w:val="en-GB"/>
        </w:rPr>
        <w:t xml:space="preserve">, the Commission reviewed the procedure </w:t>
      </w:r>
      <w:r w:rsidR="001B4947" w:rsidRPr="532033A3">
        <w:rPr>
          <w:rFonts w:eastAsia="Times New Roman" w:cs="Times New Roman"/>
          <w:noProof/>
          <w:lang w:val="en-GB"/>
        </w:rPr>
        <w:t xml:space="preserve">for </w:t>
      </w:r>
      <w:r w:rsidRPr="532033A3">
        <w:rPr>
          <w:rFonts w:eastAsia="Times New Roman" w:cs="Times New Roman"/>
          <w:noProof/>
          <w:lang w:val="en-GB"/>
        </w:rPr>
        <w:t>assess</w:t>
      </w:r>
      <w:r w:rsidR="001B4947" w:rsidRPr="532033A3">
        <w:rPr>
          <w:rFonts w:eastAsia="Times New Roman" w:cs="Times New Roman"/>
          <w:noProof/>
          <w:lang w:val="en-GB"/>
        </w:rPr>
        <w:t>ing</w:t>
      </w:r>
      <w:r w:rsidRPr="532033A3">
        <w:rPr>
          <w:rFonts w:eastAsia="Times New Roman" w:cs="Times New Roman"/>
          <w:noProof/>
          <w:lang w:val="en-GB"/>
        </w:rPr>
        <w:t xml:space="preserve"> and approv</w:t>
      </w:r>
      <w:r w:rsidR="001B4947" w:rsidRPr="532033A3">
        <w:rPr>
          <w:rFonts w:eastAsia="Times New Roman" w:cs="Times New Roman"/>
          <w:noProof/>
          <w:lang w:val="en-GB"/>
        </w:rPr>
        <w:t>ing</w:t>
      </w:r>
      <w:r w:rsidRPr="532033A3">
        <w:rPr>
          <w:rFonts w:eastAsia="Times New Roman" w:cs="Times New Roman"/>
          <w:noProof/>
          <w:lang w:val="en-GB"/>
        </w:rPr>
        <w:t xml:space="preserve"> amendments</w:t>
      </w:r>
      <w:r w:rsidR="0CD6CFB0" w:rsidRPr="532033A3">
        <w:rPr>
          <w:rFonts w:eastAsia="Times New Roman" w:cs="Times New Roman"/>
          <w:noProof/>
          <w:lang w:val="en-GB"/>
        </w:rPr>
        <w:t xml:space="preserve"> to CAP Plans</w:t>
      </w:r>
      <w:r w:rsidRPr="532033A3">
        <w:rPr>
          <w:rFonts w:eastAsia="Times New Roman" w:cs="Times New Roman"/>
          <w:noProof/>
          <w:lang w:val="en-GB"/>
        </w:rPr>
        <w:t xml:space="preserve">. </w:t>
      </w:r>
    </w:p>
    <w:p w14:paraId="2A50F76B" w14:textId="61D9F4A0" w:rsidR="00910852" w:rsidRPr="00724676" w:rsidRDefault="797DA618" w:rsidP="7579D475">
      <w:pPr>
        <w:spacing w:after="120"/>
        <w:jc w:val="both"/>
        <w:rPr>
          <w:rFonts w:eastAsia="Times New Roman" w:cs="Times New Roman"/>
          <w:noProof/>
          <w:lang w:val="en-GB"/>
        </w:rPr>
      </w:pPr>
      <w:r w:rsidRPr="532033A3">
        <w:rPr>
          <w:rFonts w:eastAsia="Times New Roman" w:cs="Times New Roman"/>
          <w:noProof/>
          <w:lang w:val="en-GB"/>
        </w:rPr>
        <w:t xml:space="preserve">In its proposal of 15 March 2024, the Commission </w:t>
      </w:r>
      <w:r w:rsidRPr="003E7CF4">
        <w:rPr>
          <w:rFonts w:eastAsia="Times New Roman" w:cs="Times New Roman"/>
          <w:b/>
          <w:bCs/>
          <w:noProof/>
          <w:lang w:val="en-GB"/>
        </w:rPr>
        <w:t>doubled the maximum number of requests for amendments</w:t>
      </w:r>
      <w:r w:rsidRPr="532033A3">
        <w:rPr>
          <w:rFonts w:eastAsia="Times New Roman" w:cs="Times New Roman"/>
          <w:noProof/>
          <w:lang w:val="en-GB"/>
        </w:rPr>
        <w:t xml:space="preserve"> </w:t>
      </w:r>
      <w:r w:rsidR="001B4947" w:rsidRPr="532033A3">
        <w:rPr>
          <w:rFonts w:eastAsia="Times New Roman" w:cs="Times New Roman"/>
          <w:noProof/>
          <w:lang w:val="en-GB"/>
        </w:rPr>
        <w:t>that</w:t>
      </w:r>
      <w:r w:rsidRPr="532033A3">
        <w:rPr>
          <w:rFonts w:eastAsia="Times New Roman" w:cs="Times New Roman"/>
          <w:noProof/>
          <w:lang w:val="en-GB"/>
        </w:rPr>
        <w:t xml:space="preserve"> Member States </w:t>
      </w:r>
      <w:r w:rsidR="001B4947" w:rsidRPr="532033A3">
        <w:rPr>
          <w:rFonts w:eastAsia="Times New Roman" w:cs="Times New Roman"/>
          <w:noProof/>
          <w:lang w:val="en-GB"/>
        </w:rPr>
        <w:t xml:space="preserve">may make </w:t>
      </w:r>
      <w:r w:rsidRPr="532033A3">
        <w:rPr>
          <w:rFonts w:eastAsia="Times New Roman" w:cs="Times New Roman"/>
          <w:noProof/>
          <w:lang w:val="en-GB"/>
        </w:rPr>
        <w:t xml:space="preserve">per calendar year (from one to two) so that Member States can adapt their support measures to changing conditions and farmers’ needs more frequently and in a more targeted way. </w:t>
      </w:r>
    </w:p>
    <w:p w14:paraId="34CD6A0A" w14:textId="7958D3BD" w:rsidR="797DA618" w:rsidRPr="00724676" w:rsidRDefault="65BDEDFD" w:rsidP="7579D475">
      <w:pPr>
        <w:spacing w:after="120"/>
        <w:jc w:val="both"/>
        <w:rPr>
          <w:rFonts w:eastAsia="Times New Roman" w:cs="Times New Roman"/>
          <w:noProof/>
        </w:rPr>
      </w:pPr>
      <w:r w:rsidRPr="0757605F">
        <w:rPr>
          <w:rFonts w:eastAsia="Times New Roman" w:cs="Times New Roman"/>
          <w:noProof/>
        </w:rPr>
        <w:t>On 5 April 2024 t</w:t>
      </w:r>
      <w:r w:rsidR="6CC1E5AC" w:rsidRPr="0757605F">
        <w:rPr>
          <w:rFonts w:eastAsia="Times New Roman" w:cs="Times New Roman"/>
          <w:noProof/>
        </w:rPr>
        <w:t xml:space="preserve">he Commission </w:t>
      </w:r>
      <w:r w:rsidRPr="0757605F">
        <w:rPr>
          <w:rFonts w:eastAsia="Times New Roman" w:cs="Times New Roman"/>
          <w:noProof/>
        </w:rPr>
        <w:t xml:space="preserve">communicated to Member States that it had </w:t>
      </w:r>
      <w:r w:rsidR="6CC1E5AC" w:rsidRPr="0757605F">
        <w:rPr>
          <w:rFonts w:eastAsia="Times New Roman" w:cs="Times New Roman"/>
          <w:noProof/>
        </w:rPr>
        <w:t xml:space="preserve">agreed to streamline the approval process of  amendments </w:t>
      </w:r>
      <w:r w:rsidR="2A199FFA" w:rsidRPr="0757605F">
        <w:rPr>
          <w:rFonts w:eastAsia="Times New Roman" w:cs="Times New Roman"/>
          <w:noProof/>
        </w:rPr>
        <w:t xml:space="preserve">to CAP Plans </w:t>
      </w:r>
      <w:r w:rsidR="74775345" w:rsidRPr="0757605F">
        <w:rPr>
          <w:rFonts w:eastAsia="Times New Roman" w:cs="Times New Roman"/>
          <w:noProof/>
        </w:rPr>
        <w:t xml:space="preserve">and presented </w:t>
      </w:r>
      <w:r w:rsidRPr="0757605F">
        <w:rPr>
          <w:rFonts w:eastAsia="Times New Roman" w:cs="Times New Roman"/>
          <w:noProof/>
        </w:rPr>
        <w:t xml:space="preserve">the changes </w:t>
      </w:r>
      <w:r w:rsidR="74775345" w:rsidRPr="0757605F">
        <w:rPr>
          <w:rFonts w:eastAsia="Times New Roman" w:cs="Times New Roman"/>
          <w:noProof/>
        </w:rPr>
        <w:t>on 9 April 2024</w:t>
      </w:r>
      <w:r w:rsidR="008B7B65" w:rsidRPr="0757605F">
        <w:rPr>
          <w:rStyle w:val="FootnoteReference"/>
          <w:rFonts w:eastAsia="Times New Roman" w:cs="Times New Roman"/>
          <w:noProof/>
        </w:rPr>
        <w:footnoteReference w:id="26"/>
      </w:r>
      <w:r w:rsidR="00DC1194" w:rsidRPr="0757605F">
        <w:rPr>
          <w:rFonts w:eastAsia="Times New Roman" w:cs="Times New Roman"/>
          <w:noProof/>
        </w:rPr>
        <w:t>.</w:t>
      </w:r>
      <w:r w:rsidR="6CC1E5AC" w:rsidRPr="0757605F">
        <w:rPr>
          <w:rFonts w:eastAsia="Times New Roman" w:cs="Times New Roman"/>
          <w:noProof/>
        </w:rPr>
        <w:t xml:space="preserve"> </w:t>
      </w:r>
      <w:r w:rsidR="00FC0092" w:rsidRPr="0757605F">
        <w:rPr>
          <w:rFonts w:eastAsia="Times New Roman" w:cs="Times New Roman"/>
          <w:noProof/>
        </w:rPr>
        <w:t xml:space="preserve"> </w:t>
      </w:r>
      <w:r w:rsidR="6CC1E5AC" w:rsidRPr="0757605F">
        <w:rPr>
          <w:rFonts w:eastAsia="Times New Roman" w:cs="Times New Roman"/>
          <w:noProof/>
        </w:rPr>
        <w:t xml:space="preserve">In line with </w:t>
      </w:r>
      <w:r w:rsidRPr="0757605F">
        <w:rPr>
          <w:rFonts w:eastAsia="Times New Roman" w:cs="Times New Roman"/>
          <w:noProof/>
        </w:rPr>
        <w:t xml:space="preserve">the </w:t>
      </w:r>
      <w:r w:rsidR="6CC1E5AC" w:rsidRPr="0757605F">
        <w:rPr>
          <w:rFonts w:eastAsia="Times New Roman" w:cs="Times New Roman"/>
          <w:noProof/>
        </w:rPr>
        <w:t>greater subsidiarity, flexibility</w:t>
      </w:r>
      <w:r w:rsidR="00DC1194" w:rsidRPr="0757605F">
        <w:rPr>
          <w:rFonts w:eastAsia="Times New Roman" w:cs="Times New Roman"/>
          <w:noProof/>
        </w:rPr>
        <w:t>,</w:t>
      </w:r>
      <w:r w:rsidR="6CC1E5AC" w:rsidRPr="0757605F">
        <w:rPr>
          <w:rFonts w:eastAsia="Times New Roman" w:cs="Times New Roman"/>
          <w:noProof/>
        </w:rPr>
        <w:t xml:space="preserve"> and performance orientation of the </w:t>
      </w:r>
      <w:r w:rsidR="5C0A0531" w:rsidRPr="0757605F">
        <w:rPr>
          <w:rFonts w:eastAsia="Times New Roman" w:cs="Times New Roman"/>
          <w:noProof/>
        </w:rPr>
        <w:t>2023-2027</w:t>
      </w:r>
      <w:r w:rsidR="6CC1E5AC" w:rsidRPr="0757605F">
        <w:rPr>
          <w:rFonts w:eastAsia="Times New Roman" w:cs="Times New Roman"/>
          <w:noProof/>
        </w:rPr>
        <w:t xml:space="preserve"> CAP, the Commission </w:t>
      </w:r>
      <w:r w:rsidR="00DE6EF4" w:rsidRPr="0757605F">
        <w:rPr>
          <w:rFonts w:eastAsia="Times New Roman" w:cs="Times New Roman"/>
          <w:noProof/>
        </w:rPr>
        <w:t xml:space="preserve">services are </w:t>
      </w:r>
      <w:r w:rsidR="6CC1E5AC" w:rsidRPr="0757605F">
        <w:rPr>
          <w:rFonts w:eastAsia="Times New Roman" w:cs="Times New Roman"/>
          <w:noProof/>
        </w:rPr>
        <w:t xml:space="preserve">committed to </w:t>
      </w:r>
      <w:r w:rsidR="417BEEDE" w:rsidRPr="0757605F">
        <w:rPr>
          <w:rFonts w:eastAsia="Times New Roman" w:cs="Times New Roman"/>
          <w:noProof/>
        </w:rPr>
        <w:t>continu</w:t>
      </w:r>
      <w:r w:rsidRPr="0757605F">
        <w:rPr>
          <w:rFonts w:eastAsia="Times New Roman" w:cs="Times New Roman"/>
          <w:noProof/>
        </w:rPr>
        <w:t>e</w:t>
      </w:r>
      <w:r w:rsidR="417BEEDE" w:rsidRPr="0757605F">
        <w:rPr>
          <w:rFonts w:eastAsia="Times New Roman" w:cs="Times New Roman"/>
          <w:noProof/>
        </w:rPr>
        <w:t xml:space="preserve"> </w:t>
      </w:r>
      <w:r w:rsidRPr="0757605F">
        <w:rPr>
          <w:rFonts w:eastAsia="Times New Roman" w:cs="Times New Roman"/>
          <w:noProof/>
        </w:rPr>
        <w:t xml:space="preserve">taking </w:t>
      </w:r>
      <w:r w:rsidR="6CC1E5AC" w:rsidRPr="0757605F">
        <w:rPr>
          <w:rFonts w:eastAsia="Times New Roman" w:cs="Times New Roman"/>
          <w:b/>
          <w:noProof/>
        </w:rPr>
        <w:t>a ‘need to know’</w:t>
      </w:r>
      <w:r w:rsidR="1180947D" w:rsidRPr="0757605F">
        <w:rPr>
          <w:rFonts w:eastAsia="Times New Roman" w:cs="Times New Roman"/>
          <w:b/>
          <w:noProof/>
        </w:rPr>
        <w:t xml:space="preserve"> </w:t>
      </w:r>
      <w:r w:rsidR="6CC1E5AC" w:rsidRPr="0757605F">
        <w:rPr>
          <w:rFonts w:eastAsia="Times New Roman" w:cs="Times New Roman"/>
          <w:b/>
          <w:noProof/>
        </w:rPr>
        <w:t>approach for the assessment of requests for amendments</w:t>
      </w:r>
      <w:r w:rsidR="003A0031">
        <w:rPr>
          <w:rFonts w:eastAsia="Times New Roman" w:cs="Times New Roman"/>
          <w:b/>
          <w:noProof/>
        </w:rPr>
        <w:t>,</w:t>
      </w:r>
      <w:r w:rsidR="6CC1E5AC" w:rsidRPr="0757605F">
        <w:rPr>
          <w:rFonts w:eastAsia="Times New Roman" w:cs="Times New Roman"/>
          <w:noProof/>
        </w:rPr>
        <w:t xml:space="preserve"> and of notifications of changes to rural development interventions</w:t>
      </w:r>
      <w:r w:rsidR="797DA618" w:rsidRPr="0757605F">
        <w:rPr>
          <w:rStyle w:val="FootnoteReference"/>
          <w:rFonts w:eastAsia="Times New Roman" w:cs="Times New Roman"/>
          <w:noProof/>
        </w:rPr>
        <w:footnoteReference w:id="27"/>
      </w:r>
      <w:r w:rsidR="6CC1E5AC" w:rsidRPr="0757605F">
        <w:rPr>
          <w:rFonts w:eastAsia="Times New Roman" w:cs="Times New Roman"/>
          <w:noProof/>
        </w:rPr>
        <w:t xml:space="preserve">: </w:t>
      </w:r>
    </w:p>
    <w:p w14:paraId="66E1810A" w14:textId="038B9202" w:rsidR="797DA618" w:rsidRPr="00FC0092" w:rsidRDefault="797DA618" w:rsidP="7579D475">
      <w:pPr>
        <w:pStyle w:val="ListParagraph"/>
        <w:numPr>
          <w:ilvl w:val="0"/>
          <w:numId w:val="11"/>
        </w:numPr>
        <w:spacing w:after="120"/>
        <w:jc w:val="both"/>
        <w:rPr>
          <w:rFonts w:eastAsia="Times New Roman" w:cs="Times New Roman"/>
          <w:noProof/>
          <w:szCs w:val="24"/>
          <w:lang w:val="en-GB"/>
        </w:rPr>
      </w:pPr>
      <w:r w:rsidRPr="00FC0092">
        <w:rPr>
          <w:rFonts w:eastAsia="Times New Roman" w:cs="Times New Roman"/>
          <w:noProof/>
          <w:szCs w:val="24"/>
          <w:lang w:val="en-GB"/>
        </w:rPr>
        <w:t xml:space="preserve">The level of detail of </w:t>
      </w:r>
      <w:r w:rsidR="001B4947" w:rsidRPr="00FC0092">
        <w:rPr>
          <w:rFonts w:eastAsia="Times New Roman" w:cs="Times New Roman"/>
          <w:noProof/>
          <w:szCs w:val="24"/>
          <w:lang w:val="en-GB"/>
        </w:rPr>
        <w:t xml:space="preserve">the </w:t>
      </w:r>
      <w:r w:rsidRPr="00FC0092">
        <w:rPr>
          <w:rFonts w:eastAsia="Times New Roman" w:cs="Times New Roman"/>
          <w:noProof/>
          <w:szCs w:val="24"/>
          <w:lang w:val="en-GB"/>
        </w:rPr>
        <w:t xml:space="preserve">information requested from national authorities will be proportionate to the nature of the modification, focusing on essential and legally required information necessary to understand and assess the proposed changes. </w:t>
      </w:r>
    </w:p>
    <w:p w14:paraId="3FA171E3" w14:textId="582C9E2C" w:rsidR="797DA618" w:rsidRPr="00FC0092" w:rsidRDefault="797DA618" w:rsidP="7579D475">
      <w:pPr>
        <w:pStyle w:val="ListParagraph"/>
        <w:numPr>
          <w:ilvl w:val="0"/>
          <w:numId w:val="11"/>
        </w:numPr>
        <w:spacing w:after="120"/>
        <w:jc w:val="both"/>
        <w:rPr>
          <w:rFonts w:eastAsia="Times New Roman" w:cs="Times New Roman"/>
          <w:noProof/>
          <w:szCs w:val="24"/>
          <w:lang w:val="en-GB"/>
        </w:rPr>
      </w:pPr>
      <w:r w:rsidRPr="00FC0092">
        <w:rPr>
          <w:rFonts w:eastAsia="Times New Roman" w:cs="Times New Roman"/>
          <w:noProof/>
          <w:szCs w:val="24"/>
          <w:lang w:val="en-GB"/>
        </w:rPr>
        <w:lastRenderedPageBreak/>
        <w:t xml:space="preserve">Where it is obvious from the description of the amendment or change, additional justifications that the change does not affect targets and milestones </w:t>
      </w:r>
      <w:r w:rsidR="005C4980">
        <w:rPr>
          <w:rFonts w:eastAsia="Times New Roman" w:cs="Times New Roman"/>
          <w:noProof/>
          <w:szCs w:val="24"/>
          <w:lang w:val="en-GB"/>
        </w:rPr>
        <w:t xml:space="preserve">under the result indicators </w:t>
      </w:r>
      <w:r w:rsidRPr="00FC0092">
        <w:rPr>
          <w:rFonts w:eastAsia="Times New Roman" w:cs="Times New Roman"/>
          <w:noProof/>
          <w:szCs w:val="24"/>
          <w:lang w:val="en-GB"/>
        </w:rPr>
        <w:t xml:space="preserve">will not be requested. </w:t>
      </w:r>
    </w:p>
    <w:p w14:paraId="0545093D" w14:textId="2F4536C6" w:rsidR="797DA618" w:rsidRPr="00170455" w:rsidRDefault="07AF34DC" w:rsidP="776BA380">
      <w:pPr>
        <w:pStyle w:val="ListParagraph"/>
        <w:numPr>
          <w:ilvl w:val="0"/>
          <w:numId w:val="11"/>
        </w:numPr>
        <w:spacing w:after="120"/>
        <w:jc w:val="both"/>
        <w:rPr>
          <w:rFonts w:eastAsia="Times New Roman" w:cs="Times New Roman"/>
          <w:noProof/>
          <w:lang w:val="en-GB"/>
        </w:rPr>
      </w:pPr>
      <w:r w:rsidRPr="00FC0092">
        <w:rPr>
          <w:rFonts w:eastAsia="Times New Roman" w:cs="Times New Roman"/>
          <w:noProof/>
          <w:lang w:val="en-GB"/>
        </w:rPr>
        <w:t xml:space="preserve">Member States will not be </w:t>
      </w:r>
      <w:r w:rsidR="22ED62E9" w:rsidRPr="00FC0092">
        <w:rPr>
          <w:rFonts w:eastAsia="Times New Roman" w:cs="Times New Roman"/>
          <w:noProof/>
          <w:lang w:val="en-GB"/>
        </w:rPr>
        <w:t xml:space="preserve">asked </w:t>
      </w:r>
      <w:r w:rsidRPr="00FC0092">
        <w:rPr>
          <w:rFonts w:eastAsia="Times New Roman" w:cs="Times New Roman"/>
          <w:noProof/>
          <w:lang w:val="en-GB"/>
        </w:rPr>
        <w:t xml:space="preserve">to confirm </w:t>
      </w:r>
      <w:r w:rsidR="22ED62E9" w:rsidRPr="00FC0092">
        <w:rPr>
          <w:rFonts w:eastAsia="Times New Roman" w:cs="Times New Roman"/>
          <w:noProof/>
          <w:lang w:val="en-GB"/>
        </w:rPr>
        <w:t xml:space="preserve">that they </w:t>
      </w:r>
      <w:r w:rsidRPr="00FC0092">
        <w:rPr>
          <w:rFonts w:eastAsia="Times New Roman" w:cs="Times New Roman"/>
          <w:noProof/>
          <w:lang w:val="en-GB"/>
        </w:rPr>
        <w:t xml:space="preserve">respect the EU legal framework </w:t>
      </w:r>
      <w:r w:rsidRPr="00170455">
        <w:rPr>
          <w:rFonts w:eastAsia="Times New Roman" w:cs="Times New Roman"/>
          <w:noProof/>
          <w:lang w:val="en-GB"/>
        </w:rPr>
        <w:t xml:space="preserve">where an amendment does not contain any indication of non-compliance. </w:t>
      </w:r>
    </w:p>
    <w:p w14:paraId="12BAD1A8" w14:textId="0961DF29" w:rsidR="797DA618" w:rsidRPr="00724676" w:rsidRDefault="005E77FA" w:rsidP="7579D475">
      <w:pPr>
        <w:spacing w:after="120"/>
        <w:jc w:val="both"/>
        <w:rPr>
          <w:rFonts w:eastAsia="Times New Roman" w:cs="Times New Roman"/>
          <w:noProof/>
          <w:lang w:val="en-GB"/>
        </w:rPr>
      </w:pPr>
      <w:r w:rsidRPr="00170455">
        <w:rPr>
          <w:rFonts w:eastAsia="Times New Roman" w:cs="Times New Roman"/>
          <w:noProof/>
          <w:lang w:val="en-GB"/>
        </w:rPr>
        <w:t>As regards</w:t>
      </w:r>
      <w:r w:rsidR="797DA618" w:rsidRPr="00170455">
        <w:rPr>
          <w:rFonts w:eastAsia="Times New Roman" w:cs="Times New Roman"/>
          <w:noProof/>
          <w:lang w:val="en-GB"/>
        </w:rPr>
        <w:t xml:space="preserve"> th</w:t>
      </w:r>
      <w:r w:rsidR="797DA618" w:rsidRPr="00406DFD">
        <w:rPr>
          <w:rFonts w:eastAsia="Times New Roman" w:cs="Times New Roman"/>
          <w:noProof/>
          <w:lang w:val="en-GB"/>
        </w:rPr>
        <w:t>e Member States</w:t>
      </w:r>
      <w:r w:rsidR="001B4947" w:rsidRPr="00406DFD">
        <w:rPr>
          <w:rFonts w:eastAsia="Times New Roman" w:cs="Times New Roman"/>
          <w:noProof/>
          <w:lang w:val="en-GB"/>
        </w:rPr>
        <w:t>,</w:t>
      </w:r>
      <w:r w:rsidR="797DA618" w:rsidRPr="00406DFD">
        <w:rPr>
          <w:rFonts w:eastAsia="Times New Roman" w:cs="Times New Roman"/>
          <w:noProof/>
          <w:lang w:val="en-GB"/>
        </w:rPr>
        <w:t xml:space="preserve"> </w:t>
      </w:r>
      <w:r w:rsidR="3537CC69" w:rsidRPr="003E7CF4">
        <w:rPr>
          <w:rFonts w:eastAsia="Times New Roman" w:cs="Times New Roman"/>
          <w:noProof/>
          <w:lang w:val="en-GB"/>
        </w:rPr>
        <w:t>streamlining</w:t>
      </w:r>
      <w:r w:rsidR="4921FCCD" w:rsidRPr="00170455">
        <w:rPr>
          <w:rFonts w:eastAsia="Times New Roman" w:cs="Times New Roman"/>
          <w:noProof/>
          <w:lang w:val="en-GB"/>
        </w:rPr>
        <w:t xml:space="preserve"> the approval</w:t>
      </w:r>
      <w:r w:rsidR="70F93762" w:rsidRPr="003E7CF4">
        <w:rPr>
          <w:rFonts w:eastAsia="Times New Roman" w:cs="Times New Roman"/>
          <w:noProof/>
          <w:lang w:val="en-GB"/>
        </w:rPr>
        <w:t xml:space="preserve"> process</w:t>
      </w:r>
      <w:r w:rsidR="001B4947" w:rsidRPr="00170455">
        <w:rPr>
          <w:rFonts w:eastAsia="Times New Roman" w:cs="Times New Roman"/>
          <w:noProof/>
          <w:lang w:val="en-GB"/>
        </w:rPr>
        <w:t xml:space="preserve"> </w:t>
      </w:r>
      <w:r w:rsidR="797DA618" w:rsidRPr="00170455">
        <w:rPr>
          <w:rFonts w:eastAsia="Times New Roman" w:cs="Times New Roman"/>
          <w:noProof/>
          <w:lang w:val="en-GB"/>
        </w:rPr>
        <w:t xml:space="preserve">will require a realistic planning of requests for amendments, </w:t>
      </w:r>
      <w:r w:rsidR="00B70977" w:rsidRPr="00170455">
        <w:rPr>
          <w:rFonts w:eastAsia="Times New Roman" w:cs="Times New Roman"/>
          <w:noProof/>
          <w:lang w:val="en-GB"/>
        </w:rPr>
        <w:t xml:space="preserve">and a </w:t>
      </w:r>
      <w:r w:rsidR="797DA618" w:rsidRPr="00170455">
        <w:rPr>
          <w:rFonts w:eastAsia="Times New Roman" w:cs="Times New Roman"/>
          <w:noProof/>
          <w:lang w:val="en-GB"/>
        </w:rPr>
        <w:t>clear</w:t>
      </w:r>
      <w:r w:rsidR="00B70977" w:rsidRPr="00170455">
        <w:rPr>
          <w:rFonts w:eastAsia="Times New Roman" w:cs="Times New Roman"/>
          <w:noProof/>
          <w:lang w:val="en-GB"/>
        </w:rPr>
        <w:t xml:space="preserve"> and focused</w:t>
      </w:r>
      <w:r w:rsidR="797DA618" w:rsidRPr="00170455">
        <w:rPr>
          <w:rFonts w:eastAsia="Times New Roman" w:cs="Times New Roman"/>
          <w:noProof/>
          <w:lang w:val="en-GB"/>
        </w:rPr>
        <w:t xml:space="preserve"> description of </w:t>
      </w:r>
      <w:r w:rsidR="00B70977" w:rsidRPr="00170455">
        <w:rPr>
          <w:rFonts w:eastAsia="Times New Roman" w:cs="Times New Roman"/>
          <w:noProof/>
          <w:lang w:val="en-GB"/>
        </w:rPr>
        <w:t xml:space="preserve">the </w:t>
      </w:r>
      <w:r w:rsidR="797DA618" w:rsidRPr="00170455">
        <w:rPr>
          <w:rFonts w:eastAsia="Times New Roman" w:cs="Times New Roman"/>
          <w:noProof/>
          <w:lang w:val="en-GB"/>
        </w:rPr>
        <w:t>amendments and accompanying justifications</w:t>
      </w:r>
      <w:r w:rsidR="00B70977" w:rsidRPr="00170455">
        <w:rPr>
          <w:rFonts w:eastAsia="Times New Roman" w:cs="Times New Roman"/>
          <w:noProof/>
          <w:lang w:val="en-GB"/>
        </w:rPr>
        <w:t xml:space="preserve"> that</w:t>
      </w:r>
      <w:r w:rsidR="797DA618" w:rsidRPr="00170455">
        <w:rPr>
          <w:rFonts w:eastAsia="Times New Roman" w:cs="Times New Roman"/>
          <w:noProof/>
          <w:lang w:val="en-GB"/>
        </w:rPr>
        <w:t xml:space="preserve"> avoid</w:t>
      </w:r>
      <w:r w:rsidR="00B70977" w:rsidRPr="00170455">
        <w:rPr>
          <w:rFonts w:eastAsia="Times New Roman" w:cs="Times New Roman"/>
          <w:noProof/>
          <w:lang w:val="en-GB"/>
        </w:rPr>
        <w:t>s</w:t>
      </w:r>
      <w:r w:rsidR="797DA618" w:rsidRPr="00170455">
        <w:rPr>
          <w:rFonts w:eastAsia="Times New Roman" w:cs="Times New Roman"/>
          <w:noProof/>
          <w:lang w:val="en-GB"/>
        </w:rPr>
        <w:t xml:space="preserve"> unnecessary details. Member States are also encouraged to simplify the description of the interventions in their amendments of </w:t>
      </w:r>
      <w:r w:rsidR="00523AA0" w:rsidRPr="00170455">
        <w:rPr>
          <w:rFonts w:eastAsia="Times New Roman" w:cs="Times New Roman"/>
          <w:noProof/>
          <w:lang w:val="en-GB"/>
        </w:rPr>
        <w:t>CAP Plans</w:t>
      </w:r>
      <w:r w:rsidR="00B70977" w:rsidRPr="00170455">
        <w:rPr>
          <w:rFonts w:eastAsia="Times New Roman" w:cs="Times New Roman"/>
          <w:noProof/>
          <w:lang w:val="en-GB"/>
        </w:rPr>
        <w:t xml:space="preserve"> in the future</w:t>
      </w:r>
      <w:r w:rsidR="797DA618" w:rsidRPr="00170455">
        <w:rPr>
          <w:rFonts w:eastAsia="Times New Roman" w:cs="Times New Roman"/>
          <w:noProof/>
          <w:lang w:val="en-GB"/>
        </w:rPr>
        <w:t xml:space="preserve">. An open, </w:t>
      </w:r>
      <w:r w:rsidR="00F44D7A" w:rsidRPr="00170455">
        <w:rPr>
          <w:rFonts w:eastAsia="Times New Roman" w:cs="Times New Roman"/>
          <w:noProof/>
          <w:lang w:val="en-GB"/>
        </w:rPr>
        <w:t>constructive,</w:t>
      </w:r>
      <w:r w:rsidR="797DA618" w:rsidRPr="7994D79A">
        <w:rPr>
          <w:rFonts w:eastAsia="Times New Roman" w:cs="Times New Roman"/>
          <w:noProof/>
          <w:lang w:val="en-GB"/>
        </w:rPr>
        <w:t xml:space="preserve"> and transparent informal dialogue between the Commission and national authorities, based on </w:t>
      </w:r>
      <w:r w:rsidR="00B70977" w:rsidRPr="7994D79A">
        <w:rPr>
          <w:rFonts w:eastAsia="Times New Roman" w:cs="Times New Roman"/>
          <w:noProof/>
          <w:lang w:val="en-GB"/>
        </w:rPr>
        <w:t xml:space="preserve">advance information on the proposed </w:t>
      </w:r>
      <w:r w:rsidR="797DA618" w:rsidRPr="7994D79A">
        <w:rPr>
          <w:rFonts w:eastAsia="Times New Roman" w:cs="Times New Roman"/>
          <w:noProof/>
          <w:lang w:val="en-GB"/>
        </w:rPr>
        <w:t>amendment</w:t>
      </w:r>
      <w:r w:rsidR="00B70977" w:rsidRPr="7994D79A">
        <w:rPr>
          <w:rFonts w:eastAsia="Times New Roman" w:cs="Times New Roman"/>
          <w:noProof/>
          <w:lang w:val="en-GB"/>
        </w:rPr>
        <w:t>s</w:t>
      </w:r>
      <w:r w:rsidR="797DA618" w:rsidRPr="7994D79A">
        <w:rPr>
          <w:rFonts w:eastAsia="Times New Roman" w:cs="Times New Roman"/>
          <w:noProof/>
          <w:lang w:val="en-GB"/>
        </w:rPr>
        <w:t xml:space="preserve">, helps speed up the approval process. Timely planning of amendments helps manage expectations and avoid unnecessary modification proposals. </w:t>
      </w:r>
    </w:p>
    <w:p w14:paraId="5131F83C" w14:textId="05075FC2" w:rsidR="797DA618" w:rsidRPr="00724676" w:rsidRDefault="797DA618" w:rsidP="7579D475">
      <w:pPr>
        <w:pStyle w:val="NoSpacing"/>
        <w:spacing w:after="240"/>
        <w:rPr>
          <w:rFonts w:cs="Times New Roman"/>
          <w:b/>
          <w:bCs/>
          <w:noProof/>
          <w:highlight w:val="magenta"/>
          <w:lang w:val="en-GB"/>
        </w:rPr>
      </w:pPr>
      <w:r w:rsidRPr="00DE6EF4">
        <w:rPr>
          <w:rFonts w:cs="Times New Roman"/>
          <w:b/>
          <w:noProof/>
          <w:lang w:val="en-GB"/>
        </w:rPr>
        <w:t xml:space="preserve">Controls </w:t>
      </w:r>
      <w:r w:rsidR="00B70977" w:rsidRPr="00DE6EF4">
        <w:rPr>
          <w:rFonts w:cs="Times New Roman"/>
          <w:b/>
          <w:noProof/>
          <w:lang w:val="en-GB"/>
        </w:rPr>
        <w:t>for c</w:t>
      </w:r>
      <w:r w:rsidRPr="00DE6EF4">
        <w:rPr>
          <w:rFonts w:cs="Times New Roman"/>
          <w:b/>
          <w:noProof/>
          <w:lang w:val="en-GB"/>
        </w:rPr>
        <w:t>onditionality and</w:t>
      </w:r>
      <w:r w:rsidRPr="7994D79A">
        <w:rPr>
          <w:rFonts w:cs="Times New Roman"/>
          <w:b/>
          <w:noProof/>
          <w:lang w:val="en-GB"/>
        </w:rPr>
        <w:t xml:space="preserve"> </w:t>
      </w:r>
      <w:r w:rsidR="00B70977" w:rsidRPr="7994D79A">
        <w:rPr>
          <w:rFonts w:cs="Times New Roman"/>
          <w:b/>
          <w:noProof/>
          <w:lang w:val="en-GB"/>
        </w:rPr>
        <w:t>c</w:t>
      </w:r>
      <w:r w:rsidRPr="7994D79A">
        <w:rPr>
          <w:rFonts w:cs="Times New Roman"/>
          <w:b/>
          <w:noProof/>
          <w:lang w:val="en-GB"/>
        </w:rPr>
        <w:t xml:space="preserve">ross </w:t>
      </w:r>
      <w:r w:rsidR="00B70977" w:rsidRPr="7994D79A">
        <w:rPr>
          <w:rFonts w:cs="Times New Roman"/>
          <w:b/>
          <w:noProof/>
          <w:lang w:val="en-GB"/>
        </w:rPr>
        <w:t>c</w:t>
      </w:r>
      <w:r w:rsidRPr="7994D79A">
        <w:rPr>
          <w:rFonts w:cs="Times New Roman"/>
          <w:b/>
          <w:noProof/>
          <w:lang w:val="en-GB"/>
        </w:rPr>
        <w:t>ompliance</w:t>
      </w:r>
    </w:p>
    <w:p w14:paraId="4B4198AF" w14:textId="4ABD0A29" w:rsidR="797DA618" w:rsidRPr="00724676" w:rsidRDefault="797DA618" w:rsidP="7579D475">
      <w:pPr>
        <w:spacing w:after="120"/>
        <w:jc w:val="both"/>
        <w:rPr>
          <w:rFonts w:cs="Times New Roman"/>
          <w:noProof/>
          <w:szCs w:val="24"/>
          <w:lang w:val="en-GB"/>
        </w:rPr>
      </w:pPr>
      <w:r w:rsidRPr="00724676">
        <w:rPr>
          <w:rFonts w:cs="Times New Roman"/>
          <w:noProof/>
          <w:szCs w:val="24"/>
          <w:lang w:val="en-GB"/>
        </w:rPr>
        <w:t xml:space="preserve">Concerns had also been raised </w:t>
      </w:r>
      <w:r w:rsidR="005E77FA">
        <w:rPr>
          <w:rFonts w:cs="Times New Roman"/>
          <w:noProof/>
          <w:szCs w:val="24"/>
          <w:lang w:val="en-GB"/>
        </w:rPr>
        <w:t>about</w:t>
      </w:r>
      <w:r w:rsidR="005E77FA" w:rsidRPr="00724676">
        <w:rPr>
          <w:rFonts w:cs="Times New Roman"/>
          <w:noProof/>
          <w:szCs w:val="24"/>
          <w:lang w:val="en-GB"/>
        </w:rPr>
        <w:t xml:space="preserve"> </w:t>
      </w:r>
      <w:r w:rsidRPr="00724676">
        <w:rPr>
          <w:rFonts w:cs="Times New Roman"/>
          <w:noProof/>
          <w:szCs w:val="24"/>
          <w:lang w:val="en-GB"/>
        </w:rPr>
        <w:t xml:space="preserve">the proportionality and burden of conditionality </w:t>
      </w:r>
      <w:r w:rsidR="00170455" w:rsidRPr="00724676">
        <w:rPr>
          <w:rFonts w:cs="Times New Roman"/>
          <w:noProof/>
          <w:szCs w:val="24"/>
          <w:lang w:val="en-GB"/>
        </w:rPr>
        <w:t>c</w:t>
      </w:r>
      <w:r w:rsidR="00170455">
        <w:rPr>
          <w:rFonts w:cs="Times New Roman"/>
          <w:noProof/>
          <w:szCs w:val="24"/>
          <w:lang w:val="en-GB"/>
        </w:rPr>
        <w:t xml:space="preserve">hecks </w:t>
      </w:r>
      <w:r w:rsidRPr="00724676">
        <w:rPr>
          <w:rFonts w:cs="Times New Roman"/>
          <w:noProof/>
          <w:szCs w:val="24"/>
          <w:lang w:val="en-GB"/>
        </w:rPr>
        <w:t xml:space="preserve">and penalties, especially for smaller farms. </w:t>
      </w:r>
      <w:r w:rsidR="005E77FA">
        <w:rPr>
          <w:rFonts w:cs="Times New Roman"/>
          <w:noProof/>
          <w:szCs w:val="24"/>
          <w:lang w:val="en-GB"/>
        </w:rPr>
        <w:t>The r</w:t>
      </w:r>
      <w:r w:rsidRPr="00724676">
        <w:rPr>
          <w:rFonts w:cs="Times New Roman"/>
          <w:noProof/>
          <w:szCs w:val="24"/>
          <w:lang w:val="en-GB"/>
        </w:rPr>
        <w:t>ules on controls o</w:t>
      </w:r>
      <w:r w:rsidR="005014A6" w:rsidRPr="00724676">
        <w:rPr>
          <w:rFonts w:cs="Times New Roman"/>
          <w:noProof/>
          <w:szCs w:val="24"/>
          <w:lang w:val="en-GB"/>
        </w:rPr>
        <w:t>f</w:t>
      </w:r>
      <w:r w:rsidRPr="00724676">
        <w:rPr>
          <w:rFonts w:cs="Times New Roman"/>
          <w:noProof/>
          <w:szCs w:val="24"/>
          <w:lang w:val="en-GB"/>
        </w:rPr>
        <w:t xml:space="preserve"> conditionality are laid down in </w:t>
      </w:r>
      <w:r w:rsidR="00AF7B1A">
        <w:rPr>
          <w:rFonts w:cs="Times New Roman"/>
          <w:noProof/>
          <w:szCs w:val="24"/>
          <w:lang w:val="en-GB"/>
        </w:rPr>
        <w:t>EU</w:t>
      </w:r>
      <w:r w:rsidR="00AF7B1A" w:rsidRPr="00724676">
        <w:rPr>
          <w:rFonts w:cs="Times New Roman"/>
          <w:noProof/>
          <w:szCs w:val="24"/>
          <w:lang w:val="en-GB"/>
        </w:rPr>
        <w:t xml:space="preserve"> </w:t>
      </w:r>
      <w:r w:rsidRPr="00724676">
        <w:rPr>
          <w:rFonts w:cs="Times New Roman"/>
          <w:noProof/>
          <w:szCs w:val="24"/>
          <w:lang w:val="en-GB"/>
        </w:rPr>
        <w:t xml:space="preserve">legislation, which requires that 1% of farmers must be controlled every year. To address the burden of control in this area, </w:t>
      </w:r>
      <w:r w:rsidR="005E77FA">
        <w:rPr>
          <w:rFonts w:cs="Times New Roman"/>
          <w:noProof/>
          <w:szCs w:val="24"/>
          <w:lang w:val="en-GB"/>
        </w:rPr>
        <w:t xml:space="preserve">on 15 March 2024 </w:t>
      </w:r>
      <w:r w:rsidRPr="00724676">
        <w:rPr>
          <w:rFonts w:cs="Times New Roman"/>
          <w:noProof/>
          <w:szCs w:val="24"/>
          <w:lang w:val="en-GB"/>
        </w:rPr>
        <w:t xml:space="preserve">the Commission proposed to exempt </w:t>
      </w:r>
      <w:r w:rsidRPr="00724676">
        <w:rPr>
          <w:rFonts w:cs="Times New Roman"/>
          <w:b/>
          <w:bCs/>
          <w:noProof/>
          <w:szCs w:val="24"/>
          <w:lang w:val="en-GB"/>
        </w:rPr>
        <w:t>small farms of under 10 hectares</w:t>
      </w:r>
      <w:r w:rsidRPr="00724676">
        <w:rPr>
          <w:rFonts w:cs="Times New Roman"/>
          <w:noProof/>
          <w:szCs w:val="24"/>
          <w:lang w:val="en-GB"/>
        </w:rPr>
        <w:t xml:space="preserve"> </w:t>
      </w:r>
      <w:r w:rsidR="001D117D">
        <w:rPr>
          <w:rFonts w:cs="Times New Roman"/>
          <w:noProof/>
          <w:szCs w:val="24"/>
          <w:lang w:val="en-GB"/>
        </w:rPr>
        <w:t xml:space="preserve">of agricultural area </w:t>
      </w:r>
      <w:r w:rsidRPr="00724676">
        <w:rPr>
          <w:rFonts w:cs="Times New Roman"/>
          <w:b/>
          <w:bCs/>
          <w:noProof/>
          <w:szCs w:val="24"/>
          <w:lang w:val="en-GB"/>
        </w:rPr>
        <w:t>from controls and penalties</w:t>
      </w:r>
      <w:r w:rsidRPr="00724676">
        <w:rPr>
          <w:rFonts w:cs="Times New Roman"/>
          <w:noProof/>
          <w:szCs w:val="24"/>
          <w:lang w:val="en-GB"/>
        </w:rPr>
        <w:t xml:space="preserve"> related to conditionality requirements. While controls </w:t>
      </w:r>
      <w:r w:rsidR="001D117D">
        <w:rPr>
          <w:rFonts w:cs="Times New Roman"/>
          <w:noProof/>
          <w:szCs w:val="24"/>
          <w:lang w:val="en-GB"/>
        </w:rPr>
        <w:t xml:space="preserve">of conditionality </w:t>
      </w:r>
      <w:r w:rsidRPr="00724676">
        <w:rPr>
          <w:rFonts w:cs="Times New Roman"/>
          <w:noProof/>
          <w:szCs w:val="24"/>
          <w:lang w:val="en-GB"/>
        </w:rPr>
        <w:t>no longer apply for these farms, they are not exempted from the conditionality requirements which also continue to be the baseline for other CAP interventions like eco-schemes.</w:t>
      </w:r>
    </w:p>
    <w:p w14:paraId="4D0383BC" w14:textId="4B978354" w:rsidR="797DA618" w:rsidRPr="003E7CF4" w:rsidRDefault="797DA618" w:rsidP="7579D475">
      <w:pPr>
        <w:spacing w:after="120"/>
        <w:jc w:val="both"/>
        <w:rPr>
          <w:rFonts w:eastAsia="Calibri" w:cs="Times New Roman"/>
          <w:noProof/>
          <w:highlight w:val="yellow"/>
          <w:lang w:val="en-GB"/>
        </w:rPr>
      </w:pPr>
      <w:r w:rsidRPr="7994D79A">
        <w:rPr>
          <w:rFonts w:eastAsia="Calibri" w:cs="Times New Roman"/>
          <w:noProof/>
          <w:lang w:val="en-GB"/>
        </w:rPr>
        <w:t xml:space="preserve">There is a group of beneficiaries under the 2023-2027 </w:t>
      </w:r>
      <w:r w:rsidR="005E77FA" w:rsidRPr="7994D79A">
        <w:rPr>
          <w:rFonts w:eastAsia="Calibri" w:cs="Times New Roman"/>
          <w:noProof/>
          <w:lang w:val="en-GB"/>
        </w:rPr>
        <w:t xml:space="preserve">CAP who </w:t>
      </w:r>
      <w:r w:rsidRPr="7994D79A">
        <w:rPr>
          <w:rFonts w:eastAsia="Calibri" w:cs="Times New Roman"/>
          <w:noProof/>
          <w:lang w:val="en-GB"/>
        </w:rPr>
        <w:t xml:space="preserve">continue to receive area-based rural development support </w:t>
      </w:r>
      <w:r w:rsidR="005E77FA" w:rsidRPr="7994D79A">
        <w:rPr>
          <w:rFonts w:eastAsia="Calibri" w:cs="Times New Roman"/>
          <w:noProof/>
          <w:lang w:val="en-GB"/>
        </w:rPr>
        <w:t>from</w:t>
      </w:r>
      <w:r w:rsidRPr="7994D79A">
        <w:rPr>
          <w:rFonts w:eastAsia="Calibri" w:cs="Times New Roman"/>
          <w:noProof/>
          <w:lang w:val="en-GB"/>
        </w:rPr>
        <w:t xml:space="preserve"> the pre-2023 CAP. The payments for these voluntary measures are subject to the previous ‘cross-</w:t>
      </w:r>
      <w:r w:rsidRPr="00DE6EF4">
        <w:rPr>
          <w:rFonts w:eastAsia="Calibri" w:cs="Times New Roman"/>
          <w:noProof/>
          <w:lang w:val="en-GB"/>
        </w:rPr>
        <w:t xml:space="preserve">compliance’ system </w:t>
      </w:r>
      <w:r w:rsidR="009C1407" w:rsidRPr="00DE6EF4">
        <w:rPr>
          <w:rFonts w:eastAsia="Calibri" w:cs="Times New Roman"/>
          <w:noProof/>
          <w:lang w:val="en-GB"/>
        </w:rPr>
        <w:t>in</w:t>
      </w:r>
      <w:r w:rsidRPr="00DE6EF4">
        <w:rPr>
          <w:rFonts w:eastAsia="Calibri" w:cs="Times New Roman"/>
          <w:noProof/>
          <w:lang w:val="en-GB"/>
        </w:rPr>
        <w:t xml:space="preserve"> </w:t>
      </w:r>
      <w:r w:rsidR="005E77FA" w:rsidRPr="00DE6EF4">
        <w:rPr>
          <w:rFonts w:eastAsia="Calibri" w:cs="Times New Roman"/>
          <w:noProof/>
          <w:lang w:val="en-GB"/>
        </w:rPr>
        <w:t xml:space="preserve">place in </w:t>
      </w:r>
      <w:r w:rsidRPr="00DE6EF4">
        <w:rPr>
          <w:rFonts w:eastAsia="Calibri" w:cs="Times New Roman"/>
          <w:noProof/>
          <w:lang w:val="en-GB"/>
        </w:rPr>
        <w:t xml:space="preserve">2014-2022. </w:t>
      </w:r>
      <w:r w:rsidR="00B1082C" w:rsidRPr="00DE6EF4">
        <w:rPr>
          <w:rFonts w:eastAsia="Calibri" w:cs="Times New Roman"/>
          <w:noProof/>
          <w:lang w:val="en-GB"/>
        </w:rPr>
        <w:t>T</w:t>
      </w:r>
      <w:r w:rsidRPr="00DE6EF4">
        <w:rPr>
          <w:rFonts w:eastAsia="Calibri" w:cs="Times New Roman"/>
          <w:noProof/>
          <w:lang w:val="en-GB"/>
        </w:rPr>
        <w:t xml:space="preserve">o </w:t>
      </w:r>
      <w:r w:rsidR="005E77FA" w:rsidRPr="00DE6EF4">
        <w:rPr>
          <w:rFonts w:eastAsia="Calibri" w:cs="Times New Roman"/>
          <w:noProof/>
          <w:lang w:val="en-GB"/>
        </w:rPr>
        <w:t xml:space="preserve">reduce </w:t>
      </w:r>
      <w:r w:rsidRPr="00DE6EF4">
        <w:rPr>
          <w:rFonts w:eastAsia="Calibri" w:cs="Times New Roman"/>
          <w:noProof/>
          <w:lang w:val="en-GB"/>
        </w:rPr>
        <w:t xml:space="preserve">the control burden </w:t>
      </w:r>
      <w:r w:rsidR="005E77FA" w:rsidRPr="00DE6EF4">
        <w:rPr>
          <w:rFonts w:eastAsia="Calibri" w:cs="Times New Roman"/>
          <w:noProof/>
          <w:lang w:val="en-GB"/>
        </w:rPr>
        <w:t xml:space="preserve">on farmers who are </w:t>
      </w:r>
      <w:r w:rsidRPr="00DE6EF4">
        <w:rPr>
          <w:rFonts w:eastAsia="Calibri" w:cs="Times New Roman"/>
          <w:noProof/>
          <w:lang w:val="en-GB"/>
        </w:rPr>
        <w:t xml:space="preserve">subject to both conditionality and cross-compliance the Commission </w:t>
      </w:r>
      <w:r w:rsidR="005E77FA" w:rsidRPr="00DE6EF4">
        <w:rPr>
          <w:rFonts w:eastAsia="Calibri" w:cs="Times New Roman"/>
          <w:noProof/>
          <w:lang w:val="en-GB"/>
        </w:rPr>
        <w:t xml:space="preserve">also </w:t>
      </w:r>
      <w:r w:rsidRPr="00DE6EF4">
        <w:rPr>
          <w:rFonts w:eastAsia="Calibri" w:cs="Times New Roman"/>
          <w:noProof/>
          <w:lang w:val="en-GB"/>
        </w:rPr>
        <w:t xml:space="preserve">proposed on </w:t>
      </w:r>
      <w:r w:rsidRPr="00D458D9">
        <w:rPr>
          <w:rFonts w:eastAsia="Calibri" w:cs="Times New Roman"/>
          <w:noProof/>
          <w:lang w:val="en-GB"/>
        </w:rPr>
        <w:t>15 March</w:t>
      </w:r>
      <w:r w:rsidR="00B70977" w:rsidRPr="00D458D9">
        <w:rPr>
          <w:rFonts w:eastAsia="Calibri" w:cs="Times New Roman"/>
          <w:noProof/>
          <w:lang w:val="en-GB"/>
        </w:rPr>
        <w:t xml:space="preserve"> </w:t>
      </w:r>
      <w:r w:rsidRPr="00D458D9">
        <w:rPr>
          <w:rFonts w:eastAsia="Calibri" w:cs="Times New Roman"/>
          <w:noProof/>
          <w:lang w:val="en-GB"/>
        </w:rPr>
        <w:t xml:space="preserve">to </w:t>
      </w:r>
      <w:r w:rsidRPr="003E7CF4">
        <w:rPr>
          <w:rFonts w:eastAsia="Calibri" w:cs="Times New Roman"/>
          <w:b/>
          <w:bCs/>
          <w:noProof/>
          <w:lang w:val="en-GB"/>
        </w:rPr>
        <w:t xml:space="preserve">exempt these </w:t>
      </w:r>
      <w:r w:rsidR="00DE6EF4" w:rsidRPr="003E7CF4">
        <w:rPr>
          <w:rFonts w:eastAsia="Calibri" w:cs="Times New Roman"/>
          <w:b/>
          <w:bCs/>
          <w:noProof/>
          <w:lang w:val="en-GB"/>
        </w:rPr>
        <w:t>farmers</w:t>
      </w:r>
      <w:r w:rsidR="005E77FA" w:rsidRPr="003E7CF4">
        <w:rPr>
          <w:rFonts w:eastAsia="Calibri" w:cs="Times New Roman"/>
          <w:b/>
          <w:bCs/>
          <w:noProof/>
          <w:lang w:val="en-GB"/>
        </w:rPr>
        <w:t xml:space="preserve"> </w:t>
      </w:r>
      <w:r w:rsidRPr="003E7CF4">
        <w:rPr>
          <w:rFonts w:eastAsia="Calibri" w:cs="Times New Roman"/>
          <w:b/>
          <w:bCs/>
          <w:noProof/>
          <w:lang w:val="en-GB"/>
        </w:rPr>
        <w:t>from cross-compliance controls and penalties</w:t>
      </w:r>
      <w:r w:rsidRPr="00D458D9">
        <w:rPr>
          <w:rFonts w:eastAsia="Calibri" w:cs="Times New Roman"/>
          <w:noProof/>
          <w:lang w:val="en-GB"/>
        </w:rPr>
        <w:t xml:space="preserve"> and </w:t>
      </w:r>
      <w:r w:rsidR="005E77FA" w:rsidRPr="00D458D9">
        <w:rPr>
          <w:rFonts w:eastAsia="Calibri" w:cs="Times New Roman"/>
          <w:noProof/>
          <w:lang w:val="en-GB"/>
        </w:rPr>
        <w:t xml:space="preserve">to </w:t>
      </w:r>
      <w:r w:rsidRPr="00D458D9">
        <w:rPr>
          <w:rFonts w:eastAsia="Calibri" w:cs="Times New Roman"/>
          <w:noProof/>
          <w:lang w:val="en-GB"/>
        </w:rPr>
        <w:t>rely solely on conditionality.</w:t>
      </w:r>
    </w:p>
    <w:p w14:paraId="1DC3D125" w14:textId="37E7FCE6" w:rsidR="7579D475" w:rsidRPr="00724676" w:rsidRDefault="00F96263" w:rsidP="7579D475">
      <w:pPr>
        <w:rPr>
          <w:rFonts w:cs="Times New Roman"/>
          <w:b/>
          <w:noProof/>
          <w:szCs w:val="24"/>
          <w:lang w:val="en-GB"/>
        </w:rPr>
      </w:pPr>
      <w:r w:rsidRPr="00724676">
        <w:rPr>
          <w:rFonts w:cs="Times New Roman"/>
          <w:b/>
          <w:noProof/>
          <w:szCs w:val="24"/>
          <w:lang w:val="en-GB"/>
        </w:rPr>
        <w:t>Reporting on the results of cross-compliance controls</w:t>
      </w:r>
    </w:p>
    <w:p w14:paraId="2E996A9F" w14:textId="224EC21E" w:rsidR="00F96263" w:rsidRPr="00724676" w:rsidRDefault="00F96263" w:rsidP="230F1D33">
      <w:pPr>
        <w:jc w:val="both"/>
        <w:rPr>
          <w:noProof/>
          <w:lang w:val="en-GB"/>
        </w:rPr>
      </w:pPr>
      <w:r w:rsidRPr="5B7F1876">
        <w:rPr>
          <w:rFonts w:eastAsia="Times New Roman" w:cs="Times New Roman"/>
          <w:noProof/>
          <w:lang w:val="en-GB"/>
        </w:rPr>
        <w:t>In line with the Commission</w:t>
      </w:r>
      <w:r w:rsidR="005E77FA" w:rsidRPr="230F1D33">
        <w:rPr>
          <w:rFonts w:eastAsia="Times New Roman" w:cs="Times New Roman"/>
          <w:noProof/>
          <w:lang w:val="en-GB"/>
        </w:rPr>
        <w:t>’s</w:t>
      </w:r>
      <w:r w:rsidRPr="5B7F1876">
        <w:rPr>
          <w:rFonts w:eastAsia="Times New Roman" w:cs="Times New Roman"/>
          <w:noProof/>
          <w:lang w:val="en-GB"/>
        </w:rPr>
        <w:t xml:space="preserve"> aim to rationali</w:t>
      </w:r>
      <w:r w:rsidR="005E77FA" w:rsidRPr="230F1D33">
        <w:rPr>
          <w:rFonts w:eastAsia="Times New Roman" w:cs="Times New Roman"/>
          <w:noProof/>
          <w:lang w:val="en-GB"/>
        </w:rPr>
        <w:t>s</w:t>
      </w:r>
      <w:r w:rsidRPr="5B7F1876">
        <w:rPr>
          <w:rFonts w:eastAsia="Times New Roman" w:cs="Times New Roman"/>
          <w:noProof/>
          <w:lang w:val="en-GB"/>
        </w:rPr>
        <w:t xml:space="preserve">e and simplify reporting requirements for </w:t>
      </w:r>
      <w:r w:rsidR="00F44D7A" w:rsidRPr="5B7F1876">
        <w:rPr>
          <w:rFonts w:eastAsia="Times New Roman" w:cs="Times New Roman"/>
          <w:noProof/>
          <w:lang w:val="en-GB"/>
        </w:rPr>
        <w:t>administrations</w:t>
      </w:r>
      <w:r w:rsidR="00F44D7A" w:rsidRPr="230F1D33">
        <w:rPr>
          <w:rFonts w:eastAsia="Times New Roman" w:cs="Times New Roman"/>
          <w:noProof/>
          <w:lang w:val="en-GB"/>
        </w:rPr>
        <w:t xml:space="preserve"> and</w:t>
      </w:r>
      <w:r w:rsidRPr="5B7F1876">
        <w:rPr>
          <w:rFonts w:eastAsia="Times New Roman" w:cs="Times New Roman"/>
          <w:noProof/>
          <w:lang w:val="en-GB"/>
        </w:rPr>
        <w:t xml:space="preserve"> </w:t>
      </w:r>
      <w:r w:rsidR="00A97ADA" w:rsidRPr="5B7F1876">
        <w:rPr>
          <w:rFonts w:eastAsia="Times New Roman" w:cs="Times New Roman"/>
          <w:noProof/>
          <w:lang w:val="en-GB"/>
        </w:rPr>
        <w:t>given</w:t>
      </w:r>
      <w:r w:rsidRPr="5B7F1876" w:rsidDel="00A97ADA">
        <w:rPr>
          <w:rFonts w:eastAsia="Times New Roman" w:cs="Times New Roman"/>
          <w:noProof/>
          <w:lang w:val="en-GB"/>
        </w:rPr>
        <w:t xml:space="preserve"> the </w:t>
      </w:r>
      <w:r w:rsidR="00A97ADA" w:rsidRPr="5B7F1876">
        <w:rPr>
          <w:rFonts w:eastAsia="Times New Roman" w:cs="Times New Roman"/>
          <w:noProof/>
          <w:lang w:val="en-GB"/>
        </w:rPr>
        <w:t>very</w:t>
      </w:r>
      <w:r w:rsidRPr="5B7F1876">
        <w:rPr>
          <w:rFonts w:eastAsia="Times New Roman" w:cs="Times New Roman"/>
          <w:noProof/>
          <w:lang w:val="en-GB"/>
        </w:rPr>
        <w:t xml:space="preserve"> limited representativeness of the sample </w:t>
      </w:r>
      <w:r w:rsidR="00E70354" w:rsidRPr="230F1D33">
        <w:rPr>
          <w:rFonts w:eastAsia="Times New Roman" w:cs="Times New Roman"/>
          <w:noProof/>
          <w:lang w:val="en-GB"/>
        </w:rPr>
        <w:t>used in</w:t>
      </w:r>
      <w:r w:rsidRPr="5B7F1876">
        <w:rPr>
          <w:rFonts w:eastAsia="Times New Roman" w:cs="Times New Roman"/>
          <w:noProof/>
          <w:lang w:val="en-GB"/>
        </w:rPr>
        <w:t xml:space="preserve"> reporting on control data and control statistics for cross-compliance, </w:t>
      </w:r>
      <w:r w:rsidRPr="230F1D33">
        <w:rPr>
          <w:rFonts w:eastAsia="Times New Roman" w:cs="Times New Roman"/>
          <w:noProof/>
          <w:lang w:val="en-GB"/>
        </w:rPr>
        <w:t xml:space="preserve">the </w:t>
      </w:r>
      <w:r w:rsidR="00E70354" w:rsidRPr="230F1D33">
        <w:rPr>
          <w:rFonts w:eastAsia="Times New Roman" w:cs="Times New Roman"/>
          <w:noProof/>
          <w:lang w:val="en-GB"/>
        </w:rPr>
        <w:t xml:space="preserve">Commission </w:t>
      </w:r>
      <w:r w:rsidR="2B1036E5" w:rsidRPr="230F1D33">
        <w:rPr>
          <w:rFonts w:eastAsia="Times New Roman" w:cs="Times New Roman"/>
          <w:noProof/>
          <w:lang w:val="en-GB"/>
        </w:rPr>
        <w:t>decided</w:t>
      </w:r>
      <w:r w:rsidRPr="230F1D33">
        <w:rPr>
          <w:rFonts w:eastAsia="Times New Roman" w:cs="Times New Roman"/>
          <w:noProof/>
          <w:lang w:val="en-GB"/>
        </w:rPr>
        <w:t xml:space="preserve"> to waive the obligation for Member States to submit </w:t>
      </w:r>
      <w:r w:rsidR="000F540E" w:rsidRPr="230F1D33">
        <w:rPr>
          <w:rFonts w:eastAsia="Times New Roman" w:cs="Times New Roman"/>
          <w:noProof/>
          <w:lang w:val="en-GB"/>
        </w:rPr>
        <w:t>these figures</w:t>
      </w:r>
      <w:r w:rsidRPr="230F1D33">
        <w:rPr>
          <w:rFonts w:eastAsia="Times New Roman" w:cs="Times New Roman"/>
          <w:noProof/>
          <w:lang w:val="en-GB"/>
        </w:rPr>
        <w:t xml:space="preserve"> for claim years 2023, 2024 and 2025</w:t>
      </w:r>
      <w:r w:rsidR="007B5E95" w:rsidRPr="003E7CF4">
        <w:rPr>
          <w:rStyle w:val="FootnoteReference"/>
          <w:rFonts w:eastAsia="Times New Roman" w:cs="Times New Roman"/>
          <w:noProof/>
          <w:lang w:val="en-GB"/>
        </w:rPr>
        <w:footnoteReference w:id="28"/>
      </w:r>
      <w:r w:rsidR="007B5E95" w:rsidRPr="230F1D33">
        <w:rPr>
          <w:rFonts w:eastAsia="Times New Roman" w:cs="Times New Roman"/>
          <w:noProof/>
          <w:lang w:val="en-GB"/>
        </w:rPr>
        <w:t xml:space="preserve">. </w:t>
      </w:r>
      <w:r w:rsidRPr="230F1D33">
        <w:rPr>
          <w:rFonts w:eastAsia="Times New Roman" w:cs="Times New Roman"/>
          <w:noProof/>
          <w:lang w:val="en-GB"/>
        </w:rPr>
        <w:t>Th</w:t>
      </w:r>
      <w:r w:rsidR="007B5E95" w:rsidRPr="230F1D33">
        <w:rPr>
          <w:rFonts w:eastAsia="Times New Roman" w:cs="Times New Roman"/>
          <w:noProof/>
          <w:lang w:val="en-GB"/>
        </w:rPr>
        <w:t>is modification</w:t>
      </w:r>
      <w:r w:rsidRPr="230F1D33" w:rsidDel="007B5E95">
        <w:rPr>
          <w:rFonts w:eastAsia="Times New Roman" w:cs="Times New Roman"/>
          <w:noProof/>
          <w:lang w:val="en-GB"/>
        </w:rPr>
        <w:t xml:space="preserve"> </w:t>
      </w:r>
      <w:r w:rsidR="0025720B" w:rsidRPr="230F1D33" w:rsidDel="007B5E95">
        <w:rPr>
          <w:rFonts w:eastAsia="Times New Roman" w:cs="Times New Roman"/>
          <w:noProof/>
          <w:lang w:val="en-GB"/>
        </w:rPr>
        <w:t>w</w:t>
      </w:r>
      <w:r w:rsidR="0025720B">
        <w:rPr>
          <w:rFonts w:eastAsia="Times New Roman" w:cs="Times New Roman"/>
          <w:noProof/>
          <w:lang w:val="en-GB"/>
        </w:rPr>
        <w:t>ill</w:t>
      </w:r>
      <w:r w:rsidR="0025720B" w:rsidRPr="230F1D33" w:rsidDel="007B5E95">
        <w:rPr>
          <w:rFonts w:eastAsia="Times New Roman" w:cs="Times New Roman"/>
          <w:noProof/>
          <w:lang w:val="en-GB"/>
        </w:rPr>
        <w:t xml:space="preserve"> </w:t>
      </w:r>
      <w:r w:rsidR="0040682D" w:rsidRPr="230F1D33">
        <w:rPr>
          <w:rFonts w:eastAsia="Times New Roman" w:cs="Times New Roman"/>
          <w:noProof/>
          <w:lang w:val="en-GB"/>
        </w:rPr>
        <w:t xml:space="preserve">apply </w:t>
      </w:r>
      <w:r w:rsidRPr="230F1D33">
        <w:rPr>
          <w:rFonts w:eastAsia="Times New Roman" w:cs="Times New Roman"/>
          <w:noProof/>
          <w:lang w:val="en-GB"/>
        </w:rPr>
        <w:t xml:space="preserve">retroactively from 1 January 2024 to cover </w:t>
      </w:r>
      <w:r w:rsidR="005D179E" w:rsidRPr="230F1D33">
        <w:rPr>
          <w:rFonts w:eastAsia="Times New Roman" w:cs="Times New Roman"/>
          <w:noProof/>
          <w:lang w:val="en-GB"/>
        </w:rPr>
        <w:t xml:space="preserve">the </w:t>
      </w:r>
      <w:r w:rsidR="003F7ACE" w:rsidRPr="230F1D33">
        <w:rPr>
          <w:rFonts w:eastAsia="Times New Roman" w:cs="Times New Roman"/>
          <w:noProof/>
          <w:lang w:val="en-GB"/>
        </w:rPr>
        <w:t>2023</w:t>
      </w:r>
      <w:r w:rsidR="00E70354" w:rsidRPr="230F1D33">
        <w:rPr>
          <w:rFonts w:eastAsia="Times New Roman" w:cs="Times New Roman"/>
          <w:noProof/>
          <w:lang w:val="en-GB"/>
        </w:rPr>
        <w:t xml:space="preserve"> figures, which Member States were obliged to transmit</w:t>
      </w:r>
      <w:r w:rsidR="003F7ACE" w:rsidRPr="230F1D33">
        <w:rPr>
          <w:rFonts w:eastAsia="Times New Roman" w:cs="Times New Roman"/>
          <w:noProof/>
          <w:lang w:val="en-GB"/>
        </w:rPr>
        <w:t xml:space="preserve"> </w:t>
      </w:r>
      <w:r w:rsidR="2B5F04AA" w:rsidRPr="230F1D33">
        <w:rPr>
          <w:rFonts w:eastAsia="Times New Roman" w:cs="Times New Roman"/>
          <w:noProof/>
          <w:lang w:val="en-GB"/>
        </w:rPr>
        <w:t>from</w:t>
      </w:r>
      <w:r w:rsidR="756F55FB" w:rsidRPr="230F1D33">
        <w:rPr>
          <w:rFonts w:eastAsia="Times New Roman" w:cs="Times New Roman"/>
          <w:noProof/>
          <w:lang w:val="en-GB"/>
        </w:rPr>
        <w:t xml:space="preserve"> </w:t>
      </w:r>
      <w:r w:rsidR="474337C5" w:rsidRPr="230F1D33">
        <w:rPr>
          <w:rFonts w:eastAsia="Times New Roman" w:cs="Times New Roman"/>
          <w:noProof/>
          <w:lang w:val="en-GB"/>
        </w:rPr>
        <w:t>15</w:t>
      </w:r>
      <w:r w:rsidR="004913A1" w:rsidRPr="230F1D33">
        <w:rPr>
          <w:rFonts w:eastAsia="Times New Roman" w:cs="Times New Roman"/>
          <w:noProof/>
          <w:lang w:val="en-GB"/>
        </w:rPr>
        <w:t xml:space="preserve"> </w:t>
      </w:r>
      <w:r w:rsidRPr="230F1D33">
        <w:rPr>
          <w:rFonts w:eastAsia="Times New Roman" w:cs="Times New Roman"/>
          <w:noProof/>
          <w:lang w:val="en-GB"/>
        </w:rPr>
        <w:t>July</w:t>
      </w:r>
      <w:r w:rsidRPr="230F1D33" w:rsidDel="004913A1">
        <w:rPr>
          <w:rFonts w:eastAsia="Times New Roman" w:cs="Times New Roman"/>
          <w:noProof/>
          <w:lang w:val="en-GB"/>
        </w:rPr>
        <w:t xml:space="preserve"> </w:t>
      </w:r>
      <w:r w:rsidRPr="230F1D33">
        <w:rPr>
          <w:rFonts w:eastAsia="Times New Roman" w:cs="Times New Roman"/>
          <w:noProof/>
          <w:lang w:val="en-GB"/>
        </w:rPr>
        <w:t>2024.</w:t>
      </w:r>
    </w:p>
    <w:p w14:paraId="1E744927" w14:textId="7DE5D312" w:rsidR="007E66CD" w:rsidRPr="00724676" w:rsidRDefault="00506B36" w:rsidP="00583F60">
      <w:pPr>
        <w:pStyle w:val="Heading5"/>
        <w:rPr>
          <w:noProof/>
        </w:rPr>
      </w:pPr>
      <w:bookmarkStart w:id="66" w:name="_Toc348845847"/>
      <w:bookmarkStart w:id="67" w:name="_Toc1108430476"/>
      <w:bookmarkStart w:id="68" w:name="_Toc354338560"/>
      <w:bookmarkStart w:id="69" w:name="_Toc167974743"/>
      <w:bookmarkStart w:id="70" w:name="_Toc168422349"/>
      <w:bookmarkStart w:id="71" w:name="_Toc168422656"/>
      <w:bookmarkStart w:id="72" w:name="_Toc169115020"/>
      <w:bookmarkStart w:id="73" w:name="_Toc171106320"/>
      <w:bookmarkStart w:id="74" w:name="_Toc171432235"/>
      <w:bookmarkStart w:id="75" w:name="_Toc171444109"/>
      <w:r w:rsidRPr="7994D79A">
        <w:rPr>
          <w:rStyle w:val="Style2Char"/>
          <w:rFonts w:eastAsiaTheme="minorEastAsia" w:cs="Times New Roman"/>
          <w:b/>
          <w:color w:val="auto"/>
          <w:kern w:val="2"/>
          <w14:ligatures w14:val="standardContextual"/>
        </w:rPr>
        <w:t>Rationali</w:t>
      </w:r>
      <w:r w:rsidR="00395DED" w:rsidRPr="7994D79A">
        <w:rPr>
          <w:rStyle w:val="Style2Char"/>
          <w:rFonts w:eastAsiaTheme="minorEastAsia" w:cs="Times New Roman"/>
          <w:b/>
          <w:color w:val="auto"/>
          <w:kern w:val="2"/>
          <w14:ligatures w14:val="standardContextual"/>
        </w:rPr>
        <w:t>s</w:t>
      </w:r>
      <w:r w:rsidRPr="7994D79A">
        <w:rPr>
          <w:rStyle w:val="Style2Char"/>
          <w:rFonts w:eastAsiaTheme="minorEastAsia" w:cs="Times New Roman"/>
          <w:b/>
          <w:color w:val="auto"/>
          <w:kern w:val="2"/>
          <w14:ligatures w14:val="standardContextual"/>
        </w:rPr>
        <w:t xml:space="preserve">ing controls, including the right </w:t>
      </w:r>
      <w:r w:rsidR="36B3ED82" w:rsidRPr="7994D79A">
        <w:rPr>
          <w:rStyle w:val="Style2Char"/>
          <w:rFonts w:eastAsiaTheme="minorEastAsia" w:cs="Times New Roman"/>
          <w:b/>
          <w:color w:val="auto"/>
        </w:rPr>
        <w:t xml:space="preserve">of </w:t>
      </w:r>
      <w:r w:rsidRPr="7994D79A">
        <w:rPr>
          <w:rStyle w:val="Style2Char"/>
          <w:rFonts w:eastAsiaTheme="minorEastAsia" w:cs="Times New Roman"/>
          <w:b/>
          <w:color w:val="auto"/>
          <w:kern w:val="2"/>
          <w14:ligatures w14:val="standardContextual"/>
        </w:rPr>
        <w:t>error</w:t>
      </w:r>
      <w:bookmarkEnd w:id="66"/>
      <w:bookmarkEnd w:id="67"/>
      <w:bookmarkEnd w:id="68"/>
      <w:bookmarkEnd w:id="69"/>
      <w:bookmarkEnd w:id="70"/>
      <w:bookmarkEnd w:id="71"/>
      <w:bookmarkEnd w:id="72"/>
      <w:bookmarkEnd w:id="73"/>
      <w:bookmarkEnd w:id="74"/>
      <w:bookmarkEnd w:id="75"/>
      <w:r w:rsidR="007B0685" w:rsidRPr="00724676">
        <w:rPr>
          <w:noProof/>
        </w:rPr>
        <w:t xml:space="preserve"> </w:t>
      </w:r>
    </w:p>
    <w:p w14:paraId="57146EA4" w14:textId="58F02AB1" w:rsidR="0025720B" w:rsidRPr="00724676" w:rsidRDefault="0E070DA3" w:rsidP="006D5C9F">
      <w:pPr>
        <w:spacing w:after="120"/>
        <w:jc w:val="both"/>
        <w:rPr>
          <w:rFonts w:eastAsia="Calibri" w:cs="Times New Roman"/>
          <w:noProof/>
          <w:lang w:val="en-GB"/>
        </w:rPr>
      </w:pPr>
      <w:r w:rsidRPr="0025720B">
        <w:rPr>
          <w:rFonts w:eastAsia="Calibri" w:cs="Times New Roman"/>
          <w:noProof/>
          <w:lang w:val="en-GB"/>
        </w:rPr>
        <w:t xml:space="preserve">The </w:t>
      </w:r>
      <w:r w:rsidR="287764BA" w:rsidRPr="0025720B">
        <w:rPr>
          <w:rFonts w:eastAsia="Calibri" w:cs="Times New Roman"/>
          <w:noProof/>
          <w:lang w:val="en-GB"/>
        </w:rPr>
        <w:t>i</w:t>
      </w:r>
      <w:r w:rsidRPr="0025720B">
        <w:rPr>
          <w:rFonts w:eastAsia="Calibri" w:cs="Times New Roman"/>
          <w:noProof/>
          <w:lang w:val="en-GB"/>
        </w:rPr>
        <w:t xml:space="preserve">ntegrated </w:t>
      </w:r>
      <w:r w:rsidR="287764BA" w:rsidRPr="0025720B">
        <w:rPr>
          <w:rFonts w:eastAsia="Calibri" w:cs="Times New Roman"/>
          <w:noProof/>
          <w:lang w:val="en-GB"/>
        </w:rPr>
        <w:t>a</w:t>
      </w:r>
      <w:r w:rsidRPr="0025720B">
        <w:rPr>
          <w:rFonts w:eastAsia="Calibri" w:cs="Times New Roman"/>
          <w:noProof/>
          <w:lang w:val="en-GB"/>
        </w:rPr>
        <w:t xml:space="preserve">dministration and </w:t>
      </w:r>
      <w:r w:rsidR="287764BA" w:rsidRPr="0025720B">
        <w:rPr>
          <w:rFonts w:eastAsia="Calibri" w:cs="Times New Roman"/>
          <w:noProof/>
          <w:lang w:val="en-GB"/>
        </w:rPr>
        <w:t>c</w:t>
      </w:r>
      <w:r w:rsidRPr="0025720B">
        <w:rPr>
          <w:rFonts w:eastAsia="Calibri" w:cs="Times New Roman"/>
          <w:noProof/>
          <w:lang w:val="en-GB"/>
        </w:rPr>
        <w:t xml:space="preserve">ontrol </w:t>
      </w:r>
      <w:r w:rsidR="287764BA" w:rsidRPr="0025720B">
        <w:rPr>
          <w:rFonts w:eastAsia="Calibri" w:cs="Times New Roman"/>
          <w:noProof/>
          <w:lang w:val="en-GB"/>
        </w:rPr>
        <w:t>s</w:t>
      </w:r>
      <w:r w:rsidRPr="0025720B">
        <w:rPr>
          <w:rFonts w:eastAsia="Calibri" w:cs="Times New Roman"/>
          <w:noProof/>
          <w:lang w:val="en-GB"/>
        </w:rPr>
        <w:t>ystem (IACS)</w:t>
      </w:r>
      <w:r w:rsidR="00981F0C" w:rsidRPr="0025720B">
        <w:rPr>
          <w:rStyle w:val="FootnoteReference"/>
          <w:rFonts w:eastAsia="Calibri" w:cs="Times New Roman"/>
          <w:noProof/>
          <w:lang w:val="en-GB"/>
        </w:rPr>
        <w:footnoteReference w:id="29"/>
      </w:r>
      <w:r w:rsidRPr="0025720B">
        <w:rPr>
          <w:rFonts w:eastAsia="Calibri" w:cs="Times New Roman"/>
          <w:noProof/>
          <w:lang w:val="en-GB"/>
        </w:rPr>
        <w:t xml:space="preserve"> </w:t>
      </w:r>
      <w:r w:rsidR="287764BA" w:rsidRPr="0025720B">
        <w:rPr>
          <w:rFonts w:eastAsia="Calibri" w:cs="Times New Roman"/>
          <w:noProof/>
          <w:lang w:val="en-GB"/>
        </w:rPr>
        <w:t xml:space="preserve">helps </w:t>
      </w:r>
      <w:r w:rsidR="54556624" w:rsidRPr="0025720B">
        <w:rPr>
          <w:rFonts w:eastAsia="Calibri" w:cs="Times New Roman"/>
          <w:noProof/>
          <w:lang w:val="en-GB"/>
        </w:rPr>
        <w:t xml:space="preserve">Member States to </w:t>
      </w:r>
      <w:r w:rsidRPr="0025720B">
        <w:rPr>
          <w:rFonts w:eastAsia="Calibri" w:cs="Times New Roman"/>
          <w:noProof/>
          <w:lang w:val="en-GB"/>
        </w:rPr>
        <w:t>manage, monitor and</w:t>
      </w:r>
      <w:r w:rsidRPr="0025720B" w:rsidDel="00CC39C2">
        <w:rPr>
          <w:rFonts w:eastAsia="Calibri" w:cs="Times New Roman"/>
          <w:noProof/>
          <w:lang w:val="en-GB"/>
        </w:rPr>
        <w:t xml:space="preserve"> </w:t>
      </w:r>
      <w:r w:rsidRPr="0025720B" w:rsidDel="00981F0C">
        <w:rPr>
          <w:rFonts w:eastAsia="Calibri" w:cs="Times New Roman"/>
          <w:noProof/>
          <w:lang w:val="en-GB"/>
        </w:rPr>
        <w:t>control</w:t>
      </w:r>
      <w:r w:rsidR="2503BDB4" w:rsidRPr="0025720B">
        <w:rPr>
          <w:rFonts w:eastAsia="Calibri" w:cs="Times New Roman"/>
          <w:noProof/>
          <w:lang w:val="en-GB"/>
        </w:rPr>
        <w:t xml:space="preserve"> </w:t>
      </w:r>
      <w:r w:rsidRPr="0025720B">
        <w:rPr>
          <w:rFonts w:eastAsia="Calibri" w:cs="Times New Roman"/>
          <w:noProof/>
          <w:lang w:val="en-GB"/>
        </w:rPr>
        <w:t>all the area and animal-based CAP interventions</w:t>
      </w:r>
      <w:r w:rsidR="2503BDB4" w:rsidRPr="0025720B">
        <w:rPr>
          <w:rFonts w:eastAsia="Calibri" w:cs="Times New Roman"/>
          <w:noProof/>
          <w:lang w:val="en-GB"/>
        </w:rPr>
        <w:t>,</w:t>
      </w:r>
      <w:r w:rsidRPr="0025720B">
        <w:rPr>
          <w:rFonts w:eastAsia="Calibri" w:cs="Times New Roman"/>
          <w:noProof/>
          <w:lang w:val="en-GB"/>
        </w:rPr>
        <w:t xml:space="preserve"> and ensures that comprehensive and comparable </w:t>
      </w:r>
      <w:r w:rsidR="259B5C07" w:rsidRPr="0025720B">
        <w:rPr>
          <w:rFonts w:eastAsia="Calibri" w:cs="Times New Roman"/>
          <w:noProof/>
          <w:lang w:val="en-GB"/>
        </w:rPr>
        <w:t xml:space="preserve">EU </w:t>
      </w:r>
      <w:r w:rsidRPr="0025720B">
        <w:rPr>
          <w:rFonts w:eastAsia="Calibri" w:cs="Times New Roman"/>
          <w:noProof/>
          <w:lang w:val="en-GB"/>
        </w:rPr>
        <w:t>data is available</w:t>
      </w:r>
      <w:r w:rsidR="00DE6EF4" w:rsidRPr="0025720B">
        <w:rPr>
          <w:rFonts w:eastAsia="Calibri" w:cs="Times New Roman"/>
          <w:noProof/>
          <w:lang w:val="en-GB"/>
        </w:rPr>
        <w:t>.</w:t>
      </w:r>
    </w:p>
    <w:p w14:paraId="0573F428" w14:textId="5CC99674" w:rsidR="00CC71F4" w:rsidRPr="00724676" w:rsidRDefault="004E04EE" w:rsidP="5C64349A">
      <w:pPr>
        <w:spacing w:after="120"/>
        <w:jc w:val="both"/>
        <w:rPr>
          <w:rFonts w:eastAsia="Calibri" w:cs="Times New Roman"/>
          <w:noProof/>
          <w:lang w:val="en-GB"/>
        </w:rPr>
      </w:pPr>
      <w:r w:rsidRPr="5B7F1876">
        <w:rPr>
          <w:rFonts w:eastAsia="Calibri" w:cs="Times New Roman"/>
          <w:noProof/>
          <w:color w:val="000000" w:themeColor="text1"/>
          <w:lang w:val="en-GB"/>
        </w:rPr>
        <w:lastRenderedPageBreak/>
        <w:t xml:space="preserve">The IACS </w:t>
      </w:r>
      <w:r w:rsidR="1A7E0999" w:rsidRPr="5B7F1876">
        <w:rPr>
          <w:rFonts w:eastAsia="Calibri" w:cs="Times New Roman"/>
          <w:noProof/>
          <w:color w:val="000000" w:themeColor="text1"/>
          <w:lang w:val="en-GB"/>
        </w:rPr>
        <w:t>consists of several elements, integrating information captured</w:t>
      </w:r>
      <w:r w:rsidRPr="5B7F1876">
        <w:rPr>
          <w:rFonts w:eastAsia="Calibri" w:cs="Times New Roman"/>
          <w:noProof/>
          <w:color w:val="000000" w:themeColor="text1"/>
          <w:lang w:val="en-GB"/>
        </w:rPr>
        <w:t xml:space="preserve">, for example, </w:t>
      </w:r>
      <w:r w:rsidR="1A7E0999" w:rsidRPr="5B7F1876">
        <w:rPr>
          <w:rFonts w:eastAsia="Calibri" w:cs="Times New Roman"/>
          <w:noProof/>
          <w:color w:val="000000" w:themeColor="text1"/>
          <w:lang w:val="en-GB"/>
        </w:rPr>
        <w:t>by the Copernicus Sentinel satellites</w:t>
      </w:r>
      <w:r w:rsidR="1A7E0999" w:rsidRPr="5B7F1876">
        <w:rPr>
          <w:rFonts w:eastAsia="Calibri" w:cs="Times New Roman"/>
          <w:noProof/>
          <w:lang w:val="en-GB"/>
        </w:rPr>
        <w:t xml:space="preserve"> </w:t>
      </w:r>
      <w:r w:rsidRPr="5B7F1876">
        <w:rPr>
          <w:rFonts w:eastAsia="Calibri" w:cs="Times New Roman"/>
          <w:noProof/>
          <w:lang w:val="en-GB"/>
        </w:rPr>
        <w:t>as part</w:t>
      </w:r>
      <w:r w:rsidR="1A7E0999" w:rsidRPr="5B7F1876">
        <w:rPr>
          <w:rFonts w:eastAsia="Calibri" w:cs="Times New Roman"/>
          <w:noProof/>
          <w:lang w:val="en-GB"/>
        </w:rPr>
        <w:t xml:space="preserve"> of the </w:t>
      </w:r>
      <w:r w:rsidR="6E55EE9A" w:rsidRPr="6FE283EC">
        <w:rPr>
          <w:rFonts w:eastAsia="Calibri" w:cs="Times New Roman"/>
          <w:noProof/>
          <w:lang w:val="en-GB"/>
        </w:rPr>
        <w:t>a</w:t>
      </w:r>
      <w:r w:rsidR="175BD5D6" w:rsidRPr="532033A3">
        <w:rPr>
          <w:rFonts w:eastAsia="Calibri" w:cs="Times New Roman"/>
          <w:noProof/>
          <w:lang w:val="en-GB"/>
        </w:rPr>
        <w:t xml:space="preserve">rea </w:t>
      </w:r>
      <w:r w:rsidR="2FF31BEF" w:rsidRPr="6FE283EC">
        <w:rPr>
          <w:rFonts w:eastAsia="Calibri" w:cs="Times New Roman"/>
          <w:noProof/>
          <w:lang w:val="en-GB"/>
        </w:rPr>
        <w:t>m</w:t>
      </w:r>
      <w:r w:rsidR="175BD5D6" w:rsidRPr="532033A3">
        <w:rPr>
          <w:rFonts w:eastAsia="Calibri" w:cs="Times New Roman"/>
          <w:noProof/>
          <w:lang w:val="en-GB"/>
        </w:rPr>
        <w:t xml:space="preserve">onitoring </w:t>
      </w:r>
      <w:r w:rsidR="4A2B8584" w:rsidRPr="6FE283EC">
        <w:rPr>
          <w:rFonts w:eastAsia="Calibri" w:cs="Times New Roman"/>
          <w:noProof/>
          <w:lang w:val="en-GB"/>
        </w:rPr>
        <w:t>s</w:t>
      </w:r>
      <w:r w:rsidR="175BD5D6" w:rsidRPr="532033A3">
        <w:rPr>
          <w:rFonts w:eastAsia="Calibri" w:cs="Times New Roman"/>
          <w:noProof/>
          <w:lang w:val="en-GB"/>
        </w:rPr>
        <w:t>ystem</w:t>
      </w:r>
      <w:r w:rsidR="1A7E0999" w:rsidRPr="5B7F1876">
        <w:rPr>
          <w:rFonts w:eastAsia="Calibri" w:cs="Times New Roman"/>
          <w:noProof/>
          <w:lang w:val="en-GB"/>
        </w:rPr>
        <w:t xml:space="preserve"> (AMS) used to observe, track and assess agricultural activities on all hectares claimed under area-based interventions</w:t>
      </w:r>
      <w:r w:rsidR="00981F0C" w:rsidRPr="5B7F1876">
        <w:rPr>
          <w:rStyle w:val="FootnoteReference"/>
          <w:rFonts w:eastAsia="Calibri" w:cs="Times New Roman"/>
          <w:noProof/>
          <w:lang w:val="en-GB"/>
        </w:rPr>
        <w:footnoteReference w:id="30"/>
      </w:r>
      <w:r w:rsidR="00A95DF5" w:rsidRPr="5B7F1876">
        <w:rPr>
          <w:rFonts w:eastAsia="Calibri" w:cs="Times New Roman"/>
          <w:noProof/>
          <w:lang w:val="en-GB"/>
        </w:rPr>
        <w:t>.</w:t>
      </w:r>
      <w:r w:rsidR="1A7E0999" w:rsidRPr="5B7F1876">
        <w:rPr>
          <w:rFonts w:eastAsia="Calibri" w:cs="Times New Roman"/>
          <w:noProof/>
          <w:color w:val="000000" w:themeColor="text1"/>
          <w:lang w:val="en-GB"/>
        </w:rPr>
        <w:t xml:space="preserve"> </w:t>
      </w:r>
      <w:r w:rsidRPr="5B7F1876">
        <w:rPr>
          <w:rFonts w:eastAsia="Calibri" w:cs="Times New Roman"/>
          <w:noProof/>
          <w:color w:val="000000" w:themeColor="text1"/>
          <w:lang w:val="en-GB"/>
        </w:rPr>
        <w:t>A key part of the system</w:t>
      </w:r>
      <w:r w:rsidR="1A7E0999" w:rsidRPr="5B7F1876">
        <w:rPr>
          <w:rFonts w:eastAsia="Calibri" w:cs="Times New Roman"/>
          <w:noProof/>
          <w:color w:val="000000" w:themeColor="text1"/>
          <w:lang w:val="en-GB"/>
        </w:rPr>
        <w:t xml:space="preserve"> </w:t>
      </w:r>
      <w:r w:rsidR="1A7E0999" w:rsidRPr="5B7F1876">
        <w:rPr>
          <w:rFonts w:eastAsia="Calibri" w:cs="Times New Roman"/>
          <w:noProof/>
          <w:lang w:val="en-GB"/>
        </w:rPr>
        <w:t>is the Geo</w:t>
      </w:r>
      <w:r w:rsidR="5AC7F7B8" w:rsidRPr="6FE283EC">
        <w:rPr>
          <w:rFonts w:eastAsia="Calibri" w:cs="Times New Roman"/>
          <w:noProof/>
          <w:lang w:val="en-GB"/>
        </w:rPr>
        <w:t>-</w:t>
      </w:r>
      <w:r w:rsidRPr="5B7F1876">
        <w:rPr>
          <w:rFonts w:eastAsia="Calibri" w:cs="Times New Roman"/>
          <w:noProof/>
          <w:lang w:val="en-GB"/>
        </w:rPr>
        <w:t>s</w:t>
      </w:r>
      <w:r w:rsidR="1A7E0999" w:rsidRPr="5B7F1876">
        <w:rPr>
          <w:rFonts w:eastAsia="Calibri" w:cs="Times New Roman"/>
          <w:noProof/>
          <w:lang w:val="en-GB"/>
        </w:rPr>
        <w:t xml:space="preserve">patial </w:t>
      </w:r>
      <w:r w:rsidR="07CED010" w:rsidRPr="6FE283EC">
        <w:rPr>
          <w:rFonts w:eastAsia="Calibri" w:cs="Times New Roman"/>
          <w:noProof/>
          <w:lang w:val="en-GB"/>
        </w:rPr>
        <w:t>a</w:t>
      </w:r>
      <w:r w:rsidR="175BD5D6" w:rsidRPr="532033A3">
        <w:rPr>
          <w:rFonts w:eastAsia="Calibri" w:cs="Times New Roman"/>
          <w:noProof/>
          <w:lang w:val="en-GB"/>
        </w:rPr>
        <w:t>pplication</w:t>
      </w:r>
      <w:r w:rsidR="1A7E0999" w:rsidRPr="5B7F1876">
        <w:rPr>
          <w:rFonts w:eastAsia="Calibri" w:cs="Times New Roman"/>
          <w:noProof/>
          <w:lang w:val="en-GB"/>
        </w:rPr>
        <w:t xml:space="preserve"> (GSA) that allows </w:t>
      </w:r>
      <w:r w:rsidR="1A384E33" w:rsidRPr="5B7F1876">
        <w:rPr>
          <w:rFonts w:eastAsia="Calibri" w:cs="Times New Roman"/>
          <w:noProof/>
          <w:lang w:val="en-GB"/>
        </w:rPr>
        <w:t xml:space="preserve">CAP </w:t>
      </w:r>
      <w:r w:rsidR="1A7E0999" w:rsidRPr="5B7F1876">
        <w:rPr>
          <w:rFonts w:eastAsia="Calibri" w:cs="Times New Roman"/>
          <w:noProof/>
          <w:lang w:val="en-GB"/>
        </w:rPr>
        <w:t xml:space="preserve">beneficiaries to visually identify the areas </w:t>
      </w:r>
      <w:r w:rsidR="0FD6EE2A" w:rsidRPr="5B7F1876">
        <w:rPr>
          <w:rFonts w:eastAsia="Calibri" w:cs="Times New Roman"/>
          <w:noProof/>
          <w:lang w:val="en-GB"/>
        </w:rPr>
        <w:t xml:space="preserve">claimed for help in </w:t>
      </w:r>
      <w:r w:rsidR="1A7E0999" w:rsidRPr="5B7F1876">
        <w:rPr>
          <w:rFonts w:eastAsia="Calibri" w:cs="Times New Roman"/>
          <w:noProof/>
          <w:lang w:val="en-GB"/>
        </w:rPr>
        <w:t xml:space="preserve">their online aid application. Member States subsequently monitor agricultural activities and check compliance with eligibility conditions using the AMS. </w:t>
      </w:r>
    </w:p>
    <w:p w14:paraId="1FBB294D" w14:textId="0BEECC46" w:rsidR="00981F0C" w:rsidRPr="0047651E" w:rsidRDefault="00981F0C" w:rsidP="006D5C9F">
      <w:pPr>
        <w:spacing w:after="120"/>
        <w:jc w:val="both"/>
        <w:rPr>
          <w:rFonts w:eastAsia="Calibri" w:cs="Times New Roman"/>
          <w:noProof/>
          <w:color w:val="000000" w:themeColor="text1"/>
          <w:lang w:val="en-GB"/>
        </w:rPr>
      </w:pPr>
      <w:r w:rsidRPr="7994D79A">
        <w:rPr>
          <w:rFonts w:eastAsia="Calibri" w:cs="Times New Roman"/>
          <w:noProof/>
          <w:lang w:val="en-GB"/>
        </w:rPr>
        <w:t xml:space="preserve">For the relevant interventions, IACS helps </w:t>
      </w:r>
      <w:r w:rsidR="00E53C4A" w:rsidRPr="7994D79A">
        <w:rPr>
          <w:rFonts w:eastAsia="Calibri" w:cs="Times New Roman"/>
          <w:noProof/>
          <w:lang w:val="en-GB"/>
        </w:rPr>
        <w:t>Member States</w:t>
      </w:r>
      <w:r w:rsidRPr="7994D79A">
        <w:rPr>
          <w:rFonts w:eastAsia="Calibri" w:cs="Times New Roman"/>
          <w:noProof/>
          <w:lang w:val="en-GB"/>
        </w:rPr>
        <w:t xml:space="preserve"> to keep track of the performance of the CAP and help</w:t>
      </w:r>
      <w:r w:rsidR="00262B86" w:rsidRPr="7994D79A">
        <w:rPr>
          <w:rFonts w:eastAsia="Calibri" w:cs="Times New Roman"/>
          <w:noProof/>
          <w:lang w:val="en-GB"/>
        </w:rPr>
        <w:t>s to</w:t>
      </w:r>
      <w:r w:rsidRPr="7994D79A">
        <w:rPr>
          <w:rFonts w:eastAsia="Calibri" w:cs="Times New Roman"/>
          <w:noProof/>
          <w:lang w:val="en-GB"/>
        </w:rPr>
        <w:t xml:space="preserve"> protect the EU’s financial interest</w:t>
      </w:r>
      <w:r w:rsidR="00B43A73" w:rsidRPr="7994D79A">
        <w:rPr>
          <w:rFonts w:eastAsia="Calibri" w:cs="Times New Roman"/>
          <w:noProof/>
          <w:lang w:val="en-GB"/>
        </w:rPr>
        <w:t>s</w:t>
      </w:r>
      <w:r w:rsidRPr="7994D79A">
        <w:rPr>
          <w:rFonts w:eastAsia="Calibri" w:cs="Times New Roman"/>
          <w:noProof/>
          <w:lang w:val="en-GB"/>
        </w:rPr>
        <w:t xml:space="preserve">, by </w:t>
      </w:r>
      <w:r w:rsidR="00B43A73" w:rsidRPr="7994D79A">
        <w:rPr>
          <w:rFonts w:eastAsia="Calibri" w:cs="Times New Roman"/>
          <w:noProof/>
          <w:lang w:val="en-GB"/>
        </w:rPr>
        <w:t xml:space="preserve">helping </w:t>
      </w:r>
      <w:r w:rsidRPr="7994D79A">
        <w:rPr>
          <w:rFonts w:eastAsia="Calibri" w:cs="Times New Roman"/>
          <w:noProof/>
          <w:lang w:val="en-GB"/>
        </w:rPr>
        <w:t xml:space="preserve">beneficiaries </w:t>
      </w:r>
      <w:r w:rsidR="00B43A73" w:rsidRPr="7994D79A">
        <w:rPr>
          <w:rFonts w:eastAsia="Calibri" w:cs="Times New Roman"/>
          <w:noProof/>
          <w:lang w:val="en-GB"/>
        </w:rPr>
        <w:t>to make</w:t>
      </w:r>
      <w:r w:rsidRPr="7994D79A">
        <w:rPr>
          <w:rFonts w:eastAsia="Calibri" w:cs="Times New Roman"/>
          <w:noProof/>
          <w:lang w:val="en-GB"/>
        </w:rPr>
        <w:t xml:space="preserve"> </w:t>
      </w:r>
      <w:r w:rsidR="6D9DAF9A" w:rsidRPr="7994D79A">
        <w:rPr>
          <w:rFonts w:eastAsia="Calibri" w:cs="Times New Roman"/>
          <w:noProof/>
          <w:lang w:val="en-GB"/>
        </w:rPr>
        <w:t xml:space="preserve">CAP </w:t>
      </w:r>
      <w:r w:rsidRPr="7994D79A">
        <w:rPr>
          <w:rFonts w:eastAsia="Calibri" w:cs="Times New Roman"/>
          <w:noProof/>
          <w:lang w:val="en-GB"/>
        </w:rPr>
        <w:t>aid applications</w:t>
      </w:r>
      <w:r w:rsidR="336CFF51" w:rsidRPr="7994D79A">
        <w:rPr>
          <w:rFonts w:eastAsia="Calibri" w:cs="Times New Roman"/>
          <w:noProof/>
          <w:lang w:val="en-GB"/>
        </w:rPr>
        <w:t xml:space="preserve"> (applications for CAP support)</w:t>
      </w:r>
      <w:r w:rsidRPr="7994D79A">
        <w:rPr>
          <w:rFonts w:eastAsia="Calibri" w:cs="Times New Roman"/>
          <w:noProof/>
          <w:lang w:val="en-GB"/>
        </w:rPr>
        <w:t xml:space="preserve"> </w:t>
      </w:r>
      <w:r w:rsidR="00B43A73" w:rsidRPr="7994D79A">
        <w:rPr>
          <w:rFonts w:eastAsia="Calibri" w:cs="Times New Roman"/>
          <w:noProof/>
          <w:lang w:val="en-GB"/>
        </w:rPr>
        <w:t xml:space="preserve">correctly </w:t>
      </w:r>
      <w:r w:rsidRPr="7994D79A">
        <w:rPr>
          <w:rFonts w:eastAsia="Calibri" w:cs="Times New Roman"/>
          <w:noProof/>
          <w:lang w:val="en-GB"/>
        </w:rPr>
        <w:t xml:space="preserve">and </w:t>
      </w:r>
      <w:r w:rsidR="00B43A73" w:rsidRPr="7994D79A">
        <w:rPr>
          <w:rFonts w:eastAsia="Calibri" w:cs="Times New Roman"/>
          <w:noProof/>
          <w:lang w:val="en-GB"/>
        </w:rPr>
        <w:t xml:space="preserve">by </w:t>
      </w:r>
      <w:r w:rsidRPr="7994D79A">
        <w:rPr>
          <w:rFonts w:eastAsia="Calibri" w:cs="Times New Roman"/>
          <w:noProof/>
          <w:lang w:val="en-GB"/>
        </w:rPr>
        <w:t>prevent</w:t>
      </w:r>
      <w:r w:rsidR="00B43A73" w:rsidRPr="7994D79A">
        <w:rPr>
          <w:rFonts w:eastAsia="Calibri" w:cs="Times New Roman"/>
          <w:noProof/>
          <w:lang w:val="en-GB"/>
        </w:rPr>
        <w:t>ing</w:t>
      </w:r>
      <w:r w:rsidRPr="7994D79A">
        <w:rPr>
          <w:rFonts w:eastAsia="Calibri" w:cs="Times New Roman"/>
          <w:noProof/>
          <w:lang w:val="en-GB"/>
        </w:rPr>
        <w:t xml:space="preserve"> non-compliance </w:t>
      </w:r>
      <w:r w:rsidRPr="0047651E">
        <w:rPr>
          <w:rFonts w:eastAsia="Calibri" w:cs="Times New Roman"/>
          <w:noProof/>
          <w:lang w:val="en-GB"/>
        </w:rPr>
        <w:t xml:space="preserve">with the associated obligations. The IACS contains the necessary data to feed </w:t>
      </w:r>
      <w:r w:rsidR="00B43A73" w:rsidRPr="0047651E">
        <w:rPr>
          <w:rFonts w:eastAsia="Calibri" w:cs="Times New Roman"/>
          <w:noProof/>
          <w:lang w:val="en-GB"/>
        </w:rPr>
        <w:t xml:space="preserve">into </w:t>
      </w:r>
      <w:r w:rsidRPr="0047651E">
        <w:rPr>
          <w:rFonts w:eastAsia="Calibri" w:cs="Times New Roman"/>
          <w:noProof/>
          <w:lang w:val="en-GB"/>
        </w:rPr>
        <w:t xml:space="preserve">Member States’ </w:t>
      </w:r>
      <w:r w:rsidR="00B43A73" w:rsidRPr="0047651E">
        <w:rPr>
          <w:rFonts w:eastAsia="Calibri" w:cs="Times New Roman"/>
          <w:noProof/>
          <w:lang w:val="en-GB"/>
        </w:rPr>
        <w:t>a</w:t>
      </w:r>
      <w:r w:rsidRPr="0047651E">
        <w:rPr>
          <w:rFonts w:eastAsia="Calibri" w:cs="Times New Roman"/>
          <w:noProof/>
          <w:lang w:val="en-GB"/>
        </w:rPr>
        <w:t xml:space="preserve">nnual </w:t>
      </w:r>
      <w:r w:rsidR="00B43A73" w:rsidRPr="0047651E">
        <w:rPr>
          <w:rFonts w:eastAsia="Calibri" w:cs="Times New Roman"/>
          <w:noProof/>
          <w:lang w:val="en-GB"/>
        </w:rPr>
        <w:t>p</w:t>
      </w:r>
      <w:r w:rsidRPr="0047651E">
        <w:rPr>
          <w:rFonts w:eastAsia="Calibri" w:cs="Times New Roman"/>
          <w:noProof/>
          <w:lang w:val="en-GB"/>
        </w:rPr>
        <w:t xml:space="preserve">erformance </w:t>
      </w:r>
      <w:r w:rsidR="00B43A73" w:rsidRPr="0047651E">
        <w:rPr>
          <w:rFonts w:eastAsia="Calibri" w:cs="Times New Roman"/>
          <w:noProof/>
          <w:lang w:val="en-GB"/>
        </w:rPr>
        <w:t>r</w:t>
      </w:r>
      <w:r w:rsidRPr="0047651E">
        <w:rPr>
          <w:rFonts w:eastAsia="Calibri" w:cs="Times New Roman"/>
          <w:noProof/>
          <w:lang w:val="en-GB"/>
        </w:rPr>
        <w:t>eports</w:t>
      </w:r>
      <w:r w:rsidR="004708E7" w:rsidRPr="0047651E">
        <w:rPr>
          <w:rFonts w:eastAsia="Calibri" w:cs="Times New Roman"/>
          <w:noProof/>
          <w:lang w:val="en-GB"/>
        </w:rPr>
        <w:t xml:space="preserve"> (on the </w:t>
      </w:r>
      <w:r w:rsidR="00727959" w:rsidRPr="0047651E">
        <w:rPr>
          <w:rFonts w:eastAsia="Calibri" w:cs="Times New Roman"/>
          <w:noProof/>
          <w:lang w:val="en-GB"/>
        </w:rPr>
        <w:t xml:space="preserve">progress </w:t>
      </w:r>
      <w:r w:rsidR="00E7484C" w:rsidRPr="0047651E">
        <w:rPr>
          <w:rFonts w:eastAsia="Calibri" w:cs="Times New Roman"/>
          <w:noProof/>
          <w:lang w:val="en-GB"/>
        </w:rPr>
        <w:t xml:space="preserve">in </w:t>
      </w:r>
      <w:r w:rsidR="00B43A73" w:rsidRPr="0047651E">
        <w:rPr>
          <w:rFonts w:eastAsia="Calibri" w:cs="Times New Roman"/>
          <w:noProof/>
          <w:lang w:val="en-GB"/>
        </w:rPr>
        <w:t>implementing</w:t>
      </w:r>
      <w:r w:rsidR="00727959" w:rsidRPr="0047651E">
        <w:rPr>
          <w:rFonts w:eastAsia="Calibri" w:cs="Times New Roman"/>
          <w:noProof/>
          <w:lang w:val="en-GB"/>
        </w:rPr>
        <w:t xml:space="preserve"> their </w:t>
      </w:r>
      <w:r w:rsidR="00E7484C" w:rsidRPr="0047651E">
        <w:rPr>
          <w:rFonts w:eastAsia="Calibri" w:cs="Times New Roman"/>
          <w:noProof/>
          <w:lang w:val="en-GB"/>
        </w:rPr>
        <w:t>CAP Plans</w:t>
      </w:r>
      <w:r w:rsidR="00727959" w:rsidRPr="0047651E">
        <w:rPr>
          <w:rFonts w:eastAsia="Calibri" w:cs="Times New Roman"/>
          <w:noProof/>
          <w:lang w:val="en-GB"/>
        </w:rPr>
        <w:t>)</w:t>
      </w:r>
      <w:r w:rsidR="00B43A73" w:rsidRPr="0047651E">
        <w:rPr>
          <w:rFonts w:eastAsia="Calibri" w:cs="Times New Roman"/>
          <w:noProof/>
          <w:lang w:val="en-GB"/>
        </w:rPr>
        <w:t>.</w:t>
      </w:r>
      <w:r w:rsidRPr="0047651E">
        <w:rPr>
          <w:rFonts w:eastAsia="Calibri" w:cs="Times New Roman"/>
          <w:noProof/>
          <w:lang w:val="en-GB"/>
        </w:rPr>
        <w:t xml:space="preserve"> </w:t>
      </w:r>
    </w:p>
    <w:p w14:paraId="13C2079D" w14:textId="4DC75A0D" w:rsidR="00522697" w:rsidRPr="00724676" w:rsidRDefault="004B2B80" w:rsidP="006D5C9F">
      <w:pPr>
        <w:spacing w:after="120"/>
        <w:jc w:val="both"/>
        <w:rPr>
          <w:rFonts w:eastAsia="Calibri" w:cs="Times New Roman"/>
          <w:noProof/>
          <w:lang w:val="en-GB"/>
        </w:rPr>
      </w:pPr>
      <w:r w:rsidRPr="0047651E">
        <w:rPr>
          <w:rFonts w:eastAsia="Calibri" w:cs="Times New Roman"/>
          <w:noProof/>
          <w:lang w:val="en-GB"/>
        </w:rPr>
        <w:t>Member States are responsible for setting up management and control systems</w:t>
      </w:r>
      <w:r w:rsidR="00F71AC8" w:rsidRPr="0047651E">
        <w:rPr>
          <w:rFonts w:eastAsia="Calibri" w:cs="Times New Roman"/>
          <w:noProof/>
          <w:lang w:val="en-GB"/>
        </w:rPr>
        <w:t xml:space="preserve"> </w:t>
      </w:r>
      <w:r w:rsidR="00B43A73" w:rsidRPr="0047651E">
        <w:rPr>
          <w:rFonts w:eastAsia="Calibri" w:cs="Times New Roman"/>
          <w:noProof/>
          <w:lang w:val="en-GB"/>
        </w:rPr>
        <w:t xml:space="preserve">and </w:t>
      </w:r>
      <w:r w:rsidR="00B43A73" w:rsidRPr="00513E8F">
        <w:rPr>
          <w:rFonts w:eastAsia="Calibri" w:cs="Times New Roman"/>
          <w:noProof/>
          <w:lang w:val="en-GB"/>
        </w:rPr>
        <w:t xml:space="preserve">decide </w:t>
      </w:r>
      <w:r w:rsidR="00B43A73" w:rsidRPr="00533468">
        <w:rPr>
          <w:rFonts w:eastAsia="Calibri" w:cs="Times New Roman"/>
          <w:noProof/>
          <w:lang w:val="en-GB"/>
        </w:rPr>
        <w:t>how often checks should be carried out</w:t>
      </w:r>
      <w:r w:rsidR="002271CC" w:rsidRPr="0047651E">
        <w:rPr>
          <w:rFonts w:eastAsia="Calibri" w:cs="Times New Roman"/>
          <w:noProof/>
          <w:lang w:val="en-GB"/>
        </w:rPr>
        <w:t xml:space="preserve">. </w:t>
      </w:r>
      <w:r w:rsidR="00B43A73" w:rsidRPr="0047651E">
        <w:rPr>
          <w:rFonts w:eastAsia="Calibri" w:cs="Times New Roman"/>
          <w:noProof/>
          <w:lang w:val="en-GB"/>
        </w:rPr>
        <w:t xml:space="preserve">The EU-level </w:t>
      </w:r>
      <w:r w:rsidR="000B4431" w:rsidRPr="0047651E">
        <w:rPr>
          <w:rFonts w:eastAsia="Calibri" w:cs="Times New Roman"/>
          <w:noProof/>
          <w:lang w:val="en-GB"/>
        </w:rPr>
        <w:t xml:space="preserve">principles and </w:t>
      </w:r>
      <w:r w:rsidR="002271CC" w:rsidRPr="0047651E">
        <w:rPr>
          <w:rFonts w:eastAsia="Calibri" w:cs="Times New Roman"/>
          <w:noProof/>
          <w:lang w:val="en-GB"/>
        </w:rPr>
        <w:t xml:space="preserve">requirements for these systems are much less detailed than </w:t>
      </w:r>
      <w:r w:rsidR="00836B4C" w:rsidRPr="0047651E">
        <w:rPr>
          <w:rFonts w:eastAsia="Calibri" w:cs="Times New Roman"/>
          <w:noProof/>
          <w:lang w:val="en-GB"/>
        </w:rPr>
        <w:t>in the previous CAP periods</w:t>
      </w:r>
      <w:r w:rsidR="002271CC" w:rsidRPr="0047651E">
        <w:rPr>
          <w:rFonts w:eastAsia="Calibri" w:cs="Times New Roman"/>
          <w:noProof/>
          <w:lang w:val="en-GB"/>
        </w:rPr>
        <w:t>.</w:t>
      </w:r>
      <w:r w:rsidR="002271CC" w:rsidRPr="7994D79A">
        <w:rPr>
          <w:rFonts w:eastAsia="Calibri" w:cs="Times New Roman"/>
          <w:noProof/>
          <w:lang w:val="en-GB"/>
        </w:rPr>
        <w:t xml:space="preserve"> </w:t>
      </w:r>
    </w:p>
    <w:p w14:paraId="21B536C2" w14:textId="49470EDB" w:rsidR="00570B6C" w:rsidRPr="00724676" w:rsidRDefault="00353259" w:rsidP="006D5C9F">
      <w:pPr>
        <w:spacing w:after="120"/>
        <w:jc w:val="both"/>
        <w:rPr>
          <w:rFonts w:eastAsia="Calibri" w:cs="Times New Roman"/>
          <w:noProof/>
          <w:lang w:val="en-GB"/>
        </w:rPr>
      </w:pPr>
      <w:r w:rsidRPr="3138A558">
        <w:rPr>
          <w:rFonts w:eastAsia="Calibri" w:cs="Times New Roman"/>
          <w:noProof/>
          <w:lang w:val="en-GB"/>
        </w:rPr>
        <w:t>T</w:t>
      </w:r>
      <w:r w:rsidR="00AF579C" w:rsidRPr="3138A558">
        <w:rPr>
          <w:rFonts w:eastAsia="Calibri" w:cs="Times New Roman"/>
          <w:noProof/>
          <w:lang w:val="en-GB"/>
        </w:rPr>
        <w:t xml:space="preserve">o support Member States in </w:t>
      </w:r>
      <w:r w:rsidR="00E02EBC" w:rsidRPr="00956FFD">
        <w:rPr>
          <w:rFonts w:eastAsia="Calibri" w:cs="Times New Roman"/>
          <w:b/>
          <w:noProof/>
          <w:lang w:val="en-GB"/>
        </w:rPr>
        <w:t>rationali</w:t>
      </w:r>
      <w:r w:rsidR="001B399D" w:rsidRPr="00956FFD">
        <w:rPr>
          <w:rFonts w:eastAsia="Calibri" w:cs="Times New Roman"/>
          <w:b/>
          <w:noProof/>
          <w:lang w:val="en-GB"/>
        </w:rPr>
        <w:t>s</w:t>
      </w:r>
      <w:r w:rsidR="00E02EBC" w:rsidRPr="00956FFD">
        <w:rPr>
          <w:rFonts w:eastAsia="Calibri" w:cs="Times New Roman"/>
          <w:b/>
          <w:noProof/>
          <w:lang w:val="en-GB"/>
        </w:rPr>
        <w:t xml:space="preserve">ing </w:t>
      </w:r>
      <w:r w:rsidR="005F7A75" w:rsidRPr="00956FFD">
        <w:rPr>
          <w:rFonts w:eastAsia="Calibri" w:cs="Times New Roman"/>
          <w:b/>
          <w:noProof/>
          <w:lang w:val="en-GB"/>
        </w:rPr>
        <w:t xml:space="preserve">their </w:t>
      </w:r>
      <w:r w:rsidR="0B812294" w:rsidRPr="00956FFD">
        <w:rPr>
          <w:rFonts w:eastAsia="Calibri" w:cs="Times New Roman"/>
          <w:b/>
          <w:noProof/>
          <w:lang w:val="en-GB"/>
        </w:rPr>
        <w:t>control systems</w:t>
      </w:r>
      <w:r w:rsidR="00AF579C" w:rsidRPr="00956FFD">
        <w:rPr>
          <w:rFonts w:eastAsia="Calibri" w:cs="Times New Roman"/>
          <w:noProof/>
          <w:lang w:val="en-GB"/>
        </w:rPr>
        <w:t xml:space="preserve">, the </w:t>
      </w:r>
      <w:r w:rsidR="00FB6701" w:rsidRPr="00956FFD">
        <w:rPr>
          <w:rFonts w:eastAsia="Calibri" w:cs="Times New Roman"/>
          <w:noProof/>
          <w:lang w:val="en-GB"/>
        </w:rPr>
        <w:t>Commission organised a workshop</w:t>
      </w:r>
      <w:r w:rsidRPr="00956FFD">
        <w:rPr>
          <w:rFonts w:eastAsia="Calibri" w:cs="Times New Roman"/>
          <w:noProof/>
          <w:lang w:val="en-GB"/>
        </w:rPr>
        <w:t xml:space="preserve"> on 26 April 2024</w:t>
      </w:r>
      <w:r w:rsidR="00FB6701" w:rsidRPr="00956FFD">
        <w:rPr>
          <w:rFonts w:eastAsia="Calibri" w:cs="Times New Roman"/>
          <w:noProof/>
          <w:lang w:val="en-GB"/>
        </w:rPr>
        <w:t xml:space="preserve"> to clarify </w:t>
      </w:r>
      <w:r w:rsidR="00B43A73" w:rsidRPr="00956FFD">
        <w:rPr>
          <w:rFonts w:eastAsia="Calibri" w:cs="Times New Roman"/>
          <w:noProof/>
          <w:lang w:val="en-GB"/>
        </w:rPr>
        <w:t>how the EU-level rules should be applied</w:t>
      </w:r>
      <w:r w:rsidR="00E02EBC" w:rsidRPr="00956FFD">
        <w:rPr>
          <w:rFonts w:eastAsia="Calibri" w:cs="Times New Roman"/>
          <w:noProof/>
          <w:lang w:val="en-GB"/>
        </w:rPr>
        <w:t xml:space="preserve"> </w:t>
      </w:r>
      <w:r w:rsidR="00FB6701" w:rsidRPr="00956FFD">
        <w:rPr>
          <w:rFonts w:eastAsia="Calibri" w:cs="Times New Roman"/>
          <w:noProof/>
          <w:lang w:val="en-GB"/>
        </w:rPr>
        <w:t xml:space="preserve">and </w:t>
      </w:r>
      <w:r w:rsidR="00774D8E" w:rsidRPr="00956FFD">
        <w:rPr>
          <w:rFonts w:eastAsia="Calibri" w:cs="Times New Roman"/>
          <w:noProof/>
          <w:lang w:val="en-GB"/>
        </w:rPr>
        <w:t xml:space="preserve">to </w:t>
      </w:r>
      <w:r w:rsidR="00FB6701" w:rsidRPr="00956FFD">
        <w:rPr>
          <w:rFonts w:eastAsia="Calibri" w:cs="Times New Roman"/>
          <w:noProof/>
          <w:lang w:val="en-GB"/>
        </w:rPr>
        <w:t>exchange best practices</w:t>
      </w:r>
      <w:r w:rsidR="6CE6C7CD" w:rsidRPr="00FF77A3">
        <w:rPr>
          <w:rFonts w:eastAsia="Calibri" w:cs="Times New Roman"/>
          <w:noProof/>
          <w:lang w:val="en-GB"/>
        </w:rPr>
        <w:t xml:space="preserve"> among Member States</w:t>
      </w:r>
      <w:r w:rsidR="1C650CFC" w:rsidRPr="00956FFD">
        <w:rPr>
          <w:rFonts w:eastAsia="Calibri" w:cs="Times New Roman"/>
          <w:noProof/>
          <w:lang w:val="en-GB"/>
        </w:rPr>
        <w:t>.</w:t>
      </w:r>
      <w:r w:rsidR="60C81615" w:rsidRPr="00956FFD">
        <w:rPr>
          <w:rFonts w:eastAsia="Calibri" w:cs="Times New Roman"/>
          <w:noProof/>
          <w:lang w:val="en-GB"/>
        </w:rPr>
        <w:t xml:space="preserve"> </w:t>
      </w:r>
      <w:r w:rsidR="00B43A73" w:rsidRPr="00956FFD">
        <w:rPr>
          <w:rFonts w:eastAsia="Calibri" w:cs="Times New Roman"/>
          <w:noProof/>
          <w:lang w:val="en-GB"/>
        </w:rPr>
        <w:t>These are some of the main issues discussed:</w:t>
      </w:r>
    </w:p>
    <w:p w14:paraId="1DEA46D8" w14:textId="738F071B" w:rsidR="004D4276" w:rsidRPr="00724676" w:rsidRDefault="000548D0" w:rsidP="003E7CF4">
      <w:pPr>
        <w:pStyle w:val="ListParagraph"/>
        <w:numPr>
          <w:ilvl w:val="0"/>
          <w:numId w:val="13"/>
        </w:numPr>
        <w:spacing w:after="120"/>
        <w:ind w:left="714" w:hanging="357"/>
        <w:contextualSpacing w:val="0"/>
        <w:jc w:val="both"/>
        <w:rPr>
          <w:rFonts w:eastAsia="Calibri" w:cs="Times New Roman"/>
          <w:noProof/>
          <w:lang w:val="en-GB"/>
        </w:rPr>
      </w:pPr>
      <w:r w:rsidRPr="5B7F1876">
        <w:rPr>
          <w:rFonts w:eastAsia="Calibri" w:cs="Times New Roman"/>
          <w:noProof/>
          <w:lang w:val="en-GB"/>
        </w:rPr>
        <w:t xml:space="preserve">The Commission </w:t>
      </w:r>
      <w:r w:rsidR="00B43A73" w:rsidRPr="5B7F1876">
        <w:rPr>
          <w:rFonts w:eastAsia="Calibri" w:cs="Times New Roman"/>
          <w:noProof/>
          <w:lang w:val="en-GB"/>
        </w:rPr>
        <w:t xml:space="preserve">reminded Member States </w:t>
      </w:r>
      <w:r w:rsidRPr="5B7F1876">
        <w:rPr>
          <w:rFonts w:eastAsia="Calibri" w:cs="Times New Roman"/>
          <w:noProof/>
          <w:lang w:val="en-GB"/>
        </w:rPr>
        <w:t xml:space="preserve">that </w:t>
      </w:r>
      <w:r w:rsidR="0079578F" w:rsidRPr="5B7F1876">
        <w:rPr>
          <w:rFonts w:eastAsia="Calibri" w:cs="Times New Roman"/>
          <w:noProof/>
          <w:lang w:val="en-GB"/>
        </w:rPr>
        <w:t>their management and control systems</w:t>
      </w:r>
      <w:r w:rsidR="0047362A" w:rsidRPr="5B7F1876">
        <w:rPr>
          <w:rFonts w:eastAsia="Calibri" w:cs="Times New Roman"/>
          <w:noProof/>
          <w:lang w:val="en-GB"/>
        </w:rPr>
        <w:t xml:space="preserve"> </w:t>
      </w:r>
      <w:r w:rsidR="00F0393D" w:rsidRPr="5B7F1876">
        <w:rPr>
          <w:rFonts w:eastAsia="Calibri" w:cs="Times New Roman"/>
          <w:noProof/>
          <w:lang w:val="en-GB"/>
        </w:rPr>
        <w:t xml:space="preserve">should </w:t>
      </w:r>
      <w:r w:rsidR="0079578F" w:rsidRPr="5B7F1876">
        <w:rPr>
          <w:rFonts w:eastAsia="Calibri" w:cs="Times New Roman"/>
          <w:noProof/>
          <w:lang w:val="en-GB"/>
        </w:rPr>
        <w:t>include the possibility for beneficiaries</w:t>
      </w:r>
      <w:r w:rsidR="00D20007" w:rsidRPr="5B7F1876">
        <w:rPr>
          <w:rFonts w:eastAsia="Calibri" w:cs="Times New Roman"/>
          <w:noProof/>
          <w:lang w:val="en-GB"/>
        </w:rPr>
        <w:t xml:space="preserve"> </w:t>
      </w:r>
      <w:r w:rsidR="0079578F" w:rsidRPr="5B7F1876">
        <w:rPr>
          <w:rFonts w:eastAsia="Calibri" w:cs="Times New Roman"/>
          <w:noProof/>
          <w:lang w:val="en-GB"/>
        </w:rPr>
        <w:t xml:space="preserve">to </w:t>
      </w:r>
      <w:r w:rsidR="0079578F" w:rsidRPr="5B7F1876">
        <w:rPr>
          <w:rFonts w:eastAsia="Calibri" w:cs="Times New Roman"/>
          <w:b/>
          <w:bCs/>
          <w:noProof/>
          <w:lang w:val="en-GB"/>
        </w:rPr>
        <w:t>amend</w:t>
      </w:r>
      <w:r w:rsidR="00B43A73" w:rsidRPr="5B7F1876">
        <w:rPr>
          <w:rFonts w:eastAsia="Calibri" w:cs="Times New Roman"/>
          <w:b/>
          <w:bCs/>
          <w:noProof/>
          <w:lang w:val="en-GB"/>
        </w:rPr>
        <w:t xml:space="preserve"> or </w:t>
      </w:r>
      <w:r w:rsidR="0079578F" w:rsidRPr="5B7F1876">
        <w:rPr>
          <w:rFonts w:eastAsia="Calibri" w:cs="Times New Roman"/>
          <w:b/>
          <w:bCs/>
          <w:noProof/>
          <w:lang w:val="en-GB"/>
        </w:rPr>
        <w:t>correct their aid application</w:t>
      </w:r>
      <w:r w:rsidR="00B43A73" w:rsidRPr="5B7F1876">
        <w:rPr>
          <w:rFonts w:eastAsia="Calibri" w:cs="Times New Roman"/>
          <w:b/>
          <w:bCs/>
          <w:noProof/>
          <w:lang w:val="en-GB"/>
        </w:rPr>
        <w:t xml:space="preserve"> or </w:t>
      </w:r>
      <w:r w:rsidR="0079578F" w:rsidRPr="5B7F1876">
        <w:rPr>
          <w:rFonts w:eastAsia="Calibri" w:cs="Times New Roman"/>
          <w:b/>
          <w:bCs/>
          <w:noProof/>
          <w:lang w:val="en-GB"/>
        </w:rPr>
        <w:t>payment claim after submission</w:t>
      </w:r>
      <w:r w:rsidR="0079578F" w:rsidRPr="5B7F1876">
        <w:rPr>
          <w:rFonts w:eastAsia="Calibri" w:cs="Times New Roman"/>
          <w:noProof/>
          <w:lang w:val="en-GB"/>
        </w:rPr>
        <w:t>.</w:t>
      </w:r>
      <w:r w:rsidR="00D20007" w:rsidRPr="5B7F1876">
        <w:rPr>
          <w:rFonts w:eastAsia="Calibri" w:cs="Times New Roman"/>
          <w:noProof/>
          <w:lang w:val="en-GB"/>
        </w:rPr>
        <w:t xml:space="preserve"> </w:t>
      </w:r>
      <w:r w:rsidR="0079578F" w:rsidRPr="5B7F1876">
        <w:rPr>
          <w:rFonts w:eastAsia="Calibri" w:cs="Times New Roman"/>
          <w:noProof/>
          <w:lang w:val="en-GB"/>
        </w:rPr>
        <w:t xml:space="preserve">Such corrections </w:t>
      </w:r>
      <w:r w:rsidR="00F0393D" w:rsidRPr="5B7F1876">
        <w:rPr>
          <w:rFonts w:eastAsia="Calibri" w:cs="Times New Roman"/>
          <w:noProof/>
          <w:lang w:val="en-GB"/>
        </w:rPr>
        <w:t xml:space="preserve">should </w:t>
      </w:r>
      <w:r w:rsidR="0079578F" w:rsidRPr="5B7F1876">
        <w:rPr>
          <w:rFonts w:eastAsia="Calibri" w:cs="Times New Roman"/>
          <w:noProof/>
          <w:lang w:val="en-GB"/>
        </w:rPr>
        <w:t xml:space="preserve">be </w:t>
      </w:r>
      <w:r w:rsidR="00F0393D" w:rsidRPr="5B7F1876">
        <w:rPr>
          <w:rFonts w:eastAsia="Calibri" w:cs="Times New Roman"/>
          <w:noProof/>
          <w:lang w:val="en-GB"/>
        </w:rPr>
        <w:t xml:space="preserve">possible </w:t>
      </w:r>
      <w:r w:rsidR="0079578F" w:rsidRPr="5B7F1876">
        <w:rPr>
          <w:rFonts w:eastAsia="Calibri" w:cs="Times New Roman"/>
          <w:noProof/>
          <w:lang w:val="en-GB"/>
        </w:rPr>
        <w:t xml:space="preserve">until the </w:t>
      </w:r>
      <w:r w:rsidR="00B43A73" w:rsidRPr="5B7F1876">
        <w:rPr>
          <w:rFonts w:eastAsia="Calibri" w:cs="Times New Roman"/>
          <w:noProof/>
          <w:lang w:val="en-GB"/>
        </w:rPr>
        <w:t xml:space="preserve">moment when the </w:t>
      </w:r>
      <w:r w:rsidR="0079578F" w:rsidRPr="5B7F1876">
        <w:rPr>
          <w:rFonts w:eastAsia="Calibri" w:cs="Times New Roman"/>
          <w:noProof/>
          <w:lang w:val="en-GB"/>
        </w:rPr>
        <w:t xml:space="preserve">applicant is informed </w:t>
      </w:r>
      <w:r w:rsidR="00B43A73" w:rsidRPr="5B7F1876">
        <w:rPr>
          <w:rFonts w:eastAsia="Calibri" w:cs="Times New Roman"/>
          <w:noProof/>
          <w:lang w:val="en-GB"/>
        </w:rPr>
        <w:t>that they have</w:t>
      </w:r>
      <w:r w:rsidR="00F0393D" w:rsidRPr="5B7F1876">
        <w:rPr>
          <w:rFonts w:eastAsia="Calibri" w:cs="Times New Roman"/>
          <w:noProof/>
          <w:lang w:val="en-GB"/>
        </w:rPr>
        <w:t xml:space="preserve"> </w:t>
      </w:r>
      <w:r w:rsidR="0079578F" w:rsidRPr="5B7F1876">
        <w:rPr>
          <w:rFonts w:eastAsia="Calibri" w:cs="Times New Roman"/>
          <w:noProof/>
          <w:lang w:val="en-GB"/>
        </w:rPr>
        <w:t>be</w:t>
      </w:r>
      <w:r w:rsidR="00F0393D" w:rsidRPr="5B7F1876">
        <w:rPr>
          <w:rFonts w:eastAsia="Calibri" w:cs="Times New Roman"/>
          <w:noProof/>
          <w:lang w:val="en-GB"/>
        </w:rPr>
        <w:t>en</w:t>
      </w:r>
      <w:r w:rsidR="0079578F" w:rsidRPr="5B7F1876">
        <w:rPr>
          <w:rFonts w:eastAsia="Calibri" w:cs="Times New Roman"/>
          <w:noProof/>
          <w:lang w:val="en-GB"/>
        </w:rPr>
        <w:t xml:space="preserve"> selected for an on-the-spot check</w:t>
      </w:r>
      <w:r w:rsidR="00B43A73" w:rsidRPr="5B7F1876">
        <w:rPr>
          <w:rFonts w:eastAsia="Calibri" w:cs="Times New Roman"/>
          <w:noProof/>
          <w:lang w:val="en-GB"/>
        </w:rPr>
        <w:t>,</w:t>
      </w:r>
      <w:r w:rsidR="0079578F" w:rsidRPr="5B7F1876">
        <w:rPr>
          <w:rFonts w:eastAsia="Calibri" w:cs="Times New Roman"/>
          <w:noProof/>
          <w:lang w:val="en-GB"/>
        </w:rPr>
        <w:t xml:space="preserve"> or </w:t>
      </w:r>
      <w:r w:rsidR="00B43A73" w:rsidRPr="5B7F1876">
        <w:rPr>
          <w:rFonts w:eastAsia="Calibri" w:cs="Times New Roman"/>
          <w:noProof/>
          <w:lang w:val="en-GB"/>
        </w:rPr>
        <w:t xml:space="preserve">when </w:t>
      </w:r>
      <w:r w:rsidR="0079578F" w:rsidRPr="5B7F1876">
        <w:rPr>
          <w:rFonts w:eastAsia="Calibri" w:cs="Times New Roman"/>
          <w:noProof/>
          <w:lang w:val="en-GB"/>
        </w:rPr>
        <w:t>the competent authority has taken its decision on the application</w:t>
      </w:r>
      <w:r w:rsidR="004B08AE" w:rsidRPr="5B7F1876">
        <w:rPr>
          <w:rStyle w:val="FootnoteReference"/>
          <w:rFonts w:eastAsia="Calibri" w:cs="Times New Roman"/>
          <w:noProof/>
          <w:lang w:val="en-GB"/>
        </w:rPr>
        <w:footnoteReference w:id="31"/>
      </w:r>
      <w:r w:rsidR="00A95DF5" w:rsidRPr="5B7F1876">
        <w:rPr>
          <w:rFonts w:eastAsia="Calibri" w:cs="Times New Roman"/>
          <w:noProof/>
          <w:lang w:val="en-GB"/>
        </w:rPr>
        <w:t>.</w:t>
      </w:r>
      <w:r w:rsidR="001C1FAB" w:rsidRPr="5B7F1876">
        <w:rPr>
          <w:rFonts w:eastAsia="Calibri" w:cs="Times New Roman"/>
          <w:noProof/>
          <w:lang w:val="en-GB"/>
        </w:rPr>
        <w:t xml:space="preserve"> </w:t>
      </w:r>
    </w:p>
    <w:p w14:paraId="4DF7C83C" w14:textId="57107808" w:rsidR="00B810C4" w:rsidRPr="00724676" w:rsidRDefault="269F235A" w:rsidP="003E7CF4">
      <w:pPr>
        <w:pStyle w:val="ListParagraph"/>
        <w:numPr>
          <w:ilvl w:val="0"/>
          <w:numId w:val="10"/>
        </w:numPr>
        <w:spacing w:after="120"/>
        <w:ind w:left="714" w:hanging="357"/>
        <w:contextualSpacing w:val="0"/>
        <w:jc w:val="both"/>
        <w:rPr>
          <w:rFonts w:cs="Times New Roman"/>
          <w:noProof/>
          <w:lang w:val="en-GB"/>
        </w:rPr>
      </w:pPr>
      <w:r w:rsidRPr="7994D79A">
        <w:rPr>
          <w:rFonts w:eastAsia="Calibri" w:cs="Times New Roman"/>
          <w:noProof/>
          <w:lang w:val="en-GB"/>
        </w:rPr>
        <w:t>S</w:t>
      </w:r>
      <w:r w:rsidR="00873ECC" w:rsidRPr="7994D79A">
        <w:rPr>
          <w:rFonts w:eastAsia="Calibri" w:cs="Times New Roman"/>
          <w:noProof/>
          <w:lang w:val="en-GB"/>
        </w:rPr>
        <w:t xml:space="preserve">pecifically </w:t>
      </w:r>
      <w:r w:rsidR="00873ECC" w:rsidRPr="7994D79A">
        <w:rPr>
          <w:rFonts w:eastAsia="Calibri" w:cs="Times New Roman"/>
          <w:b/>
          <w:noProof/>
          <w:lang w:val="en-GB"/>
        </w:rPr>
        <w:t>f</w:t>
      </w:r>
      <w:r w:rsidR="434EC822" w:rsidRPr="7994D79A">
        <w:rPr>
          <w:rFonts w:eastAsia="Calibri" w:cs="Times New Roman"/>
          <w:b/>
          <w:noProof/>
          <w:lang w:val="en-GB"/>
        </w:rPr>
        <w:t>or area-based interventions</w:t>
      </w:r>
      <w:r w:rsidR="2BB0C1BB" w:rsidRPr="7994D79A">
        <w:rPr>
          <w:rFonts w:eastAsia="Calibri" w:cs="Times New Roman"/>
          <w:noProof/>
          <w:lang w:val="en-GB"/>
        </w:rPr>
        <w:t xml:space="preserve">, </w:t>
      </w:r>
      <w:r w:rsidR="00D20007" w:rsidRPr="7994D79A">
        <w:rPr>
          <w:rFonts w:eastAsia="Calibri" w:cs="Times New Roman"/>
          <w:noProof/>
          <w:lang w:val="en-GB"/>
        </w:rPr>
        <w:t xml:space="preserve">Member States </w:t>
      </w:r>
      <w:r w:rsidR="002871D8" w:rsidRPr="7994D79A">
        <w:rPr>
          <w:rFonts w:eastAsia="Calibri" w:cs="Times New Roman"/>
          <w:noProof/>
          <w:lang w:val="en-GB"/>
        </w:rPr>
        <w:t xml:space="preserve">are required </w:t>
      </w:r>
      <w:r w:rsidR="002871D8" w:rsidRPr="7994D79A">
        <w:rPr>
          <w:rFonts w:eastAsia="Calibri" w:cs="Times New Roman"/>
          <w:b/>
          <w:noProof/>
          <w:lang w:val="en-GB"/>
        </w:rPr>
        <w:t>to</w:t>
      </w:r>
      <w:r w:rsidR="00D20007" w:rsidRPr="7994D79A">
        <w:rPr>
          <w:rFonts w:eastAsia="Calibri" w:cs="Times New Roman"/>
          <w:b/>
          <w:noProof/>
          <w:lang w:val="en-GB"/>
        </w:rPr>
        <w:t xml:space="preserve"> inform farmers about non-compliance</w:t>
      </w:r>
      <w:r w:rsidR="00D20007" w:rsidRPr="7994D79A">
        <w:rPr>
          <w:rFonts w:eastAsia="Calibri" w:cs="Times New Roman"/>
          <w:noProof/>
          <w:lang w:val="en-GB"/>
        </w:rPr>
        <w:t xml:space="preserve"> with eligibility conditions</w:t>
      </w:r>
      <w:r w:rsidR="002871D8" w:rsidRPr="7994D79A">
        <w:rPr>
          <w:rFonts w:eastAsia="Calibri" w:cs="Times New Roman"/>
          <w:noProof/>
          <w:lang w:val="en-GB"/>
        </w:rPr>
        <w:t xml:space="preserve"> that were</w:t>
      </w:r>
      <w:r w:rsidR="00D20007" w:rsidRPr="7994D79A">
        <w:rPr>
          <w:rFonts w:eastAsia="Calibri" w:cs="Times New Roman"/>
          <w:noProof/>
          <w:lang w:val="en-GB"/>
        </w:rPr>
        <w:t xml:space="preserve"> detected by the administrative checks or </w:t>
      </w:r>
      <w:r w:rsidR="30D903DE" w:rsidRPr="7994D79A">
        <w:rPr>
          <w:rFonts w:eastAsia="Calibri" w:cs="Times New Roman"/>
          <w:noProof/>
          <w:lang w:val="en-GB"/>
        </w:rPr>
        <w:t>b</w:t>
      </w:r>
      <w:r w:rsidR="0F1BCDCC" w:rsidRPr="7994D79A">
        <w:rPr>
          <w:rFonts w:eastAsia="Calibri" w:cs="Times New Roman"/>
          <w:noProof/>
          <w:lang w:val="en-GB"/>
        </w:rPr>
        <w:t>y t</w:t>
      </w:r>
      <w:r w:rsidR="00D20007" w:rsidRPr="7994D79A">
        <w:rPr>
          <w:rFonts w:eastAsia="Calibri" w:cs="Times New Roman"/>
          <w:noProof/>
          <w:lang w:val="en-GB"/>
        </w:rPr>
        <w:t xml:space="preserve">he </w:t>
      </w:r>
      <w:r w:rsidR="008B59E1" w:rsidRPr="7994D79A">
        <w:rPr>
          <w:rFonts w:eastAsia="Calibri" w:cs="Times New Roman"/>
          <w:noProof/>
          <w:lang w:val="en-GB"/>
        </w:rPr>
        <w:t>AMS</w:t>
      </w:r>
      <w:r w:rsidR="00D20007" w:rsidRPr="7994D79A">
        <w:rPr>
          <w:rFonts w:eastAsia="Calibri" w:cs="Times New Roman"/>
          <w:noProof/>
          <w:lang w:val="en-GB"/>
        </w:rPr>
        <w:t xml:space="preserve">. In these cases, </w:t>
      </w:r>
      <w:r w:rsidR="00F04D68" w:rsidRPr="7994D79A">
        <w:rPr>
          <w:rFonts w:eastAsia="Calibri" w:cs="Times New Roman"/>
          <w:noProof/>
          <w:lang w:val="en-GB"/>
        </w:rPr>
        <w:t>farmers</w:t>
      </w:r>
      <w:r w:rsidR="00D20007" w:rsidRPr="7994D79A">
        <w:rPr>
          <w:rFonts w:eastAsia="Calibri" w:cs="Times New Roman"/>
          <w:noProof/>
          <w:lang w:val="en-GB"/>
        </w:rPr>
        <w:t xml:space="preserve"> </w:t>
      </w:r>
      <w:r w:rsidR="00B9137E" w:rsidRPr="7994D79A">
        <w:rPr>
          <w:rFonts w:eastAsia="Calibri" w:cs="Times New Roman"/>
          <w:noProof/>
          <w:lang w:val="en-GB"/>
        </w:rPr>
        <w:t xml:space="preserve">are to be </w:t>
      </w:r>
      <w:r w:rsidR="00D20007" w:rsidRPr="7994D79A">
        <w:rPr>
          <w:rFonts w:eastAsia="Calibri" w:cs="Times New Roman"/>
          <w:noProof/>
          <w:lang w:val="en-GB"/>
        </w:rPr>
        <w:t>giv</w:t>
      </w:r>
      <w:r w:rsidR="00B9137E" w:rsidRPr="7994D79A">
        <w:rPr>
          <w:rFonts w:eastAsia="Calibri" w:cs="Times New Roman"/>
          <w:noProof/>
          <w:lang w:val="en-GB"/>
        </w:rPr>
        <w:t>en</w:t>
      </w:r>
      <w:r w:rsidR="00D20007" w:rsidRPr="7994D79A">
        <w:rPr>
          <w:rFonts w:eastAsia="Calibri" w:cs="Times New Roman"/>
          <w:noProof/>
          <w:lang w:val="en-GB"/>
        </w:rPr>
        <w:t xml:space="preserve"> the </w:t>
      </w:r>
      <w:r w:rsidR="00D20007" w:rsidRPr="7994D79A">
        <w:rPr>
          <w:rFonts w:eastAsia="Calibri" w:cs="Times New Roman"/>
          <w:b/>
          <w:noProof/>
          <w:lang w:val="en-GB"/>
        </w:rPr>
        <w:t>possibility to amend or withdraw the aid application</w:t>
      </w:r>
      <w:r w:rsidR="00D20007" w:rsidRPr="7994D79A">
        <w:rPr>
          <w:rFonts w:eastAsia="Calibri" w:cs="Times New Roman"/>
          <w:noProof/>
          <w:lang w:val="en-GB"/>
        </w:rPr>
        <w:t xml:space="preserve">. To facilitate this </w:t>
      </w:r>
      <w:r w:rsidR="007E7C14" w:rsidRPr="7994D79A">
        <w:rPr>
          <w:rFonts w:eastAsia="Calibri" w:cs="Times New Roman"/>
          <w:noProof/>
          <w:lang w:val="en-GB"/>
        </w:rPr>
        <w:t>further</w:t>
      </w:r>
      <w:r w:rsidR="00D20007" w:rsidRPr="7994D79A">
        <w:rPr>
          <w:rFonts w:eastAsia="Calibri" w:cs="Times New Roman"/>
          <w:noProof/>
          <w:lang w:val="en-GB"/>
        </w:rPr>
        <w:t xml:space="preserve">, national authorities may </w:t>
      </w:r>
      <w:r w:rsidR="00B43A73" w:rsidRPr="7994D79A">
        <w:rPr>
          <w:rFonts w:eastAsia="Calibri" w:cs="Times New Roman"/>
          <w:noProof/>
          <w:lang w:val="en-GB"/>
        </w:rPr>
        <w:t xml:space="preserve">make </w:t>
      </w:r>
      <w:r w:rsidR="00D20007" w:rsidRPr="7994D79A">
        <w:rPr>
          <w:rFonts w:eastAsia="Calibri" w:cs="Times New Roman"/>
          <w:noProof/>
          <w:lang w:val="en-GB"/>
        </w:rPr>
        <w:t>the necessary corrections in the aid application</w:t>
      </w:r>
      <w:r w:rsidR="00943F1E" w:rsidRPr="7994D79A">
        <w:rPr>
          <w:rFonts w:eastAsia="Calibri" w:cs="Times New Roman"/>
          <w:noProof/>
          <w:lang w:val="en-GB"/>
        </w:rPr>
        <w:t xml:space="preserve"> themselves</w:t>
      </w:r>
      <w:r w:rsidR="00D20007" w:rsidRPr="7994D79A">
        <w:rPr>
          <w:rFonts w:eastAsia="Calibri" w:cs="Times New Roman"/>
          <w:noProof/>
          <w:lang w:val="en-GB"/>
        </w:rPr>
        <w:t xml:space="preserve">. In such </w:t>
      </w:r>
      <w:r w:rsidR="00B43A73" w:rsidRPr="7994D79A">
        <w:rPr>
          <w:rFonts w:eastAsia="Calibri" w:cs="Times New Roman"/>
          <w:noProof/>
          <w:lang w:val="en-GB"/>
        </w:rPr>
        <w:t xml:space="preserve">a </w:t>
      </w:r>
      <w:r w:rsidR="00D20007" w:rsidRPr="7994D79A">
        <w:rPr>
          <w:rFonts w:eastAsia="Calibri" w:cs="Times New Roman"/>
          <w:noProof/>
          <w:lang w:val="en-GB"/>
        </w:rPr>
        <w:t xml:space="preserve">case, </w:t>
      </w:r>
      <w:r w:rsidR="00D318E9" w:rsidRPr="7994D79A">
        <w:rPr>
          <w:rFonts w:eastAsia="Calibri" w:cs="Times New Roman"/>
          <w:noProof/>
          <w:lang w:val="en-GB"/>
        </w:rPr>
        <w:t xml:space="preserve">they </w:t>
      </w:r>
      <w:r w:rsidR="00B43A73" w:rsidRPr="7994D79A">
        <w:rPr>
          <w:rFonts w:eastAsia="Calibri" w:cs="Times New Roman"/>
          <w:noProof/>
          <w:lang w:val="en-GB"/>
        </w:rPr>
        <w:t>must</w:t>
      </w:r>
      <w:r w:rsidR="00D318E9" w:rsidRPr="7994D79A">
        <w:rPr>
          <w:rFonts w:eastAsia="Calibri" w:cs="Times New Roman"/>
          <w:noProof/>
          <w:lang w:val="en-GB"/>
        </w:rPr>
        <w:t xml:space="preserve"> ensure that</w:t>
      </w:r>
      <w:r w:rsidR="00D20007" w:rsidRPr="7994D79A">
        <w:rPr>
          <w:rFonts w:eastAsia="Calibri" w:cs="Times New Roman"/>
          <w:noProof/>
          <w:lang w:val="en-GB"/>
        </w:rPr>
        <w:t>: (</w:t>
      </w:r>
      <w:r w:rsidR="001B64AF" w:rsidRPr="7994D79A">
        <w:rPr>
          <w:rFonts w:eastAsia="Calibri" w:cs="Times New Roman"/>
          <w:noProof/>
          <w:lang w:val="en-GB"/>
        </w:rPr>
        <w:t>i</w:t>
      </w:r>
      <w:r w:rsidR="00D20007" w:rsidRPr="7994D79A">
        <w:rPr>
          <w:rFonts w:eastAsia="Calibri" w:cs="Times New Roman"/>
          <w:noProof/>
          <w:lang w:val="en-GB"/>
        </w:rPr>
        <w:t>) the</w:t>
      </w:r>
      <w:r w:rsidR="00D318E9" w:rsidRPr="7994D79A">
        <w:rPr>
          <w:rFonts w:eastAsia="Calibri" w:cs="Times New Roman"/>
          <w:noProof/>
          <w:lang w:val="en-GB"/>
        </w:rPr>
        <w:t xml:space="preserve"> farmer</w:t>
      </w:r>
      <w:r w:rsidR="57744695" w:rsidRPr="7994D79A">
        <w:rPr>
          <w:rFonts w:eastAsia="Calibri" w:cs="Times New Roman"/>
          <w:noProof/>
          <w:lang w:val="en-GB"/>
        </w:rPr>
        <w:t>s are</w:t>
      </w:r>
      <w:r w:rsidR="00D20007" w:rsidRPr="7994D79A">
        <w:rPr>
          <w:rFonts w:eastAsia="Calibri" w:cs="Times New Roman"/>
          <w:noProof/>
          <w:lang w:val="en-GB"/>
        </w:rPr>
        <w:t xml:space="preserve"> aware of the changes; </w:t>
      </w:r>
      <w:r w:rsidR="00B43A73" w:rsidRPr="7994D79A">
        <w:rPr>
          <w:rFonts w:eastAsia="Calibri" w:cs="Times New Roman"/>
          <w:noProof/>
          <w:lang w:val="en-GB"/>
        </w:rPr>
        <w:t xml:space="preserve">and </w:t>
      </w:r>
      <w:r w:rsidR="00D318E9" w:rsidRPr="7994D79A">
        <w:rPr>
          <w:rFonts w:eastAsia="Calibri" w:cs="Times New Roman"/>
          <w:noProof/>
          <w:lang w:val="en-GB"/>
        </w:rPr>
        <w:t>(</w:t>
      </w:r>
      <w:r w:rsidR="001B64AF" w:rsidRPr="7994D79A">
        <w:rPr>
          <w:rFonts w:eastAsia="Calibri" w:cs="Times New Roman"/>
          <w:noProof/>
          <w:lang w:val="en-GB"/>
        </w:rPr>
        <w:t>ii</w:t>
      </w:r>
      <w:r w:rsidR="00D318E9" w:rsidRPr="7994D79A">
        <w:rPr>
          <w:rFonts w:eastAsia="Calibri" w:cs="Times New Roman"/>
          <w:noProof/>
          <w:lang w:val="en-GB"/>
        </w:rPr>
        <w:t xml:space="preserve">) that </w:t>
      </w:r>
      <w:r w:rsidR="00B43A73" w:rsidRPr="7994D79A">
        <w:rPr>
          <w:rFonts w:eastAsia="Calibri" w:cs="Times New Roman"/>
          <w:noProof/>
          <w:lang w:val="en-GB"/>
        </w:rPr>
        <w:t>they have</w:t>
      </w:r>
      <w:r w:rsidR="00D20007" w:rsidRPr="7994D79A">
        <w:rPr>
          <w:rFonts w:eastAsia="Calibri" w:cs="Times New Roman"/>
          <w:noProof/>
          <w:lang w:val="en-GB"/>
        </w:rPr>
        <w:t xml:space="preserve"> the possibility to react </w:t>
      </w:r>
      <w:r w:rsidR="00B43A73" w:rsidRPr="7994D79A">
        <w:rPr>
          <w:rFonts w:eastAsia="Calibri" w:cs="Times New Roman"/>
          <w:noProof/>
          <w:lang w:val="en-GB"/>
        </w:rPr>
        <w:t>if they disagree with the change made</w:t>
      </w:r>
      <w:r w:rsidR="00D20007" w:rsidRPr="7994D79A">
        <w:rPr>
          <w:rFonts w:eastAsia="Calibri" w:cs="Times New Roman"/>
          <w:noProof/>
          <w:lang w:val="en-GB"/>
        </w:rPr>
        <w:t>.</w:t>
      </w:r>
    </w:p>
    <w:p w14:paraId="633488F8" w14:textId="57E13852" w:rsidR="00B810C4" w:rsidRPr="00724676" w:rsidRDefault="001A4F78" w:rsidP="003E7CF4">
      <w:pPr>
        <w:pStyle w:val="ListParagraph"/>
        <w:numPr>
          <w:ilvl w:val="0"/>
          <w:numId w:val="10"/>
        </w:numPr>
        <w:spacing w:after="120"/>
        <w:ind w:left="714" w:hanging="357"/>
        <w:contextualSpacing w:val="0"/>
        <w:jc w:val="both"/>
        <w:rPr>
          <w:rFonts w:cs="Times New Roman"/>
          <w:noProof/>
          <w:lang w:val="en-GB"/>
        </w:rPr>
      </w:pPr>
      <w:r w:rsidRPr="7994D79A">
        <w:rPr>
          <w:rFonts w:cs="Times New Roman"/>
          <w:noProof/>
          <w:lang w:val="en-GB"/>
        </w:rPr>
        <w:t>Combining</w:t>
      </w:r>
      <w:r w:rsidR="008014BF" w:rsidRPr="7994D79A">
        <w:rPr>
          <w:rFonts w:cs="Times New Roman"/>
          <w:noProof/>
          <w:lang w:val="en-GB"/>
        </w:rPr>
        <w:t xml:space="preserve"> </w:t>
      </w:r>
      <w:r w:rsidR="01F74B9B" w:rsidRPr="7994D79A">
        <w:rPr>
          <w:rFonts w:cs="Times New Roman"/>
          <w:b/>
          <w:noProof/>
          <w:lang w:val="en-GB"/>
        </w:rPr>
        <w:t xml:space="preserve">the </w:t>
      </w:r>
      <w:r w:rsidR="008014BF" w:rsidRPr="7994D79A">
        <w:rPr>
          <w:rFonts w:cs="Times New Roman"/>
          <w:b/>
          <w:noProof/>
          <w:lang w:val="en-GB"/>
        </w:rPr>
        <w:t xml:space="preserve">use of </w:t>
      </w:r>
      <w:r w:rsidR="01F74B9B" w:rsidRPr="7994D79A">
        <w:rPr>
          <w:rFonts w:cs="Times New Roman"/>
          <w:b/>
          <w:noProof/>
          <w:lang w:val="en-GB"/>
        </w:rPr>
        <w:t xml:space="preserve">new technologies with the right </w:t>
      </w:r>
      <w:r w:rsidR="177C9A24" w:rsidRPr="7994D79A">
        <w:rPr>
          <w:rFonts w:cs="Times New Roman"/>
          <w:b/>
          <w:bCs/>
          <w:noProof/>
          <w:lang w:val="en-GB"/>
        </w:rPr>
        <w:t xml:space="preserve">of </w:t>
      </w:r>
      <w:r w:rsidR="01F74B9B" w:rsidRPr="7994D79A">
        <w:rPr>
          <w:rFonts w:cs="Times New Roman"/>
          <w:b/>
          <w:noProof/>
          <w:lang w:val="en-GB"/>
        </w:rPr>
        <w:t>error</w:t>
      </w:r>
      <w:r w:rsidR="008014BF" w:rsidRPr="7994D79A">
        <w:rPr>
          <w:rFonts w:cs="Times New Roman"/>
          <w:noProof/>
          <w:lang w:val="en-GB"/>
        </w:rPr>
        <w:t xml:space="preserve"> is </w:t>
      </w:r>
      <w:r w:rsidR="002C1567" w:rsidRPr="7994D79A">
        <w:rPr>
          <w:rFonts w:cs="Times New Roman"/>
          <w:noProof/>
          <w:lang w:val="en-GB"/>
        </w:rPr>
        <w:t>helpful</w:t>
      </w:r>
      <w:r w:rsidR="008014BF" w:rsidRPr="7994D79A">
        <w:rPr>
          <w:rFonts w:cs="Times New Roman"/>
          <w:noProof/>
          <w:lang w:val="en-GB"/>
        </w:rPr>
        <w:t xml:space="preserve"> in this context</w:t>
      </w:r>
      <w:r w:rsidR="01F74B9B" w:rsidRPr="7994D79A">
        <w:rPr>
          <w:rFonts w:cs="Times New Roman"/>
          <w:noProof/>
          <w:lang w:val="en-GB"/>
        </w:rPr>
        <w:t xml:space="preserve"> </w:t>
      </w:r>
      <w:r w:rsidR="00990A72" w:rsidRPr="7994D79A">
        <w:rPr>
          <w:rFonts w:cs="Times New Roman"/>
          <w:noProof/>
          <w:lang w:val="en-GB"/>
        </w:rPr>
        <w:t>as</w:t>
      </w:r>
      <w:r w:rsidR="01F74B9B" w:rsidRPr="7994D79A">
        <w:rPr>
          <w:rFonts w:cs="Times New Roman"/>
          <w:noProof/>
          <w:lang w:val="en-GB"/>
        </w:rPr>
        <w:t xml:space="preserve"> IT systems </w:t>
      </w:r>
      <w:r w:rsidRPr="7994D79A">
        <w:rPr>
          <w:rFonts w:cs="Times New Roman"/>
          <w:noProof/>
          <w:lang w:val="en-GB"/>
        </w:rPr>
        <w:t xml:space="preserve">can automatically </w:t>
      </w:r>
      <w:r w:rsidR="01F74B9B" w:rsidRPr="7994D79A">
        <w:rPr>
          <w:rFonts w:cs="Times New Roman"/>
          <w:noProof/>
          <w:lang w:val="en-GB"/>
        </w:rPr>
        <w:t>inform farmers of potential errors</w:t>
      </w:r>
      <w:r w:rsidRPr="7994D79A">
        <w:rPr>
          <w:rFonts w:cs="Times New Roman"/>
          <w:noProof/>
          <w:lang w:val="en-GB"/>
        </w:rPr>
        <w:t>, so they</w:t>
      </w:r>
      <w:r w:rsidR="00485AF4" w:rsidRPr="7994D79A">
        <w:rPr>
          <w:rFonts w:cs="Times New Roman"/>
          <w:noProof/>
          <w:lang w:val="en-GB"/>
        </w:rPr>
        <w:t xml:space="preserve"> avoid penalties</w:t>
      </w:r>
      <w:r w:rsidR="01F74B9B" w:rsidRPr="7994D79A">
        <w:rPr>
          <w:rFonts w:cs="Times New Roman"/>
          <w:noProof/>
          <w:lang w:val="en-GB"/>
        </w:rPr>
        <w:t xml:space="preserve">. </w:t>
      </w:r>
    </w:p>
    <w:p w14:paraId="745BDCA0" w14:textId="0584A569" w:rsidR="00B810C4" w:rsidRPr="00724676" w:rsidRDefault="00D11E54" w:rsidP="007C3C31">
      <w:pPr>
        <w:pStyle w:val="ListParagraph"/>
        <w:numPr>
          <w:ilvl w:val="0"/>
          <w:numId w:val="10"/>
        </w:numPr>
        <w:spacing w:after="120"/>
        <w:contextualSpacing w:val="0"/>
        <w:jc w:val="both"/>
        <w:rPr>
          <w:rFonts w:cs="Times New Roman"/>
          <w:noProof/>
          <w:szCs w:val="24"/>
          <w:lang w:val="en-GB"/>
        </w:rPr>
      </w:pPr>
      <w:r w:rsidRPr="00724676">
        <w:rPr>
          <w:rFonts w:eastAsia="Calibri" w:cs="Times New Roman"/>
          <w:bCs/>
          <w:noProof/>
          <w:szCs w:val="24"/>
          <w:lang w:val="en-GB"/>
        </w:rPr>
        <w:t xml:space="preserve">This allows farmers to </w:t>
      </w:r>
      <w:r w:rsidRPr="00724676">
        <w:rPr>
          <w:rFonts w:eastAsia="Calibri" w:cs="Times New Roman"/>
          <w:b/>
          <w:noProof/>
          <w:szCs w:val="24"/>
          <w:lang w:val="en-GB"/>
        </w:rPr>
        <w:t>correct their applications</w:t>
      </w:r>
      <w:r w:rsidRPr="00724676">
        <w:rPr>
          <w:rFonts w:eastAsia="Calibri" w:cs="Times New Roman"/>
          <w:bCs/>
          <w:noProof/>
          <w:szCs w:val="24"/>
          <w:lang w:val="en-GB"/>
        </w:rPr>
        <w:t xml:space="preserve"> where </w:t>
      </w:r>
      <w:r w:rsidR="001A4F78">
        <w:rPr>
          <w:rFonts w:eastAsia="Calibri" w:cs="Times New Roman"/>
          <w:bCs/>
          <w:noProof/>
          <w:szCs w:val="24"/>
          <w:lang w:val="en-GB"/>
        </w:rPr>
        <w:t>errors</w:t>
      </w:r>
      <w:r w:rsidR="001A4F78" w:rsidRPr="00724676">
        <w:rPr>
          <w:rFonts w:eastAsia="Calibri" w:cs="Times New Roman"/>
          <w:bCs/>
          <w:noProof/>
          <w:szCs w:val="24"/>
          <w:lang w:val="en-GB"/>
        </w:rPr>
        <w:t xml:space="preserve"> </w:t>
      </w:r>
      <w:r w:rsidRPr="00724676">
        <w:rPr>
          <w:rFonts w:eastAsia="Calibri" w:cs="Times New Roman"/>
          <w:bCs/>
          <w:noProof/>
          <w:szCs w:val="24"/>
          <w:lang w:val="en-GB"/>
        </w:rPr>
        <w:t xml:space="preserve">were made or adjust </w:t>
      </w:r>
      <w:r w:rsidR="001D117D">
        <w:rPr>
          <w:rFonts w:eastAsia="Calibri" w:cs="Times New Roman"/>
          <w:bCs/>
          <w:noProof/>
          <w:szCs w:val="24"/>
          <w:lang w:val="en-GB"/>
        </w:rPr>
        <w:t>them</w:t>
      </w:r>
      <w:r w:rsidRPr="00724676">
        <w:rPr>
          <w:rFonts w:eastAsia="Calibri" w:cs="Times New Roman"/>
          <w:bCs/>
          <w:noProof/>
          <w:szCs w:val="24"/>
          <w:lang w:val="en-GB"/>
        </w:rPr>
        <w:t xml:space="preserve"> </w:t>
      </w:r>
      <w:r w:rsidR="005912BD" w:rsidRPr="00724676">
        <w:rPr>
          <w:rFonts w:eastAsia="Calibri" w:cs="Times New Roman"/>
          <w:bCs/>
          <w:noProof/>
          <w:szCs w:val="24"/>
          <w:lang w:val="en-GB"/>
        </w:rPr>
        <w:t xml:space="preserve">based on </w:t>
      </w:r>
      <w:r w:rsidRPr="00724676">
        <w:rPr>
          <w:rFonts w:eastAsia="Calibri" w:cs="Times New Roman"/>
          <w:bCs/>
          <w:noProof/>
          <w:szCs w:val="24"/>
          <w:lang w:val="en-GB"/>
        </w:rPr>
        <w:t xml:space="preserve">realities on the ground. </w:t>
      </w:r>
      <w:r w:rsidRPr="00724676">
        <w:rPr>
          <w:rFonts w:eastAsia="Calibri" w:cs="Times New Roman"/>
          <w:noProof/>
          <w:szCs w:val="24"/>
          <w:lang w:val="en-GB"/>
        </w:rPr>
        <w:t xml:space="preserve">The </w:t>
      </w:r>
      <w:r w:rsidR="00757593" w:rsidRPr="00724676">
        <w:rPr>
          <w:rFonts w:eastAsia="Calibri" w:cs="Times New Roman"/>
          <w:noProof/>
          <w:szCs w:val="24"/>
          <w:lang w:val="en-GB"/>
        </w:rPr>
        <w:t>goal</w:t>
      </w:r>
      <w:r w:rsidRPr="00724676">
        <w:rPr>
          <w:rFonts w:eastAsia="Calibri" w:cs="Times New Roman"/>
          <w:noProof/>
          <w:szCs w:val="24"/>
          <w:lang w:val="en-GB"/>
        </w:rPr>
        <w:t xml:space="preserve"> is to help farmers avoid errors which can lead to </w:t>
      </w:r>
      <w:r w:rsidR="009E47A7" w:rsidRPr="00724676">
        <w:rPr>
          <w:rFonts w:eastAsia="Calibri" w:cs="Times New Roman"/>
          <w:noProof/>
          <w:szCs w:val="24"/>
          <w:lang w:val="en-GB"/>
        </w:rPr>
        <w:t>non</w:t>
      </w:r>
      <w:r w:rsidR="00143187" w:rsidRPr="00724676">
        <w:rPr>
          <w:rFonts w:eastAsia="Calibri" w:cs="Times New Roman"/>
          <w:noProof/>
          <w:szCs w:val="24"/>
          <w:lang w:val="en-GB"/>
        </w:rPr>
        <w:t>-</w:t>
      </w:r>
      <w:r w:rsidRPr="00724676">
        <w:rPr>
          <w:rFonts w:eastAsia="Calibri" w:cs="Times New Roman"/>
          <w:noProof/>
          <w:szCs w:val="24"/>
          <w:lang w:val="en-GB"/>
        </w:rPr>
        <w:t>implement</w:t>
      </w:r>
      <w:r w:rsidR="00143187" w:rsidRPr="00724676">
        <w:rPr>
          <w:rFonts w:eastAsia="Calibri" w:cs="Times New Roman"/>
          <w:noProof/>
          <w:szCs w:val="24"/>
          <w:lang w:val="en-GB"/>
        </w:rPr>
        <w:t xml:space="preserve">ation of </w:t>
      </w:r>
      <w:r w:rsidR="0044010B" w:rsidRPr="00724676">
        <w:rPr>
          <w:rFonts w:eastAsia="Calibri" w:cs="Times New Roman"/>
          <w:noProof/>
          <w:szCs w:val="24"/>
          <w:lang w:val="en-GB"/>
        </w:rPr>
        <w:t xml:space="preserve">the </w:t>
      </w:r>
      <w:r w:rsidR="00143187" w:rsidRPr="00724676">
        <w:rPr>
          <w:rFonts w:eastAsia="Calibri" w:cs="Times New Roman"/>
          <w:noProof/>
          <w:szCs w:val="24"/>
          <w:lang w:val="en-GB"/>
        </w:rPr>
        <w:t>policies</w:t>
      </w:r>
      <w:r w:rsidRPr="00724676">
        <w:rPr>
          <w:rFonts w:eastAsia="Calibri" w:cs="Times New Roman"/>
          <w:noProof/>
          <w:szCs w:val="24"/>
          <w:lang w:val="en-GB"/>
        </w:rPr>
        <w:t>. In this way</w:t>
      </w:r>
      <w:r w:rsidR="001A4F78">
        <w:rPr>
          <w:rFonts w:eastAsia="Calibri" w:cs="Times New Roman"/>
          <w:noProof/>
          <w:szCs w:val="24"/>
          <w:lang w:val="en-GB"/>
        </w:rPr>
        <w:t>,</w:t>
      </w:r>
      <w:r w:rsidRPr="00724676">
        <w:rPr>
          <w:rFonts w:eastAsia="Calibri" w:cs="Times New Roman"/>
          <w:noProof/>
          <w:szCs w:val="24"/>
          <w:lang w:val="en-GB"/>
        </w:rPr>
        <w:t xml:space="preserve"> penalties for farmers are avoided and the policy performance</w:t>
      </w:r>
      <w:r w:rsidR="00D8088C" w:rsidRPr="00724676">
        <w:rPr>
          <w:rFonts w:eastAsia="Calibri" w:cs="Times New Roman"/>
          <w:noProof/>
          <w:szCs w:val="24"/>
          <w:lang w:val="en-GB"/>
        </w:rPr>
        <w:t xml:space="preserve"> is improved</w:t>
      </w:r>
      <w:r w:rsidRPr="00724676">
        <w:rPr>
          <w:rFonts w:eastAsia="Calibri" w:cs="Times New Roman"/>
          <w:noProof/>
          <w:szCs w:val="24"/>
          <w:lang w:val="en-GB"/>
        </w:rPr>
        <w:t>.</w:t>
      </w:r>
    </w:p>
    <w:p w14:paraId="3773C1E8" w14:textId="3D97164C" w:rsidR="01F74B9B" w:rsidRPr="00724676" w:rsidRDefault="56F72B93" w:rsidP="007C3C31">
      <w:pPr>
        <w:pStyle w:val="ListParagraph"/>
        <w:numPr>
          <w:ilvl w:val="0"/>
          <w:numId w:val="10"/>
        </w:numPr>
        <w:spacing w:after="120"/>
        <w:contextualSpacing w:val="0"/>
        <w:jc w:val="both"/>
        <w:rPr>
          <w:rFonts w:cs="Times New Roman"/>
          <w:noProof/>
          <w:szCs w:val="24"/>
          <w:lang w:val="en-GB"/>
        </w:rPr>
      </w:pPr>
      <w:r w:rsidRPr="00724676">
        <w:rPr>
          <w:rFonts w:cs="Times New Roman"/>
          <w:noProof/>
          <w:szCs w:val="24"/>
          <w:lang w:val="en-GB"/>
        </w:rPr>
        <w:lastRenderedPageBreak/>
        <w:t>However,</w:t>
      </w:r>
      <w:r w:rsidR="01F74B9B" w:rsidRPr="00724676">
        <w:rPr>
          <w:rFonts w:cs="Times New Roman"/>
          <w:noProof/>
          <w:szCs w:val="24"/>
          <w:lang w:val="en-GB"/>
        </w:rPr>
        <w:t xml:space="preserve"> </w:t>
      </w:r>
      <w:r w:rsidR="01F74B9B" w:rsidRPr="00724676">
        <w:rPr>
          <w:rFonts w:cs="Times New Roman"/>
          <w:b/>
          <w:noProof/>
          <w:szCs w:val="24"/>
          <w:lang w:val="en-GB"/>
        </w:rPr>
        <w:t xml:space="preserve">controls must </w:t>
      </w:r>
      <w:r w:rsidR="00506868" w:rsidRPr="00724676">
        <w:rPr>
          <w:rFonts w:cs="Times New Roman"/>
          <w:b/>
          <w:noProof/>
          <w:szCs w:val="24"/>
          <w:lang w:val="en-GB"/>
        </w:rPr>
        <w:t>remain</w:t>
      </w:r>
      <w:r w:rsidR="01F74B9B" w:rsidRPr="00724676">
        <w:rPr>
          <w:rFonts w:cs="Times New Roman"/>
          <w:b/>
          <w:noProof/>
          <w:szCs w:val="24"/>
          <w:lang w:val="en-GB"/>
        </w:rPr>
        <w:t xml:space="preserve"> eff</w:t>
      </w:r>
      <w:r w:rsidR="00506868" w:rsidRPr="00724676">
        <w:rPr>
          <w:rFonts w:cs="Times New Roman"/>
          <w:b/>
          <w:noProof/>
          <w:szCs w:val="24"/>
          <w:lang w:val="en-GB"/>
        </w:rPr>
        <w:t>ective</w:t>
      </w:r>
      <w:r w:rsidR="003F44F7" w:rsidRPr="00724676">
        <w:rPr>
          <w:rFonts w:cs="Times New Roman"/>
          <w:noProof/>
          <w:szCs w:val="24"/>
          <w:lang w:val="en-GB"/>
        </w:rPr>
        <w:t>. Therefore, such warning messages</w:t>
      </w:r>
      <w:r w:rsidR="01F74B9B" w:rsidRPr="00724676">
        <w:rPr>
          <w:rFonts w:cs="Times New Roman"/>
          <w:noProof/>
          <w:szCs w:val="24"/>
          <w:lang w:val="en-GB"/>
        </w:rPr>
        <w:t xml:space="preserve"> cannot be </w:t>
      </w:r>
      <w:r w:rsidR="003F44F7" w:rsidRPr="00724676">
        <w:rPr>
          <w:rFonts w:cs="Times New Roman"/>
          <w:noProof/>
          <w:szCs w:val="24"/>
          <w:lang w:val="en-GB"/>
        </w:rPr>
        <w:t>sent</w:t>
      </w:r>
      <w:r w:rsidR="01F74B9B" w:rsidRPr="00724676">
        <w:rPr>
          <w:rFonts w:cs="Times New Roman"/>
          <w:noProof/>
          <w:szCs w:val="24"/>
          <w:lang w:val="en-GB"/>
        </w:rPr>
        <w:t xml:space="preserve"> after the applicant is informed or</w:t>
      </w:r>
      <w:r w:rsidR="001A4F78">
        <w:rPr>
          <w:rFonts w:cs="Times New Roman"/>
          <w:noProof/>
          <w:szCs w:val="24"/>
          <w:lang w:val="en-GB"/>
        </w:rPr>
        <w:t xml:space="preserve"> made</w:t>
      </w:r>
      <w:r w:rsidR="01F74B9B" w:rsidRPr="00724676">
        <w:rPr>
          <w:rFonts w:cs="Times New Roman"/>
          <w:noProof/>
          <w:szCs w:val="24"/>
          <w:lang w:val="en-GB"/>
        </w:rPr>
        <w:t xml:space="preserve"> aware of </w:t>
      </w:r>
      <w:r w:rsidR="001A4F78">
        <w:rPr>
          <w:rFonts w:cs="Times New Roman"/>
          <w:noProof/>
          <w:szCs w:val="24"/>
          <w:lang w:val="en-GB"/>
        </w:rPr>
        <w:t>their selection</w:t>
      </w:r>
      <w:r w:rsidR="01F74B9B" w:rsidRPr="00724676">
        <w:rPr>
          <w:rFonts w:cs="Times New Roman"/>
          <w:noProof/>
          <w:szCs w:val="24"/>
          <w:lang w:val="en-GB"/>
        </w:rPr>
        <w:t xml:space="preserve"> for an on-the-spot check. </w:t>
      </w:r>
    </w:p>
    <w:p w14:paraId="02D7047A" w14:textId="74DF3999" w:rsidR="5778E314" w:rsidRPr="00724676" w:rsidRDefault="00AB44A1" w:rsidP="006D5C9F">
      <w:pPr>
        <w:spacing w:after="120"/>
        <w:jc w:val="both"/>
        <w:rPr>
          <w:rFonts w:eastAsia="Times New Roman" w:cs="Times New Roman"/>
          <w:noProof/>
          <w:color w:val="000000" w:themeColor="text1"/>
          <w:lang w:val="en-GB"/>
        </w:rPr>
      </w:pPr>
      <w:r w:rsidRPr="00DF35AF">
        <w:rPr>
          <w:rFonts w:eastAsia="Times New Roman" w:cs="Times New Roman"/>
          <w:noProof/>
          <w:color w:val="000000" w:themeColor="text1"/>
          <w:lang w:val="en-GB"/>
        </w:rPr>
        <w:t>T</w:t>
      </w:r>
      <w:r w:rsidR="00F72B01" w:rsidRPr="00DF35AF" w:rsidDel="0097799D">
        <w:rPr>
          <w:rFonts w:eastAsia="Times New Roman" w:cs="Times New Roman"/>
          <w:noProof/>
          <w:color w:val="000000" w:themeColor="text1"/>
          <w:lang w:val="en-GB"/>
        </w:rPr>
        <w:t xml:space="preserve">he </w:t>
      </w:r>
      <w:r w:rsidR="0097799D" w:rsidRPr="00DF35AF">
        <w:rPr>
          <w:rFonts w:eastAsia="Times New Roman" w:cs="Times New Roman"/>
          <w:noProof/>
          <w:color w:val="000000" w:themeColor="text1"/>
          <w:lang w:val="en-GB"/>
        </w:rPr>
        <w:t>w</w:t>
      </w:r>
      <w:r w:rsidR="00F72B01" w:rsidRPr="00DF35AF">
        <w:rPr>
          <w:rFonts w:eastAsia="Times New Roman" w:cs="Times New Roman"/>
          <w:noProof/>
          <w:color w:val="000000" w:themeColor="text1"/>
          <w:lang w:val="en-GB"/>
        </w:rPr>
        <w:t xml:space="preserve">orkshop </w:t>
      </w:r>
      <w:r w:rsidR="00F72B01" w:rsidRPr="00406DFD">
        <w:rPr>
          <w:rFonts w:eastAsia="Times New Roman" w:cs="Times New Roman"/>
          <w:noProof/>
          <w:color w:val="000000" w:themeColor="text1"/>
          <w:lang w:val="en-GB"/>
        </w:rPr>
        <w:t xml:space="preserve">on </w:t>
      </w:r>
      <w:r w:rsidR="00E52394" w:rsidRPr="00406DFD">
        <w:rPr>
          <w:rFonts w:eastAsia="Times New Roman" w:cs="Times New Roman"/>
          <w:noProof/>
          <w:color w:val="000000" w:themeColor="text1"/>
          <w:lang w:val="en-GB"/>
        </w:rPr>
        <w:t>rationalising c</w:t>
      </w:r>
      <w:r w:rsidR="00DE6EF4" w:rsidRPr="00DF35AF">
        <w:rPr>
          <w:rFonts w:eastAsia="Times New Roman" w:cs="Times New Roman"/>
          <w:noProof/>
          <w:color w:val="000000" w:themeColor="text1"/>
          <w:lang w:val="en-GB"/>
        </w:rPr>
        <w:t>ontrols</w:t>
      </w:r>
      <w:r w:rsidR="00E52394" w:rsidRPr="00DF35AF">
        <w:rPr>
          <w:rFonts w:eastAsia="Times New Roman" w:cs="Times New Roman"/>
          <w:noProof/>
          <w:color w:val="000000" w:themeColor="text1"/>
          <w:lang w:val="en-GB"/>
        </w:rPr>
        <w:t xml:space="preserve"> </w:t>
      </w:r>
      <w:r w:rsidR="00F72B01" w:rsidRPr="00DF35AF">
        <w:rPr>
          <w:rFonts w:eastAsia="Times New Roman" w:cs="Times New Roman"/>
          <w:noProof/>
          <w:color w:val="000000" w:themeColor="text1"/>
          <w:lang w:val="en-GB"/>
        </w:rPr>
        <w:t xml:space="preserve">also enabled </w:t>
      </w:r>
      <w:r w:rsidR="1E3B6FD5" w:rsidRPr="00DF35AF">
        <w:rPr>
          <w:rFonts w:eastAsia="Times New Roman" w:cs="Times New Roman"/>
          <w:noProof/>
          <w:color w:val="000000" w:themeColor="text1"/>
          <w:lang w:val="en-GB"/>
        </w:rPr>
        <w:t>Member States</w:t>
      </w:r>
      <w:r w:rsidR="00F72B01" w:rsidRPr="00DF35AF">
        <w:rPr>
          <w:rFonts w:eastAsia="Times New Roman" w:cs="Times New Roman"/>
          <w:noProof/>
          <w:color w:val="000000" w:themeColor="text1"/>
          <w:lang w:val="en-GB"/>
        </w:rPr>
        <w:t xml:space="preserve"> to share their experience</w:t>
      </w:r>
      <w:r w:rsidR="001A4F78" w:rsidRPr="00DF35AF">
        <w:rPr>
          <w:rFonts w:eastAsia="Times New Roman" w:cs="Times New Roman"/>
          <w:noProof/>
          <w:color w:val="000000" w:themeColor="text1"/>
          <w:lang w:val="en-GB"/>
        </w:rPr>
        <w:t>s</w:t>
      </w:r>
      <w:r w:rsidR="00F72B01" w:rsidRPr="00DF35AF">
        <w:rPr>
          <w:rFonts w:eastAsia="Times New Roman" w:cs="Times New Roman"/>
          <w:noProof/>
          <w:color w:val="000000" w:themeColor="text1"/>
          <w:lang w:val="en-GB"/>
        </w:rPr>
        <w:t xml:space="preserve"> in developing management and control systems that </w:t>
      </w:r>
      <w:r w:rsidR="001A4F78" w:rsidRPr="00DF35AF">
        <w:rPr>
          <w:rFonts w:eastAsia="Times New Roman" w:cs="Times New Roman"/>
          <w:noProof/>
          <w:color w:val="000000" w:themeColor="text1"/>
          <w:lang w:val="en-GB"/>
        </w:rPr>
        <w:t>alleviate</w:t>
      </w:r>
      <w:r w:rsidR="00F72B01" w:rsidRPr="00DF35AF">
        <w:rPr>
          <w:rFonts w:eastAsia="Times New Roman" w:cs="Times New Roman"/>
          <w:noProof/>
          <w:color w:val="000000" w:themeColor="text1"/>
          <w:lang w:val="en-GB"/>
        </w:rPr>
        <w:t xml:space="preserve"> the administration and control burden </w:t>
      </w:r>
      <w:r w:rsidR="001A4F78" w:rsidRPr="00DF35AF">
        <w:rPr>
          <w:rFonts w:eastAsia="Times New Roman" w:cs="Times New Roman"/>
          <w:noProof/>
          <w:color w:val="000000" w:themeColor="text1"/>
          <w:lang w:val="en-GB"/>
        </w:rPr>
        <w:t xml:space="preserve">on </w:t>
      </w:r>
      <w:r w:rsidR="00F72B01" w:rsidRPr="00DF35AF">
        <w:rPr>
          <w:rFonts w:eastAsia="Times New Roman" w:cs="Times New Roman"/>
          <w:noProof/>
          <w:color w:val="000000" w:themeColor="text1"/>
          <w:lang w:val="en-GB"/>
        </w:rPr>
        <w:t>farmer</w:t>
      </w:r>
      <w:r w:rsidR="00077D39" w:rsidRPr="00DF35AF">
        <w:rPr>
          <w:rFonts w:eastAsia="Times New Roman" w:cs="Times New Roman"/>
          <w:noProof/>
          <w:color w:val="000000" w:themeColor="text1"/>
          <w:lang w:val="en-GB"/>
        </w:rPr>
        <w:t>s</w:t>
      </w:r>
      <w:r w:rsidR="00F72B01" w:rsidRPr="00DF35AF">
        <w:rPr>
          <w:rFonts w:eastAsia="Times New Roman" w:cs="Times New Roman"/>
          <w:noProof/>
          <w:color w:val="000000" w:themeColor="text1"/>
          <w:lang w:val="en-GB"/>
        </w:rPr>
        <w:t xml:space="preserve"> without affecting the level of assurance on the outputs declared for performance</w:t>
      </w:r>
      <w:r w:rsidR="00F12EB3" w:rsidRPr="00DF35AF">
        <w:rPr>
          <w:rFonts w:eastAsia="Times New Roman" w:cs="Times New Roman"/>
          <w:noProof/>
          <w:color w:val="000000" w:themeColor="text1"/>
          <w:lang w:val="en-GB"/>
        </w:rPr>
        <w:t>.</w:t>
      </w:r>
    </w:p>
    <w:p w14:paraId="64C4F35F" w14:textId="0FC323E1" w:rsidR="00462F5A" w:rsidRPr="00724676" w:rsidRDefault="00A33ACB" w:rsidP="00921335">
      <w:pPr>
        <w:pStyle w:val="NoSpacing"/>
        <w:spacing w:after="240"/>
        <w:rPr>
          <w:rStyle w:val="Style2Char"/>
          <w:rFonts w:eastAsia="Calibri"/>
          <w:b w:val="0"/>
          <w:bCs w:val="0"/>
          <w:lang w:val="en-GB"/>
        </w:rPr>
      </w:pPr>
      <w:bookmarkStart w:id="76" w:name="_Toc169115021"/>
      <w:bookmarkStart w:id="77" w:name="_Toc171106321"/>
      <w:bookmarkStart w:id="78" w:name="_Toc171432236"/>
      <w:bookmarkStart w:id="79" w:name="_Toc171444110"/>
      <w:bookmarkStart w:id="80" w:name="_Toc167974744"/>
      <w:bookmarkStart w:id="81" w:name="_Toc168422350"/>
      <w:bookmarkStart w:id="82" w:name="_Toc168422657"/>
      <w:r w:rsidRPr="00724676">
        <w:rPr>
          <w:rStyle w:val="Style2Char"/>
          <w:rFonts w:eastAsia="Calibri"/>
          <w:lang w:val="en-GB"/>
        </w:rPr>
        <w:t xml:space="preserve">Revision of the </w:t>
      </w:r>
      <w:r w:rsidR="00AF7B1A">
        <w:rPr>
          <w:rStyle w:val="Style2Char"/>
          <w:rFonts w:eastAsia="Calibri"/>
          <w:lang w:val="en-GB"/>
        </w:rPr>
        <w:t>EU</w:t>
      </w:r>
      <w:r w:rsidR="00F111AA" w:rsidRPr="00724676">
        <w:rPr>
          <w:rStyle w:val="Style2Char"/>
          <w:rFonts w:eastAsia="Calibri"/>
          <w:lang w:val="en-GB"/>
        </w:rPr>
        <w:t xml:space="preserve">-level </w:t>
      </w:r>
      <w:r w:rsidRPr="00724676">
        <w:rPr>
          <w:rStyle w:val="Style2Char"/>
          <w:rFonts w:eastAsia="Calibri"/>
          <w:lang w:val="en-GB"/>
        </w:rPr>
        <w:t xml:space="preserve">methodology for </w:t>
      </w:r>
      <w:r w:rsidR="00F111AA" w:rsidRPr="00724676">
        <w:rPr>
          <w:rStyle w:val="Style2Char"/>
          <w:rFonts w:eastAsia="Calibri"/>
          <w:lang w:val="en-GB"/>
        </w:rPr>
        <w:t>IACS</w:t>
      </w:r>
      <w:r w:rsidRPr="00724676">
        <w:rPr>
          <w:rStyle w:val="Style2Char"/>
          <w:rFonts w:eastAsia="Calibri"/>
          <w:lang w:val="en-GB"/>
        </w:rPr>
        <w:t xml:space="preserve"> </w:t>
      </w:r>
      <w:r w:rsidR="001A4F78">
        <w:rPr>
          <w:rStyle w:val="Style2Char"/>
          <w:rFonts w:eastAsia="Calibri"/>
          <w:lang w:val="en-GB"/>
        </w:rPr>
        <w:t>q</w:t>
      </w:r>
      <w:r w:rsidRPr="00724676">
        <w:rPr>
          <w:rStyle w:val="Style2Char"/>
          <w:rFonts w:eastAsia="Calibri"/>
          <w:lang w:val="en-GB"/>
        </w:rPr>
        <w:t xml:space="preserve">uality </w:t>
      </w:r>
      <w:r w:rsidR="001A4F78">
        <w:rPr>
          <w:rStyle w:val="Style2Char"/>
          <w:rFonts w:eastAsia="Calibri"/>
          <w:lang w:val="en-GB"/>
        </w:rPr>
        <w:t>a</w:t>
      </w:r>
      <w:r w:rsidRPr="00724676">
        <w:rPr>
          <w:rStyle w:val="Style2Char"/>
          <w:rFonts w:eastAsia="Calibri"/>
          <w:lang w:val="en-GB"/>
        </w:rPr>
        <w:t>ssessment</w:t>
      </w:r>
      <w:bookmarkEnd w:id="76"/>
      <w:bookmarkEnd w:id="77"/>
      <w:bookmarkEnd w:id="78"/>
      <w:bookmarkEnd w:id="79"/>
    </w:p>
    <w:bookmarkEnd w:id="80"/>
    <w:bookmarkEnd w:id="81"/>
    <w:bookmarkEnd w:id="82"/>
    <w:p w14:paraId="29C28C68" w14:textId="27DAFBCF" w:rsidR="001C180A" w:rsidRPr="00724676" w:rsidRDefault="006513B4" w:rsidP="006D5C9F">
      <w:pPr>
        <w:spacing w:after="120"/>
        <w:jc w:val="both"/>
        <w:rPr>
          <w:rFonts w:eastAsiaTheme="minorEastAsia" w:cs="Times New Roman"/>
          <w:noProof/>
          <w:szCs w:val="24"/>
          <w:lang w:val="en-GB"/>
        </w:rPr>
      </w:pPr>
      <w:r w:rsidRPr="00724676">
        <w:rPr>
          <w:rFonts w:eastAsia="Calibri" w:cs="Times New Roman"/>
          <w:noProof/>
          <w:szCs w:val="24"/>
          <w:lang w:val="en-GB"/>
        </w:rPr>
        <w:t xml:space="preserve">The main IACS components are subject to an annual quality assessment to </w:t>
      </w:r>
      <w:r w:rsidRPr="00724676">
        <w:rPr>
          <w:rFonts w:eastAsia="Calibri" w:cs="Times New Roman"/>
          <w:b/>
          <w:noProof/>
          <w:szCs w:val="24"/>
          <w:lang w:val="en-GB"/>
        </w:rPr>
        <w:t>evaluate</w:t>
      </w:r>
      <w:r w:rsidRPr="00724676">
        <w:rPr>
          <w:rFonts w:eastAsia="Calibri" w:cs="Times New Roman"/>
          <w:noProof/>
          <w:szCs w:val="24"/>
          <w:lang w:val="en-GB"/>
        </w:rPr>
        <w:t xml:space="preserve"> if the </w:t>
      </w:r>
      <w:r w:rsidRPr="00724676">
        <w:rPr>
          <w:rFonts w:eastAsia="Calibri" w:cs="Times New Roman"/>
          <w:b/>
          <w:noProof/>
          <w:szCs w:val="24"/>
          <w:lang w:val="en-GB"/>
        </w:rPr>
        <w:t xml:space="preserve">IACS </w:t>
      </w:r>
      <w:r w:rsidR="00E52394">
        <w:rPr>
          <w:rFonts w:eastAsia="Calibri" w:cs="Times New Roman"/>
          <w:b/>
          <w:noProof/>
          <w:szCs w:val="24"/>
          <w:lang w:val="en-GB"/>
        </w:rPr>
        <w:t>is achieving its aims,</w:t>
      </w:r>
      <w:r w:rsidRPr="00724676">
        <w:rPr>
          <w:rFonts w:eastAsia="Calibri" w:cs="Times New Roman"/>
          <w:b/>
          <w:noProof/>
          <w:szCs w:val="24"/>
          <w:lang w:val="en-GB"/>
        </w:rPr>
        <w:t xml:space="preserve"> and </w:t>
      </w:r>
      <w:r w:rsidR="00547F11" w:rsidRPr="00724676">
        <w:rPr>
          <w:rFonts w:eastAsia="Calibri" w:cs="Times New Roman"/>
          <w:b/>
          <w:noProof/>
          <w:szCs w:val="24"/>
          <w:lang w:val="en-GB"/>
        </w:rPr>
        <w:t xml:space="preserve">to </w:t>
      </w:r>
      <w:r w:rsidRPr="00724676">
        <w:rPr>
          <w:rFonts w:eastAsia="Calibri" w:cs="Times New Roman"/>
          <w:b/>
          <w:noProof/>
          <w:szCs w:val="24"/>
          <w:lang w:val="en-GB"/>
        </w:rPr>
        <w:t xml:space="preserve">improve </w:t>
      </w:r>
      <w:r w:rsidR="00E52394">
        <w:rPr>
          <w:rFonts w:eastAsia="Calibri" w:cs="Times New Roman"/>
          <w:b/>
          <w:noProof/>
          <w:szCs w:val="24"/>
          <w:lang w:val="en-GB"/>
        </w:rPr>
        <w:t>how it works</w:t>
      </w:r>
      <w:r w:rsidRPr="00724676">
        <w:rPr>
          <w:rFonts w:eastAsiaTheme="minorEastAsia" w:cs="Times New Roman"/>
          <w:noProof/>
          <w:szCs w:val="24"/>
          <w:lang w:val="en-GB"/>
        </w:rPr>
        <w:t xml:space="preserve"> (</w:t>
      </w:r>
      <w:r w:rsidR="00E52394">
        <w:rPr>
          <w:rFonts w:eastAsiaTheme="minorEastAsia" w:cs="Times New Roman"/>
          <w:noProof/>
          <w:szCs w:val="24"/>
          <w:lang w:val="en-GB"/>
        </w:rPr>
        <w:t xml:space="preserve">as regards the </w:t>
      </w:r>
      <w:r w:rsidRPr="00724676">
        <w:rPr>
          <w:rFonts w:eastAsiaTheme="minorEastAsia" w:cs="Times New Roman"/>
          <w:noProof/>
          <w:szCs w:val="24"/>
          <w:lang w:val="en-GB"/>
        </w:rPr>
        <w:t xml:space="preserve">correct number of hectares for the </w:t>
      </w:r>
      <w:r w:rsidR="006C768B" w:rsidRPr="00724676">
        <w:rPr>
          <w:rFonts w:eastAsiaTheme="minorEastAsia" w:cs="Times New Roman"/>
          <w:noProof/>
          <w:szCs w:val="24"/>
          <w:lang w:val="en-GB"/>
        </w:rPr>
        <w:t>CAP</w:t>
      </w:r>
      <w:r w:rsidR="007B095A" w:rsidRPr="00724676">
        <w:rPr>
          <w:rFonts w:eastAsiaTheme="minorEastAsia" w:cs="Times New Roman"/>
          <w:noProof/>
          <w:szCs w:val="24"/>
          <w:lang w:val="en-GB"/>
        </w:rPr>
        <w:t xml:space="preserve">´s </w:t>
      </w:r>
      <w:r w:rsidRPr="00724676">
        <w:rPr>
          <w:rFonts w:eastAsiaTheme="minorEastAsia" w:cs="Times New Roman"/>
          <w:noProof/>
          <w:szCs w:val="24"/>
          <w:lang w:val="en-GB"/>
        </w:rPr>
        <w:t>output and result indicators). In this framework, the AMS and GSA quality</w:t>
      </w:r>
      <w:r w:rsidR="00C1409D">
        <w:rPr>
          <w:rFonts w:eastAsiaTheme="minorEastAsia" w:cs="Times New Roman"/>
          <w:noProof/>
          <w:szCs w:val="24"/>
          <w:lang w:val="en-GB"/>
        </w:rPr>
        <w:t xml:space="preserve"> </w:t>
      </w:r>
      <w:r w:rsidRPr="00724676">
        <w:rPr>
          <w:rFonts w:eastAsiaTheme="minorEastAsia" w:cs="Times New Roman"/>
          <w:noProof/>
          <w:szCs w:val="24"/>
          <w:lang w:val="en-GB"/>
        </w:rPr>
        <w:t xml:space="preserve">assessments together provide diagnostic information on the </w:t>
      </w:r>
      <w:r w:rsidRPr="00724676">
        <w:rPr>
          <w:rFonts w:eastAsiaTheme="minorEastAsia" w:cs="Times New Roman"/>
          <w:b/>
          <w:bCs/>
          <w:noProof/>
          <w:szCs w:val="24"/>
          <w:lang w:val="en-GB"/>
        </w:rPr>
        <w:t>sources of incorrect decisions</w:t>
      </w:r>
      <w:r w:rsidRPr="00724676">
        <w:rPr>
          <w:rFonts w:eastAsiaTheme="minorEastAsia" w:cs="Times New Roman"/>
          <w:noProof/>
          <w:szCs w:val="24"/>
          <w:lang w:val="en-GB"/>
        </w:rPr>
        <w:t xml:space="preserve"> at the level of interventions and eligibility conditions.</w:t>
      </w:r>
      <w:r w:rsidR="00380DD3" w:rsidRPr="00724676">
        <w:rPr>
          <w:rFonts w:eastAsiaTheme="minorEastAsia" w:cs="Times New Roman"/>
          <w:noProof/>
          <w:szCs w:val="24"/>
          <w:lang w:val="en-GB"/>
        </w:rPr>
        <w:t xml:space="preserve"> </w:t>
      </w:r>
    </w:p>
    <w:p w14:paraId="1E9F6EFF" w14:textId="666406A1" w:rsidR="006513B4" w:rsidRPr="00724676" w:rsidRDefault="006513B4" w:rsidP="006D5C9F">
      <w:pPr>
        <w:spacing w:after="120"/>
        <w:jc w:val="both"/>
        <w:rPr>
          <w:rFonts w:eastAsiaTheme="minorEastAsia" w:cs="Times New Roman"/>
          <w:noProof/>
          <w:lang w:val="en-GB"/>
        </w:rPr>
      </w:pPr>
      <w:r w:rsidRPr="7994D79A">
        <w:rPr>
          <w:rFonts w:eastAsia="Calibri" w:cs="Times New Roman"/>
          <w:noProof/>
          <w:lang w:val="en-GB"/>
        </w:rPr>
        <w:t xml:space="preserve">The AMS </w:t>
      </w:r>
      <w:r w:rsidR="00E52394" w:rsidRPr="7994D79A">
        <w:rPr>
          <w:rFonts w:eastAsia="Calibri" w:cs="Times New Roman"/>
          <w:noProof/>
          <w:lang w:val="en-GB"/>
        </w:rPr>
        <w:t>helps reduce</w:t>
      </w:r>
      <w:r w:rsidRPr="7994D79A">
        <w:rPr>
          <w:rFonts w:eastAsia="Calibri" w:cs="Times New Roman"/>
          <w:noProof/>
          <w:lang w:val="en-GB"/>
        </w:rPr>
        <w:t xml:space="preserve"> the administrative burden for Member States’ paying agencies and beneficiaries thanks to the </w:t>
      </w:r>
      <w:r w:rsidRPr="7994D79A">
        <w:rPr>
          <w:rFonts w:eastAsia="Calibri" w:cs="Times New Roman"/>
          <w:b/>
          <w:noProof/>
          <w:lang w:val="en-GB"/>
        </w:rPr>
        <w:t>automated process</w:t>
      </w:r>
      <w:r w:rsidR="00E52394" w:rsidRPr="7994D79A">
        <w:rPr>
          <w:rFonts w:eastAsia="Calibri" w:cs="Times New Roman"/>
          <w:b/>
          <w:noProof/>
          <w:lang w:val="en-GB"/>
        </w:rPr>
        <w:t xml:space="preserve">. </w:t>
      </w:r>
      <w:r w:rsidR="00E52394" w:rsidRPr="7994D79A">
        <w:rPr>
          <w:rFonts w:eastAsia="Calibri" w:cs="Times New Roman"/>
          <w:noProof/>
          <w:lang w:val="en-GB"/>
        </w:rPr>
        <w:t>These</w:t>
      </w:r>
      <w:r w:rsidRPr="7994D79A">
        <w:rPr>
          <w:rFonts w:eastAsia="Calibri" w:cs="Times New Roman"/>
          <w:noProof/>
          <w:lang w:val="en-GB"/>
        </w:rPr>
        <w:t xml:space="preserve"> ensur</w:t>
      </w:r>
      <w:r w:rsidR="00E52394" w:rsidRPr="7994D79A">
        <w:rPr>
          <w:rFonts w:eastAsia="Calibri" w:cs="Times New Roman"/>
          <w:noProof/>
          <w:lang w:val="en-GB"/>
        </w:rPr>
        <w:t>e that applications are correct</w:t>
      </w:r>
      <w:r w:rsidRPr="7994D79A">
        <w:rPr>
          <w:rFonts w:eastAsia="Calibri" w:cs="Times New Roman"/>
          <w:noProof/>
          <w:lang w:val="en-GB"/>
        </w:rPr>
        <w:t>, as beneficiaries can modify their applications after an early warning alert</w:t>
      </w:r>
      <w:r w:rsidR="00F12EB3" w:rsidRPr="7994D79A">
        <w:rPr>
          <w:rFonts w:eastAsia="Calibri" w:cs="Times New Roman"/>
          <w:noProof/>
          <w:lang w:val="en-GB"/>
        </w:rPr>
        <w:t xml:space="preserve"> and </w:t>
      </w:r>
      <w:r w:rsidR="006147CA" w:rsidRPr="7994D79A">
        <w:rPr>
          <w:rFonts w:eastAsia="Calibri" w:cs="Times New Roman"/>
          <w:noProof/>
          <w:lang w:val="en-GB"/>
        </w:rPr>
        <w:t xml:space="preserve">encourage </w:t>
      </w:r>
      <w:r w:rsidR="00F12EB3" w:rsidRPr="7994D79A">
        <w:rPr>
          <w:rFonts w:eastAsia="Calibri" w:cs="Times New Roman"/>
          <w:noProof/>
          <w:lang w:val="en-GB"/>
        </w:rPr>
        <w:t xml:space="preserve">farmers to comply </w:t>
      </w:r>
      <w:r w:rsidR="00484448" w:rsidRPr="7994D79A">
        <w:rPr>
          <w:rFonts w:eastAsia="Calibri" w:cs="Times New Roman"/>
          <w:noProof/>
          <w:lang w:val="en-GB"/>
        </w:rPr>
        <w:t>with the</w:t>
      </w:r>
      <w:r w:rsidR="00E52394" w:rsidRPr="7994D79A">
        <w:rPr>
          <w:rFonts w:eastAsia="Calibri" w:cs="Times New Roman"/>
          <w:noProof/>
          <w:lang w:val="en-GB"/>
        </w:rPr>
        <w:t xml:space="preserve"> </w:t>
      </w:r>
      <w:r w:rsidR="00484448" w:rsidRPr="7994D79A">
        <w:rPr>
          <w:rFonts w:eastAsia="Calibri" w:cs="Times New Roman"/>
          <w:noProof/>
          <w:lang w:val="en-GB"/>
        </w:rPr>
        <w:t xml:space="preserve">requirements </w:t>
      </w:r>
      <w:r w:rsidR="00F12EB3" w:rsidRPr="7994D79A">
        <w:rPr>
          <w:rFonts w:eastAsia="Calibri" w:cs="Times New Roman"/>
          <w:noProof/>
          <w:lang w:val="en-GB"/>
        </w:rPr>
        <w:t xml:space="preserve">via </w:t>
      </w:r>
      <w:r w:rsidR="00F12EB3" w:rsidRPr="7994D79A">
        <w:rPr>
          <w:rFonts w:eastAsia="Calibri" w:cs="Times New Roman"/>
          <w:b/>
          <w:noProof/>
          <w:lang w:val="en-GB"/>
        </w:rPr>
        <w:t>a system of pre-warning</w:t>
      </w:r>
      <w:r w:rsidR="00E52394" w:rsidRPr="7994D79A">
        <w:rPr>
          <w:rFonts w:eastAsia="Calibri" w:cs="Times New Roman"/>
          <w:b/>
          <w:noProof/>
          <w:lang w:val="en-GB"/>
        </w:rPr>
        <w:t>s</w:t>
      </w:r>
      <w:r w:rsidR="00F12EB3" w:rsidRPr="7994D79A">
        <w:rPr>
          <w:rFonts w:eastAsia="Calibri" w:cs="Times New Roman"/>
          <w:noProof/>
          <w:lang w:val="en-GB"/>
        </w:rPr>
        <w:t xml:space="preserve"> to be implemented by the M</w:t>
      </w:r>
      <w:r w:rsidR="001031DF" w:rsidRPr="7994D79A">
        <w:rPr>
          <w:rFonts w:eastAsia="Calibri" w:cs="Times New Roman"/>
          <w:noProof/>
          <w:lang w:val="en-GB"/>
        </w:rPr>
        <w:t xml:space="preserve">ember </w:t>
      </w:r>
      <w:r w:rsidR="00F12EB3" w:rsidRPr="7994D79A">
        <w:rPr>
          <w:rFonts w:eastAsia="Calibri" w:cs="Times New Roman"/>
          <w:noProof/>
          <w:lang w:val="en-GB"/>
        </w:rPr>
        <w:t>S</w:t>
      </w:r>
      <w:r w:rsidR="001031DF" w:rsidRPr="7994D79A">
        <w:rPr>
          <w:rFonts w:eastAsia="Calibri" w:cs="Times New Roman"/>
          <w:noProof/>
          <w:lang w:val="en-GB"/>
        </w:rPr>
        <w:t>tates</w:t>
      </w:r>
      <w:r w:rsidRPr="7994D79A">
        <w:rPr>
          <w:rFonts w:eastAsia="Calibri" w:cs="Times New Roman"/>
          <w:noProof/>
          <w:lang w:val="en-GB"/>
        </w:rPr>
        <w:t>.</w:t>
      </w:r>
    </w:p>
    <w:p w14:paraId="6E619AB2" w14:textId="17270AF5" w:rsidR="00A119A5" w:rsidRPr="00724676" w:rsidRDefault="00310528" w:rsidP="006D5C9F">
      <w:pPr>
        <w:spacing w:after="120"/>
        <w:jc w:val="both"/>
        <w:rPr>
          <w:rFonts w:eastAsia="Calibri" w:cs="Times New Roman"/>
          <w:noProof/>
          <w:szCs w:val="24"/>
          <w:lang w:val="en-GB"/>
        </w:rPr>
      </w:pPr>
      <w:r w:rsidRPr="00724676" w:rsidDel="006422A5">
        <w:rPr>
          <w:rFonts w:eastAsia="Calibri" w:cs="Times New Roman"/>
          <w:noProof/>
          <w:szCs w:val="24"/>
          <w:lang w:val="en-GB"/>
        </w:rPr>
        <w:t xml:space="preserve">In response to </w:t>
      </w:r>
      <w:r w:rsidRPr="00724676">
        <w:rPr>
          <w:rFonts w:eastAsia="Calibri" w:cs="Times New Roman"/>
          <w:noProof/>
          <w:szCs w:val="24"/>
          <w:lang w:val="en-GB"/>
        </w:rPr>
        <w:t>Member State</w:t>
      </w:r>
      <w:r w:rsidR="00BF44B4" w:rsidRPr="00724676">
        <w:rPr>
          <w:rFonts w:eastAsia="Calibri" w:cs="Times New Roman"/>
          <w:noProof/>
          <w:szCs w:val="24"/>
          <w:lang w:val="en-GB"/>
        </w:rPr>
        <w:t>s</w:t>
      </w:r>
      <w:r w:rsidRPr="00724676" w:rsidDel="006422A5">
        <w:rPr>
          <w:rFonts w:eastAsia="Calibri" w:cs="Times New Roman"/>
          <w:noProof/>
          <w:szCs w:val="24"/>
          <w:lang w:val="en-GB"/>
        </w:rPr>
        <w:t xml:space="preserve">’ concerns </w:t>
      </w:r>
      <w:r w:rsidR="00E52394">
        <w:rPr>
          <w:rFonts w:eastAsia="Calibri" w:cs="Times New Roman"/>
          <w:noProof/>
          <w:szCs w:val="24"/>
          <w:lang w:val="en-GB"/>
        </w:rPr>
        <w:t>about</w:t>
      </w:r>
      <w:r w:rsidR="00E52394" w:rsidRPr="00724676" w:rsidDel="006422A5">
        <w:rPr>
          <w:rFonts w:eastAsia="Calibri" w:cs="Times New Roman"/>
          <w:noProof/>
          <w:szCs w:val="24"/>
          <w:lang w:val="en-GB"/>
        </w:rPr>
        <w:t xml:space="preserve"> </w:t>
      </w:r>
      <w:r w:rsidRPr="00724676" w:rsidDel="006422A5">
        <w:rPr>
          <w:rFonts w:eastAsia="Calibri" w:cs="Times New Roman"/>
          <w:noProof/>
          <w:szCs w:val="24"/>
          <w:lang w:val="en-GB"/>
        </w:rPr>
        <w:t xml:space="preserve">the burden of the quality assessment </w:t>
      </w:r>
      <w:r w:rsidR="00803E14" w:rsidRPr="00724676">
        <w:rPr>
          <w:rFonts w:eastAsia="Calibri" w:cs="Times New Roman"/>
          <w:noProof/>
          <w:szCs w:val="24"/>
          <w:lang w:val="en-GB"/>
        </w:rPr>
        <w:t xml:space="preserve">verifications </w:t>
      </w:r>
      <w:r w:rsidR="00BF44B4" w:rsidRPr="00724676">
        <w:rPr>
          <w:rFonts w:eastAsia="Calibri" w:cs="Times New Roman"/>
          <w:noProof/>
          <w:szCs w:val="24"/>
          <w:lang w:val="en-GB"/>
        </w:rPr>
        <w:t xml:space="preserve">linked to the </w:t>
      </w:r>
      <w:r w:rsidR="47E9458E" w:rsidRPr="00724676">
        <w:rPr>
          <w:rFonts w:eastAsia="Calibri" w:cs="Times New Roman"/>
          <w:noProof/>
          <w:szCs w:val="24"/>
          <w:lang w:val="en-GB"/>
        </w:rPr>
        <w:t>AMS</w:t>
      </w:r>
      <w:r w:rsidR="00803E14" w:rsidRPr="00724676">
        <w:rPr>
          <w:rFonts w:eastAsia="Calibri" w:cs="Times New Roman"/>
          <w:noProof/>
          <w:szCs w:val="24"/>
          <w:lang w:val="en-GB"/>
        </w:rPr>
        <w:t xml:space="preserve"> and </w:t>
      </w:r>
      <w:r w:rsidR="00046F2D" w:rsidRPr="00724676">
        <w:rPr>
          <w:rFonts w:eastAsia="Calibri" w:cs="Times New Roman"/>
          <w:noProof/>
          <w:szCs w:val="24"/>
          <w:lang w:val="en-GB"/>
        </w:rPr>
        <w:t xml:space="preserve">the </w:t>
      </w:r>
      <w:r w:rsidR="00803E14" w:rsidRPr="00724676">
        <w:rPr>
          <w:rFonts w:eastAsia="Calibri" w:cs="Times New Roman"/>
          <w:noProof/>
          <w:szCs w:val="24"/>
          <w:lang w:val="en-GB"/>
        </w:rPr>
        <w:t>GSA</w:t>
      </w:r>
      <w:r w:rsidRPr="00724676" w:rsidDel="006422A5">
        <w:rPr>
          <w:rFonts w:eastAsia="Calibri" w:cs="Times New Roman"/>
          <w:noProof/>
          <w:szCs w:val="24"/>
          <w:lang w:val="en-GB"/>
        </w:rPr>
        <w:t xml:space="preserve">, the Commission </w:t>
      </w:r>
      <w:r w:rsidRPr="00724676" w:rsidDel="006422A5">
        <w:rPr>
          <w:rFonts w:eastAsia="Calibri" w:cs="Times New Roman"/>
          <w:b/>
          <w:noProof/>
          <w:szCs w:val="24"/>
          <w:lang w:val="en-GB"/>
        </w:rPr>
        <w:t xml:space="preserve">revised the </w:t>
      </w:r>
      <w:r w:rsidR="00AF7B1A">
        <w:rPr>
          <w:rFonts w:eastAsia="Calibri" w:cs="Times New Roman"/>
          <w:b/>
          <w:noProof/>
          <w:szCs w:val="24"/>
          <w:lang w:val="en-GB"/>
        </w:rPr>
        <w:t>EU</w:t>
      </w:r>
      <w:r w:rsidR="00803E14" w:rsidRPr="00724676">
        <w:rPr>
          <w:rFonts w:eastAsia="Calibri" w:cs="Times New Roman"/>
          <w:b/>
          <w:noProof/>
          <w:szCs w:val="24"/>
          <w:lang w:val="en-GB"/>
        </w:rPr>
        <w:t>-</w:t>
      </w:r>
      <w:r w:rsidRPr="00724676" w:rsidDel="006422A5">
        <w:rPr>
          <w:rFonts w:eastAsia="Calibri" w:cs="Times New Roman"/>
          <w:b/>
          <w:noProof/>
          <w:szCs w:val="24"/>
          <w:lang w:val="en-GB"/>
        </w:rPr>
        <w:t>level methodology</w:t>
      </w:r>
      <w:r w:rsidRPr="00724676" w:rsidDel="006422A5">
        <w:rPr>
          <w:rFonts w:eastAsia="Calibri" w:cs="Times New Roman"/>
          <w:noProof/>
          <w:szCs w:val="24"/>
          <w:lang w:val="en-GB"/>
        </w:rPr>
        <w:t xml:space="preserve"> for </w:t>
      </w:r>
      <w:r w:rsidR="00E52394">
        <w:rPr>
          <w:rFonts w:eastAsia="Calibri" w:cs="Times New Roman"/>
          <w:noProof/>
          <w:szCs w:val="24"/>
          <w:lang w:val="en-GB"/>
        </w:rPr>
        <w:t xml:space="preserve">the </w:t>
      </w:r>
      <w:r w:rsidRPr="00724676" w:rsidDel="006422A5">
        <w:rPr>
          <w:rFonts w:eastAsia="Calibri" w:cs="Times New Roman"/>
          <w:noProof/>
          <w:szCs w:val="24"/>
          <w:lang w:val="en-GB"/>
        </w:rPr>
        <w:t>IACS quality assessment</w:t>
      </w:r>
      <w:r w:rsidR="00A119A5" w:rsidRPr="00724676">
        <w:rPr>
          <w:rFonts w:eastAsia="Calibri" w:cs="Times New Roman"/>
          <w:noProof/>
          <w:szCs w:val="24"/>
          <w:lang w:val="en-GB"/>
        </w:rPr>
        <w:t xml:space="preserve"> (</w:t>
      </w:r>
      <w:r w:rsidR="0071116B" w:rsidRPr="00724676">
        <w:rPr>
          <w:rFonts w:eastAsia="Calibri" w:cs="Times New Roman"/>
          <w:noProof/>
          <w:szCs w:val="24"/>
          <w:lang w:val="en-GB"/>
        </w:rPr>
        <w:t xml:space="preserve">published </w:t>
      </w:r>
      <w:r w:rsidR="00A33ACB" w:rsidRPr="00724676" w:rsidDel="006422A5">
        <w:rPr>
          <w:rFonts w:eastAsia="Calibri" w:cs="Times New Roman"/>
          <w:noProof/>
          <w:szCs w:val="24"/>
          <w:lang w:val="en-GB"/>
        </w:rPr>
        <w:t>on 21 March 2024</w:t>
      </w:r>
      <w:r w:rsidR="00A119A5" w:rsidRPr="00724676">
        <w:rPr>
          <w:rFonts w:eastAsia="Calibri" w:cs="Times New Roman"/>
          <w:noProof/>
          <w:szCs w:val="24"/>
          <w:lang w:val="en-GB"/>
        </w:rPr>
        <w:t>)</w:t>
      </w:r>
      <w:r w:rsidR="00A33ACB" w:rsidRPr="00724676" w:rsidDel="006422A5">
        <w:rPr>
          <w:rFonts w:eastAsia="Calibri" w:cs="Times New Roman"/>
          <w:noProof/>
          <w:szCs w:val="24"/>
          <w:lang w:val="en-GB"/>
        </w:rPr>
        <w:t xml:space="preserve">. </w:t>
      </w:r>
    </w:p>
    <w:p w14:paraId="3EE4E732" w14:textId="3A216CCE" w:rsidR="009C2940" w:rsidRPr="00724676" w:rsidRDefault="00A119A5" w:rsidP="006D5C9F">
      <w:pPr>
        <w:spacing w:after="120"/>
        <w:jc w:val="both"/>
        <w:rPr>
          <w:rFonts w:eastAsia="Calibri" w:cs="Times New Roman"/>
          <w:noProof/>
          <w:szCs w:val="24"/>
          <w:lang w:val="en-GB"/>
        </w:rPr>
      </w:pPr>
      <w:r w:rsidRPr="00724676">
        <w:rPr>
          <w:rFonts w:eastAsia="Calibri" w:cs="Times New Roman"/>
          <w:noProof/>
          <w:szCs w:val="24"/>
          <w:lang w:val="en-GB"/>
        </w:rPr>
        <w:t xml:space="preserve">The revised methodology </w:t>
      </w:r>
      <w:r w:rsidR="005318DE" w:rsidRPr="00724676">
        <w:rPr>
          <w:rFonts w:eastAsia="Calibri" w:cs="Times New Roman"/>
          <w:noProof/>
          <w:szCs w:val="24"/>
          <w:lang w:val="en-GB"/>
        </w:rPr>
        <w:t>aims</w:t>
      </w:r>
      <w:r w:rsidR="00A33ACB" w:rsidRPr="00724676" w:rsidDel="006422A5">
        <w:rPr>
          <w:rFonts w:eastAsia="Calibri" w:cs="Times New Roman"/>
          <w:noProof/>
          <w:szCs w:val="24"/>
          <w:lang w:val="en-GB"/>
        </w:rPr>
        <w:t xml:space="preserve"> to reduce </w:t>
      </w:r>
      <w:r w:rsidR="001D2DB4" w:rsidRPr="00724676">
        <w:rPr>
          <w:rFonts w:eastAsia="Calibri" w:cs="Times New Roman"/>
          <w:noProof/>
          <w:szCs w:val="24"/>
          <w:lang w:val="en-GB"/>
        </w:rPr>
        <w:t xml:space="preserve">Member States’ </w:t>
      </w:r>
      <w:r w:rsidR="00D51FEB" w:rsidRPr="00724676">
        <w:rPr>
          <w:rFonts w:eastAsia="Calibri" w:cs="Times New Roman"/>
          <w:noProof/>
          <w:szCs w:val="24"/>
          <w:lang w:val="en-GB"/>
        </w:rPr>
        <w:t xml:space="preserve">workload </w:t>
      </w:r>
      <w:r w:rsidR="00EE3F7F" w:rsidRPr="00724676">
        <w:rPr>
          <w:rFonts w:eastAsia="Calibri" w:cs="Times New Roman"/>
          <w:noProof/>
          <w:szCs w:val="24"/>
          <w:lang w:val="en-GB"/>
        </w:rPr>
        <w:t xml:space="preserve">by </w:t>
      </w:r>
      <w:r w:rsidR="00C2599F" w:rsidRPr="00724676">
        <w:rPr>
          <w:rFonts w:eastAsia="Calibri" w:cs="Times New Roman"/>
          <w:noProof/>
          <w:szCs w:val="24"/>
          <w:lang w:val="en-GB"/>
        </w:rPr>
        <w:t>revising the sampling approach</w:t>
      </w:r>
      <w:r w:rsidR="00FE6703" w:rsidRPr="00724676">
        <w:rPr>
          <w:rFonts w:eastAsia="Calibri" w:cs="Times New Roman"/>
          <w:noProof/>
          <w:szCs w:val="24"/>
          <w:lang w:val="en-GB"/>
        </w:rPr>
        <w:t xml:space="preserve">, </w:t>
      </w:r>
      <w:r w:rsidR="00E52394">
        <w:rPr>
          <w:rFonts w:eastAsia="Calibri" w:cs="Times New Roman"/>
          <w:noProof/>
          <w:szCs w:val="24"/>
          <w:lang w:val="en-GB"/>
        </w:rPr>
        <w:t>making it possible to</w:t>
      </w:r>
      <w:r w:rsidR="00FE6703" w:rsidRPr="00724676">
        <w:rPr>
          <w:rFonts w:eastAsia="Calibri" w:cs="Times New Roman"/>
          <w:noProof/>
          <w:szCs w:val="24"/>
          <w:lang w:val="en-GB"/>
        </w:rPr>
        <w:t xml:space="preserve"> group </w:t>
      </w:r>
      <w:r w:rsidR="006074F8" w:rsidRPr="00724676">
        <w:rPr>
          <w:rFonts w:eastAsia="Calibri" w:cs="Times New Roman"/>
          <w:noProof/>
          <w:szCs w:val="24"/>
          <w:lang w:val="en-GB"/>
        </w:rPr>
        <w:t xml:space="preserve">unit amounts among </w:t>
      </w:r>
      <w:r w:rsidR="004C13D6">
        <w:rPr>
          <w:rFonts w:eastAsia="Calibri" w:cs="Times New Roman"/>
          <w:noProof/>
          <w:szCs w:val="24"/>
          <w:lang w:val="en-GB"/>
        </w:rPr>
        <w:t xml:space="preserve">different </w:t>
      </w:r>
      <w:r w:rsidR="006074F8" w:rsidRPr="00724676">
        <w:rPr>
          <w:rFonts w:eastAsia="Calibri" w:cs="Times New Roman"/>
          <w:noProof/>
          <w:szCs w:val="24"/>
          <w:lang w:val="en-GB"/>
        </w:rPr>
        <w:t>interventions</w:t>
      </w:r>
      <w:r w:rsidR="00E52394">
        <w:rPr>
          <w:rFonts w:eastAsia="Calibri" w:cs="Times New Roman"/>
          <w:noProof/>
          <w:szCs w:val="24"/>
          <w:lang w:val="en-GB"/>
        </w:rPr>
        <w:t>,</w:t>
      </w:r>
      <w:r w:rsidR="00B450C1" w:rsidRPr="00724676">
        <w:rPr>
          <w:rFonts w:eastAsia="Calibri" w:cs="Times New Roman"/>
          <w:noProof/>
          <w:szCs w:val="24"/>
          <w:lang w:val="en-GB"/>
        </w:rPr>
        <w:t xml:space="preserve"> and </w:t>
      </w:r>
      <w:r w:rsidR="00E52394">
        <w:rPr>
          <w:rFonts w:eastAsia="Calibri" w:cs="Times New Roman"/>
          <w:noProof/>
          <w:szCs w:val="24"/>
          <w:lang w:val="en-GB"/>
        </w:rPr>
        <w:t xml:space="preserve">by </w:t>
      </w:r>
      <w:r w:rsidR="00B450C1" w:rsidRPr="00724676">
        <w:rPr>
          <w:rFonts w:eastAsia="Calibri" w:cs="Times New Roman"/>
          <w:noProof/>
          <w:szCs w:val="24"/>
          <w:lang w:val="en-GB"/>
        </w:rPr>
        <w:t>introducing the possibility to cap at 3% the total number of holdings in the Member State to be included in the quality assessment sample.</w:t>
      </w:r>
      <w:r w:rsidR="00A33ACB" w:rsidRPr="00724676" w:rsidDel="006422A5">
        <w:rPr>
          <w:rFonts w:eastAsia="Calibri" w:cs="Times New Roman"/>
          <w:noProof/>
          <w:szCs w:val="24"/>
          <w:lang w:val="en-GB"/>
        </w:rPr>
        <w:t xml:space="preserve"> The sampling procedure was also </w:t>
      </w:r>
      <w:r w:rsidR="00B31B1A" w:rsidRPr="00724676">
        <w:rPr>
          <w:rFonts w:eastAsia="Calibri" w:cs="Times New Roman"/>
          <w:noProof/>
          <w:szCs w:val="24"/>
          <w:lang w:val="en-GB"/>
        </w:rPr>
        <w:t>considerably</w:t>
      </w:r>
      <w:r w:rsidR="00A33ACB" w:rsidRPr="00724676" w:rsidDel="006422A5">
        <w:rPr>
          <w:rFonts w:eastAsia="Calibri" w:cs="Times New Roman"/>
          <w:noProof/>
          <w:szCs w:val="24"/>
          <w:lang w:val="en-GB"/>
        </w:rPr>
        <w:t xml:space="preserve"> </w:t>
      </w:r>
      <w:r w:rsidR="004C13D6">
        <w:rPr>
          <w:rFonts w:eastAsia="Calibri" w:cs="Times New Roman"/>
          <w:noProof/>
          <w:szCs w:val="24"/>
          <w:lang w:val="en-GB"/>
        </w:rPr>
        <w:t>improved</w:t>
      </w:r>
      <w:r w:rsidR="004C13D6" w:rsidRPr="00724676" w:rsidDel="006422A5">
        <w:rPr>
          <w:rFonts w:eastAsia="Calibri" w:cs="Times New Roman"/>
          <w:noProof/>
          <w:szCs w:val="24"/>
          <w:lang w:val="en-GB"/>
        </w:rPr>
        <w:t xml:space="preserve"> </w:t>
      </w:r>
      <w:r w:rsidR="00A33ACB" w:rsidRPr="00724676" w:rsidDel="006422A5">
        <w:rPr>
          <w:rFonts w:eastAsia="Calibri" w:cs="Times New Roman"/>
          <w:noProof/>
          <w:szCs w:val="24"/>
          <w:lang w:val="en-GB"/>
        </w:rPr>
        <w:t>to allow Member States to check multipl</w:t>
      </w:r>
      <w:r w:rsidR="00EE3F7F" w:rsidRPr="00724676">
        <w:rPr>
          <w:rFonts w:eastAsia="Calibri" w:cs="Times New Roman"/>
          <w:noProof/>
          <w:szCs w:val="24"/>
          <w:lang w:val="en-GB"/>
        </w:rPr>
        <w:t>e</w:t>
      </w:r>
      <w:r w:rsidR="00A33ACB" w:rsidRPr="00724676" w:rsidDel="006422A5">
        <w:rPr>
          <w:rFonts w:eastAsia="Calibri" w:cs="Times New Roman"/>
          <w:noProof/>
          <w:szCs w:val="24"/>
          <w:lang w:val="en-GB"/>
        </w:rPr>
        <w:t xml:space="preserve"> parcels on the same holding, </w:t>
      </w:r>
      <w:r w:rsidR="004C13D6">
        <w:rPr>
          <w:rFonts w:eastAsia="Calibri" w:cs="Times New Roman"/>
          <w:noProof/>
          <w:szCs w:val="24"/>
          <w:lang w:val="en-GB"/>
        </w:rPr>
        <w:t>so that</w:t>
      </w:r>
      <w:r w:rsidR="00A33ACB" w:rsidRPr="00724676" w:rsidDel="006422A5">
        <w:rPr>
          <w:rFonts w:eastAsia="Calibri" w:cs="Times New Roman"/>
          <w:noProof/>
          <w:szCs w:val="24"/>
          <w:lang w:val="en-GB"/>
        </w:rPr>
        <w:t xml:space="preserve"> multiple checks </w:t>
      </w:r>
      <w:r w:rsidR="004C13D6">
        <w:rPr>
          <w:rFonts w:eastAsia="Calibri" w:cs="Times New Roman"/>
          <w:noProof/>
          <w:szCs w:val="24"/>
          <w:lang w:val="en-GB"/>
        </w:rPr>
        <w:t xml:space="preserve">can be carried out </w:t>
      </w:r>
      <w:r w:rsidR="00A33ACB" w:rsidRPr="00724676" w:rsidDel="006422A5">
        <w:rPr>
          <w:rFonts w:eastAsia="Calibri" w:cs="Times New Roman"/>
          <w:noProof/>
          <w:szCs w:val="24"/>
          <w:lang w:val="en-GB"/>
        </w:rPr>
        <w:t xml:space="preserve">during the same field visit. This sampling procedure is similar to the one </w:t>
      </w:r>
      <w:r w:rsidR="00A33ACB" w:rsidRPr="002874FC" w:rsidDel="006422A5">
        <w:rPr>
          <w:rFonts w:eastAsia="Calibri" w:cs="Times New Roman"/>
          <w:noProof/>
          <w:szCs w:val="24"/>
          <w:lang w:val="en-GB"/>
        </w:rPr>
        <w:t>historically</w:t>
      </w:r>
      <w:r w:rsidR="00A33ACB" w:rsidRPr="00724676" w:rsidDel="006422A5">
        <w:rPr>
          <w:rFonts w:eastAsia="Calibri" w:cs="Times New Roman"/>
          <w:noProof/>
          <w:szCs w:val="24"/>
          <w:lang w:val="en-GB"/>
        </w:rPr>
        <w:t xml:space="preserve"> used for the control system, </w:t>
      </w:r>
      <w:r w:rsidR="004C13D6">
        <w:rPr>
          <w:rFonts w:eastAsia="Calibri" w:cs="Times New Roman"/>
          <w:noProof/>
          <w:szCs w:val="24"/>
          <w:lang w:val="en-GB"/>
        </w:rPr>
        <w:t xml:space="preserve">which </w:t>
      </w:r>
      <w:r w:rsidR="00A33ACB" w:rsidRPr="00724676" w:rsidDel="006422A5">
        <w:rPr>
          <w:rFonts w:eastAsia="Calibri" w:cs="Times New Roman"/>
          <w:noProof/>
          <w:szCs w:val="24"/>
          <w:lang w:val="en-GB"/>
        </w:rPr>
        <w:t>increas</w:t>
      </w:r>
      <w:r w:rsidR="004C13D6">
        <w:rPr>
          <w:rFonts w:eastAsia="Calibri" w:cs="Times New Roman"/>
          <w:noProof/>
          <w:szCs w:val="24"/>
          <w:lang w:val="en-GB"/>
        </w:rPr>
        <w:t>es</w:t>
      </w:r>
      <w:r w:rsidR="005318DE" w:rsidRPr="00724676">
        <w:rPr>
          <w:rFonts w:eastAsia="Calibri" w:cs="Times New Roman"/>
          <w:noProof/>
          <w:szCs w:val="24"/>
          <w:lang w:val="en-GB"/>
        </w:rPr>
        <w:t xml:space="preserve"> the </w:t>
      </w:r>
      <w:r w:rsidR="004C13D6">
        <w:rPr>
          <w:rFonts w:eastAsia="Calibri" w:cs="Times New Roman"/>
          <w:noProof/>
          <w:szCs w:val="24"/>
          <w:lang w:val="en-GB"/>
        </w:rPr>
        <w:t>scope</w:t>
      </w:r>
      <w:r w:rsidR="004C13D6" w:rsidRPr="00724676" w:rsidDel="006422A5">
        <w:rPr>
          <w:rFonts w:eastAsia="Calibri" w:cs="Times New Roman"/>
          <w:noProof/>
          <w:szCs w:val="24"/>
          <w:lang w:val="en-GB"/>
        </w:rPr>
        <w:t xml:space="preserve"> </w:t>
      </w:r>
      <w:r w:rsidR="00315519" w:rsidRPr="00724676">
        <w:rPr>
          <w:rFonts w:eastAsia="Calibri" w:cs="Times New Roman"/>
          <w:noProof/>
          <w:szCs w:val="24"/>
          <w:lang w:val="en-GB"/>
        </w:rPr>
        <w:t>to combine</w:t>
      </w:r>
      <w:r w:rsidR="00A33ACB" w:rsidRPr="00724676" w:rsidDel="006422A5">
        <w:rPr>
          <w:rFonts w:eastAsia="Calibri" w:cs="Times New Roman"/>
          <w:noProof/>
          <w:szCs w:val="24"/>
          <w:lang w:val="en-GB"/>
        </w:rPr>
        <w:t xml:space="preserve"> </w:t>
      </w:r>
      <w:r w:rsidR="004C13D6">
        <w:rPr>
          <w:rFonts w:eastAsia="Calibri" w:cs="Times New Roman"/>
          <w:noProof/>
          <w:szCs w:val="24"/>
          <w:lang w:val="en-GB"/>
        </w:rPr>
        <w:t xml:space="preserve">the </w:t>
      </w:r>
      <w:r w:rsidR="00A33ACB" w:rsidRPr="00724676" w:rsidDel="006422A5">
        <w:rPr>
          <w:rFonts w:eastAsia="Calibri" w:cs="Times New Roman"/>
          <w:noProof/>
          <w:szCs w:val="24"/>
          <w:lang w:val="en-GB"/>
        </w:rPr>
        <w:t xml:space="preserve">quality assessment exercise </w:t>
      </w:r>
      <w:r w:rsidR="004C13D6">
        <w:rPr>
          <w:rFonts w:eastAsia="Calibri" w:cs="Times New Roman"/>
          <w:noProof/>
          <w:szCs w:val="24"/>
          <w:lang w:val="en-GB"/>
        </w:rPr>
        <w:t>with</w:t>
      </w:r>
      <w:r w:rsidR="00A33ACB" w:rsidRPr="00724676" w:rsidDel="006422A5">
        <w:rPr>
          <w:rFonts w:eastAsia="Calibri" w:cs="Times New Roman"/>
          <w:noProof/>
          <w:szCs w:val="24"/>
          <w:lang w:val="en-GB"/>
        </w:rPr>
        <w:t xml:space="preserve"> control</w:t>
      </w:r>
      <w:r w:rsidR="00315519" w:rsidRPr="00724676">
        <w:rPr>
          <w:rFonts w:eastAsia="Calibri" w:cs="Times New Roman"/>
          <w:noProof/>
          <w:szCs w:val="24"/>
          <w:lang w:val="en-GB"/>
        </w:rPr>
        <w:t>s</w:t>
      </w:r>
      <w:r w:rsidR="00A33ACB" w:rsidRPr="00724676" w:rsidDel="006422A5">
        <w:rPr>
          <w:rFonts w:eastAsia="Calibri" w:cs="Times New Roman"/>
          <w:noProof/>
          <w:szCs w:val="24"/>
          <w:lang w:val="en-GB"/>
        </w:rPr>
        <w:t>.</w:t>
      </w:r>
    </w:p>
    <w:p w14:paraId="3FD92599" w14:textId="6447DA90" w:rsidR="00444B68" w:rsidRPr="00724676" w:rsidRDefault="00444B68" w:rsidP="00F97E30">
      <w:pPr>
        <w:pStyle w:val="NoSpacing"/>
        <w:spacing w:before="120" w:after="120" w:line="259" w:lineRule="auto"/>
        <w:rPr>
          <w:rFonts w:cs="Times New Roman"/>
          <w:b/>
          <w:noProof/>
          <w:szCs w:val="24"/>
          <w:lang w:val="en-GB"/>
        </w:rPr>
      </w:pPr>
      <w:bookmarkStart w:id="83" w:name="_Toc167974745"/>
      <w:bookmarkStart w:id="84" w:name="_Toc168422351"/>
      <w:r w:rsidRPr="00724676">
        <w:rPr>
          <w:rFonts w:cs="Times New Roman"/>
          <w:b/>
          <w:bCs/>
          <w:noProof/>
          <w:szCs w:val="24"/>
          <w:lang w:val="en-GB"/>
        </w:rPr>
        <w:t>Revision of the requirements linked to geotagged photos</w:t>
      </w:r>
      <w:bookmarkEnd w:id="83"/>
      <w:bookmarkEnd w:id="84"/>
    </w:p>
    <w:p w14:paraId="3F1F09BE" w14:textId="2C35CC4A" w:rsidR="00C91453" w:rsidRPr="00724676" w:rsidRDefault="0018719A" w:rsidP="006D5C9F">
      <w:pPr>
        <w:spacing w:after="120"/>
        <w:jc w:val="both"/>
        <w:rPr>
          <w:rFonts w:eastAsiaTheme="minorEastAsia" w:cs="Times New Roman"/>
          <w:noProof/>
          <w:szCs w:val="24"/>
          <w:lang w:val="en-GB"/>
        </w:rPr>
      </w:pPr>
      <w:r w:rsidRPr="00724676">
        <w:rPr>
          <w:rFonts w:eastAsiaTheme="minorEastAsia" w:cs="Times New Roman"/>
          <w:noProof/>
          <w:szCs w:val="24"/>
          <w:lang w:val="en-GB"/>
        </w:rPr>
        <w:t xml:space="preserve">The </w:t>
      </w:r>
      <w:r w:rsidR="005318DE" w:rsidRPr="00724676">
        <w:rPr>
          <w:rFonts w:eastAsiaTheme="minorEastAsia" w:cs="Times New Roman"/>
          <w:noProof/>
          <w:szCs w:val="24"/>
          <w:lang w:val="en-GB"/>
        </w:rPr>
        <w:t xml:space="preserve">use of </w:t>
      </w:r>
      <w:r w:rsidR="00444B68" w:rsidRPr="00724676">
        <w:rPr>
          <w:rFonts w:eastAsiaTheme="minorEastAsia" w:cs="Times New Roman"/>
          <w:b/>
          <w:noProof/>
          <w:szCs w:val="24"/>
          <w:lang w:val="en-GB"/>
        </w:rPr>
        <w:t>geotagged photos</w:t>
      </w:r>
      <w:r w:rsidR="00AF349A" w:rsidRPr="00724676">
        <w:rPr>
          <w:rFonts w:eastAsiaTheme="minorEastAsia" w:cs="Times New Roman"/>
          <w:b/>
          <w:noProof/>
          <w:szCs w:val="24"/>
          <w:lang w:val="en-GB"/>
        </w:rPr>
        <w:t xml:space="preserve"> </w:t>
      </w:r>
      <w:r w:rsidR="00AF349A" w:rsidRPr="00724676">
        <w:rPr>
          <w:rFonts w:eastAsiaTheme="minorEastAsia" w:cs="Times New Roman"/>
          <w:noProof/>
          <w:szCs w:val="24"/>
          <w:lang w:val="en-GB"/>
        </w:rPr>
        <w:t xml:space="preserve">was intended to reduce </w:t>
      </w:r>
      <w:r w:rsidR="004C13D6">
        <w:rPr>
          <w:rFonts w:eastAsiaTheme="minorEastAsia" w:cs="Times New Roman"/>
          <w:noProof/>
          <w:szCs w:val="24"/>
          <w:lang w:val="en-GB"/>
        </w:rPr>
        <w:t xml:space="preserve">the </w:t>
      </w:r>
      <w:r w:rsidR="00AF349A" w:rsidRPr="00724676">
        <w:rPr>
          <w:rFonts w:eastAsiaTheme="minorEastAsia" w:cs="Times New Roman"/>
          <w:noProof/>
          <w:szCs w:val="24"/>
          <w:lang w:val="en-GB"/>
        </w:rPr>
        <w:t xml:space="preserve">control burden </w:t>
      </w:r>
      <w:r w:rsidR="004C13D6">
        <w:rPr>
          <w:rFonts w:eastAsiaTheme="minorEastAsia" w:cs="Times New Roman"/>
          <w:noProof/>
          <w:szCs w:val="24"/>
          <w:lang w:val="en-GB"/>
        </w:rPr>
        <w:t>on</w:t>
      </w:r>
      <w:r w:rsidR="004C13D6" w:rsidRPr="00724676">
        <w:rPr>
          <w:rFonts w:eastAsiaTheme="minorEastAsia" w:cs="Times New Roman"/>
          <w:noProof/>
          <w:szCs w:val="24"/>
          <w:lang w:val="en-GB"/>
        </w:rPr>
        <w:t xml:space="preserve"> </w:t>
      </w:r>
      <w:r w:rsidR="00AF349A" w:rsidRPr="00724676">
        <w:rPr>
          <w:rFonts w:eastAsiaTheme="minorEastAsia" w:cs="Times New Roman"/>
          <w:noProof/>
          <w:szCs w:val="24"/>
          <w:lang w:val="en-GB"/>
        </w:rPr>
        <w:t>farmers</w:t>
      </w:r>
      <w:r w:rsidR="00444B68" w:rsidRPr="00724676">
        <w:rPr>
          <w:rFonts w:eastAsiaTheme="minorEastAsia" w:cs="Times New Roman"/>
          <w:noProof/>
          <w:szCs w:val="24"/>
          <w:lang w:val="en-GB"/>
        </w:rPr>
        <w:t xml:space="preserve">. Instead of relying on on-site visits, </w:t>
      </w:r>
      <w:r w:rsidR="004C13D6">
        <w:rPr>
          <w:rFonts w:eastAsiaTheme="minorEastAsia" w:cs="Times New Roman"/>
          <w:noProof/>
          <w:szCs w:val="24"/>
          <w:lang w:val="en-GB"/>
        </w:rPr>
        <w:t xml:space="preserve">the </w:t>
      </w:r>
      <w:r w:rsidR="00444B68" w:rsidRPr="00724676">
        <w:rPr>
          <w:rFonts w:eastAsiaTheme="minorEastAsia" w:cs="Times New Roman"/>
          <w:noProof/>
          <w:szCs w:val="24"/>
          <w:lang w:val="en-GB"/>
        </w:rPr>
        <w:t>farmer provide</w:t>
      </w:r>
      <w:r w:rsidR="004C13D6">
        <w:rPr>
          <w:rFonts w:eastAsiaTheme="minorEastAsia" w:cs="Times New Roman"/>
          <w:noProof/>
          <w:szCs w:val="24"/>
          <w:lang w:val="en-GB"/>
        </w:rPr>
        <w:t>s</w:t>
      </w:r>
      <w:r w:rsidR="00444B68" w:rsidRPr="00724676">
        <w:rPr>
          <w:rFonts w:eastAsiaTheme="minorEastAsia" w:cs="Times New Roman"/>
          <w:noProof/>
          <w:szCs w:val="24"/>
          <w:lang w:val="en-GB"/>
        </w:rPr>
        <w:t xml:space="preserve"> the authorities </w:t>
      </w:r>
      <w:r w:rsidR="004C13D6">
        <w:rPr>
          <w:rFonts w:eastAsiaTheme="minorEastAsia" w:cs="Times New Roman"/>
          <w:noProof/>
          <w:szCs w:val="24"/>
          <w:lang w:val="en-GB"/>
        </w:rPr>
        <w:t xml:space="preserve">with </w:t>
      </w:r>
      <w:r w:rsidR="00444B68" w:rsidRPr="00724676">
        <w:rPr>
          <w:rFonts w:eastAsiaTheme="minorEastAsia" w:cs="Times New Roman"/>
          <w:noProof/>
          <w:szCs w:val="24"/>
          <w:lang w:val="en-GB"/>
        </w:rPr>
        <w:t xml:space="preserve">a digital photograph </w:t>
      </w:r>
      <w:r w:rsidR="004C13D6">
        <w:rPr>
          <w:rFonts w:eastAsiaTheme="minorEastAsia" w:cs="Times New Roman"/>
          <w:noProof/>
          <w:szCs w:val="24"/>
          <w:lang w:val="en-GB"/>
        </w:rPr>
        <w:t>of</w:t>
      </w:r>
      <w:r w:rsidR="00444B68" w:rsidRPr="00724676">
        <w:rPr>
          <w:rFonts w:eastAsiaTheme="minorEastAsia" w:cs="Times New Roman"/>
          <w:noProof/>
          <w:szCs w:val="24"/>
          <w:lang w:val="en-GB"/>
        </w:rPr>
        <w:t xml:space="preserve"> the geographic position </w:t>
      </w:r>
      <w:r w:rsidR="004C13D6">
        <w:rPr>
          <w:rFonts w:eastAsiaTheme="minorEastAsia" w:cs="Times New Roman"/>
          <w:noProof/>
          <w:szCs w:val="24"/>
          <w:lang w:val="en-GB"/>
        </w:rPr>
        <w:t>that</w:t>
      </w:r>
      <w:r w:rsidR="004C13D6" w:rsidRPr="00724676">
        <w:rPr>
          <w:rFonts w:eastAsiaTheme="minorEastAsia" w:cs="Times New Roman"/>
          <w:noProof/>
          <w:szCs w:val="24"/>
          <w:lang w:val="en-GB"/>
        </w:rPr>
        <w:t xml:space="preserve"> </w:t>
      </w:r>
      <w:r w:rsidR="00444B68" w:rsidRPr="00724676">
        <w:rPr>
          <w:rFonts w:eastAsiaTheme="minorEastAsia" w:cs="Times New Roman"/>
          <w:noProof/>
          <w:szCs w:val="24"/>
          <w:lang w:val="en-GB"/>
        </w:rPr>
        <w:t xml:space="preserve">shows the presence </w:t>
      </w:r>
      <w:r w:rsidR="00ED08BE" w:rsidRPr="00724676">
        <w:rPr>
          <w:rFonts w:eastAsiaTheme="minorEastAsia" w:cs="Times New Roman"/>
          <w:noProof/>
          <w:szCs w:val="24"/>
          <w:lang w:val="en-GB"/>
        </w:rPr>
        <w:t xml:space="preserve">or absence </w:t>
      </w:r>
      <w:r w:rsidR="00444B68" w:rsidRPr="00724676">
        <w:rPr>
          <w:rFonts w:eastAsiaTheme="minorEastAsia" w:cs="Times New Roman"/>
          <w:noProof/>
          <w:szCs w:val="24"/>
          <w:lang w:val="en-GB"/>
        </w:rPr>
        <w:t>of an activity</w:t>
      </w:r>
      <w:r w:rsidR="004C13D6">
        <w:rPr>
          <w:rFonts w:eastAsiaTheme="minorEastAsia" w:cs="Times New Roman"/>
          <w:noProof/>
          <w:szCs w:val="24"/>
          <w:lang w:val="en-GB"/>
        </w:rPr>
        <w:t>,</w:t>
      </w:r>
      <w:r w:rsidR="00444B68" w:rsidRPr="00724676">
        <w:rPr>
          <w:rFonts w:eastAsiaTheme="minorEastAsia" w:cs="Times New Roman"/>
          <w:noProof/>
          <w:szCs w:val="24"/>
          <w:lang w:val="en-GB"/>
        </w:rPr>
        <w:t xml:space="preserve"> or an element that is subject to </w:t>
      </w:r>
      <w:r w:rsidR="00D8364F" w:rsidRPr="00724676">
        <w:rPr>
          <w:rFonts w:eastAsiaTheme="minorEastAsia" w:cs="Times New Roman"/>
          <w:noProof/>
          <w:szCs w:val="24"/>
          <w:lang w:val="en-GB"/>
        </w:rPr>
        <w:t xml:space="preserve">a </w:t>
      </w:r>
      <w:r w:rsidR="00444B68" w:rsidRPr="00724676">
        <w:rPr>
          <w:rFonts w:eastAsiaTheme="minorEastAsia" w:cs="Times New Roman"/>
          <w:noProof/>
          <w:szCs w:val="24"/>
          <w:lang w:val="en-GB"/>
        </w:rPr>
        <w:t xml:space="preserve">legal requirement or </w:t>
      </w:r>
      <w:r w:rsidR="004C13D6">
        <w:rPr>
          <w:rFonts w:eastAsiaTheme="minorEastAsia" w:cs="Times New Roman"/>
          <w:noProof/>
          <w:szCs w:val="24"/>
          <w:lang w:val="en-GB"/>
        </w:rPr>
        <w:t xml:space="preserve">is </w:t>
      </w:r>
      <w:r w:rsidR="00444B68" w:rsidRPr="00724676">
        <w:rPr>
          <w:rFonts w:eastAsiaTheme="minorEastAsia" w:cs="Times New Roman"/>
          <w:noProof/>
          <w:szCs w:val="24"/>
          <w:lang w:val="en-GB"/>
        </w:rPr>
        <w:t xml:space="preserve">part of </w:t>
      </w:r>
      <w:r w:rsidR="004C13D6">
        <w:rPr>
          <w:rFonts w:eastAsiaTheme="minorEastAsia" w:cs="Times New Roman"/>
          <w:noProof/>
          <w:szCs w:val="24"/>
          <w:lang w:val="en-GB"/>
        </w:rPr>
        <w:t xml:space="preserve">the </w:t>
      </w:r>
      <w:r w:rsidR="00444B68" w:rsidRPr="00724676">
        <w:rPr>
          <w:rFonts w:eastAsiaTheme="minorEastAsia" w:cs="Times New Roman"/>
          <w:noProof/>
          <w:szCs w:val="24"/>
          <w:lang w:val="en-GB"/>
        </w:rPr>
        <w:t xml:space="preserve">voluntary commitment made by </w:t>
      </w:r>
      <w:r w:rsidR="004C13D6">
        <w:rPr>
          <w:rFonts w:eastAsiaTheme="minorEastAsia" w:cs="Times New Roman"/>
          <w:noProof/>
          <w:szCs w:val="24"/>
          <w:lang w:val="en-GB"/>
        </w:rPr>
        <w:t xml:space="preserve">the </w:t>
      </w:r>
      <w:r w:rsidR="00444B68" w:rsidRPr="00724676">
        <w:rPr>
          <w:rFonts w:eastAsiaTheme="minorEastAsia" w:cs="Times New Roman"/>
          <w:noProof/>
          <w:szCs w:val="24"/>
          <w:lang w:val="en-GB"/>
        </w:rPr>
        <w:t xml:space="preserve">farmer under the CAP. </w:t>
      </w:r>
    </w:p>
    <w:p w14:paraId="5213C8D0" w14:textId="2AF3622B" w:rsidR="00444B68" w:rsidRPr="00724676" w:rsidRDefault="00444B68" w:rsidP="006D5C9F">
      <w:pPr>
        <w:spacing w:after="120"/>
        <w:jc w:val="both"/>
        <w:rPr>
          <w:rFonts w:eastAsiaTheme="minorEastAsia" w:cs="Times New Roman"/>
          <w:noProof/>
          <w:szCs w:val="24"/>
          <w:lang w:val="en-GB"/>
        </w:rPr>
      </w:pPr>
      <w:r w:rsidRPr="5B7F1876">
        <w:rPr>
          <w:rFonts w:eastAsiaTheme="minorEastAsia" w:cs="Times New Roman"/>
          <w:noProof/>
          <w:lang w:val="en-GB"/>
        </w:rPr>
        <w:t>According to th</w:t>
      </w:r>
      <w:r w:rsidR="009805D2" w:rsidRPr="5B7F1876">
        <w:rPr>
          <w:rFonts w:eastAsiaTheme="minorEastAsia" w:cs="Times New Roman"/>
          <w:noProof/>
          <w:lang w:val="en-GB"/>
        </w:rPr>
        <w:t xml:space="preserve">e </w:t>
      </w:r>
      <w:r w:rsidR="00AF7B1A" w:rsidRPr="5B7F1876">
        <w:rPr>
          <w:rFonts w:eastAsiaTheme="minorEastAsia" w:cs="Times New Roman"/>
          <w:noProof/>
          <w:lang w:val="en-GB"/>
        </w:rPr>
        <w:t xml:space="preserve">EU </w:t>
      </w:r>
      <w:r w:rsidR="009805D2" w:rsidRPr="5B7F1876">
        <w:rPr>
          <w:rFonts w:eastAsiaTheme="minorEastAsia" w:cs="Times New Roman"/>
          <w:noProof/>
          <w:lang w:val="en-GB"/>
        </w:rPr>
        <w:t>rules</w:t>
      </w:r>
      <w:r w:rsidRPr="5B7F1876">
        <w:rPr>
          <w:rStyle w:val="FootnoteReference"/>
          <w:rFonts w:eastAsiaTheme="minorEastAsia" w:cs="Times New Roman"/>
          <w:noProof/>
          <w:lang w:val="en-GB"/>
        </w:rPr>
        <w:footnoteReference w:id="32"/>
      </w:r>
      <w:r w:rsidRPr="5B7F1876">
        <w:rPr>
          <w:rFonts w:eastAsiaTheme="minorEastAsia" w:cs="Times New Roman"/>
          <w:noProof/>
          <w:lang w:val="en-GB"/>
        </w:rPr>
        <w:t xml:space="preserve">, some eligibility conditions </w:t>
      </w:r>
      <w:r w:rsidR="00175D75" w:rsidRPr="5B7F1876">
        <w:rPr>
          <w:rFonts w:eastAsiaTheme="minorEastAsia" w:cs="Times New Roman"/>
          <w:noProof/>
          <w:lang w:val="en-GB"/>
        </w:rPr>
        <w:t xml:space="preserve">such as </w:t>
      </w:r>
      <w:r w:rsidR="00AD066A" w:rsidRPr="5B7F1876">
        <w:rPr>
          <w:rFonts w:eastAsiaTheme="minorEastAsia" w:cs="Times New Roman"/>
          <w:noProof/>
          <w:lang w:val="en-GB"/>
        </w:rPr>
        <w:t>nest protection, flower species diversity</w:t>
      </w:r>
      <w:r w:rsidR="004C13D6" w:rsidRPr="5B7F1876">
        <w:rPr>
          <w:rFonts w:eastAsiaTheme="minorEastAsia" w:cs="Times New Roman"/>
          <w:noProof/>
          <w:lang w:val="en-GB"/>
        </w:rPr>
        <w:t xml:space="preserve"> and</w:t>
      </w:r>
      <w:r w:rsidR="00AD066A" w:rsidRPr="5B7F1876">
        <w:rPr>
          <w:rFonts w:eastAsiaTheme="minorEastAsia" w:cs="Times New Roman"/>
          <w:noProof/>
          <w:lang w:val="en-GB"/>
        </w:rPr>
        <w:t xml:space="preserve"> </w:t>
      </w:r>
      <w:r w:rsidR="007B745C" w:rsidRPr="5B7F1876">
        <w:rPr>
          <w:rFonts w:eastAsiaTheme="minorEastAsia" w:cs="Times New Roman"/>
          <w:noProof/>
          <w:lang w:val="en-GB"/>
        </w:rPr>
        <w:t>animal presence</w:t>
      </w:r>
      <w:r w:rsidR="004C13D6" w:rsidRPr="5B7F1876">
        <w:rPr>
          <w:rFonts w:eastAsiaTheme="minorEastAsia" w:cs="Times New Roman"/>
          <w:noProof/>
          <w:lang w:val="en-GB"/>
        </w:rPr>
        <w:t>,</w:t>
      </w:r>
      <w:r w:rsidR="00175D75" w:rsidRPr="5B7F1876">
        <w:rPr>
          <w:rFonts w:eastAsiaTheme="minorEastAsia" w:cs="Times New Roman"/>
          <w:noProof/>
          <w:lang w:val="en-GB"/>
        </w:rPr>
        <w:t xml:space="preserve"> </w:t>
      </w:r>
      <w:r w:rsidR="004C13D6" w:rsidRPr="5B7F1876">
        <w:rPr>
          <w:rFonts w:eastAsiaTheme="minorEastAsia" w:cs="Times New Roman"/>
          <w:noProof/>
          <w:lang w:val="en-GB"/>
        </w:rPr>
        <w:t xml:space="preserve">which </w:t>
      </w:r>
      <w:r w:rsidRPr="5B7F1876">
        <w:rPr>
          <w:rFonts w:eastAsiaTheme="minorEastAsia" w:cs="Times New Roman"/>
          <w:noProof/>
          <w:lang w:val="en-GB"/>
        </w:rPr>
        <w:t xml:space="preserve">can be monitored </w:t>
      </w:r>
      <w:r w:rsidR="00F07E0E" w:rsidRPr="5B7F1876">
        <w:rPr>
          <w:rFonts w:eastAsiaTheme="minorEastAsia" w:cs="Times New Roman"/>
          <w:noProof/>
          <w:lang w:val="en-GB"/>
        </w:rPr>
        <w:t>by</w:t>
      </w:r>
      <w:r w:rsidRPr="5B7F1876">
        <w:rPr>
          <w:rFonts w:eastAsiaTheme="minorEastAsia" w:cs="Times New Roman"/>
          <w:noProof/>
          <w:lang w:val="en-GB"/>
        </w:rPr>
        <w:t xml:space="preserve"> </w:t>
      </w:r>
      <w:r w:rsidR="004C13D6" w:rsidRPr="5B7F1876">
        <w:rPr>
          <w:rFonts w:eastAsiaTheme="minorEastAsia" w:cs="Times New Roman"/>
          <w:noProof/>
          <w:lang w:val="en-GB"/>
        </w:rPr>
        <w:t xml:space="preserve">the </w:t>
      </w:r>
      <w:r w:rsidRPr="5B7F1876">
        <w:rPr>
          <w:rFonts w:eastAsiaTheme="minorEastAsia" w:cs="Times New Roman"/>
          <w:noProof/>
          <w:lang w:val="en-GB"/>
        </w:rPr>
        <w:t>automatic processing of geotagged photos</w:t>
      </w:r>
      <w:r w:rsidR="004C13D6" w:rsidRPr="5B7F1876">
        <w:rPr>
          <w:rFonts w:eastAsiaTheme="minorEastAsia" w:cs="Times New Roman"/>
          <w:noProof/>
          <w:lang w:val="en-GB"/>
        </w:rPr>
        <w:t>,</w:t>
      </w:r>
      <w:r w:rsidRPr="5B7F1876">
        <w:rPr>
          <w:rFonts w:eastAsiaTheme="minorEastAsia" w:cs="Times New Roman"/>
          <w:noProof/>
          <w:lang w:val="en-GB"/>
        </w:rPr>
        <w:t xml:space="preserve"> </w:t>
      </w:r>
      <w:r w:rsidR="00C965B2" w:rsidRPr="00647ACD">
        <w:rPr>
          <w:rFonts w:eastAsiaTheme="minorEastAsia" w:cs="Times New Roman"/>
          <w:noProof/>
          <w:lang w:val="en-GB"/>
        </w:rPr>
        <w:t>had to be</w:t>
      </w:r>
      <w:r w:rsidR="00C965B2" w:rsidRPr="00062FD2">
        <w:rPr>
          <w:rFonts w:eastAsiaTheme="minorEastAsia" w:cs="Times New Roman"/>
          <w:noProof/>
          <w:lang w:val="en-GB"/>
        </w:rPr>
        <w:t xml:space="preserve"> </w:t>
      </w:r>
      <w:r w:rsidRPr="5B7F1876">
        <w:rPr>
          <w:rFonts w:eastAsiaTheme="minorEastAsia" w:cs="Times New Roman"/>
          <w:noProof/>
          <w:lang w:val="en-GB"/>
        </w:rPr>
        <w:t xml:space="preserve">covered by the </w:t>
      </w:r>
      <w:r w:rsidR="00512474" w:rsidRPr="5B7F1876">
        <w:rPr>
          <w:rFonts w:eastAsiaTheme="minorEastAsia" w:cs="Times New Roman"/>
          <w:noProof/>
          <w:lang w:val="en-GB"/>
        </w:rPr>
        <w:t>AMS</w:t>
      </w:r>
      <w:r w:rsidRPr="5B7F1876">
        <w:rPr>
          <w:rFonts w:eastAsiaTheme="minorEastAsia" w:cs="Times New Roman"/>
          <w:noProof/>
          <w:lang w:val="en-GB"/>
        </w:rPr>
        <w:t xml:space="preserve"> by 2027.</w:t>
      </w:r>
      <w:r w:rsidRPr="5B7F1876" w:rsidDel="001B7D51">
        <w:rPr>
          <w:rStyle w:val="FootnoteReference"/>
          <w:rFonts w:eastAsiaTheme="minorEastAsia" w:cs="Times New Roman"/>
          <w:noProof/>
          <w:lang w:val="en-GB"/>
        </w:rPr>
        <w:t xml:space="preserve"> </w:t>
      </w:r>
      <w:r w:rsidR="00C85A57" w:rsidRPr="5B7F1876">
        <w:rPr>
          <w:rFonts w:eastAsiaTheme="minorEastAsia" w:cs="Times New Roman"/>
          <w:noProof/>
          <w:lang w:val="en-GB"/>
        </w:rPr>
        <w:t xml:space="preserve">During </w:t>
      </w:r>
      <w:r w:rsidR="00A87401" w:rsidRPr="5B7F1876">
        <w:rPr>
          <w:rFonts w:eastAsiaTheme="minorEastAsia" w:cs="Times New Roman"/>
          <w:noProof/>
          <w:lang w:val="en-GB"/>
        </w:rPr>
        <w:t>the ad</w:t>
      </w:r>
      <w:r w:rsidR="00CA6AB7" w:rsidRPr="5B7F1876">
        <w:rPr>
          <w:rFonts w:eastAsiaTheme="minorEastAsia" w:cs="Times New Roman"/>
          <w:noProof/>
          <w:lang w:val="en-GB"/>
        </w:rPr>
        <w:t xml:space="preserve"> </w:t>
      </w:r>
      <w:r w:rsidR="00A87401" w:rsidRPr="5B7F1876">
        <w:rPr>
          <w:rFonts w:eastAsiaTheme="minorEastAsia" w:cs="Times New Roman"/>
          <w:noProof/>
          <w:lang w:val="en-GB"/>
        </w:rPr>
        <w:t xml:space="preserve">hoc consultation, </w:t>
      </w:r>
      <w:r w:rsidRPr="5B7F1876">
        <w:rPr>
          <w:rFonts w:eastAsiaTheme="minorEastAsia" w:cs="Times New Roman"/>
          <w:noProof/>
          <w:lang w:val="en-GB"/>
        </w:rPr>
        <w:t xml:space="preserve">Member States </w:t>
      </w:r>
      <w:r w:rsidR="005C2748" w:rsidRPr="5B7F1876">
        <w:rPr>
          <w:rFonts w:eastAsiaTheme="minorEastAsia" w:cs="Times New Roman"/>
          <w:noProof/>
          <w:lang w:val="en-GB"/>
        </w:rPr>
        <w:t xml:space="preserve">raised several concerns </w:t>
      </w:r>
      <w:r w:rsidRPr="5B7F1876">
        <w:rPr>
          <w:rFonts w:eastAsiaTheme="minorEastAsia" w:cs="Times New Roman"/>
          <w:noProof/>
          <w:lang w:val="en-GB"/>
        </w:rPr>
        <w:t>in this regard</w:t>
      </w:r>
      <w:r w:rsidR="00C85A57" w:rsidRPr="5B7F1876">
        <w:rPr>
          <w:rFonts w:eastAsiaTheme="minorEastAsia" w:cs="Times New Roman"/>
          <w:noProof/>
          <w:lang w:val="en-GB"/>
        </w:rPr>
        <w:t>,</w:t>
      </w:r>
      <w:r w:rsidR="005C2748" w:rsidRPr="5B7F1876">
        <w:rPr>
          <w:rFonts w:eastAsiaTheme="minorEastAsia" w:cs="Times New Roman"/>
          <w:noProof/>
          <w:lang w:val="en-GB"/>
        </w:rPr>
        <w:t xml:space="preserve"> </w:t>
      </w:r>
      <w:r w:rsidR="00C85A57" w:rsidRPr="5B7F1876">
        <w:rPr>
          <w:rFonts w:eastAsiaTheme="minorEastAsia" w:cs="Times New Roman"/>
          <w:noProof/>
          <w:lang w:val="en-GB"/>
        </w:rPr>
        <w:t xml:space="preserve">such as the </w:t>
      </w:r>
      <w:r w:rsidRPr="5B7F1876">
        <w:rPr>
          <w:rFonts w:eastAsiaTheme="minorEastAsia" w:cs="Times New Roman"/>
          <w:noProof/>
          <w:lang w:val="en-GB"/>
        </w:rPr>
        <w:t xml:space="preserve">development, implementation and optimisation of algorithms to process geotagged photos, </w:t>
      </w:r>
      <w:r w:rsidR="00C85A57" w:rsidRPr="5B7F1876">
        <w:rPr>
          <w:rFonts w:eastAsiaTheme="minorEastAsia" w:cs="Times New Roman"/>
          <w:noProof/>
          <w:lang w:val="en-GB"/>
        </w:rPr>
        <w:t xml:space="preserve">the </w:t>
      </w:r>
      <w:r w:rsidR="00FD678A" w:rsidRPr="5B7F1876">
        <w:rPr>
          <w:rFonts w:eastAsiaTheme="minorEastAsia" w:cs="Times New Roman"/>
          <w:noProof/>
          <w:lang w:val="en-GB"/>
        </w:rPr>
        <w:t xml:space="preserve">costs of </w:t>
      </w:r>
      <w:r w:rsidR="00C85A57" w:rsidRPr="5B7F1876">
        <w:rPr>
          <w:rFonts w:eastAsiaTheme="minorEastAsia" w:cs="Times New Roman"/>
          <w:noProof/>
          <w:lang w:val="en-GB"/>
        </w:rPr>
        <w:t>storing them and</w:t>
      </w:r>
      <w:r w:rsidR="00FD678A" w:rsidRPr="5B7F1876">
        <w:rPr>
          <w:rFonts w:eastAsiaTheme="minorEastAsia" w:cs="Times New Roman"/>
          <w:noProof/>
          <w:lang w:val="en-GB"/>
        </w:rPr>
        <w:t xml:space="preserve"> </w:t>
      </w:r>
      <w:r w:rsidR="00C85A57" w:rsidRPr="5B7F1876">
        <w:rPr>
          <w:rFonts w:eastAsiaTheme="minorEastAsia" w:cs="Times New Roman"/>
          <w:noProof/>
          <w:lang w:val="en-GB"/>
        </w:rPr>
        <w:t xml:space="preserve">the </w:t>
      </w:r>
      <w:r w:rsidRPr="5B7F1876">
        <w:rPr>
          <w:rFonts w:eastAsiaTheme="minorEastAsia" w:cs="Times New Roman"/>
          <w:noProof/>
          <w:lang w:val="en-GB"/>
        </w:rPr>
        <w:t>shortage of qualified staff</w:t>
      </w:r>
      <w:r w:rsidR="00C85A57" w:rsidRPr="5B7F1876">
        <w:rPr>
          <w:rFonts w:eastAsiaTheme="minorEastAsia" w:cs="Times New Roman"/>
          <w:noProof/>
          <w:lang w:val="en-GB"/>
        </w:rPr>
        <w:t>. For these reasons, Member States</w:t>
      </w:r>
      <w:r w:rsidRPr="5B7F1876">
        <w:rPr>
          <w:rFonts w:eastAsiaTheme="minorEastAsia" w:cs="Times New Roman"/>
          <w:noProof/>
          <w:lang w:val="en-GB"/>
        </w:rPr>
        <w:t xml:space="preserve"> </w:t>
      </w:r>
      <w:r w:rsidR="00C85A57" w:rsidRPr="5B7F1876">
        <w:rPr>
          <w:rFonts w:eastAsiaTheme="minorEastAsia" w:cs="Times New Roman"/>
          <w:noProof/>
          <w:lang w:val="en-GB"/>
        </w:rPr>
        <w:t xml:space="preserve">asked for a delay in the </w:t>
      </w:r>
      <w:r w:rsidR="00C85A57" w:rsidRPr="5B7F1876">
        <w:rPr>
          <w:rFonts w:eastAsiaTheme="minorEastAsia" w:cs="Times New Roman"/>
          <w:noProof/>
          <w:lang w:val="en-GB"/>
        </w:rPr>
        <w:lastRenderedPageBreak/>
        <w:t>introduction of geotagged photos, or that their use should be limited</w:t>
      </w:r>
      <w:r w:rsidR="00F66191" w:rsidRPr="5B7F1876">
        <w:rPr>
          <w:rFonts w:eastAsiaTheme="minorEastAsia" w:cs="Times New Roman"/>
          <w:noProof/>
          <w:lang w:val="en-GB"/>
        </w:rPr>
        <w:t>.</w:t>
      </w:r>
      <w:r w:rsidRPr="5B7F1876">
        <w:rPr>
          <w:rFonts w:eastAsiaTheme="minorEastAsia" w:cs="Times New Roman"/>
          <w:noProof/>
          <w:lang w:val="en-GB"/>
        </w:rPr>
        <w:t xml:space="preserve"> The survey </w:t>
      </w:r>
      <w:r w:rsidR="00C85A57" w:rsidRPr="5B7F1876">
        <w:rPr>
          <w:rFonts w:eastAsiaTheme="minorEastAsia" w:cs="Times New Roman"/>
          <w:noProof/>
          <w:lang w:val="en-GB"/>
        </w:rPr>
        <w:t xml:space="preserve">of </w:t>
      </w:r>
      <w:r w:rsidRPr="5B7F1876">
        <w:rPr>
          <w:rFonts w:eastAsiaTheme="minorEastAsia" w:cs="Times New Roman"/>
          <w:noProof/>
          <w:lang w:val="en-GB"/>
        </w:rPr>
        <w:t>farmers</w:t>
      </w:r>
      <w:r w:rsidRPr="5B7F1876" w:rsidDel="00A87401">
        <w:rPr>
          <w:rFonts w:eastAsiaTheme="minorEastAsia" w:cs="Times New Roman"/>
          <w:noProof/>
          <w:lang w:val="en-GB"/>
        </w:rPr>
        <w:t xml:space="preserve"> </w:t>
      </w:r>
      <w:r w:rsidR="008F7437" w:rsidRPr="5B7F1876">
        <w:rPr>
          <w:rFonts w:eastAsiaTheme="minorEastAsia" w:cs="Times New Roman"/>
          <w:noProof/>
          <w:lang w:val="en-GB"/>
        </w:rPr>
        <w:t xml:space="preserve">also revealed some concerns </w:t>
      </w:r>
      <w:r w:rsidR="00C85A57" w:rsidRPr="5B7F1876">
        <w:rPr>
          <w:rFonts w:eastAsiaTheme="minorEastAsia" w:cs="Times New Roman"/>
          <w:noProof/>
          <w:lang w:val="en-GB"/>
        </w:rPr>
        <w:t>about</w:t>
      </w:r>
      <w:r w:rsidR="008F7437" w:rsidRPr="5B7F1876">
        <w:rPr>
          <w:rFonts w:eastAsiaTheme="minorEastAsia" w:cs="Times New Roman"/>
          <w:noProof/>
          <w:lang w:val="en-GB"/>
        </w:rPr>
        <w:t xml:space="preserve"> their use</w:t>
      </w:r>
      <w:r w:rsidR="00C85A57" w:rsidRPr="5B7F1876">
        <w:rPr>
          <w:rFonts w:eastAsiaTheme="minorEastAsia" w:cs="Times New Roman"/>
          <w:noProof/>
          <w:lang w:val="en-GB"/>
        </w:rPr>
        <w:t>,</w:t>
      </w:r>
      <w:r w:rsidR="00D54E43" w:rsidRPr="5B7F1876">
        <w:rPr>
          <w:rFonts w:eastAsiaTheme="minorEastAsia" w:cs="Times New Roman"/>
          <w:noProof/>
          <w:lang w:val="en-GB"/>
        </w:rPr>
        <w:t xml:space="preserve"> which was perceived as a</w:t>
      </w:r>
      <w:r w:rsidR="00C85A57" w:rsidRPr="5B7F1876">
        <w:rPr>
          <w:rFonts w:eastAsiaTheme="minorEastAsia" w:cs="Times New Roman"/>
          <w:noProof/>
          <w:lang w:val="en-GB"/>
        </w:rPr>
        <w:t>n additional</w:t>
      </w:r>
      <w:r w:rsidR="00D54E43" w:rsidRPr="5B7F1876">
        <w:rPr>
          <w:rFonts w:eastAsiaTheme="minorEastAsia" w:cs="Times New Roman"/>
          <w:noProof/>
          <w:lang w:val="en-GB"/>
        </w:rPr>
        <w:t xml:space="preserve"> burden</w:t>
      </w:r>
      <w:r w:rsidRPr="5B7F1876">
        <w:rPr>
          <w:rFonts w:eastAsiaTheme="minorEastAsia" w:cs="Times New Roman"/>
          <w:noProof/>
          <w:lang w:val="en-GB"/>
        </w:rPr>
        <w:t>.</w:t>
      </w:r>
    </w:p>
    <w:p w14:paraId="5C0BB51E" w14:textId="4611D2C8" w:rsidR="00444B68" w:rsidRPr="00724676" w:rsidRDefault="008F7437" w:rsidP="006D5C9F">
      <w:pPr>
        <w:spacing w:after="120"/>
        <w:jc w:val="both"/>
        <w:rPr>
          <w:rFonts w:eastAsiaTheme="minorEastAsia" w:cs="Times New Roman"/>
          <w:noProof/>
          <w:lang w:val="en-GB"/>
        </w:rPr>
      </w:pPr>
      <w:r w:rsidRPr="5B7F1876">
        <w:rPr>
          <w:rFonts w:eastAsiaTheme="minorEastAsia" w:cs="Times New Roman"/>
          <w:noProof/>
          <w:lang w:val="en-GB"/>
        </w:rPr>
        <w:t xml:space="preserve">On 2 May 2024, the Commission shared with Member States </w:t>
      </w:r>
      <w:r w:rsidRPr="5B7F1876">
        <w:rPr>
          <w:rFonts w:eastAsiaTheme="minorEastAsia" w:cs="Times New Roman"/>
          <w:b/>
          <w:bCs/>
          <w:noProof/>
          <w:lang w:val="en-GB"/>
        </w:rPr>
        <w:t>a</w:t>
      </w:r>
      <w:r w:rsidR="00444B68" w:rsidRPr="5B7F1876">
        <w:rPr>
          <w:rFonts w:eastAsiaTheme="minorEastAsia" w:cs="Times New Roman"/>
          <w:b/>
          <w:bCs/>
          <w:noProof/>
          <w:lang w:val="en-GB"/>
        </w:rPr>
        <w:t xml:space="preserve"> clarification note</w:t>
      </w:r>
      <w:r w:rsidR="00444B68" w:rsidRPr="5B7F1876">
        <w:rPr>
          <w:rFonts w:eastAsiaTheme="minorEastAsia" w:cs="Times New Roman"/>
          <w:noProof/>
          <w:lang w:val="en-GB"/>
        </w:rPr>
        <w:t xml:space="preserve"> </w:t>
      </w:r>
      <w:r w:rsidR="00444B68" w:rsidRPr="003E7CF4">
        <w:rPr>
          <w:rFonts w:eastAsiaTheme="minorEastAsia" w:cs="Times New Roman"/>
          <w:b/>
          <w:bCs/>
          <w:noProof/>
          <w:lang w:val="en-GB"/>
        </w:rPr>
        <w:t xml:space="preserve">on </w:t>
      </w:r>
      <w:r w:rsidR="0093411D" w:rsidRPr="003E7CF4">
        <w:rPr>
          <w:rFonts w:eastAsiaTheme="minorEastAsia" w:cs="Times New Roman"/>
          <w:b/>
          <w:bCs/>
          <w:noProof/>
          <w:lang w:val="en-GB"/>
        </w:rPr>
        <w:t>geotagged</w:t>
      </w:r>
      <w:r w:rsidR="00444B68" w:rsidRPr="003E7CF4">
        <w:rPr>
          <w:rFonts w:eastAsiaTheme="minorEastAsia" w:cs="Times New Roman"/>
          <w:b/>
          <w:bCs/>
          <w:noProof/>
          <w:lang w:val="en-GB"/>
        </w:rPr>
        <w:t xml:space="preserve"> photos</w:t>
      </w:r>
      <w:r w:rsidR="00C85A57" w:rsidRPr="5B7F1876">
        <w:rPr>
          <w:rFonts w:eastAsiaTheme="minorEastAsia" w:cs="Times New Roman"/>
          <w:noProof/>
          <w:lang w:val="en-GB"/>
        </w:rPr>
        <w:t>,</w:t>
      </w:r>
      <w:r w:rsidRPr="5B7F1876">
        <w:rPr>
          <w:rFonts w:eastAsiaTheme="minorEastAsia" w:cs="Times New Roman"/>
          <w:noProof/>
          <w:lang w:val="en-GB"/>
        </w:rPr>
        <w:t xml:space="preserve"> </w:t>
      </w:r>
      <w:r w:rsidR="00811701" w:rsidRPr="5B7F1876">
        <w:rPr>
          <w:rFonts w:eastAsiaTheme="minorEastAsia" w:cs="Times New Roman"/>
          <w:noProof/>
          <w:lang w:val="en-GB"/>
        </w:rPr>
        <w:t>which was</w:t>
      </w:r>
      <w:r w:rsidRPr="5B7F1876">
        <w:rPr>
          <w:rFonts w:eastAsiaTheme="minorEastAsia" w:cs="Times New Roman"/>
          <w:noProof/>
          <w:lang w:val="en-GB"/>
        </w:rPr>
        <w:t xml:space="preserve"> </w:t>
      </w:r>
      <w:r w:rsidR="00444B68" w:rsidRPr="5B7F1876">
        <w:rPr>
          <w:rFonts w:eastAsiaTheme="minorEastAsia" w:cs="Times New Roman"/>
          <w:noProof/>
          <w:lang w:val="en-GB"/>
        </w:rPr>
        <w:t xml:space="preserve">discussed </w:t>
      </w:r>
      <w:r w:rsidR="00020983" w:rsidRPr="5B7F1876">
        <w:rPr>
          <w:rFonts w:eastAsiaTheme="minorEastAsia" w:cs="Times New Roman"/>
          <w:noProof/>
          <w:lang w:val="en-GB"/>
        </w:rPr>
        <w:t xml:space="preserve">with Member State experts </w:t>
      </w:r>
      <w:r w:rsidR="00444B68" w:rsidRPr="5B7F1876">
        <w:rPr>
          <w:rFonts w:eastAsiaTheme="minorEastAsia" w:cs="Times New Roman"/>
          <w:noProof/>
          <w:lang w:val="en-GB"/>
        </w:rPr>
        <w:t xml:space="preserve">on </w:t>
      </w:r>
      <w:r w:rsidRPr="5B7F1876">
        <w:rPr>
          <w:rFonts w:eastAsiaTheme="minorEastAsia" w:cs="Times New Roman"/>
          <w:noProof/>
          <w:lang w:val="en-GB"/>
        </w:rPr>
        <w:t xml:space="preserve">15 </w:t>
      </w:r>
      <w:r w:rsidR="00444B68" w:rsidRPr="5B7F1876">
        <w:rPr>
          <w:rFonts w:eastAsiaTheme="minorEastAsia" w:cs="Times New Roman"/>
          <w:noProof/>
          <w:lang w:val="en-GB"/>
        </w:rPr>
        <w:t>May 2024</w:t>
      </w:r>
      <w:r w:rsidR="00230197" w:rsidRPr="5B7F1876">
        <w:rPr>
          <w:rStyle w:val="FootnoteReference"/>
          <w:rFonts w:eastAsiaTheme="minorEastAsia" w:cs="Times New Roman"/>
          <w:noProof/>
          <w:lang w:val="en-GB"/>
        </w:rPr>
        <w:footnoteReference w:id="33"/>
      </w:r>
      <w:r w:rsidR="00A95DF5" w:rsidRPr="5B7F1876">
        <w:rPr>
          <w:rFonts w:eastAsiaTheme="minorEastAsia" w:cs="Times New Roman"/>
          <w:noProof/>
          <w:lang w:val="en-GB"/>
        </w:rPr>
        <w:t>.</w:t>
      </w:r>
      <w:r w:rsidR="00444B68" w:rsidRPr="5B7F1876">
        <w:rPr>
          <w:rFonts w:eastAsiaTheme="minorEastAsia" w:cs="Times New Roman"/>
          <w:noProof/>
          <w:lang w:val="en-GB"/>
        </w:rPr>
        <w:t xml:space="preserve"> The note </w:t>
      </w:r>
      <w:r w:rsidR="0045134C" w:rsidRPr="5B7F1876">
        <w:rPr>
          <w:rFonts w:eastAsiaTheme="minorEastAsia" w:cs="Times New Roman"/>
          <w:noProof/>
          <w:lang w:val="en-GB"/>
        </w:rPr>
        <w:t>acknowledge</w:t>
      </w:r>
      <w:r w:rsidR="00C833B1" w:rsidRPr="5B7F1876">
        <w:rPr>
          <w:rFonts w:eastAsiaTheme="minorEastAsia" w:cs="Times New Roman"/>
          <w:noProof/>
          <w:lang w:val="en-GB"/>
        </w:rPr>
        <w:t>d</w:t>
      </w:r>
      <w:r w:rsidR="00521989" w:rsidRPr="5B7F1876">
        <w:rPr>
          <w:rFonts w:eastAsiaTheme="minorEastAsia" w:cs="Times New Roman"/>
          <w:noProof/>
          <w:lang w:val="en-GB"/>
        </w:rPr>
        <w:t xml:space="preserve"> the barriers identified by Member States and farmers and </w:t>
      </w:r>
      <w:r w:rsidR="00444B68" w:rsidRPr="5B7F1876">
        <w:rPr>
          <w:rFonts w:eastAsiaTheme="minorEastAsia" w:cs="Times New Roman"/>
          <w:noProof/>
          <w:lang w:val="en-GB"/>
        </w:rPr>
        <w:t>aim</w:t>
      </w:r>
      <w:r w:rsidR="00C833B1" w:rsidRPr="5B7F1876">
        <w:rPr>
          <w:rFonts w:eastAsiaTheme="minorEastAsia" w:cs="Times New Roman"/>
          <w:noProof/>
          <w:lang w:val="en-GB"/>
        </w:rPr>
        <w:t>ed</w:t>
      </w:r>
      <w:r w:rsidR="00444B68" w:rsidRPr="5B7F1876">
        <w:rPr>
          <w:rFonts w:eastAsiaTheme="minorEastAsia" w:cs="Times New Roman"/>
          <w:noProof/>
          <w:lang w:val="en-GB"/>
        </w:rPr>
        <w:t xml:space="preserve"> to </w:t>
      </w:r>
      <w:r w:rsidR="009805D2" w:rsidRPr="5B7F1876">
        <w:rPr>
          <w:rFonts w:eastAsiaTheme="minorEastAsia" w:cs="Times New Roman"/>
          <w:noProof/>
          <w:lang w:val="en-GB"/>
        </w:rPr>
        <w:t xml:space="preserve">clarify </w:t>
      </w:r>
      <w:r w:rsidR="00444B68" w:rsidRPr="5B7F1876">
        <w:rPr>
          <w:rFonts w:eastAsiaTheme="minorEastAsia" w:cs="Times New Roman"/>
          <w:noProof/>
          <w:lang w:val="en-GB"/>
        </w:rPr>
        <w:t>the</w:t>
      </w:r>
      <w:r w:rsidR="002A4CCE" w:rsidRPr="5B7F1876">
        <w:rPr>
          <w:rFonts w:eastAsiaTheme="minorEastAsia" w:cs="Times New Roman"/>
          <w:noProof/>
          <w:lang w:val="en-GB"/>
        </w:rPr>
        <w:t xml:space="preserve"> applicable</w:t>
      </w:r>
      <w:r w:rsidR="00444B68" w:rsidRPr="5B7F1876">
        <w:rPr>
          <w:rFonts w:eastAsiaTheme="minorEastAsia" w:cs="Times New Roman"/>
          <w:noProof/>
          <w:lang w:val="en-GB"/>
        </w:rPr>
        <w:t xml:space="preserve"> provisions </w:t>
      </w:r>
      <w:r w:rsidR="002A4CCE" w:rsidRPr="5B7F1876">
        <w:rPr>
          <w:rFonts w:eastAsiaTheme="minorEastAsia" w:cs="Times New Roman"/>
          <w:noProof/>
          <w:lang w:val="en-GB"/>
        </w:rPr>
        <w:t xml:space="preserve">and </w:t>
      </w:r>
      <w:r w:rsidR="00444B68" w:rsidRPr="5B7F1876">
        <w:rPr>
          <w:rFonts w:eastAsiaTheme="minorEastAsia" w:cs="Times New Roman"/>
          <w:noProof/>
          <w:lang w:val="en-GB"/>
        </w:rPr>
        <w:t>outline the benefits of geotagged photos</w:t>
      </w:r>
      <w:r w:rsidR="00980894" w:rsidRPr="5B7F1876">
        <w:rPr>
          <w:rFonts w:eastAsiaTheme="minorEastAsia" w:cs="Times New Roman"/>
          <w:noProof/>
          <w:lang w:val="en-GB"/>
        </w:rPr>
        <w:t>.</w:t>
      </w:r>
      <w:r w:rsidR="00444B68" w:rsidRPr="5B7F1876">
        <w:rPr>
          <w:rFonts w:eastAsiaTheme="minorEastAsia" w:cs="Times New Roman"/>
          <w:noProof/>
          <w:lang w:val="en-GB"/>
        </w:rPr>
        <w:t xml:space="preserve"> </w:t>
      </w:r>
      <w:r w:rsidR="0096265B" w:rsidRPr="5B7F1876">
        <w:rPr>
          <w:rFonts w:eastAsiaTheme="minorEastAsia" w:cs="Times New Roman"/>
          <w:noProof/>
          <w:lang w:val="en-GB"/>
        </w:rPr>
        <w:t>T</w:t>
      </w:r>
      <w:r w:rsidR="00444B68" w:rsidRPr="5B7F1876">
        <w:rPr>
          <w:rFonts w:eastAsiaTheme="minorEastAsia" w:cs="Times New Roman"/>
          <w:noProof/>
          <w:lang w:val="en-GB"/>
        </w:rPr>
        <w:t>he note propose</w:t>
      </w:r>
      <w:r w:rsidR="00C833B1" w:rsidRPr="5B7F1876">
        <w:rPr>
          <w:rFonts w:eastAsiaTheme="minorEastAsia" w:cs="Times New Roman"/>
          <w:noProof/>
          <w:lang w:val="en-GB"/>
        </w:rPr>
        <w:t>d</w:t>
      </w:r>
      <w:r w:rsidR="00A4498E">
        <w:rPr>
          <w:rFonts w:eastAsiaTheme="minorEastAsia" w:cs="Times New Roman"/>
          <w:noProof/>
          <w:lang w:val="en-GB"/>
        </w:rPr>
        <w:t xml:space="preserve"> </w:t>
      </w:r>
      <w:r w:rsidR="00444B68" w:rsidRPr="5B7F1876">
        <w:rPr>
          <w:rFonts w:eastAsiaTheme="minorEastAsia" w:cs="Times New Roman"/>
          <w:noProof/>
          <w:lang w:val="en-GB"/>
        </w:rPr>
        <w:t xml:space="preserve">strategies to </w:t>
      </w:r>
      <w:r w:rsidR="00C833B1" w:rsidRPr="5B7F1876">
        <w:rPr>
          <w:rFonts w:eastAsiaTheme="minorEastAsia" w:cs="Times New Roman"/>
          <w:noProof/>
          <w:lang w:val="en-GB"/>
        </w:rPr>
        <w:t xml:space="preserve">reduce </w:t>
      </w:r>
      <w:r w:rsidR="00444B68" w:rsidRPr="5B7F1876">
        <w:rPr>
          <w:rFonts w:eastAsiaTheme="minorEastAsia" w:cs="Times New Roman"/>
          <w:noProof/>
          <w:lang w:val="en-GB"/>
        </w:rPr>
        <w:t>the administrative burden associated with geotagged photos, including a review of the legal requirements.</w:t>
      </w:r>
    </w:p>
    <w:p w14:paraId="5263D329" w14:textId="7D70CFDE" w:rsidR="00130FC1" w:rsidRPr="00724676" w:rsidRDefault="001E3F5B" w:rsidP="256CFF57">
      <w:pPr>
        <w:spacing w:after="120"/>
        <w:jc w:val="both"/>
        <w:rPr>
          <w:rFonts w:eastAsiaTheme="minorEastAsia" w:cs="Times New Roman"/>
          <w:noProof/>
          <w:szCs w:val="24"/>
          <w:lang w:val="en-GB"/>
        </w:rPr>
      </w:pPr>
      <w:r w:rsidRPr="00724676">
        <w:rPr>
          <w:rFonts w:eastAsiaTheme="minorEastAsia" w:cs="Times New Roman"/>
          <w:noProof/>
          <w:szCs w:val="24"/>
          <w:lang w:val="en-GB"/>
        </w:rPr>
        <w:t xml:space="preserve">Following up, </w:t>
      </w:r>
      <w:r w:rsidR="00F64C61" w:rsidRPr="00724676">
        <w:rPr>
          <w:rFonts w:eastAsiaTheme="minorEastAsia" w:cs="Times New Roman"/>
          <w:noProof/>
          <w:szCs w:val="24"/>
          <w:lang w:val="en-GB"/>
        </w:rPr>
        <w:t xml:space="preserve">in the CAP Committee of 5 June 2024, </w:t>
      </w:r>
      <w:r w:rsidRPr="00724676">
        <w:rPr>
          <w:rFonts w:eastAsiaTheme="minorEastAsia" w:cs="Times New Roman"/>
          <w:noProof/>
          <w:szCs w:val="24"/>
          <w:lang w:val="en-GB"/>
        </w:rPr>
        <w:t>t</w:t>
      </w:r>
      <w:r w:rsidR="00444B68" w:rsidRPr="00724676">
        <w:rPr>
          <w:rFonts w:eastAsiaTheme="minorEastAsia" w:cs="Times New Roman"/>
          <w:noProof/>
          <w:szCs w:val="24"/>
          <w:lang w:val="en-GB"/>
        </w:rPr>
        <w:t xml:space="preserve">he Commission </w:t>
      </w:r>
      <w:r w:rsidR="00F64C61" w:rsidRPr="00724676">
        <w:rPr>
          <w:rFonts w:eastAsiaTheme="minorEastAsia" w:cs="Times New Roman"/>
          <w:noProof/>
          <w:szCs w:val="24"/>
          <w:lang w:val="en-GB"/>
        </w:rPr>
        <w:t xml:space="preserve">presented a draft </w:t>
      </w:r>
      <w:r w:rsidR="007F5B6E" w:rsidRPr="00724676">
        <w:rPr>
          <w:rFonts w:eastAsiaTheme="minorEastAsia" w:cs="Times New Roman"/>
          <w:noProof/>
          <w:szCs w:val="24"/>
          <w:lang w:val="en-GB"/>
        </w:rPr>
        <w:t>a</w:t>
      </w:r>
      <w:r w:rsidR="00F64C61" w:rsidRPr="00724676">
        <w:rPr>
          <w:rFonts w:eastAsiaTheme="minorEastAsia" w:cs="Times New Roman"/>
          <w:noProof/>
          <w:szCs w:val="24"/>
          <w:lang w:val="en-GB"/>
        </w:rPr>
        <w:t>mend</w:t>
      </w:r>
      <w:r w:rsidR="007F5B6E" w:rsidRPr="00724676">
        <w:rPr>
          <w:rFonts w:eastAsiaTheme="minorEastAsia" w:cs="Times New Roman"/>
          <w:noProof/>
          <w:szCs w:val="24"/>
          <w:lang w:val="en-GB"/>
        </w:rPr>
        <w:t>ment of</w:t>
      </w:r>
      <w:r w:rsidR="00C44A27" w:rsidRPr="00724676">
        <w:rPr>
          <w:rFonts w:eastAsiaTheme="minorEastAsia" w:cs="Times New Roman"/>
          <w:noProof/>
          <w:szCs w:val="24"/>
          <w:lang w:val="en-GB"/>
        </w:rPr>
        <w:t xml:space="preserve"> </w:t>
      </w:r>
      <w:r w:rsidR="00444B68" w:rsidRPr="00724676">
        <w:rPr>
          <w:rFonts w:eastAsiaTheme="minorEastAsia" w:cs="Times New Roman"/>
          <w:noProof/>
          <w:szCs w:val="24"/>
          <w:lang w:val="en-GB"/>
        </w:rPr>
        <w:t xml:space="preserve">the requirements on the use </w:t>
      </w:r>
      <w:r w:rsidR="00D06FE1" w:rsidRPr="00724676">
        <w:rPr>
          <w:rFonts w:eastAsiaTheme="minorEastAsia" w:cs="Times New Roman"/>
          <w:noProof/>
          <w:szCs w:val="24"/>
          <w:lang w:val="en-GB"/>
        </w:rPr>
        <w:t xml:space="preserve">of </w:t>
      </w:r>
      <w:r w:rsidR="00444B68" w:rsidRPr="00724676">
        <w:rPr>
          <w:rFonts w:eastAsiaTheme="minorEastAsia" w:cs="Times New Roman"/>
          <w:noProof/>
          <w:szCs w:val="24"/>
          <w:lang w:val="en-GB"/>
        </w:rPr>
        <w:t xml:space="preserve">geotagged photos to limit the burden </w:t>
      </w:r>
      <w:r w:rsidR="00C833B1">
        <w:rPr>
          <w:rFonts w:eastAsiaTheme="minorEastAsia" w:cs="Times New Roman"/>
          <w:noProof/>
          <w:szCs w:val="24"/>
          <w:lang w:val="en-GB"/>
        </w:rPr>
        <w:t>on</w:t>
      </w:r>
      <w:r w:rsidR="00C833B1" w:rsidRPr="00724676">
        <w:rPr>
          <w:rFonts w:eastAsiaTheme="minorEastAsia" w:cs="Times New Roman"/>
          <w:noProof/>
          <w:szCs w:val="24"/>
          <w:lang w:val="en-GB"/>
        </w:rPr>
        <w:t xml:space="preserve"> </w:t>
      </w:r>
      <w:r w:rsidR="00444B68" w:rsidRPr="00724676">
        <w:rPr>
          <w:rFonts w:eastAsiaTheme="minorEastAsia" w:cs="Times New Roman"/>
          <w:noProof/>
          <w:szCs w:val="24"/>
          <w:lang w:val="en-GB"/>
        </w:rPr>
        <w:t>farmers</w:t>
      </w:r>
      <w:r w:rsidR="00C21FA7" w:rsidRPr="00724676">
        <w:rPr>
          <w:rFonts w:eastAsiaTheme="minorEastAsia" w:cs="Times New Roman"/>
          <w:noProof/>
          <w:szCs w:val="24"/>
          <w:lang w:val="en-GB"/>
        </w:rPr>
        <w:t xml:space="preserve"> </w:t>
      </w:r>
      <w:r w:rsidR="00444B68" w:rsidRPr="00724676">
        <w:rPr>
          <w:rFonts w:eastAsiaTheme="minorEastAsia" w:cs="Times New Roman"/>
          <w:noProof/>
          <w:szCs w:val="24"/>
          <w:lang w:val="en-GB"/>
        </w:rPr>
        <w:t>and increase their acceptability and use.</w:t>
      </w:r>
      <w:r w:rsidR="00E1087A" w:rsidRPr="00724676">
        <w:rPr>
          <w:rFonts w:eastAsiaTheme="minorEastAsia" w:cs="Times New Roman"/>
          <w:noProof/>
          <w:szCs w:val="24"/>
          <w:lang w:val="en-GB"/>
        </w:rPr>
        <w:t xml:space="preserve"> </w:t>
      </w:r>
      <w:r w:rsidR="00444B68" w:rsidRPr="00724676">
        <w:rPr>
          <w:rFonts w:eastAsiaTheme="minorEastAsia" w:cs="Times New Roman"/>
          <w:noProof/>
          <w:szCs w:val="24"/>
          <w:lang w:val="en-GB"/>
        </w:rPr>
        <w:t xml:space="preserve">The </w:t>
      </w:r>
      <w:r w:rsidR="007F5B6E" w:rsidRPr="00724676">
        <w:rPr>
          <w:rFonts w:eastAsiaTheme="minorEastAsia" w:cs="Times New Roman"/>
          <w:noProof/>
          <w:szCs w:val="24"/>
          <w:lang w:val="en-GB"/>
        </w:rPr>
        <w:t xml:space="preserve">amendment </w:t>
      </w:r>
      <w:r w:rsidR="00C21FA7" w:rsidRPr="00724676">
        <w:rPr>
          <w:rFonts w:eastAsiaTheme="minorEastAsia" w:cs="Times New Roman"/>
          <w:noProof/>
          <w:szCs w:val="24"/>
          <w:lang w:val="en-GB"/>
        </w:rPr>
        <w:t xml:space="preserve">also aims to </w:t>
      </w:r>
      <w:r w:rsidR="00C833B1">
        <w:rPr>
          <w:rFonts w:eastAsiaTheme="minorEastAsia" w:cs="Times New Roman"/>
          <w:noProof/>
          <w:szCs w:val="24"/>
          <w:lang w:val="en-GB"/>
        </w:rPr>
        <w:t>reduce</w:t>
      </w:r>
      <w:r w:rsidR="00C833B1" w:rsidRPr="00724676">
        <w:rPr>
          <w:rFonts w:eastAsiaTheme="minorEastAsia" w:cs="Times New Roman"/>
          <w:noProof/>
          <w:szCs w:val="24"/>
          <w:lang w:val="en-GB"/>
        </w:rPr>
        <w:t xml:space="preserve"> </w:t>
      </w:r>
      <w:r w:rsidR="00444B68" w:rsidRPr="00724676">
        <w:rPr>
          <w:rFonts w:eastAsiaTheme="minorEastAsia" w:cs="Times New Roman"/>
          <w:noProof/>
          <w:szCs w:val="24"/>
          <w:lang w:val="en-GB"/>
        </w:rPr>
        <w:t xml:space="preserve">the burden on Member States by </w:t>
      </w:r>
      <w:r w:rsidR="00444B68" w:rsidRPr="003E7CF4">
        <w:rPr>
          <w:rFonts w:eastAsiaTheme="minorEastAsia" w:cs="Times New Roman"/>
          <w:b/>
          <w:bCs/>
          <w:noProof/>
          <w:szCs w:val="24"/>
          <w:lang w:val="en-GB"/>
        </w:rPr>
        <w:t>eliminating the requirement</w:t>
      </w:r>
      <w:r w:rsidR="00444B68" w:rsidRPr="00724676">
        <w:rPr>
          <w:rFonts w:eastAsiaTheme="minorEastAsia" w:cs="Times New Roman"/>
          <w:noProof/>
          <w:szCs w:val="24"/>
          <w:lang w:val="en-GB"/>
        </w:rPr>
        <w:t xml:space="preserve"> </w:t>
      </w:r>
      <w:r w:rsidR="00444B68" w:rsidRPr="003E7CF4">
        <w:rPr>
          <w:rFonts w:eastAsiaTheme="minorEastAsia" w:cs="Times New Roman"/>
          <w:b/>
          <w:bCs/>
          <w:noProof/>
          <w:szCs w:val="24"/>
          <w:lang w:val="en-GB"/>
        </w:rPr>
        <w:t xml:space="preserve">to incorporate </w:t>
      </w:r>
      <w:r w:rsidR="00F74233" w:rsidRPr="003E7CF4">
        <w:rPr>
          <w:rFonts w:eastAsiaTheme="minorEastAsia" w:cs="Times New Roman"/>
          <w:b/>
          <w:bCs/>
          <w:noProof/>
          <w:szCs w:val="24"/>
          <w:lang w:val="en-GB"/>
        </w:rPr>
        <w:t>in the AMS</w:t>
      </w:r>
      <w:r w:rsidR="00F74233" w:rsidRPr="00724676">
        <w:rPr>
          <w:rFonts w:eastAsiaTheme="minorEastAsia" w:cs="Times New Roman"/>
          <w:noProof/>
          <w:szCs w:val="24"/>
          <w:lang w:val="en-GB"/>
        </w:rPr>
        <w:t xml:space="preserve"> </w:t>
      </w:r>
      <w:r w:rsidR="00444B68" w:rsidRPr="003E7CF4">
        <w:rPr>
          <w:rFonts w:eastAsiaTheme="minorEastAsia" w:cs="Times New Roman"/>
          <w:b/>
          <w:bCs/>
          <w:noProof/>
          <w:szCs w:val="24"/>
          <w:lang w:val="en-GB"/>
        </w:rPr>
        <w:t xml:space="preserve">interventions with eligibility conditions that can </w:t>
      </w:r>
      <w:r w:rsidR="00C833B1" w:rsidRPr="003E7CF4">
        <w:rPr>
          <w:rFonts w:eastAsiaTheme="minorEastAsia" w:cs="Times New Roman"/>
          <w:b/>
          <w:bCs/>
          <w:noProof/>
          <w:szCs w:val="24"/>
          <w:lang w:val="en-GB"/>
        </w:rPr>
        <w:t xml:space="preserve">only </w:t>
      </w:r>
      <w:r w:rsidR="00444B68" w:rsidRPr="003E7CF4">
        <w:rPr>
          <w:rFonts w:eastAsiaTheme="minorEastAsia" w:cs="Times New Roman"/>
          <w:b/>
          <w:bCs/>
          <w:noProof/>
          <w:szCs w:val="24"/>
          <w:lang w:val="en-GB"/>
        </w:rPr>
        <w:t>be monitored by geotagged photos</w:t>
      </w:r>
      <w:r w:rsidR="00444B68" w:rsidRPr="00724676">
        <w:rPr>
          <w:rFonts w:eastAsiaTheme="minorEastAsia" w:cs="Times New Roman"/>
          <w:noProof/>
          <w:szCs w:val="24"/>
          <w:lang w:val="en-GB"/>
        </w:rPr>
        <w:t>.</w:t>
      </w:r>
      <w:r w:rsidR="00351ED1" w:rsidRPr="00724676">
        <w:rPr>
          <w:rFonts w:eastAsiaTheme="minorEastAsia" w:cs="Times New Roman"/>
          <w:noProof/>
          <w:szCs w:val="24"/>
          <w:lang w:val="en-GB"/>
        </w:rPr>
        <w:t xml:space="preserve"> </w:t>
      </w:r>
      <w:r w:rsidR="006915F6">
        <w:rPr>
          <w:rFonts w:eastAsiaTheme="minorEastAsia" w:cs="Times New Roman"/>
          <w:noProof/>
          <w:szCs w:val="24"/>
          <w:lang w:val="en-GB"/>
        </w:rPr>
        <w:t>Following a positive opinion by Member States in the CAP Committee, the</w:t>
      </w:r>
      <w:r w:rsidR="006915F6" w:rsidRPr="00724676">
        <w:rPr>
          <w:rFonts w:eastAsiaTheme="minorEastAsia" w:cs="Times New Roman"/>
          <w:noProof/>
          <w:szCs w:val="24"/>
          <w:lang w:val="en-GB"/>
        </w:rPr>
        <w:t xml:space="preserve"> </w:t>
      </w:r>
      <w:r w:rsidR="006915F6">
        <w:rPr>
          <w:rFonts w:eastAsiaTheme="minorEastAsia" w:cs="Times New Roman"/>
          <w:noProof/>
          <w:szCs w:val="24"/>
          <w:lang w:val="en-GB"/>
        </w:rPr>
        <w:t xml:space="preserve">Commission adopted the </w:t>
      </w:r>
      <w:r w:rsidR="00351ED1" w:rsidRPr="00724676">
        <w:rPr>
          <w:rFonts w:eastAsiaTheme="minorEastAsia" w:cs="Times New Roman"/>
          <w:noProof/>
          <w:szCs w:val="24"/>
          <w:lang w:val="en-GB"/>
        </w:rPr>
        <w:t xml:space="preserve">revised version </w:t>
      </w:r>
      <w:r w:rsidR="004A7D92">
        <w:rPr>
          <w:rFonts w:eastAsiaTheme="minorEastAsia" w:cs="Times New Roman"/>
          <w:noProof/>
          <w:szCs w:val="24"/>
          <w:lang w:val="en-GB"/>
        </w:rPr>
        <w:t xml:space="preserve">of the amendment </w:t>
      </w:r>
      <w:r w:rsidR="006915F6">
        <w:rPr>
          <w:rFonts w:eastAsiaTheme="minorEastAsia" w:cs="Times New Roman"/>
          <w:noProof/>
          <w:szCs w:val="24"/>
          <w:lang w:val="en-GB"/>
        </w:rPr>
        <w:t>on 4 September 2024</w:t>
      </w:r>
      <w:r w:rsidR="00130A39">
        <w:rPr>
          <w:rStyle w:val="FootnoteReference"/>
          <w:rFonts w:eastAsiaTheme="minorEastAsia" w:cs="Times New Roman"/>
          <w:noProof/>
          <w:szCs w:val="24"/>
          <w:lang w:val="en-GB"/>
        </w:rPr>
        <w:footnoteReference w:id="34"/>
      </w:r>
      <w:r w:rsidR="001604B6">
        <w:rPr>
          <w:rFonts w:eastAsiaTheme="minorEastAsia" w:cs="Times New Roman"/>
          <w:noProof/>
          <w:szCs w:val="24"/>
          <w:lang w:val="en-GB"/>
        </w:rPr>
        <w:t>.</w:t>
      </w:r>
    </w:p>
    <w:p w14:paraId="418206BF" w14:textId="4447EA48" w:rsidR="00444B68" w:rsidRPr="00724676" w:rsidRDefault="126F98FF" w:rsidP="00F97E30">
      <w:pPr>
        <w:spacing w:after="120"/>
        <w:jc w:val="both"/>
        <w:rPr>
          <w:rFonts w:eastAsiaTheme="minorEastAsia" w:cs="Times New Roman"/>
          <w:noProof/>
          <w:lang w:val="en-GB"/>
        </w:rPr>
      </w:pPr>
      <w:r w:rsidRPr="2E1D0E0E">
        <w:rPr>
          <w:rFonts w:eastAsiaTheme="minorEastAsia" w:cs="Times New Roman"/>
          <w:noProof/>
          <w:lang w:val="en-GB"/>
        </w:rPr>
        <w:t xml:space="preserve">Given </w:t>
      </w:r>
      <w:r w:rsidR="00444B68" w:rsidRPr="2E1D0E0E">
        <w:rPr>
          <w:rFonts w:eastAsiaTheme="minorEastAsia" w:cs="Times New Roman"/>
          <w:noProof/>
          <w:lang w:val="en-GB"/>
        </w:rPr>
        <w:t>the benefits</w:t>
      </w:r>
      <w:r w:rsidR="00B46F8C" w:rsidRPr="2E1D0E0E">
        <w:rPr>
          <w:rFonts w:eastAsiaTheme="minorEastAsia" w:cs="Times New Roman"/>
          <w:noProof/>
          <w:lang w:val="en-GB"/>
        </w:rPr>
        <w:t xml:space="preserve"> of </w:t>
      </w:r>
      <w:r w:rsidR="0093411D" w:rsidRPr="2E1D0E0E">
        <w:rPr>
          <w:rFonts w:eastAsiaTheme="minorEastAsia" w:cs="Times New Roman"/>
          <w:noProof/>
          <w:lang w:val="en-GB"/>
        </w:rPr>
        <w:t>geotagged</w:t>
      </w:r>
      <w:r w:rsidR="00ED08BE" w:rsidRPr="2E1D0E0E">
        <w:rPr>
          <w:rFonts w:eastAsiaTheme="minorEastAsia" w:cs="Times New Roman"/>
          <w:noProof/>
          <w:lang w:val="en-GB"/>
        </w:rPr>
        <w:t xml:space="preserve"> </w:t>
      </w:r>
      <w:r w:rsidR="00ED08BE" w:rsidRPr="00130A39">
        <w:rPr>
          <w:rFonts w:eastAsiaTheme="minorEastAsia" w:cs="Times New Roman"/>
          <w:noProof/>
          <w:lang w:val="en-GB"/>
        </w:rPr>
        <w:t>photos</w:t>
      </w:r>
      <w:r w:rsidR="00444B68" w:rsidRPr="00130A39">
        <w:rPr>
          <w:rFonts w:eastAsiaTheme="minorEastAsia" w:cs="Times New Roman"/>
          <w:noProof/>
          <w:lang w:val="en-GB"/>
        </w:rPr>
        <w:t xml:space="preserve">, the Commission </w:t>
      </w:r>
      <w:r w:rsidR="00444B68" w:rsidRPr="00D458D9">
        <w:rPr>
          <w:rFonts w:eastAsiaTheme="minorEastAsia" w:cs="Times New Roman"/>
          <w:noProof/>
          <w:lang w:val="en-GB"/>
        </w:rPr>
        <w:t xml:space="preserve">does not </w:t>
      </w:r>
      <w:r w:rsidR="007F64A3" w:rsidRPr="00D458D9">
        <w:rPr>
          <w:rFonts w:eastAsiaTheme="minorEastAsia" w:cs="Times New Roman"/>
          <w:noProof/>
          <w:lang w:val="en-GB"/>
        </w:rPr>
        <w:t>prevent</w:t>
      </w:r>
      <w:r w:rsidR="00444B68" w:rsidRPr="00D458D9">
        <w:rPr>
          <w:rFonts w:eastAsiaTheme="minorEastAsia" w:cs="Times New Roman"/>
          <w:noProof/>
          <w:lang w:val="en-GB"/>
        </w:rPr>
        <w:t xml:space="preserve"> Member States </w:t>
      </w:r>
      <w:r w:rsidR="008039BE" w:rsidRPr="00D458D9">
        <w:rPr>
          <w:rFonts w:eastAsiaTheme="minorEastAsia" w:cs="Times New Roman"/>
          <w:noProof/>
          <w:lang w:val="en-GB"/>
        </w:rPr>
        <w:t>from</w:t>
      </w:r>
      <w:r w:rsidR="00444B68" w:rsidRPr="00D458D9">
        <w:rPr>
          <w:rFonts w:eastAsiaTheme="minorEastAsia" w:cs="Times New Roman"/>
          <w:noProof/>
          <w:lang w:val="en-GB"/>
        </w:rPr>
        <w:t xml:space="preserve"> </w:t>
      </w:r>
      <w:r w:rsidR="54909BBB" w:rsidRPr="00130A39">
        <w:rPr>
          <w:rFonts w:eastAsiaTheme="minorEastAsia" w:cs="Times New Roman"/>
          <w:noProof/>
          <w:lang w:val="en-GB"/>
        </w:rPr>
        <w:t>their usage</w:t>
      </w:r>
      <w:r w:rsidR="001645BA" w:rsidRPr="00130A39">
        <w:rPr>
          <w:rFonts w:eastAsiaTheme="minorEastAsia" w:cs="Times New Roman"/>
          <w:noProof/>
          <w:lang w:val="en-GB"/>
        </w:rPr>
        <w:t>.</w:t>
      </w:r>
      <w:r w:rsidR="00444B68" w:rsidRPr="00130A39">
        <w:rPr>
          <w:rFonts w:eastAsiaTheme="minorEastAsia" w:cs="Times New Roman"/>
          <w:noProof/>
          <w:lang w:val="en-GB"/>
        </w:rPr>
        <w:t xml:space="preserve"> </w:t>
      </w:r>
      <w:r w:rsidR="00781E7C" w:rsidRPr="2E1D0E0E">
        <w:rPr>
          <w:rFonts w:eastAsiaTheme="minorEastAsia" w:cs="Times New Roman"/>
          <w:noProof/>
          <w:lang w:val="en-GB"/>
        </w:rPr>
        <w:t>The flexible approach</w:t>
      </w:r>
      <w:r w:rsidR="00444B68" w:rsidRPr="2E1D0E0E">
        <w:rPr>
          <w:rFonts w:eastAsiaTheme="minorEastAsia" w:cs="Times New Roman"/>
          <w:noProof/>
          <w:lang w:val="en-GB"/>
        </w:rPr>
        <w:t xml:space="preserve"> </w:t>
      </w:r>
      <w:r w:rsidR="00781E7C" w:rsidRPr="2E1D0E0E">
        <w:rPr>
          <w:rFonts w:eastAsiaTheme="minorEastAsia" w:cs="Times New Roman"/>
          <w:noProof/>
          <w:lang w:val="en-GB"/>
        </w:rPr>
        <w:t xml:space="preserve">ensures that </w:t>
      </w:r>
      <w:r w:rsidR="00444B68" w:rsidRPr="2E1D0E0E">
        <w:rPr>
          <w:rFonts w:eastAsiaTheme="minorEastAsia" w:cs="Times New Roman"/>
          <w:noProof/>
          <w:lang w:val="en-GB"/>
        </w:rPr>
        <w:t xml:space="preserve">Member States that have already invested in this process </w:t>
      </w:r>
      <w:r w:rsidR="00781E7C" w:rsidRPr="2E1D0E0E">
        <w:rPr>
          <w:rFonts w:eastAsiaTheme="minorEastAsia" w:cs="Times New Roman"/>
          <w:noProof/>
          <w:lang w:val="en-GB"/>
        </w:rPr>
        <w:t xml:space="preserve">will not experience </w:t>
      </w:r>
      <w:r w:rsidR="00444B68" w:rsidRPr="2E1D0E0E">
        <w:rPr>
          <w:rFonts w:eastAsiaTheme="minorEastAsia" w:cs="Times New Roman"/>
          <w:noProof/>
          <w:lang w:val="en-GB"/>
        </w:rPr>
        <w:t>setbacks in their progress</w:t>
      </w:r>
      <w:r w:rsidR="00144E6B" w:rsidRPr="2E1D0E0E">
        <w:rPr>
          <w:rFonts w:eastAsiaTheme="minorEastAsia" w:cs="Times New Roman"/>
          <w:noProof/>
          <w:lang w:val="en-GB"/>
        </w:rPr>
        <w:t xml:space="preserve"> and </w:t>
      </w:r>
      <w:r w:rsidR="00781E7C" w:rsidRPr="2E1D0E0E">
        <w:rPr>
          <w:rFonts w:eastAsiaTheme="minorEastAsia" w:cs="Times New Roman"/>
          <w:noProof/>
          <w:lang w:val="en-GB"/>
        </w:rPr>
        <w:t xml:space="preserve">increases </w:t>
      </w:r>
      <w:r w:rsidR="00144E6B" w:rsidRPr="2E1D0E0E">
        <w:rPr>
          <w:rFonts w:eastAsiaTheme="minorEastAsia" w:cs="Times New Roman"/>
          <w:noProof/>
          <w:lang w:val="en-GB"/>
        </w:rPr>
        <w:t xml:space="preserve">the possibilities </w:t>
      </w:r>
      <w:r w:rsidR="00781E7C" w:rsidRPr="2E1D0E0E">
        <w:rPr>
          <w:rFonts w:eastAsiaTheme="minorEastAsia" w:cs="Times New Roman"/>
          <w:noProof/>
          <w:lang w:val="en-GB"/>
        </w:rPr>
        <w:t xml:space="preserve">for a swifter handling of the payment files of </w:t>
      </w:r>
      <w:r w:rsidR="00144E6B" w:rsidRPr="2E1D0E0E">
        <w:rPr>
          <w:rFonts w:eastAsiaTheme="minorEastAsia" w:cs="Times New Roman"/>
          <w:noProof/>
          <w:lang w:val="en-GB"/>
        </w:rPr>
        <w:t xml:space="preserve">farmers </w:t>
      </w:r>
      <w:r w:rsidR="008039BE" w:rsidRPr="2E1D0E0E">
        <w:rPr>
          <w:rFonts w:eastAsiaTheme="minorEastAsia" w:cs="Times New Roman"/>
          <w:noProof/>
          <w:lang w:val="en-GB"/>
        </w:rPr>
        <w:t xml:space="preserve">who </w:t>
      </w:r>
      <w:r w:rsidR="009B0133" w:rsidRPr="2E1D0E0E">
        <w:rPr>
          <w:rFonts w:eastAsiaTheme="minorEastAsia" w:cs="Times New Roman"/>
          <w:noProof/>
          <w:lang w:val="en-GB"/>
        </w:rPr>
        <w:t xml:space="preserve">use </w:t>
      </w:r>
      <w:r w:rsidR="00781E7C" w:rsidRPr="2E1D0E0E">
        <w:rPr>
          <w:rFonts w:eastAsiaTheme="minorEastAsia" w:cs="Times New Roman"/>
          <w:noProof/>
          <w:lang w:val="en-GB"/>
        </w:rPr>
        <w:t>geotagged photos</w:t>
      </w:r>
      <w:r w:rsidR="00444B68" w:rsidRPr="2E1D0E0E">
        <w:rPr>
          <w:rFonts w:eastAsiaTheme="minorEastAsia" w:cs="Times New Roman"/>
          <w:noProof/>
          <w:lang w:val="en-GB"/>
        </w:rPr>
        <w:t xml:space="preserve">. </w:t>
      </w:r>
    </w:p>
    <w:p w14:paraId="04ACA536" w14:textId="406B3351" w:rsidR="007E71A5" w:rsidRPr="00724676" w:rsidRDefault="007E71A5" w:rsidP="00F97E30">
      <w:pPr>
        <w:pStyle w:val="NoSpacing"/>
        <w:spacing w:after="120" w:line="259" w:lineRule="auto"/>
        <w:rPr>
          <w:rFonts w:cs="Times New Roman"/>
          <w:b/>
          <w:bCs/>
          <w:noProof/>
          <w:szCs w:val="24"/>
          <w:lang w:val="en-GB"/>
        </w:rPr>
      </w:pPr>
      <w:bookmarkStart w:id="85" w:name="_Toc167974746"/>
      <w:bookmarkStart w:id="86" w:name="_Toc168422352"/>
      <w:r w:rsidRPr="00724676">
        <w:rPr>
          <w:rFonts w:cs="Times New Roman"/>
          <w:b/>
          <w:bCs/>
          <w:noProof/>
          <w:szCs w:val="24"/>
          <w:lang w:val="en-GB"/>
        </w:rPr>
        <w:t>Clarification of the use of</w:t>
      </w:r>
      <w:r w:rsidR="00216920">
        <w:rPr>
          <w:rFonts w:cs="Times New Roman"/>
          <w:b/>
          <w:bCs/>
          <w:noProof/>
          <w:szCs w:val="24"/>
          <w:lang w:val="en-GB"/>
        </w:rPr>
        <w:t xml:space="preserve"> the </w:t>
      </w:r>
      <w:r w:rsidRPr="00724676">
        <w:rPr>
          <w:rFonts w:cs="Times New Roman"/>
          <w:b/>
          <w:i/>
          <w:noProof/>
          <w:szCs w:val="24"/>
          <w:lang w:val="en-GB"/>
        </w:rPr>
        <w:t>force majeure</w:t>
      </w:r>
      <w:r w:rsidRPr="00724676">
        <w:rPr>
          <w:rFonts w:cs="Times New Roman"/>
          <w:b/>
          <w:bCs/>
          <w:noProof/>
          <w:szCs w:val="24"/>
          <w:lang w:val="en-GB"/>
        </w:rPr>
        <w:t xml:space="preserve"> and exceptional circumstances clause</w:t>
      </w:r>
      <w:bookmarkEnd w:id="85"/>
      <w:bookmarkEnd w:id="86"/>
    </w:p>
    <w:p w14:paraId="1D366943" w14:textId="30191EAB" w:rsidR="00E97328" w:rsidRPr="00724676" w:rsidRDefault="00E97328" w:rsidP="00E97328">
      <w:pPr>
        <w:spacing w:after="120"/>
        <w:jc w:val="both"/>
        <w:rPr>
          <w:rFonts w:cs="Times New Roman"/>
          <w:noProof/>
          <w:szCs w:val="24"/>
          <w:lang w:val="en-GB"/>
        </w:rPr>
      </w:pPr>
      <w:r w:rsidRPr="00724676">
        <w:rPr>
          <w:rFonts w:cs="Times New Roman"/>
          <w:noProof/>
          <w:szCs w:val="24"/>
          <w:lang w:val="en-GB"/>
        </w:rPr>
        <w:t xml:space="preserve">The concept of </w:t>
      </w:r>
      <w:r w:rsidRPr="00724676">
        <w:rPr>
          <w:rFonts w:cs="Times New Roman"/>
          <w:i/>
          <w:iCs/>
          <w:noProof/>
          <w:szCs w:val="24"/>
          <w:lang w:val="en-GB"/>
        </w:rPr>
        <w:t>force majeure</w:t>
      </w:r>
      <w:r w:rsidRPr="00724676">
        <w:rPr>
          <w:rFonts w:cs="Times New Roman"/>
          <w:noProof/>
          <w:szCs w:val="24"/>
          <w:lang w:val="en-GB"/>
        </w:rPr>
        <w:t xml:space="preserve"> refers to abnormal </w:t>
      </w:r>
      <w:r w:rsidR="00EB5FA6" w:rsidRPr="00724676">
        <w:rPr>
          <w:rFonts w:cs="Times New Roman"/>
          <w:noProof/>
          <w:szCs w:val="24"/>
          <w:lang w:val="en-GB"/>
        </w:rPr>
        <w:t xml:space="preserve">and unforeseeable </w:t>
      </w:r>
      <w:r w:rsidRPr="00724676">
        <w:rPr>
          <w:rFonts w:cs="Times New Roman"/>
          <w:noProof/>
          <w:szCs w:val="24"/>
          <w:lang w:val="en-GB"/>
        </w:rPr>
        <w:t>circumstances, outside the control of an operator (such as a farmer), the consequences of which could not have been avoided</w:t>
      </w:r>
      <w:r w:rsidR="00EB5FA6" w:rsidRPr="00724676">
        <w:rPr>
          <w:rFonts w:cs="Times New Roman"/>
          <w:noProof/>
          <w:szCs w:val="24"/>
          <w:lang w:val="en-GB"/>
        </w:rPr>
        <w:t xml:space="preserve"> </w:t>
      </w:r>
      <w:r w:rsidR="00216920">
        <w:rPr>
          <w:rFonts w:cs="Times New Roman"/>
          <w:noProof/>
          <w:szCs w:val="24"/>
          <w:lang w:val="en-GB"/>
        </w:rPr>
        <w:t>despite taking</w:t>
      </w:r>
      <w:r w:rsidR="00EB5FA6" w:rsidRPr="00724676">
        <w:rPr>
          <w:rFonts w:cs="Times New Roman"/>
          <w:noProof/>
          <w:szCs w:val="24"/>
          <w:lang w:val="en-GB"/>
        </w:rPr>
        <w:t xml:space="preserve"> all</w:t>
      </w:r>
      <w:r w:rsidRPr="00724676">
        <w:rPr>
          <w:rFonts w:cs="Times New Roman"/>
          <w:noProof/>
          <w:szCs w:val="24"/>
          <w:lang w:val="en-GB"/>
        </w:rPr>
        <w:t xml:space="preserve"> due care. </w:t>
      </w:r>
      <w:r w:rsidR="00781E7C">
        <w:rPr>
          <w:rFonts w:cs="Times New Roman"/>
          <w:i/>
          <w:iCs/>
          <w:noProof/>
          <w:szCs w:val="24"/>
          <w:lang w:val="en-GB"/>
        </w:rPr>
        <w:t>F</w:t>
      </w:r>
      <w:r w:rsidRPr="00724676">
        <w:rPr>
          <w:rFonts w:cs="Times New Roman"/>
          <w:i/>
          <w:iCs/>
          <w:noProof/>
          <w:szCs w:val="24"/>
          <w:lang w:val="en-GB"/>
        </w:rPr>
        <w:t>orce majeure</w:t>
      </w:r>
      <w:r w:rsidRPr="00724676">
        <w:rPr>
          <w:rFonts w:cs="Times New Roman"/>
          <w:noProof/>
          <w:szCs w:val="24"/>
          <w:lang w:val="en-GB"/>
        </w:rPr>
        <w:t xml:space="preserve"> excuses such a farmer from certain legal consequences that would normally result from non-compliance. The decision </w:t>
      </w:r>
      <w:r w:rsidR="00216920">
        <w:rPr>
          <w:rFonts w:cs="Times New Roman"/>
          <w:noProof/>
          <w:szCs w:val="24"/>
          <w:lang w:val="en-GB"/>
        </w:rPr>
        <w:t>to recognise</w:t>
      </w:r>
      <w:r w:rsidR="00216920" w:rsidRPr="00724676">
        <w:rPr>
          <w:rFonts w:cs="Times New Roman"/>
          <w:noProof/>
          <w:szCs w:val="24"/>
          <w:lang w:val="en-GB"/>
        </w:rPr>
        <w:t xml:space="preserve"> </w:t>
      </w:r>
      <w:r w:rsidRPr="00724676">
        <w:rPr>
          <w:rFonts w:cs="Times New Roman"/>
          <w:i/>
          <w:iCs/>
          <w:noProof/>
          <w:szCs w:val="24"/>
          <w:lang w:val="en-GB"/>
        </w:rPr>
        <w:t>force majeure</w:t>
      </w:r>
      <w:r w:rsidRPr="00724676">
        <w:rPr>
          <w:rFonts w:cs="Times New Roman"/>
          <w:noProof/>
          <w:szCs w:val="24"/>
          <w:lang w:val="en-GB"/>
        </w:rPr>
        <w:t xml:space="preserve"> is taken by </w:t>
      </w:r>
      <w:r w:rsidR="00216920">
        <w:rPr>
          <w:rFonts w:cs="Times New Roman"/>
          <w:noProof/>
          <w:szCs w:val="24"/>
          <w:lang w:val="en-GB"/>
        </w:rPr>
        <w:t xml:space="preserve">the </w:t>
      </w:r>
      <w:r w:rsidRPr="00724676">
        <w:rPr>
          <w:rFonts w:cs="Times New Roman"/>
          <w:noProof/>
          <w:szCs w:val="24"/>
          <w:lang w:val="en-GB"/>
        </w:rPr>
        <w:t xml:space="preserve">Member State authorities, based on the relevant evidence. </w:t>
      </w:r>
    </w:p>
    <w:p w14:paraId="6E4AA96F" w14:textId="025A5F3B" w:rsidR="007E71A5" w:rsidRPr="00724676" w:rsidRDefault="007E71A5" w:rsidP="001218ED">
      <w:pPr>
        <w:spacing w:after="120"/>
        <w:jc w:val="both"/>
        <w:rPr>
          <w:rFonts w:cs="Times New Roman"/>
          <w:noProof/>
          <w:szCs w:val="24"/>
          <w:lang w:val="en-GB"/>
        </w:rPr>
      </w:pPr>
      <w:r w:rsidRPr="5B7F1876">
        <w:rPr>
          <w:rFonts w:cs="Times New Roman"/>
          <w:noProof/>
          <w:lang w:val="en-GB"/>
        </w:rPr>
        <w:t xml:space="preserve">On </w:t>
      </w:r>
      <w:r w:rsidR="00633C51" w:rsidRPr="5B7F1876">
        <w:rPr>
          <w:rFonts w:cs="Times New Roman"/>
          <w:noProof/>
          <w:lang w:val="en-GB"/>
        </w:rPr>
        <w:t>30</w:t>
      </w:r>
      <w:r w:rsidR="3B11440D" w:rsidRPr="5B7F1876">
        <w:rPr>
          <w:rFonts w:cs="Times New Roman"/>
          <w:noProof/>
          <w:lang w:val="en-GB"/>
        </w:rPr>
        <w:t xml:space="preserve"> Ma</w:t>
      </w:r>
      <w:r w:rsidR="00913DD8" w:rsidRPr="5B7F1876">
        <w:rPr>
          <w:rFonts w:cs="Times New Roman"/>
          <w:noProof/>
          <w:lang w:val="en-GB"/>
        </w:rPr>
        <w:t>y</w:t>
      </w:r>
      <w:r w:rsidR="3B11440D" w:rsidRPr="5B7F1876">
        <w:rPr>
          <w:rFonts w:cs="Times New Roman"/>
          <w:noProof/>
          <w:lang w:val="en-GB"/>
        </w:rPr>
        <w:t xml:space="preserve"> 2024</w:t>
      </w:r>
      <w:r w:rsidR="003F25C2" w:rsidRPr="5B7F1876">
        <w:rPr>
          <w:rFonts w:cs="Times New Roman"/>
          <w:noProof/>
          <w:lang w:val="en-GB"/>
        </w:rPr>
        <w:t xml:space="preserve"> </w:t>
      </w:r>
      <w:r w:rsidRPr="5B7F1876">
        <w:rPr>
          <w:rFonts w:cs="Times New Roman"/>
          <w:noProof/>
          <w:lang w:val="en-GB"/>
        </w:rPr>
        <w:t xml:space="preserve">the Commission adopted </w:t>
      </w:r>
      <w:r w:rsidRPr="003E7CF4">
        <w:rPr>
          <w:rFonts w:cs="Times New Roman"/>
          <w:b/>
          <w:bCs/>
          <w:noProof/>
          <w:lang w:val="en-GB"/>
        </w:rPr>
        <w:t>a Communication to the Council</w:t>
      </w:r>
      <w:r w:rsidRPr="5B7F1876">
        <w:rPr>
          <w:rFonts w:cs="Times New Roman"/>
          <w:noProof/>
          <w:lang w:val="en-GB"/>
        </w:rPr>
        <w:t xml:space="preserve"> on </w:t>
      </w:r>
      <w:r w:rsidRPr="5B7F1876">
        <w:rPr>
          <w:rFonts w:cs="Times New Roman"/>
          <w:i/>
          <w:iCs/>
          <w:noProof/>
          <w:lang w:val="en-GB"/>
        </w:rPr>
        <w:t>force majeure</w:t>
      </w:r>
      <w:r w:rsidRPr="5B7F1876">
        <w:rPr>
          <w:rFonts w:cs="Times New Roman"/>
          <w:noProof/>
          <w:lang w:val="en-GB"/>
        </w:rPr>
        <w:t xml:space="preserve"> and exceptional circumstances</w:t>
      </w:r>
      <w:r w:rsidR="00F578ED" w:rsidRPr="5B7F1876">
        <w:rPr>
          <w:rStyle w:val="FootnoteReference"/>
          <w:rFonts w:cs="Times New Roman"/>
          <w:noProof/>
          <w:lang w:val="en-GB"/>
        </w:rPr>
        <w:footnoteReference w:id="35"/>
      </w:r>
      <w:r w:rsidR="003F25C2" w:rsidRPr="5B7F1876">
        <w:rPr>
          <w:rFonts w:cs="Times New Roman"/>
          <w:noProof/>
          <w:lang w:val="en-GB"/>
        </w:rPr>
        <w:t xml:space="preserve"> </w:t>
      </w:r>
      <w:r w:rsidR="007F04D9" w:rsidRPr="5B7F1876">
        <w:rPr>
          <w:rFonts w:cs="Times New Roman"/>
          <w:noProof/>
          <w:lang w:val="en-GB"/>
        </w:rPr>
        <w:t>in the</w:t>
      </w:r>
      <w:r w:rsidRPr="5B7F1876">
        <w:rPr>
          <w:rFonts w:cs="Times New Roman"/>
          <w:noProof/>
          <w:lang w:val="en-GB"/>
        </w:rPr>
        <w:t xml:space="preserve"> Horizontal Regulation. The Communication </w:t>
      </w:r>
      <w:r w:rsidRPr="003E7CF4">
        <w:rPr>
          <w:rFonts w:cs="Times New Roman"/>
          <w:b/>
          <w:bCs/>
          <w:noProof/>
          <w:lang w:val="en-GB"/>
        </w:rPr>
        <w:t xml:space="preserve">clarifies the application </w:t>
      </w:r>
      <w:r w:rsidR="0003365A" w:rsidRPr="003E7CF4">
        <w:rPr>
          <w:rFonts w:cs="Times New Roman"/>
          <w:b/>
          <w:bCs/>
          <w:noProof/>
          <w:lang w:val="en-GB"/>
        </w:rPr>
        <w:t>of this concept</w:t>
      </w:r>
      <w:r w:rsidR="000A553A" w:rsidRPr="5B7F1876">
        <w:rPr>
          <w:rFonts w:cs="Times New Roman"/>
          <w:noProof/>
          <w:lang w:val="en-GB"/>
        </w:rPr>
        <w:t xml:space="preserve">, focusing on </w:t>
      </w:r>
      <w:r w:rsidR="000A553A" w:rsidRPr="003E7CF4">
        <w:rPr>
          <w:rFonts w:cs="Times New Roman"/>
          <w:b/>
          <w:bCs/>
          <w:noProof/>
          <w:lang w:val="en-GB"/>
        </w:rPr>
        <w:t>its application</w:t>
      </w:r>
      <w:r w:rsidR="00FF7467" w:rsidRPr="003E7CF4">
        <w:rPr>
          <w:rFonts w:cs="Times New Roman"/>
          <w:b/>
          <w:bCs/>
          <w:noProof/>
          <w:lang w:val="en-GB"/>
        </w:rPr>
        <w:t xml:space="preserve"> </w:t>
      </w:r>
      <w:r w:rsidR="00216920" w:rsidRPr="003E7CF4">
        <w:rPr>
          <w:rFonts w:cs="Times New Roman"/>
          <w:b/>
          <w:bCs/>
          <w:noProof/>
          <w:lang w:val="en-GB"/>
        </w:rPr>
        <w:t xml:space="preserve">based </w:t>
      </w:r>
      <w:r w:rsidRPr="003E7CF4">
        <w:rPr>
          <w:rFonts w:cs="Times New Roman"/>
          <w:b/>
          <w:bCs/>
          <w:noProof/>
          <w:lang w:val="en-GB"/>
        </w:rPr>
        <w:t>on an area</w:t>
      </w:r>
      <w:r w:rsidRPr="5B7F1876">
        <w:rPr>
          <w:rFonts w:cs="Times New Roman"/>
          <w:noProof/>
          <w:lang w:val="en-GB"/>
        </w:rPr>
        <w:t xml:space="preserve"> rather than on</w:t>
      </w:r>
      <w:r w:rsidR="00214885" w:rsidRPr="5B7F1876">
        <w:rPr>
          <w:rFonts w:cs="Times New Roman"/>
          <w:noProof/>
          <w:lang w:val="en-GB"/>
        </w:rPr>
        <w:t xml:space="preserve"> </w:t>
      </w:r>
      <w:r w:rsidRPr="5B7F1876">
        <w:rPr>
          <w:rFonts w:cs="Times New Roman"/>
          <w:noProof/>
          <w:lang w:val="en-GB"/>
        </w:rPr>
        <w:t xml:space="preserve">a case-by-case assessment. This responds to requests from Member States </w:t>
      </w:r>
      <w:r w:rsidR="00DC0091" w:rsidRPr="5B7F1876">
        <w:rPr>
          <w:rFonts w:cs="Times New Roman"/>
          <w:noProof/>
          <w:lang w:val="en-GB"/>
        </w:rPr>
        <w:t xml:space="preserve">for </w:t>
      </w:r>
      <w:r w:rsidR="00216920" w:rsidRPr="5B7F1876">
        <w:rPr>
          <w:rFonts w:cs="Times New Roman"/>
          <w:noProof/>
          <w:lang w:val="en-GB"/>
        </w:rPr>
        <w:t xml:space="preserve">greater </w:t>
      </w:r>
      <w:r w:rsidR="00D76D88" w:rsidRPr="5B7F1876">
        <w:rPr>
          <w:rFonts w:cs="Times New Roman"/>
          <w:noProof/>
          <w:lang w:val="en-GB"/>
        </w:rPr>
        <w:t xml:space="preserve">clarity about </w:t>
      </w:r>
      <w:r w:rsidR="00216920" w:rsidRPr="5B7F1876">
        <w:rPr>
          <w:rFonts w:cs="Times New Roman"/>
          <w:noProof/>
          <w:lang w:val="en-GB"/>
        </w:rPr>
        <w:t>applying this concept</w:t>
      </w:r>
      <w:r w:rsidR="00D76D88" w:rsidRPr="5B7F1876">
        <w:rPr>
          <w:rFonts w:cs="Times New Roman"/>
          <w:noProof/>
          <w:lang w:val="en-GB"/>
        </w:rPr>
        <w:t xml:space="preserve"> and </w:t>
      </w:r>
      <w:r w:rsidR="00216920" w:rsidRPr="5B7F1876">
        <w:rPr>
          <w:rFonts w:cs="Times New Roman"/>
          <w:noProof/>
          <w:lang w:val="en-GB"/>
        </w:rPr>
        <w:t xml:space="preserve">for greater </w:t>
      </w:r>
      <w:r w:rsidR="00D76D88" w:rsidRPr="5B7F1876">
        <w:rPr>
          <w:rFonts w:cs="Times New Roman"/>
          <w:noProof/>
          <w:lang w:val="en-GB"/>
        </w:rPr>
        <w:t xml:space="preserve">certainty for farmers as regards their </w:t>
      </w:r>
      <w:r w:rsidR="00723F2A" w:rsidRPr="5B7F1876">
        <w:rPr>
          <w:rFonts w:cs="Times New Roman"/>
          <w:noProof/>
          <w:lang w:val="en-GB"/>
        </w:rPr>
        <w:t xml:space="preserve">CAP support in </w:t>
      </w:r>
      <w:r w:rsidR="004A72B8" w:rsidRPr="5B7F1876">
        <w:rPr>
          <w:rFonts w:cs="Times New Roman"/>
          <w:noProof/>
          <w:lang w:val="en-GB"/>
        </w:rPr>
        <w:t xml:space="preserve">such </w:t>
      </w:r>
      <w:r w:rsidR="00723F2A" w:rsidRPr="5B7F1876">
        <w:rPr>
          <w:rFonts w:cs="Times New Roman"/>
          <w:noProof/>
          <w:lang w:val="en-GB"/>
        </w:rPr>
        <w:t>cases</w:t>
      </w:r>
      <w:r w:rsidR="004A72B8" w:rsidRPr="5B7F1876">
        <w:rPr>
          <w:rFonts w:cs="Times New Roman"/>
          <w:noProof/>
          <w:lang w:val="en-GB"/>
        </w:rPr>
        <w:t>.</w:t>
      </w:r>
    </w:p>
    <w:p w14:paraId="26CAF505" w14:textId="732FE7F3" w:rsidR="007E71A5" w:rsidRPr="00724676" w:rsidRDefault="007E71A5" w:rsidP="03E52E91">
      <w:pPr>
        <w:spacing w:after="120"/>
        <w:jc w:val="both"/>
        <w:rPr>
          <w:rFonts w:cs="Times New Roman"/>
          <w:noProof/>
          <w:szCs w:val="24"/>
          <w:lang w:val="en-GB"/>
        </w:rPr>
      </w:pPr>
      <w:r w:rsidRPr="00724676">
        <w:rPr>
          <w:rFonts w:cs="Times New Roman"/>
          <w:noProof/>
          <w:szCs w:val="24"/>
          <w:lang w:val="en-GB"/>
        </w:rPr>
        <w:t xml:space="preserve">The Commission </w:t>
      </w:r>
      <w:r w:rsidR="00216920">
        <w:rPr>
          <w:rFonts w:cs="Times New Roman"/>
          <w:noProof/>
          <w:szCs w:val="24"/>
          <w:lang w:val="en-GB"/>
        </w:rPr>
        <w:t xml:space="preserve">has </w:t>
      </w:r>
      <w:r w:rsidRPr="00724676">
        <w:rPr>
          <w:rFonts w:cs="Times New Roman"/>
          <w:noProof/>
          <w:szCs w:val="24"/>
          <w:lang w:val="en-GB"/>
        </w:rPr>
        <w:t>clarifie</w:t>
      </w:r>
      <w:r w:rsidR="00216920">
        <w:rPr>
          <w:rFonts w:cs="Times New Roman"/>
          <w:noProof/>
          <w:szCs w:val="24"/>
          <w:lang w:val="en-GB"/>
        </w:rPr>
        <w:t>d</w:t>
      </w:r>
      <w:r w:rsidRPr="00724676">
        <w:rPr>
          <w:rFonts w:cs="Times New Roman"/>
          <w:noProof/>
          <w:szCs w:val="24"/>
          <w:lang w:val="en-GB"/>
        </w:rPr>
        <w:t xml:space="preserve"> that </w:t>
      </w:r>
      <w:r w:rsidR="00216920">
        <w:rPr>
          <w:rFonts w:cs="Times New Roman"/>
          <w:noProof/>
          <w:szCs w:val="24"/>
          <w:lang w:val="en-GB"/>
        </w:rPr>
        <w:t>if</w:t>
      </w:r>
      <w:r w:rsidRPr="00724676">
        <w:rPr>
          <w:rFonts w:cs="Times New Roman"/>
          <w:noProof/>
          <w:szCs w:val="24"/>
          <w:lang w:val="en-GB"/>
        </w:rPr>
        <w:t xml:space="preserve"> </w:t>
      </w:r>
      <w:r w:rsidR="00F37AAF" w:rsidRPr="00724676">
        <w:rPr>
          <w:rFonts w:cs="Times New Roman"/>
          <w:noProof/>
          <w:szCs w:val="24"/>
          <w:lang w:val="en-GB"/>
        </w:rPr>
        <w:t xml:space="preserve">severe </w:t>
      </w:r>
      <w:r w:rsidRPr="00724676">
        <w:rPr>
          <w:rFonts w:cs="Times New Roman"/>
          <w:noProof/>
          <w:szCs w:val="24"/>
          <w:lang w:val="en-GB"/>
        </w:rPr>
        <w:t>natural disasters or severe meteorological events</w:t>
      </w:r>
      <w:r w:rsidR="00216920">
        <w:rPr>
          <w:rFonts w:cs="Times New Roman"/>
          <w:noProof/>
          <w:szCs w:val="24"/>
          <w:lang w:val="en-GB"/>
        </w:rPr>
        <w:t>,</w:t>
      </w:r>
      <w:r w:rsidRPr="00724676">
        <w:rPr>
          <w:rFonts w:cs="Times New Roman"/>
          <w:noProof/>
          <w:szCs w:val="24"/>
          <w:lang w:val="en-GB"/>
        </w:rPr>
        <w:t xml:space="preserve"> </w:t>
      </w:r>
      <w:r w:rsidR="00F37AAF" w:rsidRPr="00724676">
        <w:rPr>
          <w:rFonts w:cs="Times New Roman"/>
          <w:noProof/>
          <w:szCs w:val="24"/>
          <w:lang w:val="en-GB"/>
        </w:rPr>
        <w:t>such as flooding or fires</w:t>
      </w:r>
      <w:r w:rsidR="00216920">
        <w:rPr>
          <w:rFonts w:cs="Times New Roman"/>
          <w:noProof/>
          <w:szCs w:val="24"/>
          <w:lang w:val="en-GB"/>
        </w:rPr>
        <w:t>,</w:t>
      </w:r>
      <w:r w:rsidR="00F37AAF" w:rsidRPr="00724676">
        <w:rPr>
          <w:rFonts w:cs="Times New Roman"/>
          <w:noProof/>
          <w:szCs w:val="24"/>
          <w:lang w:val="en-GB"/>
        </w:rPr>
        <w:t xml:space="preserve"> gravely </w:t>
      </w:r>
      <w:r w:rsidRPr="00724676">
        <w:rPr>
          <w:rFonts w:cs="Times New Roman"/>
          <w:noProof/>
          <w:szCs w:val="24"/>
          <w:lang w:val="en-GB"/>
        </w:rPr>
        <w:t xml:space="preserve">affect </w:t>
      </w:r>
      <w:r w:rsidR="00352370" w:rsidRPr="00724676">
        <w:rPr>
          <w:rFonts w:cs="Times New Roman"/>
          <w:noProof/>
          <w:szCs w:val="24"/>
          <w:lang w:val="en-GB"/>
        </w:rPr>
        <w:t xml:space="preserve">a </w:t>
      </w:r>
      <w:r w:rsidR="00216920">
        <w:rPr>
          <w:rFonts w:cs="Times New Roman"/>
          <w:noProof/>
          <w:szCs w:val="24"/>
          <w:lang w:val="en-GB"/>
        </w:rPr>
        <w:t xml:space="preserve">clearly </w:t>
      </w:r>
      <w:r w:rsidR="00352370" w:rsidRPr="00724676">
        <w:rPr>
          <w:rFonts w:cs="Times New Roman"/>
          <w:noProof/>
          <w:szCs w:val="24"/>
          <w:lang w:val="en-GB"/>
        </w:rPr>
        <w:t xml:space="preserve">defined </w:t>
      </w:r>
      <w:r w:rsidRPr="00724676">
        <w:rPr>
          <w:rFonts w:cs="Times New Roman"/>
          <w:noProof/>
          <w:szCs w:val="24"/>
          <w:lang w:val="en-GB"/>
        </w:rPr>
        <w:t xml:space="preserve">area, </w:t>
      </w:r>
      <w:r w:rsidR="00216920">
        <w:rPr>
          <w:rFonts w:cs="Times New Roman"/>
          <w:noProof/>
          <w:szCs w:val="24"/>
          <w:lang w:val="en-GB"/>
        </w:rPr>
        <w:t xml:space="preserve">a </w:t>
      </w:r>
      <w:r w:rsidRPr="00724676">
        <w:rPr>
          <w:rFonts w:cs="Times New Roman"/>
          <w:noProof/>
          <w:szCs w:val="24"/>
          <w:lang w:val="en-GB"/>
        </w:rPr>
        <w:t>Member State may presume that the farmers in th</w:t>
      </w:r>
      <w:r w:rsidR="00352370" w:rsidRPr="00724676">
        <w:rPr>
          <w:rFonts w:cs="Times New Roman"/>
          <w:noProof/>
          <w:szCs w:val="24"/>
          <w:lang w:val="en-GB"/>
        </w:rPr>
        <w:t>e</w:t>
      </w:r>
      <w:r w:rsidRPr="00724676">
        <w:rPr>
          <w:rFonts w:cs="Times New Roman"/>
          <w:noProof/>
          <w:szCs w:val="24"/>
          <w:lang w:val="en-GB"/>
        </w:rPr>
        <w:t xml:space="preserve"> area </w:t>
      </w:r>
      <w:r w:rsidR="003036F3" w:rsidRPr="00724676">
        <w:rPr>
          <w:rFonts w:cs="Times New Roman"/>
          <w:noProof/>
          <w:szCs w:val="24"/>
          <w:lang w:val="en-GB"/>
        </w:rPr>
        <w:t>affected by the abnormal event</w:t>
      </w:r>
      <w:r w:rsidR="00216920">
        <w:rPr>
          <w:rFonts w:cs="Times New Roman"/>
          <w:noProof/>
          <w:szCs w:val="24"/>
          <w:lang w:val="en-GB"/>
        </w:rPr>
        <w:t>,</w:t>
      </w:r>
      <w:r w:rsidR="003036F3" w:rsidRPr="00724676">
        <w:rPr>
          <w:rFonts w:cs="Times New Roman"/>
          <w:noProof/>
          <w:szCs w:val="24"/>
          <w:lang w:val="en-GB"/>
        </w:rPr>
        <w:t xml:space="preserve"> whose consequences could not be prevented with all due care, are covered by </w:t>
      </w:r>
      <w:r w:rsidRPr="00724676">
        <w:rPr>
          <w:rFonts w:cs="Times New Roman"/>
          <w:i/>
          <w:iCs/>
          <w:noProof/>
          <w:szCs w:val="24"/>
          <w:lang w:val="en-GB"/>
        </w:rPr>
        <w:t>force majeure</w:t>
      </w:r>
      <w:r w:rsidR="00216920">
        <w:rPr>
          <w:rFonts w:cs="Times New Roman"/>
          <w:i/>
          <w:iCs/>
          <w:noProof/>
          <w:szCs w:val="24"/>
          <w:lang w:val="en-GB"/>
        </w:rPr>
        <w:t xml:space="preserve">. </w:t>
      </w:r>
      <w:r w:rsidR="00216920">
        <w:rPr>
          <w:rFonts w:cs="Times New Roman"/>
          <w:noProof/>
          <w:szCs w:val="24"/>
          <w:lang w:val="en-GB"/>
        </w:rPr>
        <w:t>The Member State may make this presumption</w:t>
      </w:r>
      <w:r w:rsidRPr="00724676">
        <w:rPr>
          <w:rFonts w:cs="Times New Roman"/>
          <w:noProof/>
          <w:szCs w:val="24"/>
          <w:lang w:val="en-GB"/>
        </w:rPr>
        <w:t xml:space="preserve"> provided that the determination of the area, of the population of farmers </w:t>
      </w:r>
      <w:r w:rsidR="00002990">
        <w:rPr>
          <w:rFonts w:cs="Times New Roman"/>
          <w:noProof/>
          <w:szCs w:val="24"/>
          <w:lang w:val="en-GB"/>
        </w:rPr>
        <w:t>inside it</w:t>
      </w:r>
      <w:r w:rsidRPr="00724676">
        <w:rPr>
          <w:rFonts w:cs="Times New Roman"/>
          <w:noProof/>
          <w:szCs w:val="24"/>
          <w:lang w:val="en-GB"/>
        </w:rPr>
        <w:t xml:space="preserve">, and where relevant, of the affected </w:t>
      </w:r>
      <w:r w:rsidR="00977141" w:rsidRPr="00724676">
        <w:rPr>
          <w:rFonts w:cs="Times New Roman"/>
          <w:noProof/>
          <w:szCs w:val="24"/>
          <w:lang w:val="en-GB"/>
        </w:rPr>
        <w:t xml:space="preserve">CAP </w:t>
      </w:r>
      <w:r w:rsidRPr="00724676">
        <w:rPr>
          <w:rFonts w:cs="Times New Roman"/>
          <w:noProof/>
          <w:szCs w:val="24"/>
          <w:lang w:val="en-GB"/>
        </w:rPr>
        <w:t xml:space="preserve">obligations, </w:t>
      </w:r>
      <w:r w:rsidR="003036F3" w:rsidRPr="00724676">
        <w:rPr>
          <w:rFonts w:cs="Times New Roman"/>
          <w:noProof/>
          <w:szCs w:val="24"/>
          <w:lang w:val="en-GB"/>
        </w:rPr>
        <w:t xml:space="preserve">is </w:t>
      </w:r>
      <w:r w:rsidRPr="00724676">
        <w:rPr>
          <w:rFonts w:cs="Times New Roman"/>
          <w:noProof/>
          <w:szCs w:val="24"/>
          <w:lang w:val="en-GB"/>
        </w:rPr>
        <w:t xml:space="preserve">undertaken in </w:t>
      </w:r>
      <w:r w:rsidR="00002990">
        <w:rPr>
          <w:rFonts w:cs="Times New Roman"/>
          <w:noProof/>
          <w:szCs w:val="24"/>
          <w:lang w:val="en-GB"/>
        </w:rPr>
        <w:t xml:space="preserve">such </w:t>
      </w:r>
      <w:r w:rsidRPr="00724676">
        <w:rPr>
          <w:rFonts w:cs="Times New Roman"/>
          <w:noProof/>
          <w:szCs w:val="24"/>
          <w:lang w:val="en-GB"/>
        </w:rPr>
        <w:t xml:space="preserve">a way </w:t>
      </w:r>
      <w:r w:rsidR="00002990">
        <w:rPr>
          <w:rFonts w:cs="Times New Roman"/>
          <w:noProof/>
          <w:szCs w:val="24"/>
          <w:lang w:val="en-GB"/>
        </w:rPr>
        <w:t xml:space="preserve">that makes it possible </w:t>
      </w:r>
      <w:r w:rsidR="00F31AD9" w:rsidRPr="00724676">
        <w:rPr>
          <w:rFonts w:cs="Times New Roman"/>
          <w:noProof/>
          <w:szCs w:val="24"/>
          <w:lang w:val="en-GB"/>
        </w:rPr>
        <w:t xml:space="preserve">to conclude </w:t>
      </w:r>
      <w:r w:rsidRPr="00724676">
        <w:rPr>
          <w:rFonts w:cs="Times New Roman"/>
          <w:noProof/>
          <w:szCs w:val="24"/>
          <w:lang w:val="en-GB"/>
        </w:rPr>
        <w:t xml:space="preserve">that the conditions of </w:t>
      </w:r>
      <w:r w:rsidRPr="00724676">
        <w:rPr>
          <w:rFonts w:cs="Times New Roman"/>
          <w:i/>
          <w:iCs/>
          <w:noProof/>
          <w:szCs w:val="24"/>
          <w:lang w:val="en-GB"/>
        </w:rPr>
        <w:t>force majeure</w:t>
      </w:r>
      <w:r w:rsidRPr="00724676">
        <w:rPr>
          <w:rFonts w:cs="Times New Roman"/>
          <w:noProof/>
          <w:szCs w:val="24"/>
          <w:lang w:val="en-GB"/>
        </w:rPr>
        <w:t xml:space="preserve"> are individually met by the farmers concerned.</w:t>
      </w:r>
    </w:p>
    <w:p w14:paraId="7E20BCEC" w14:textId="1C1709A7" w:rsidR="00EA1A91" w:rsidRPr="00724676" w:rsidRDefault="00EC0CA2" w:rsidP="006807F6">
      <w:pPr>
        <w:pStyle w:val="Heading2"/>
        <w:spacing w:before="240"/>
        <w:rPr>
          <w:noProof/>
          <w:lang w:val="en-GB"/>
        </w:rPr>
      </w:pPr>
      <w:bookmarkStart w:id="87" w:name="_Toc167974748"/>
      <w:bookmarkStart w:id="88" w:name="_Toc172125129"/>
      <w:bookmarkStart w:id="89" w:name="_Toc1416831849"/>
      <w:bookmarkStart w:id="90" w:name="_Toc455529795"/>
      <w:bookmarkStart w:id="91" w:name="_Toc1187902159"/>
      <w:r w:rsidRPr="00724676">
        <w:rPr>
          <w:noProof/>
          <w:lang w:val="en-GB"/>
        </w:rPr>
        <w:lastRenderedPageBreak/>
        <w:t>5</w:t>
      </w:r>
      <w:r w:rsidR="00790DFB" w:rsidRPr="00724676">
        <w:rPr>
          <w:noProof/>
          <w:lang w:val="en-GB"/>
        </w:rPr>
        <w:t xml:space="preserve">.2. </w:t>
      </w:r>
      <w:r w:rsidR="00426DA3" w:rsidRPr="00724676">
        <w:rPr>
          <w:noProof/>
          <w:lang w:val="en-GB"/>
        </w:rPr>
        <w:t xml:space="preserve">CAP </w:t>
      </w:r>
      <w:r w:rsidRPr="00724676">
        <w:rPr>
          <w:noProof/>
          <w:lang w:val="en-GB"/>
        </w:rPr>
        <w:t>Strategic Plans:</w:t>
      </w:r>
      <w:r w:rsidR="00426DA3" w:rsidRPr="00724676">
        <w:rPr>
          <w:noProof/>
          <w:lang w:val="en-GB"/>
        </w:rPr>
        <w:t xml:space="preserve"> </w:t>
      </w:r>
      <w:bookmarkEnd w:id="87"/>
      <w:r w:rsidRPr="00724676">
        <w:rPr>
          <w:noProof/>
          <w:lang w:val="en-GB"/>
        </w:rPr>
        <w:t>the green architecture</w:t>
      </w:r>
      <w:bookmarkEnd w:id="88"/>
      <w:r w:rsidR="001D2834" w:rsidRPr="00724676">
        <w:rPr>
          <w:noProof/>
          <w:lang w:val="en-GB"/>
        </w:rPr>
        <w:t xml:space="preserve"> </w:t>
      </w:r>
    </w:p>
    <w:p w14:paraId="3AAF7E0E" w14:textId="0CF2103C" w:rsidR="00031B3A" w:rsidRPr="00724676" w:rsidRDefault="00CC0925" w:rsidP="00921335">
      <w:pPr>
        <w:pStyle w:val="NoSpacing"/>
        <w:spacing w:after="120"/>
        <w:rPr>
          <w:rStyle w:val="Style2Char"/>
          <w:rFonts w:eastAsia="Calibri"/>
          <w:b w:val="0"/>
          <w:bCs w:val="0"/>
          <w:lang w:val="en-GB"/>
        </w:rPr>
      </w:pPr>
      <w:bookmarkStart w:id="92" w:name="_Toc167974749"/>
      <w:bookmarkStart w:id="93" w:name="_Toc168422357"/>
      <w:bookmarkStart w:id="94" w:name="_Toc168422662"/>
      <w:bookmarkStart w:id="95" w:name="_Toc169115023"/>
      <w:bookmarkStart w:id="96" w:name="_Toc171106327"/>
      <w:bookmarkStart w:id="97" w:name="_Toc171432238"/>
      <w:bookmarkStart w:id="98" w:name="_Toc171444112"/>
      <w:r w:rsidRPr="00724676">
        <w:rPr>
          <w:rStyle w:val="Style2Char"/>
          <w:rFonts w:eastAsia="Calibri"/>
          <w:lang w:val="en-GB"/>
        </w:rPr>
        <w:t>Conditionality</w:t>
      </w:r>
      <w:bookmarkEnd w:id="92"/>
      <w:bookmarkEnd w:id="93"/>
      <w:bookmarkEnd w:id="94"/>
      <w:bookmarkEnd w:id="95"/>
      <w:bookmarkEnd w:id="96"/>
      <w:bookmarkEnd w:id="97"/>
      <w:bookmarkEnd w:id="98"/>
    </w:p>
    <w:p w14:paraId="08FFB135" w14:textId="2FBE4869" w:rsidR="00745321" w:rsidRDefault="0010023D" w:rsidP="006D5C9F">
      <w:pPr>
        <w:pStyle w:val="paragraph"/>
        <w:spacing w:before="0" w:beforeAutospacing="0" w:after="120" w:afterAutospacing="0" w:line="259" w:lineRule="auto"/>
        <w:jc w:val="both"/>
        <w:textAlignment w:val="baseline"/>
        <w:rPr>
          <w:rStyle w:val="normaltextrun"/>
          <w:noProof/>
          <w:lang w:val="en-GB"/>
        </w:rPr>
      </w:pPr>
      <w:r w:rsidRPr="00724676">
        <w:rPr>
          <w:rStyle w:val="normaltextrun"/>
          <w:noProof/>
          <w:lang w:val="en-GB"/>
        </w:rPr>
        <w:t>‘</w:t>
      </w:r>
      <w:r w:rsidR="007A424E" w:rsidRPr="00724676">
        <w:rPr>
          <w:rStyle w:val="normaltextrun"/>
          <w:noProof/>
          <w:lang w:val="en-GB"/>
        </w:rPr>
        <w:t>Conditionality</w:t>
      </w:r>
      <w:r w:rsidRPr="00724676">
        <w:rPr>
          <w:rStyle w:val="normaltextrun"/>
          <w:noProof/>
          <w:lang w:val="en-GB"/>
        </w:rPr>
        <w:t xml:space="preserve">’ </w:t>
      </w:r>
      <w:r w:rsidR="00316D36" w:rsidRPr="00724676">
        <w:rPr>
          <w:rStyle w:val="normaltextrun"/>
          <w:noProof/>
          <w:lang w:val="en-GB"/>
        </w:rPr>
        <w:t xml:space="preserve">requires </w:t>
      </w:r>
      <w:r w:rsidR="007A424E" w:rsidRPr="00724676">
        <w:rPr>
          <w:rStyle w:val="normaltextrun"/>
          <w:noProof/>
          <w:lang w:val="en-GB"/>
        </w:rPr>
        <w:t xml:space="preserve">that </w:t>
      </w:r>
      <w:r w:rsidR="003E3E54" w:rsidRPr="00724676">
        <w:rPr>
          <w:rStyle w:val="normaltextrun"/>
          <w:noProof/>
          <w:lang w:val="en-GB"/>
        </w:rPr>
        <w:t>a</w:t>
      </w:r>
      <w:r w:rsidR="00523350" w:rsidRPr="00724676">
        <w:rPr>
          <w:rStyle w:val="normaltextrun"/>
          <w:noProof/>
          <w:lang w:val="en-GB"/>
        </w:rPr>
        <w:t xml:space="preserve">rea- and animal-based CAP payments received by farmers are linked to the respect of </w:t>
      </w:r>
      <w:r w:rsidR="00F774D8" w:rsidRPr="00724676">
        <w:rPr>
          <w:rStyle w:val="normaltextrun"/>
          <w:noProof/>
          <w:lang w:val="en-GB"/>
        </w:rPr>
        <w:t>certain</w:t>
      </w:r>
      <w:r w:rsidR="00523350" w:rsidRPr="00724676">
        <w:rPr>
          <w:rStyle w:val="normaltextrun"/>
          <w:noProof/>
          <w:lang w:val="en-GB"/>
        </w:rPr>
        <w:t xml:space="preserve"> requirements, including GAEC standards</w:t>
      </w:r>
      <w:r w:rsidR="00D45B3B" w:rsidRPr="00724676">
        <w:rPr>
          <w:rStyle w:val="FootnoteReference"/>
          <w:noProof/>
          <w:lang w:val="en-GB"/>
        </w:rPr>
        <w:footnoteReference w:id="36"/>
      </w:r>
      <w:r w:rsidR="00523350" w:rsidRPr="00724676">
        <w:rPr>
          <w:rStyle w:val="normaltextrun"/>
          <w:noProof/>
          <w:lang w:val="en-GB"/>
        </w:rPr>
        <w:t> in the area</w:t>
      </w:r>
      <w:r w:rsidR="00002990" w:rsidRPr="5B7F1876">
        <w:rPr>
          <w:rStyle w:val="normaltextrun"/>
          <w:noProof/>
          <w:lang w:val="en-GB"/>
        </w:rPr>
        <w:t>s</w:t>
      </w:r>
      <w:r w:rsidR="00523350" w:rsidRPr="00724676">
        <w:rPr>
          <w:rStyle w:val="normaltextrun"/>
          <w:noProof/>
          <w:lang w:val="en-GB"/>
        </w:rPr>
        <w:t xml:space="preserve"> of climate change, water, soil and biodiversity. These standards are defined in the CAP </w:t>
      </w:r>
      <w:r w:rsidR="630FEF43" w:rsidRPr="6FE283EC">
        <w:rPr>
          <w:rStyle w:val="normaltextrun"/>
          <w:noProof/>
          <w:lang w:val="en-GB"/>
        </w:rPr>
        <w:t>P</w:t>
      </w:r>
      <w:r w:rsidR="00523350" w:rsidRPr="00724676">
        <w:rPr>
          <w:rStyle w:val="normaltextrun"/>
          <w:noProof/>
          <w:lang w:val="en-GB"/>
        </w:rPr>
        <w:t>lans</w:t>
      </w:r>
      <w:r w:rsidR="00002990" w:rsidRPr="5B7F1876">
        <w:rPr>
          <w:rStyle w:val="normaltextrun"/>
          <w:noProof/>
          <w:lang w:val="en-GB"/>
        </w:rPr>
        <w:t>,</w:t>
      </w:r>
      <w:r w:rsidR="00523350" w:rsidRPr="00724676">
        <w:rPr>
          <w:rStyle w:val="normaltextrun"/>
          <w:noProof/>
          <w:lang w:val="en-GB"/>
        </w:rPr>
        <w:t xml:space="preserve"> based on the framework and main objectives set </w:t>
      </w:r>
      <w:r w:rsidR="00002990" w:rsidRPr="5B7F1876">
        <w:rPr>
          <w:rStyle w:val="normaltextrun"/>
          <w:noProof/>
          <w:lang w:val="en-GB"/>
        </w:rPr>
        <w:t xml:space="preserve">out </w:t>
      </w:r>
      <w:r w:rsidR="00523350" w:rsidRPr="00724676">
        <w:rPr>
          <w:rStyle w:val="normaltextrun"/>
          <w:noProof/>
          <w:lang w:val="en-GB"/>
        </w:rPr>
        <w:t xml:space="preserve">in the CSP Regulation. </w:t>
      </w:r>
    </w:p>
    <w:p w14:paraId="776621AB" w14:textId="34D019B9" w:rsidR="00523350" w:rsidRPr="00724676" w:rsidRDefault="00523350" w:rsidP="006D5C9F">
      <w:pPr>
        <w:pStyle w:val="paragraph"/>
        <w:spacing w:before="0" w:beforeAutospacing="0" w:after="120" w:afterAutospacing="0" w:line="259" w:lineRule="auto"/>
        <w:jc w:val="both"/>
        <w:textAlignment w:val="baseline"/>
        <w:rPr>
          <w:rFonts w:ascii="Segoe UI" w:hAnsi="Segoe UI" w:cs="Segoe UI"/>
          <w:noProof/>
          <w:sz w:val="18"/>
          <w:szCs w:val="18"/>
          <w:lang w:val="en-GB"/>
        </w:rPr>
      </w:pPr>
      <w:r w:rsidRPr="00724676">
        <w:rPr>
          <w:rStyle w:val="normaltextrun"/>
          <w:noProof/>
          <w:lang w:val="en-GB"/>
        </w:rPr>
        <w:t>In 2023, the first year of the</w:t>
      </w:r>
      <w:r w:rsidR="00002990" w:rsidRPr="5B7F1876">
        <w:rPr>
          <w:rStyle w:val="normaltextrun"/>
          <w:noProof/>
          <w:lang w:val="en-GB"/>
        </w:rPr>
        <w:t xml:space="preserve"> current</w:t>
      </w:r>
      <w:r w:rsidRPr="00724676">
        <w:rPr>
          <w:rStyle w:val="normaltextrun"/>
          <w:noProof/>
          <w:lang w:val="en-GB"/>
        </w:rPr>
        <w:t xml:space="preserve"> CAP</w:t>
      </w:r>
      <w:r w:rsidR="00002990" w:rsidRPr="5B7F1876">
        <w:rPr>
          <w:rStyle w:val="normaltextrun"/>
          <w:noProof/>
          <w:lang w:val="en-GB"/>
        </w:rPr>
        <w:t xml:space="preserve"> period</w:t>
      </w:r>
      <w:r w:rsidRPr="00724676">
        <w:rPr>
          <w:rStyle w:val="normaltextrun"/>
          <w:noProof/>
          <w:lang w:val="en-GB"/>
        </w:rPr>
        <w:t xml:space="preserve">, farmers </w:t>
      </w:r>
      <w:r w:rsidR="008561A1" w:rsidRPr="5B7F1876">
        <w:rPr>
          <w:rStyle w:val="normaltextrun"/>
          <w:noProof/>
          <w:lang w:val="en-GB"/>
        </w:rPr>
        <w:t>encountered difficulties in</w:t>
      </w:r>
      <w:r w:rsidRPr="00724676">
        <w:rPr>
          <w:rStyle w:val="normaltextrun"/>
          <w:noProof/>
          <w:lang w:val="en-GB"/>
        </w:rPr>
        <w:t xml:space="preserve"> fully comply</w:t>
      </w:r>
      <w:r w:rsidR="008561A1" w:rsidRPr="5B7F1876">
        <w:rPr>
          <w:rStyle w:val="normaltextrun"/>
          <w:noProof/>
          <w:lang w:val="en-GB"/>
        </w:rPr>
        <w:t>ing</w:t>
      </w:r>
      <w:r w:rsidRPr="00724676">
        <w:rPr>
          <w:rStyle w:val="normaltextrun"/>
          <w:noProof/>
          <w:lang w:val="en-GB"/>
        </w:rPr>
        <w:t xml:space="preserve"> with some of these </w:t>
      </w:r>
      <w:r w:rsidR="003B008C" w:rsidRPr="00724676">
        <w:rPr>
          <w:rStyle w:val="normaltextrun"/>
          <w:noProof/>
          <w:lang w:val="en-GB"/>
        </w:rPr>
        <w:t>requirements</w:t>
      </w:r>
      <w:r w:rsidR="00002990" w:rsidRPr="5B7F1876">
        <w:rPr>
          <w:rStyle w:val="normaltextrun"/>
          <w:noProof/>
          <w:lang w:val="en-GB"/>
        </w:rPr>
        <w:t>,</w:t>
      </w:r>
      <w:r w:rsidR="003B008C" w:rsidRPr="00724676">
        <w:rPr>
          <w:rStyle w:val="normaltextrun"/>
          <w:noProof/>
          <w:lang w:val="en-GB"/>
        </w:rPr>
        <w:t xml:space="preserve"> </w:t>
      </w:r>
      <w:r w:rsidRPr="00724676">
        <w:rPr>
          <w:rStyle w:val="normaltextrun"/>
          <w:noProof/>
          <w:lang w:val="en-GB"/>
        </w:rPr>
        <w:t xml:space="preserve">which </w:t>
      </w:r>
      <w:r w:rsidR="00002990" w:rsidRPr="5B7F1876">
        <w:rPr>
          <w:rStyle w:val="normaltextrun"/>
          <w:noProof/>
          <w:lang w:val="en-GB"/>
        </w:rPr>
        <w:t>had been</w:t>
      </w:r>
      <w:r w:rsidRPr="00724676">
        <w:rPr>
          <w:rStyle w:val="normaltextrun"/>
          <w:noProof/>
          <w:lang w:val="en-GB"/>
        </w:rPr>
        <w:t xml:space="preserve"> </w:t>
      </w:r>
      <w:r w:rsidR="00002990" w:rsidRPr="5B7F1876">
        <w:rPr>
          <w:rStyle w:val="normaltextrun"/>
          <w:noProof/>
          <w:lang w:val="en-GB"/>
        </w:rPr>
        <w:t xml:space="preserve">strengthened </w:t>
      </w:r>
      <w:r w:rsidRPr="00724676">
        <w:rPr>
          <w:rStyle w:val="normaltextrun"/>
          <w:noProof/>
          <w:lang w:val="en-GB"/>
        </w:rPr>
        <w:t xml:space="preserve">compared to the previous period </w:t>
      </w:r>
      <w:r w:rsidR="00002990" w:rsidRPr="5B7F1876">
        <w:rPr>
          <w:rStyle w:val="normaltextrun"/>
          <w:noProof/>
          <w:lang w:val="en-GB"/>
        </w:rPr>
        <w:t>(</w:t>
      </w:r>
      <w:r w:rsidRPr="00724676">
        <w:rPr>
          <w:rStyle w:val="normaltextrun"/>
          <w:noProof/>
          <w:lang w:val="en-GB"/>
        </w:rPr>
        <w:t>2014-2022</w:t>
      </w:r>
      <w:r w:rsidR="00002990" w:rsidRPr="5B7F1876">
        <w:rPr>
          <w:rStyle w:val="normaltextrun"/>
          <w:noProof/>
          <w:lang w:val="en-GB"/>
        </w:rPr>
        <w:t>)</w:t>
      </w:r>
      <w:r w:rsidRPr="00724676">
        <w:rPr>
          <w:rStyle w:val="normaltextrun"/>
          <w:noProof/>
          <w:lang w:val="en-GB"/>
        </w:rPr>
        <w:t xml:space="preserve">. The measures </w:t>
      </w:r>
      <w:r w:rsidR="00996620" w:rsidRPr="5B7F1876">
        <w:rPr>
          <w:rStyle w:val="normaltextrun"/>
          <w:noProof/>
          <w:lang w:val="en-GB"/>
        </w:rPr>
        <w:t>proposed</w:t>
      </w:r>
      <w:r w:rsidRPr="00724676">
        <w:rPr>
          <w:rStyle w:val="normaltextrun"/>
          <w:noProof/>
          <w:lang w:val="en-GB"/>
        </w:rPr>
        <w:t xml:space="preserve"> by the Commission aim to address these challenges in a </w:t>
      </w:r>
      <w:r w:rsidR="00996620" w:rsidRPr="5B7F1876">
        <w:rPr>
          <w:rStyle w:val="normaltextrun"/>
          <w:noProof/>
          <w:lang w:val="en-GB"/>
        </w:rPr>
        <w:t xml:space="preserve">balanced </w:t>
      </w:r>
      <w:r w:rsidRPr="00724676">
        <w:rPr>
          <w:rStyle w:val="normaltextrun"/>
          <w:noProof/>
          <w:lang w:val="en-GB"/>
        </w:rPr>
        <w:t>and targeted way</w:t>
      </w:r>
      <w:r w:rsidR="00996620" w:rsidRPr="5B7F1876">
        <w:rPr>
          <w:rStyle w:val="normaltextrun"/>
          <w:noProof/>
          <w:lang w:val="en-GB"/>
        </w:rPr>
        <w:t>,</w:t>
      </w:r>
      <w:r w:rsidRPr="00724676">
        <w:rPr>
          <w:rStyle w:val="normaltextrun"/>
          <w:noProof/>
          <w:lang w:val="en-GB"/>
        </w:rPr>
        <w:t xml:space="preserve"> according to the specificities and objectives of each standard.</w:t>
      </w:r>
      <w:r w:rsidRPr="00724676">
        <w:rPr>
          <w:rStyle w:val="eop"/>
          <w:noProof/>
          <w:lang w:val="en-GB"/>
        </w:rPr>
        <w:t> </w:t>
      </w:r>
    </w:p>
    <w:p w14:paraId="7762F700" w14:textId="3EE3A90E" w:rsidR="00523350" w:rsidRPr="00724676" w:rsidRDefault="00523350" w:rsidP="00F34777">
      <w:pPr>
        <w:pStyle w:val="paragraph"/>
        <w:spacing w:before="0" w:beforeAutospacing="0" w:after="120" w:afterAutospacing="0" w:line="259" w:lineRule="auto"/>
        <w:textAlignment w:val="baseline"/>
        <w:rPr>
          <w:rFonts w:ascii="Segoe UI" w:hAnsi="Segoe UI" w:cs="Segoe UI"/>
          <w:b/>
          <w:bCs/>
          <w:i/>
          <w:iCs/>
          <w:noProof/>
          <w:color w:val="2F5496"/>
          <w:sz w:val="18"/>
          <w:szCs w:val="18"/>
          <w:lang w:val="en-GB"/>
        </w:rPr>
      </w:pPr>
      <w:r w:rsidRPr="00724676">
        <w:rPr>
          <w:rStyle w:val="normaltextrun"/>
          <w:b/>
          <w:bCs/>
          <w:noProof/>
          <w:lang w:val="en-GB"/>
        </w:rPr>
        <w:t>GAEC 1</w:t>
      </w:r>
      <w:r w:rsidRPr="00724676">
        <w:rPr>
          <w:rStyle w:val="eop"/>
          <w:b/>
          <w:bCs/>
          <w:i/>
          <w:iCs/>
          <w:noProof/>
          <w:lang w:val="en-GB"/>
        </w:rPr>
        <w:t> </w:t>
      </w:r>
      <w:r w:rsidR="00BA7A64" w:rsidRPr="00724676">
        <w:rPr>
          <w:rStyle w:val="eop"/>
          <w:b/>
          <w:bCs/>
          <w:noProof/>
          <w:lang w:val="en-GB"/>
        </w:rPr>
        <w:t>(Permanent grassland)</w:t>
      </w:r>
    </w:p>
    <w:p w14:paraId="6F13D74B" w14:textId="26150F56" w:rsidR="00523350" w:rsidRPr="00724676" w:rsidRDefault="00523350" w:rsidP="006D5C9F">
      <w:pPr>
        <w:pStyle w:val="paragraph"/>
        <w:spacing w:before="0" w:beforeAutospacing="0" w:after="120" w:afterAutospacing="0" w:line="259" w:lineRule="auto"/>
        <w:jc w:val="both"/>
        <w:textAlignment w:val="baseline"/>
        <w:rPr>
          <w:rFonts w:ascii="Segoe UI" w:hAnsi="Segoe UI" w:cs="Segoe UI"/>
          <w:noProof/>
          <w:sz w:val="18"/>
          <w:szCs w:val="18"/>
          <w:lang w:val="en-GB"/>
        </w:rPr>
      </w:pPr>
      <w:r w:rsidRPr="00724676">
        <w:rPr>
          <w:rStyle w:val="normaltextrun"/>
          <w:noProof/>
          <w:lang w:val="en-GB"/>
        </w:rPr>
        <w:t xml:space="preserve">GAEC </w:t>
      </w:r>
      <w:r w:rsidR="003B008C" w:rsidRPr="00724676">
        <w:rPr>
          <w:rStyle w:val="normaltextrun"/>
          <w:noProof/>
          <w:lang w:val="en-GB"/>
        </w:rPr>
        <w:t xml:space="preserve">standard </w:t>
      </w:r>
      <w:r w:rsidRPr="00724676">
        <w:rPr>
          <w:rStyle w:val="normaltextrun"/>
          <w:noProof/>
          <w:lang w:val="en-GB"/>
        </w:rPr>
        <w:t>1 requires Member States to maintain permanent grassland based on a (national or regional or individual</w:t>
      </w:r>
      <w:r w:rsidR="00565A1B" w:rsidRPr="00724676">
        <w:rPr>
          <w:rStyle w:val="FootnoteReference"/>
          <w:noProof/>
          <w:lang w:val="en-GB"/>
        </w:rPr>
        <w:footnoteReference w:id="37"/>
      </w:r>
      <w:r w:rsidRPr="00724676">
        <w:rPr>
          <w:rStyle w:val="normaltextrun"/>
          <w:noProof/>
          <w:lang w:val="en-GB"/>
        </w:rPr>
        <w:t>) ratio of permanent grassland to agricultural area that is to be compared to the reference year 2018. Where this ratio</w:t>
      </w:r>
      <w:r w:rsidRPr="00724676" w:rsidDel="0064046B">
        <w:rPr>
          <w:rStyle w:val="normaltextrun"/>
          <w:noProof/>
          <w:lang w:val="en-GB"/>
        </w:rPr>
        <w:t xml:space="preserve"> </w:t>
      </w:r>
      <w:r w:rsidR="00BE6A96" w:rsidRPr="5B7F1876">
        <w:rPr>
          <w:rStyle w:val="normaltextrun"/>
          <w:noProof/>
          <w:lang w:val="en-GB"/>
        </w:rPr>
        <w:t xml:space="preserve">has </w:t>
      </w:r>
      <w:r w:rsidRPr="00724676">
        <w:rPr>
          <w:rStyle w:val="normaltextrun"/>
          <w:noProof/>
          <w:lang w:val="en-GB"/>
        </w:rPr>
        <w:t>decreased by more than 5%,</w:t>
      </w:r>
      <w:r w:rsidR="005B58CE">
        <w:rPr>
          <w:rStyle w:val="normaltextrun"/>
          <w:noProof/>
          <w:lang w:val="en-GB"/>
        </w:rPr>
        <w:br/>
      </w:r>
      <w:r w:rsidRPr="00724676">
        <w:rPr>
          <w:rStyle w:val="normaltextrun"/>
          <w:noProof/>
          <w:lang w:val="en-GB"/>
        </w:rPr>
        <w:t xml:space="preserve">the Member State is to impose obligations to establish or (re-)convert land into permanent grassland </w:t>
      </w:r>
      <w:r w:rsidR="0030156A" w:rsidRPr="00724676">
        <w:rPr>
          <w:rStyle w:val="normaltextrun"/>
          <w:noProof/>
          <w:lang w:val="en-GB"/>
        </w:rPr>
        <w:t xml:space="preserve">at holding level for </w:t>
      </w:r>
      <w:r w:rsidRPr="00724676">
        <w:rPr>
          <w:rStyle w:val="normaltextrun"/>
          <w:noProof/>
          <w:lang w:val="en-GB"/>
        </w:rPr>
        <w:t xml:space="preserve">some or all </w:t>
      </w:r>
      <w:r w:rsidR="00BE6A96" w:rsidRPr="5B7F1876">
        <w:rPr>
          <w:rStyle w:val="normaltextrun"/>
          <w:noProof/>
          <w:lang w:val="en-GB"/>
        </w:rPr>
        <w:t xml:space="preserve">of </w:t>
      </w:r>
      <w:r w:rsidRPr="00724676">
        <w:rPr>
          <w:rStyle w:val="normaltextrun"/>
          <w:noProof/>
          <w:lang w:val="en-GB"/>
        </w:rPr>
        <w:t xml:space="preserve">the farmers who have </w:t>
      </w:r>
      <w:r w:rsidR="0030156A" w:rsidRPr="00724676">
        <w:rPr>
          <w:rStyle w:val="normaltextrun"/>
          <w:noProof/>
          <w:lang w:val="en-GB"/>
        </w:rPr>
        <w:t xml:space="preserve">at their disposal </w:t>
      </w:r>
      <w:r w:rsidRPr="00724676">
        <w:rPr>
          <w:rStyle w:val="normaltextrun"/>
          <w:noProof/>
          <w:lang w:val="en-GB"/>
        </w:rPr>
        <w:t xml:space="preserve">areas which </w:t>
      </w:r>
      <w:r w:rsidR="0064046B" w:rsidRPr="00724676">
        <w:rPr>
          <w:rStyle w:val="normaltextrun"/>
          <w:noProof/>
          <w:lang w:val="en-GB"/>
        </w:rPr>
        <w:t xml:space="preserve">had </w:t>
      </w:r>
      <w:r w:rsidRPr="00724676">
        <w:rPr>
          <w:rStyle w:val="normaltextrun"/>
          <w:noProof/>
          <w:lang w:val="en-GB"/>
        </w:rPr>
        <w:t xml:space="preserve">been converted from permanent grassland to other uses. </w:t>
      </w:r>
      <w:r w:rsidR="00BE6A96" w:rsidRPr="5B7F1876">
        <w:rPr>
          <w:rStyle w:val="normaltextrun"/>
          <w:noProof/>
          <w:lang w:val="en-GB"/>
        </w:rPr>
        <w:t>Commission Delegated Regulation</w:t>
      </w:r>
      <w:r w:rsidR="00BE6A96" w:rsidRPr="00724676">
        <w:rPr>
          <w:rStyle w:val="FootnoteReference"/>
          <w:noProof/>
          <w:lang w:val="en-GB"/>
        </w:rPr>
        <w:footnoteReference w:id="38"/>
      </w:r>
      <w:r w:rsidR="00BE6A96" w:rsidRPr="5B7F1876">
        <w:rPr>
          <w:rStyle w:val="normaltextrun"/>
          <w:noProof/>
          <w:lang w:val="en-GB"/>
        </w:rPr>
        <w:t xml:space="preserve"> lays down</w:t>
      </w:r>
      <w:r w:rsidR="00BE6A96" w:rsidRPr="5B7F1876">
        <w:rPr>
          <w:rStyle w:val="eop"/>
          <w:noProof/>
          <w:lang w:val="en-GB"/>
        </w:rPr>
        <w:t> </w:t>
      </w:r>
      <w:r w:rsidR="00BE6A96" w:rsidRPr="5B7F1876">
        <w:rPr>
          <w:rStyle w:val="normaltextrun"/>
          <w:noProof/>
          <w:lang w:val="en-GB"/>
        </w:rPr>
        <w:t>t</w:t>
      </w:r>
      <w:r w:rsidRPr="00724676">
        <w:rPr>
          <w:rStyle w:val="normaltextrun"/>
          <w:noProof/>
          <w:lang w:val="en-GB"/>
        </w:rPr>
        <w:t xml:space="preserve">he rules to ensure </w:t>
      </w:r>
      <w:r w:rsidR="00BE6A96" w:rsidRPr="5B7F1876">
        <w:rPr>
          <w:rStyle w:val="normaltextrun"/>
          <w:noProof/>
          <w:lang w:val="en-GB"/>
        </w:rPr>
        <w:t xml:space="preserve">a </w:t>
      </w:r>
      <w:r w:rsidRPr="00724676">
        <w:rPr>
          <w:rStyle w:val="normaltextrun"/>
          <w:noProof/>
          <w:lang w:val="en-GB"/>
        </w:rPr>
        <w:t>level playing field</w:t>
      </w:r>
      <w:r w:rsidR="0030156A" w:rsidRPr="00724676">
        <w:rPr>
          <w:rStyle w:val="normaltextrun"/>
          <w:noProof/>
          <w:lang w:val="en-GB"/>
        </w:rPr>
        <w:t xml:space="preserve"> when establishing the ratios of permanent grassland</w:t>
      </w:r>
      <w:r w:rsidRPr="00724676">
        <w:rPr>
          <w:rStyle w:val="normaltextrun"/>
          <w:noProof/>
          <w:lang w:val="en-GB"/>
        </w:rPr>
        <w:t xml:space="preserve"> in the application of GAEC 1</w:t>
      </w:r>
      <w:r w:rsidR="00BE6A96" w:rsidRPr="5B7F1876">
        <w:rPr>
          <w:rStyle w:val="normaltextrun"/>
          <w:noProof/>
          <w:lang w:val="en-GB"/>
        </w:rPr>
        <w:t>.</w:t>
      </w:r>
    </w:p>
    <w:p w14:paraId="4EB6C337" w14:textId="15E29B0E" w:rsidR="00523350" w:rsidRPr="00724676" w:rsidRDefault="00523350" w:rsidP="006D5C9F">
      <w:pPr>
        <w:pStyle w:val="paragraph"/>
        <w:spacing w:before="0" w:beforeAutospacing="0" w:after="120" w:afterAutospacing="0" w:line="259" w:lineRule="auto"/>
        <w:jc w:val="both"/>
        <w:textAlignment w:val="baseline"/>
        <w:rPr>
          <w:rFonts w:ascii="Segoe UI" w:hAnsi="Segoe UI" w:cs="Segoe UI"/>
          <w:noProof/>
          <w:sz w:val="18"/>
          <w:szCs w:val="18"/>
          <w:lang w:val="en-GB"/>
        </w:rPr>
      </w:pPr>
      <w:r w:rsidRPr="00724676">
        <w:rPr>
          <w:rStyle w:val="normaltextrun"/>
          <w:noProof/>
          <w:lang w:val="en-GB"/>
        </w:rPr>
        <w:t>The amendment to this Delegated Regulation</w:t>
      </w:r>
      <w:r w:rsidR="0062507C" w:rsidRPr="00A95DF5">
        <w:rPr>
          <w:rStyle w:val="FootnoteReference"/>
          <w:noProof/>
          <w:lang w:val="en-GB"/>
        </w:rPr>
        <w:footnoteReference w:id="39"/>
      </w:r>
      <w:r w:rsidR="00BE6A96" w:rsidRPr="5B7F1876">
        <w:rPr>
          <w:rStyle w:val="normaltextrun"/>
          <w:noProof/>
          <w:lang w:val="en-GB"/>
        </w:rPr>
        <w:t>,</w:t>
      </w:r>
      <w:r w:rsidRPr="00A95DF5">
        <w:rPr>
          <w:rStyle w:val="normaltextrun"/>
          <w:noProof/>
          <w:lang w:val="en-GB"/>
        </w:rPr>
        <w:t xml:space="preserve"> </w:t>
      </w:r>
      <w:r w:rsidRPr="00724676">
        <w:rPr>
          <w:rStyle w:val="normaltextrun"/>
          <w:noProof/>
          <w:lang w:val="en-GB"/>
        </w:rPr>
        <w:t>published on 26 April 2024</w:t>
      </w:r>
      <w:r w:rsidR="00BE6A96" w:rsidRPr="5B7F1876">
        <w:rPr>
          <w:rStyle w:val="normaltextrun"/>
          <w:noProof/>
          <w:lang w:val="en-GB"/>
        </w:rPr>
        <w:t>,</w:t>
      </w:r>
      <w:r w:rsidRPr="00724676">
        <w:rPr>
          <w:rStyle w:val="normaltextrun"/>
          <w:noProof/>
          <w:lang w:val="en-GB"/>
        </w:rPr>
        <w:t xml:space="preserve"> allows Member States to adjust the reference ratio once </w:t>
      </w:r>
      <w:r w:rsidR="00BE6A96" w:rsidRPr="5B7F1876">
        <w:rPr>
          <w:rStyle w:val="normaltextrun"/>
          <w:noProof/>
          <w:lang w:val="en-GB"/>
        </w:rPr>
        <w:t xml:space="preserve">during </w:t>
      </w:r>
      <w:r w:rsidRPr="00724676">
        <w:rPr>
          <w:rStyle w:val="normaltextrun"/>
          <w:noProof/>
          <w:lang w:val="en-GB"/>
        </w:rPr>
        <w:t>the CAP programming period (2023-2027)</w:t>
      </w:r>
      <w:r w:rsidR="00BE6A96" w:rsidRPr="5B7F1876">
        <w:rPr>
          <w:rStyle w:val="normaltextrun"/>
          <w:noProof/>
          <w:lang w:val="en-GB"/>
        </w:rPr>
        <w:t>. This may be done</w:t>
      </w:r>
      <w:r w:rsidRPr="00724676">
        <w:rPr>
          <w:rStyle w:val="normaltextrun"/>
          <w:noProof/>
          <w:lang w:val="en-GB"/>
        </w:rPr>
        <w:t xml:space="preserve"> to reflect post-2018 reductions </w:t>
      </w:r>
      <w:r w:rsidR="00BE6A96" w:rsidRPr="5B7F1876">
        <w:rPr>
          <w:rStyle w:val="normaltextrun"/>
          <w:noProof/>
          <w:lang w:val="en-GB"/>
        </w:rPr>
        <w:t xml:space="preserve">in </w:t>
      </w:r>
      <w:r w:rsidRPr="00724676">
        <w:rPr>
          <w:rStyle w:val="normaltextrun"/>
          <w:noProof/>
          <w:lang w:val="en-GB"/>
        </w:rPr>
        <w:t xml:space="preserve">the area of permanent grassland due to structural changes in the farming system, thus substantially impacting the ability of farmers to </w:t>
      </w:r>
      <w:r w:rsidR="00817DB6" w:rsidRPr="00724676">
        <w:rPr>
          <w:rStyle w:val="normaltextrun"/>
          <w:noProof/>
          <w:lang w:val="en-GB"/>
        </w:rPr>
        <w:t xml:space="preserve">maintain </w:t>
      </w:r>
      <w:r w:rsidRPr="00724676">
        <w:rPr>
          <w:rStyle w:val="normaltextrun"/>
          <w:noProof/>
          <w:lang w:val="en-GB"/>
        </w:rPr>
        <w:t xml:space="preserve">permanent grasslands while maintaining their </w:t>
      </w:r>
      <w:r w:rsidR="00BE6A96" w:rsidRPr="5B7F1876">
        <w:rPr>
          <w:rStyle w:val="normaltextrun"/>
          <w:noProof/>
          <w:lang w:val="en-GB"/>
        </w:rPr>
        <w:t xml:space="preserve">farms’ </w:t>
      </w:r>
      <w:r w:rsidR="007B0DF5" w:rsidRPr="00724676">
        <w:rPr>
          <w:rStyle w:val="normaltextrun"/>
          <w:noProof/>
          <w:lang w:val="en-GB"/>
        </w:rPr>
        <w:t xml:space="preserve">economic </w:t>
      </w:r>
      <w:r w:rsidRPr="00724676">
        <w:rPr>
          <w:rStyle w:val="normaltextrun"/>
          <w:noProof/>
          <w:lang w:val="en-GB"/>
        </w:rPr>
        <w:t xml:space="preserve">viability. When imposing </w:t>
      </w:r>
      <w:r w:rsidR="00C614D3">
        <w:rPr>
          <w:rStyle w:val="normaltextrun"/>
          <w:noProof/>
          <w:lang w:val="en-GB"/>
        </w:rPr>
        <w:br/>
      </w:r>
      <w:r w:rsidRPr="00724676">
        <w:rPr>
          <w:rStyle w:val="normaltextrun"/>
          <w:noProof/>
          <w:lang w:val="en-GB"/>
        </w:rPr>
        <w:t xml:space="preserve">(re-)conversion </w:t>
      </w:r>
      <w:r w:rsidR="004A7D92">
        <w:rPr>
          <w:rStyle w:val="normaltextrun"/>
          <w:noProof/>
          <w:lang w:val="en-GB"/>
        </w:rPr>
        <w:t xml:space="preserve">obligations </w:t>
      </w:r>
      <w:r w:rsidRPr="00724676">
        <w:rPr>
          <w:rStyle w:val="normaltextrun"/>
          <w:noProof/>
          <w:lang w:val="en-GB"/>
        </w:rPr>
        <w:t xml:space="preserve">on farmers when the ratio </w:t>
      </w:r>
      <w:r w:rsidR="00BE6A96" w:rsidRPr="5B7F1876">
        <w:rPr>
          <w:rStyle w:val="normaltextrun"/>
          <w:noProof/>
          <w:lang w:val="en-GB"/>
        </w:rPr>
        <w:t>fell below</w:t>
      </w:r>
      <w:r w:rsidRPr="00724676">
        <w:rPr>
          <w:rStyle w:val="normaltextrun"/>
          <w:noProof/>
          <w:lang w:val="en-GB"/>
        </w:rPr>
        <w:t xml:space="preserve"> 5%, the adjustments also allow Member States to </w:t>
      </w:r>
      <w:r w:rsidR="00BF4101" w:rsidRPr="00724676">
        <w:rPr>
          <w:rStyle w:val="normaltextrun"/>
          <w:noProof/>
          <w:lang w:val="en-GB"/>
        </w:rPr>
        <w:t xml:space="preserve">take into account </w:t>
      </w:r>
      <w:r w:rsidRPr="00724676">
        <w:rPr>
          <w:rStyle w:val="normaltextrun"/>
          <w:noProof/>
          <w:lang w:val="en-GB"/>
        </w:rPr>
        <w:t xml:space="preserve">the increase </w:t>
      </w:r>
      <w:r w:rsidR="00BE6A96" w:rsidRPr="5B7F1876">
        <w:rPr>
          <w:rStyle w:val="normaltextrun"/>
          <w:noProof/>
          <w:lang w:val="en-GB"/>
        </w:rPr>
        <w:t xml:space="preserve">in </w:t>
      </w:r>
      <w:r w:rsidRPr="00724676">
        <w:rPr>
          <w:rStyle w:val="normaltextrun"/>
          <w:noProof/>
          <w:lang w:val="en-GB"/>
        </w:rPr>
        <w:t>total agricultural area declared by farmers in their CAP aid application</w:t>
      </w:r>
      <w:r w:rsidR="00BE6A96" w:rsidRPr="5B7F1876">
        <w:rPr>
          <w:rStyle w:val="normaltextrun"/>
          <w:noProof/>
          <w:lang w:val="en-GB"/>
        </w:rPr>
        <w:t>,</w:t>
      </w:r>
      <w:r w:rsidRPr="00724676">
        <w:rPr>
          <w:rStyle w:val="normaltextrun"/>
          <w:noProof/>
          <w:lang w:val="en-GB"/>
        </w:rPr>
        <w:t xml:space="preserve"> and areas of permanent grassland that exist</w:t>
      </w:r>
      <w:r w:rsidR="00966322" w:rsidRPr="00724676">
        <w:rPr>
          <w:rStyle w:val="FootnoteReference"/>
          <w:noProof/>
          <w:lang w:val="en-GB"/>
        </w:rPr>
        <w:footnoteReference w:id="40"/>
      </w:r>
      <w:r w:rsidRPr="00724676">
        <w:rPr>
          <w:rStyle w:val="normaltextrun"/>
          <w:noProof/>
          <w:lang w:val="en-GB"/>
        </w:rPr>
        <w:t xml:space="preserve"> but were not declared by them</w:t>
      </w:r>
      <w:r w:rsidR="00BE6A96" w:rsidRPr="5B7F1876">
        <w:rPr>
          <w:rStyle w:val="normaltextrun"/>
          <w:noProof/>
          <w:lang w:val="en-GB"/>
        </w:rPr>
        <w:t>,</w:t>
      </w:r>
      <w:r w:rsidR="002656D6" w:rsidRPr="00724676">
        <w:rPr>
          <w:rStyle w:val="normaltextrun"/>
          <w:noProof/>
          <w:lang w:val="en-GB"/>
        </w:rPr>
        <w:t xml:space="preserve"> as well as </w:t>
      </w:r>
      <w:r w:rsidRPr="00724676">
        <w:rPr>
          <w:rStyle w:val="normaltextrun"/>
          <w:noProof/>
          <w:lang w:val="en-GB"/>
        </w:rPr>
        <w:t>decrease</w:t>
      </w:r>
      <w:r w:rsidR="002656D6" w:rsidRPr="00724676">
        <w:rPr>
          <w:rStyle w:val="normaltextrun"/>
          <w:noProof/>
          <w:lang w:val="en-GB"/>
        </w:rPr>
        <w:t>s</w:t>
      </w:r>
      <w:r w:rsidRPr="00724676">
        <w:rPr>
          <w:rStyle w:val="normaltextrun"/>
          <w:noProof/>
          <w:lang w:val="en-GB"/>
        </w:rPr>
        <w:t xml:space="preserve"> due to </w:t>
      </w:r>
      <w:r w:rsidR="00BE6A96" w:rsidRPr="5B7F1876">
        <w:rPr>
          <w:rStyle w:val="normaltextrun"/>
          <w:noProof/>
          <w:lang w:val="en-GB"/>
        </w:rPr>
        <w:t xml:space="preserve">the </w:t>
      </w:r>
      <w:r w:rsidRPr="00724676">
        <w:rPr>
          <w:rStyle w:val="normaltextrun"/>
          <w:noProof/>
          <w:lang w:val="en-GB"/>
        </w:rPr>
        <w:t xml:space="preserve">conversion </w:t>
      </w:r>
      <w:r w:rsidR="002656D6" w:rsidRPr="00724676">
        <w:rPr>
          <w:rStyle w:val="normaltextrun"/>
          <w:noProof/>
          <w:lang w:val="en-GB"/>
        </w:rPr>
        <w:t xml:space="preserve">of permanent grasslands </w:t>
      </w:r>
      <w:r w:rsidRPr="00724676">
        <w:rPr>
          <w:rStyle w:val="normaltextrun"/>
          <w:noProof/>
          <w:lang w:val="en-GB"/>
        </w:rPr>
        <w:t xml:space="preserve">to </w:t>
      </w:r>
      <w:r w:rsidR="003215AD" w:rsidRPr="5B7F1876">
        <w:rPr>
          <w:rStyle w:val="normaltextrun"/>
          <w:noProof/>
          <w:lang w:val="en-GB"/>
        </w:rPr>
        <w:t>non-</w:t>
      </w:r>
      <w:r w:rsidRPr="00724676">
        <w:rPr>
          <w:rStyle w:val="normaltextrun"/>
          <w:noProof/>
          <w:lang w:val="en-GB"/>
        </w:rPr>
        <w:t>agricultural uses.</w:t>
      </w:r>
      <w:r w:rsidRPr="00724676">
        <w:rPr>
          <w:rStyle w:val="eop"/>
          <w:noProof/>
          <w:lang w:val="en-GB"/>
        </w:rPr>
        <w:t> </w:t>
      </w:r>
    </w:p>
    <w:p w14:paraId="4B6DE332" w14:textId="392E5AAF" w:rsidR="00523350" w:rsidRPr="00724676" w:rsidRDefault="00523350" w:rsidP="00F34777">
      <w:pPr>
        <w:pStyle w:val="paragraph"/>
        <w:spacing w:before="0" w:beforeAutospacing="0" w:after="120" w:afterAutospacing="0" w:line="259" w:lineRule="auto"/>
        <w:jc w:val="both"/>
        <w:textAlignment w:val="baseline"/>
        <w:rPr>
          <w:rFonts w:ascii="Segoe UI" w:hAnsi="Segoe UI" w:cs="Segoe UI"/>
          <w:b/>
          <w:bCs/>
          <w:noProof/>
          <w:color w:val="2F5496"/>
          <w:sz w:val="18"/>
          <w:szCs w:val="18"/>
          <w:lang w:val="en-GB"/>
        </w:rPr>
      </w:pPr>
      <w:r w:rsidRPr="00724676">
        <w:rPr>
          <w:rStyle w:val="normaltextrun"/>
          <w:b/>
          <w:bCs/>
          <w:noProof/>
          <w:lang w:val="en-GB"/>
        </w:rPr>
        <w:t>GAEC 6</w:t>
      </w:r>
      <w:r w:rsidRPr="00724676">
        <w:rPr>
          <w:rStyle w:val="eop"/>
          <w:b/>
          <w:bCs/>
          <w:i/>
          <w:iCs/>
          <w:noProof/>
          <w:lang w:val="en-GB"/>
        </w:rPr>
        <w:t> </w:t>
      </w:r>
      <w:r w:rsidR="004F412D" w:rsidRPr="00724676">
        <w:rPr>
          <w:rStyle w:val="eop"/>
          <w:b/>
          <w:bCs/>
          <w:noProof/>
          <w:lang w:val="en-GB"/>
        </w:rPr>
        <w:t>(</w:t>
      </w:r>
      <w:r w:rsidR="00492DF4" w:rsidRPr="00724676">
        <w:rPr>
          <w:rStyle w:val="eop"/>
          <w:b/>
          <w:bCs/>
          <w:noProof/>
          <w:lang w:val="en-GB"/>
        </w:rPr>
        <w:t>Minimum s</w:t>
      </w:r>
      <w:r w:rsidR="004F412D" w:rsidRPr="00724676">
        <w:rPr>
          <w:rStyle w:val="eop"/>
          <w:b/>
          <w:bCs/>
          <w:noProof/>
          <w:lang w:val="en-GB"/>
        </w:rPr>
        <w:t>oil cover)</w:t>
      </w:r>
    </w:p>
    <w:p w14:paraId="2B7F20A2" w14:textId="7B14BA2C" w:rsidR="00523350" w:rsidRPr="00724676" w:rsidRDefault="002656D6" w:rsidP="006D5C9F">
      <w:pPr>
        <w:pStyle w:val="paragraph"/>
        <w:spacing w:before="0" w:beforeAutospacing="0" w:after="120" w:afterAutospacing="0" w:line="259" w:lineRule="auto"/>
        <w:jc w:val="both"/>
        <w:textAlignment w:val="baseline"/>
        <w:rPr>
          <w:rFonts w:ascii="Segoe UI" w:hAnsi="Segoe UI" w:cs="Segoe UI"/>
          <w:noProof/>
          <w:sz w:val="18"/>
          <w:szCs w:val="18"/>
          <w:lang w:val="en-GB"/>
        </w:rPr>
      </w:pPr>
      <w:r w:rsidRPr="00724676">
        <w:rPr>
          <w:rStyle w:val="normaltextrun"/>
          <w:noProof/>
          <w:lang w:val="en-GB"/>
        </w:rPr>
        <w:t xml:space="preserve">Under </w:t>
      </w:r>
      <w:r w:rsidR="00523350" w:rsidRPr="00724676">
        <w:rPr>
          <w:rStyle w:val="normaltextrun"/>
          <w:noProof/>
          <w:lang w:val="en-GB"/>
        </w:rPr>
        <w:t xml:space="preserve">GAEC 6 Member States define requirements </w:t>
      </w:r>
      <w:r w:rsidR="00C80F90">
        <w:rPr>
          <w:rStyle w:val="normaltextrun"/>
          <w:noProof/>
          <w:lang w:val="en-GB"/>
        </w:rPr>
        <w:t xml:space="preserve">that </w:t>
      </w:r>
      <w:r w:rsidR="00523350" w:rsidRPr="00724676">
        <w:rPr>
          <w:rStyle w:val="normaltextrun"/>
          <w:noProof/>
          <w:lang w:val="en-GB"/>
        </w:rPr>
        <w:t>ensur</w:t>
      </w:r>
      <w:r w:rsidR="00C80F90">
        <w:rPr>
          <w:rStyle w:val="normaltextrun"/>
          <w:noProof/>
          <w:lang w:val="en-GB"/>
        </w:rPr>
        <w:t>e</w:t>
      </w:r>
      <w:r w:rsidR="00523350" w:rsidRPr="00724676">
        <w:rPr>
          <w:rStyle w:val="normaltextrun"/>
          <w:noProof/>
          <w:lang w:val="en-GB"/>
        </w:rPr>
        <w:t xml:space="preserve"> </w:t>
      </w:r>
      <w:r w:rsidR="00C80F90">
        <w:rPr>
          <w:rStyle w:val="normaltextrun"/>
          <w:noProof/>
          <w:lang w:val="en-GB"/>
        </w:rPr>
        <w:t xml:space="preserve">a </w:t>
      </w:r>
      <w:r w:rsidR="00523350" w:rsidRPr="00724676">
        <w:rPr>
          <w:rStyle w:val="normaltextrun"/>
          <w:noProof/>
          <w:lang w:val="en-GB"/>
        </w:rPr>
        <w:t xml:space="preserve">minimum soil cover </w:t>
      </w:r>
      <w:r w:rsidR="00C80F90">
        <w:rPr>
          <w:rStyle w:val="normaltextrun"/>
          <w:noProof/>
          <w:lang w:val="en-GB"/>
        </w:rPr>
        <w:t>during</w:t>
      </w:r>
      <w:r w:rsidR="00C80F90" w:rsidRPr="00724676">
        <w:rPr>
          <w:rStyle w:val="normaltextrun"/>
          <w:noProof/>
          <w:lang w:val="en-GB"/>
        </w:rPr>
        <w:t xml:space="preserve"> </w:t>
      </w:r>
      <w:r w:rsidR="00C80F90">
        <w:rPr>
          <w:rStyle w:val="normaltextrun"/>
          <w:noProof/>
          <w:lang w:val="en-GB"/>
        </w:rPr>
        <w:t xml:space="preserve">the </w:t>
      </w:r>
      <w:r w:rsidR="00523350" w:rsidRPr="00724676">
        <w:rPr>
          <w:rStyle w:val="normaltextrun"/>
          <w:noProof/>
          <w:lang w:val="en-GB"/>
        </w:rPr>
        <w:t xml:space="preserve">most sensitive periods to avoid bare soil and thus protect it against leaching, erosion and depletion of organic matter. Member States </w:t>
      </w:r>
      <w:r w:rsidR="00C80F90">
        <w:rPr>
          <w:rStyle w:val="normaltextrun"/>
          <w:noProof/>
          <w:lang w:val="en-GB"/>
        </w:rPr>
        <w:t>set out i</w:t>
      </w:r>
      <w:r w:rsidR="00C80F90" w:rsidRPr="00724676">
        <w:rPr>
          <w:rStyle w:val="normaltextrun"/>
          <w:noProof/>
          <w:lang w:val="en-GB"/>
        </w:rPr>
        <w:t xml:space="preserve">n their </w:t>
      </w:r>
      <w:r w:rsidR="00523AA0">
        <w:rPr>
          <w:rStyle w:val="normaltextrun"/>
          <w:noProof/>
          <w:lang w:val="en-GB"/>
        </w:rPr>
        <w:t>CAP Plans</w:t>
      </w:r>
      <w:r w:rsidR="00C80F90" w:rsidRPr="00724676">
        <w:rPr>
          <w:rStyle w:val="normaltextrun"/>
          <w:noProof/>
          <w:lang w:val="en-GB"/>
        </w:rPr>
        <w:t xml:space="preserve"> </w:t>
      </w:r>
      <w:r w:rsidR="00523350" w:rsidRPr="00724676">
        <w:rPr>
          <w:rStyle w:val="normaltextrun"/>
          <w:noProof/>
          <w:lang w:val="en-GB"/>
        </w:rPr>
        <w:t>the most sensitive periods whe</w:t>
      </w:r>
      <w:r w:rsidR="00D33269" w:rsidRPr="00724676">
        <w:rPr>
          <w:rStyle w:val="normaltextrun"/>
          <w:noProof/>
          <w:lang w:val="en-GB"/>
        </w:rPr>
        <w:t>n</w:t>
      </w:r>
      <w:r w:rsidR="00523350" w:rsidRPr="00724676">
        <w:rPr>
          <w:rStyle w:val="normaltextrun"/>
          <w:noProof/>
          <w:lang w:val="en-GB"/>
        </w:rPr>
        <w:t xml:space="preserve"> a minimum soil cover is needed. There is a wide range of </w:t>
      </w:r>
      <w:r w:rsidR="00C80F90">
        <w:rPr>
          <w:rStyle w:val="normaltextrun"/>
          <w:noProof/>
          <w:lang w:val="en-GB"/>
        </w:rPr>
        <w:t>different</w:t>
      </w:r>
      <w:r w:rsidR="00523350" w:rsidRPr="00724676">
        <w:rPr>
          <w:rStyle w:val="normaltextrun"/>
          <w:noProof/>
          <w:lang w:val="en-GB"/>
        </w:rPr>
        <w:t xml:space="preserve"> types of minimum soil cover</w:t>
      </w:r>
      <w:r w:rsidR="00C80F90">
        <w:rPr>
          <w:rStyle w:val="normaltextrun"/>
          <w:noProof/>
          <w:lang w:val="en-GB"/>
        </w:rPr>
        <w:t xml:space="preserve">, which </w:t>
      </w:r>
      <w:r w:rsidR="00523350" w:rsidRPr="00724676">
        <w:rPr>
          <w:rStyle w:val="normaltextrun"/>
          <w:noProof/>
          <w:lang w:val="en-GB"/>
        </w:rPr>
        <w:t>mostly includes</w:t>
      </w:r>
      <w:r w:rsidR="00523350" w:rsidRPr="00724676" w:rsidDel="00A44FE5">
        <w:rPr>
          <w:rStyle w:val="normaltextrun"/>
          <w:noProof/>
          <w:lang w:val="en-GB"/>
        </w:rPr>
        <w:t xml:space="preserve"> </w:t>
      </w:r>
      <w:r w:rsidR="00523350" w:rsidRPr="00724676">
        <w:rPr>
          <w:rStyle w:val="normaltextrun"/>
          <w:noProof/>
          <w:lang w:val="en-GB"/>
        </w:rPr>
        <w:t xml:space="preserve">crops, green cover, stubble, mulching, plant residues or spontaneous vegetation. Sometimes farmers can do shallow tillage to mix the stubble with soil </w:t>
      </w:r>
      <w:r w:rsidR="00C80F90">
        <w:rPr>
          <w:rStyle w:val="normaltextrun"/>
          <w:noProof/>
          <w:lang w:val="en-GB"/>
        </w:rPr>
        <w:lastRenderedPageBreak/>
        <w:t>so</w:t>
      </w:r>
      <w:r w:rsidR="00523350" w:rsidRPr="00724676">
        <w:rPr>
          <w:rStyle w:val="normaltextrun"/>
          <w:noProof/>
          <w:lang w:val="en-GB"/>
        </w:rPr>
        <w:t xml:space="preserve"> that the soil stays protected. Some Member States </w:t>
      </w:r>
      <w:r w:rsidR="00C80F90">
        <w:rPr>
          <w:rStyle w:val="normaltextrun"/>
          <w:noProof/>
          <w:lang w:val="en-GB"/>
        </w:rPr>
        <w:t>have taken</w:t>
      </w:r>
      <w:r w:rsidR="00C80F90" w:rsidRPr="00724676">
        <w:rPr>
          <w:rStyle w:val="normaltextrun"/>
          <w:noProof/>
          <w:lang w:val="en-GB"/>
        </w:rPr>
        <w:t xml:space="preserve"> </w:t>
      </w:r>
      <w:r w:rsidR="00523350" w:rsidRPr="00724676">
        <w:rPr>
          <w:rStyle w:val="normaltextrun"/>
          <w:noProof/>
          <w:lang w:val="en-GB"/>
        </w:rPr>
        <w:t xml:space="preserve">voluntary measures </w:t>
      </w:r>
      <w:r w:rsidR="00C80F90">
        <w:rPr>
          <w:rStyle w:val="normaltextrun"/>
          <w:noProof/>
          <w:lang w:val="en-GB"/>
        </w:rPr>
        <w:t xml:space="preserve">that </w:t>
      </w:r>
      <w:r w:rsidR="00523350" w:rsidRPr="00724676">
        <w:rPr>
          <w:rStyle w:val="normaltextrun"/>
          <w:noProof/>
          <w:lang w:val="en-GB"/>
        </w:rPr>
        <w:t>support</w:t>
      </w:r>
      <w:r w:rsidR="00C80F90">
        <w:rPr>
          <w:rStyle w:val="normaltextrun"/>
          <w:noProof/>
          <w:lang w:val="en-GB"/>
        </w:rPr>
        <w:t xml:space="preserve"> the</w:t>
      </w:r>
      <w:r w:rsidR="00523350" w:rsidRPr="00724676">
        <w:rPr>
          <w:rStyle w:val="normaltextrun"/>
          <w:noProof/>
          <w:lang w:val="en-GB"/>
        </w:rPr>
        <w:t xml:space="preserve"> establishment of catch crops and green cover, adding further benefits to the minimum soil cover under</w:t>
      </w:r>
      <w:r w:rsidR="006B0A56" w:rsidRPr="00724676">
        <w:rPr>
          <w:rStyle w:val="normaltextrun"/>
          <w:noProof/>
          <w:lang w:val="en-GB"/>
        </w:rPr>
        <w:t xml:space="preserve"> </w:t>
      </w:r>
      <w:r w:rsidR="00523350" w:rsidRPr="00724676">
        <w:rPr>
          <w:rStyle w:val="normaltextrun"/>
          <w:noProof/>
          <w:lang w:val="en-GB"/>
        </w:rPr>
        <w:t>GAEC 6.</w:t>
      </w:r>
      <w:r w:rsidR="00523350" w:rsidRPr="00724676">
        <w:rPr>
          <w:rStyle w:val="eop"/>
          <w:noProof/>
          <w:lang w:val="en-GB"/>
        </w:rPr>
        <w:t> </w:t>
      </w:r>
    </w:p>
    <w:p w14:paraId="36DFDE15" w14:textId="1BA56C15" w:rsidR="00D40663" w:rsidRPr="00724676" w:rsidRDefault="00D40663" w:rsidP="00D40663">
      <w:pPr>
        <w:pStyle w:val="paragraph"/>
        <w:spacing w:before="0" w:beforeAutospacing="0" w:after="120" w:afterAutospacing="0" w:line="259" w:lineRule="auto"/>
        <w:jc w:val="both"/>
        <w:textAlignment w:val="baseline"/>
        <w:rPr>
          <w:rFonts w:ascii="Segoe UI" w:hAnsi="Segoe UI" w:cs="Segoe UI"/>
          <w:noProof/>
          <w:sz w:val="18"/>
          <w:szCs w:val="18"/>
          <w:lang w:val="en-GB"/>
        </w:rPr>
      </w:pPr>
      <w:r w:rsidRPr="00724676">
        <w:rPr>
          <w:rStyle w:val="normaltextrun"/>
          <w:noProof/>
          <w:lang w:val="en-GB"/>
        </w:rPr>
        <w:t xml:space="preserve">The flexibilities in the </w:t>
      </w:r>
      <w:r w:rsidR="00523AA0">
        <w:rPr>
          <w:rStyle w:val="normaltextrun"/>
          <w:noProof/>
          <w:lang w:val="en-GB"/>
        </w:rPr>
        <w:t>CAP Plans</w:t>
      </w:r>
      <w:r w:rsidRPr="00724676">
        <w:rPr>
          <w:rStyle w:val="normaltextrun"/>
          <w:noProof/>
          <w:lang w:val="en-GB"/>
        </w:rPr>
        <w:t xml:space="preserve"> included </w:t>
      </w:r>
      <w:r w:rsidR="00BA2909" w:rsidRPr="00724676">
        <w:rPr>
          <w:rStyle w:val="normaltextrun"/>
          <w:noProof/>
          <w:lang w:val="en-GB"/>
        </w:rPr>
        <w:t>e.g.</w:t>
      </w:r>
      <w:r w:rsidRPr="00724676">
        <w:rPr>
          <w:rStyle w:val="normaltextrun"/>
          <w:noProof/>
          <w:lang w:val="en-GB"/>
        </w:rPr>
        <w:t xml:space="preserve"> requiring coverage only on 80% of arable land</w:t>
      </w:r>
      <w:r w:rsidR="00C80F90">
        <w:rPr>
          <w:rStyle w:val="normaltextrun"/>
          <w:noProof/>
          <w:lang w:val="en-GB"/>
        </w:rPr>
        <w:t>,</w:t>
      </w:r>
      <w:r w:rsidRPr="00724676">
        <w:rPr>
          <w:rStyle w:val="normaltextrun"/>
          <w:noProof/>
          <w:lang w:val="en-GB"/>
        </w:rPr>
        <w:t xml:space="preserve"> or specific provisions for heavy clay soil. </w:t>
      </w:r>
      <w:r w:rsidR="00257520" w:rsidRPr="00724676">
        <w:rPr>
          <w:rStyle w:val="normaltextrun"/>
          <w:noProof/>
          <w:lang w:val="en-GB"/>
        </w:rPr>
        <w:t>I</w:t>
      </w:r>
      <w:r w:rsidRPr="00724676">
        <w:rPr>
          <w:rStyle w:val="normaltextrun"/>
          <w:noProof/>
          <w:lang w:val="en-GB"/>
        </w:rPr>
        <w:t>t is important to note that under this GAEC there were no requirements regarding sowing dates, and that farmers always had the option to plough during the</w:t>
      </w:r>
      <w:r w:rsidR="00257520" w:rsidRPr="00724676">
        <w:rPr>
          <w:rStyle w:val="normaltextrun"/>
          <w:noProof/>
          <w:lang w:val="en-GB"/>
        </w:rPr>
        <w:t xml:space="preserve"> </w:t>
      </w:r>
      <w:r w:rsidRPr="000124E8">
        <w:rPr>
          <w:rStyle w:val="normaltextrun"/>
          <w:noProof/>
          <w:lang w:val="en-GB"/>
        </w:rPr>
        <w:t xml:space="preserve">sensitive period if it was for the purpose of sowing in the following weeks. Nevertheless, further flexibility for Member States was considered </w:t>
      </w:r>
      <w:r w:rsidR="00C80F90" w:rsidRPr="000124E8">
        <w:rPr>
          <w:rStyle w:val="normaltextrun"/>
          <w:noProof/>
          <w:lang w:val="en-GB"/>
        </w:rPr>
        <w:t xml:space="preserve">necessary </w:t>
      </w:r>
      <w:r w:rsidRPr="000124E8">
        <w:rPr>
          <w:rStyle w:val="normaltextrun"/>
          <w:noProof/>
          <w:lang w:val="en-GB"/>
        </w:rPr>
        <w:t xml:space="preserve">for a smooth implementation </w:t>
      </w:r>
      <w:r w:rsidR="00C80F90" w:rsidRPr="000124E8">
        <w:rPr>
          <w:rStyle w:val="normaltextrun"/>
          <w:noProof/>
          <w:lang w:val="en-GB"/>
        </w:rPr>
        <w:t xml:space="preserve">of GAEC 6, </w:t>
      </w:r>
      <w:r w:rsidRPr="000124E8">
        <w:rPr>
          <w:rStyle w:val="normaltextrun"/>
          <w:noProof/>
          <w:lang w:val="en-GB"/>
        </w:rPr>
        <w:t xml:space="preserve">taking </w:t>
      </w:r>
      <w:r w:rsidR="00C80F90" w:rsidRPr="000124E8">
        <w:rPr>
          <w:rStyle w:val="normaltextrun"/>
          <w:noProof/>
          <w:lang w:val="en-GB"/>
        </w:rPr>
        <w:t xml:space="preserve">into account </w:t>
      </w:r>
      <w:r w:rsidRPr="000124E8">
        <w:rPr>
          <w:rStyle w:val="normaltextrun"/>
          <w:noProof/>
          <w:lang w:val="en-GB"/>
        </w:rPr>
        <w:t xml:space="preserve">the variety of situations in the field </w:t>
      </w:r>
      <w:r w:rsidRPr="000124E8">
        <w:rPr>
          <w:rStyle w:val="normaltextrun"/>
          <w:noProof/>
          <w:shd w:val="clear" w:color="auto" w:fill="FFFFFF"/>
          <w:lang w:val="en-GB"/>
        </w:rPr>
        <w:t xml:space="preserve">and the contribution </w:t>
      </w:r>
      <w:r w:rsidR="2B11CAC6" w:rsidRPr="000124E8">
        <w:rPr>
          <w:rStyle w:val="normaltextrun"/>
          <w:noProof/>
          <w:lang w:val="en-GB"/>
        </w:rPr>
        <w:t xml:space="preserve">of the required practice </w:t>
      </w:r>
      <w:r w:rsidR="00E968FF" w:rsidRPr="74085A15">
        <w:rPr>
          <w:rStyle w:val="normaltextrun"/>
          <w:noProof/>
          <w:lang w:val="en-GB"/>
        </w:rPr>
        <w:t>to</w:t>
      </w:r>
      <w:r w:rsidR="2B11CAC6" w:rsidRPr="000124E8">
        <w:rPr>
          <w:rStyle w:val="normaltextrun"/>
          <w:noProof/>
          <w:lang w:val="en-GB"/>
        </w:rPr>
        <w:t xml:space="preserve"> </w:t>
      </w:r>
      <w:r w:rsidR="002807DB" w:rsidRPr="000124E8">
        <w:rPr>
          <w:rStyle w:val="normaltextrun"/>
          <w:noProof/>
          <w:lang w:val="en-GB"/>
        </w:rPr>
        <w:t xml:space="preserve">the </w:t>
      </w:r>
      <w:r w:rsidRPr="000124E8">
        <w:rPr>
          <w:rStyle w:val="normaltextrun"/>
          <w:noProof/>
          <w:shd w:val="clear" w:color="auto" w:fill="FFFFFF"/>
          <w:lang w:val="en-GB"/>
        </w:rPr>
        <w:t>objective</w:t>
      </w:r>
      <w:r w:rsidR="002807DB" w:rsidRPr="000124E8">
        <w:rPr>
          <w:rStyle w:val="normaltextrun"/>
          <w:noProof/>
          <w:lang w:val="en-GB"/>
        </w:rPr>
        <w:t>s</w:t>
      </w:r>
      <w:r w:rsidRPr="000124E8">
        <w:rPr>
          <w:rStyle w:val="normaltextrun"/>
          <w:noProof/>
          <w:shd w:val="clear" w:color="auto" w:fill="FFFFFF"/>
          <w:lang w:val="en-GB"/>
        </w:rPr>
        <w:t xml:space="preserve"> of the </w:t>
      </w:r>
      <w:r w:rsidR="002807DB" w:rsidRPr="000124E8">
        <w:rPr>
          <w:rStyle w:val="normaltextrun"/>
          <w:noProof/>
          <w:lang w:val="en-GB"/>
        </w:rPr>
        <w:t xml:space="preserve">GAEC 6 </w:t>
      </w:r>
      <w:r w:rsidRPr="000124E8">
        <w:rPr>
          <w:rStyle w:val="normaltextrun"/>
          <w:noProof/>
          <w:shd w:val="clear" w:color="auto" w:fill="FFFFFF"/>
          <w:lang w:val="en-GB"/>
        </w:rPr>
        <w:t>standard</w:t>
      </w:r>
      <w:r w:rsidRPr="000124E8">
        <w:rPr>
          <w:rStyle w:val="normaltextrun"/>
          <w:noProof/>
          <w:lang w:val="en-GB"/>
        </w:rPr>
        <w:t>. </w:t>
      </w:r>
      <w:r w:rsidRPr="000124E8">
        <w:rPr>
          <w:rStyle w:val="eop"/>
          <w:noProof/>
          <w:lang w:val="en-GB"/>
        </w:rPr>
        <w:t> </w:t>
      </w:r>
    </w:p>
    <w:p w14:paraId="67D7F3D6" w14:textId="0F2A31C2" w:rsidR="00EE1B2B" w:rsidRPr="00724676" w:rsidRDefault="00523350" w:rsidP="006D5C9F">
      <w:pPr>
        <w:pStyle w:val="paragraph"/>
        <w:spacing w:before="0" w:beforeAutospacing="0" w:after="120" w:afterAutospacing="0" w:line="259" w:lineRule="auto"/>
        <w:jc w:val="both"/>
        <w:textAlignment w:val="baseline"/>
        <w:rPr>
          <w:rStyle w:val="normaltextrun"/>
          <w:noProof/>
          <w:lang w:val="en-GB"/>
        </w:rPr>
      </w:pPr>
      <w:r w:rsidRPr="00724676">
        <w:rPr>
          <w:rStyle w:val="normaltextrun"/>
          <w:noProof/>
          <w:lang w:val="en-GB"/>
        </w:rPr>
        <w:t xml:space="preserve">Despite the range of possibilities to </w:t>
      </w:r>
      <w:r w:rsidR="00574DDB">
        <w:rPr>
          <w:rStyle w:val="normaltextrun"/>
          <w:noProof/>
          <w:lang w:val="en-GB"/>
        </w:rPr>
        <w:t>meet</w:t>
      </w:r>
      <w:r w:rsidR="00574DDB" w:rsidRPr="00724676">
        <w:rPr>
          <w:rStyle w:val="normaltextrun"/>
          <w:noProof/>
          <w:lang w:val="en-GB"/>
        </w:rPr>
        <w:t xml:space="preserve"> </w:t>
      </w:r>
      <w:r w:rsidR="00574DDB">
        <w:rPr>
          <w:rStyle w:val="normaltextrun"/>
          <w:noProof/>
          <w:lang w:val="en-GB"/>
        </w:rPr>
        <w:t xml:space="preserve">the </w:t>
      </w:r>
      <w:r w:rsidRPr="00724676">
        <w:rPr>
          <w:rStyle w:val="normaltextrun"/>
          <w:noProof/>
          <w:lang w:val="en-GB"/>
        </w:rPr>
        <w:t>GAEC 6</w:t>
      </w:r>
      <w:r w:rsidR="00574DDB">
        <w:rPr>
          <w:rStyle w:val="normaltextrun"/>
          <w:noProof/>
          <w:lang w:val="en-GB"/>
        </w:rPr>
        <w:t xml:space="preserve"> standard</w:t>
      </w:r>
      <w:r w:rsidRPr="00724676">
        <w:rPr>
          <w:rStyle w:val="normaltextrun"/>
          <w:noProof/>
          <w:lang w:val="en-GB"/>
        </w:rPr>
        <w:t xml:space="preserve">, in some cases </w:t>
      </w:r>
      <w:r w:rsidR="002807DB" w:rsidRPr="00724676">
        <w:rPr>
          <w:rStyle w:val="normaltextrun"/>
          <w:noProof/>
          <w:lang w:val="en-GB"/>
        </w:rPr>
        <w:t xml:space="preserve">the rules have </w:t>
      </w:r>
      <w:r w:rsidR="002807DB">
        <w:rPr>
          <w:rStyle w:val="normaltextrun"/>
          <w:noProof/>
          <w:lang w:val="en-GB"/>
        </w:rPr>
        <w:t>created</w:t>
      </w:r>
      <w:r w:rsidR="002807DB" w:rsidRPr="00724676">
        <w:rPr>
          <w:rStyle w:val="normaltextrun"/>
          <w:noProof/>
          <w:lang w:val="en-GB"/>
        </w:rPr>
        <w:t xml:space="preserve"> </w:t>
      </w:r>
      <w:r w:rsidRPr="00724676">
        <w:rPr>
          <w:rStyle w:val="normaltextrun"/>
          <w:noProof/>
          <w:lang w:val="en-GB"/>
        </w:rPr>
        <w:t xml:space="preserve">practical problems, </w:t>
      </w:r>
      <w:r w:rsidR="00E742B1" w:rsidRPr="00724676">
        <w:rPr>
          <w:rStyle w:val="normaltextrun"/>
          <w:noProof/>
          <w:lang w:val="en-GB"/>
        </w:rPr>
        <w:t>e.g.</w:t>
      </w:r>
      <w:r w:rsidRPr="00724676">
        <w:rPr>
          <w:rStyle w:val="normaltextrun"/>
          <w:noProof/>
          <w:lang w:val="en-GB"/>
        </w:rPr>
        <w:t xml:space="preserve"> </w:t>
      </w:r>
      <w:r w:rsidR="002807DB">
        <w:rPr>
          <w:rStyle w:val="normaltextrun"/>
          <w:noProof/>
          <w:lang w:val="en-GB"/>
        </w:rPr>
        <w:t xml:space="preserve">where it was impossible to </w:t>
      </w:r>
      <w:r w:rsidRPr="00724676">
        <w:rPr>
          <w:rStyle w:val="normaltextrun"/>
          <w:noProof/>
          <w:lang w:val="en-GB"/>
        </w:rPr>
        <w:t>establish and maint</w:t>
      </w:r>
      <w:r w:rsidR="002807DB">
        <w:rPr>
          <w:rStyle w:val="normaltextrun"/>
          <w:noProof/>
          <w:lang w:val="en-GB"/>
        </w:rPr>
        <w:t>ain</w:t>
      </w:r>
      <w:r w:rsidRPr="00724676">
        <w:rPr>
          <w:rStyle w:val="normaltextrun"/>
          <w:noProof/>
          <w:lang w:val="en-GB"/>
        </w:rPr>
        <w:t xml:space="preserve"> certain soil cover </w:t>
      </w:r>
      <w:r w:rsidR="002807DB">
        <w:rPr>
          <w:rStyle w:val="normaltextrun"/>
          <w:noProof/>
          <w:lang w:val="en-GB"/>
        </w:rPr>
        <w:t>because of the weather situation</w:t>
      </w:r>
      <w:r w:rsidRPr="00724676">
        <w:rPr>
          <w:rStyle w:val="normaltextrun"/>
          <w:noProof/>
          <w:lang w:val="en-GB"/>
        </w:rPr>
        <w:t xml:space="preserve">, creating uncertainty and frustrating farmers. </w:t>
      </w:r>
      <w:r w:rsidR="000826E5">
        <w:rPr>
          <w:rStyle w:val="normaltextrun"/>
          <w:noProof/>
          <w:lang w:val="en-GB"/>
        </w:rPr>
        <w:br/>
      </w:r>
      <w:r w:rsidR="00574DDB">
        <w:rPr>
          <w:rStyle w:val="normaltextrun"/>
          <w:noProof/>
          <w:lang w:val="en-GB"/>
        </w:rPr>
        <w:t>In particular, when there was</w:t>
      </w:r>
      <w:r w:rsidRPr="00724676">
        <w:rPr>
          <w:rStyle w:val="normaltextrun"/>
          <w:noProof/>
          <w:lang w:val="en-GB"/>
        </w:rPr>
        <w:t xml:space="preserve"> late harvesting on heavy soils (often unavoidable in wet autumns), GAEC 6 was </w:t>
      </w:r>
      <w:r w:rsidR="00574DDB">
        <w:rPr>
          <w:rStyle w:val="normaltextrun"/>
          <w:noProof/>
          <w:lang w:val="en-GB"/>
        </w:rPr>
        <w:t>seen</w:t>
      </w:r>
      <w:r w:rsidR="00574DDB" w:rsidRPr="00724676">
        <w:rPr>
          <w:rStyle w:val="normaltextrun"/>
          <w:noProof/>
          <w:lang w:val="en-GB"/>
        </w:rPr>
        <w:t xml:space="preserve"> </w:t>
      </w:r>
      <w:r w:rsidRPr="00724676">
        <w:rPr>
          <w:rStyle w:val="normaltextrun"/>
          <w:noProof/>
          <w:lang w:val="en-GB"/>
        </w:rPr>
        <w:t xml:space="preserve">as an obstacle </w:t>
      </w:r>
      <w:r w:rsidR="002807DB">
        <w:rPr>
          <w:rStyle w:val="normaltextrun"/>
          <w:noProof/>
          <w:lang w:val="en-GB"/>
        </w:rPr>
        <w:t>to</w:t>
      </w:r>
      <w:r w:rsidR="002807DB" w:rsidRPr="00724676">
        <w:rPr>
          <w:rStyle w:val="normaltextrun"/>
          <w:noProof/>
          <w:lang w:val="en-GB"/>
        </w:rPr>
        <w:t xml:space="preserve"> </w:t>
      </w:r>
      <w:r w:rsidRPr="00724676">
        <w:rPr>
          <w:rStyle w:val="normaltextrun"/>
          <w:noProof/>
          <w:lang w:val="en-GB"/>
        </w:rPr>
        <w:t>autumn ploughing</w:t>
      </w:r>
      <w:r w:rsidR="002807DB">
        <w:rPr>
          <w:rStyle w:val="normaltextrun"/>
          <w:noProof/>
          <w:lang w:val="en-GB"/>
        </w:rPr>
        <w:t>,</w:t>
      </w:r>
      <w:r w:rsidRPr="00724676">
        <w:rPr>
          <w:rStyle w:val="normaltextrun"/>
          <w:noProof/>
          <w:lang w:val="en-GB"/>
        </w:rPr>
        <w:t xml:space="preserve"> and forcing farmers to prepare the soil after winter, </w:t>
      </w:r>
      <w:r w:rsidR="00574DDB">
        <w:rPr>
          <w:rStyle w:val="normaltextrun"/>
          <w:noProof/>
          <w:lang w:val="en-GB"/>
        </w:rPr>
        <w:t xml:space="preserve">which </w:t>
      </w:r>
      <w:r w:rsidRPr="00724676">
        <w:rPr>
          <w:rStyle w:val="normaltextrun"/>
          <w:noProof/>
          <w:lang w:val="en-GB"/>
        </w:rPr>
        <w:t>entail</w:t>
      </w:r>
      <w:r w:rsidR="00574DDB">
        <w:rPr>
          <w:rStyle w:val="normaltextrun"/>
          <w:noProof/>
          <w:lang w:val="en-GB"/>
        </w:rPr>
        <w:t>ed</w:t>
      </w:r>
      <w:r w:rsidR="00E77B9E" w:rsidRPr="00724676">
        <w:rPr>
          <w:rStyle w:val="normaltextrun"/>
          <w:noProof/>
          <w:lang w:val="en-GB"/>
        </w:rPr>
        <w:t>, in some cases,</w:t>
      </w:r>
      <w:r w:rsidRPr="00724676">
        <w:rPr>
          <w:rStyle w:val="normaltextrun"/>
          <w:noProof/>
          <w:lang w:val="en-GB"/>
        </w:rPr>
        <w:t xml:space="preserve"> a risk of soil compaction.</w:t>
      </w:r>
    </w:p>
    <w:p w14:paraId="07A161CD" w14:textId="77777777" w:rsidR="00B55F42" w:rsidRDefault="00523350" w:rsidP="00F34777">
      <w:pPr>
        <w:pStyle w:val="paragraph"/>
        <w:spacing w:before="0" w:beforeAutospacing="0" w:after="120" w:afterAutospacing="0" w:line="259" w:lineRule="auto"/>
        <w:jc w:val="both"/>
        <w:textAlignment w:val="baseline"/>
        <w:rPr>
          <w:rStyle w:val="eop"/>
          <w:noProof/>
          <w:lang w:val="en-GB"/>
        </w:rPr>
      </w:pPr>
      <w:r w:rsidRPr="00724676">
        <w:rPr>
          <w:rStyle w:val="normaltextrun"/>
          <w:noProof/>
          <w:lang w:val="en-GB"/>
        </w:rPr>
        <w:t xml:space="preserve">The Commission proposal of 15 March 2024 </w:t>
      </w:r>
      <w:r w:rsidR="00574DDB">
        <w:rPr>
          <w:rStyle w:val="normaltextrun"/>
          <w:noProof/>
          <w:lang w:val="en-GB"/>
        </w:rPr>
        <w:t>to amend</w:t>
      </w:r>
      <w:r w:rsidR="00574DDB" w:rsidRPr="00724676">
        <w:rPr>
          <w:rStyle w:val="normaltextrun"/>
          <w:noProof/>
          <w:lang w:val="en-GB"/>
        </w:rPr>
        <w:t xml:space="preserve"> </w:t>
      </w:r>
      <w:r w:rsidRPr="00724676">
        <w:rPr>
          <w:rStyle w:val="normaltextrun"/>
          <w:noProof/>
          <w:lang w:val="en-GB"/>
        </w:rPr>
        <w:t xml:space="preserve">the CSP Regulation added the words </w:t>
      </w:r>
      <w:r w:rsidRPr="00724676">
        <w:rPr>
          <w:rStyle w:val="normaltextrun"/>
          <w:i/>
          <w:iCs/>
          <w:noProof/>
          <w:lang w:val="en-GB"/>
        </w:rPr>
        <w:t>‘as determined by Member States’</w:t>
      </w:r>
      <w:r w:rsidRPr="00724676">
        <w:rPr>
          <w:rStyle w:val="normaltextrun"/>
          <w:noProof/>
          <w:lang w:val="en-GB"/>
        </w:rPr>
        <w:t xml:space="preserve"> to </w:t>
      </w:r>
      <w:r w:rsidR="00574DDB">
        <w:rPr>
          <w:rStyle w:val="normaltextrun"/>
          <w:noProof/>
          <w:lang w:val="en-GB"/>
        </w:rPr>
        <w:t xml:space="preserve">the definition of </w:t>
      </w:r>
      <w:r w:rsidRPr="00724676">
        <w:rPr>
          <w:rStyle w:val="normaltextrun"/>
          <w:noProof/>
          <w:lang w:val="en-GB"/>
        </w:rPr>
        <w:t>GAEC</w:t>
      </w:r>
      <w:r w:rsidR="00574DDB">
        <w:rPr>
          <w:rStyle w:val="normaltextrun"/>
          <w:noProof/>
          <w:lang w:val="en-GB"/>
        </w:rPr>
        <w:t xml:space="preserve"> 6. This </w:t>
      </w:r>
      <w:r w:rsidRPr="00724676">
        <w:rPr>
          <w:rStyle w:val="normaltextrun"/>
          <w:noProof/>
          <w:lang w:val="en-GB"/>
        </w:rPr>
        <w:t>clarif</w:t>
      </w:r>
      <w:r w:rsidR="00574DDB">
        <w:rPr>
          <w:rStyle w:val="normaltextrun"/>
          <w:noProof/>
          <w:lang w:val="en-GB"/>
        </w:rPr>
        <w:t>ies</w:t>
      </w:r>
      <w:r w:rsidRPr="00724676">
        <w:rPr>
          <w:rStyle w:val="normaltextrun"/>
          <w:noProof/>
          <w:lang w:val="en-GB"/>
        </w:rPr>
        <w:t xml:space="preserve"> the responsibility of Member States and provide</w:t>
      </w:r>
      <w:r w:rsidR="00574DDB">
        <w:rPr>
          <w:rStyle w:val="normaltextrun"/>
          <w:noProof/>
          <w:lang w:val="en-GB"/>
        </w:rPr>
        <w:t>s</w:t>
      </w:r>
      <w:r w:rsidRPr="00724676">
        <w:rPr>
          <w:rStyle w:val="normaltextrun"/>
          <w:noProof/>
          <w:lang w:val="en-GB"/>
        </w:rPr>
        <w:t xml:space="preserve"> increased flexibility in determining </w:t>
      </w:r>
      <w:r w:rsidR="009565C3" w:rsidRPr="00724676">
        <w:rPr>
          <w:rStyle w:val="normaltextrun"/>
          <w:noProof/>
          <w:lang w:val="en-GB"/>
        </w:rPr>
        <w:t xml:space="preserve">the </w:t>
      </w:r>
      <w:r w:rsidRPr="00724676">
        <w:rPr>
          <w:rStyle w:val="normaltextrun"/>
          <w:noProof/>
          <w:lang w:val="en-GB"/>
        </w:rPr>
        <w:t xml:space="preserve">key elements of </w:t>
      </w:r>
      <w:r w:rsidR="00574DDB">
        <w:rPr>
          <w:rStyle w:val="normaltextrun"/>
          <w:noProof/>
          <w:lang w:val="en-GB"/>
        </w:rPr>
        <w:t xml:space="preserve">this </w:t>
      </w:r>
      <w:r w:rsidRPr="00724676">
        <w:rPr>
          <w:rStyle w:val="normaltextrun"/>
          <w:noProof/>
          <w:lang w:val="en-GB"/>
        </w:rPr>
        <w:t xml:space="preserve">GAEC, in particular the timing and duration of ‘sensitive periods’ for which Member States </w:t>
      </w:r>
      <w:r w:rsidRPr="00724676">
        <w:rPr>
          <w:rStyle w:val="normaltextrun"/>
          <w:i/>
          <w:iCs/>
          <w:noProof/>
          <w:lang w:val="en-GB"/>
        </w:rPr>
        <w:t>‘may in particular take into account the short vegetation period resulting from the length and severity of the winter period in the regions concerned’.</w:t>
      </w:r>
      <w:r w:rsidRPr="00724676">
        <w:rPr>
          <w:rStyle w:val="normaltextrun"/>
          <w:noProof/>
          <w:lang w:val="en-GB"/>
        </w:rPr>
        <w:t> </w:t>
      </w:r>
      <w:r w:rsidR="00A821F0" w:rsidRPr="00724676">
        <w:rPr>
          <w:rStyle w:val="normaltextrun"/>
          <w:noProof/>
          <w:lang w:val="en-GB"/>
        </w:rPr>
        <w:t xml:space="preserve">However, as specified in recital 15 of the proposal, </w:t>
      </w:r>
      <w:r w:rsidR="00F06A7A" w:rsidRPr="00724676">
        <w:rPr>
          <w:rStyle w:val="normaltextrun"/>
          <w:noProof/>
          <w:lang w:val="en-GB"/>
        </w:rPr>
        <w:t>‘</w:t>
      </w:r>
      <w:r w:rsidR="00A821F0" w:rsidRPr="00724676">
        <w:rPr>
          <w:rStyle w:val="normaltextrun"/>
          <w:i/>
          <w:iCs/>
          <w:noProof/>
          <w:lang w:val="en-GB"/>
        </w:rPr>
        <w:t xml:space="preserve">the </w:t>
      </w:r>
      <w:r w:rsidR="00A821F0" w:rsidRPr="00724676">
        <w:rPr>
          <w:i/>
          <w:iCs/>
          <w:noProof/>
          <w:lang w:val="en-GB"/>
        </w:rPr>
        <w:t>Commission should ensure, in accordance with Articles 13(1) and 109(2) and Articles 118 and 119 of that Regulation, that the GAEC standard 6 as determined by the Member States is, overall, in line with the main objective of that GAEC standard</w:t>
      </w:r>
      <w:r w:rsidR="00F06A7A" w:rsidRPr="00724676">
        <w:rPr>
          <w:noProof/>
          <w:lang w:val="en-GB"/>
        </w:rPr>
        <w:t>’</w:t>
      </w:r>
      <w:r w:rsidR="00A821F0" w:rsidRPr="00724676">
        <w:rPr>
          <w:noProof/>
          <w:lang w:val="en-GB"/>
        </w:rPr>
        <w:t>.</w:t>
      </w:r>
      <w:r w:rsidR="00A821F0" w:rsidRPr="00724676">
        <w:rPr>
          <w:rStyle w:val="eop"/>
          <w:noProof/>
          <w:lang w:val="en-GB"/>
        </w:rPr>
        <w:t> </w:t>
      </w:r>
      <w:r w:rsidRPr="00724676">
        <w:rPr>
          <w:rStyle w:val="eop"/>
          <w:noProof/>
          <w:lang w:val="en-GB"/>
        </w:rPr>
        <w:t> </w:t>
      </w:r>
    </w:p>
    <w:p w14:paraId="5DB29934" w14:textId="0AF8D8CA" w:rsidR="00523350" w:rsidRPr="00724676" w:rsidRDefault="00523350" w:rsidP="00F34777">
      <w:pPr>
        <w:pStyle w:val="paragraph"/>
        <w:spacing w:before="0" w:beforeAutospacing="0" w:after="120" w:afterAutospacing="0" w:line="259" w:lineRule="auto"/>
        <w:jc w:val="both"/>
        <w:textAlignment w:val="baseline"/>
        <w:rPr>
          <w:rStyle w:val="eop"/>
          <w:rFonts w:asciiTheme="minorHAnsi" w:eastAsiaTheme="minorHAnsi" w:hAnsiTheme="minorHAnsi" w:cstheme="minorBidi"/>
          <w:b/>
          <w:bCs/>
          <w:i/>
          <w:noProof/>
          <w:kern w:val="2"/>
          <w:sz w:val="22"/>
          <w:szCs w:val="22"/>
          <w:lang w:val="en-GB" w:eastAsia="en-US"/>
          <w14:ligatures w14:val="standardContextual"/>
        </w:rPr>
      </w:pPr>
      <w:r w:rsidRPr="00724676">
        <w:rPr>
          <w:rStyle w:val="normaltextrun"/>
          <w:b/>
          <w:bCs/>
          <w:noProof/>
          <w:lang w:val="en-GB"/>
        </w:rPr>
        <w:t>GAEC 7</w:t>
      </w:r>
      <w:r w:rsidRPr="00724676">
        <w:rPr>
          <w:rStyle w:val="eop"/>
          <w:b/>
          <w:bCs/>
          <w:i/>
          <w:iCs/>
          <w:noProof/>
          <w:lang w:val="en-GB"/>
        </w:rPr>
        <w:t> </w:t>
      </w:r>
      <w:r w:rsidR="008229B3" w:rsidRPr="00724676">
        <w:rPr>
          <w:rStyle w:val="eop"/>
          <w:b/>
          <w:bCs/>
          <w:noProof/>
          <w:lang w:val="en-GB"/>
        </w:rPr>
        <w:t>(Crop rotation/diversification)</w:t>
      </w:r>
    </w:p>
    <w:p w14:paraId="27AC4379" w14:textId="42276BF0" w:rsidR="00523350" w:rsidRPr="00724676" w:rsidRDefault="00523350" w:rsidP="00F34777">
      <w:pPr>
        <w:pStyle w:val="paragraph"/>
        <w:spacing w:before="0" w:beforeAutospacing="0" w:after="120" w:afterAutospacing="0" w:line="259" w:lineRule="auto"/>
        <w:jc w:val="both"/>
        <w:textAlignment w:val="baseline"/>
        <w:rPr>
          <w:rFonts w:ascii="Segoe UI" w:hAnsi="Segoe UI" w:cs="Segoe UI"/>
          <w:noProof/>
          <w:sz w:val="18"/>
          <w:szCs w:val="18"/>
          <w:lang w:val="en-GB"/>
        </w:rPr>
      </w:pPr>
      <w:r w:rsidRPr="00724676">
        <w:rPr>
          <w:rStyle w:val="normaltextrun"/>
          <w:noProof/>
          <w:lang w:val="en-GB"/>
        </w:rPr>
        <w:t>GAEC 7 aims to protect soil potential</w:t>
      </w:r>
      <w:r w:rsidR="00B86C78" w:rsidRPr="00724676">
        <w:rPr>
          <w:rStyle w:val="normaltextrun"/>
          <w:noProof/>
          <w:lang w:val="en-GB"/>
        </w:rPr>
        <w:t xml:space="preserve"> </w:t>
      </w:r>
      <w:r w:rsidR="009F6A0E" w:rsidRPr="00724676">
        <w:rPr>
          <w:rStyle w:val="normaltextrun"/>
          <w:noProof/>
          <w:lang w:val="en-GB"/>
        </w:rPr>
        <w:t xml:space="preserve">over time </w:t>
      </w:r>
      <w:r w:rsidR="00B86C78" w:rsidRPr="00724676">
        <w:rPr>
          <w:rStyle w:val="normaltextrun"/>
          <w:noProof/>
          <w:lang w:val="en-GB"/>
        </w:rPr>
        <w:t>through crop rotation</w:t>
      </w:r>
      <w:r w:rsidR="000A25B1">
        <w:rPr>
          <w:rStyle w:val="normaltextrun"/>
          <w:noProof/>
          <w:lang w:val="en-GB"/>
        </w:rPr>
        <w:t xml:space="preserve">. The </w:t>
      </w:r>
      <w:r w:rsidRPr="00724676">
        <w:rPr>
          <w:rStyle w:val="normaltextrun"/>
          <w:noProof/>
          <w:lang w:val="en-GB"/>
        </w:rPr>
        <w:t>Commission</w:t>
      </w:r>
      <w:r w:rsidR="000A25B1">
        <w:rPr>
          <w:rStyle w:val="normaltextrun"/>
          <w:noProof/>
          <w:lang w:val="en-GB"/>
        </w:rPr>
        <w:t>’s proposal of</w:t>
      </w:r>
      <w:r w:rsidRPr="00724676">
        <w:rPr>
          <w:rStyle w:val="normaltextrun"/>
          <w:noProof/>
          <w:lang w:val="en-GB"/>
        </w:rPr>
        <w:t xml:space="preserve"> 15 March 2024 add</w:t>
      </w:r>
      <w:r w:rsidR="00740408" w:rsidRPr="00724676">
        <w:rPr>
          <w:rStyle w:val="normaltextrun"/>
          <w:noProof/>
          <w:lang w:val="en-GB"/>
        </w:rPr>
        <w:t>ed</w:t>
      </w:r>
      <w:r w:rsidRPr="00724676">
        <w:rPr>
          <w:rStyle w:val="normaltextrun"/>
          <w:noProof/>
          <w:lang w:val="en-GB"/>
        </w:rPr>
        <w:t xml:space="preserve"> an option</w:t>
      </w:r>
      <w:r w:rsidR="002249D0" w:rsidRPr="00724676">
        <w:rPr>
          <w:rStyle w:val="normaltextrun"/>
          <w:noProof/>
          <w:lang w:val="en-GB"/>
        </w:rPr>
        <w:t xml:space="preserve"> whereby</w:t>
      </w:r>
      <w:r w:rsidRPr="00724676">
        <w:rPr>
          <w:rStyle w:val="normaltextrun"/>
          <w:noProof/>
          <w:lang w:val="en-GB"/>
        </w:rPr>
        <w:t xml:space="preserve"> Member States may allow farmers to </w:t>
      </w:r>
      <w:r w:rsidR="00CE00F6" w:rsidRPr="00724676">
        <w:rPr>
          <w:rStyle w:val="normaltextrun"/>
          <w:noProof/>
          <w:lang w:val="en-GB"/>
        </w:rPr>
        <w:t xml:space="preserve">fulfil GAEC 7 </w:t>
      </w:r>
      <w:r w:rsidR="00425EF1" w:rsidRPr="00724676">
        <w:rPr>
          <w:rStyle w:val="normaltextrun"/>
          <w:noProof/>
          <w:lang w:val="en-GB"/>
        </w:rPr>
        <w:t xml:space="preserve">through </w:t>
      </w:r>
      <w:r w:rsidRPr="00724676">
        <w:rPr>
          <w:rStyle w:val="normaltextrun"/>
          <w:noProof/>
          <w:lang w:val="en-GB"/>
        </w:rPr>
        <w:t>diversi</w:t>
      </w:r>
      <w:r w:rsidR="00425EF1" w:rsidRPr="00724676">
        <w:rPr>
          <w:rStyle w:val="normaltextrun"/>
          <w:noProof/>
          <w:lang w:val="en-GB"/>
        </w:rPr>
        <w:t>fication</w:t>
      </w:r>
      <w:r w:rsidRPr="00724676">
        <w:rPr>
          <w:rStyle w:val="normaltextrun"/>
          <w:noProof/>
          <w:lang w:val="en-GB"/>
        </w:rPr>
        <w:t xml:space="preserve"> of crops on their </w:t>
      </w:r>
      <w:r w:rsidR="000A25B1">
        <w:rPr>
          <w:rStyle w:val="normaltextrun"/>
          <w:noProof/>
          <w:lang w:val="en-GB"/>
        </w:rPr>
        <w:t>farms</w:t>
      </w:r>
      <w:r w:rsidR="000A25B1" w:rsidRPr="00724676">
        <w:rPr>
          <w:rStyle w:val="normaltextrun"/>
          <w:noProof/>
          <w:lang w:val="en-GB"/>
        </w:rPr>
        <w:t xml:space="preserve"> </w:t>
      </w:r>
      <w:r w:rsidRPr="00724676">
        <w:rPr>
          <w:rStyle w:val="normaltextrun"/>
          <w:noProof/>
          <w:lang w:val="en-GB"/>
        </w:rPr>
        <w:t xml:space="preserve">within a given year. </w:t>
      </w:r>
      <w:r w:rsidR="000A25B1" w:rsidRPr="003E7CF4">
        <w:rPr>
          <w:rStyle w:val="normaltextrun"/>
          <w:noProof/>
          <w:lang w:val="en-GB"/>
        </w:rPr>
        <w:t>C</w:t>
      </w:r>
      <w:r w:rsidRPr="002874FC">
        <w:rPr>
          <w:rStyle w:val="normaltextrun"/>
          <w:noProof/>
          <w:lang w:val="en-GB"/>
        </w:rPr>
        <w:t xml:space="preserve">ertain farming realities and weather conditions </w:t>
      </w:r>
      <w:r w:rsidR="000A25B1" w:rsidRPr="002874FC">
        <w:rPr>
          <w:rStyle w:val="normaltextrun"/>
          <w:noProof/>
          <w:lang w:val="en-GB"/>
        </w:rPr>
        <w:t xml:space="preserve">can make it difficult for farmers to </w:t>
      </w:r>
      <w:r w:rsidRPr="002874FC">
        <w:rPr>
          <w:rStyle w:val="normaltextrun"/>
          <w:noProof/>
          <w:lang w:val="en-GB"/>
        </w:rPr>
        <w:t>ensur</w:t>
      </w:r>
      <w:r w:rsidR="000A25B1" w:rsidRPr="002874FC">
        <w:rPr>
          <w:rStyle w:val="normaltextrun"/>
          <w:noProof/>
          <w:lang w:val="en-GB"/>
        </w:rPr>
        <w:t>e</w:t>
      </w:r>
      <w:r w:rsidRPr="002874FC">
        <w:rPr>
          <w:rStyle w:val="normaltextrun"/>
          <w:noProof/>
          <w:lang w:val="en-GB"/>
        </w:rPr>
        <w:t xml:space="preserve"> crop rotation </w:t>
      </w:r>
      <w:r w:rsidR="2D9BB415" w:rsidRPr="00130A39">
        <w:rPr>
          <w:rStyle w:val="normaltextrun"/>
          <w:noProof/>
          <w:lang w:val="en-GB"/>
        </w:rPr>
        <w:t>for example</w:t>
      </w:r>
      <w:r w:rsidR="00360A28">
        <w:rPr>
          <w:rStyle w:val="normaltextrun"/>
          <w:noProof/>
          <w:lang w:val="en-GB"/>
        </w:rPr>
        <w:t xml:space="preserve"> </w:t>
      </w:r>
      <w:r w:rsidRPr="00130A39">
        <w:rPr>
          <w:rStyle w:val="normaltextrun"/>
          <w:noProof/>
          <w:lang w:val="en-GB"/>
        </w:rPr>
        <w:t>market</w:t>
      </w:r>
      <w:r w:rsidR="00536B67" w:rsidRPr="00130A39">
        <w:rPr>
          <w:rStyle w:val="normaltextrun"/>
          <w:noProof/>
          <w:lang w:val="en-GB"/>
        </w:rPr>
        <w:t xml:space="preserve"> </w:t>
      </w:r>
      <w:r w:rsidR="5434F220" w:rsidRPr="00130A39">
        <w:rPr>
          <w:rStyle w:val="normaltextrun"/>
          <w:noProof/>
          <w:lang w:val="en-GB"/>
        </w:rPr>
        <w:t xml:space="preserve">demand for </w:t>
      </w:r>
      <w:r w:rsidR="2A6F847F" w:rsidRPr="003E7CF4">
        <w:rPr>
          <w:rStyle w:val="normaltextrun"/>
          <w:noProof/>
          <w:lang w:val="en-GB"/>
        </w:rPr>
        <w:t xml:space="preserve">specific </w:t>
      </w:r>
      <w:r w:rsidR="5434F220" w:rsidRPr="00130A39">
        <w:rPr>
          <w:rStyle w:val="normaltextrun"/>
          <w:noProof/>
          <w:lang w:val="en-GB"/>
        </w:rPr>
        <w:t xml:space="preserve">crops, </w:t>
      </w:r>
      <w:r w:rsidRPr="00130A39">
        <w:rPr>
          <w:rStyle w:val="normaltextrun"/>
          <w:noProof/>
          <w:lang w:val="en-GB"/>
        </w:rPr>
        <w:t>seed availabilit</w:t>
      </w:r>
      <w:r w:rsidR="000A25B1" w:rsidRPr="00130A39">
        <w:rPr>
          <w:rStyle w:val="normaltextrun"/>
          <w:noProof/>
          <w:lang w:val="en-GB"/>
        </w:rPr>
        <w:t>y</w:t>
      </w:r>
      <w:r w:rsidRPr="00130A39">
        <w:rPr>
          <w:rStyle w:val="normaltextrun"/>
          <w:noProof/>
          <w:lang w:val="en-GB"/>
        </w:rPr>
        <w:t xml:space="preserve"> and the windows for sowing</w:t>
      </w:r>
      <w:r w:rsidRPr="002874FC">
        <w:rPr>
          <w:rStyle w:val="normaltextrun"/>
          <w:noProof/>
          <w:lang w:val="en-GB"/>
        </w:rPr>
        <w:t xml:space="preserve"> certain crops. </w:t>
      </w:r>
      <w:r w:rsidR="000A25B1" w:rsidRPr="002874FC">
        <w:rPr>
          <w:rStyle w:val="normaltextrun"/>
          <w:noProof/>
          <w:lang w:val="en-GB"/>
        </w:rPr>
        <w:t>I</w:t>
      </w:r>
      <w:r w:rsidRPr="002874FC">
        <w:rPr>
          <w:rStyle w:val="normaltextrun"/>
          <w:noProof/>
          <w:lang w:val="en-GB"/>
        </w:rPr>
        <w:t xml:space="preserve">n 2023, Member States were </w:t>
      </w:r>
      <w:r w:rsidR="00536B67" w:rsidRPr="002874FC">
        <w:rPr>
          <w:rStyle w:val="normaltextrun"/>
          <w:noProof/>
          <w:lang w:val="en-GB"/>
        </w:rPr>
        <w:t xml:space="preserve">permitted </w:t>
      </w:r>
      <w:r w:rsidRPr="002874FC">
        <w:rPr>
          <w:rStyle w:val="normaltextrun"/>
          <w:noProof/>
          <w:lang w:val="en-GB"/>
        </w:rPr>
        <w:t>to grant a</w:t>
      </w:r>
      <w:r w:rsidRPr="00724676">
        <w:rPr>
          <w:rStyle w:val="normaltextrun"/>
          <w:noProof/>
          <w:lang w:val="en-GB"/>
        </w:rPr>
        <w:t xml:space="preserve"> derogation from </w:t>
      </w:r>
      <w:r w:rsidR="00425EF1" w:rsidRPr="00724676">
        <w:rPr>
          <w:rStyle w:val="normaltextrun"/>
          <w:noProof/>
          <w:lang w:val="en-GB"/>
        </w:rPr>
        <w:t>GAEC 7</w:t>
      </w:r>
      <w:r w:rsidRPr="00724676">
        <w:rPr>
          <w:rStyle w:val="normaltextrun"/>
          <w:noProof/>
          <w:lang w:val="en-GB"/>
        </w:rPr>
        <w:t xml:space="preserve"> in light of the </w:t>
      </w:r>
      <w:r w:rsidR="00536B67">
        <w:rPr>
          <w:rStyle w:val="normaltextrun"/>
          <w:noProof/>
          <w:lang w:val="en-GB"/>
        </w:rPr>
        <w:t>impact</w:t>
      </w:r>
      <w:r w:rsidR="00536B67" w:rsidRPr="00724676">
        <w:rPr>
          <w:rStyle w:val="normaltextrun"/>
          <w:noProof/>
          <w:lang w:val="en-GB"/>
        </w:rPr>
        <w:t xml:space="preserve"> </w:t>
      </w:r>
      <w:r w:rsidR="00855604" w:rsidRPr="00724676">
        <w:rPr>
          <w:rStyle w:val="normaltextrun"/>
          <w:noProof/>
          <w:lang w:val="en-GB"/>
        </w:rPr>
        <w:t>that</w:t>
      </w:r>
      <w:r w:rsidRPr="00724676">
        <w:rPr>
          <w:rStyle w:val="normaltextrun"/>
          <w:noProof/>
          <w:lang w:val="en-GB"/>
        </w:rPr>
        <w:t xml:space="preserve"> </w:t>
      </w:r>
      <w:r w:rsidR="00536B67">
        <w:rPr>
          <w:rStyle w:val="normaltextrun"/>
          <w:noProof/>
          <w:lang w:val="en-GB"/>
        </w:rPr>
        <w:t xml:space="preserve">Russia’s </w:t>
      </w:r>
      <w:r w:rsidRPr="00724676">
        <w:rPr>
          <w:rStyle w:val="normaltextrun"/>
          <w:noProof/>
          <w:lang w:val="en-GB"/>
        </w:rPr>
        <w:t xml:space="preserve">war </w:t>
      </w:r>
      <w:r w:rsidR="00536B67">
        <w:rPr>
          <w:rStyle w:val="normaltextrun"/>
          <w:noProof/>
          <w:lang w:val="en-GB"/>
        </w:rPr>
        <w:t xml:space="preserve">of aggression </w:t>
      </w:r>
      <w:r w:rsidRPr="00724676">
        <w:rPr>
          <w:rStyle w:val="normaltextrun"/>
          <w:noProof/>
          <w:lang w:val="en-GB"/>
        </w:rPr>
        <w:t xml:space="preserve">in Ukraine </w:t>
      </w:r>
      <w:r w:rsidR="00536B67">
        <w:rPr>
          <w:rStyle w:val="normaltextrun"/>
          <w:noProof/>
          <w:lang w:val="en-GB"/>
        </w:rPr>
        <w:t xml:space="preserve">had on </w:t>
      </w:r>
      <w:r w:rsidR="001F30D4" w:rsidRPr="00724676">
        <w:rPr>
          <w:rStyle w:val="normaltextrun"/>
          <w:noProof/>
          <w:lang w:val="en-GB"/>
        </w:rPr>
        <w:t>global food security</w:t>
      </w:r>
      <w:r w:rsidR="00AB0749" w:rsidRPr="00724676">
        <w:rPr>
          <w:rStyle w:val="normaltextrun"/>
          <w:noProof/>
          <w:lang w:val="en-GB"/>
        </w:rPr>
        <w:t>. The aim was</w:t>
      </w:r>
      <w:r w:rsidRPr="00724676">
        <w:rPr>
          <w:rStyle w:val="normaltextrun"/>
          <w:noProof/>
          <w:lang w:val="en-GB"/>
        </w:rPr>
        <w:t xml:space="preserve"> to </w:t>
      </w:r>
      <w:r w:rsidR="00536B67">
        <w:rPr>
          <w:rStyle w:val="normaltextrun"/>
          <w:noProof/>
          <w:lang w:val="en-GB"/>
        </w:rPr>
        <w:t xml:space="preserve">ensure that </w:t>
      </w:r>
      <w:r w:rsidRPr="00724676">
        <w:rPr>
          <w:rStyle w:val="normaltextrun"/>
          <w:noProof/>
          <w:lang w:val="en-GB"/>
        </w:rPr>
        <w:t>farmers</w:t>
      </w:r>
      <w:r w:rsidR="00536B67">
        <w:rPr>
          <w:rStyle w:val="normaltextrun"/>
          <w:noProof/>
          <w:lang w:val="en-GB"/>
        </w:rPr>
        <w:t xml:space="preserve"> were not prevented from </w:t>
      </w:r>
      <w:r w:rsidR="002C0FA6" w:rsidRPr="00724676">
        <w:rPr>
          <w:rStyle w:val="normaltextrun"/>
          <w:noProof/>
          <w:lang w:val="en-GB"/>
        </w:rPr>
        <w:t>respond</w:t>
      </w:r>
      <w:r w:rsidR="00536B67">
        <w:rPr>
          <w:rStyle w:val="normaltextrun"/>
          <w:noProof/>
          <w:lang w:val="en-GB"/>
        </w:rPr>
        <w:t>ing</w:t>
      </w:r>
      <w:r w:rsidR="002C0FA6" w:rsidRPr="00724676">
        <w:rPr>
          <w:rStyle w:val="normaltextrun"/>
          <w:noProof/>
          <w:lang w:val="en-GB"/>
        </w:rPr>
        <w:t xml:space="preserve"> to the demand </w:t>
      </w:r>
      <w:r w:rsidR="00A12E2B" w:rsidRPr="00724676">
        <w:rPr>
          <w:rStyle w:val="normaltextrun"/>
          <w:noProof/>
          <w:lang w:val="en-GB"/>
        </w:rPr>
        <w:t xml:space="preserve">for food crops </w:t>
      </w:r>
      <w:r w:rsidR="002C0FA6" w:rsidRPr="00724676">
        <w:rPr>
          <w:rStyle w:val="normaltextrun"/>
          <w:noProof/>
          <w:lang w:val="en-GB"/>
        </w:rPr>
        <w:t>in line with the</w:t>
      </w:r>
      <w:r w:rsidR="00536B67">
        <w:rPr>
          <w:rStyle w:val="normaltextrun"/>
          <w:noProof/>
          <w:lang w:val="en-GB"/>
        </w:rPr>
        <w:t xml:space="preserve"> changing</w:t>
      </w:r>
      <w:r w:rsidR="002C0FA6" w:rsidRPr="00724676">
        <w:rPr>
          <w:rStyle w:val="normaltextrun"/>
          <w:noProof/>
          <w:lang w:val="en-GB"/>
        </w:rPr>
        <w:t xml:space="preserve"> market context.</w:t>
      </w:r>
    </w:p>
    <w:p w14:paraId="5BF3B57C" w14:textId="1243A170" w:rsidR="00523350" w:rsidRPr="00724676" w:rsidRDefault="00523350" w:rsidP="00F34777">
      <w:pPr>
        <w:pStyle w:val="paragraph"/>
        <w:spacing w:before="0" w:beforeAutospacing="0" w:after="120" w:afterAutospacing="0" w:line="259" w:lineRule="auto"/>
        <w:jc w:val="both"/>
        <w:textAlignment w:val="baseline"/>
        <w:rPr>
          <w:rFonts w:ascii="Segoe UI" w:hAnsi="Segoe UI" w:cs="Segoe UI"/>
          <w:b/>
          <w:bCs/>
          <w:i/>
          <w:iCs/>
          <w:noProof/>
          <w:color w:val="2F5496"/>
          <w:sz w:val="18"/>
          <w:szCs w:val="18"/>
          <w:lang w:val="fr-FR"/>
        </w:rPr>
      </w:pPr>
      <w:r w:rsidRPr="00724676">
        <w:rPr>
          <w:rStyle w:val="normaltextrun"/>
          <w:b/>
          <w:bCs/>
          <w:noProof/>
          <w:lang w:val="fr-FR"/>
        </w:rPr>
        <w:t>GAEC 8</w:t>
      </w:r>
      <w:r w:rsidRPr="00724676">
        <w:rPr>
          <w:rStyle w:val="eop"/>
          <w:b/>
          <w:bCs/>
          <w:i/>
          <w:iCs/>
          <w:noProof/>
          <w:lang w:val="fr-FR"/>
        </w:rPr>
        <w:t> </w:t>
      </w:r>
      <w:r w:rsidR="00DC7B32" w:rsidRPr="00724676">
        <w:rPr>
          <w:rStyle w:val="eop"/>
          <w:b/>
          <w:bCs/>
          <w:noProof/>
          <w:lang w:val="fr-FR"/>
        </w:rPr>
        <w:t>(Non-productive arable land)</w:t>
      </w:r>
    </w:p>
    <w:p w14:paraId="364C20A4" w14:textId="1CF427C0" w:rsidR="00EC59B8" w:rsidRPr="00724676" w:rsidRDefault="00523350" w:rsidP="00EE1B2B">
      <w:pPr>
        <w:pStyle w:val="paragraph"/>
        <w:spacing w:before="0" w:beforeAutospacing="0" w:after="120" w:afterAutospacing="0" w:line="259" w:lineRule="auto"/>
        <w:jc w:val="both"/>
        <w:textAlignment w:val="baseline"/>
        <w:rPr>
          <w:rStyle w:val="normaltextrun"/>
          <w:noProof/>
          <w:lang w:val="en-GB"/>
        </w:rPr>
      </w:pPr>
      <w:r w:rsidRPr="00724676">
        <w:rPr>
          <w:rStyle w:val="normaltextrun"/>
          <w:noProof/>
          <w:lang w:val="en-GB"/>
        </w:rPr>
        <w:t xml:space="preserve">GAEC 8, </w:t>
      </w:r>
      <w:r w:rsidR="00536B67">
        <w:rPr>
          <w:rStyle w:val="normaltextrun"/>
          <w:noProof/>
          <w:lang w:val="en-GB"/>
        </w:rPr>
        <w:t>which addresses</w:t>
      </w:r>
      <w:r w:rsidR="00E91F86" w:rsidRPr="00724676">
        <w:rPr>
          <w:rStyle w:val="normaltextrun"/>
          <w:noProof/>
          <w:lang w:val="en-GB"/>
        </w:rPr>
        <w:t xml:space="preserve"> </w:t>
      </w:r>
      <w:r w:rsidRPr="00724676">
        <w:rPr>
          <w:rStyle w:val="normaltextrun"/>
          <w:noProof/>
          <w:lang w:val="en-GB"/>
        </w:rPr>
        <w:t>biodiversity</w:t>
      </w:r>
      <w:r w:rsidR="00536B67">
        <w:rPr>
          <w:rStyle w:val="normaltextrun"/>
          <w:noProof/>
          <w:lang w:val="en-GB"/>
        </w:rPr>
        <w:t xml:space="preserve"> on farms</w:t>
      </w:r>
      <w:r w:rsidRPr="00724676">
        <w:rPr>
          <w:rStyle w:val="normaltextrun"/>
          <w:noProof/>
          <w:lang w:val="en-GB"/>
        </w:rPr>
        <w:t>, require</w:t>
      </w:r>
      <w:r w:rsidR="00536B67">
        <w:rPr>
          <w:rStyle w:val="normaltextrun"/>
          <w:noProof/>
          <w:lang w:val="en-GB"/>
        </w:rPr>
        <w:t>s,</w:t>
      </w:r>
      <w:r w:rsidRPr="00724676">
        <w:rPr>
          <w:rStyle w:val="normaltextrun"/>
          <w:noProof/>
          <w:lang w:val="en-GB"/>
        </w:rPr>
        <w:t xml:space="preserve"> among other</w:t>
      </w:r>
      <w:r w:rsidR="00536B67">
        <w:rPr>
          <w:rStyle w:val="normaltextrun"/>
          <w:noProof/>
          <w:lang w:val="en-GB"/>
        </w:rPr>
        <w:t xml:space="preserve"> things,</w:t>
      </w:r>
      <w:r w:rsidRPr="00724676">
        <w:rPr>
          <w:rStyle w:val="normaltextrun"/>
          <w:noProof/>
          <w:lang w:val="en-GB"/>
        </w:rPr>
        <w:t xml:space="preserve"> that a minimum share of arable land at holding level be devoted to non-productive areas and features </w:t>
      </w:r>
      <w:r w:rsidRPr="2E1D0E0E">
        <w:rPr>
          <w:rStyle w:val="normaltextrun"/>
          <w:noProof/>
          <w:lang w:val="en-GB"/>
        </w:rPr>
        <w:t>(</w:t>
      </w:r>
      <w:r w:rsidR="11F805B9" w:rsidRPr="2E1D0E0E">
        <w:rPr>
          <w:rStyle w:val="normaltextrun"/>
          <w:noProof/>
          <w:lang w:val="en-GB"/>
        </w:rPr>
        <w:t>‘</w:t>
      </w:r>
      <w:r w:rsidR="385D1F46" w:rsidRPr="2E1D0E0E">
        <w:rPr>
          <w:rStyle w:val="normaltextrun"/>
          <w:noProof/>
          <w:lang w:val="en-GB"/>
        </w:rPr>
        <w:t xml:space="preserve">the </w:t>
      </w:r>
      <w:r w:rsidR="11F805B9" w:rsidRPr="2E1D0E0E">
        <w:rPr>
          <w:rStyle w:val="normaltextrun"/>
          <w:noProof/>
          <w:lang w:val="en-GB"/>
        </w:rPr>
        <w:t xml:space="preserve">GAEC 8 first requirement’, </w:t>
      </w:r>
      <w:r w:rsidRPr="00724676">
        <w:rPr>
          <w:rStyle w:val="normaltextrun"/>
          <w:noProof/>
          <w:lang w:val="en-GB"/>
        </w:rPr>
        <w:t xml:space="preserve">4% as </w:t>
      </w:r>
      <w:r w:rsidR="000317FC" w:rsidRPr="00724676">
        <w:rPr>
          <w:rStyle w:val="normaltextrun"/>
          <w:noProof/>
          <w:lang w:val="en-GB"/>
        </w:rPr>
        <w:t xml:space="preserve">a </w:t>
      </w:r>
      <w:r w:rsidR="00536B67">
        <w:rPr>
          <w:rStyle w:val="normaltextrun"/>
          <w:noProof/>
          <w:lang w:val="en-GB"/>
        </w:rPr>
        <w:t>general</w:t>
      </w:r>
      <w:r w:rsidR="00536B67" w:rsidRPr="00724676">
        <w:rPr>
          <w:rStyle w:val="normaltextrun"/>
          <w:noProof/>
          <w:lang w:val="en-GB"/>
        </w:rPr>
        <w:t xml:space="preserve"> </w:t>
      </w:r>
      <w:r w:rsidRPr="00724676">
        <w:rPr>
          <w:rStyle w:val="normaltextrun"/>
          <w:noProof/>
          <w:lang w:val="en-GB"/>
        </w:rPr>
        <w:t>principle) and that landscape feature</w:t>
      </w:r>
      <w:r w:rsidR="000317FC" w:rsidRPr="00724676">
        <w:rPr>
          <w:rStyle w:val="normaltextrun"/>
          <w:noProof/>
          <w:lang w:val="en-GB"/>
        </w:rPr>
        <w:t>s</w:t>
      </w:r>
      <w:r w:rsidRPr="00724676">
        <w:rPr>
          <w:rStyle w:val="normaltextrun"/>
          <w:noProof/>
          <w:lang w:val="en-GB"/>
        </w:rPr>
        <w:t xml:space="preserve"> </w:t>
      </w:r>
      <w:r w:rsidR="008560A8" w:rsidRPr="00724676">
        <w:rPr>
          <w:rStyle w:val="normaltextrun"/>
          <w:noProof/>
          <w:lang w:val="en-GB"/>
        </w:rPr>
        <w:t>sh</w:t>
      </w:r>
      <w:r w:rsidR="00F4164A" w:rsidRPr="00724676">
        <w:rPr>
          <w:rStyle w:val="normaltextrun"/>
          <w:noProof/>
          <w:lang w:val="en-GB"/>
        </w:rPr>
        <w:t>ould</w:t>
      </w:r>
      <w:r w:rsidR="008560A8" w:rsidRPr="00724676">
        <w:rPr>
          <w:rStyle w:val="normaltextrun"/>
          <w:noProof/>
          <w:lang w:val="en-GB"/>
        </w:rPr>
        <w:t xml:space="preserve"> </w:t>
      </w:r>
      <w:r w:rsidR="000317FC" w:rsidRPr="00724676">
        <w:rPr>
          <w:rStyle w:val="normaltextrun"/>
          <w:noProof/>
          <w:lang w:val="en-GB"/>
        </w:rPr>
        <w:t xml:space="preserve">be </w:t>
      </w:r>
      <w:r w:rsidRPr="00724676">
        <w:rPr>
          <w:rStyle w:val="normaltextrun"/>
          <w:noProof/>
          <w:lang w:val="en-GB"/>
        </w:rPr>
        <w:t xml:space="preserve">retained. As for GAEC </w:t>
      </w:r>
      <w:r w:rsidR="00536B67">
        <w:rPr>
          <w:rStyle w:val="normaltextrun"/>
          <w:noProof/>
          <w:lang w:val="en-GB"/>
        </w:rPr>
        <w:t>7</w:t>
      </w:r>
      <w:r w:rsidRPr="00724676">
        <w:rPr>
          <w:rStyle w:val="normaltextrun"/>
          <w:noProof/>
          <w:lang w:val="en-GB"/>
        </w:rPr>
        <w:t xml:space="preserve">, </w:t>
      </w:r>
      <w:r w:rsidR="00536B67">
        <w:rPr>
          <w:rStyle w:val="normaltextrun"/>
          <w:noProof/>
          <w:lang w:val="en-GB"/>
        </w:rPr>
        <w:t xml:space="preserve">in 2023, </w:t>
      </w:r>
      <w:r w:rsidRPr="00724676">
        <w:rPr>
          <w:rStyle w:val="normaltextrun"/>
          <w:noProof/>
          <w:lang w:val="en-GB"/>
        </w:rPr>
        <w:t xml:space="preserve">Member States could </w:t>
      </w:r>
      <w:r w:rsidR="00536B67">
        <w:rPr>
          <w:rStyle w:val="normaltextrun"/>
          <w:noProof/>
          <w:lang w:val="en-GB"/>
        </w:rPr>
        <w:t xml:space="preserve">allow farms to </w:t>
      </w:r>
      <w:r w:rsidRPr="00724676">
        <w:rPr>
          <w:rStyle w:val="normaltextrun"/>
          <w:noProof/>
          <w:lang w:val="en-GB"/>
        </w:rPr>
        <w:t xml:space="preserve">derogate from the </w:t>
      </w:r>
      <w:r w:rsidR="0C186721" w:rsidRPr="2E1D0E0E">
        <w:rPr>
          <w:rStyle w:val="normaltextrun"/>
          <w:noProof/>
          <w:lang w:val="en-GB"/>
        </w:rPr>
        <w:t>first requirement of GAEC 8</w:t>
      </w:r>
      <w:r w:rsidRPr="00724676">
        <w:rPr>
          <w:rStyle w:val="normaltextrun"/>
          <w:noProof/>
          <w:lang w:val="en-GB"/>
        </w:rPr>
        <w:t xml:space="preserve">, </w:t>
      </w:r>
      <w:r w:rsidR="00536B67">
        <w:rPr>
          <w:rStyle w:val="normaltextrun"/>
          <w:noProof/>
          <w:lang w:val="en-GB"/>
        </w:rPr>
        <w:t>again because</w:t>
      </w:r>
      <w:r w:rsidR="00E91F86" w:rsidRPr="00724676">
        <w:rPr>
          <w:rStyle w:val="normaltextrun"/>
          <w:noProof/>
          <w:lang w:val="en-GB"/>
        </w:rPr>
        <w:t xml:space="preserve"> </w:t>
      </w:r>
      <w:r w:rsidRPr="00724676">
        <w:rPr>
          <w:rStyle w:val="normaltextrun"/>
          <w:noProof/>
          <w:lang w:val="en-GB"/>
        </w:rPr>
        <w:t xml:space="preserve">of the impact </w:t>
      </w:r>
      <w:r w:rsidR="00536B67" w:rsidRPr="00724676">
        <w:rPr>
          <w:rStyle w:val="normaltextrun"/>
          <w:noProof/>
          <w:lang w:val="en-GB"/>
        </w:rPr>
        <w:t>on global food security</w:t>
      </w:r>
      <w:r w:rsidR="00A05F44">
        <w:rPr>
          <w:rStyle w:val="normaltextrun"/>
          <w:noProof/>
          <w:lang w:val="en-GB"/>
        </w:rPr>
        <w:t xml:space="preserve"> </w:t>
      </w:r>
      <w:r w:rsidRPr="00724676">
        <w:rPr>
          <w:rStyle w:val="normaltextrun"/>
          <w:noProof/>
          <w:lang w:val="en-GB"/>
        </w:rPr>
        <w:t xml:space="preserve">of </w:t>
      </w:r>
      <w:r w:rsidR="00536B67">
        <w:rPr>
          <w:rStyle w:val="normaltextrun"/>
          <w:noProof/>
          <w:lang w:val="en-GB"/>
        </w:rPr>
        <w:t>Russia’s</w:t>
      </w:r>
      <w:r w:rsidR="004C1042" w:rsidRPr="00724676">
        <w:rPr>
          <w:rStyle w:val="normaltextrun"/>
          <w:noProof/>
          <w:lang w:val="en-GB"/>
        </w:rPr>
        <w:t xml:space="preserve"> </w:t>
      </w:r>
      <w:r w:rsidRPr="00724676">
        <w:rPr>
          <w:rStyle w:val="normaltextrun"/>
          <w:noProof/>
          <w:lang w:val="en-GB"/>
        </w:rPr>
        <w:t xml:space="preserve">war </w:t>
      </w:r>
      <w:r w:rsidR="00536B67">
        <w:rPr>
          <w:rStyle w:val="normaltextrun"/>
          <w:noProof/>
          <w:lang w:val="en-GB"/>
        </w:rPr>
        <w:t>of aggression in</w:t>
      </w:r>
      <w:r w:rsidR="00534D30" w:rsidRPr="00724676">
        <w:rPr>
          <w:rStyle w:val="normaltextrun"/>
          <w:noProof/>
          <w:lang w:val="en-GB"/>
        </w:rPr>
        <w:t xml:space="preserve"> </w:t>
      </w:r>
      <w:r w:rsidRPr="00724676">
        <w:rPr>
          <w:rStyle w:val="normaltextrun"/>
          <w:noProof/>
          <w:lang w:val="en-GB"/>
        </w:rPr>
        <w:t>Ukraine.</w:t>
      </w:r>
    </w:p>
    <w:p w14:paraId="5ED050A4" w14:textId="7D67C798" w:rsidR="00B471CB" w:rsidRPr="00724676" w:rsidRDefault="655AB70B" w:rsidP="00414DDA">
      <w:pPr>
        <w:pStyle w:val="paragraph"/>
        <w:spacing w:before="0" w:beforeAutospacing="0" w:after="120" w:afterAutospacing="0" w:line="259" w:lineRule="auto"/>
        <w:jc w:val="both"/>
        <w:textAlignment w:val="baseline"/>
        <w:rPr>
          <w:rStyle w:val="normaltextrun"/>
          <w:noProof/>
          <w:lang w:val="en-GB"/>
        </w:rPr>
      </w:pPr>
      <w:r w:rsidRPr="2E1D0E0E">
        <w:rPr>
          <w:rStyle w:val="normaltextrun"/>
          <w:noProof/>
          <w:lang w:val="en-GB"/>
        </w:rPr>
        <w:t>The GAEC 8 first requirement</w:t>
      </w:r>
      <w:r w:rsidR="00536B67">
        <w:rPr>
          <w:rStyle w:val="normaltextrun"/>
          <w:noProof/>
          <w:lang w:val="en-GB"/>
        </w:rPr>
        <w:t xml:space="preserve"> has,</w:t>
      </w:r>
      <w:r w:rsidR="00D3569C" w:rsidRPr="00724676">
        <w:rPr>
          <w:rStyle w:val="normaltextrun"/>
          <w:noProof/>
          <w:lang w:val="en-GB"/>
        </w:rPr>
        <w:t xml:space="preserve"> however</w:t>
      </w:r>
      <w:r w:rsidR="00536B67">
        <w:rPr>
          <w:rStyle w:val="normaltextrun"/>
          <w:noProof/>
          <w:lang w:val="en-GB"/>
        </w:rPr>
        <w:t>,</w:t>
      </w:r>
      <w:r w:rsidR="007479C1" w:rsidRPr="00724676">
        <w:rPr>
          <w:rStyle w:val="normaltextrun"/>
          <w:noProof/>
          <w:lang w:val="en-GB"/>
        </w:rPr>
        <w:t xml:space="preserve"> prove</w:t>
      </w:r>
      <w:r w:rsidR="00CA0656" w:rsidRPr="00724676">
        <w:rPr>
          <w:rStyle w:val="normaltextrun"/>
          <w:noProof/>
          <w:lang w:val="en-GB"/>
        </w:rPr>
        <w:t>d</w:t>
      </w:r>
      <w:r w:rsidR="007479C1" w:rsidRPr="00724676">
        <w:rPr>
          <w:rStyle w:val="normaltextrun"/>
          <w:noProof/>
          <w:lang w:val="en-GB"/>
        </w:rPr>
        <w:t xml:space="preserve"> </w:t>
      </w:r>
      <w:r w:rsidR="00523350" w:rsidRPr="00724676">
        <w:rPr>
          <w:rStyle w:val="normaltextrun"/>
          <w:noProof/>
          <w:lang w:val="en-GB"/>
        </w:rPr>
        <w:t xml:space="preserve">costly for some categories of farmers, particularly in view of </w:t>
      </w:r>
      <w:r w:rsidR="00536B67">
        <w:rPr>
          <w:rStyle w:val="normaltextrun"/>
          <w:noProof/>
          <w:lang w:val="en-GB"/>
        </w:rPr>
        <w:t xml:space="preserve">the </w:t>
      </w:r>
      <w:r w:rsidR="00523350" w:rsidRPr="00724676">
        <w:rPr>
          <w:rStyle w:val="normaltextrun"/>
          <w:noProof/>
          <w:lang w:val="en-GB"/>
        </w:rPr>
        <w:t xml:space="preserve">pressure on margins in certain arable crop sectors and in areas with high land prices. </w:t>
      </w:r>
      <w:r w:rsidR="00CA0656" w:rsidRPr="00724676">
        <w:rPr>
          <w:rStyle w:val="normaltextrun"/>
          <w:noProof/>
          <w:lang w:val="en-GB"/>
        </w:rPr>
        <w:t>F</w:t>
      </w:r>
      <w:r w:rsidR="008D2883" w:rsidRPr="00724676">
        <w:rPr>
          <w:rStyle w:val="normaltextrun"/>
          <w:noProof/>
          <w:lang w:val="en-GB"/>
        </w:rPr>
        <w:t xml:space="preserve">armers </w:t>
      </w:r>
      <w:r w:rsidR="00536B67">
        <w:rPr>
          <w:rStyle w:val="normaltextrun"/>
          <w:noProof/>
          <w:lang w:val="en-GB"/>
        </w:rPr>
        <w:t>have</w:t>
      </w:r>
      <w:r w:rsidR="00157758" w:rsidRPr="00724676">
        <w:rPr>
          <w:rStyle w:val="normaltextrun"/>
          <w:noProof/>
          <w:lang w:val="en-GB"/>
        </w:rPr>
        <w:t xml:space="preserve"> </w:t>
      </w:r>
      <w:r w:rsidR="00CA0656" w:rsidRPr="00724676">
        <w:rPr>
          <w:rStyle w:val="normaltextrun"/>
          <w:noProof/>
          <w:lang w:val="en-GB"/>
        </w:rPr>
        <w:t xml:space="preserve">therefore </w:t>
      </w:r>
      <w:r w:rsidR="00536B67">
        <w:rPr>
          <w:rStyle w:val="normaltextrun"/>
          <w:noProof/>
          <w:lang w:val="en-GB"/>
        </w:rPr>
        <w:t xml:space="preserve">faced </w:t>
      </w:r>
      <w:r w:rsidR="00157758" w:rsidRPr="00724676">
        <w:rPr>
          <w:rStyle w:val="normaltextrun"/>
          <w:noProof/>
          <w:lang w:val="en-GB"/>
        </w:rPr>
        <w:t xml:space="preserve">difficulties </w:t>
      </w:r>
      <w:r w:rsidR="00536B67">
        <w:rPr>
          <w:rStyle w:val="normaltextrun"/>
          <w:noProof/>
          <w:lang w:val="en-GB"/>
        </w:rPr>
        <w:t>in</w:t>
      </w:r>
      <w:r w:rsidR="00536B67" w:rsidRPr="00724676">
        <w:rPr>
          <w:rStyle w:val="normaltextrun"/>
          <w:noProof/>
          <w:lang w:val="en-GB"/>
        </w:rPr>
        <w:t xml:space="preserve"> </w:t>
      </w:r>
      <w:r w:rsidR="00157758" w:rsidRPr="00724676">
        <w:rPr>
          <w:rStyle w:val="normaltextrun"/>
          <w:noProof/>
          <w:lang w:val="en-GB"/>
        </w:rPr>
        <w:t>comply</w:t>
      </w:r>
      <w:r w:rsidR="00536B67">
        <w:rPr>
          <w:rStyle w:val="normaltextrun"/>
          <w:noProof/>
          <w:lang w:val="en-GB"/>
        </w:rPr>
        <w:t>ing with this requirement</w:t>
      </w:r>
      <w:r w:rsidR="00157758" w:rsidRPr="00724676">
        <w:rPr>
          <w:rStyle w:val="normaltextrun"/>
          <w:noProof/>
          <w:lang w:val="en-GB"/>
        </w:rPr>
        <w:t xml:space="preserve"> </w:t>
      </w:r>
      <w:r w:rsidR="00523350" w:rsidRPr="00724676">
        <w:rPr>
          <w:rStyle w:val="normaltextrun"/>
          <w:noProof/>
          <w:lang w:val="en-GB"/>
        </w:rPr>
        <w:lastRenderedPageBreak/>
        <w:t xml:space="preserve">without a direct compensation </w:t>
      </w:r>
      <w:r w:rsidR="00536B67">
        <w:rPr>
          <w:rStyle w:val="normaltextrun"/>
          <w:noProof/>
          <w:lang w:val="en-GB"/>
        </w:rPr>
        <w:t>for</w:t>
      </w:r>
      <w:r w:rsidR="00536B67" w:rsidRPr="00724676">
        <w:rPr>
          <w:rStyle w:val="normaltextrun"/>
          <w:noProof/>
          <w:lang w:val="en-GB"/>
        </w:rPr>
        <w:t xml:space="preserve"> </w:t>
      </w:r>
      <w:r w:rsidR="00523350" w:rsidRPr="00724676">
        <w:rPr>
          <w:rStyle w:val="normaltextrun"/>
          <w:noProof/>
          <w:lang w:val="en-GB"/>
        </w:rPr>
        <w:t>the effort</w:t>
      </w:r>
      <w:r w:rsidR="00536B67">
        <w:rPr>
          <w:rStyle w:val="normaltextrun"/>
          <w:noProof/>
          <w:lang w:val="en-GB"/>
        </w:rPr>
        <w:t>s</w:t>
      </w:r>
      <w:r w:rsidR="00523350" w:rsidRPr="00724676">
        <w:rPr>
          <w:rStyle w:val="normaltextrun"/>
          <w:noProof/>
          <w:lang w:val="en-GB"/>
        </w:rPr>
        <w:t xml:space="preserve"> made. </w:t>
      </w:r>
      <w:r w:rsidR="00786B04" w:rsidRPr="00724676">
        <w:rPr>
          <w:rStyle w:val="normaltextrun"/>
          <w:noProof/>
          <w:lang w:val="en-GB"/>
        </w:rPr>
        <w:t>T</w:t>
      </w:r>
      <w:r w:rsidR="00523350" w:rsidRPr="00724676">
        <w:rPr>
          <w:rStyle w:val="normaltextrun"/>
          <w:noProof/>
          <w:lang w:val="en-GB"/>
        </w:rPr>
        <w:t xml:space="preserve">he Commission </w:t>
      </w:r>
      <w:r w:rsidR="00786B04" w:rsidRPr="00724676">
        <w:rPr>
          <w:rStyle w:val="normaltextrun"/>
          <w:noProof/>
          <w:lang w:val="en-GB"/>
        </w:rPr>
        <w:t xml:space="preserve">therefore </w:t>
      </w:r>
      <w:r w:rsidR="00523350" w:rsidRPr="00724676">
        <w:rPr>
          <w:rStyle w:val="normaltextrun"/>
          <w:noProof/>
          <w:lang w:val="en-GB"/>
        </w:rPr>
        <w:t>propos</w:t>
      </w:r>
      <w:r w:rsidR="00786B04" w:rsidRPr="00724676">
        <w:rPr>
          <w:rStyle w:val="normaltextrun"/>
          <w:noProof/>
          <w:lang w:val="en-GB"/>
        </w:rPr>
        <w:t>ed on</w:t>
      </w:r>
      <w:r w:rsidR="00523350" w:rsidRPr="00724676">
        <w:rPr>
          <w:rStyle w:val="normaltextrun"/>
          <w:noProof/>
          <w:lang w:val="en-GB"/>
        </w:rPr>
        <w:t xml:space="preserve"> 15 March 2024</w:t>
      </w:r>
      <w:r w:rsidR="00786B04" w:rsidRPr="00724676">
        <w:rPr>
          <w:rStyle w:val="normaltextrun"/>
          <w:noProof/>
          <w:lang w:val="en-GB"/>
        </w:rPr>
        <w:t xml:space="preserve"> to replace</w:t>
      </w:r>
      <w:r w:rsidR="00523350" w:rsidRPr="00724676">
        <w:rPr>
          <w:rStyle w:val="normaltextrun"/>
          <w:noProof/>
          <w:lang w:val="en-GB"/>
        </w:rPr>
        <w:t xml:space="preserve"> th</w:t>
      </w:r>
      <w:r w:rsidR="00623C1C" w:rsidRPr="00724676">
        <w:rPr>
          <w:rStyle w:val="normaltextrun"/>
          <w:noProof/>
          <w:lang w:val="en-GB"/>
        </w:rPr>
        <w:t>is</w:t>
      </w:r>
      <w:r w:rsidR="00523350" w:rsidRPr="00724676">
        <w:rPr>
          <w:rStyle w:val="normaltextrun"/>
          <w:noProof/>
          <w:lang w:val="en-GB"/>
        </w:rPr>
        <w:t xml:space="preserve"> </w:t>
      </w:r>
      <w:r w:rsidR="00A12E2B" w:rsidRPr="00724676">
        <w:rPr>
          <w:rStyle w:val="normaltextrun"/>
          <w:noProof/>
          <w:lang w:val="en-GB"/>
        </w:rPr>
        <w:t xml:space="preserve">GAEC 8 </w:t>
      </w:r>
      <w:r w:rsidR="00AB2A07" w:rsidRPr="00724676">
        <w:rPr>
          <w:rStyle w:val="normaltextrun"/>
          <w:noProof/>
          <w:lang w:val="en-GB"/>
        </w:rPr>
        <w:t xml:space="preserve">requirement </w:t>
      </w:r>
      <w:r w:rsidR="00072FAD" w:rsidRPr="00724676">
        <w:rPr>
          <w:rStyle w:val="normaltextrun"/>
          <w:noProof/>
          <w:lang w:val="en-GB"/>
        </w:rPr>
        <w:t>with an</w:t>
      </w:r>
      <w:r w:rsidR="00523350" w:rsidRPr="00724676">
        <w:rPr>
          <w:rStyle w:val="normaltextrun"/>
          <w:noProof/>
          <w:lang w:val="en-GB"/>
        </w:rPr>
        <w:t xml:space="preserve"> obligation for Member States to establish an eco-scheme offering support to farmers </w:t>
      </w:r>
      <w:r w:rsidR="005C6A95" w:rsidRPr="00724676">
        <w:rPr>
          <w:rStyle w:val="normaltextrun"/>
          <w:noProof/>
          <w:lang w:val="en-GB"/>
        </w:rPr>
        <w:t xml:space="preserve">for the maintenance of non-productive areas, such as land laying fallow, </w:t>
      </w:r>
      <w:r w:rsidR="00523350" w:rsidRPr="00724676">
        <w:rPr>
          <w:rStyle w:val="normaltextrun"/>
          <w:noProof/>
          <w:lang w:val="en-GB"/>
        </w:rPr>
        <w:t>and for the establishment of new landscape features</w:t>
      </w:r>
      <w:r w:rsidR="00F33CDF">
        <w:rPr>
          <w:rStyle w:val="normaltextrun"/>
          <w:noProof/>
          <w:lang w:val="en-GB"/>
        </w:rPr>
        <w:t>,</w:t>
      </w:r>
      <w:r w:rsidR="00FC0C67" w:rsidRPr="00724676">
        <w:rPr>
          <w:rStyle w:val="normaltextrun"/>
          <w:noProof/>
          <w:lang w:val="en-GB"/>
        </w:rPr>
        <w:t xml:space="preserve"> on arable land</w:t>
      </w:r>
      <w:r w:rsidR="00523350" w:rsidRPr="00724676">
        <w:rPr>
          <w:rStyle w:val="normaltextrun"/>
          <w:noProof/>
          <w:lang w:val="en-GB"/>
        </w:rPr>
        <w:t xml:space="preserve">. </w:t>
      </w:r>
    </w:p>
    <w:p w14:paraId="1CDE314D" w14:textId="0BC8C21B" w:rsidR="00891679" w:rsidRPr="00724676" w:rsidRDefault="00891679" w:rsidP="00891679">
      <w:pPr>
        <w:pStyle w:val="paragraph"/>
        <w:spacing w:before="0" w:beforeAutospacing="0" w:after="120" w:afterAutospacing="0" w:line="259" w:lineRule="auto"/>
        <w:jc w:val="both"/>
        <w:textAlignment w:val="baseline"/>
        <w:rPr>
          <w:rFonts w:ascii="Segoe UI" w:hAnsi="Segoe UI" w:cs="Segoe UI"/>
          <w:noProof/>
          <w:sz w:val="18"/>
          <w:szCs w:val="18"/>
          <w:lang w:val="en-GB"/>
        </w:rPr>
      </w:pPr>
      <w:r w:rsidRPr="00724676">
        <w:rPr>
          <w:rStyle w:val="normaltextrun"/>
          <w:noProof/>
          <w:lang w:val="en-GB"/>
        </w:rPr>
        <w:t>Member States may decide to remove the first requirement of GAEC 8</w:t>
      </w:r>
      <w:r w:rsidR="00D93318">
        <w:rPr>
          <w:rStyle w:val="normaltextrun"/>
          <w:noProof/>
          <w:lang w:val="en-GB"/>
        </w:rPr>
        <w:t>,</w:t>
      </w:r>
      <w:r w:rsidRPr="00724676">
        <w:rPr>
          <w:rStyle w:val="normaltextrun"/>
          <w:noProof/>
          <w:lang w:val="en-GB"/>
        </w:rPr>
        <w:t xml:space="preserve"> as from claim year 2024, if they have an eco-scheme which supports non-productive areas or </w:t>
      </w:r>
      <w:r w:rsidR="00536B67">
        <w:rPr>
          <w:rStyle w:val="normaltextrun"/>
          <w:noProof/>
          <w:lang w:val="en-GB"/>
        </w:rPr>
        <w:t xml:space="preserve">the </w:t>
      </w:r>
      <w:r w:rsidRPr="00724676">
        <w:rPr>
          <w:rStyle w:val="normaltextrun"/>
          <w:noProof/>
          <w:lang w:val="en-GB"/>
        </w:rPr>
        <w:t>establishment of new landscape features</w:t>
      </w:r>
      <w:r w:rsidR="00F33CDF">
        <w:rPr>
          <w:rStyle w:val="normaltextrun"/>
          <w:noProof/>
          <w:lang w:val="en-GB"/>
        </w:rPr>
        <w:t>,</w:t>
      </w:r>
      <w:r w:rsidR="00A12E2B" w:rsidRPr="00724676">
        <w:rPr>
          <w:rStyle w:val="normaltextrun"/>
          <w:noProof/>
          <w:lang w:val="en-GB"/>
        </w:rPr>
        <w:t xml:space="preserve"> on arable land</w:t>
      </w:r>
      <w:r w:rsidRPr="00724676">
        <w:rPr>
          <w:rStyle w:val="normaltextrun"/>
          <w:noProof/>
          <w:lang w:val="en-GB"/>
        </w:rPr>
        <w:t xml:space="preserve">. Otherwise, </w:t>
      </w:r>
      <w:r w:rsidR="00A12E2B" w:rsidRPr="00724676">
        <w:rPr>
          <w:rStyle w:val="normaltextrun"/>
          <w:noProof/>
          <w:lang w:val="en-GB"/>
        </w:rPr>
        <w:t xml:space="preserve">Member States </w:t>
      </w:r>
      <w:r w:rsidR="00536B67">
        <w:rPr>
          <w:rStyle w:val="normaltextrun"/>
          <w:noProof/>
          <w:lang w:val="en-GB"/>
        </w:rPr>
        <w:t xml:space="preserve">must </w:t>
      </w:r>
      <w:r w:rsidR="00A12E2B" w:rsidRPr="00724676">
        <w:rPr>
          <w:rStyle w:val="normaltextrun"/>
          <w:noProof/>
          <w:lang w:val="en-GB"/>
        </w:rPr>
        <w:t xml:space="preserve">apply this change </w:t>
      </w:r>
      <w:r w:rsidR="00536B67" w:rsidRPr="00724676">
        <w:rPr>
          <w:rStyle w:val="normaltextrun"/>
          <w:noProof/>
          <w:lang w:val="en-GB"/>
        </w:rPr>
        <w:t>from claim year 2025</w:t>
      </w:r>
      <w:r w:rsidR="00536B67">
        <w:rPr>
          <w:rStyle w:val="normaltextrun"/>
          <w:noProof/>
          <w:lang w:val="en-GB"/>
        </w:rPr>
        <w:t xml:space="preserve"> </w:t>
      </w:r>
      <w:r w:rsidRPr="00724676">
        <w:rPr>
          <w:rStyle w:val="normaltextrun"/>
          <w:noProof/>
          <w:lang w:val="en-GB"/>
        </w:rPr>
        <w:t>at the latest.</w:t>
      </w:r>
      <w:r w:rsidRPr="00724676">
        <w:rPr>
          <w:rStyle w:val="eop"/>
          <w:noProof/>
          <w:lang w:val="en-GB"/>
        </w:rPr>
        <w:t> </w:t>
      </w:r>
    </w:p>
    <w:p w14:paraId="2795E5BC" w14:textId="2664A552" w:rsidR="00A60006" w:rsidRPr="00724676" w:rsidRDefault="00B471CB" w:rsidP="00414DDA">
      <w:pPr>
        <w:pStyle w:val="paragraph"/>
        <w:spacing w:before="0" w:beforeAutospacing="0" w:after="120" w:afterAutospacing="0" w:line="259" w:lineRule="auto"/>
        <w:jc w:val="both"/>
        <w:textAlignment w:val="baseline"/>
        <w:rPr>
          <w:rStyle w:val="normaltextrun"/>
          <w:noProof/>
          <w:lang w:val="en-GB"/>
        </w:rPr>
      </w:pPr>
      <w:r w:rsidRPr="00EF39C8">
        <w:rPr>
          <w:rStyle w:val="normaltextrun"/>
          <w:noProof/>
          <w:lang w:val="en-GB"/>
        </w:rPr>
        <w:t>I</w:t>
      </w:r>
      <w:r w:rsidR="00523350" w:rsidRPr="00EF39C8">
        <w:rPr>
          <w:rStyle w:val="normaltextrun"/>
          <w:noProof/>
          <w:lang w:val="en-GB"/>
        </w:rPr>
        <w:t xml:space="preserve">t </w:t>
      </w:r>
      <w:r w:rsidR="00536B67" w:rsidRPr="00EF39C8">
        <w:rPr>
          <w:rStyle w:val="normaltextrun"/>
          <w:noProof/>
          <w:lang w:val="en-GB"/>
        </w:rPr>
        <w:t xml:space="preserve">is </w:t>
      </w:r>
      <w:r w:rsidR="00523350" w:rsidRPr="00EF39C8">
        <w:rPr>
          <w:rStyle w:val="normaltextrun"/>
          <w:noProof/>
          <w:lang w:val="en-GB"/>
        </w:rPr>
        <w:t xml:space="preserve">important to have the necessary tools in place to address the objective </w:t>
      </w:r>
      <w:r w:rsidR="00536B67" w:rsidRPr="00EF39C8">
        <w:rPr>
          <w:rStyle w:val="normaltextrun"/>
          <w:noProof/>
          <w:lang w:val="en-GB"/>
        </w:rPr>
        <w:t xml:space="preserve">on </w:t>
      </w:r>
      <w:r w:rsidR="00523350" w:rsidRPr="00EF39C8">
        <w:rPr>
          <w:rStyle w:val="normaltextrun"/>
          <w:noProof/>
          <w:lang w:val="en-GB"/>
        </w:rPr>
        <w:t>biodiversity</w:t>
      </w:r>
      <w:r w:rsidR="00AB533A" w:rsidRPr="00EF39C8">
        <w:rPr>
          <w:rStyle w:val="normaltextrun"/>
          <w:noProof/>
          <w:lang w:val="en-GB"/>
        </w:rPr>
        <w:t>.</w:t>
      </w:r>
      <w:r w:rsidR="00523350" w:rsidRPr="00724676">
        <w:rPr>
          <w:rStyle w:val="normaltextrun"/>
          <w:noProof/>
          <w:lang w:val="en-GB"/>
        </w:rPr>
        <w:t xml:space="preserve"> </w:t>
      </w:r>
      <w:r w:rsidR="00EF39C8">
        <w:rPr>
          <w:rStyle w:val="normaltextrun"/>
          <w:noProof/>
          <w:lang w:val="en-GB"/>
        </w:rPr>
        <w:t>Adopting</w:t>
      </w:r>
      <w:r w:rsidR="00523350" w:rsidRPr="00724676">
        <w:rPr>
          <w:rStyle w:val="normaltextrun"/>
          <w:noProof/>
          <w:lang w:val="en-GB"/>
        </w:rPr>
        <w:t xml:space="preserve"> a tool</w:t>
      </w:r>
      <w:r w:rsidR="00523350" w:rsidRPr="00724676" w:rsidDel="006A4EF1">
        <w:rPr>
          <w:rStyle w:val="normaltextrun"/>
          <w:noProof/>
          <w:lang w:val="en-GB"/>
        </w:rPr>
        <w:t xml:space="preserve"> </w:t>
      </w:r>
      <w:r w:rsidR="006A4EF1" w:rsidRPr="00724676">
        <w:rPr>
          <w:rStyle w:val="normaltextrun"/>
          <w:noProof/>
          <w:lang w:val="en-GB"/>
        </w:rPr>
        <w:t xml:space="preserve">that </w:t>
      </w:r>
      <w:r w:rsidR="00523350" w:rsidRPr="00724676">
        <w:rPr>
          <w:rStyle w:val="normaltextrun"/>
          <w:noProof/>
          <w:lang w:val="en-GB"/>
        </w:rPr>
        <w:t>is voluntary for farmers</w:t>
      </w:r>
      <w:r w:rsidR="00EF39C8">
        <w:rPr>
          <w:rStyle w:val="normaltextrun"/>
          <w:noProof/>
          <w:lang w:val="en-GB"/>
        </w:rPr>
        <w:t>,</w:t>
      </w:r>
      <w:r w:rsidR="00523350" w:rsidRPr="00724676">
        <w:rPr>
          <w:rStyle w:val="normaltextrun"/>
          <w:noProof/>
          <w:lang w:val="en-GB"/>
        </w:rPr>
        <w:t xml:space="preserve"> and </w:t>
      </w:r>
      <w:r w:rsidR="00EF39C8">
        <w:rPr>
          <w:rStyle w:val="normaltextrun"/>
          <w:noProof/>
          <w:lang w:val="en-GB"/>
        </w:rPr>
        <w:t xml:space="preserve">which </w:t>
      </w:r>
      <w:r w:rsidR="00523350" w:rsidRPr="00724676">
        <w:rPr>
          <w:rStyle w:val="normaltextrun"/>
          <w:noProof/>
          <w:lang w:val="en-GB"/>
        </w:rPr>
        <w:t>ensure</w:t>
      </w:r>
      <w:r w:rsidR="006A4EF1" w:rsidRPr="00724676">
        <w:rPr>
          <w:rStyle w:val="normaltextrun"/>
          <w:noProof/>
          <w:lang w:val="en-GB"/>
        </w:rPr>
        <w:t>s</w:t>
      </w:r>
      <w:r w:rsidR="00523350" w:rsidRPr="00724676">
        <w:rPr>
          <w:rStyle w:val="normaltextrun"/>
          <w:noProof/>
          <w:lang w:val="en-GB"/>
        </w:rPr>
        <w:t xml:space="preserve"> </w:t>
      </w:r>
      <w:r w:rsidR="00EF39C8">
        <w:rPr>
          <w:rStyle w:val="normaltextrun"/>
          <w:noProof/>
          <w:lang w:val="en-GB"/>
        </w:rPr>
        <w:t>adequate</w:t>
      </w:r>
      <w:r w:rsidR="00EF39C8" w:rsidRPr="00724676">
        <w:rPr>
          <w:rStyle w:val="normaltextrun"/>
          <w:noProof/>
          <w:lang w:val="en-GB"/>
        </w:rPr>
        <w:t xml:space="preserve"> </w:t>
      </w:r>
      <w:r w:rsidR="00523350" w:rsidRPr="00724676">
        <w:rPr>
          <w:rStyle w:val="normaltextrun"/>
          <w:noProof/>
          <w:lang w:val="en-GB"/>
        </w:rPr>
        <w:t xml:space="preserve">compensation for the commitment to </w:t>
      </w:r>
      <w:r w:rsidR="00B355FE" w:rsidRPr="00724676">
        <w:rPr>
          <w:rStyle w:val="normaltextrun"/>
          <w:noProof/>
          <w:lang w:val="en-GB"/>
        </w:rPr>
        <w:t xml:space="preserve">maintain </w:t>
      </w:r>
      <w:r w:rsidR="006C1310" w:rsidRPr="00724676">
        <w:rPr>
          <w:rStyle w:val="normaltextrun"/>
          <w:noProof/>
          <w:lang w:val="en-GB"/>
        </w:rPr>
        <w:t>non-productive</w:t>
      </w:r>
      <w:r w:rsidR="00B355FE" w:rsidRPr="00724676">
        <w:rPr>
          <w:rStyle w:val="normaltextrun"/>
          <w:noProof/>
          <w:lang w:val="en-GB"/>
        </w:rPr>
        <w:t xml:space="preserve"> areas and establish </w:t>
      </w:r>
      <w:r w:rsidR="00A12E2B" w:rsidRPr="00724676">
        <w:rPr>
          <w:rStyle w:val="normaltextrun"/>
          <w:noProof/>
          <w:lang w:val="en-GB"/>
        </w:rPr>
        <w:t xml:space="preserve">new </w:t>
      </w:r>
      <w:r w:rsidR="00B355FE" w:rsidRPr="00724676">
        <w:rPr>
          <w:rStyle w:val="normaltextrun"/>
          <w:noProof/>
          <w:lang w:val="en-GB"/>
        </w:rPr>
        <w:t>landscape features</w:t>
      </w:r>
      <w:r w:rsidR="00F33CDF">
        <w:rPr>
          <w:rStyle w:val="normaltextrun"/>
          <w:noProof/>
          <w:lang w:val="en-GB"/>
        </w:rPr>
        <w:t>,</w:t>
      </w:r>
      <w:r w:rsidR="00B355FE" w:rsidRPr="00724676">
        <w:rPr>
          <w:rStyle w:val="normaltextrun"/>
          <w:noProof/>
          <w:lang w:val="en-GB"/>
        </w:rPr>
        <w:t xml:space="preserve"> on arable land</w:t>
      </w:r>
      <w:r w:rsidR="00EF39C8">
        <w:rPr>
          <w:rStyle w:val="normaltextrun"/>
          <w:noProof/>
          <w:lang w:val="en-GB"/>
        </w:rPr>
        <w:t>,</w:t>
      </w:r>
      <w:r w:rsidR="006C1310" w:rsidRPr="00724676">
        <w:rPr>
          <w:rStyle w:val="normaltextrun"/>
          <w:noProof/>
          <w:lang w:val="en-GB"/>
        </w:rPr>
        <w:t xml:space="preserve"> </w:t>
      </w:r>
      <w:r w:rsidR="00523350" w:rsidRPr="00724676">
        <w:rPr>
          <w:rStyle w:val="normaltextrun"/>
          <w:noProof/>
          <w:lang w:val="en-GB"/>
        </w:rPr>
        <w:t>mak</w:t>
      </w:r>
      <w:r w:rsidR="000A244D" w:rsidRPr="00724676">
        <w:rPr>
          <w:rStyle w:val="normaltextrun"/>
          <w:noProof/>
          <w:lang w:val="en-GB"/>
        </w:rPr>
        <w:t>es</w:t>
      </w:r>
      <w:r w:rsidR="00523350" w:rsidRPr="00724676">
        <w:rPr>
          <w:rStyle w:val="normaltextrun"/>
          <w:noProof/>
          <w:lang w:val="en-GB"/>
        </w:rPr>
        <w:t xml:space="preserve"> the combination of mandatory and voluntary </w:t>
      </w:r>
      <w:r w:rsidR="00E63577" w:rsidRPr="00724676">
        <w:rPr>
          <w:rStyle w:val="normaltextrun"/>
          <w:noProof/>
          <w:lang w:val="en-GB"/>
        </w:rPr>
        <w:t xml:space="preserve">tools </w:t>
      </w:r>
      <w:r w:rsidR="00523350" w:rsidRPr="00724676">
        <w:rPr>
          <w:rStyle w:val="normaltextrun"/>
          <w:noProof/>
          <w:lang w:val="en-GB"/>
        </w:rPr>
        <w:t>better suited to the current context.</w:t>
      </w:r>
      <w:r w:rsidR="00523350" w:rsidRPr="00724676" w:rsidDel="00865B29">
        <w:rPr>
          <w:rStyle w:val="normaltextrun"/>
          <w:noProof/>
          <w:lang w:val="en-GB"/>
        </w:rPr>
        <w:t xml:space="preserve"> </w:t>
      </w:r>
    </w:p>
    <w:p w14:paraId="2F576EC0" w14:textId="7CAEEC0C" w:rsidR="00523350" w:rsidRPr="00724676" w:rsidRDefault="00523350" w:rsidP="003A2A8E">
      <w:pPr>
        <w:pStyle w:val="paragraph"/>
        <w:spacing w:before="240" w:beforeAutospacing="0" w:after="240" w:afterAutospacing="0" w:line="259" w:lineRule="auto"/>
        <w:textAlignment w:val="baseline"/>
        <w:rPr>
          <w:rFonts w:ascii="Segoe UI" w:hAnsi="Segoe UI" w:cs="Segoe UI"/>
          <w:noProof/>
          <w:sz w:val="18"/>
          <w:szCs w:val="18"/>
          <w:lang w:val="en-GB"/>
        </w:rPr>
      </w:pPr>
      <w:r w:rsidRPr="00724676">
        <w:rPr>
          <w:rStyle w:val="normaltextrun"/>
          <w:b/>
          <w:bCs/>
          <w:noProof/>
          <w:lang w:val="en-GB"/>
        </w:rPr>
        <w:t>Specific exemptions from GAEC</w:t>
      </w:r>
      <w:r w:rsidR="00EF39C8">
        <w:rPr>
          <w:rStyle w:val="normaltextrun"/>
          <w:b/>
          <w:bCs/>
          <w:noProof/>
          <w:lang w:val="en-GB"/>
        </w:rPr>
        <w:t>s</w:t>
      </w:r>
      <w:r w:rsidRPr="00724676">
        <w:rPr>
          <w:rStyle w:val="normaltextrun"/>
          <w:b/>
          <w:bCs/>
          <w:noProof/>
          <w:lang w:val="en-GB"/>
        </w:rPr>
        <w:t xml:space="preserve"> 5, 6, 7 and 9</w:t>
      </w:r>
      <w:r w:rsidRPr="00724676">
        <w:rPr>
          <w:rStyle w:val="eop"/>
          <w:i/>
          <w:iCs/>
          <w:noProof/>
          <w:lang w:val="en-GB"/>
        </w:rPr>
        <w:t> </w:t>
      </w:r>
    </w:p>
    <w:p w14:paraId="28598D97" w14:textId="2275BDE0" w:rsidR="00523350" w:rsidRPr="00724676" w:rsidRDefault="008470D9" w:rsidP="20654519">
      <w:pPr>
        <w:spacing w:after="120"/>
        <w:jc w:val="both"/>
        <w:textAlignment w:val="baseline"/>
        <w:rPr>
          <w:rStyle w:val="normaltextrun"/>
          <w:noProof/>
        </w:rPr>
      </w:pPr>
      <w:r w:rsidRPr="20654519">
        <w:rPr>
          <w:rStyle w:val="normaltextrun"/>
          <w:rFonts w:cs="Times New Roman"/>
          <w:noProof/>
        </w:rPr>
        <w:t xml:space="preserve">On </w:t>
      </w:r>
      <w:r w:rsidR="00523350" w:rsidRPr="20654519">
        <w:rPr>
          <w:rStyle w:val="normaltextrun"/>
          <w:rFonts w:cs="Times New Roman"/>
          <w:noProof/>
        </w:rPr>
        <w:t>15 March 2024</w:t>
      </w:r>
      <w:r w:rsidRPr="20654519">
        <w:rPr>
          <w:rStyle w:val="normaltextrun"/>
          <w:rFonts w:cs="Times New Roman"/>
          <w:noProof/>
        </w:rPr>
        <w:t>, the</w:t>
      </w:r>
      <w:r w:rsidR="00523350" w:rsidRPr="20654519">
        <w:rPr>
          <w:rStyle w:val="normaltextrun"/>
          <w:rFonts w:cs="Times New Roman"/>
          <w:noProof/>
        </w:rPr>
        <w:t xml:space="preserve"> </w:t>
      </w:r>
      <w:r w:rsidR="0031570E" w:rsidRPr="20654519">
        <w:rPr>
          <w:rStyle w:val="normaltextrun"/>
          <w:rFonts w:cs="Times New Roman"/>
          <w:noProof/>
        </w:rPr>
        <w:t>Commission</w:t>
      </w:r>
      <w:r w:rsidRPr="20654519">
        <w:rPr>
          <w:rStyle w:val="normaltextrun"/>
          <w:rFonts w:cs="Times New Roman"/>
          <w:noProof/>
        </w:rPr>
        <w:t xml:space="preserve"> also</w:t>
      </w:r>
      <w:r w:rsidR="00523350" w:rsidRPr="20654519">
        <w:rPr>
          <w:rStyle w:val="normaltextrun"/>
          <w:rFonts w:cs="Times New Roman"/>
          <w:noProof/>
        </w:rPr>
        <w:t xml:space="preserve"> propos</w:t>
      </w:r>
      <w:r w:rsidRPr="20654519">
        <w:rPr>
          <w:rStyle w:val="normaltextrun"/>
          <w:rFonts w:cs="Times New Roman"/>
          <w:noProof/>
        </w:rPr>
        <w:t>ed t</w:t>
      </w:r>
      <w:r w:rsidR="005A27ED" w:rsidRPr="20654519">
        <w:rPr>
          <w:rStyle w:val="normaltextrun"/>
          <w:rFonts w:cs="Times New Roman"/>
          <w:noProof/>
        </w:rPr>
        <w:t xml:space="preserve">hat Member States may </w:t>
      </w:r>
      <w:r w:rsidR="005D7E50" w:rsidRPr="5B7F1876">
        <w:rPr>
          <w:rStyle w:val="normaltextrun"/>
          <w:rFonts w:cs="Times New Roman"/>
          <w:noProof/>
        </w:rPr>
        <w:t xml:space="preserve">provide </w:t>
      </w:r>
      <w:r w:rsidR="005A27ED" w:rsidRPr="20654519">
        <w:rPr>
          <w:rStyle w:val="normaltextrun"/>
          <w:rFonts w:cs="Times New Roman"/>
          <w:noProof/>
        </w:rPr>
        <w:t xml:space="preserve">in their CAP </w:t>
      </w:r>
      <w:r w:rsidR="6F4F74E1" w:rsidRPr="6FE283EC">
        <w:rPr>
          <w:rStyle w:val="normaltextrun"/>
          <w:rFonts w:cs="Times New Roman"/>
          <w:noProof/>
        </w:rPr>
        <w:t>P</w:t>
      </w:r>
      <w:r w:rsidR="005A27ED" w:rsidRPr="20654519">
        <w:rPr>
          <w:rStyle w:val="normaltextrun"/>
          <w:rFonts w:cs="Times New Roman"/>
          <w:noProof/>
        </w:rPr>
        <w:t>lans</w:t>
      </w:r>
      <w:r w:rsidR="00523350" w:rsidRPr="20654519">
        <w:rPr>
          <w:rStyle w:val="normaltextrun"/>
          <w:rFonts w:cs="Times New Roman"/>
          <w:noProof/>
        </w:rPr>
        <w:t xml:space="preserve"> specific exemptions from</w:t>
      </w:r>
      <w:r w:rsidR="00523350" w:rsidRPr="20654519">
        <w:rPr>
          <w:rStyle w:val="normaltextrun"/>
          <w:rFonts w:cs="Times New Roman"/>
          <w:b/>
          <w:bCs/>
          <w:noProof/>
        </w:rPr>
        <w:t xml:space="preserve"> </w:t>
      </w:r>
      <w:r w:rsidR="00523350" w:rsidRPr="20654519">
        <w:rPr>
          <w:rStyle w:val="normaltextrun"/>
          <w:rFonts w:cs="Times New Roman"/>
          <w:noProof/>
        </w:rPr>
        <w:t>GAECs 5 (tillage), 6 (soil cover), 7 (crop rotation/</w:t>
      </w:r>
      <w:r w:rsidR="007D0CE5" w:rsidRPr="20654519">
        <w:rPr>
          <w:rStyle w:val="normaltextrun"/>
          <w:rFonts w:cs="Times New Roman"/>
          <w:noProof/>
        </w:rPr>
        <w:t xml:space="preserve"> </w:t>
      </w:r>
      <w:r w:rsidR="00523350" w:rsidRPr="20654519">
        <w:rPr>
          <w:rStyle w:val="normaltextrun"/>
          <w:rFonts w:cs="Times New Roman"/>
          <w:noProof/>
        </w:rPr>
        <w:t>diversification) and 9</w:t>
      </w:r>
      <w:r w:rsidR="00523350" w:rsidRPr="20654519">
        <w:rPr>
          <w:rStyle w:val="normaltextrun"/>
          <w:rFonts w:cs="Times New Roman"/>
          <w:b/>
          <w:bCs/>
          <w:noProof/>
        </w:rPr>
        <w:t xml:space="preserve"> </w:t>
      </w:r>
      <w:r w:rsidR="00523350" w:rsidRPr="20654519">
        <w:rPr>
          <w:rStyle w:val="normaltextrun"/>
          <w:rFonts w:cs="Times New Roman"/>
          <w:noProof/>
        </w:rPr>
        <w:t>(ban on ploughing and converting environmentally sensitive permanent grasslands in Natura 2000 area</w:t>
      </w:r>
      <w:r w:rsidR="005D7E50" w:rsidRPr="5B7F1876">
        <w:rPr>
          <w:rStyle w:val="normaltextrun"/>
          <w:rFonts w:cs="Times New Roman"/>
          <w:noProof/>
        </w:rPr>
        <w:t>s</w:t>
      </w:r>
      <w:r w:rsidR="00523350" w:rsidRPr="20654519">
        <w:rPr>
          <w:rStyle w:val="normaltextrun"/>
          <w:rFonts w:cs="Times New Roman"/>
          <w:noProof/>
        </w:rPr>
        <w:t>)</w:t>
      </w:r>
      <w:r w:rsidR="003506C6" w:rsidRPr="20654519">
        <w:rPr>
          <w:rStyle w:val="FootnoteReference"/>
          <w:rFonts w:cs="Times New Roman"/>
          <w:noProof/>
        </w:rPr>
        <w:footnoteReference w:id="41"/>
      </w:r>
      <w:r w:rsidR="00523350" w:rsidRPr="20654519" w:rsidDel="003506C6">
        <w:rPr>
          <w:rStyle w:val="normaltextrun"/>
          <w:rFonts w:cs="Times New Roman"/>
          <w:b/>
          <w:bCs/>
          <w:noProof/>
        </w:rPr>
        <w:t xml:space="preserve"> </w:t>
      </w:r>
      <w:r w:rsidR="00442445" w:rsidRPr="20654519">
        <w:rPr>
          <w:rStyle w:val="normaltextrun"/>
          <w:rFonts w:cs="Times New Roman"/>
          <w:noProof/>
        </w:rPr>
        <w:t xml:space="preserve">to address specific problems in </w:t>
      </w:r>
      <w:r w:rsidR="00EF39C8" w:rsidRPr="5B7F1876">
        <w:rPr>
          <w:rStyle w:val="normaltextrun"/>
          <w:rFonts w:cs="Times New Roman"/>
          <w:noProof/>
        </w:rPr>
        <w:t>applying</w:t>
      </w:r>
      <w:r w:rsidR="00442445" w:rsidRPr="20654519">
        <w:rPr>
          <w:rStyle w:val="normaltextrun"/>
          <w:rFonts w:cs="Times New Roman"/>
          <w:noProof/>
        </w:rPr>
        <w:t xml:space="preserve"> the require</w:t>
      </w:r>
      <w:r w:rsidR="00442445" w:rsidRPr="006A7E54">
        <w:rPr>
          <w:rStyle w:val="normaltextrun"/>
          <w:rFonts w:cs="Times New Roman"/>
          <w:noProof/>
        </w:rPr>
        <w:t>ments of those standards</w:t>
      </w:r>
      <w:r w:rsidR="00EF39C8" w:rsidRPr="006A7E54">
        <w:rPr>
          <w:rStyle w:val="normaltextrun"/>
          <w:rFonts w:eastAsia="Times New Roman" w:cs="Times New Roman"/>
          <w:noProof/>
        </w:rPr>
        <w:t xml:space="preserve"> </w:t>
      </w:r>
      <w:r w:rsidR="7E954D44" w:rsidRPr="006A7E54">
        <w:rPr>
          <w:rStyle w:val="normaltextrun"/>
          <w:rFonts w:eastAsia="Times New Roman" w:cs="Times New Roman"/>
          <w:noProof/>
        </w:rPr>
        <w:t xml:space="preserve">so </w:t>
      </w:r>
      <w:r w:rsidR="00F33CDF">
        <w:rPr>
          <w:rStyle w:val="normaltextrun"/>
          <w:rFonts w:eastAsia="Times New Roman" w:cs="Times New Roman"/>
          <w:noProof/>
        </w:rPr>
        <w:t xml:space="preserve">as </w:t>
      </w:r>
      <w:r w:rsidR="7E954D44" w:rsidRPr="006A7E54">
        <w:rPr>
          <w:rStyle w:val="normaltextrun"/>
          <w:rFonts w:eastAsia="Times New Roman" w:cs="Times New Roman"/>
          <w:noProof/>
        </w:rPr>
        <w:t>to</w:t>
      </w:r>
      <w:r w:rsidR="1C23FB17" w:rsidRPr="006A7E54">
        <w:rPr>
          <w:rStyle w:val="normaltextrun"/>
          <w:rFonts w:eastAsia="Times New Roman" w:cs="Times New Roman"/>
          <w:noProof/>
        </w:rPr>
        <w:t xml:space="preserve"> ensur</w:t>
      </w:r>
      <w:r w:rsidR="0227C628" w:rsidRPr="006A7E54">
        <w:rPr>
          <w:rStyle w:val="normaltextrun"/>
          <w:rFonts w:eastAsia="Times New Roman" w:cs="Times New Roman"/>
          <w:noProof/>
        </w:rPr>
        <w:t>e</w:t>
      </w:r>
      <w:r w:rsidR="00EF39C8" w:rsidRPr="006A7E54">
        <w:rPr>
          <w:rStyle w:val="normaltextrun"/>
          <w:rFonts w:eastAsia="Times New Roman" w:cs="Times New Roman"/>
          <w:noProof/>
        </w:rPr>
        <w:t xml:space="preserve"> the economic viability of farms</w:t>
      </w:r>
      <w:r w:rsidR="00EF39C8" w:rsidRPr="006A7E54">
        <w:rPr>
          <w:rStyle w:val="normaltextrun"/>
          <w:rFonts w:cs="Times New Roman"/>
          <w:noProof/>
        </w:rPr>
        <w:t xml:space="preserve">. These problems could, </w:t>
      </w:r>
      <w:r w:rsidR="00523350" w:rsidRPr="006A7E54">
        <w:rPr>
          <w:rStyle w:val="normaltextrun"/>
          <w:rFonts w:cs="Times New Roman"/>
          <w:noProof/>
        </w:rPr>
        <w:t>for example</w:t>
      </w:r>
      <w:r w:rsidR="00EF39C8" w:rsidRPr="006A7E54">
        <w:rPr>
          <w:rStyle w:val="normaltextrun"/>
          <w:rFonts w:cs="Times New Roman"/>
          <w:noProof/>
        </w:rPr>
        <w:t xml:space="preserve">, be due to </w:t>
      </w:r>
      <w:r w:rsidR="00523350" w:rsidRPr="006A7E54">
        <w:rPr>
          <w:rStyle w:val="normaltextrun"/>
          <w:rFonts w:cs="Times New Roman"/>
          <w:noProof/>
        </w:rPr>
        <w:t>particular agronomic situations for certain cr</w:t>
      </w:r>
      <w:r w:rsidR="00523350" w:rsidRPr="20654519">
        <w:rPr>
          <w:rStyle w:val="normaltextrun"/>
          <w:rFonts w:cs="Times New Roman"/>
          <w:noProof/>
        </w:rPr>
        <w:t xml:space="preserve">ops </w:t>
      </w:r>
      <w:r w:rsidR="006F7486" w:rsidRPr="5B7F1876">
        <w:rPr>
          <w:rStyle w:val="normaltextrun"/>
          <w:rFonts w:cs="Times New Roman"/>
          <w:noProof/>
        </w:rPr>
        <w:t xml:space="preserve">in particular </w:t>
      </w:r>
      <w:r w:rsidR="00523350" w:rsidRPr="20654519">
        <w:rPr>
          <w:rStyle w:val="normaltextrun"/>
          <w:rFonts w:cs="Times New Roman"/>
          <w:noProof/>
        </w:rPr>
        <w:t>soil types and pedoclimatic conditions, or because of the damage to permanent grasslands by wild animals or invasive species</w:t>
      </w:r>
      <w:r w:rsidR="33D1F127" w:rsidRPr="20654519">
        <w:rPr>
          <w:rStyle w:val="normaltextrun"/>
          <w:rFonts w:eastAsia="Times New Roman" w:cs="Times New Roman"/>
          <w:noProof/>
        </w:rPr>
        <w:t>.</w:t>
      </w:r>
      <w:r w:rsidR="002D7A50" w:rsidRPr="20654519">
        <w:rPr>
          <w:rStyle w:val="normaltextrun"/>
          <w:rFonts w:eastAsia="Times New Roman" w:cs="Times New Roman"/>
          <w:noProof/>
        </w:rPr>
        <w:t xml:space="preserve"> </w:t>
      </w:r>
      <w:r w:rsidR="002D7A50" w:rsidRPr="20654519">
        <w:rPr>
          <w:rStyle w:val="normaltextrun"/>
          <w:rFonts w:cs="Times New Roman"/>
          <w:noProof/>
        </w:rPr>
        <w:t xml:space="preserve">The </w:t>
      </w:r>
      <w:r w:rsidR="00550B99" w:rsidRPr="20654519">
        <w:rPr>
          <w:rStyle w:val="normaltextrun"/>
          <w:rFonts w:cs="Times New Roman"/>
          <w:noProof/>
        </w:rPr>
        <w:t xml:space="preserve">proposal </w:t>
      </w:r>
      <w:r w:rsidR="002D7A50" w:rsidRPr="20654519">
        <w:rPr>
          <w:rStyle w:val="normaltextrun"/>
          <w:rFonts w:cs="Times New Roman"/>
          <w:noProof/>
        </w:rPr>
        <w:t>also la</w:t>
      </w:r>
      <w:r w:rsidR="00C735EA" w:rsidRPr="20654519">
        <w:rPr>
          <w:rStyle w:val="normaltextrun"/>
          <w:rFonts w:cs="Times New Roman"/>
          <w:noProof/>
        </w:rPr>
        <w:t>id</w:t>
      </w:r>
      <w:r w:rsidR="002D7A50" w:rsidRPr="20654519">
        <w:rPr>
          <w:rStyle w:val="normaltextrun"/>
          <w:rFonts w:cs="Times New Roman"/>
          <w:noProof/>
        </w:rPr>
        <w:t xml:space="preserve"> down that </w:t>
      </w:r>
      <w:r w:rsidR="007D0CE5" w:rsidRPr="5B7F1876">
        <w:rPr>
          <w:rStyle w:val="normaltextrun"/>
          <w:rFonts w:cs="Times New Roman"/>
          <w:i/>
          <w:iCs/>
          <w:noProof/>
        </w:rPr>
        <w:t>‘</w:t>
      </w:r>
      <w:r w:rsidR="002D7A50" w:rsidRPr="5B7F1876">
        <w:rPr>
          <w:rStyle w:val="normaltextrun"/>
          <w:rFonts w:cs="Times New Roman"/>
          <w:i/>
          <w:iCs/>
          <w:noProof/>
        </w:rPr>
        <w:t>The specific exemptions shall be established only where and to the extent that they are necessary to address specific problems in the application of those standards and shall not significantly hamper the contribution of each of those standards to their main objectives</w:t>
      </w:r>
      <w:r w:rsidR="007D0CE5" w:rsidRPr="5B7F1876">
        <w:rPr>
          <w:rStyle w:val="normaltextrun"/>
          <w:rFonts w:cs="Times New Roman"/>
          <w:i/>
          <w:iCs/>
          <w:noProof/>
        </w:rPr>
        <w:t>’</w:t>
      </w:r>
      <w:r w:rsidR="00E576B4" w:rsidRPr="5B7F1876">
        <w:rPr>
          <w:rStyle w:val="normaltextrun"/>
          <w:rFonts w:cs="Times New Roman"/>
          <w:i/>
          <w:iCs/>
          <w:noProof/>
        </w:rPr>
        <w:t>.</w:t>
      </w:r>
    </w:p>
    <w:p w14:paraId="55BB801D" w14:textId="5823D395" w:rsidR="00523350" w:rsidRPr="00724676" w:rsidRDefault="00523350" w:rsidP="00F34777">
      <w:pPr>
        <w:pStyle w:val="paragraph"/>
        <w:spacing w:before="0" w:beforeAutospacing="0" w:after="120" w:afterAutospacing="0" w:line="259" w:lineRule="auto"/>
        <w:textAlignment w:val="baseline"/>
        <w:rPr>
          <w:rFonts w:ascii="Segoe UI" w:hAnsi="Segoe UI" w:cs="Segoe UI"/>
          <w:i/>
          <w:iCs/>
          <w:noProof/>
          <w:color w:val="2F5496"/>
          <w:sz w:val="18"/>
          <w:szCs w:val="18"/>
          <w:lang w:val="en-GB"/>
        </w:rPr>
      </w:pPr>
      <w:r w:rsidRPr="00724676">
        <w:rPr>
          <w:rStyle w:val="normaltextrun"/>
          <w:b/>
          <w:bCs/>
          <w:noProof/>
          <w:lang w:val="en-GB"/>
        </w:rPr>
        <w:t>Temporary and targeted derogations from conditionality requirements</w:t>
      </w:r>
      <w:r w:rsidRPr="00724676">
        <w:rPr>
          <w:rStyle w:val="eop"/>
          <w:i/>
          <w:iCs/>
          <w:noProof/>
          <w:lang w:val="en-GB"/>
        </w:rPr>
        <w:t> </w:t>
      </w:r>
    </w:p>
    <w:p w14:paraId="152EC81B" w14:textId="33F8FC7D" w:rsidR="00523350" w:rsidRPr="00724676" w:rsidRDefault="000A551D" w:rsidP="00F34777">
      <w:pPr>
        <w:pStyle w:val="paragraph"/>
        <w:spacing w:before="0" w:beforeAutospacing="0" w:after="120" w:afterAutospacing="0" w:line="259" w:lineRule="auto"/>
        <w:jc w:val="both"/>
        <w:textAlignment w:val="baseline"/>
        <w:rPr>
          <w:rFonts w:ascii="Segoe UI" w:hAnsi="Segoe UI" w:cs="Segoe UI"/>
          <w:noProof/>
          <w:sz w:val="18"/>
          <w:szCs w:val="18"/>
          <w:lang w:val="en-GB"/>
        </w:rPr>
      </w:pPr>
      <w:r w:rsidRPr="00724676">
        <w:rPr>
          <w:rStyle w:val="normaltextrun"/>
          <w:noProof/>
          <w:lang w:val="en-GB"/>
        </w:rPr>
        <w:t>T</w:t>
      </w:r>
      <w:r w:rsidR="005B1C00" w:rsidRPr="00724676">
        <w:rPr>
          <w:rStyle w:val="normaltextrun"/>
          <w:noProof/>
          <w:lang w:val="en-GB"/>
        </w:rPr>
        <w:t xml:space="preserve">he </w:t>
      </w:r>
      <w:r w:rsidR="00D07AE8" w:rsidRPr="00724676">
        <w:rPr>
          <w:rStyle w:val="normaltextrun"/>
          <w:noProof/>
          <w:lang w:val="en-GB"/>
        </w:rPr>
        <w:t xml:space="preserve">Commission </w:t>
      </w:r>
      <w:r w:rsidR="005B1C00" w:rsidRPr="00724676">
        <w:rPr>
          <w:rStyle w:val="normaltextrun"/>
          <w:noProof/>
          <w:lang w:val="en-GB"/>
        </w:rPr>
        <w:t>proposal</w:t>
      </w:r>
      <w:r w:rsidR="00735464" w:rsidRPr="00724676">
        <w:rPr>
          <w:rStyle w:val="normaltextrun"/>
          <w:noProof/>
          <w:lang w:val="en-GB"/>
        </w:rPr>
        <w:t xml:space="preserve"> also contained provisions </w:t>
      </w:r>
      <w:r w:rsidR="00FD7858" w:rsidRPr="00724676">
        <w:rPr>
          <w:rStyle w:val="normaltextrun"/>
          <w:noProof/>
          <w:lang w:val="en-GB"/>
        </w:rPr>
        <w:t xml:space="preserve">enabling </w:t>
      </w:r>
      <w:r w:rsidR="00523350" w:rsidRPr="00724676">
        <w:rPr>
          <w:rStyle w:val="normaltextrun"/>
          <w:noProof/>
          <w:lang w:val="en-GB"/>
        </w:rPr>
        <w:t>Member States to introduce temporary and targeted derogations</w:t>
      </w:r>
      <w:r w:rsidR="00FD7858" w:rsidRPr="00724676">
        <w:rPr>
          <w:rStyle w:val="FootnoteReference"/>
          <w:noProof/>
          <w:lang w:val="en-GB"/>
        </w:rPr>
        <w:footnoteReference w:id="42"/>
      </w:r>
      <w:r w:rsidR="00523350" w:rsidRPr="00724676">
        <w:rPr>
          <w:rStyle w:val="normaltextrun"/>
          <w:noProof/>
          <w:lang w:val="en-GB"/>
        </w:rPr>
        <w:t xml:space="preserve"> from </w:t>
      </w:r>
      <w:r w:rsidR="00A12E2B" w:rsidRPr="00724676">
        <w:rPr>
          <w:rStyle w:val="normaltextrun"/>
          <w:noProof/>
          <w:lang w:val="en-GB"/>
        </w:rPr>
        <w:t xml:space="preserve">GAEC standards </w:t>
      </w:r>
      <w:r w:rsidR="002F6093" w:rsidRPr="00724676">
        <w:rPr>
          <w:rStyle w:val="normaltextrun"/>
          <w:noProof/>
          <w:lang w:val="en-GB"/>
        </w:rPr>
        <w:t>where</w:t>
      </w:r>
      <w:r w:rsidR="006F7486" w:rsidRPr="5B7F1876">
        <w:rPr>
          <w:rStyle w:val="normaltextrun"/>
          <w:noProof/>
          <w:lang w:val="en-GB"/>
        </w:rPr>
        <w:t>,</w:t>
      </w:r>
      <w:r w:rsidR="002F6093" w:rsidRPr="00724676">
        <w:rPr>
          <w:rStyle w:val="normaltextrun"/>
          <w:noProof/>
          <w:lang w:val="en-GB"/>
        </w:rPr>
        <w:t xml:space="preserve"> </w:t>
      </w:r>
      <w:r w:rsidR="002F6093" w:rsidRPr="00724676">
        <w:rPr>
          <w:noProof/>
          <w:lang w:val="en-GB"/>
        </w:rPr>
        <w:t>in a given year</w:t>
      </w:r>
      <w:r w:rsidR="006F7486" w:rsidRPr="5B7F1876">
        <w:rPr>
          <w:noProof/>
          <w:lang w:val="en-GB"/>
        </w:rPr>
        <w:t>,</w:t>
      </w:r>
      <w:r w:rsidR="002F6093" w:rsidRPr="00724676">
        <w:rPr>
          <w:noProof/>
          <w:lang w:val="en-GB"/>
        </w:rPr>
        <w:t xml:space="preserve"> </w:t>
      </w:r>
      <w:r w:rsidR="006F7486" w:rsidRPr="5B7F1876">
        <w:rPr>
          <w:noProof/>
          <w:lang w:val="en-GB"/>
        </w:rPr>
        <w:t xml:space="preserve">farmers </w:t>
      </w:r>
      <w:r w:rsidR="002F6093" w:rsidRPr="00724676">
        <w:rPr>
          <w:noProof/>
          <w:lang w:val="en-GB"/>
        </w:rPr>
        <w:t>would be prevented from complying with them due to weather conditions such as flood</w:t>
      </w:r>
      <w:r w:rsidR="00EF39C8" w:rsidRPr="5B7F1876">
        <w:rPr>
          <w:noProof/>
          <w:lang w:val="en-GB"/>
        </w:rPr>
        <w:t>ing</w:t>
      </w:r>
      <w:r w:rsidR="002F6093" w:rsidRPr="00724676">
        <w:rPr>
          <w:noProof/>
          <w:lang w:val="en-GB"/>
        </w:rPr>
        <w:t xml:space="preserve"> or dr</w:t>
      </w:r>
      <w:r w:rsidR="00EF39C8" w:rsidRPr="5B7F1876">
        <w:rPr>
          <w:noProof/>
          <w:lang w:val="en-GB"/>
        </w:rPr>
        <w:t>o</w:t>
      </w:r>
      <w:r w:rsidR="002F6093" w:rsidRPr="00724676">
        <w:rPr>
          <w:noProof/>
          <w:lang w:val="en-GB"/>
        </w:rPr>
        <w:t xml:space="preserve">ught. </w:t>
      </w:r>
      <w:r w:rsidR="00523350" w:rsidRPr="00724676">
        <w:rPr>
          <w:rStyle w:val="normaltextrun"/>
          <w:noProof/>
          <w:lang w:val="en-GB"/>
        </w:rPr>
        <w:t xml:space="preserve">This possibility can be an important tool to balance the need </w:t>
      </w:r>
      <w:r w:rsidR="006F7486" w:rsidRPr="5B7F1876">
        <w:rPr>
          <w:rStyle w:val="normaltextrun"/>
          <w:noProof/>
          <w:lang w:val="en-GB"/>
        </w:rPr>
        <w:t>to apply the GAEC s</w:t>
      </w:r>
      <w:r w:rsidR="004832B9" w:rsidRPr="00724676">
        <w:rPr>
          <w:rStyle w:val="normaltextrun"/>
          <w:noProof/>
          <w:lang w:val="en-GB"/>
        </w:rPr>
        <w:t>tandards</w:t>
      </w:r>
      <w:r w:rsidR="00116BC8" w:rsidRPr="00724676">
        <w:rPr>
          <w:rStyle w:val="normaltextrun"/>
          <w:noProof/>
          <w:lang w:val="en-GB"/>
        </w:rPr>
        <w:t xml:space="preserve"> </w:t>
      </w:r>
      <w:r w:rsidR="00523350" w:rsidRPr="00724676">
        <w:rPr>
          <w:rStyle w:val="normaltextrun"/>
          <w:noProof/>
          <w:lang w:val="en-GB"/>
        </w:rPr>
        <w:t xml:space="preserve">as a step in the transition towards more sustainable farming, with the need for flexibility to navigate the changing </w:t>
      </w:r>
      <w:r w:rsidR="006F7486" w:rsidRPr="5B7F1876">
        <w:rPr>
          <w:rStyle w:val="normaltextrun"/>
          <w:noProof/>
          <w:lang w:val="en-GB"/>
        </w:rPr>
        <w:t xml:space="preserve">climate </w:t>
      </w:r>
      <w:r w:rsidR="00523350" w:rsidRPr="00724676">
        <w:rPr>
          <w:rStyle w:val="normaltextrun"/>
          <w:noProof/>
          <w:lang w:val="en-GB"/>
        </w:rPr>
        <w:t>context</w:t>
      </w:r>
      <w:r w:rsidR="006F7486" w:rsidRPr="5B7F1876">
        <w:rPr>
          <w:rStyle w:val="normaltextrun"/>
          <w:noProof/>
          <w:lang w:val="en-GB"/>
        </w:rPr>
        <w:t>, which</w:t>
      </w:r>
      <w:r w:rsidR="00523350" w:rsidRPr="00724676">
        <w:rPr>
          <w:rStyle w:val="normaltextrun"/>
          <w:noProof/>
          <w:lang w:val="en-GB"/>
        </w:rPr>
        <w:t xml:space="preserve"> </w:t>
      </w:r>
      <w:r w:rsidR="2CA4B936" w:rsidRPr="00724676">
        <w:rPr>
          <w:rStyle w:val="normaltextrun"/>
          <w:noProof/>
          <w:lang w:val="en-GB"/>
        </w:rPr>
        <w:t>bring</w:t>
      </w:r>
      <w:r w:rsidR="6376589E" w:rsidRPr="6FE283EC">
        <w:rPr>
          <w:rStyle w:val="normaltextrun"/>
          <w:noProof/>
          <w:lang w:val="en-GB"/>
        </w:rPr>
        <w:t>s</w:t>
      </w:r>
      <w:r w:rsidR="001F5E7E" w:rsidRPr="00724676">
        <w:rPr>
          <w:rStyle w:val="normaltextrun"/>
          <w:noProof/>
          <w:lang w:val="en-GB"/>
        </w:rPr>
        <w:t xml:space="preserve"> </w:t>
      </w:r>
      <w:r w:rsidR="00E74438" w:rsidRPr="00724676">
        <w:rPr>
          <w:rStyle w:val="normaltextrun"/>
          <w:noProof/>
          <w:lang w:val="en-GB"/>
        </w:rPr>
        <w:t xml:space="preserve">increasingly </w:t>
      </w:r>
      <w:r w:rsidR="00523350" w:rsidRPr="00724676">
        <w:rPr>
          <w:rStyle w:val="normaltextrun"/>
          <w:noProof/>
          <w:lang w:val="en-GB"/>
        </w:rPr>
        <w:t>unpredictable weather conditions</w:t>
      </w:r>
      <w:r w:rsidR="00414DDA" w:rsidRPr="00724676">
        <w:rPr>
          <w:rStyle w:val="eop"/>
          <w:noProof/>
          <w:lang w:val="en-GB"/>
        </w:rPr>
        <w:t>.</w:t>
      </w:r>
    </w:p>
    <w:p w14:paraId="5A1E1223" w14:textId="1B312117" w:rsidR="009B0396" w:rsidRPr="00724676" w:rsidRDefault="2E87E734" w:rsidP="104D32FA">
      <w:pPr>
        <w:pStyle w:val="paragraph"/>
        <w:spacing w:before="0" w:beforeAutospacing="0" w:after="120" w:afterAutospacing="0" w:line="259" w:lineRule="auto"/>
        <w:jc w:val="both"/>
        <w:textAlignment w:val="baseline"/>
        <w:rPr>
          <w:rFonts w:eastAsia="Calibri"/>
          <w:b/>
          <w:bCs/>
          <w:noProof/>
          <w:lang w:val="en-GB"/>
        </w:rPr>
      </w:pPr>
      <w:r w:rsidRPr="00724676">
        <w:rPr>
          <w:b/>
          <w:bCs/>
          <w:noProof/>
          <w:lang w:val="en-GB"/>
        </w:rPr>
        <w:t xml:space="preserve">Review of </w:t>
      </w:r>
      <w:r w:rsidR="00523AA0">
        <w:rPr>
          <w:b/>
          <w:bCs/>
          <w:noProof/>
          <w:lang w:val="en-GB"/>
        </w:rPr>
        <w:t>CAP Plans</w:t>
      </w:r>
      <w:r w:rsidRPr="00724676">
        <w:rPr>
          <w:b/>
          <w:bCs/>
          <w:noProof/>
          <w:lang w:val="en-GB"/>
        </w:rPr>
        <w:t xml:space="preserve"> in case of c</w:t>
      </w:r>
      <w:r w:rsidR="0CA138C8" w:rsidRPr="00724676">
        <w:rPr>
          <w:b/>
          <w:bCs/>
          <w:noProof/>
          <w:lang w:val="en-GB"/>
        </w:rPr>
        <w:t>ha</w:t>
      </w:r>
      <w:r w:rsidRPr="00724676">
        <w:rPr>
          <w:b/>
          <w:bCs/>
          <w:noProof/>
          <w:lang w:val="en-GB"/>
        </w:rPr>
        <w:t xml:space="preserve">nges to </w:t>
      </w:r>
      <w:r w:rsidR="00AF7B1A">
        <w:rPr>
          <w:b/>
          <w:bCs/>
          <w:noProof/>
          <w:lang w:val="en-GB"/>
        </w:rPr>
        <w:t>EU</w:t>
      </w:r>
      <w:r w:rsidR="00AF7B1A" w:rsidRPr="00724676">
        <w:rPr>
          <w:b/>
          <w:bCs/>
          <w:noProof/>
          <w:lang w:val="en-GB"/>
        </w:rPr>
        <w:t xml:space="preserve"> </w:t>
      </w:r>
      <w:r w:rsidR="0797D0B1" w:rsidRPr="00724676">
        <w:rPr>
          <w:b/>
          <w:bCs/>
          <w:noProof/>
          <w:lang w:val="en-GB"/>
        </w:rPr>
        <w:t>e</w:t>
      </w:r>
      <w:r w:rsidR="0A84A10F" w:rsidRPr="00724676">
        <w:rPr>
          <w:b/>
          <w:bCs/>
          <w:noProof/>
          <w:lang w:val="en-GB"/>
        </w:rPr>
        <w:t>nvironment</w:t>
      </w:r>
      <w:r w:rsidR="00F33CDF">
        <w:rPr>
          <w:b/>
          <w:bCs/>
          <w:noProof/>
          <w:lang w:val="en-GB"/>
        </w:rPr>
        <w:t>al</w:t>
      </w:r>
      <w:r w:rsidR="0A84A10F" w:rsidRPr="00724676">
        <w:rPr>
          <w:b/>
          <w:bCs/>
          <w:noProof/>
          <w:lang w:val="en-GB"/>
        </w:rPr>
        <w:t xml:space="preserve"> and climate </w:t>
      </w:r>
      <w:r w:rsidR="0A84A10F" w:rsidRPr="00724676">
        <w:rPr>
          <w:rFonts w:eastAsia="Calibri"/>
          <w:b/>
          <w:bCs/>
          <w:noProof/>
          <w:lang w:val="en-GB"/>
        </w:rPr>
        <w:t>legislation</w:t>
      </w:r>
    </w:p>
    <w:p w14:paraId="20FCC61A" w14:textId="2698327F" w:rsidR="00C735EA" w:rsidRPr="00724676" w:rsidRDefault="006F7486" w:rsidP="006807F6">
      <w:pPr>
        <w:pStyle w:val="paragraph"/>
        <w:spacing w:before="0" w:beforeAutospacing="0" w:after="120" w:afterAutospacing="0" w:line="259" w:lineRule="auto"/>
        <w:jc w:val="both"/>
        <w:textAlignment w:val="baseline"/>
        <w:rPr>
          <w:rFonts w:cstheme="majorBidi"/>
          <w:b/>
          <w:noProof/>
          <w:color w:val="000000" w:themeColor="text1"/>
          <w:szCs w:val="26"/>
          <w:lang w:val="en-GB"/>
        </w:rPr>
      </w:pPr>
      <w:r w:rsidRPr="5B7F1876">
        <w:rPr>
          <w:rFonts w:eastAsia="Calibri"/>
          <w:noProof/>
          <w:lang w:val="en-GB" w:eastAsia="en-US"/>
        </w:rPr>
        <w:t>In d</w:t>
      </w:r>
      <w:r w:rsidR="0A84A10F" w:rsidRPr="00724676">
        <w:rPr>
          <w:rFonts w:eastAsia="Calibri"/>
          <w:noProof/>
          <w:kern w:val="2"/>
          <w:lang w:val="en-GB" w:eastAsia="en-US"/>
          <w14:ligatures w14:val="standardContextual"/>
        </w:rPr>
        <w:t>rawing up their CAP Plans, Member States had to take account of the analysis, obj</w:t>
      </w:r>
      <w:r w:rsidR="0A84A10F" w:rsidRPr="00724676">
        <w:rPr>
          <w:rStyle w:val="normaltextrun"/>
          <w:noProof/>
          <w:lang w:val="en-GB"/>
        </w:rPr>
        <w:t xml:space="preserve">ectives and targets of key EU environmental and climate laws (and plans stemming from these) listed in Annex XIII of the CSP Regulation. The CSP </w:t>
      </w:r>
      <w:r w:rsidR="004832B9" w:rsidRPr="00724676">
        <w:rPr>
          <w:rStyle w:val="normaltextrun"/>
          <w:noProof/>
          <w:lang w:val="en-GB"/>
        </w:rPr>
        <w:t xml:space="preserve">Regulation </w:t>
      </w:r>
      <w:r w:rsidR="0A84A10F" w:rsidRPr="00724676">
        <w:rPr>
          <w:rStyle w:val="normaltextrun"/>
          <w:noProof/>
          <w:lang w:val="en-GB"/>
        </w:rPr>
        <w:t xml:space="preserve">also requires Member States to review and update their </w:t>
      </w:r>
      <w:r w:rsidR="00523AA0" w:rsidRPr="5B7F1876">
        <w:rPr>
          <w:rStyle w:val="normaltextrun"/>
          <w:noProof/>
          <w:lang w:val="en-GB"/>
        </w:rPr>
        <w:t>CAP Plans</w:t>
      </w:r>
      <w:r w:rsidR="0A84A10F" w:rsidRPr="00724676">
        <w:rPr>
          <w:rStyle w:val="normaltextrun"/>
          <w:noProof/>
          <w:lang w:val="en-GB"/>
        </w:rPr>
        <w:t xml:space="preserve"> when this is necessary to align them to changes </w:t>
      </w:r>
      <w:r w:rsidR="00E826C4" w:rsidRPr="5B7F1876">
        <w:rPr>
          <w:rStyle w:val="normaltextrun"/>
          <w:noProof/>
          <w:lang w:val="en-GB"/>
        </w:rPr>
        <w:t xml:space="preserve">in </w:t>
      </w:r>
      <w:r w:rsidR="0A84A10F" w:rsidRPr="00724676">
        <w:rPr>
          <w:rStyle w:val="normaltextrun"/>
          <w:noProof/>
          <w:lang w:val="en-GB"/>
        </w:rPr>
        <w:t xml:space="preserve">this </w:t>
      </w:r>
      <w:r w:rsidR="00AF7B1A" w:rsidRPr="5B7F1876">
        <w:rPr>
          <w:rStyle w:val="normaltextrun"/>
          <w:noProof/>
          <w:lang w:val="en-GB"/>
        </w:rPr>
        <w:t xml:space="preserve">EU </w:t>
      </w:r>
      <w:r w:rsidR="0A84A10F" w:rsidRPr="00724676">
        <w:rPr>
          <w:rStyle w:val="normaltextrun"/>
          <w:noProof/>
          <w:lang w:val="en-GB"/>
        </w:rPr>
        <w:t>legislation</w:t>
      </w:r>
      <w:r w:rsidR="000A5C10" w:rsidRPr="00724676">
        <w:rPr>
          <w:rStyle w:val="FootnoteReference"/>
          <w:noProof/>
          <w:lang w:val="en-GB"/>
        </w:rPr>
        <w:footnoteReference w:id="43"/>
      </w:r>
      <w:r w:rsidR="000A5C10" w:rsidRPr="00724676">
        <w:rPr>
          <w:rStyle w:val="normaltextrun"/>
          <w:noProof/>
          <w:lang w:val="en-GB"/>
        </w:rPr>
        <w:t>.</w:t>
      </w:r>
      <w:r w:rsidR="0A84A10F" w:rsidRPr="00724676">
        <w:rPr>
          <w:rStyle w:val="normaltextrun"/>
          <w:noProof/>
          <w:lang w:val="en-GB"/>
        </w:rPr>
        <w:t xml:space="preserve"> </w:t>
      </w:r>
      <w:r w:rsidR="000A5C10" w:rsidRPr="00724676">
        <w:rPr>
          <w:rStyle w:val="normaltextrun"/>
          <w:noProof/>
          <w:lang w:val="en-GB"/>
        </w:rPr>
        <w:t>To</w:t>
      </w:r>
      <w:r w:rsidR="0A84A10F" w:rsidRPr="00724676">
        <w:rPr>
          <w:rStyle w:val="normaltextrun"/>
          <w:noProof/>
          <w:lang w:val="en-GB"/>
        </w:rPr>
        <w:t xml:space="preserve"> avoid </w:t>
      </w:r>
      <w:r w:rsidR="00DE5AA5" w:rsidRPr="00724676">
        <w:rPr>
          <w:rStyle w:val="normaltextrun"/>
          <w:noProof/>
          <w:lang w:val="en-GB"/>
        </w:rPr>
        <w:t xml:space="preserve">frequent </w:t>
      </w:r>
      <w:r w:rsidR="0A84A10F" w:rsidRPr="00724676">
        <w:rPr>
          <w:rStyle w:val="normaltextrun"/>
          <w:noProof/>
          <w:lang w:val="en-GB"/>
        </w:rPr>
        <w:t xml:space="preserve">changes to the </w:t>
      </w:r>
      <w:r w:rsidR="00523AA0" w:rsidRPr="5B7F1876">
        <w:rPr>
          <w:rStyle w:val="normaltextrun"/>
          <w:noProof/>
          <w:lang w:val="en-GB"/>
        </w:rPr>
        <w:t>CAP Plans</w:t>
      </w:r>
      <w:r w:rsidR="0A84A10F" w:rsidRPr="00724676">
        <w:rPr>
          <w:rStyle w:val="normaltextrun"/>
          <w:noProof/>
          <w:lang w:val="en-GB"/>
        </w:rPr>
        <w:t xml:space="preserve"> and ensure stability in the support scheme</w:t>
      </w:r>
      <w:r w:rsidR="00E826C4" w:rsidRPr="5B7F1876">
        <w:rPr>
          <w:rStyle w:val="normaltextrun"/>
          <w:noProof/>
          <w:lang w:val="en-GB"/>
        </w:rPr>
        <w:t>s</w:t>
      </w:r>
      <w:r w:rsidR="0A84A10F" w:rsidRPr="00724676">
        <w:rPr>
          <w:rStyle w:val="normaltextrun"/>
          <w:noProof/>
          <w:lang w:val="en-GB"/>
        </w:rPr>
        <w:t xml:space="preserve"> for farmers, the</w:t>
      </w:r>
      <w:r w:rsidR="39FB46EB" w:rsidRPr="00724676">
        <w:rPr>
          <w:rStyle w:val="normaltextrun"/>
          <w:noProof/>
          <w:lang w:val="en-GB"/>
        </w:rPr>
        <w:t xml:space="preserve"> </w:t>
      </w:r>
      <w:r w:rsidR="0A84A10F" w:rsidRPr="00724676">
        <w:rPr>
          <w:rStyle w:val="normaltextrun"/>
          <w:noProof/>
          <w:lang w:val="en-GB"/>
        </w:rPr>
        <w:t>Commission proposal of 15 March 2024 limit</w:t>
      </w:r>
      <w:r w:rsidR="18607C74" w:rsidRPr="00724676">
        <w:rPr>
          <w:rStyle w:val="normaltextrun"/>
          <w:noProof/>
          <w:lang w:val="en-GB"/>
        </w:rPr>
        <w:t>s</w:t>
      </w:r>
      <w:r w:rsidR="0A84A10F" w:rsidRPr="00724676">
        <w:rPr>
          <w:rStyle w:val="normaltextrun"/>
          <w:noProof/>
          <w:lang w:val="en-GB"/>
        </w:rPr>
        <w:t xml:space="preserve"> the application of this </w:t>
      </w:r>
      <w:r w:rsidR="0A84A10F" w:rsidRPr="00724676">
        <w:rPr>
          <w:rStyle w:val="normaltextrun"/>
          <w:noProof/>
          <w:lang w:val="en-GB"/>
        </w:rPr>
        <w:lastRenderedPageBreak/>
        <w:t xml:space="preserve">requirement to amendments of legislative acts </w:t>
      </w:r>
      <w:r w:rsidR="00E826C4" w:rsidRPr="5B7F1876">
        <w:rPr>
          <w:rStyle w:val="normaltextrun"/>
          <w:noProof/>
          <w:lang w:val="en-GB"/>
        </w:rPr>
        <w:t xml:space="preserve">in </w:t>
      </w:r>
      <w:r w:rsidR="0A84A10F" w:rsidRPr="00724676">
        <w:rPr>
          <w:rStyle w:val="normaltextrun"/>
          <w:noProof/>
          <w:lang w:val="en-GB"/>
        </w:rPr>
        <w:t>Annex XIII that enter into force by 31 December 2025 at the latest.   </w:t>
      </w:r>
      <w:r w:rsidR="0A84A10F" w:rsidRPr="00724676">
        <w:rPr>
          <w:rStyle w:val="eop"/>
          <w:noProof/>
          <w:lang w:val="en-GB"/>
        </w:rPr>
        <w:t> </w:t>
      </w:r>
      <w:bookmarkStart w:id="99" w:name="_Toc167974752"/>
      <w:bookmarkEnd w:id="89"/>
      <w:bookmarkEnd w:id="90"/>
      <w:bookmarkEnd w:id="91"/>
    </w:p>
    <w:p w14:paraId="740DC102" w14:textId="409C402D" w:rsidR="00F76390" w:rsidRPr="00724676" w:rsidRDefault="006746D8" w:rsidP="006807F6">
      <w:pPr>
        <w:pStyle w:val="Heading2"/>
        <w:spacing w:before="240"/>
        <w:rPr>
          <w:noProof/>
          <w:lang w:val="en-GB"/>
        </w:rPr>
      </w:pPr>
      <w:bookmarkStart w:id="100" w:name="_Toc172125130"/>
      <w:r w:rsidRPr="00724676">
        <w:rPr>
          <w:noProof/>
          <w:lang w:val="en-GB"/>
        </w:rPr>
        <w:t>5</w:t>
      </w:r>
      <w:r w:rsidR="009840FB" w:rsidRPr="00724676">
        <w:rPr>
          <w:noProof/>
          <w:lang w:val="en-GB"/>
        </w:rPr>
        <w:t xml:space="preserve">.3 </w:t>
      </w:r>
      <w:r w:rsidRPr="00724676">
        <w:rPr>
          <w:noProof/>
          <w:lang w:val="en-GB"/>
        </w:rPr>
        <w:t xml:space="preserve">Farm Income </w:t>
      </w:r>
      <w:r w:rsidR="00BD60FC" w:rsidRPr="00724676">
        <w:rPr>
          <w:noProof/>
          <w:lang w:val="en-GB"/>
        </w:rPr>
        <w:t>a</w:t>
      </w:r>
      <w:r w:rsidRPr="00724676">
        <w:rPr>
          <w:noProof/>
          <w:lang w:val="en-GB"/>
        </w:rPr>
        <w:t xml:space="preserve">nd </w:t>
      </w:r>
      <w:r w:rsidR="00E826C4">
        <w:rPr>
          <w:noProof/>
          <w:lang w:val="en-GB"/>
        </w:rPr>
        <w:t>c</w:t>
      </w:r>
      <w:r w:rsidRPr="00724676">
        <w:rPr>
          <w:noProof/>
          <w:lang w:val="en-GB"/>
        </w:rPr>
        <w:t>ompetitiveness</w:t>
      </w:r>
      <w:bookmarkEnd w:id="99"/>
      <w:bookmarkEnd w:id="100"/>
      <w:r w:rsidRPr="00724676">
        <w:rPr>
          <w:noProof/>
          <w:lang w:val="en-GB"/>
        </w:rPr>
        <w:t xml:space="preserve"> </w:t>
      </w:r>
    </w:p>
    <w:p w14:paraId="4EB263A2" w14:textId="00AA9672" w:rsidR="00F76390" w:rsidRPr="00724676" w:rsidRDefault="00F76390" w:rsidP="5B7F1876">
      <w:pPr>
        <w:spacing w:after="240"/>
        <w:jc w:val="both"/>
        <w:rPr>
          <w:rFonts w:eastAsia="Calibri" w:cs="Times New Roman"/>
          <w:b/>
          <w:bCs/>
          <w:noProof/>
          <w:lang w:val="en-GB"/>
        </w:rPr>
      </w:pPr>
      <w:r w:rsidRPr="5B7F1876">
        <w:rPr>
          <w:rFonts w:eastAsia="Calibri" w:cs="Times New Roman"/>
          <w:b/>
          <w:bCs/>
          <w:noProof/>
          <w:lang w:val="en-GB"/>
        </w:rPr>
        <w:t xml:space="preserve">Position of farmers in the </w:t>
      </w:r>
      <w:r w:rsidR="5E6061EE" w:rsidRPr="06E2D374">
        <w:rPr>
          <w:rFonts w:eastAsia="Calibri" w:cs="Times New Roman"/>
          <w:b/>
          <w:bCs/>
          <w:noProof/>
          <w:lang w:val="en-GB"/>
        </w:rPr>
        <w:t>agri-</w:t>
      </w:r>
      <w:r w:rsidR="1ED8C7B5" w:rsidRPr="5B7F1876">
        <w:rPr>
          <w:rFonts w:eastAsia="Calibri" w:cs="Times New Roman"/>
          <w:b/>
          <w:bCs/>
          <w:noProof/>
          <w:lang w:val="en-GB"/>
        </w:rPr>
        <w:t xml:space="preserve">food </w:t>
      </w:r>
      <w:r w:rsidRPr="5B7F1876">
        <w:rPr>
          <w:rFonts w:eastAsia="Calibri" w:cs="Times New Roman"/>
          <w:b/>
          <w:bCs/>
          <w:noProof/>
          <w:lang w:val="en-GB"/>
        </w:rPr>
        <w:t>supply chain</w:t>
      </w:r>
    </w:p>
    <w:p w14:paraId="2CA52C13" w14:textId="6D737843" w:rsidR="00F76390" w:rsidRPr="00724676" w:rsidRDefault="00FC70C6" w:rsidP="006D5C9F">
      <w:pPr>
        <w:spacing w:after="120"/>
        <w:jc w:val="both"/>
        <w:rPr>
          <w:rFonts w:eastAsia="Calibri" w:cs="Times New Roman"/>
          <w:noProof/>
          <w:lang w:val="en-GB"/>
        </w:rPr>
      </w:pPr>
      <w:r w:rsidRPr="5B7F1876">
        <w:rPr>
          <w:rFonts w:eastAsia="Calibri" w:cs="Times New Roman"/>
          <w:noProof/>
          <w:lang w:val="en-GB"/>
        </w:rPr>
        <w:t>T</w:t>
      </w:r>
      <w:r w:rsidR="00F76390" w:rsidRPr="5B7F1876">
        <w:rPr>
          <w:rFonts w:eastAsia="Calibri" w:cs="Times New Roman"/>
          <w:noProof/>
          <w:lang w:val="en-GB"/>
        </w:rPr>
        <w:t>he Commission</w:t>
      </w:r>
      <w:r w:rsidR="009409A7" w:rsidRPr="5B7F1876">
        <w:rPr>
          <w:rFonts w:eastAsia="Calibri" w:cs="Times New Roman"/>
          <w:noProof/>
          <w:lang w:val="en-GB"/>
        </w:rPr>
        <w:t xml:space="preserve">’s </w:t>
      </w:r>
      <w:r w:rsidR="1D81AA42" w:rsidRPr="5B7F1876">
        <w:rPr>
          <w:rFonts w:eastAsia="Calibri" w:cs="Times New Roman"/>
          <w:noProof/>
          <w:lang w:val="en-GB"/>
        </w:rPr>
        <w:t xml:space="preserve">paper </w:t>
      </w:r>
      <w:r w:rsidR="009409A7" w:rsidRPr="5B7F1876">
        <w:rPr>
          <w:rFonts w:eastAsia="Calibri" w:cs="Times New Roman"/>
          <w:noProof/>
          <w:lang w:val="en-GB"/>
        </w:rPr>
        <w:t xml:space="preserve">of </w:t>
      </w:r>
      <w:r w:rsidR="6719448A" w:rsidRPr="5B7F1876">
        <w:rPr>
          <w:rFonts w:eastAsia="Calibri" w:cs="Times New Roman"/>
          <w:noProof/>
          <w:lang w:val="en-GB"/>
        </w:rPr>
        <w:t>15</w:t>
      </w:r>
      <w:r w:rsidR="009409A7" w:rsidRPr="5B7F1876">
        <w:rPr>
          <w:rFonts w:eastAsia="Calibri" w:cs="Times New Roman"/>
          <w:noProof/>
          <w:lang w:val="en-GB"/>
        </w:rPr>
        <w:t xml:space="preserve"> March 2024</w:t>
      </w:r>
      <w:r w:rsidR="00C82F35" w:rsidRPr="5B7F1876">
        <w:rPr>
          <w:rStyle w:val="FootnoteReference"/>
          <w:rFonts w:eastAsia="Calibri" w:cs="Times New Roman"/>
          <w:noProof/>
          <w:lang w:val="en-GB"/>
        </w:rPr>
        <w:footnoteReference w:id="44"/>
      </w:r>
      <w:r w:rsidR="009409A7" w:rsidRPr="5B7F1876">
        <w:rPr>
          <w:rFonts w:eastAsia="Calibri" w:cs="Times New Roman"/>
          <w:noProof/>
          <w:lang w:val="en-GB"/>
        </w:rPr>
        <w:t xml:space="preserve"> </w:t>
      </w:r>
      <w:r w:rsidR="67B5D3BB" w:rsidRPr="5B7F1876">
        <w:rPr>
          <w:rFonts w:eastAsia="Calibri" w:cs="Times New Roman"/>
          <w:noProof/>
          <w:lang w:val="en-GB"/>
        </w:rPr>
        <w:t>lists</w:t>
      </w:r>
      <w:r w:rsidR="00F76390" w:rsidRPr="5B7F1876">
        <w:rPr>
          <w:rFonts w:eastAsia="Calibri" w:cs="Times New Roman"/>
          <w:noProof/>
          <w:lang w:val="en-GB"/>
        </w:rPr>
        <w:t xml:space="preserve"> several immediate, short</w:t>
      </w:r>
      <w:r w:rsidR="00E826C4" w:rsidRPr="6F217AB4">
        <w:rPr>
          <w:rFonts w:eastAsia="Calibri" w:cs="Times New Roman"/>
          <w:noProof/>
          <w:lang w:val="en-GB"/>
        </w:rPr>
        <w:t>-term</w:t>
      </w:r>
      <w:r w:rsidR="00F76390" w:rsidRPr="5B7F1876">
        <w:rPr>
          <w:rFonts w:eastAsia="Calibri" w:cs="Times New Roman"/>
          <w:noProof/>
          <w:lang w:val="en-GB"/>
        </w:rPr>
        <w:t xml:space="preserve"> </w:t>
      </w:r>
      <w:r w:rsidR="00E826C4" w:rsidRPr="6F217AB4">
        <w:rPr>
          <w:rFonts w:eastAsia="Calibri" w:cs="Times New Roman"/>
          <w:noProof/>
          <w:lang w:val="en-GB"/>
        </w:rPr>
        <w:t>and</w:t>
      </w:r>
      <w:r w:rsidR="00F76390" w:rsidRPr="5B7F1876">
        <w:rPr>
          <w:rFonts w:eastAsia="Calibri" w:cs="Times New Roman"/>
          <w:noProof/>
          <w:lang w:val="en-GB"/>
        </w:rPr>
        <w:t xml:space="preserve"> medium</w:t>
      </w:r>
      <w:r w:rsidR="00E826C4" w:rsidRPr="6F217AB4">
        <w:rPr>
          <w:rFonts w:eastAsia="Calibri" w:cs="Times New Roman"/>
          <w:noProof/>
          <w:lang w:val="en-GB"/>
        </w:rPr>
        <w:t>-</w:t>
      </w:r>
      <w:r w:rsidR="00F76390" w:rsidRPr="5B7F1876">
        <w:rPr>
          <w:rFonts w:eastAsia="Calibri" w:cs="Times New Roman"/>
          <w:noProof/>
          <w:lang w:val="en-GB"/>
        </w:rPr>
        <w:t xml:space="preserve">term </w:t>
      </w:r>
      <w:r w:rsidR="00B43917" w:rsidRPr="5B7F1876">
        <w:rPr>
          <w:rFonts w:eastAsia="Calibri" w:cs="Times New Roman"/>
          <w:noProof/>
          <w:lang w:val="en-GB"/>
        </w:rPr>
        <w:t xml:space="preserve">actions </w:t>
      </w:r>
      <w:r w:rsidR="00F76390" w:rsidRPr="5B7F1876">
        <w:rPr>
          <w:rFonts w:eastAsia="Calibri" w:cs="Times New Roman"/>
          <w:noProof/>
          <w:lang w:val="en-GB"/>
        </w:rPr>
        <w:t xml:space="preserve">to strengthen the position of farmers in the </w:t>
      </w:r>
      <w:r w:rsidR="0CD2691A" w:rsidRPr="6F217AB4">
        <w:rPr>
          <w:rFonts w:eastAsia="Calibri" w:cs="Times New Roman"/>
          <w:noProof/>
          <w:lang w:val="en-GB"/>
        </w:rPr>
        <w:t>agri-</w:t>
      </w:r>
      <w:r w:rsidR="00F76390" w:rsidRPr="230F1D33">
        <w:rPr>
          <w:rFonts w:eastAsia="Calibri" w:cs="Times New Roman"/>
          <w:noProof/>
          <w:lang w:val="en-GB"/>
        </w:rPr>
        <w:t>food suppl</w:t>
      </w:r>
      <w:r w:rsidR="00F76390" w:rsidRPr="5B7F1876">
        <w:rPr>
          <w:rFonts w:eastAsia="Calibri" w:cs="Times New Roman"/>
          <w:noProof/>
          <w:lang w:val="en-GB"/>
        </w:rPr>
        <w:t xml:space="preserve">y chain, </w:t>
      </w:r>
      <w:r w:rsidR="4B88EFE8" w:rsidRPr="5B7F1876">
        <w:rPr>
          <w:rFonts w:eastAsia="Calibri" w:cs="Times New Roman"/>
          <w:noProof/>
          <w:lang w:val="en-GB"/>
        </w:rPr>
        <w:t xml:space="preserve">with </w:t>
      </w:r>
      <w:r w:rsidR="00E826C4" w:rsidRPr="6F217AB4">
        <w:rPr>
          <w:rFonts w:eastAsia="Calibri" w:cs="Times New Roman"/>
          <w:noProof/>
          <w:lang w:val="en-GB"/>
        </w:rPr>
        <w:t>the</w:t>
      </w:r>
      <w:r w:rsidR="4B88EFE8" w:rsidRPr="5B7F1876">
        <w:rPr>
          <w:rFonts w:eastAsia="Calibri" w:cs="Times New Roman"/>
          <w:noProof/>
          <w:lang w:val="en-GB"/>
        </w:rPr>
        <w:t xml:space="preserve"> ultimate </w:t>
      </w:r>
      <w:r w:rsidR="00253AC8" w:rsidRPr="5B7F1876">
        <w:rPr>
          <w:rFonts w:eastAsia="Calibri" w:cs="Times New Roman"/>
          <w:noProof/>
          <w:lang w:val="en-GB"/>
        </w:rPr>
        <w:t>goal of</w:t>
      </w:r>
      <w:r w:rsidR="4B88EFE8" w:rsidRPr="5B7F1876">
        <w:rPr>
          <w:rFonts w:eastAsia="Calibri" w:cs="Times New Roman"/>
          <w:noProof/>
          <w:lang w:val="en-GB"/>
        </w:rPr>
        <w:t xml:space="preserve"> </w:t>
      </w:r>
      <w:r w:rsidR="00F76390" w:rsidRPr="5B7F1876">
        <w:rPr>
          <w:rFonts w:eastAsia="Calibri" w:cs="Times New Roman"/>
          <w:noProof/>
          <w:lang w:val="en-GB"/>
        </w:rPr>
        <w:t>support</w:t>
      </w:r>
      <w:r w:rsidR="00253AC8" w:rsidRPr="5B7F1876">
        <w:rPr>
          <w:rFonts w:eastAsia="Calibri" w:cs="Times New Roman"/>
          <w:noProof/>
          <w:lang w:val="en-GB"/>
        </w:rPr>
        <w:t>ing</w:t>
      </w:r>
      <w:r w:rsidR="00F76390" w:rsidRPr="5B7F1876">
        <w:rPr>
          <w:rFonts w:eastAsia="Calibri" w:cs="Times New Roman"/>
          <w:noProof/>
          <w:lang w:val="en-GB"/>
        </w:rPr>
        <w:t xml:space="preserve"> their income and </w:t>
      </w:r>
      <w:r w:rsidR="00E826C4" w:rsidRPr="6F217AB4">
        <w:rPr>
          <w:rFonts w:eastAsia="Calibri" w:cs="Times New Roman"/>
          <w:noProof/>
          <w:lang w:val="en-GB"/>
        </w:rPr>
        <w:t xml:space="preserve">ensuring </w:t>
      </w:r>
      <w:r w:rsidR="00F76390" w:rsidRPr="5B7F1876">
        <w:rPr>
          <w:rFonts w:eastAsia="Calibri" w:cs="Times New Roman"/>
          <w:noProof/>
          <w:lang w:val="en-GB"/>
        </w:rPr>
        <w:t xml:space="preserve">fair remuneration. </w:t>
      </w:r>
    </w:p>
    <w:p w14:paraId="57988FCB" w14:textId="51B4ED7F" w:rsidR="00F76390" w:rsidRPr="00724676" w:rsidRDefault="00F76390" w:rsidP="5B7F1876">
      <w:pPr>
        <w:spacing w:after="120"/>
        <w:jc w:val="both"/>
        <w:rPr>
          <w:rFonts w:eastAsia="Calibri" w:cs="Times New Roman"/>
          <w:noProof/>
          <w:lang w:val="en-GB"/>
        </w:rPr>
      </w:pPr>
      <w:r w:rsidRPr="5B7F1876">
        <w:rPr>
          <w:rFonts w:eastAsia="Calibri" w:cs="Times New Roman"/>
          <w:noProof/>
          <w:lang w:val="en-GB"/>
        </w:rPr>
        <w:t xml:space="preserve">The Commission </w:t>
      </w:r>
      <w:r w:rsidRPr="230F1D33">
        <w:rPr>
          <w:rFonts w:eastAsia="Calibri" w:cs="Times New Roman"/>
          <w:noProof/>
          <w:lang w:val="en-GB"/>
        </w:rPr>
        <w:t>has already delivered on some</w:t>
      </w:r>
      <w:r w:rsidRPr="5B7F1876">
        <w:rPr>
          <w:rFonts w:eastAsia="Calibri" w:cs="Times New Roman"/>
          <w:noProof/>
          <w:lang w:val="en-GB"/>
        </w:rPr>
        <w:t xml:space="preserve"> of these measures, starting with the set</w:t>
      </w:r>
      <w:r w:rsidR="00A10BD4" w:rsidRPr="230F1D33">
        <w:rPr>
          <w:rFonts w:eastAsia="Calibri" w:cs="Times New Roman"/>
          <w:noProof/>
          <w:lang w:val="en-GB"/>
        </w:rPr>
        <w:t>-</w:t>
      </w:r>
      <w:r w:rsidRPr="5B7F1876">
        <w:rPr>
          <w:rFonts w:eastAsia="Calibri" w:cs="Times New Roman"/>
          <w:noProof/>
          <w:lang w:val="en-GB"/>
        </w:rPr>
        <w:t xml:space="preserve">up of the </w:t>
      </w:r>
      <w:r w:rsidRPr="5B7F1876">
        <w:rPr>
          <w:rFonts w:eastAsia="Calibri" w:cs="Times New Roman"/>
          <w:b/>
          <w:bCs/>
          <w:noProof/>
          <w:lang w:val="en-GB"/>
        </w:rPr>
        <w:t>new EU Agri-</w:t>
      </w:r>
      <w:r w:rsidRPr="5B7F1876" w:rsidDel="00F76390">
        <w:rPr>
          <w:rFonts w:eastAsia="Calibri" w:cs="Times New Roman"/>
          <w:b/>
          <w:bCs/>
          <w:noProof/>
          <w:lang w:val="en-GB"/>
        </w:rPr>
        <w:t>Food Chain</w:t>
      </w:r>
      <w:r w:rsidR="710621C1" w:rsidRPr="532033A3">
        <w:rPr>
          <w:rFonts w:eastAsia="Calibri" w:cs="Times New Roman"/>
          <w:b/>
          <w:bCs/>
          <w:noProof/>
          <w:lang w:val="en-GB"/>
        </w:rPr>
        <w:t xml:space="preserve"> </w:t>
      </w:r>
      <w:r w:rsidRPr="5B7F1876">
        <w:rPr>
          <w:rFonts w:eastAsia="Calibri" w:cs="Times New Roman"/>
          <w:b/>
          <w:bCs/>
          <w:noProof/>
          <w:lang w:val="en-GB"/>
        </w:rPr>
        <w:t>Observatory (AFCO)</w:t>
      </w:r>
      <w:r w:rsidR="00726190" w:rsidRPr="5B7F1876">
        <w:rPr>
          <w:rStyle w:val="FootnoteReference"/>
          <w:rFonts w:eastAsia="Calibri" w:cs="Times New Roman"/>
          <w:noProof/>
          <w:lang w:val="en-GB"/>
        </w:rPr>
        <w:footnoteReference w:id="45"/>
      </w:r>
      <w:r w:rsidR="00A10BD4" w:rsidRPr="230F1D33">
        <w:rPr>
          <w:rFonts w:eastAsia="Calibri" w:cs="Times New Roman"/>
          <w:b/>
          <w:bCs/>
          <w:noProof/>
          <w:lang w:val="en-GB"/>
        </w:rPr>
        <w:t xml:space="preserve">. </w:t>
      </w:r>
      <w:r w:rsidR="00A10BD4" w:rsidRPr="230F1D33">
        <w:rPr>
          <w:rFonts w:eastAsia="Calibri" w:cs="Times New Roman"/>
          <w:noProof/>
          <w:lang w:val="en-GB"/>
        </w:rPr>
        <w:t>It</w:t>
      </w:r>
      <w:r w:rsidRPr="5B7F1876">
        <w:rPr>
          <w:rFonts w:eastAsia="Calibri" w:cs="Times New Roman"/>
          <w:noProof/>
          <w:lang w:val="en-GB"/>
        </w:rPr>
        <w:t xml:space="preserve"> </w:t>
      </w:r>
      <w:r w:rsidR="00A10BD4" w:rsidRPr="230F1D33">
        <w:rPr>
          <w:rFonts w:eastAsia="Calibri" w:cs="Times New Roman"/>
          <w:noProof/>
          <w:lang w:val="en-GB"/>
        </w:rPr>
        <w:t xml:space="preserve">brings together </w:t>
      </w:r>
      <w:r w:rsidRPr="5B7F1876">
        <w:rPr>
          <w:rFonts w:eastAsia="Calibri" w:cs="Times New Roman"/>
          <w:noProof/>
          <w:lang w:val="en-GB"/>
        </w:rPr>
        <w:t xml:space="preserve">national authorities and stakeholders representing all levels of the </w:t>
      </w:r>
      <w:r w:rsidR="6DB5F752" w:rsidRPr="230F1D33">
        <w:rPr>
          <w:rFonts w:eastAsia="Calibri" w:cs="Times New Roman"/>
          <w:noProof/>
          <w:lang w:val="en-GB"/>
        </w:rPr>
        <w:t>agri-</w:t>
      </w:r>
      <w:r w:rsidRPr="230F1D33">
        <w:rPr>
          <w:rFonts w:eastAsia="Calibri" w:cs="Times New Roman"/>
          <w:noProof/>
          <w:lang w:val="en-GB"/>
        </w:rPr>
        <w:t>food supply chain</w:t>
      </w:r>
      <w:r w:rsidRPr="5B7F1876">
        <w:rPr>
          <w:rFonts w:eastAsia="Calibri" w:cs="Times New Roman"/>
          <w:noProof/>
          <w:lang w:val="en-GB"/>
        </w:rPr>
        <w:t xml:space="preserve"> with the purpose of promoting increased transparency on prices, </w:t>
      </w:r>
      <w:r w:rsidR="00A10BD4" w:rsidRPr="230F1D33">
        <w:rPr>
          <w:rFonts w:eastAsia="Calibri" w:cs="Times New Roman"/>
          <w:noProof/>
          <w:lang w:val="en-GB"/>
        </w:rPr>
        <w:t xml:space="preserve">the </w:t>
      </w:r>
      <w:r w:rsidRPr="5B7F1876">
        <w:rPr>
          <w:rFonts w:eastAsia="Calibri" w:cs="Times New Roman"/>
          <w:noProof/>
          <w:lang w:val="en-GB"/>
        </w:rPr>
        <w:t xml:space="preserve">structure of costs and </w:t>
      </w:r>
      <w:r w:rsidR="00A10BD4" w:rsidRPr="230F1D33">
        <w:rPr>
          <w:rFonts w:eastAsia="Calibri" w:cs="Times New Roman"/>
          <w:noProof/>
          <w:lang w:val="en-GB"/>
        </w:rPr>
        <w:t xml:space="preserve">the </w:t>
      </w:r>
      <w:r w:rsidRPr="5B7F1876">
        <w:rPr>
          <w:rFonts w:eastAsia="Calibri" w:cs="Times New Roman"/>
          <w:noProof/>
          <w:lang w:val="en-GB"/>
        </w:rPr>
        <w:t>distribution of margins</w:t>
      </w:r>
      <w:r w:rsidR="00A10BD4" w:rsidRPr="230F1D33">
        <w:rPr>
          <w:rFonts w:eastAsia="Calibri" w:cs="Times New Roman"/>
          <w:noProof/>
          <w:lang w:val="en-GB"/>
        </w:rPr>
        <w:t>, as well as</w:t>
      </w:r>
      <w:r w:rsidRPr="5B7F1876">
        <w:rPr>
          <w:rFonts w:eastAsia="Calibri" w:cs="Times New Roman"/>
          <w:noProof/>
          <w:lang w:val="en-GB"/>
        </w:rPr>
        <w:t xml:space="preserve"> added value in the supply chain. </w:t>
      </w:r>
      <w:r w:rsidR="00A10BD4" w:rsidRPr="230F1D33">
        <w:rPr>
          <w:rFonts w:eastAsia="Calibri" w:cs="Times New Roman"/>
          <w:noProof/>
          <w:lang w:val="en-GB"/>
        </w:rPr>
        <w:t>The</w:t>
      </w:r>
      <w:r w:rsidRPr="5B7F1876">
        <w:rPr>
          <w:rFonts w:eastAsia="Calibri" w:cs="Times New Roman"/>
          <w:noProof/>
          <w:lang w:val="en-GB"/>
        </w:rPr>
        <w:t xml:space="preserve"> first </w:t>
      </w:r>
      <w:r w:rsidR="005A4EB4">
        <w:rPr>
          <w:rFonts w:eastAsia="Calibri" w:cs="Times New Roman"/>
          <w:noProof/>
          <w:lang w:val="en-GB"/>
        </w:rPr>
        <w:t xml:space="preserve">two </w:t>
      </w:r>
      <w:r w:rsidRPr="5B7F1876">
        <w:rPr>
          <w:rFonts w:eastAsia="Calibri" w:cs="Times New Roman"/>
          <w:noProof/>
          <w:lang w:val="en-GB"/>
        </w:rPr>
        <w:t>meeting</w:t>
      </w:r>
      <w:r w:rsidR="005A4EB4">
        <w:rPr>
          <w:rFonts w:eastAsia="Calibri" w:cs="Times New Roman"/>
          <w:noProof/>
          <w:lang w:val="en-GB"/>
        </w:rPr>
        <w:t>s</w:t>
      </w:r>
      <w:r w:rsidRPr="5B7F1876">
        <w:rPr>
          <w:rFonts w:eastAsia="Calibri" w:cs="Times New Roman"/>
          <w:noProof/>
          <w:lang w:val="en-GB"/>
        </w:rPr>
        <w:t xml:space="preserve"> of the new AFCO </w:t>
      </w:r>
      <w:r w:rsidR="00E826C4" w:rsidRPr="230F1D33">
        <w:rPr>
          <w:rFonts w:eastAsia="Calibri" w:cs="Times New Roman"/>
          <w:noProof/>
          <w:lang w:val="en-GB"/>
        </w:rPr>
        <w:t>took</w:t>
      </w:r>
      <w:r w:rsidR="00842768" w:rsidRPr="5B7F1876">
        <w:rPr>
          <w:rFonts w:eastAsia="Calibri" w:cs="Times New Roman"/>
          <w:noProof/>
          <w:lang w:val="en-GB"/>
        </w:rPr>
        <w:t xml:space="preserve"> </w:t>
      </w:r>
      <w:r w:rsidR="00A10BD4" w:rsidRPr="230F1D33">
        <w:rPr>
          <w:rFonts w:eastAsia="Calibri" w:cs="Times New Roman"/>
          <w:noProof/>
          <w:lang w:val="en-GB"/>
        </w:rPr>
        <w:t xml:space="preserve">place </w:t>
      </w:r>
      <w:r w:rsidR="00842768" w:rsidRPr="5B7F1876">
        <w:rPr>
          <w:rFonts w:eastAsia="Calibri" w:cs="Times New Roman"/>
          <w:noProof/>
          <w:lang w:val="en-GB"/>
        </w:rPr>
        <w:t xml:space="preserve">on 17 July </w:t>
      </w:r>
      <w:r w:rsidR="00761E9D">
        <w:rPr>
          <w:rFonts w:eastAsia="Calibri" w:cs="Times New Roman"/>
          <w:noProof/>
          <w:lang w:val="en-GB"/>
        </w:rPr>
        <w:t xml:space="preserve">and 15 October </w:t>
      </w:r>
      <w:r w:rsidR="00842768" w:rsidRPr="5B7F1876">
        <w:rPr>
          <w:rFonts w:eastAsia="Calibri" w:cs="Times New Roman"/>
          <w:noProof/>
          <w:lang w:val="en-GB"/>
        </w:rPr>
        <w:t>2024</w:t>
      </w:r>
      <w:r w:rsidRPr="5B7F1876">
        <w:rPr>
          <w:rFonts w:eastAsia="Calibri" w:cs="Times New Roman"/>
          <w:noProof/>
          <w:lang w:val="en-GB"/>
        </w:rPr>
        <w:t>.</w:t>
      </w:r>
    </w:p>
    <w:p w14:paraId="12D1561C" w14:textId="7CDFAACD" w:rsidR="00F76390" w:rsidRPr="00724676" w:rsidRDefault="00F76390" w:rsidP="5B7F1876">
      <w:pPr>
        <w:spacing w:after="120"/>
        <w:jc w:val="both"/>
        <w:rPr>
          <w:rFonts w:eastAsia="Calibri" w:cs="Times New Roman"/>
          <w:noProof/>
          <w:lang w:val="en-GB"/>
        </w:rPr>
      </w:pPr>
      <w:r w:rsidRPr="5B7F1876">
        <w:rPr>
          <w:rFonts w:eastAsia="Calibri" w:cs="Times New Roman"/>
          <w:noProof/>
          <w:lang w:val="en-GB"/>
        </w:rPr>
        <w:t>In addition, on 23 April 2024 the Commission published</w:t>
      </w:r>
      <w:r w:rsidR="00800443" w:rsidRPr="5B7F1876">
        <w:rPr>
          <w:rFonts w:eastAsia="Calibri" w:cs="Times New Roman"/>
          <w:noProof/>
          <w:lang w:val="en-GB"/>
        </w:rPr>
        <w:t xml:space="preserve"> a</w:t>
      </w:r>
      <w:r w:rsidRPr="5B7F1876">
        <w:rPr>
          <w:rFonts w:eastAsia="Calibri" w:cs="Times New Roman"/>
          <w:noProof/>
          <w:lang w:val="en-GB"/>
        </w:rPr>
        <w:t xml:space="preserve"> report on the implementation of EU </w:t>
      </w:r>
      <w:r w:rsidRPr="00557597">
        <w:rPr>
          <w:rFonts w:eastAsia="Calibri" w:cs="Times New Roman"/>
          <w:b/>
          <w:bCs/>
          <w:noProof/>
          <w:lang w:val="en-GB"/>
        </w:rPr>
        <w:t xml:space="preserve">rules against unfair trading practices </w:t>
      </w:r>
      <w:r w:rsidRPr="00557597">
        <w:rPr>
          <w:rFonts w:eastAsia="Calibri" w:cs="Times New Roman"/>
          <w:noProof/>
          <w:lang w:val="en-GB"/>
        </w:rPr>
        <w:t xml:space="preserve">in the </w:t>
      </w:r>
      <w:r w:rsidR="1D3016C3" w:rsidRPr="00557597">
        <w:rPr>
          <w:rFonts w:eastAsia="Calibri" w:cs="Times New Roman"/>
          <w:noProof/>
          <w:lang w:val="en-GB"/>
        </w:rPr>
        <w:t>agri-</w:t>
      </w:r>
      <w:r w:rsidRPr="00557597">
        <w:rPr>
          <w:rFonts w:eastAsia="Calibri" w:cs="Times New Roman"/>
          <w:noProof/>
          <w:lang w:val="en-GB"/>
        </w:rPr>
        <w:t>food supply chain</w:t>
      </w:r>
      <w:r w:rsidR="00800443" w:rsidRPr="00557597">
        <w:rPr>
          <w:rStyle w:val="FootnoteReference"/>
          <w:rFonts w:eastAsia="Calibri" w:cs="Times New Roman"/>
          <w:noProof/>
          <w:lang w:val="en-GB"/>
        </w:rPr>
        <w:footnoteReference w:id="46"/>
      </w:r>
      <w:r w:rsidR="00261DD7" w:rsidRPr="00557597">
        <w:rPr>
          <w:rFonts w:eastAsia="Calibri" w:cs="Times New Roman"/>
          <w:noProof/>
          <w:lang w:val="en-GB"/>
        </w:rPr>
        <w:t>.</w:t>
      </w:r>
      <w:r w:rsidRPr="00557597">
        <w:rPr>
          <w:rFonts w:eastAsia="Calibri" w:cs="Times New Roman"/>
          <w:noProof/>
          <w:lang w:val="en-GB"/>
        </w:rPr>
        <w:t xml:space="preserve"> This report takes stock of the implementation of the Unfair Trading Practices </w:t>
      </w:r>
      <w:r w:rsidR="00044DD4" w:rsidRPr="00557597">
        <w:rPr>
          <w:rFonts w:eastAsia="Calibri" w:cs="Times New Roman"/>
          <w:noProof/>
          <w:lang w:val="en-GB"/>
        </w:rPr>
        <w:t xml:space="preserve">(UTP) </w:t>
      </w:r>
      <w:r w:rsidRPr="00557597">
        <w:rPr>
          <w:rFonts w:eastAsia="Calibri" w:cs="Times New Roman"/>
          <w:noProof/>
          <w:lang w:val="en-GB"/>
        </w:rPr>
        <w:t>Directive</w:t>
      </w:r>
      <w:r w:rsidR="00384EAC" w:rsidRPr="00557597">
        <w:rPr>
          <w:rStyle w:val="FootnoteReference"/>
          <w:rFonts w:eastAsia="Calibri" w:cs="Times New Roman"/>
          <w:noProof/>
          <w:lang w:val="en-GB"/>
        </w:rPr>
        <w:footnoteReference w:id="47"/>
      </w:r>
      <w:r w:rsidRPr="00557597">
        <w:rPr>
          <w:rFonts w:eastAsia="Calibri" w:cs="Times New Roman"/>
          <w:noProof/>
          <w:lang w:val="en-GB"/>
        </w:rPr>
        <w:t xml:space="preserve">, and will </w:t>
      </w:r>
      <w:r w:rsidR="3FFDDD32" w:rsidRPr="00557597">
        <w:rPr>
          <w:rFonts w:eastAsia="Calibri" w:cs="Times New Roman"/>
          <w:noProof/>
          <w:lang w:val="en-GB"/>
        </w:rPr>
        <w:t>feed</w:t>
      </w:r>
      <w:r w:rsidR="00BA050B" w:rsidRPr="00557597">
        <w:rPr>
          <w:rFonts w:eastAsia="Calibri" w:cs="Times New Roman"/>
          <w:noProof/>
          <w:lang w:val="en-GB"/>
        </w:rPr>
        <w:t xml:space="preserve"> int</w:t>
      </w:r>
      <w:r w:rsidR="002E36CC" w:rsidRPr="00557597">
        <w:rPr>
          <w:rFonts w:eastAsia="Calibri" w:cs="Times New Roman"/>
          <w:noProof/>
          <w:lang w:val="en-GB"/>
        </w:rPr>
        <w:t>o</w:t>
      </w:r>
      <w:r w:rsidR="3FFDDD32" w:rsidRPr="00557597">
        <w:rPr>
          <w:rFonts w:eastAsia="Calibri" w:cs="Times New Roman"/>
          <w:noProof/>
          <w:lang w:val="en-GB"/>
        </w:rPr>
        <w:t xml:space="preserve"> </w:t>
      </w:r>
      <w:r w:rsidRPr="00557597">
        <w:rPr>
          <w:rFonts w:eastAsia="Calibri" w:cs="Times New Roman"/>
          <w:noProof/>
          <w:lang w:val="en-GB"/>
        </w:rPr>
        <w:t>a more detailed evaluation of the Directive that the Commission will present in 2025</w:t>
      </w:r>
      <w:r w:rsidR="00A10BD4" w:rsidRPr="00557597">
        <w:rPr>
          <w:rFonts w:eastAsia="Calibri" w:cs="Times New Roman"/>
          <w:noProof/>
          <w:lang w:val="en-GB"/>
        </w:rPr>
        <w:t>. This</w:t>
      </w:r>
      <w:r w:rsidRPr="00557597">
        <w:rPr>
          <w:rFonts w:eastAsia="Calibri" w:cs="Times New Roman"/>
          <w:noProof/>
          <w:lang w:val="en-GB"/>
        </w:rPr>
        <w:t xml:space="preserve"> could be </w:t>
      </w:r>
      <w:r w:rsidR="002E36CC" w:rsidRPr="00557597">
        <w:rPr>
          <w:rFonts w:eastAsia="Calibri" w:cs="Times New Roman"/>
          <w:noProof/>
          <w:lang w:val="en-GB"/>
        </w:rPr>
        <w:t>followed</w:t>
      </w:r>
      <w:r w:rsidRPr="00557597">
        <w:rPr>
          <w:rFonts w:eastAsia="Calibri" w:cs="Times New Roman"/>
          <w:noProof/>
          <w:lang w:val="en-GB"/>
        </w:rPr>
        <w:t>, if appropriate, by legislative proposals</w:t>
      </w:r>
      <w:r w:rsidR="002E36CC" w:rsidRPr="00557597">
        <w:rPr>
          <w:rFonts w:eastAsia="Calibri" w:cs="Times New Roman"/>
          <w:noProof/>
          <w:lang w:val="en-GB"/>
        </w:rPr>
        <w:t xml:space="preserve"> </w:t>
      </w:r>
      <w:r w:rsidR="005F0DDB" w:rsidRPr="00557597">
        <w:rPr>
          <w:rFonts w:eastAsia="Calibri" w:cs="Times New Roman"/>
          <w:noProof/>
          <w:lang w:val="en-GB"/>
        </w:rPr>
        <w:t>to</w:t>
      </w:r>
      <w:r w:rsidR="002E36CC" w:rsidRPr="00557597">
        <w:rPr>
          <w:rFonts w:eastAsia="Calibri" w:cs="Times New Roman"/>
          <w:noProof/>
          <w:lang w:val="en-GB"/>
        </w:rPr>
        <w:t xml:space="preserve"> revis</w:t>
      </w:r>
      <w:r w:rsidR="005F0DDB" w:rsidRPr="00557597">
        <w:rPr>
          <w:rFonts w:eastAsia="Calibri" w:cs="Times New Roman"/>
          <w:noProof/>
          <w:lang w:val="en-GB"/>
        </w:rPr>
        <w:t>e</w:t>
      </w:r>
      <w:r w:rsidR="002E36CC" w:rsidRPr="00557597">
        <w:rPr>
          <w:rFonts w:eastAsia="Calibri" w:cs="Times New Roman"/>
          <w:noProof/>
          <w:lang w:val="en-GB"/>
        </w:rPr>
        <w:t xml:space="preserve"> the Directive</w:t>
      </w:r>
      <w:r w:rsidRPr="00557597">
        <w:rPr>
          <w:rFonts w:eastAsia="Calibri" w:cs="Times New Roman"/>
          <w:noProof/>
          <w:lang w:val="en-GB"/>
        </w:rPr>
        <w:t>.</w:t>
      </w:r>
      <w:r w:rsidR="002F4794" w:rsidRPr="00557597">
        <w:rPr>
          <w:rFonts w:eastAsia="Calibri" w:cs="Times New Roman"/>
          <w:noProof/>
          <w:lang w:val="en-GB"/>
        </w:rPr>
        <w:t xml:space="preserve"> </w:t>
      </w:r>
      <w:r w:rsidR="002E36CC" w:rsidRPr="00557597">
        <w:rPr>
          <w:rFonts w:eastAsia="Calibri" w:cs="Times New Roman"/>
          <w:noProof/>
          <w:lang w:val="en-GB"/>
        </w:rPr>
        <w:t>The report</w:t>
      </w:r>
      <w:r w:rsidR="008F5FEE" w:rsidRPr="00557597">
        <w:rPr>
          <w:rStyle w:val="normaltextrun"/>
          <w:rFonts w:cs="Times New Roman"/>
          <w:noProof/>
          <w:shd w:val="clear" w:color="auto" w:fill="FFFFFF"/>
          <w:lang w:val="en-GB"/>
        </w:rPr>
        <w:t xml:space="preserve"> is accompanied by a Staff Working Document providing further </w:t>
      </w:r>
      <w:r w:rsidR="00A10BD4" w:rsidRPr="00557597">
        <w:rPr>
          <w:rStyle w:val="normaltextrun"/>
          <w:rFonts w:cs="Times New Roman"/>
          <w:noProof/>
          <w:lang w:val="en-GB"/>
        </w:rPr>
        <w:t>information</w:t>
      </w:r>
      <w:r w:rsidR="008F5FEE" w:rsidRPr="00557597">
        <w:rPr>
          <w:rStyle w:val="normaltextrun"/>
          <w:rFonts w:cs="Times New Roman"/>
          <w:noProof/>
          <w:shd w:val="clear" w:color="auto" w:fill="FFFFFF"/>
          <w:lang w:val="en-GB"/>
        </w:rPr>
        <w:t>, in particular on M</w:t>
      </w:r>
      <w:r w:rsidR="0012616A" w:rsidRPr="00557597">
        <w:rPr>
          <w:rStyle w:val="normaltextrun"/>
          <w:rFonts w:cs="Times New Roman"/>
          <w:noProof/>
          <w:shd w:val="clear" w:color="auto" w:fill="FFFFFF"/>
          <w:lang w:val="en-GB"/>
        </w:rPr>
        <w:t xml:space="preserve">ember </w:t>
      </w:r>
      <w:r w:rsidR="008F5FEE" w:rsidRPr="00557597">
        <w:rPr>
          <w:rStyle w:val="normaltextrun"/>
          <w:rFonts w:cs="Times New Roman"/>
          <w:noProof/>
          <w:shd w:val="clear" w:color="auto" w:fill="FFFFFF"/>
          <w:lang w:val="en-GB"/>
        </w:rPr>
        <w:t>S</w:t>
      </w:r>
      <w:r w:rsidR="0012616A" w:rsidRPr="00557597">
        <w:rPr>
          <w:rStyle w:val="normaltextrun"/>
          <w:rFonts w:cs="Times New Roman"/>
          <w:noProof/>
          <w:shd w:val="clear" w:color="auto" w:fill="FFFFFF"/>
          <w:lang w:val="en-GB"/>
        </w:rPr>
        <w:t>tates</w:t>
      </w:r>
      <w:r w:rsidR="008F5FEE" w:rsidRPr="00557597">
        <w:rPr>
          <w:rStyle w:val="normaltextrun"/>
          <w:rFonts w:cs="Times New Roman"/>
          <w:noProof/>
          <w:shd w:val="clear" w:color="auto" w:fill="FFFFFF"/>
          <w:lang w:val="en-GB"/>
        </w:rPr>
        <w:t>’ transposition</w:t>
      </w:r>
      <w:r w:rsidR="00BC4E50" w:rsidRPr="00557597">
        <w:rPr>
          <w:rStyle w:val="normaltextrun"/>
          <w:rFonts w:cs="Times New Roman"/>
          <w:noProof/>
          <w:shd w:val="clear" w:color="auto" w:fill="FFFFFF"/>
          <w:lang w:val="en-GB"/>
        </w:rPr>
        <w:t xml:space="preserve"> choices</w:t>
      </w:r>
      <w:r w:rsidR="008F5FEE" w:rsidRPr="00557597">
        <w:rPr>
          <w:rStyle w:val="FootnoteReference"/>
          <w:rFonts w:cs="Times New Roman"/>
          <w:noProof/>
          <w:shd w:val="clear" w:color="auto" w:fill="FFFFFF"/>
          <w:lang w:val="en-GB"/>
        </w:rPr>
        <w:footnoteReference w:id="48"/>
      </w:r>
      <w:r w:rsidR="00A95DF5" w:rsidRPr="00557597">
        <w:rPr>
          <w:rStyle w:val="normaltextrun"/>
          <w:rFonts w:cs="Times New Roman"/>
          <w:noProof/>
          <w:shd w:val="clear" w:color="auto" w:fill="FFFFFF"/>
          <w:lang w:val="en-GB"/>
        </w:rPr>
        <w:t>.</w:t>
      </w:r>
    </w:p>
    <w:p w14:paraId="7538AC10" w14:textId="4279B870" w:rsidR="00BF20AD" w:rsidRPr="00B55F42" w:rsidRDefault="00F76390" w:rsidP="5B7F1876">
      <w:pPr>
        <w:spacing w:after="120"/>
        <w:jc w:val="both"/>
        <w:rPr>
          <w:rFonts w:eastAsia="Calibri" w:cs="Times New Roman"/>
          <w:noProof/>
          <w:lang w:val="en-GB"/>
        </w:rPr>
      </w:pPr>
      <w:r w:rsidRPr="5B7F1876">
        <w:rPr>
          <w:rFonts w:eastAsia="Calibri" w:cs="Times New Roman"/>
          <w:noProof/>
          <w:lang w:val="en-GB"/>
        </w:rPr>
        <w:t xml:space="preserve">The Commission is </w:t>
      </w:r>
      <w:r w:rsidR="00A91AA9" w:rsidRPr="5B7F1876">
        <w:rPr>
          <w:rFonts w:eastAsia="Calibri" w:cs="Times New Roman"/>
          <w:noProof/>
          <w:lang w:val="en-GB"/>
        </w:rPr>
        <w:t xml:space="preserve">also </w:t>
      </w:r>
      <w:r w:rsidRPr="5B7F1876">
        <w:rPr>
          <w:rFonts w:eastAsia="Calibri" w:cs="Times New Roman"/>
          <w:noProof/>
          <w:lang w:val="en-GB"/>
        </w:rPr>
        <w:t xml:space="preserve">working on other actions to further </w:t>
      </w:r>
      <w:r w:rsidRPr="5B7F1876">
        <w:rPr>
          <w:rFonts w:eastAsia="Calibri" w:cs="Times New Roman"/>
          <w:b/>
          <w:bCs/>
          <w:noProof/>
          <w:lang w:val="en-GB"/>
        </w:rPr>
        <w:t xml:space="preserve">correct imbalances in the </w:t>
      </w:r>
      <w:r w:rsidR="58574FC5" w:rsidRPr="6FE283EC">
        <w:rPr>
          <w:rFonts w:eastAsia="Calibri" w:cs="Times New Roman"/>
          <w:b/>
          <w:bCs/>
          <w:noProof/>
          <w:lang w:val="en-GB"/>
        </w:rPr>
        <w:t>agri-</w:t>
      </w:r>
      <w:r w:rsidR="45974A48" w:rsidRPr="6FE283EC">
        <w:rPr>
          <w:rFonts w:eastAsia="Calibri" w:cs="Times New Roman"/>
          <w:b/>
          <w:bCs/>
          <w:noProof/>
          <w:lang w:val="en-GB"/>
        </w:rPr>
        <w:t>food</w:t>
      </w:r>
      <w:r w:rsidR="4F9F566C" w:rsidRPr="5B7F1876">
        <w:rPr>
          <w:rFonts w:eastAsia="Calibri" w:cs="Times New Roman"/>
          <w:b/>
          <w:bCs/>
          <w:noProof/>
          <w:lang w:val="en-GB"/>
        </w:rPr>
        <w:t xml:space="preserve"> supply</w:t>
      </w:r>
      <w:r w:rsidRPr="5B7F1876">
        <w:rPr>
          <w:rFonts w:eastAsia="Calibri" w:cs="Times New Roman"/>
          <w:b/>
          <w:bCs/>
          <w:noProof/>
          <w:lang w:val="en-GB"/>
        </w:rPr>
        <w:t xml:space="preserve"> chain</w:t>
      </w:r>
      <w:r w:rsidRPr="5B7F1876">
        <w:rPr>
          <w:rFonts w:eastAsia="Calibri" w:cs="Times New Roman"/>
          <w:noProof/>
          <w:lang w:val="en-GB"/>
        </w:rPr>
        <w:t xml:space="preserve">, </w:t>
      </w:r>
      <w:r w:rsidR="00B05ACA" w:rsidRPr="5B7F1876">
        <w:rPr>
          <w:rFonts w:eastAsia="Calibri" w:cs="Times New Roman"/>
          <w:noProof/>
          <w:lang w:val="en-GB"/>
        </w:rPr>
        <w:t xml:space="preserve">which </w:t>
      </w:r>
      <w:r w:rsidRPr="003C6304">
        <w:rPr>
          <w:rFonts w:eastAsia="Calibri" w:cs="Times New Roman"/>
          <w:noProof/>
          <w:lang w:val="en-GB"/>
        </w:rPr>
        <w:t>includ</w:t>
      </w:r>
      <w:r w:rsidR="00B05ACA" w:rsidRPr="003C6304">
        <w:rPr>
          <w:rFonts w:eastAsia="Calibri" w:cs="Times New Roman"/>
          <w:noProof/>
          <w:lang w:val="en-GB"/>
        </w:rPr>
        <w:t>es</w:t>
      </w:r>
      <w:r w:rsidRPr="003C6304">
        <w:rPr>
          <w:rFonts w:eastAsia="Calibri" w:cs="Times New Roman"/>
          <w:noProof/>
          <w:lang w:val="en-GB"/>
        </w:rPr>
        <w:t xml:space="preserve"> </w:t>
      </w:r>
      <w:r w:rsidR="003B08D1" w:rsidRPr="003C6304">
        <w:rPr>
          <w:rFonts w:eastAsia="Calibri" w:cs="Times New Roman"/>
          <w:noProof/>
          <w:lang w:val="en-GB"/>
        </w:rPr>
        <w:t>consider</w:t>
      </w:r>
      <w:r w:rsidR="00B05ACA" w:rsidRPr="003C6304">
        <w:rPr>
          <w:rFonts w:eastAsia="Calibri" w:cs="Times New Roman"/>
          <w:noProof/>
          <w:lang w:val="en-GB"/>
        </w:rPr>
        <w:t>ing</w:t>
      </w:r>
      <w:r w:rsidR="003B08D1" w:rsidRPr="003C6304">
        <w:rPr>
          <w:rFonts w:eastAsia="Calibri" w:cs="Times New Roman"/>
          <w:noProof/>
          <w:lang w:val="en-GB"/>
        </w:rPr>
        <w:t xml:space="preserve"> </w:t>
      </w:r>
      <w:r w:rsidRPr="003C6304">
        <w:rPr>
          <w:rFonts w:eastAsia="Calibri" w:cs="Times New Roman"/>
          <w:noProof/>
          <w:lang w:val="en-GB"/>
        </w:rPr>
        <w:t xml:space="preserve">targeted changes to the Regulation establishing a </w:t>
      </w:r>
      <w:r w:rsidRPr="003C6304">
        <w:rPr>
          <w:rFonts w:eastAsia="Calibri" w:cs="Times New Roman"/>
          <w:b/>
          <w:bCs/>
          <w:noProof/>
          <w:lang w:val="en-GB"/>
        </w:rPr>
        <w:t xml:space="preserve">common </w:t>
      </w:r>
      <w:r w:rsidRPr="00B55F42">
        <w:rPr>
          <w:rFonts w:eastAsia="Calibri" w:cs="Times New Roman"/>
          <w:b/>
          <w:bCs/>
          <w:noProof/>
          <w:lang w:val="en-GB"/>
        </w:rPr>
        <w:t>market organisation of agricultural products</w:t>
      </w:r>
      <w:r w:rsidRPr="00B55F42">
        <w:rPr>
          <w:rFonts w:eastAsia="Calibri" w:cs="Times New Roman"/>
          <w:noProof/>
          <w:lang w:val="en-GB"/>
        </w:rPr>
        <w:t xml:space="preserve"> (CMO)</w:t>
      </w:r>
      <w:r w:rsidR="00A91AA9" w:rsidRPr="00B55F42">
        <w:rPr>
          <w:rStyle w:val="FootnoteReference"/>
          <w:rFonts w:eastAsia="Calibri" w:cs="Times New Roman"/>
          <w:noProof/>
          <w:lang w:val="en-GB"/>
        </w:rPr>
        <w:footnoteReference w:id="49"/>
      </w:r>
      <w:r w:rsidR="00D0386C" w:rsidRPr="00B55F42">
        <w:rPr>
          <w:rFonts w:eastAsia="Calibri" w:cs="Times New Roman"/>
          <w:noProof/>
          <w:lang w:val="en-GB"/>
        </w:rPr>
        <w:t>.</w:t>
      </w:r>
      <w:r w:rsidRPr="00B55F42">
        <w:rPr>
          <w:rFonts w:eastAsia="Calibri" w:cs="Times New Roman"/>
          <w:noProof/>
          <w:lang w:val="en-GB"/>
        </w:rPr>
        <w:t xml:space="preserve"> This aims to strengthen farmers’ position in the </w:t>
      </w:r>
      <w:r w:rsidR="007810B0" w:rsidRPr="00B55F42">
        <w:rPr>
          <w:rFonts w:eastAsia="Calibri" w:cs="Times New Roman"/>
          <w:noProof/>
          <w:lang w:val="en-GB"/>
        </w:rPr>
        <w:t xml:space="preserve">supply </w:t>
      </w:r>
      <w:r w:rsidRPr="00B55F42">
        <w:rPr>
          <w:rFonts w:eastAsia="Calibri" w:cs="Times New Roman"/>
          <w:noProof/>
          <w:lang w:val="en-GB"/>
        </w:rPr>
        <w:t xml:space="preserve">chain, including e.g. through </w:t>
      </w:r>
      <w:r w:rsidR="00A10BD4" w:rsidRPr="00B55F42">
        <w:rPr>
          <w:rFonts w:eastAsia="Calibri" w:cs="Times New Roman"/>
          <w:noProof/>
          <w:lang w:val="en-GB"/>
        </w:rPr>
        <w:t xml:space="preserve">improved </w:t>
      </w:r>
      <w:r w:rsidRPr="00B55F42">
        <w:rPr>
          <w:rFonts w:eastAsia="Calibri" w:cs="Times New Roman"/>
          <w:noProof/>
          <w:lang w:val="en-GB"/>
        </w:rPr>
        <w:t xml:space="preserve">rules on contracts, </w:t>
      </w:r>
      <w:r w:rsidR="00A10BD4" w:rsidRPr="00B55F42">
        <w:rPr>
          <w:rFonts w:eastAsia="Calibri" w:cs="Times New Roman"/>
          <w:noProof/>
          <w:lang w:val="en-GB"/>
        </w:rPr>
        <w:t xml:space="preserve">a stronger </w:t>
      </w:r>
      <w:r w:rsidR="05538BA2" w:rsidRPr="00B55F42">
        <w:rPr>
          <w:rFonts w:eastAsia="Calibri" w:cs="Times New Roman"/>
          <w:noProof/>
          <w:lang w:val="en-GB"/>
        </w:rPr>
        <w:t xml:space="preserve">role </w:t>
      </w:r>
      <w:r w:rsidR="00A10BD4" w:rsidRPr="00B55F42">
        <w:rPr>
          <w:rFonts w:eastAsia="Calibri" w:cs="Times New Roman"/>
          <w:noProof/>
          <w:lang w:val="en-GB"/>
        </w:rPr>
        <w:t xml:space="preserve">for </w:t>
      </w:r>
      <w:r w:rsidRPr="00B55F42">
        <w:rPr>
          <w:rFonts w:eastAsia="Calibri" w:cs="Times New Roman"/>
          <w:noProof/>
          <w:lang w:val="en-GB"/>
        </w:rPr>
        <w:t>producer organisations</w:t>
      </w:r>
      <w:r w:rsidR="41F098A2" w:rsidRPr="00B55F42">
        <w:rPr>
          <w:rFonts w:eastAsia="Calibri" w:cs="Times New Roman"/>
          <w:noProof/>
          <w:lang w:val="en-GB"/>
        </w:rPr>
        <w:t xml:space="preserve"> and their associations</w:t>
      </w:r>
      <w:r w:rsidR="00A10BD4" w:rsidRPr="00B55F42">
        <w:rPr>
          <w:rFonts w:eastAsia="Calibri" w:cs="Times New Roman"/>
          <w:noProof/>
          <w:lang w:val="en-GB"/>
        </w:rPr>
        <w:t>,</w:t>
      </w:r>
      <w:r w:rsidRPr="00B55F42">
        <w:rPr>
          <w:rFonts w:eastAsia="Calibri" w:cs="Times New Roman"/>
          <w:noProof/>
          <w:lang w:val="en-GB"/>
        </w:rPr>
        <w:t xml:space="preserve"> and </w:t>
      </w:r>
      <w:r w:rsidR="1D0AD556" w:rsidRPr="00B55F42">
        <w:rPr>
          <w:rFonts w:eastAsia="Calibri" w:cs="Times New Roman"/>
          <w:noProof/>
          <w:lang w:val="en-GB"/>
        </w:rPr>
        <w:t>measures</w:t>
      </w:r>
      <w:r w:rsidR="7B7988CF" w:rsidRPr="00B55F42">
        <w:rPr>
          <w:rFonts w:eastAsia="Calibri" w:cs="Times New Roman"/>
          <w:noProof/>
          <w:lang w:val="en-GB"/>
        </w:rPr>
        <w:t xml:space="preserve"> </w:t>
      </w:r>
      <w:r w:rsidR="6324FAA9" w:rsidRPr="00B55F42">
        <w:rPr>
          <w:rFonts w:eastAsia="Calibri" w:cs="Times New Roman"/>
          <w:noProof/>
          <w:lang w:val="en-GB"/>
        </w:rPr>
        <w:t>to</w:t>
      </w:r>
      <w:r w:rsidR="00A10BD4" w:rsidRPr="00B55F42">
        <w:rPr>
          <w:rFonts w:eastAsia="Calibri" w:cs="Times New Roman"/>
          <w:noProof/>
          <w:lang w:val="en-GB"/>
        </w:rPr>
        <w:t xml:space="preserve"> support</w:t>
      </w:r>
      <w:r w:rsidR="1D0AD556" w:rsidRPr="00B55F42">
        <w:rPr>
          <w:rFonts w:eastAsia="Calibri" w:cs="Times New Roman"/>
          <w:noProof/>
          <w:lang w:val="en-GB"/>
        </w:rPr>
        <w:t xml:space="preserve"> voluntary approaches such </w:t>
      </w:r>
      <w:r w:rsidR="00C27F98" w:rsidRPr="00B55F42">
        <w:rPr>
          <w:rFonts w:eastAsia="Calibri" w:cs="Times New Roman"/>
          <w:noProof/>
          <w:lang w:val="en-GB"/>
        </w:rPr>
        <w:t xml:space="preserve">developing </w:t>
      </w:r>
      <w:r w:rsidRPr="00B55F42">
        <w:rPr>
          <w:rFonts w:eastAsia="Calibri" w:cs="Times New Roman"/>
          <w:noProof/>
          <w:lang w:val="en-GB"/>
        </w:rPr>
        <w:t xml:space="preserve">short supply chains and </w:t>
      </w:r>
      <w:r w:rsidR="00745212" w:rsidRPr="00B55F42">
        <w:rPr>
          <w:rFonts w:eastAsia="Calibri" w:cs="Times New Roman"/>
          <w:noProof/>
          <w:lang w:val="en-GB"/>
        </w:rPr>
        <w:t>fair-trade</w:t>
      </w:r>
      <w:r w:rsidRPr="00B55F42">
        <w:rPr>
          <w:rFonts w:eastAsia="Calibri" w:cs="Times New Roman"/>
          <w:noProof/>
          <w:lang w:val="en-GB"/>
        </w:rPr>
        <w:t xml:space="preserve"> schemes.</w:t>
      </w:r>
      <w:r w:rsidR="00745212" w:rsidRPr="00B55F42">
        <w:rPr>
          <w:rFonts w:eastAsia="Calibri" w:cs="Times New Roman"/>
          <w:noProof/>
          <w:lang w:val="en-GB"/>
        </w:rPr>
        <w:t xml:space="preserve"> </w:t>
      </w:r>
    </w:p>
    <w:p w14:paraId="4FDD019F" w14:textId="4FB9DB00" w:rsidR="00261DD7" w:rsidRPr="00B55F42" w:rsidRDefault="00745212" w:rsidP="006807F6">
      <w:pPr>
        <w:spacing w:after="120"/>
        <w:jc w:val="both"/>
        <w:rPr>
          <w:rFonts w:eastAsia="Times New Roman" w:cstheme="majorBidi"/>
          <w:b/>
          <w:noProof/>
          <w:color w:val="000000" w:themeColor="text1"/>
          <w:szCs w:val="26"/>
          <w:lang w:val="en-GB"/>
        </w:rPr>
      </w:pPr>
      <w:r w:rsidRPr="00B55F42">
        <w:rPr>
          <w:rFonts w:eastAsia="Calibri" w:cs="Times New Roman"/>
          <w:noProof/>
          <w:szCs w:val="24"/>
          <w:lang w:val="en-GB"/>
        </w:rPr>
        <w:t xml:space="preserve">The Commission </w:t>
      </w:r>
      <w:r w:rsidR="00421643" w:rsidRPr="00FF77A3">
        <w:rPr>
          <w:rFonts w:eastAsia="Calibri" w:cs="Times New Roman"/>
          <w:noProof/>
          <w:lang w:val="en-GB"/>
        </w:rPr>
        <w:t>will propose</w:t>
      </w:r>
      <w:r w:rsidRPr="00B55F42">
        <w:rPr>
          <w:rFonts w:eastAsia="Calibri" w:cs="Times New Roman"/>
          <w:noProof/>
          <w:szCs w:val="24"/>
          <w:lang w:val="en-GB"/>
        </w:rPr>
        <w:t xml:space="preserve"> new rules to </w:t>
      </w:r>
      <w:r w:rsidR="00C27F98" w:rsidRPr="00B55F42">
        <w:rPr>
          <w:rFonts w:eastAsia="Calibri" w:cs="Times New Roman"/>
          <w:noProof/>
          <w:szCs w:val="24"/>
          <w:lang w:val="en-GB"/>
        </w:rPr>
        <w:t xml:space="preserve">improve the </w:t>
      </w:r>
      <w:r w:rsidR="00BF20AD" w:rsidRPr="00B55F42">
        <w:rPr>
          <w:rFonts w:eastAsia="Calibri" w:cs="Times New Roman"/>
          <w:noProof/>
          <w:szCs w:val="24"/>
          <w:lang w:val="en-GB"/>
        </w:rPr>
        <w:t>enforcement</w:t>
      </w:r>
      <w:r w:rsidRPr="00B55F42">
        <w:rPr>
          <w:rFonts w:eastAsia="Calibri" w:cs="Times New Roman"/>
          <w:noProof/>
          <w:szCs w:val="24"/>
          <w:lang w:val="en-GB"/>
        </w:rPr>
        <w:t xml:space="preserve"> of the </w:t>
      </w:r>
      <w:r w:rsidR="00035EF5" w:rsidRPr="00B55F42">
        <w:rPr>
          <w:rFonts w:eastAsia="Calibri" w:cs="Times New Roman"/>
          <w:b/>
          <w:bCs/>
          <w:noProof/>
          <w:szCs w:val="24"/>
          <w:lang w:val="en-GB"/>
        </w:rPr>
        <w:t>rules against</w:t>
      </w:r>
      <w:r w:rsidR="00035EF5" w:rsidRPr="00B55F42">
        <w:rPr>
          <w:rFonts w:eastAsia="Calibri" w:cs="Times New Roman"/>
          <w:noProof/>
          <w:szCs w:val="24"/>
          <w:lang w:val="en-GB"/>
        </w:rPr>
        <w:t xml:space="preserve"> </w:t>
      </w:r>
      <w:r w:rsidRPr="00B55F42">
        <w:rPr>
          <w:rFonts w:eastAsia="Calibri" w:cs="Times New Roman"/>
          <w:b/>
          <w:bCs/>
          <w:noProof/>
          <w:szCs w:val="24"/>
          <w:lang w:val="en-GB"/>
        </w:rPr>
        <w:t>unfair trading practices</w:t>
      </w:r>
      <w:r w:rsidRPr="00B55F42">
        <w:rPr>
          <w:rFonts w:eastAsia="Calibri" w:cs="Times New Roman"/>
          <w:noProof/>
          <w:szCs w:val="24"/>
          <w:lang w:val="en-GB"/>
        </w:rPr>
        <w:t xml:space="preserve"> for </w:t>
      </w:r>
      <w:r w:rsidRPr="00B55F42">
        <w:rPr>
          <w:rFonts w:eastAsia="Calibri" w:cs="Times New Roman"/>
          <w:b/>
          <w:bCs/>
          <w:noProof/>
          <w:szCs w:val="24"/>
          <w:lang w:val="en-GB"/>
        </w:rPr>
        <w:t>cross border transactions</w:t>
      </w:r>
      <w:r w:rsidRPr="00B55F42">
        <w:rPr>
          <w:rFonts w:eastAsia="Calibri" w:cs="Times New Roman"/>
          <w:noProof/>
          <w:szCs w:val="24"/>
          <w:lang w:val="en-GB"/>
        </w:rPr>
        <w:t>.</w:t>
      </w:r>
      <w:bookmarkStart w:id="101" w:name="_Toc167974753"/>
    </w:p>
    <w:p w14:paraId="3BEC2A7D" w14:textId="3345DA7F" w:rsidR="00C420A8" w:rsidRPr="00B55F42" w:rsidRDefault="00C13616" w:rsidP="006807F6">
      <w:pPr>
        <w:pStyle w:val="Heading2"/>
        <w:spacing w:before="240"/>
        <w:rPr>
          <w:bCs/>
          <w:noProof/>
          <w:lang w:val="en-GB"/>
        </w:rPr>
      </w:pPr>
      <w:bookmarkStart w:id="102" w:name="_Toc172125131"/>
      <w:r w:rsidRPr="00B55F42">
        <w:rPr>
          <w:noProof/>
          <w:lang w:val="en-GB"/>
        </w:rPr>
        <w:t>5</w:t>
      </w:r>
      <w:r w:rsidR="00A72FCF" w:rsidRPr="00B55F42">
        <w:rPr>
          <w:noProof/>
          <w:lang w:val="en-GB"/>
        </w:rPr>
        <w:t xml:space="preserve">.4 </w:t>
      </w:r>
      <w:bookmarkEnd w:id="101"/>
      <w:r w:rsidR="00B420FB" w:rsidRPr="00B55F42">
        <w:rPr>
          <w:noProof/>
          <w:lang w:val="en-GB"/>
        </w:rPr>
        <w:t>Other</w:t>
      </w:r>
      <w:r w:rsidR="002F0900" w:rsidRPr="00B55F42">
        <w:rPr>
          <w:noProof/>
          <w:lang w:val="en-GB"/>
        </w:rPr>
        <w:t xml:space="preserve"> CAP</w:t>
      </w:r>
      <w:r w:rsidR="00B420FB" w:rsidRPr="00B55F42">
        <w:rPr>
          <w:noProof/>
          <w:lang w:val="en-GB"/>
        </w:rPr>
        <w:t xml:space="preserve"> </w:t>
      </w:r>
      <w:r w:rsidR="003C3D95" w:rsidRPr="00B55F42">
        <w:rPr>
          <w:noProof/>
          <w:lang w:val="en-GB"/>
        </w:rPr>
        <w:t>instruments</w:t>
      </w:r>
      <w:bookmarkEnd w:id="102"/>
      <w:r w:rsidR="003C3D95" w:rsidRPr="00B55F42">
        <w:rPr>
          <w:noProof/>
          <w:lang w:val="en-GB"/>
        </w:rPr>
        <w:t xml:space="preserve"> </w:t>
      </w:r>
    </w:p>
    <w:p w14:paraId="35448BC6" w14:textId="0DC7255F" w:rsidR="00BF1FD7" w:rsidRPr="00B55F42" w:rsidDel="00DA2639" w:rsidRDefault="3053149E" w:rsidP="00921335">
      <w:pPr>
        <w:pStyle w:val="NoSpacing"/>
        <w:spacing w:after="120"/>
        <w:rPr>
          <w:b/>
          <w:bCs/>
          <w:noProof/>
          <w:lang w:val="en-GB"/>
        </w:rPr>
      </w:pPr>
      <w:bookmarkStart w:id="103" w:name="_Toc1672632838"/>
      <w:bookmarkStart w:id="104" w:name="_Toc1237104151"/>
      <w:bookmarkStart w:id="105" w:name="_Toc1032130590"/>
      <w:bookmarkStart w:id="106" w:name="_Toc167974754"/>
      <w:bookmarkStart w:id="107" w:name="_Toc169115026"/>
      <w:bookmarkStart w:id="108" w:name="_Toc171106330"/>
      <w:bookmarkStart w:id="109" w:name="_Toc171432241"/>
      <w:bookmarkStart w:id="110" w:name="_Toc171444115"/>
      <w:bookmarkStart w:id="111" w:name="_Toc168422361"/>
      <w:bookmarkStart w:id="112" w:name="_Toc168422666"/>
      <w:r w:rsidRPr="00B55F42" w:rsidDel="00DA2639">
        <w:rPr>
          <w:rStyle w:val="Style2Char"/>
          <w:rFonts w:eastAsia="Calibri" w:cs="Times New Roman"/>
          <w:lang w:val="en-GB"/>
        </w:rPr>
        <w:t>E</w:t>
      </w:r>
      <w:r w:rsidR="6743FA00" w:rsidRPr="00B55F42" w:rsidDel="00DA2639">
        <w:rPr>
          <w:rStyle w:val="Style2Char"/>
          <w:rFonts w:eastAsia="Calibri" w:cs="Times New Roman"/>
          <w:lang w:val="en-GB"/>
        </w:rPr>
        <w:t>xchange of best practices</w:t>
      </w:r>
      <w:bookmarkEnd w:id="103"/>
      <w:bookmarkEnd w:id="104"/>
      <w:bookmarkEnd w:id="105"/>
      <w:bookmarkEnd w:id="106"/>
      <w:bookmarkEnd w:id="107"/>
      <w:bookmarkEnd w:id="108"/>
      <w:bookmarkEnd w:id="109"/>
      <w:bookmarkEnd w:id="110"/>
      <w:r w:rsidR="00B420FB" w:rsidRPr="00B55F42">
        <w:rPr>
          <w:b/>
          <w:bCs/>
          <w:noProof/>
          <w:lang w:val="en-GB"/>
        </w:rPr>
        <w:t xml:space="preserve"> </w:t>
      </w:r>
      <w:bookmarkEnd w:id="111"/>
      <w:bookmarkEnd w:id="112"/>
    </w:p>
    <w:p w14:paraId="4554FDB6" w14:textId="6F0DE866" w:rsidR="00540703" w:rsidRPr="00724676" w:rsidRDefault="0050799C" w:rsidP="000C0B2E">
      <w:pPr>
        <w:spacing w:after="120"/>
        <w:jc w:val="both"/>
        <w:rPr>
          <w:rFonts w:cs="Times New Roman"/>
          <w:noProof/>
          <w:lang w:val="en-GB"/>
        </w:rPr>
      </w:pPr>
      <w:r w:rsidRPr="00B55F42">
        <w:rPr>
          <w:rFonts w:cs="Times New Roman"/>
          <w:noProof/>
          <w:lang w:val="en-GB"/>
        </w:rPr>
        <w:t xml:space="preserve">The Commission </w:t>
      </w:r>
      <w:r w:rsidR="00283D4F" w:rsidRPr="00B55F42">
        <w:rPr>
          <w:rFonts w:cs="Times New Roman"/>
          <w:noProof/>
          <w:lang w:val="en-GB"/>
        </w:rPr>
        <w:t xml:space="preserve">organises </w:t>
      </w:r>
      <w:r w:rsidR="00EE53D7" w:rsidRPr="00B55F42">
        <w:rPr>
          <w:rFonts w:cs="Times New Roman"/>
          <w:noProof/>
          <w:lang w:val="en-GB"/>
        </w:rPr>
        <w:t>exchange</w:t>
      </w:r>
      <w:r w:rsidR="005C797B" w:rsidRPr="00B55F42">
        <w:rPr>
          <w:rFonts w:cs="Times New Roman"/>
          <w:noProof/>
          <w:lang w:val="en-GB"/>
        </w:rPr>
        <w:t>s</w:t>
      </w:r>
      <w:r w:rsidR="00EE53D7" w:rsidRPr="00B55F42">
        <w:rPr>
          <w:rFonts w:cs="Times New Roman"/>
          <w:noProof/>
          <w:lang w:val="en-GB"/>
        </w:rPr>
        <w:t xml:space="preserve"> </w:t>
      </w:r>
      <w:r w:rsidR="00C27F98" w:rsidRPr="00B55F42">
        <w:rPr>
          <w:rFonts w:cs="Times New Roman"/>
          <w:noProof/>
          <w:lang w:val="en-GB"/>
        </w:rPr>
        <w:t xml:space="preserve">between Member States </w:t>
      </w:r>
      <w:r w:rsidR="00EE53D7" w:rsidRPr="00B55F42">
        <w:rPr>
          <w:rFonts w:cs="Times New Roman"/>
          <w:noProof/>
          <w:lang w:val="en-GB"/>
        </w:rPr>
        <w:t xml:space="preserve">of best practices </w:t>
      </w:r>
      <w:r w:rsidR="00EE53D7" w:rsidRPr="00B55F42" w:rsidDel="00D5164A">
        <w:rPr>
          <w:rFonts w:cs="Times New Roman"/>
          <w:noProof/>
          <w:lang w:val="en-GB"/>
        </w:rPr>
        <w:t>to</w:t>
      </w:r>
      <w:r w:rsidR="00EE53D7" w:rsidRPr="00B55F42">
        <w:rPr>
          <w:rFonts w:cs="Times New Roman"/>
          <w:noProof/>
          <w:lang w:val="en-GB"/>
        </w:rPr>
        <w:t xml:space="preserve"> simplify interventions and minimise </w:t>
      </w:r>
      <w:r w:rsidR="00C27F98" w:rsidRPr="00B55F42">
        <w:rPr>
          <w:rFonts w:cs="Times New Roman"/>
          <w:noProof/>
          <w:lang w:val="en-GB"/>
        </w:rPr>
        <w:t xml:space="preserve">the </w:t>
      </w:r>
      <w:r w:rsidR="00EE53D7" w:rsidRPr="00B55F42">
        <w:rPr>
          <w:rFonts w:cs="Times New Roman"/>
          <w:noProof/>
          <w:lang w:val="en-GB"/>
        </w:rPr>
        <w:t>administrative burden</w:t>
      </w:r>
      <w:r w:rsidR="0063701F" w:rsidRPr="00B55F42">
        <w:rPr>
          <w:rFonts w:cs="Times New Roman"/>
          <w:noProof/>
          <w:lang w:val="en-GB"/>
        </w:rPr>
        <w:t xml:space="preserve"> related to the </w:t>
      </w:r>
      <w:r w:rsidR="00523AA0" w:rsidRPr="00B55F42">
        <w:rPr>
          <w:rFonts w:cs="Times New Roman"/>
          <w:noProof/>
          <w:lang w:val="en-GB"/>
        </w:rPr>
        <w:t>CAP Plans</w:t>
      </w:r>
      <w:r w:rsidR="00E0698B" w:rsidRPr="00B55F42">
        <w:rPr>
          <w:rFonts w:cs="Times New Roman"/>
          <w:noProof/>
          <w:lang w:val="en-GB"/>
        </w:rPr>
        <w:t xml:space="preserve">. </w:t>
      </w:r>
      <w:r w:rsidR="00DA0848" w:rsidRPr="00B55F42">
        <w:rPr>
          <w:rFonts w:cs="Times New Roman"/>
          <w:noProof/>
          <w:lang w:val="en-GB"/>
        </w:rPr>
        <w:t>One of the for</w:t>
      </w:r>
      <w:r w:rsidR="00C27F98" w:rsidRPr="00B55F42">
        <w:rPr>
          <w:rFonts w:cs="Times New Roman"/>
          <w:noProof/>
          <w:lang w:val="en-GB"/>
        </w:rPr>
        <w:t>ums</w:t>
      </w:r>
      <w:r w:rsidR="00DA0848" w:rsidRPr="00B55F42">
        <w:rPr>
          <w:rFonts w:cs="Times New Roman"/>
          <w:noProof/>
          <w:lang w:val="en-GB"/>
        </w:rPr>
        <w:t xml:space="preserve"> where </w:t>
      </w:r>
      <w:r w:rsidR="00035EF5" w:rsidRPr="00B55F42">
        <w:rPr>
          <w:rFonts w:cs="Times New Roman"/>
          <w:noProof/>
          <w:lang w:val="en-GB"/>
        </w:rPr>
        <w:t xml:space="preserve">these exchanges </w:t>
      </w:r>
      <w:r w:rsidR="00DA0848" w:rsidRPr="00B55F42">
        <w:rPr>
          <w:rFonts w:cs="Times New Roman"/>
          <w:noProof/>
          <w:lang w:val="en-GB"/>
        </w:rPr>
        <w:t xml:space="preserve">take place is the </w:t>
      </w:r>
      <w:r w:rsidR="00DA0848" w:rsidRPr="00B55F42">
        <w:rPr>
          <w:rFonts w:cs="Times New Roman"/>
          <w:b/>
          <w:bCs/>
          <w:noProof/>
          <w:lang w:val="en-GB"/>
        </w:rPr>
        <w:t>European CAP Network</w:t>
      </w:r>
      <w:r w:rsidR="00DC5FF7" w:rsidRPr="00B55F42">
        <w:rPr>
          <w:rStyle w:val="FootnoteReference"/>
          <w:rFonts w:cs="Times New Roman"/>
          <w:noProof/>
          <w:lang w:val="en-GB"/>
        </w:rPr>
        <w:footnoteReference w:id="50"/>
      </w:r>
      <w:r w:rsidR="00C27F98" w:rsidRPr="00B55F42">
        <w:rPr>
          <w:rFonts w:cs="Times New Roman"/>
          <w:noProof/>
          <w:lang w:val="en-GB"/>
        </w:rPr>
        <w:t>,</w:t>
      </w:r>
      <w:r w:rsidR="00B34204" w:rsidRPr="00B55F42">
        <w:rPr>
          <w:noProof/>
          <w:lang w:val="en-GB"/>
        </w:rPr>
        <w:t xml:space="preserve"> </w:t>
      </w:r>
      <w:r w:rsidR="00C27F98" w:rsidRPr="00B55F42">
        <w:rPr>
          <w:noProof/>
          <w:lang w:val="en-GB"/>
        </w:rPr>
        <w:t xml:space="preserve">which brings together </w:t>
      </w:r>
      <w:r w:rsidR="00C27F98" w:rsidRPr="00B55F42">
        <w:rPr>
          <w:rFonts w:cs="Times New Roman"/>
          <w:noProof/>
          <w:lang w:val="en-GB"/>
        </w:rPr>
        <w:t>a</w:t>
      </w:r>
      <w:r w:rsidR="00B34204" w:rsidRPr="00B55F42">
        <w:rPr>
          <w:rFonts w:cs="Times New Roman"/>
          <w:noProof/>
          <w:lang w:val="en-GB"/>
        </w:rPr>
        <w:t>dministrat</w:t>
      </w:r>
      <w:r w:rsidR="00C27F98" w:rsidRPr="00B55F42">
        <w:rPr>
          <w:rFonts w:cs="Times New Roman"/>
          <w:noProof/>
          <w:lang w:val="en-GB"/>
        </w:rPr>
        <w:t>ors</w:t>
      </w:r>
      <w:r w:rsidR="00B34204" w:rsidRPr="00B55F42">
        <w:rPr>
          <w:rFonts w:cs="Times New Roman"/>
          <w:noProof/>
          <w:lang w:val="en-GB"/>
        </w:rPr>
        <w:t xml:space="preserve">, researchers, </w:t>
      </w:r>
      <w:r w:rsidR="005E0A8E" w:rsidRPr="00B55F42">
        <w:rPr>
          <w:rFonts w:cs="Times New Roman"/>
          <w:noProof/>
          <w:lang w:val="en-GB"/>
        </w:rPr>
        <w:t>entrepreneurs</w:t>
      </w:r>
      <w:r w:rsidR="006D57FE" w:rsidRPr="5B7F1876">
        <w:rPr>
          <w:rFonts w:cs="Times New Roman"/>
          <w:noProof/>
          <w:lang w:val="en-GB"/>
        </w:rPr>
        <w:t>,</w:t>
      </w:r>
      <w:r w:rsidR="00B34204" w:rsidRPr="5B7F1876">
        <w:rPr>
          <w:rFonts w:cs="Times New Roman"/>
          <w:noProof/>
          <w:lang w:val="en-GB"/>
        </w:rPr>
        <w:t xml:space="preserve"> and practitioners to share knowledge and </w:t>
      </w:r>
      <w:r w:rsidR="00B34204" w:rsidRPr="5B7F1876">
        <w:rPr>
          <w:rFonts w:cs="Times New Roman"/>
          <w:noProof/>
          <w:lang w:val="en-GB"/>
        </w:rPr>
        <w:lastRenderedPageBreak/>
        <w:t>information about agriculture and rural policy.</w:t>
      </w:r>
      <w:r w:rsidR="006864E6" w:rsidRPr="5B7F1876">
        <w:rPr>
          <w:rFonts w:cs="Times New Roman"/>
          <w:noProof/>
          <w:lang w:val="en-GB"/>
        </w:rPr>
        <w:t xml:space="preserve"> </w:t>
      </w:r>
      <w:r w:rsidR="002B70A8" w:rsidRPr="5B7F1876">
        <w:rPr>
          <w:rFonts w:cs="Times New Roman"/>
          <w:noProof/>
          <w:lang w:val="en-GB"/>
        </w:rPr>
        <w:t>One of the</w:t>
      </w:r>
      <w:r w:rsidR="00B65056" w:rsidRPr="5B7F1876" w:rsidDel="002B70A8">
        <w:rPr>
          <w:rFonts w:cs="Times New Roman"/>
          <w:noProof/>
          <w:lang w:val="en-GB"/>
        </w:rPr>
        <w:t xml:space="preserve"> </w:t>
      </w:r>
      <w:r w:rsidR="00C27F98" w:rsidRPr="5B7F1876">
        <w:rPr>
          <w:rFonts w:cs="Times New Roman"/>
          <w:noProof/>
          <w:lang w:val="en-GB"/>
        </w:rPr>
        <w:t>t</w:t>
      </w:r>
      <w:r w:rsidR="00B65056" w:rsidRPr="5B7F1876">
        <w:rPr>
          <w:rFonts w:cs="Times New Roman"/>
          <w:noProof/>
          <w:lang w:val="en-GB"/>
        </w:rPr>
        <w:t xml:space="preserve">hematic </w:t>
      </w:r>
      <w:r w:rsidR="00C27F98" w:rsidRPr="5B7F1876">
        <w:rPr>
          <w:rFonts w:cs="Times New Roman"/>
          <w:noProof/>
          <w:lang w:val="en-GB"/>
        </w:rPr>
        <w:t>g</w:t>
      </w:r>
      <w:r w:rsidR="00B65056" w:rsidRPr="5B7F1876">
        <w:rPr>
          <w:rFonts w:cs="Times New Roman"/>
          <w:noProof/>
          <w:lang w:val="en-GB"/>
        </w:rPr>
        <w:t>roup</w:t>
      </w:r>
      <w:r w:rsidR="00C27F98" w:rsidRPr="5B7F1876">
        <w:rPr>
          <w:rFonts w:cs="Times New Roman"/>
          <w:noProof/>
          <w:lang w:val="en-GB"/>
        </w:rPr>
        <w:t>s</w:t>
      </w:r>
      <w:r w:rsidR="00B65056" w:rsidRPr="5B7F1876">
        <w:rPr>
          <w:rFonts w:cs="Times New Roman"/>
          <w:noProof/>
          <w:lang w:val="en-GB"/>
        </w:rPr>
        <w:t xml:space="preserve"> </w:t>
      </w:r>
      <w:r w:rsidR="00C27F98" w:rsidRPr="5B7F1876">
        <w:rPr>
          <w:rFonts w:cs="Times New Roman"/>
          <w:noProof/>
          <w:lang w:val="en-GB"/>
        </w:rPr>
        <w:t xml:space="preserve">within </w:t>
      </w:r>
      <w:r w:rsidR="002B70A8" w:rsidRPr="5B7F1876">
        <w:rPr>
          <w:rFonts w:cs="Times New Roman"/>
          <w:noProof/>
          <w:lang w:val="en-GB"/>
        </w:rPr>
        <w:t xml:space="preserve">the CAP Network </w:t>
      </w:r>
      <w:r w:rsidR="00B65056" w:rsidRPr="5B7F1876">
        <w:rPr>
          <w:rFonts w:cs="Times New Roman"/>
          <w:noProof/>
          <w:lang w:val="en-GB"/>
        </w:rPr>
        <w:t>focus</w:t>
      </w:r>
      <w:r w:rsidR="002B70A8" w:rsidRPr="5B7F1876">
        <w:rPr>
          <w:rFonts w:cs="Times New Roman"/>
          <w:noProof/>
          <w:lang w:val="en-GB"/>
        </w:rPr>
        <w:t>es</w:t>
      </w:r>
      <w:r w:rsidR="00B65056" w:rsidRPr="5B7F1876">
        <w:rPr>
          <w:rFonts w:cs="Times New Roman"/>
          <w:noProof/>
          <w:lang w:val="en-GB"/>
        </w:rPr>
        <w:t xml:space="preserve"> on</w:t>
      </w:r>
      <w:r w:rsidR="003E5BFF" w:rsidRPr="5B7F1876">
        <w:rPr>
          <w:rFonts w:cs="Times New Roman"/>
          <w:noProof/>
          <w:lang w:val="en-GB"/>
        </w:rPr>
        <w:t xml:space="preserve"> </w:t>
      </w:r>
      <w:r w:rsidR="00B65056" w:rsidRPr="5B7F1876">
        <w:rPr>
          <w:rFonts w:cs="Times New Roman"/>
          <w:noProof/>
          <w:lang w:val="en-GB"/>
        </w:rPr>
        <w:t xml:space="preserve">designing green strategies under the </w:t>
      </w:r>
      <w:r w:rsidR="00523AA0" w:rsidRPr="5B7F1876">
        <w:rPr>
          <w:rFonts w:cs="Times New Roman"/>
          <w:noProof/>
          <w:lang w:val="en-GB"/>
        </w:rPr>
        <w:t>CAP Plans</w:t>
      </w:r>
      <w:r w:rsidR="00B65056" w:rsidRPr="5B7F1876">
        <w:rPr>
          <w:rFonts w:cs="Times New Roman"/>
          <w:noProof/>
          <w:lang w:val="en-GB"/>
        </w:rPr>
        <w:t>.</w:t>
      </w:r>
    </w:p>
    <w:p w14:paraId="73421111" w14:textId="57CDED6C" w:rsidR="00F5743F" w:rsidRPr="00724676" w:rsidRDefault="00713678" w:rsidP="000C0B2E">
      <w:pPr>
        <w:spacing w:after="120"/>
        <w:jc w:val="both"/>
        <w:rPr>
          <w:rFonts w:cs="Times New Roman"/>
          <w:noProof/>
          <w:szCs w:val="24"/>
          <w:lang w:val="en-GB"/>
        </w:rPr>
      </w:pPr>
      <w:r w:rsidRPr="00724676">
        <w:rPr>
          <w:rFonts w:cs="Times New Roman"/>
          <w:noProof/>
          <w:szCs w:val="24"/>
          <w:lang w:val="en-GB"/>
        </w:rPr>
        <w:t xml:space="preserve">These exchanges serve to </w:t>
      </w:r>
      <w:r w:rsidR="001164D4" w:rsidRPr="00724676">
        <w:rPr>
          <w:rFonts w:cs="Times New Roman"/>
          <w:noProof/>
          <w:szCs w:val="24"/>
          <w:lang w:val="en-GB"/>
        </w:rPr>
        <w:t>identify and share</w:t>
      </w:r>
      <w:r w:rsidR="00C27F98">
        <w:rPr>
          <w:rFonts w:cs="Times New Roman"/>
          <w:noProof/>
          <w:szCs w:val="24"/>
          <w:lang w:val="en-GB"/>
        </w:rPr>
        <w:t>,</w:t>
      </w:r>
      <w:r w:rsidRPr="00724676">
        <w:rPr>
          <w:rFonts w:cs="Times New Roman"/>
          <w:noProof/>
          <w:szCs w:val="24"/>
          <w:lang w:val="en-GB"/>
        </w:rPr>
        <w:t xml:space="preserve"> for example</w:t>
      </w:r>
      <w:r w:rsidR="00C27F98">
        <w:rPr>
          <w:rFonts w:cs="Times New Roman"/>
          <w:noProof/>
          <w:szCs w:val="24"/>
          <w:lang w:val="en-GB"/>
        </w:rPr>
        <w:t>,</w:t>
      </w:r>
      <w:r w:rsidRPr="00724676">
        <w:rPr>
          <w:rFonts w:cs="Times New Roman"/>
          <w:noProof/>
          <w:szCs w:val="24"/>
          <w:lang w:val="en-GB"/>
        </w:rPr>
        <w:t xml:space="preserve"> </w:t>
      </w:r>
      <w:r w:rsidR="001164D4" w:rsidRPr="00724676">
        <w:rPr>
          <w:rFonts w:cs="Times New Roman"/>
          <w:noProof/>
          <w:szCs w:val="24"/>
          <w:lang w:val="en-GB"/>
        </w:rPr>
        <w:t xml:space="preserve">which elements of the </w:t>
      </w:r>
      <w:r w:rsidR="00523AA0">
        <w:rPr>
          <w:rFonts w:cs="Times New Roman"/>
          <w:noProof/>
          <w:szCs w:val="24"/>
          <w:lang w:val="en-GB"/>
        </w:rPr>
        <w:t>CAP Plans</w:t>
      </w:r>
      <w:r w:rsidR="00035EF5" w:rsidRPr="00724676">
        <w:rPr>
          <w:rFonts w:cs="Times New Roman"/>
          <w:noProof/>
          <w:szCs w:val="24"/>
          <w:lang w:val="en-GB"/>
        </w:rPr>
        <w:t xml:space="preserve">’ </w:t>
      </w:r>
      <w:r w:rsidR="001164D4" w:rsidRPr="00724676">
        <w:rPr>
          <w:rFonts w:cs="Times New Roman"/>
          <w:noProof/>
          <w:szCs w:val="24"/>
          <w:lang w:val="en-GB"/>
        </w:rPr>
        <w:t>green architecture were used and how well they work together. This include</w:t>
      </w:r>
      <w:r w:rsidR="005F2D93" w:rsidRPr="00724676">
        <w:rPr>
          <w:rFonts w:cs="Times New Roman"/>
          <w:noProof/>
          <w:szCs w:val="24"/>
          <w:lang w:val="en-GB"/>
        </w:rPr>
        <w:t>s</w:t>
      </w:r>
      <w:r w:rsidR="001164D4" w:rsidRPr="00724676">
        <w:rPr>
          <w:rFonts w:cs="Times New Roman"/>
          <w:noProof/>
          <w:szCs w:val="24"/>
          <w:lang w:val="en-GB"/>
        </w:rPr>
        <w:t xml:space="preserve"> </w:t>
      </w:r>
      <w:r w:rsidR="001164D4" w:rsidRPr="003E7CF4">
        <w:rPr>
          <w:rFonts w:cs="Times New Roman"/>
          <w:b/>
          <w:bCs/>
          <w:noProof/>
          <w:szCs w:val="24"/>
          <w:lang w:val="en-GB"/>
        </w:rPr>
        <w:t>positive experiences and challenges</w:t>
      </w:r>
      <w:r w:rsidR="002E1A77" w:rsidRPr="00724676">
        <w:rPr>
          <w:rFonts w:cs="Times New Roman"/>
          <w:noProof/>
          <w:szCs w:val="24"/>
          <w:lang w:val="en-GB"/>
        </w:rPr>
        <w:t>,</w:t>
      </w:r>
      <w:r w:rsidR="001164D4" w:rsidRPr="00724676" w:rsidDel="00B4428C">
        <w:rPr>
          <w:rFonts w:cs="Times New Roman"/>
          <w:noProof/>
          <w:szCs w:val="24"/>
          <w:lang w:val="en-GB"/>
        </w:rPr>
        <w:t xml:space="preserve"> </w:t>
      </w:r>
      <w:r w:rsidR="00C27F98">
        <w:rPr>
          <w:rFonts w:cs="Times New Roman"/>
          <w:noProof/>
          <w:szCs w:val="24"/>
          <w:lang w:val="en-GB"/>
        </w:rPr>
        <w:t xml:space="preserve">and </w:t>
      </w:r>
      <w:r w:rsidR="001164D4" w:rsidRPr="00724676">
        <w:rPr>
          <w:rFonts w:cs="Times New Roman"/>
          <w:noProof/>
          <w:szCs w:val="24"/>
          <w:lang w:val="en-GB"/>
        </w:rPr>
        <w:t xml:space="preserve">the </w:t>
      </w:r>
      <w:r w:rsidR="001164D4" w:rsidRPr="003E7CF4">
        <w:rPr>
          <w:rFonts w:cs="Times New Roman"/>
          <w:b/>
          <w:bCs/>
          <w:noProof/>
          <w:szCs w:val="24"/>
          <w:lang w:val="en-GB"/>
        </w:rPr>
        <w:t xml:space="preserve">key factors that influenced </w:t>
      </w:r>
      <w:r w:rsidR="00590385" w:rsidRPr="003E7CF4">
        <w:rPr>
          <w:rFonts w:cs="Times New Roman"/>
          <w:b/>
          <w:bCs/>
          <w:noProof/>
          <w:szCs w:val="24"/>
          <w:lang w:val="en-GB"/>
        </w:rPr>
        <w:t>the design</w:t>
      </w:r>
      <w:r w:rsidR="0042105A" w:rsidRPr="00724676">
        <w:rPr>
          <w:rFonts w:cs="Times New Roman"/>
          <w:noProof/>
          <w:szCs w:val="24"/>
          <w:lang w:val="en-GB"/>
        </w:rPr>
        <w:t xml:space="preserve"> </w:t>
      </w:r>
      <w:r w:rsidR="00035EF5" w:rsidRPr="00724676">
        <w:rPr>
          <w:rFonts w:cs="Times New Roman"/>
          <w:noProof/>
          <w:szCs w:val="24"/>
          <w:lang w:val="en-GB"/>
        </w:rPr>
        <w:t xml:space="preserve">of </w:t>
      </w:r>
      <w:r w:rsidR="00523AA0">
        <w:rPr>
          <w:rFonts w:cs="Times New Roman"/>
          <w:noProof/>
          <w:szCs w:val="24"/>
          <w:lang w:val="en-GB"/>
        </w:rPr>
        <w:t>CAP Plans</w:t>
      </w:r>
      <w:r w:rsidR="00035EF5" w:rsidRPr="00724676">
        <w:rPr>
          <w:rFonts w:cs="Times New Roman"/>
          <w:noProof/>
          <w:szCs w:val="24"/>
          <w:lang w:val="en-GB"/>
        </w:rPr>
        <w:t xml:space="preserve"> </w:t>
      </w:r>
      <w:r w:rsidR="001164D4" w:rsidRPr="00724676">
        <w:rPr>
          <w:rFonts w:cs="Times New Roman"/>
          <w:noProof/>
          <w:szCs w:val="24"/>
          <w:lang w:val="en-GB"/>
        </w:rPr>
        <w:t xml:space="preserve">to address </w:t>
      </w:r>
      <w:r w:rsidR="00C27F98" w:rsidRPr="00724676">
        <w:rPr>
          <w:rFonts w:cs="Times New Roman"/>
          <w:noProof/>
          <w:szCs w:val="24"/>
          <w:lang w:val="en-GB"/>
        </w:rPr>
        <w:t>environment</w:t>
      </w:r>
      <w:r w:rsidR="00C27F98">
        <w:rPr>
          <w:rFonts w:cs="Times New Roman"/>
          <w:noProof/>
          <w:szCs w:val="24"/>
          <w:lang w:val="en-GB"/>
        </w:rPr>
        <w:t xml:space="preserve">al </w:t>
      </w:r>
      <w:r w:rsidR="0042105A" w:rsidRPr="00724676">
        <w:rPr>
          <w:rFonts w:cs="Times New Roman"/>
          <w:noProof/>
          <w:szCs w:val="24"/>
          <w:lang w:val="en-GB"/>
        </w:rPr>
        <w:t xml:space="preserve">and climate </w:t>
      </w:r>
      <w:r w:rsidR="001164D4" w:rsidRPr="00724676">
        <w:rPr>
          <w:rFonts w:cs="Times New Roman"/>
          <w:noProof/>
          <w:szCs w:val="24"/>
          <w:lang w:val="en-GB"/>
        </w:rPr>
        <w:t>needs.</w:t>
      </w:r>
      <w:r w:rsidR="004E1FEA" w:rsidRPr="00724676">
        <w:rPr>
          <w:rFonts w:cs="Times New Roman"/>
          <w:noProof/>
          <w:szCs w:val="24"/>
          <w:lang w:val="en-GB"/>
        </w:rPr>
        <w:t xml:space="preserve"> They also </w:t>
      </w:r>
      <w:r w:rsidR="0021472A" w:rsidRPr="00724676">
        <w:rPr>
          <w:rFonts w:cs="Times New Roman"/>
          <w:noProof/>
          <w:szCs w:val="24"/>
          <w:lang w:val="en-GB"/>
        </w:rPr>
        <w:t xml:space="preserve">serve to </w:t>
      </w:r>
      <w:r w:rsidR="004E1FEA" w:rsidRPr="00724676">
        <w:rPr>
          <w:rFonts w:cs="Times New Roman"/>
          <w:noProof/>
          <w:szCs w:val="24"/>
          <w:lang w:val="en-GB"/>
        </w:rPr>
        <w:t>e</w:t>
      </w:r>
      <w:r w:rsidR="001164D4" w:rsidRPr="00724676">
        <w:rPr>
          <w:rFonts w:cs="Times New Roman"/>
          <w:noProof/>
          <w:szCs w:val="24"/>
          <w:lang w:val="en-GB"/>
        </w:rPr>
        <w:t xml:space="preserve">xplore </w:t>
      </w:r>
      <w:r w:rsidR="00C27F98">
        <w:rPr>
          <w:rFonts w:cs="Times New Roman"/>
          <w:noProof/>
          <w:szCs w:val="24"/>
          <w:lang w:val="en-GB"/>
        </w:rPr>
        <w:t xml:space="preserve">the </w:t>
      </w:r>
      <w:r w:rsidR="001164D4" w:rsidRPr="00724676">
        <w:rPr>
          <w:rFonts w:cs="Times New Roman"/>
          <w:noProof/>
          <w:szCs w:val="24"/>
          <w:lang w:val="en-GB"/>
        </w:rPr>
        <w:t xml:space="preserve">different approaches taken with the </w:t>
      </w:r>
      <w:r w:rsidR="00523AA0">
        <w:rPr>
          <w:rFonts w:cs="Times New Roman"/>
          <w:noProof/>
          <w:szCs w:val="24"/>
          <w:lang w:val="en-GB"/>
        </w:rPr>
        <w:t>CAP Plans</w:t>
      </w:r>
      <w:r w:rsidR="001164D4" w:rsidRPr="00724676">
        <w:rPr>
          <w:rFonts w:cs="Times New Roman"/>
          <w:noProof/>
          <w:szCs w:val="24"/>
          <w:lang w:val="en-GB"/>
        </w:rPr>
        <w:t xml:space="preserve"> and how they interact with national funding </w:t>
      </w:r>
      <w:r w:rsidR="004E6D22" w:rsidRPr="00724676">
        <w:rPr>
          <w:rFonts w:cs="Times New Roman"/>
          <w:noProof/>
          <w:szCs w:val="24"/>
          <w:lang w:val="en-GB"/>
        </w:rPr>
        <w:t>opportunities</w:t>
      </w:r>
      <w:r w:rsidR="001164D4" w:rsidRPr="00724676">
        <w:rPr>
          <w:rFonts w:cs="Times New Roman"/>
          <w:noProof/>
          <w:szCs w:val="24"/>
          <w:lang w:val="en-GB"/>
        </w:rPr>
        <w:t>.</w:t>
      </w:r>
      <w:r w:rsidR="00EC6A54" w:rsidRPr="00724676">
        <w:rPr>
          <w:rFonts w:cs="Times New Roman"/>
          <w:noProof/>
          <w:szCs w:val="24"/>
          <w:lang w:val="en-GB"/>
        </w:rPr>
        <w:t xml:space="preserve"> </w:t>
      </w:r>
    </w:p>
    <w:p w14:paraId="71213501" w14:textId="07355B11" w:rsidR="00A44CC9" w:rsidRPr="00724676" w:rsidDel="00DA2639" w:rsidRDefault="0D38809B" w:rsidP="00921335">
      <w:pPr>
        <w:pStyle w:val="NoSpacing"/>
        <w:spacing w:after="120"/>
        <w:rPr>
          <w:noProof/>
          <w:szCs w:val="24"/>
          <w:lang w:val="en-GB"/>
        </w:rPr>
      </w:pPr>
      <w:bookmarkStart w:id="113" w:name="_Toc547515665"/>
      <w:bookmarkStart w:id="114" w:name="_Toc548623203"/>
      <w:bookmarkStart w:id="115" w:name="_Toc1133451385"/>
      <w:bookmarkStart w:id="116" w:name="_Toc167974755"/>
      <w:bookmarkStart w:id="117" w:name="_Toc168422362"/>
      <w:bookmarkStart w:id="118" w:name="_Toc168422667"/>
      <w:bookmarkStart w:id="119" w:name="_Toc169115027"/>
      <w:bookmarkStart w:id="120" w:name="_Toc171106331"/>
      <w:bookmarkStart w:id="121" w:name="_Toc171432242"/>
      <w:bookmarkStart w:id="122" w:name="_Toc171444116"/>
      <w:r w:rsidRPr="00724676">
        <w:rPr>
          <w:rStyle w:val="Style2Char"/>
          <w:rFonts w:eastAsiaTheme="minorEastAsia" w:cs="Times New Roman"/>
          <w:lang w:val="en-GB"/>
        </w:rPr>
        <w:t>S</w:t>
      </w:r>
      <w:r w:rsidRPr="00724676">
        <w:rPr>
          <w:rStyle w:val="Style2Char"/>
          <w:rFonts w:eastAsia="Calibri" w:cs="Times New Roman"/>
          <w:lang w:val="en-GB"/>
        </w:rPr>
        <w:t xml:space="preserve">upport for </w:t>
      </w:r>
      <w:r w:rsidRPr="00724676">
        <w:rPr>
          <w:rStyle w:val="Style2Char"/>
          <w:rFonts w:eastAsia="Calibri" w:cs="Times New Roman"/>
          <w:color w:val="auto"/>
          <w:lang w:val="en-GB"/>
        </w:rPr>
        <w:t>advis</w:t>
      </w:r>
      <w:r w:rsidRPr="00724676">
        <w:rPr>
          <w:rStyle w:val="Style2Char"/>
          <w:rFonts w:eastAsia="Calibri" w:cs="Times New Roman"/>
          <w:lang w:val="en-GB"/>
        </w:rPr>
        <w:t>ory services</w:t>
      </w:r>
      <w:bookmarkEnd w:id="113"/>
      <w:bookmarkEnd w:id="114"/>
      <w:bookmarkEnd w:id="115"/>
      <w:bookmarkEnd w:id="116"/>
      <w:bookmarkEnd w:id="117"/>
      <w:bookmarkEnd w:id="118"/>
      <w:bookmarkEnd w:id="119"/>
      <w:bookmarkEnd w:id="120"/>
      <w:bookmarkEnd w:id="121"/>
      <w:bookmarkEnd w:id="122"/>
      <w:r w:rsidR="412CD206" w:rsidRPr="00724676" w:rsidDel="00EC6A54">
        <w:rPr>
          <w:noProof/>
          <w:szCs w:val="24"/>
          <w:lang w:val="en-GB"/>
        </w:rPr>
        <w:t xml:space="preserve"> </w:t>
      </w:r>
    </w:p>
    <w:p w14:paraId="5F8910D5" w14:textId="7D47EB62" w:rsidR="0036011A" w:rsidRPr="00724676" w:rsidRDefault="67A47DC3" w:rsidP="006D5C9F">
      <w:pPr>
        <w:spacing w:after="120"/>
        <w:jc w:val="both"/>
        <w:rPr>
          <w:rFonts w:eastAsia="Calibri" w:cs="Times New Roman"/>
          <w:noProof/>
          <w:lang w:val="en-GB"/>
        </w:rPr>
      </w:pPr>
      <w:r w:rsidRPr="006A7E54" w:rsidDel="00DA2639">
        <w:rPr>
          <w:rFonts w:eastAsia="Calibri" w:cs="Times New Roman"/>
          <w:noProof/>
          <w:lang w:val="en-GB"/>
        </w:rPr>
        <w:t xml:space="preserve">Knowledge and innovation brought to the field by advisors </w:t>
      </w:r>
      <w:r w:rsidR="009F1B59" w:rsidRPr="006A7E54">
        <w:rPr>
          <w:rFonts w:eastAsia="Calibri" w:cs="Times New Roman"/>
          <w:noProof/>
          <w:lang w:val="en-GB"/>
        </w:rPr>
        <w:t xml:space="preserve">(for example in the context of the EU Soil </w:t>
      </w:r>
      <w:r w:rsidR="00C27F98" w:rsidRPr="006A7E54">
        <w:rPr>
          <w:rFonts w:eastAsia="Calibri" w:cs="Times New Roman"/>
          <w:noProof/>
          <w:lang w:val="en-GB"/>
        </w:rPr>
        <w:t>M</w:t>
      </w:r>
      <w:r w:rsidR="009F1B59" w:rsidRPr="006A7E54">
        <w:rPr>
          <w:rFonts w:eastAsia="Calibri" w:cs="Times New Roman"/>
          <w:noProof/>
          <w:lang w:val="en-GB"/>
        </w:rPr>
        <w:t>ission</w:t>
      </w:r>
      <w:r w:rsidR="009F1B59" w:rsidRPr="003E7CF4">
        <w:rPr>
          <w:rStyle w:val="FootnoteReference"/>
          <w:rFonts w:eastAsia="Calibri" w:cs="Times New Roman"/>
          <w:noProof/>
          <w:lang w:val="en-GB"/>
        </w:rPr>
        <w:footnoteReference w:id="51"/>
      </w:r>
      <w:r w:rsidR="009F1B59" w:rsidRPr="006A7E54">
        <w:rPr>
          <w:rFonts w:eastAsia="Calibri" w:cs="Times New Roman"/>
          <w:noProof/>
          <w:lang w:val="en-GB"/>
        </w:rPr>
        <w:t xml:space="preserve">) </w:t>
      </w:r>
      <w:r w:rsidRPr="006A7E54" w:rsidDel="00DA2639">
        <w:rPr>
          <w:rFonts w:eastAsia="Calibri" w:cs="Times New Roman"/>
          <w:noProof/>
          <w:lang w:val="en-GB"/>
        </w:rPr>
        <w:t xml:space="preserve">play a crucial role in helping farmers, foresters and rural communities make the </w:t>
      </w:r>
      <w:r w:rsidR="00C27F98" w:rsidRPr="006A7E54">
        <w:rPr>
          <w:rFonts w:eastAsia="Calibri" w:cs="Times New Roman"/>
          <w:noProof/>
          <w:lang w:val="en-GB"/>
        </w:rPr>
        <w:t xml:space="preserve">necessary transition to </w:t>
      </w:r>
      <w:r w:rsidR="005A2774" w:rsidRPr="006A7E54">
        <w:rPr>
          <w:rFonts w:eastAsia="Calibri" w:cs="Times New Roman"/>
          <w:noProof/>
          <w:lang w:val="en-GB"/>
        </w:rPr>
        <w:t>sustainability</w:t>
      </w:r>
      <w:r w:rsidR="00C97B77" w:rsidRPr="006A7E54">
        <w:rPr>
          <w:rFonts w:eastAsia="Calibri" w:cs="Times New Roman"/>
          <w:noProof/>
          <w:lang w:val="en-GB"/>
        </w:rPr>
        <w:t>.</w:t>
      </w:r>
      <w:r w:rsidRPr="006A7E54" w:rsidDel="00DA2639">
        <w:rPr>
          <w:rFonts w:eastAsia="Calibri" w:cs="Times New Roman"/>
          <w:noProof/>
          <w:lang w:val="en-GB"/>
        </w:rPr>
        <w:t xml:space="preserve"> If advisory services are poorly </w:t>
      </w:r>
      <w:r w:rsidR="66C4E2F9" w:rsidRPr="006A7E54">
        <w:rPr>
          <w:rFonts w:eastAsia="Calibri" w:cs="Times New Roman"/>
          <w:noProof/>
          <w:lang w:val="en-GB"/>
        </w:rPr>
        <w:t>organised</w:t>
      </w:r>
      <w:r w:rsidRPr="006A7E54" w:rsidDel="00DA2639">
        <w:rPr>
          <w:rFonts w:eastAsia="Calibri" w:cs="Times New Roman"/>
          <w:noProof/>
          <w:lang w:val="en-GB"/>
        </w:rPr>
        <w:t>, insufficiently</w:t>
      </w:r>
      <w:r w:rsidRPr="5B7F1876" w:rsidDel="00DA2639">
        <w:rPr>
          <w:rFonts w:eastAsia="Calibri" w:cs="Times New Roman"/>
          <w:noProof/>
          <w:lang w:val="en-GB"/>
        </w:rPr>
        <w:t xml:space="preserve"> targeted, or overly bureaucratic, they may present more challenges than solutions. </w:t>
      </w:r>
      <w:r w:rsidR="00C27F98" w:rsidRPr="5B7F1876">
        <w:rPr>
          <w:rFonts w:eastAsia="Calibri" w:cs="Times New Roman"/>
          <w:noProof/>
          <w:lang w:val="en-GB"/>
        </w:rPr>
        <w:t>These circumstances may contribute to t</w:t>
      </w:r>
      <w:r w:rsidRPr="5B7F1876" w:rsidDel="00DA2639">
        <w:rPr>
          <w:rFonts w:eastAsia="Calibri" w:cs="Times New Roman"/>
          <w:noProof/>
          <w:lang w:val="en-GB"/>
        </w:rPr>
        <w:t xml:space="preserve">he low uptake by farmers of measures </w:t>
      </w:r>
      <w:r w:rsidR="00C27F98" w:rsidRPr="5B7F1876">
        <w:rPr>
          <w:rFonts w:eastAsia="Calibri" w:cs="Times New Roman"/>
          <w:noProof/>
          <w:lang w:val="en-GB"/>
        </w:rPr>
        <w:t xml:space="preserve">to improve knowledge </w:t>
      </w:r>
      <w:r w:rsidR="00115010" w:rsidRPr="5B7F1876">
        <w:rPr>
          <w:rFonts w:eastAsia="Calibri" w:cs="Times New Roman"/>
          <w:noProof/>
          <w:lang w:val="en-GB"/>
        </w:rPr>
        <w:t xml:space="preserve">and may </w:t>
      </w:r>
      <w:r w:rsidR="00C27F98" w:rsidRPr="5B7F1876">
        <w:rPr>
          <w:rFonts w:eastAsia="Calibri" w:cs="Times New Roman"/>
          <w:noProof/>
          <w:lang w:val="en-GB"/>
        </w:rPr>
        <w:t xml:space="preserve">have an </w:t>
      </w:r>
      <w:r w:rsidR="00115010" w:rsidRPr="5B7F1876">
        <w:rPr>
          <w:rFonts w:eastAsia="Calibri" w:cs="Times New Roman"/>
          <w:noProof/>
          <w:lang w:val="en-GB"/>
        </w:rPr>
        <w:t>impact</w:t>
      </w:r>
      <w:r w:rsidR="00C27F98" w:rsidRPr="5B7F1876">
        <w:rPr>
          <w:rFonts w:eastAsia="Calibri" w:cs="Times New Roman"/>
          <w:noProof/>
          <w:lang w:val="en-GB"/>
        </w:rPr>
        <w:t>,</w:t>
      </w:r>
      <w:r w:rsidR="00115010" w:rsidRPr="5B7F1876">
        <w:rPr>
          <w:rFonts w:eastAsia="Calibri" w:cs="Times New Roman"/>
          <w:noProof/>
          <w:lang w:val="en-GB"/>
        </w:rPr>
        <w:t xml:space="preserve"> for example</w:t>
      </w:r>
      <w:r w:rsidR="00C27F98" w:rsidRPr="5B7F1876">
        <w:rPr>
          <w:rFonts w:eastAsia="Calibri" w:cs="Times New Roman"/>
          <w:noProof/>
          <w:lang w:val="en-GB"/>
        </w:rPr>
        <w:t>, on</w:t>
      </w:r>
      <w:r w:rsidR="00115010" w:rsidRPr="5B7F1876">
        <w:rPr>
          <w:rFonts w:eastAsia="Calibri" w:cs="Times New Roman"/>
          <w:noProof/>
          <w:lang w:val="en-GB"/>
        </w:rPr>
        <w:t xml:space="preserve"> the rate </w:t>
      </w:r>
      <w:r w:rsidR="00C27F98" w:rsidRPr="5B7F1876">
        <w:rPr>
          <w:rFonts w:eastAsia="Calibri" w:cs="Times New Roman"/>
          <w:noProof/>
          <w:lang w:val="en-GB"/>
        </w:rPr>
        <w:t xml:space="preserve">of </w:t>
      </w:r>
      <w:r w:rsidR="00115010" w:rsidRPr="5B7F1876">
        <w:rPr>
          <w:rFonts w:eastAsia="Calibri" w:cs="Times New Roman"/>
          <w:noProof/>
          <w:lang w:val="en-GB"/>
        </w:rPr>
        <w:t>adoption of sustainable practices, whether or not supported under the CAP</w:t>
      </w:r>
      <w:r w:rsidRPr="5B7F1876" w:rsidDel="00DA2639">
        <w:rPr>
          <w:rFonts w:eastAsia="Calibri" w:cs="Times New Roman"/>
          <w:noProof/>
          <w:lang w:val="en-GB"/>
        </w:rPr>
        <w:t xml:space="preserve">. </w:t>
      </w:r>
      <w:r w:rsidR="00F04B29" w:rsidRPr="5B7F1876">
        <w:rPr>
          <w:rFonts w:eastAsia="Calibri" w:cs="Times New Roman"/>
          <w:noProof/>
          <w:lang w:val="en-GB"/>
        </w:rPr>
        <w:t>I</w:t>
      </w:r>
      <w:r w:rsidRPr="5B7F1876" w:rsidDel="00DA2639">
        <w:rPr>
          <w:rFonts w:eastAsia="Calibri" w:cs="Times New Roman"/>
          <w:noProof/>
          <w:lang w:val="en-GB"/>
        </w:rPr>
        <w:t>t is</w:t>
      </w:r>
      <w:r w:rsidR="00F04B29" w:rsidRPr="5B7F1876">
        <w:rPr>
          <w:rFonts w:eastAsia="Calibri" w:cs="Times New Roman"/>
          <w:noProof/>
          <w:lang w:val="en-GB"/>
        </w:rPr>
        <w:t xml:space="preserve"> therefore</w:t>
      </w:r>
      <w:r w:rsidRPr="5B7F1876" w:rsidDel="00DA2639">
        <w:rPr>
          <w:rFonts w:eastAsia="Calibri" w:cs="Times New Roman"/>
          <w:noProof/>
          <w:lang w:val="en-GB"/>
        </w:rPr>
        <w:t xml:space="preserve"> essential that advisory services are </w:t>
      </w:r>
      <w:r w:rsidR="125EB915" w:rsidRPr="5B7F1876">
        <w:rPr>
          <w:rFonts w:eastAsia="Calibri" w:cs="Times New Roman"/>
          <w:noProof/>
          <w:lang w:val="en-GB"/>
        </w:rPr>
        <w:t>impartial, competent</w:t>
      </w:r>
      <w:r w:rsidR="008311FC" w:rsidRPr="5B7F1876">
        <w:rPr>
          <w:rFonts w:eastAsia="Calibri" w:cs="Times New Roman"/>
          <w:noProof/>
          <w:lang w:val="en-GB"/>
        </w:rPr>
        <w:t>,</w:t>
      </w:r>
      <w:r w:rsidRPr="5B7F1876" w:rsidDel="00DA2639">
        <w:rPr>
          <w:rFonts w:eastAsia="Calibri" w:cs="Times New Roman"/>
          <w:noProof/>
          <w:lang w:val="en-GB"/>
        </w:rPr>
        <w:t xml:space="preserve"> and </w:t>
      </w:r>
      <w:r w:rsidR="003C7648" w:rsidRPr="5B7F1876">
        <w:rPr>
          <w:rFonts w:eastAsia="Calibri" w:cs="Times New Roman"/>
          <w:noProof/>
          <w:lang w:val="en-GB"/>
        </w:rPr>
        <w:t xml:space="preserve">able to </w:t>
      </w:r>
      <w:r w:rsidR="78693EBB" w:rsidRPr="5B7F1876">
        <w:rPr>
          <w:rFonts w:eastAsia="Calibri" w:cs="Times New Roman"/>
          <w:noProof/>
          <w:lang w:val="en-GB"/>
        </w:rPr>
        <w:t xml:space="preserve">provide </w:t>
      </w:r>
      <w:r w:rsidRPr="5B7F1876" w:rsidDel="00123D29">
        <w:rPr>
          <w:rFonts w:eastAsia="Calibri" w:cs="Times New Roman"/>
          <w:noProof/>
          <w:lang w:val="en-GB"/>
        </w:rPr>
        <w:t>well</w:t>
      </w:r>
      <w:r w:rsidR="00123D29" w:rsidRPr="5B7F1876" w:rsidDel="00DA2639">
        <w:rPr>
          <w:rFonts w:eastAsia="Calibri" w:cs="Times New Roman"/>
          <w:noProof/>
          <w:lang w:val="en-GB"/>
        </w:rPr>
        <w:t>-tailored</w:t>
      </w:r>
      <w:r w:rsidR="4E71DF0B" w:rsidRPr="5B7F1876">
        <w:rPr>
          <w:rFonts w:eastAsia="Calibri" w:cs="Times New Roman"/>
          <w:noProof/>
          <w:lang w:val="en-GB"/>
        </w:rPr>
        <w:t xml:space="preserve"> advice</w:t>
      </w:r>
      <w:r w:rsidRPr="5B7F1876" w:rsidDel="00DA2639">
        <w:rPr>
          <w:rFonts w:eastAsia="Calibri" w:cs="Times New Roman"/>
          <w:noProof/>
          <w:lang w:val="en-GB"/>
        </w:rPr>
        <w:t>, i.e.</w:t>
      </w:r>
      <w:r w:rsidR="003C7648" w:rsidRPr="5B7F1876">
        <w:rPr>
          <w:rFonts w:eastAsia="Calibri" w:cs="Times New Roman"/>
          <w:noProof/>
          <w:lang w:val="en-GB"/>
        </w:rPr>
        <w:t xml:space="preserve"> they should be </w:t>
      </w:r>
      <w:r w:rsidRPr="5B7F1876" w:rsidDel="00DA2639">
        <w:rPr>
          <w:rFonts w:eastAsia="Calibri" w:cs="Times New Roman"/>
          <w:noProof/>
          <w:lang w:val="en-GB"/>
        </w:rPr>
        <w:t xml:space="preserve">easily accessible, respond to the specific needs of farmers and not </w:t>
      </w:r>
      <w:r w:rsidR="003C7648" w:rsidRPr="5B7F1876">
        <w:rPr>
          <w:rFonts w:eastAsia="Calibri" w:cs="Times New Roman"/>
          <w:noProof/>
          <w:lang w:val="en-GB"/>
        </w:rPr>
        <w:t>impose another</w:t>
      </w:r>
      <w:r w:rsidRPr="5B7F1876" w:rsidDel="00DA2639">
        <w:rPr>
          <w:rFonts w:eastAsia="Calibri" w:cs="Times New Roman"/>
          <w:noProof/>
          <w:lang w:val="en-GB"/>
        </w:rPr>
        <w:t xml:space="preserve"> administrative burden on them</w:t>
      </w:r>
      <w:r w:rsidR="30773C17" w:rsidRPr="5B7F1876" w:rsidDel="00DA2639">
        <w:rPr>
          <w:rFonts w:eastAsia="Calibri" w:cs="Times New Roman"/>
          <w:noProof/>
          <w:lang w:val="en-GB"/>
        </w:rPr>
        <w:t xml:space="preserve">. </w:t>
      </w:r>
    </w:p>
    <w:p w14:paraId="42BC6E2B" w14:textId="5270BD2A" w:rsidR="00261DD7" w:rsidRPr="00724676" w:rsidRDefault="00F13D54" w:rsidP="006807F6">
      <w:pPr>
        <w:spacing w:after="120"/>
        <w:jc w:val="both"/>
        <w:rPr>
          <w:rFonts w:eastAsiaTheme="majorEastAsia" w:cstheme="majorBidi"/>
          <w:b/>
          <w:noProof/>
          <w:szCs w:val="26"/>
          <w:lang w:val="en-GB"/>
        </w:rPr>
      </w:pPr>
      <w:r w:rsidRPr="2E1D0E0E">
        <w:rPr>
          <w:rFonts w:eastAsia="Calibri" w:cs="Times New Roman"/>
          <w:noProof/>
          <w:lang w:val="en-GB"/>
        </w:rPr>
        <w:t>On 12 April 2024, t</w:t>
      </w:r>
      <w:r w:rsidR="18E1BE82" w:rsidRPr="2E1D0E0E">
        <w:rPr>
          <w:rFonts w:eastAsia="Calibri" w:cs="Times New Roman"/>
          <w:noProof/>
          <w:lang w:val="en-GB"/>
        </w:rPr>
        <w:t xml:space="preserve">he Commission </w:t>
      </w:r>
      <w:r w:rsidR="7464681A" w:rsidRPr="2E1D0E0E">
        <w:rPr>
          <w:rFonts w:eastAsia="Calibri" w:cs="Times New Roman"/>
          <w:noProof/>
          <w:lang w:val="en-GB"/>
        </w:rPr>
        <w:t xml:space="preserve">sent </w:t>
      </w:r>
      <w:r w:rsidR="18E1BE82" w:rsidRPr="2E1D0E0E">
        <w:rPr>
          <w:rFonts w:eastAsia="Calibri" w:cs="Times New Roman"/>
          <w:noProof/>
          <w:lang w:val="en-GB"/>
        </w:rPr>
        <w:t xml:space="preserve">a note </w:t>
      </w:r>
      <w:r w:rsidR="69F0676F" w:rsidRPr="2E1D0E0E">
        <w:rPr>
          <w:rFonts w:eastAsia="Calibri" w:cs="Times New Roman"/>
          <w:noProof/>
          <w:lang w:val="en-GB"/>
        </w:rPr>
        <w:t xml:space="preserve">to </w:t>
      </w:r>
      <w:r w:rsidR="18E1BE82" w:rsidRPr="2E1D0E0E">
        <w:rPr>
          <w:rFonts w:eastAsia="Calibri" w:cs="Times New Roman"/>
          <w:noProof/>
          <w:lang w:val="en-GB"/>
        </w:rPr>
        <w:t>Member States propos</w:t>
      </w:r>
      <w:r w:rsidR="5ACF0D5A" w:rsidRPr="2E1D0E0E">
        <w:rPr>
          <w:rFonts w:eastAsia="Calibri" w:cs="Times New Roman"/>
          <w:noProof/>
          <w:lang w:val="en-GB"/>
        </w:rPr>
        <w:t xml:space="preserve">ing actions </w:t>
      </w:r>
      <w:r w:rsidR="00781161" w:rsidRPr="2E1D0E0E">
        <w:rPr>
          <w:rFonts w:eastAsia="Calibri" w:cs="Times New Roman"/>
          <w:noProof/>
          <w:lang w:val="en-GB"/>
        </w:rPr>
        <w:t>that would</w:t>
      </w:r>
      <w:r w:rsidR="00781161" w:rsidRPr="2E1D0E0E">
        <w:rPr>
          <w:rFonts w:eastAsia="Times New Roman" w:cs="Times New Roman"/>
          <w:noProof/>
          <w:lang w:val="en-GB"/>
        </w:rPr>
        <w:t xml:space="preserve"> </w:t>
      </w:r>
      <w:r w:rsidR="5ACF0D5A" w:rsidRPr="2E1D0E0E">
        <w:rPr>
          <w:rFonts w:eastAsia="Times New Roman" w:cs="Times New Roman"/>
          <w:noProof/>
          <w:lang w:val="en-GB"/>
        </w:rPr>
        <w:t xml:space="preserve">encourage </w:t>
      </w:r>
      <w:r w:rsidR="0076387C" w:rsidRPr="2E1D0E0E">
        <w:rPr>
          <w:rFonts w:eastAsia="Times New Roman" w:cs="Times New Roman"/>
          <w:noProof/>
          <w:lang w:val="en-GB"/>
        </w:rPr>
        <w:t>them</w:t>
      </w:r>
      <w:r w:rsidR="5ACF0D5A" w:rsidRPr="2E1D0E0E">
        <w:rPr>
          <w:rFonts w:eastAsia="Times New Roman" w:cs="Times New Roman"/>
          <w:noProof/>
          <w:lang w:val="en-GB"/>
        </w:rPr>
        <w:t xml:space="preserve"> to </w:t>
      </w:r>
      <w:r w:rsidR="00781161" w:rsidRPr="2E1D0E0E">
        <w:rPr>
          <w:rFonts w:eastAsia="Times New Roman" w:cs="Times New Roman"/>
          <w:noProof/>
          <w:lang w:val="en-GB"/>
        </w:rPr>
        <w:t xml:space="preserve">strengthen </w:t>
      </w:r>
      <w:r w:rsidR="5ACF0D5A" w:rsidRPr="2E1D0E0E">
        <w:rPr>
          <w:rFonts w:eastAsia="Times New Roman" w:cs="Times New Roman"/>
          <w:noProof/>
          <w:lang w:val="en-GB"/>
        </w:rPr>
        <w:t>the role of advisory services</w:t>
      </w:r>
      <w:r w:rsidR="5ACF0D5A" w:rsidRPr="00724676">
        <w:rPr>
          <w:noProof/>
          <w:lang w:val="en-GB"/>
        </w:rPr>
        <w:t xml:space="preserve"> </w:t>
      </w:r>
      <w:r w:rsidR="00393EBD" w:rsidRPr="2E1D0E0E">
        <w:rPr>
          <w:rFonts w:cs="Times New Roman"/>
          <w:b/>
          <w:noProof/>
          <w:lang w:val="en-GB"/>
        </w:rPr>
        <w:t>t</w:t>
      </w:r>
      <w:r w:rsidR="00005901" w:rsidRPr="2E1D0E0E">
        <w:rPr>
          <w:rFonts w:cs="Times New Roman"/>
          <w:b/>
          <w:noProof/>
          <w:lang w:val="en-GB"/>
        </w:rPr>
        <w:t>o include and support all impartial advisors</w:t>
      </w:r>
      <w:r w:rsidR="00005901" w:rsidRPr="2E1D0E0E">
        <w:rPr>
          <w:rFonts w:cs="Times New Roman"/>
          <w:noProof/>
          <w:lang w:val="en-GB"/>
        </w:rPr>
        <w:t xml:space="preserve">, </w:t>
      </w:r>
      <w:r w:rsidR="00454F35" w:rsidRPr="2E1D0E0E">
        <w:rPr>
          <w:rFonts w:cs="Times New Roman"/>
          <w:noProof/>
          <w:lang w:val="en-GB"/>
        </w:rPr>
        <w:t xml:space="preserve">both </w:t>
      </w:r>
      <w:r w:rsidR="00005901" w:rsidRPr="2E1D0E0E">
        <w:rPr>
          <w:rFonts w:cs="Times New Roman"/>
          <w:noProof/>
          <w:lang w:val="en-GB"/>
        </w:rPr>
        <w:t xml:space="preserve">public and private, and integrate them into their </w:t>
      </w:r>
      <w:r w:rsidR="00F95A13" w:rsidRPr="2E1D0E0E">
        <w:rPr>
          <w:rFonts w:cs="Times New Roman"/>
          <w:noProof/>
          <w:lang w:val="en-GB"/>
        </w:rPr>
        <w:t>Agricultural Knowledge and Innovation System (</w:t>
      </w:r>
      <w:r w:rsidR="00005901" w:rsidRPr="2E1D0E0E">
        <w:rPr>
          <w:rFonts w:cs="Times New Roman"/>
          <w:noProof/>
          <w:lang w:val="en-GB"/>
        </w:rPr>
        <w:t>AKIS</w:t>
      </w:r>
      <w:r w:rsidR="00F95A13" w:rsidRPr="2E1D0E0E">
        <w:rPr>
          <w:rFonts w:cs="Times New Roman"/>
          <w:noProof/>
          <w:lang w:val="en-GB"/>
        </w:rPr>
        <w:t xml:space="preserve">). </w:t>
      </w:r>
      <w:r w:rsidR="003A7584" w:rsidRPr="2E1D0E0E">
        <w:rPr>
          <w:rFonts w:cs="Times New Roman"/>
          <w:noProof/>
          <w:lang w:val="en-GB"/>
        </w:rPr>
        <w:t xml:space="preserve">A </w:t>
      </w:r>
      <w:r w:rsidR="003A7584" w:rsidRPr="2E1D0E0E">
        <w:rPr>
          <w:rFonts w:cs="Times New Roman"/>
          <w:b/>
          <w:noProof/>
          <w:lang w:val="en-GB"/>
        </w:rPr>
        <w:t>national public database of all impartial advisors</w:t>
      </w:r>
      <w:r w:rsidR="003A7584" w:rsidRPr="2E1D0E0E">
        <w:rPr>
          <w:rFonts w:cs="Times New Roman"/>
          <w:noProof/>
          <w:lang w:val="en-GB"/>
        </w:rPr>
        <w:t xml:space="preserve"> </w:t>
      </w:r>
      <w:r w:rsidR="00AD73A9" w:rsidRPr="2E1D0E0E">
        <w:rPr>
          <w:rFonts w:cs="Times New Roman"/>
          <w:noProof/>
          <w:lang w:val="en-GB"/>
        </w:rPr>
        <w:t>can provide</w:t>
      </w:r>
      <w:r w:rsidR="003A7584" w:rsidRPr="2E1D0E0E">
        <w:rPr>
          <w:rFonts w:cs="Times New Roman"/>
          <w:noProof/>
          <w:lang w:val="en-GB"/>
        </w:rPr>
        <w:t xml:space="preserve"> a transparent </w:t>
      </w:r>
      <w:r w:rsidR="00AD73A9" w:rsidRPr="00EE5C3E">
        <w:rPr>
          <w:rFonts w:cs="Times New Roman"/>
          <w:noProof/>
          <w:lang w:val="en-GB"/>
        </w:rPr>
        <w:t>over</w:t>
      </w:r>
      <w:r w:rsidR="003A7584" w:rsidRPr="00EE5C3E">
        <w:rPr>
          <w:rFonts w:cs="Times New Roman"/>
          <w:noProof/>
          <w:lang w:val="en-GB"/>
        </w:rPr>
        <w:t xml:space="preserve">view on which advisors are available, </w:t>
      </w:r>
      <w:r w:rsidR="00FD5A2F" w:rsidRPr="00EE5C3E">
        <w:rPr>
          <w:rFonts w:cs="Times New Roman"/>
          <w:noProof/>
          <w:lang w:val="en-GB"/>
        </w:rPr>
        <w:t>on</w:t>
      </w:r>
      <w:r w:rsidR="003A7584" w:rsidRPr="00EE5C3E">
        <w:rPr>
          <w:rFonts w:cs="Times New Roman"/>
          <w:noProof/>
          <w:lang w:val="en-GB"/>
        </w:rPr>
        <w:t xml:space="preserve"> their experience and education, and their expertise. Such </w:t>
      </w:r>
      <w:r w:rsidR="00AD73A9" w:rsidRPr="00EE5C3E">
        <w:rPr>
          <w:rFonts w:cs="Times New Roman"/>
          <w:noProof/>
          <w:lang w:val="en-GB"/>
        </w:rPr>
        <w:t xml:space="preserve">a </w:t>
      </w:r>
      <w:r w:rsidR="003A7584" w:rsidRPr="00EE5C3E">
        <w:rPr>
          <w:rFonts w:cs="Times New Roman"/>
          <w:noProof/>
          <w:lang w:val="en-GB"/>
        </w:rPr>
        <w:t>database gives farmers the freedom to choose their advisor based on</w:t>
      </w:r>
      <w:r w:rsidR="008124AA" w:rsidRPr="00EE5C3E">
        <w:rPr>
          <w:rFonts w:cs="Times New Roman"/>
          <w:noProof/>
          <w:lang w:val="en-GB"/>
        </w:rPr>
        <w:t xml:space="preserve"> objective </w:t>
      </w:r>
      <w:r w:rsidR="00F44D7A" w:rsidRPr="00EE5C3E">
        <w:rPr>
          <w:rFonts w:cs="Times New Roman"/>
          <w:noProof/>
          <w:lang w:val="en-GB"/>
        </w:rPr>
        <w:t>information and</w:t>
      </w:r>
      <w:r w:rsidR="008124AA" w:rsidRPr="00EE5C3E">
        <w:rPr>
          <w:rFonts w:cs="Times New Roman"/>
          <w:noProof/>
          <w:lang w:val="en-GB"/>
        </w:rPr>
        <w:t xml:space="preserve"> ensures the highest possible impact of the CAP funding invested in </w:t>
      </w:r>
      <w:r w:rsidR="00AD73A9" w:rsidRPr="00EE5C3E">
        <w:rPr>
          <w:rFonts w:cs="Times New Roman"/>
          <w:noProof/>
          <w:lang w:val="en-GB"/>
        </w:rPr>
        <w:t xml:space="preserve">providing </w:t>
      </w:r>
      <w:r w:rsidR="008124AA" w:rsidRPr="00EE5C3E">
        <w:rPr>
          <w:rFonts w:cs="Times New Roman"/>
          <w:noProof/>
          <w:lang w:val="en-GB"/>
        </w:rPr>
        <w:t>advice</w:t>
      </w:r>
      <w:r w:rsidR="008124AA" w:rsidRPr="00406DFD">
        <w:rPr>
          <w:rFonts w:cs="Times New Roman"/>
          <w:noProof/>
          <w:lang w:val="en-GB"/>
        </w:rPr>
        <w:t xml:space="preserve">. </w:t>
      </w:r>
      <w:r w:rsidR="1F18F6C3" w:rsidRPr="00EE5C3E">
        <w:rPr>
          <w:rFonts w:cs="Times New Roman"/>
          <w:noProof/>
          <w:lang w:val="en-GB"/>
        </w:rPr>
        <w:t>This approach</w:t>
      </w:r>
      <w:r w:rsidR="008124AA" w:rsidRPr="00406DFD">
        <w:rPr>
          <w:rFonts w:cs="Times New Roman"/>
          <w:noProof/>
          <w:lang w:val="en-GB"/>
        </w:rPr>
        <w:t xml:space="preserve"> will help</w:t>
      </w:r>
      <w:r w:rsidR="008124AA" w:rsidRPr="00EE5C3E">
        <w:rPr>
          <w:rFonts w:cs="Times New Roman"/>
          <w:noProof/>
          <w:lang w:val="en-GB"/>
        </w:rPr>
        <w:t xml:space="preserve"> single out the</w:t>
      </w:r>
      <w:r w:rsidR="008124AA" w:rsidRPr="2E1D0E0E">
        <w:rPr>
          <w:rFonts w:cs="Times New Roman"/>
          <w:noProof/>
          <w:lang w:val="en-GB"/>
        </w:rPr>
        <w:t xml:space="preserve"> best impartial advisors, </w:t>
      </w:r>
      <w:r w:rsidR="00AD73A9" w:rsidRPr="2E1D0E0E">
        <w:rPr>
          <w:rFonts w:cs="Times New Roman"/>
          <w:noProof/>
          <w:lang w:val="en-GB"/>
        </w:rPr>
        <w:t xml:space="preserve">who are </w:t>
      </w:r>
      <w:r w:rsidR="008124AA" w:rsidRPr="2E1D0E0E">
        <w:rPr>
          <w:rFonts w:cs="Times New Roman"/>
          <w:noProof/>
          <w:lang w:val="en-GB"/>
        </w:rPr>
        <w:t>most appreciated by farmers.</w:t>
      </w:r>
    </w:p>
    <w:p w14:paraId="7F53C8CB" w14:textId="1F61F5F9" w:rsidR="003F3A4D" w:rsidRPr="00724676" w:rsidRDefault="00E14FD2" w:rsidP="006807F6">
      <w:pPr>
        <w:pStyle w:val="Heading2"/>
        <w:spacing w:before="240"/>
        <w:rPr>
          <w:noProof/>
          <w:lang w:val="en-GB"/>
        </w:rPr>
      </w:pPr>
      <w:bookmarkStart w:id="123" w:name="_Toc172125132"/>
      <w:r w:rsidRPr="00724676">
        <w:rPr>
          <w:noProof/>
          <w:lang w:val="en-GB"/>
        </w:rPr>
        <w:t>5.</w:t>
      </w:r>
      <w:r w:rsidR="007F6553" w:rsidRPr="00724676">
        <w:rPr>
          <w:noProof/>
          <w:lang w:val="en-GB"/>
        </w:rPr>
        <w:t xml:space="preserve">5 </w:t>
      </w:r>
      <w:r w:rsidRPr="00724676">
        <w:rPr>
          <w:noProof/>
          <w:lang w:val="en-GB"/>
        </w:rPr>
        <w:t>Elements outside the CAP</w:t>
      </w:r>
      <w:bookmarkEnd w:id="123"/>
      <w:r w:rsidRPr="00724676">
        <w:rPr>
          <w:noProof/>
          <w:lang w:val="en-GB"/>
        </w:rPr>
        <w:t xml:space="preserve"> </w:t>
      </w:r>
    </w:p>
    <w:p w14:paraId="7A67016C" w14:textId="7BB54437" w:rsidR="00844C64" w:rsidRPr="00724676" w:rsidRDefault="0041442F" w:rsidP="00A95DF5">
      <w:pPr>
        <w:pStyle w:val="NoSpacing"/>
        <w:spacing w:before="240" w:after="120"/>
        <w:jc w:val="both"/>
        <w:rPr>
          <w:rFonts w:cs="Times New Roman"/>
          <w:noProof/>
          <w:lang w:val="en-GB"/>
        </w:rPr>
      </w:pPr>
      <w:bookmarkStart w:id="124" w:name="_Toc168422364"/>
      <w:bookmarkStart w:id="125" w:name="_Toc168422669"/>
      <w:r w:rsidRPr="00724676">
        <w:rPr>
          <w:rFonts w:cs="Times New Roman"/>
          <w:b/>
          <w:noProof/>
          <w:szCs w:val="24"/>
          <w:lang w:val="en-GB"/>
        </w:rPr>
        <w:t xml:space="preserve">Use </w:t>
      </w:r>
      <w:r w:rsidR="00ED202C" w:rsidRPr="00724676">
        <w:rPr>
          <w:rFonts w:cs="Times New Roman"/>
          <w:b/>
          <w:bCs/>
          <w:noProof/>
          <w:szCs w:val="24"/>
          <w:lang w:val="en-GB"/>
        </w:rPr>
        <w:t xml:space="preserve">of </w:t>
      </w:r>
      <w:r w:rsidRPr="00724676">
        <w:rPr>
          <w:rFonts w:cs="Times New Roman"/>
          <w:b/>
          <w:bCs/>
          <w:noProof/>
          <w:szCs w:val="24"/>
          <w:lang w:val="en-GB"/>
        </w:rPr>
        <w:t xml:space="preserve">remote sensing services </w:t>
      </w:r>
      <w:r w:rsidR="008D3040" w:rsidRPr="00724676">
        <w:rPr>
          <w:rFonts w:cs="Times New Roman"/>
          <w:b/>
          <w:bCs/>
          <w:noProof/>
          <w:szCs w:val="24"/>
          <w:lang w:val="en-GB"/>
        </w:rPr>
        <w:t>according to</w:t>
      </w:r>
      <w:r w:rsidRPr="00724676">
        <w:rPr>
          <w:rFonts w:cs="Times New Roman"/>
          <w:b/>
          <w:bCs/>
          <w:noProof/>
          <w:szCs w:val="24"/>
          <w:lang w:val="en-GB"/>
        </w:rPr>
        <w:t xml:space="preserve"> </w:t>
      </w:r>
      <w:r w:rsidR="00D93FEE" w:rsidRPr="00724676">
        <w:rPr>
          <w:rFonts w:cs="Times New Roman"/>
          <w:b/>
          <w:bCs/>
          <w:noProof/>
          <w:szCs w:val="24"/>
          <w:lang w:val="en-GB"/>
        </w:rPr>
        <w:t xml:space="preserve">the </w:t>
      </w:r>
      <w:r w:rsidRPr="00724676">
        <w:rPr>
          <w:rFonts w:cs="Times New Roman"/>
          <w:b/>
          <w:bCs/>
          <w:noProof/>
          <w:szCs w:val="24"/>
          <w:lang w:val="en-GB"/>
        </w:rPr>
        <w:t>proposed Soil Monitoring and Forest Monitoring Law</w:t>
      </w:r>
      <w:r w:rsidR="008D3040" w:rsidRPr="00724676">
        <w:rPr>
          <w:rFonts w:cs="Times New Roman"/>
          <w:b/>
          <w:bCs/>
          <w:noProof/>
          <w:szCs w:val="24"/>
          <w:lang w:val="en-GB"/>
        </w:rPr>
        <w:t>s</w:t>
      </w:r>
      <w:bookmarkEnd w:id="124"/>
      <w:bookmarkEnd w:id="125"/>
    </w:p>
    <w:p w14:paraId="1E8A9F55" w14:textId="075901B3" w:rsidR="00CD3658" w:rsidRPr="007E24C9" w:rsidRDefault="002D5FAC" w:rsidP="00D30AE7">
      <w:pPr>
        <w:pStyle w:val="NoSpacing"/>
        <w:spacing w:before="120" w:line="259" w:lineRule="auto"/>
        <w:jc w:val="both"/>
        <w:rPr>
          <w:rFonts w:cs="Times New Roman"/>
          <w:noProof/>
          <w:lang w:val="en-GB"/>
        </w:rPr>
      </w:pPr>
      <w:bookmarkStart w:id="126" w:name="_Toc171104895"/>
      <w:bookmarkStart w:id="127" w:name="_Toc169115029"/>
      <w:r w:rsidRPr="00FF77A3">
        <w:rPr>
          <w:rFonts w:cs="Times New Roman"/>
          <w:noProof/>
          <w:lang w:val="en-GB"/>
        </w:rPr>
        <w:t>In</w:t>
      </w:r>
      <w:r w:rsidR="008D3040" w:rsidRPr="00FF77A3">
        <w:rPr>
          <w:rFonts w:cs="Times New Roman"/>
          <w:noProof/>
          <w:lang w:val="en-GB"/>
        </w:rPr>
        <w:t xml:space="preserve"> th</w:t>
      </w:r>
      <w:r w:rsidR="00BC4DBE" w:rsidRPr="00FF77A3">
        <w:rPr>
          <w:rFonts w:cs="Times New Roman"/>
          <w:noProof/>
          <w:lang w:val="en-GB"/>
        </w:rPr>
        <w:t>is</w:t>
      </w:r>
      <w:r w:rsidR="008D3040" w:rsidRPr="00FF77A3">
        <w:rPr>
          <w:rFonts w:cs="Times New Roman"/>
          <w:noProof/>
          <w:lang w:val="en-GB"/>
        </w:rPr>
        <w:t xml:space="preserve"> proposed </w:t>
      </w:r>
      <w:r w:rsidR="00ED202C" w:rsidRPr="00FF77A3">
        <w:rPr>
          <w:rFonts w:cs="Times New Roman"/>
          <w:noProof/>
          <w:lang w:val="en-GB"/>
        </w:rPr>
        <w:t>legislation</w:t>
      </w:r>
      <w:r w:rsidR="00BC4DBE" w:rsidRPr="00FF77A3">
        <w:rPr>
          <w:rStyle w:val="FootnoteReference"/>
          <w:rFonts w:cs="Times New Roman"/>
          <w:noProof/>
          <w:lang w:val="en-GB"/>
        </w:rPr>
        <w:footnoteReference w:id="52"/>
      </w:r>
      <w:r w:rsidR="00ED202C" w:rsidRPr="00FF77A3">
        <w:rPr>
          <w:rFonts w:cs="Times New Roman"/>
          <w:noProof/>
          <w:lang w:val="en-GB"/>
        </w:rPr>
        <w:t xml:space="preserve"> (</w:t>
      </w:r>
      <w:r w:rsidR="00B0145F" w:rsidRPr="00FF77A3">
        <w:rPr>
          <w:rFonts w:cs="Times New Roman"/>
          <w:noProof/>
          <w:lang w:val="en-GB"/>
        </w:rPr>
        <w:t xml:space="preserve">the </w:t>
      </w:r>
      <w:r w:rsidR="00ED202C" w:rsidRPr="00FF77A3">
        <w:rPr>
          <w:rFonts w:cs="Times New Roman"/>
          <w:noProof/>
          <w:lang w:val="en-GB"/>
        </w:rPr>
        <w:t xml:space="preserve">Soil Monitoring Law and </w:t>
      </w:r>
      <w:r w:rsidR="00B0145F" w:rsidRPr="00FF77A3">
        <w:rPr>
          <w:rFonts w:cs="Times New Roman"/>
          <w:noProof/>
          <w:lang w:val="en-GB"/>
        </w:rPr>
        <w:t xml:space="preserve">the </w:t>
      </w:r>
      <w:r w:rsidR="00ED202C" w:rsidRPr="00FF77A3">
        <w:rPr>
          <w:rFonts w:cs="Times New Roman"/>
          <w:noProof/>
          <w:lang w:val="en-GB"/>
        </w:rPr>
        <w:t>Forest Monitoring Law) the Commission i</w:t>
      </w:r>
      <w:r w:rsidRPr="00FF77A3">
        <w:rPr>
          <w:rFonts w:cs="Times New Roman"/>
          <w:noProof/>
          <w:lang w:val="en-GB"/>
        </w:rPr>
        <w:t>ntends</w:t>
      </w:r>
      <w:r w:rsidR="00A036EF" w:rsidRPr="00FF77A3">
        <w:rPr>
          <w:rFonts w:cs="Times New Roman"/>
          <w:noProof/>
          <w:lang w:val="en-GB"/>
        </w:rPr>
        <w:t xml:space="preserve"> to</w:t>
      </w:r>
      <w:r w:rsidR="00501F1C" w:rsidRPr="00FF77A3">
        <w:rPr>
          <w:rFonts w:cs="Times New Roman"/>
          <w:noProof/>
          <w:lang w:val="en-GB"/>
        </w:rPr>
        <w:t xml:space="preserve"> </w:t>
      </w:r>
      <w:r w:rsidR="00ED202C" w:rsidRPr="00FF77A3">
        <w:rPr>
          <w:rFonts w:cs="Times New Roman"/>
          <w:noProof/>
          <w:lang w:val="en-GB"/>
        </w:rPr>
        <w:t xml:space="preserve">develop </w:t>
      </w:r>
      <w:r w:rsidR="00DC4AA5" w:rsidRPr="00FF77A3">
        <w:rPr>
          <w:rFonts w:cs="Times New Roman"/>
          <w:noProof/>
          <w:lang w:val="en-GB"/>
        </w:rPr>
        <w:t xml:space="preserve">and to strengthen </w:t>
      </w:r>
      <w:r w:rsidR="00ED202C" w:rsidRPr="00FF77A3">
        <w:rPr>
          <w:rFonts w:cs="Times New Roman"/>
          <w:noProof/>
          <w:lang w:val="en-GB"/>
        </w:rPr>
        <w:t>remote sensing services in the context of Copernicus</w:t>
      </w:r>
      <w:r w:rsidR="001B2060" w:rsidRPr="00FF77A3">
        <w:rPr>
          <w:rFonts w:cs="Times New Roman"/>
          <w:noProof/>
          <w:lang w:val="en-GB"/>
        </w:rPr>
        <w:t>. These services</w:t>
      </w:r>
      <w:r w:rsidR="00ED202C" w:rsidRPr="00FF77A3">
        <w:rPr>
          <w:rFonts w:cs="Times New Roman"/>
          <w:noProof/>
          <w:lang w:val="en-GB"/>
        </w:rPr>
        <w:t xml:space="preserve"> could </w:t>
      </w:r>
      <w:r w:rsidR="00B0145F" w:rsidRPr="00FF77A3">
        <w:rPr>
          <w:rFonts w:cs="Times New Roman"/>
          <w:noProof/>
          <w:lang w:val="en-GB"/>
        </w:rPr>
        <w:t>help</w:t>
      </w:r>
      <w:r w:rsidR="00B0145F" w:rsidRPr="007E24C9">
        <w:rPr>
          <w:rFonts w:cs="Times New Roman"/>
          <w:noProof/>
          <w:lang w:val="en-GB"/>
        </w:rPr>
        <w:t xml:space="preserve"> simplify the</w:t>
      </w:r>
      <w:r w:rsidR="00190AFA" w:rsidRPr="007E24C9">
        <w:rPr>
          <w:rFonts w:cs="Times New Roman"/>
          <w:noProof/>
          <w:lang w:val="en-GB"/>
        </w:rPr>
        <w:t xml:space="preserve"> </w:t>
      </w:r>
      <w:r w:rsidR="00ED202C" w:rsidRPr="007E24C9">
        <w:rPr>
          <w:rFonts w:cs="Times New Roman"/>
          <w:noProof/>
          <w:lang w:val="en-GB"/>
        </w:rPr>
        <w:t>monitoring</w:t>
      </w:r>
      <w:r w:rsidR="003C7E2E" w:rsidRPr="007E24C9">
        <w:rPr>
          <w:rFonts w:cs="Times New Roman"/>
          <w:noProof/>
          <w:lang w:val="en-GB"/>
        </w:rPr>
        <w:t xml:space="preserve"> </w:t>
      </w:r>
      <w:r w:rsidR="00EB391F" w:rsidRPr="007E24C9">
        <w:rPr>
          <w:rFonts w:cs="Times New Roman"/>
          <w:noProof/>
          <w:lang w:val="en-GB"/>
        </w:rPr>
        <w:t xml:space="preserve">of </w:t>
      </w:r>
      <w:r w:rsidR="003C7E2E" w:rsidRPr="007E24C9">
        <w:rPr>
          <w:rFonts w:cs="Times New Roman"/>
          <w:noProof/>
          <w:lang w:val="en-GB"/>
        </w:rPr>
        <w:t>some</w:t>
      </w:r>
      <w:r w:rsidR="00ED202C" w:rsidRPr="007E24C9">
        <w:rPr>
          <w:rFonts w:cs="Times New Roman"/>
          <w:noProof/>
          <w:lang w:val="en-GB"/>
        </w:rPr>
        <w:t xml:space="preserve"> </w:t>
      </w:r>
      <w:r w:rsidR="00EE6F9D" w:rsidRPr="007E24C9">
        <w:rPr>
          <w:rFonts w:cs="Times New Roman"/>
          <w:noProof/>
          <w:lang w:val="en-GB"/>
        </w:rPr>
        <w:t xml:space="preserve">of </w:t>
      </w:r>
      <w:r w:rsidR="00190AFA" w:rsidRPr="007E24C9">
        <w:rPr>
          <w:rFonts w:cs="Times New Roman"/>
          <w:noProof/>
          <w:lang w:val="en-GB"/>
        </w:rPr>
        <w:t xml:space="preserve">the </w:t>
      </w:r>
      <w:r w:rsidR="00ED202C" w:rsidRPr="007E24C9">
        <w:rPr>
          <w:rFonts w:cs="Times New Roman"/>
          <w:noProof/>
          <w:lang w:val="en-GB"/>
        </w:rPr>
        <w:t xml:space="preserve">relevant soil descriptors and </w:t>
      </w:r>
      <w:r w:rsidR="00EB391F" w:rsidRPr="007E24C9">
        <w:rPr>
          <w:rFonts w:cs="Times New Roman"/>
          <w:noProof/>
          <w:lang w:val="en-GB"/>
        </w:rPr>
        <w:t>make it easier to assess</w:t>
      </w:r>
      <w:r w:rsidR="00ED202C" w:rsidRPr="007E24C9">
        <w:rPr>
          <w:rFonts w:cs="Times New Roman"/>
          <w:noProof/>
          <w:lang w:val="en-GB"/>
        </w:rPr>
        <w:t xml:space="preserve"> soil health</w:t>
      </w:r>
      <w:r w:rsidR="00B0145F" w:rsidRPr="007E24C9">
        <w:rPr>
          <w:rFonts w:cs="Times New Roman"/>
          <w:noProof/>
          <w:lang w:val="en-GB"/>
        </w:rPr>
        <w:t>.</w:t>
      </w:r>
      <w:r w:rsidR="00ED202C" w:rsidRPr="007E24C9">
        <w:rPr>
          <w:rFonts w:cs="Times New Roman"/>
          <w:noProof/>
          <w:lang w:val="en-GB"/>
        </w:rPr>
        <w:t xml:space="preserve"> Earth observation can </w:t>
      </w:r>
      <w:r w:rsidR="00B0145F" w:rsidRPr="007E24C9">
        <w:rPr>
          <w:rFonts w:cs="Times New Roman"/>
          <w:noProof/>
          <w:lang w:val="en-GB"/>
        </w:rPr>
        <w:t xml:space="preserve">also </w:t>
      </w:r>
      <w:r w:rsidR="00ED202C" w:rsidRPr="007E24C9">
        <w:rPr>
          <w:rFonts w:cs="Times New Roman"/>
          <w:noProof/>
          <w:lang w:val="en-GB"/>
        </w:rPr>
        <w:t xml:space="preserve">improve the efficiency and timeliness of forest monitoring, especially with regard to </w:t>
      </w:r>
      <w:r w:rsidR="00B0145F" w:rsidRPr="007E24C9">
        <w:rPr>
          <w:rFonts w:cs="Times New Roman"/>
          <w:noProof/>
          <w:lang w:val="en-GB"/>
        </w:rPr>
        <w:t xml:space="preserve">the </w:t>
      </w:r>
      <w:r w:rsidR="00ED202C" w:rsidRPr="007E24C9">
        <w:rPr>
          <w:rFonts w:cs="Times New Roman"/>
          <w:noProof/>
          <w:lang w:val="en-GB"/>
        </w:rPr>
        <w:t>health and condition</w:t>
      </w:r>
      <w:r w:rsidR="00B0145F" w:rsidRPr="007E24C9">
        <w:rPr>
          <w:rFonts w:cs="Times New Roman"/>
          <w:noProof/>
          <w:lang w:val="en-GB"/>
        </w:rPr>
        <w:t xml:space="preserve"> of forests</w:t>
      </w:r>
      <w:r w:rsidR="00ED202C" w:rsidRPr="007E24C9">
        <w:rPr>
          <w:rFonts w:cs="Times New Roman"/>
          <w:noProof/>
          <w:lang w:val="en-GB"/>
        </w:rPr>
        <w:t xml:space="preserve"> and </w:t>
      </w:r>
      <w:r w:rsidR="00B0145F" w:rsidRPr="007E24C9">
        <w:rPr>
          <w:rFonts w:cs="Times New Roman"/>
          <w:noProof/>
          <w:lang w:val="en-GB"/>
        </w:rPr>
        <w:t xml:space="preserve">can help Member States to design and implement measures </w:t>
      </w:r>
      <w:r w:rsidR="00ED202C" w:rsidRPr="007E24C9">
        <w:rPr>
          <w:rFonts w:cs="Times New Roman"/>
          <w:noProof/>
          <w:lang w:val="en-GB"/>
        </w:rPr>
        <w:t>more efficient</w:t>
      </w:r>
      <w:r w:rsidR="00B0145F" w:rsidRPr="007E24C9">
        <w:rPr>
          <w:rFonts w:cs="Times New Roman"/>
          <w:noProof/>
          <w:lang w:val="en-GB"/>
        </w:rPr>
        <w:t>ly</w:t>
      </w:r>
      <w:r w:rsidR="00ED202C" w:rsidRPr="007E24C9">
        <w:rPr>
          <w:rFonts w:cs="Times New Roman"/>
          <w:noProof/>
          <w:lang w:val="en-GB"/>
        </w:rPr>
        <w:t xml:space="preserve"> and effective</w:t>
      </w:r>
      <w:r w:rsidR="00B0145F" w:rsidRPr="007E24C9">
        <w:rPr>
          <w:rFonts w:cs="Times New Roman"/>
          <w:noProof/>
          <w:lang w:val="en-GB"/>
        </w:rPr>
        <w:t>ly</w:t>
      </w:r>
      <w:r w:rsidR="00ED202C" w:rsidRPr="007E24C9">
        <w:rPr>
          <w:rFonts w:cs="Times New Roman"/>
          <w:noProof/>
          <w:lang w:val="en-GB"/>
        </w:rPr>
        <w:t>.</w:t>
      </w:r>
      <w:bookmarkEnd w:id="126"/>
      <w:r w:rsidR="00C4745F" w:rsidRPr="007E24C9">
        <w:rPr>
          <w:rFonts w:cs="Times New Roman"/>
          <w:noProof/>
          <w:lang w:val="en-GB"/>
        </w:rPr>
        <w:t xml:space="preserve"> </w:t>
      </w:r>
    </w:p>
    <w:p w14:paraId="4410376F" w14:textId="31D9CC80" w:rsidR="00CD3658" w:rsidRPr="007E24C9" w:rsidRDefault="508FF3E1" w:rsidP="5499BF61">
      <w:pPr>
        <w:spacing w:before="120" w:after="0"/>
        <w:jc w:val="both"/>
        <w:rPr>
          <w:rFonts w:cs="Times New Roman"/>
          <w:noProof/>
          <w:lang w:val="en-GB"/>
        </w:rPr>
      </w:pPr>
      <w:r w:rsidRPr="007E24C9">
        <w:rPr>
          <w:rFonts w:cs="Times New Roman"/>
          <w:noProof/>
          <w:lang w:val="en-GB"/>
        </w:rPr>
        <w:lastRenderedPageBreak/>
        <w:t>At the time of writing this document, t</w:t>
      </w:r>
      <w:r w:rsidR="2E6EBD36" w:rsidRPr="007E24C9">
        <w:rPr>
          <w:rFonts w:cs="Times New Roman"/>
          <w:noProof/>
          <w:lang w:val="en-GB"/>
        </w:rPr>
        <w:t xml:space="preserve">he </w:t>
      </w:r>
      <w:r w:rsidRPr="007E24C9">
        <w:rPr>
          <w:rFonts w:cs="Times New Roman"/>
          <w:noProof/>
          <w:lang w:val="en-GB"/>
        </w:rPr>
        <w:t xml:space="preserve">proposed </w:t>
      </w:r>
      <w:r w:rsidR="2E6EBD36" w:rsidRPr="007E24C9">
        <w:rPr>
          <w:rFonts w:cs="Times New Roman"/>
          <w:noProof/>
          <w:lang w:val="en-GB"/>
        </w:rPr>
        <w:t xml:space="preserve">Forest Monitoring Law </w:t>
      </w:r>
      <w:r w:rsidR="166A7F51" w:rsidRPr="007E24C9">
        <w:rPr>
          <w:rFonts w:cs="Times New Roman"/>
          <w:noProof/>
          <w:lang w:val="en-GB"/>
        </w:rPr>
        <w:t>was</w:t>
      </w:r>
      <w:r w:rsidR="1A0AFC4F" w:rsidRPr="007E24C9">
        <w:rPr>
          <w:rFonts w:cs="Times New Roman"/>
          <w:noProof/>
          <w:lang w:val="en-GB"/>
        </w:rPr>
        <w:t xml:space="preserve"> </w:t>
      </w:r>
      <w:r w:rsidR="2E6EBD36" w:rsidRPr="007E24C9">
        <w:rPr>
          <w:rFonts w:cs="Times New Roman"/>
          <w:noProof/>
          <w:lang w:val="en-GB"/>
        </w:rPr>
        <w:t xml:space="preserve">being discussed by the </w:t>
      </w:r>
      <w:r w:rsidR="3304D2B1" w:rsidRPr="007E24C9">
        <w:rPr>
          <w:rFonts w:cs="Times New Roman"/>
          <w:noProof/>
          <w:lang w:val="en-GB"/>
        </w:rPr>
        <w:t>Council</w:t>
      </w:r>
      <w:r w:rsidR="2E6EBD36" w:rsidRPr="007E24C9">
        <w:rPr>
          <w:rFonts w:cs="Times New Roman"/>
          <w:noProof/>
          <w:lang w:val="en-GB"/>
        </w:rPr>
        <w:t xml:space="preserve">. </w:t>
      </w:r>
      <w:r w:rsidR="550FA1D4" w:rsidRPr="007E24C9">
        <w:rPr>
          <w:rFonts w:cs="Times New Roman"/>
          <w:noProof/>
          <w:lang w:val="en-GB"/>
        </w:rPr>
        <w:t>The proposal</w:t>
      </w:r>
      <w:r w:rsidRPr="007E24C9">
        <w:rPr>
          <w:rFonts w:cs="Times New Roman"/>
          <w:noProof/>
          <w:lang w:val="en-GB"/>
        </w:rPr>
        <w:t xml:space="preserve"> </w:t>
      </w:r>
      <w:r w:rsidR="2E6EBD36" w:rsidRPr="007E24C9">
        <w:rPr>
          <w:rFonts w:cs="Times New Roman"/>
          <w:noProof/>
          <w:lang w:val="en-GB"/>
        </w:rPr>
        <w:t>aims to:</w:t>
      </w:r>
      <w:r w:rsidR="1A0AFC4F" w:rsidRPr="007E24C9">
        <w:rPr>
          <w:rFonts w:cs="Times New Roman"/>
          <w:noProof/>
          <w:lang w:val="en-GB"/>
        </w:rPr>
        <w:t xml:space="preserve"> (i) </w:t>
      </w:r>
      <w:r w:rsidR="2E6EBD36" w:rsidRPr="007E24C9">
        <w:rPr>
          <w:rFonts w:cs="Times New Roman"/>
          <w:noProof/>
          <w:lang w:val="en-GB"/>
        </w:rPr>
        <w:t xml:space="preserve">ensure </w:t>
      </w:r>
      <w:r w:rsidRPr="007E24C9">
        <w:rPr>
          <w:rFonts w:cs="Times New Roman"/>
          <w:noProof/>
          <w:lang w:val="en-GB"/>
        </w:rPr>
        <w:t xml:space="preserve">consistent </w:t>
      </w:r>
      <w:r w:rsidR="2E6EBD36" w:rsidRPr="007E24C9">
        <w:rPr>
          <w:rFonts w:cs="Times New Roman"/>
          <w:noProof/>
          <w:lang w:val="en-GB"/>
        </w:rPr>
        <w:t xml:space="preserve">high-quality monitoring that will </w:t>
      </w:r>
      <w:r w:rsidRPr="007E24C9">
        <w:rPr>
          <w:rFonts w:cs="Times New Roman"/>
          <w:noProof/>
          <w:lang w:val="en-GB"/>
        </w:rPr>
        <w:t xml:space="preserve">make it possible </w:t>
      </w:r>
      <w:r w:rsidR="2E6EBD36" w:rsidRPr="007E24C9">
        <w:rPr>
          <w:rFonts w:cs="Times New Roman"/>
          <w:noProof/>
          <w:lang w:val="en-GB"/>
        </w:rPr>
        <w:t>to track progress towards achieving EU policy objectives and targets</w:t>
      </w:r>
      <w:r w:rsidR="1A0AFC4F" w:rsidRPr="007E24C9">
        <w:rPr>
          <w:rFonts w:cs="Times New Roman"/>
          <w:noProof/>
          <w:lang w:val="en-GB"/>
        </w:rPr>
        <w:t>; (ii)</w:t>
      </w:r>
      <w:r w:rsidR="2E6EBD36" w:rsidRPr="007E24C9">
        <w:rPr>
          <w:rFonts w:cs="Times New Roman"/>
          <w:noProof/>
          <w:lang w:val="en-GB"/>
        </w:rPr>
        <w:t xml:space="preserve"> improve risk assessment and preparedness</w:t>
      </w:r>
      <w:r w:rsidR="1A0AFC4F" w:rsidRPr="007E24C9">
        <w:rPr>
          <w:rFonts w:cs="Times New Roman"/>
          <w:noProof/>
          <w:lang w:val="en-GB"/>
        </w:rPr>
        <w:t xml:space="preserve">; (iii) </w:t>
      </w:r>
      <w:r w:rsidR="2E6EBD36" w:rsidRPr="007E24C9">
        <w:rPr>
          <w:rFonts w:cs="Times New Roman"/>
          <w:noProof/>
          <w:lang w:val="en-GB"/>
        </w:rPr>
        <w:t>support evidence-based decision-making by land managers and public authorities</w:t>
      </w:r>
      <w:r w:rsidR="166A7F51" w:rsidRPr="007E24C9">
        <w:rPr>
          <w:rFonts w:cs="Times New Roman"/>
          <w:noProof/>
          <w:lang w:val="en-GB"/>
        </w:rPr>
        <w:t>; (iv)</w:t>
      </w:r>
      <w:r w:rsidR="2E6EBD36" w:rsidRPr="007E24C9">
        <w:rPr>
          <w:rFonts w:cs="Times New Roman"/>
          <w:noProof/>
          <w:lang w:val="en-GB"/>
        </w:rPr>
        <w:t xml:space="preserve"> promote research and innovation</w:t>
      </w:r>
      <w:r w:rsidR="0F2D5150" w:rsidRPr="007E24C9">
        <w:rPr>
          <w:rFonts w:cs="Times New Roman"/>
          <w:noProof/>
          <w:lang w:val="en-GB"/>
        </w:rPr>
        <w:t>.</w:t>
      </w:r>
    </w:p>
    <w:p w14:paraId="21BE467D" w14:textId="641C1098" w:rsidR="2960F6F6" w:rsidRDefault="00CD3658" w:rsidP="2960F6F6">
      <w:pPr>
        <w:pStyle w:val="NoSpacing"/>
        <w:spacing w:before="120" w:line="259" w:lineRule="auto"/>
        <w:jc w:val="both"/>
        <w:rPr>
          <w:rFonts w:cs="Times New Roman"/>
          <w:noProof/>
          <w:lang w:val="en-GB"/>
        </w:rPr>
      </w:pPr>
      <w:r w:rsidRPr="007E24C9">
        <w:rPr>
          <w:rFonts w:cs="Times New Roman"/>
          <w:noProof/>
          <w:lang w:val="en-GB"/>
        </w:rPr>
        <w:t xml:space="preserve">The trilogues for the Soil Monitoring Law </w:t>
      </w:r>
      <w:r w:rsidR="00AD5F7A" w:rsidRPr="00FF77A3">
        <w:rPr>
          <w:rFonts w:cs="Times New Roman"/>
          <w:noProof/>
          <w:lang w:val="en-GB"/>
        </w:rPr>
        <w:t>start</w:t>
      </w:r>
      <w:r w:rsidR="00CF6C35" w:rsidRPr="00FF77A3">
        <w:rPr>
          <w:rFonts w:cs="Times New Roman"/>
          <w:noProof/>
          <w:lang w:val="en-GB"/>
        </w:rPr>
        <w:t>ed</w:t>
      </w:r>
      <w:r w:rsidR="00AD5F7A" w:rsidRPr="00FF77A3">
        <w:rPr>
          <w:rFonts w:cs="Times New Roman"/>
          <w:noProof/>
          <w:lang w:val="en-GB"/>
        </w:rPr>
        <w:t xml:space="preserve"> </w:t>
      </w:r>
      <w:r w:rsidR="009552BF" w:rsidRPr="00FF77A3">
        <w:rPr>
          <w:rFonts w:cs="Times New Roman"/>
          <w:noProof/>
          <w:lang w:val="en-GB"/>
        </w:rPr>
        <w:t xml:space="preserve">on </w:t>
      </w:r>
      <w:r w:rsidR="00CF6C35" w:rsidRPr="00FF77A3">
        <w:rPr>
          <w:rFonts w:cs="Times New Roman"/>
          <w:noProof/>
          <w:lang w:val="en-GB"/>
        </w:rPr>
        <w:t>22 October 2024</w:t>
      </w:r>
      <w:r w:rsidRPr="007E24C9">
        <w:rPr>
          <w:rFonts w:cs="Times New Roman"/>
          <w:noProof/>
          <w:lang w:val="en-GB"/>
        </w:rPr>
        <w:t xml:space="preserve">. The proposal aims to put in place a solid and </w:t>
      </w:r>
      <w:r w:rsidR="00EB391F" w:rsidRPr="007E24C9">
        <w:rPr>
          <w:rFonts w:cs="Times New Roman"/>
          <w:noProof/>
          <w:lang w:val="en-GB"/>
        </w:rPr>
        <w:t xml:space="preserve">consistent </w:t>
      </w:r>
      <w:r w:rsidRPr="007E24C9">
        <w:rPr>
          <w:rFonts w:cs="Times New Roman"/>
          <w:noProof/>
          <w:lang w:val="en-GB"/>
        </w:rPr>
        <w:t xml:space="preserve">soil monitoring framework for all soils across the EU and to continuously improve soil health with </w:t>
      </w:r>
      <w:r w:rsidR="00474BCD" w:rsidRPr="007E24C9">
        <w:rPr>
          <w:rFonts w:cs="Times New Roman"/>
          <w:noProof/>
          <w:lang w:val="en-GB"/>
        </w:rPr>
        <w:t xml:space="preserve">a </w:t>
      </w:r>
      <w:r w:rsidRPr="007E24C9">
        <w:rPr>
          <w:rFonts w:cs="Times New Roman"/>
          <w:noProof/>
          <w:lang w:val="en-GB"/>
        </w:rPr>
        <w:t xml:space="preserve">view to </w:t>
      </w:r>
      <w:r w:rsidR="00B973AA" w:rsidRPr="007E24C9">
        <w:rPr>
          <w:rFonts w:cs="Times New Roman"/>
          <w:noProof/>
          <w:lang w:val="en-GB"/>
        </w:rPr>
        <w:t>achieving</w:t>
      </w:r>
      <w:r w:rsidRPr="007E24C9">
        <w:rPr>
          <w:rFonts w:cs="Times New Roman"/>
          <w:noProof/>
          <w:lang w:val="en-GB"/>
        </w:rPr>
        <w:t xml:space="preserve"> healthy soils by 2050. The </w:t>
      </w:r>
      <w:r w:rsidR="00A310D0" w:rsidRPr="007E24C9">
        <w:rPr>
          <w:rFonts w:cs="Times New Roman"/>
          <w:noProof/>
          <w:lang w:val="en-GB"/>
        </w:rPr>
        <w:t xml:space="preserve">proposed </w:t>
      </w:r>
      <w:r w:rsidRPr="007E24C9">
        <w:rPr>
          <w:rFonts w:cs="Times New Roman"/>
          <w:noProof/>
          <w:lang w:val="en-GB"/>
        </w:rPr>
        <w:t xml:space="preserve">Directive therefore lays down measures on monitoring and </w:t>
      </w:r>
      <w:r w:rsidR="00BA6E88" w:rsidRPr="007E24C9">
        <w:rPr>
          <w:rFonts w:cs="Times New Roman"/>
          <w:noProof/>
          <w:lang w:val="en-GB"/>
        </w:rPr>
        <w:t>assessing</w:t>
      </w:r>
      <w:r w:rsidRPr="007E24C9">
        <w:rPr>
          <w:rFonts w:cs="Times New Roman"/>
          <w:noProof/>
          <w:lang w:val="en-GB"/>
        </w:rPr>
        <w:t xml:space="preserve"> soil health, sustainable soil management and contaminated sites. The Commission is currently </w:t>
      </w:r>
      <w:r w:rsidR="00BA6E88" w:rsidRPr="007E24C9">
        <w:rPr>
          <w:rFonts w:cs="Times New Roman"/>
          <w:noProof/>
          <w:lang w:val="en-GB"/>
        </w:rPr>
        <w:t xml:space="preserve">making an inventory of </w:t>
      </w:r>
      <w:r w:rsidRPr="007E24C9">
        <w:rPr>
          <w:rFonts w:cs="Times New Roman"/>
          <w:noProof/>
          <w:lang w:val="en-GB"/>
        </w:rPr>
        <w:t>the policy needs for the next Copernicus programme to prepare the next multiannual financial framework</w:t>
      </w:r>
      <w:r w:rsidR="002A4BFF" w:rsidRPr="007E24C9">
        <w:rPr>
          <w:rFonts w:cs="Times New Roman"/>
          <w:noProof/>
          <w:lang w:val="en-GB"/>
        </w:rPr>
        <w:t xml:space="preserve"> (MFF)</w:t>
      </w:r>
      <w:r w:rsidRPr="007E24C9">
        <w:rPr>
          <w:rFonts w:cs="Times New Roman"/>
          <w:noProof/>
          <w:lang w:val="en-GB"/>
        </w:rPr>
        <w:t>.</w:t>
      </w:r>
      <w:r w:rsidRPr="2E1D0E0E">
        <w:rPr>
          <w:rFonts w:cs="Times New Roman"/>
          <w:noProof/>
          <w:lang w:val="en-GB"/>
        </w:rPr>
        <w:t xml:space="preserve"> </w:t>
      </w:r>
    </w:p>
    <w:p w14:paraId="3B03F814" w14:textId="095FD8AC" w:rsidR="004D5021" w:rsidRPr="00724676" w:rsidRDefault="004D5021" w:rsidP="00A95DF5">
      <w:pPr>
        <w:pStyle w:val="NoSpacing"/>
        <w:spacing w:before="240" w:after="120"/>
        <w:jc w:val="both"/>
        <w:rPr>
          <w:rFonts w:cs="Times New Roman"/>
          <w:b/>
          <w:noProof/>
          <w:szCs w:val="24"/>
          <w:lang w:val="en-GB"/>
        </w:rPr>
      </w:pPr>
      <w:bookmarkStart w:id="128" w:name="_Toc168422365"/>
      <w:bookmarkStart w:id="129" w:name="_Toc168422670"/>
      <w:bookmarkEnd w:id="127"/>
      <w:r w:rsidRPr="00724676">
        <w:rPr>
          <w:rFonts w:cs="Times New Roman"/>
          <w:b/>
          <w:noProof/>
          <w:szCs w:val="24"/>
          <w:lang w:val="en-GB"/>
        </w:rPr>
        <w:t>Exempt</w:t>
      </w:r>
      <w:r w:rsidR="00701AE1" w:rsidRPr="00724676">
        <w:rPr>
          <w:rFonts w:cs="Times New Roman"/>
          <w:b/>
          <w:noProof/>
          <w:szCs w:val="24"/>
          <w:lang w:val="en-GB"/>
        </w:rPr>
        <w:t>ion of</w:t>
      </w:r>
      <w:r w:rsidRPr="00724676">
        <w:rPr>
          <w:rFonts w:cs="Times New Roman"/>
          <w:b/>
          <w:noProof/>
          <w:szCs w:val="24"/>
          <w:lang w:val="en-GB"/>
        </w:rPr>
        <w:t xml:space="preserve"> plant protection products containing only biological active substances from </w:t>
      </w:r>
      <w:r w:rsidR="00BA6E88">
        <w:rPr>
          <w:rFonts w:cs="Times New Roman"/>
          <w:b/>
          <w:noProof/>
          <w:szCs w:val="24"/>
          <w:lang w:val="en-GB"/>
        </w:rPr>
        <w:t>the obligation to keep records</w:t>
      </w:r>
      <w:bookmarkEnd w:id="128"/>
      <w:bookmarkEnd w:id="129"/>
    </w:p>
    <w:p w14:paraId="7583EF26" w14:textId="52A57BB9" w:rsidR="008641E7" w:rsidRPr="001A3D3D" w:rsidRDefault="1C000759" w:rsidP="000C0B2E">
      <w:pPr>
        <w:spacing w:after="120"/>
        <w:jc w:val="both"/>
        <w:rPr>
          <w:rFonts w:cs="Times New Roman"/>
          <w:noProof/>
          <w:lang w:val="en-GB"/>
        </w:rPr>
      </w:pPr>
      <w:r w:rsidRPr="5B7F1876">
        <w:rPr>
          <w:rFonts w:cs="Times New Roman"/>
          <w:noProof/>
          <w:lang w:val="en-GB"/>
        </w:rPr>
        <w:t xml:space="preserve">In </w:t>
      </w:r>
      <w:r w:rsidRPr="001A3D3D">
        <w:rPr>
          <w:rFonts w:cs="Times New Roman"/>
          <w:noProof/>
          <w:lang w:val="en-GB"/>
        </w:rPr>
        <w:t>the context of the study announced in Action 1 of the Communication on Boosting Biotechnology and Biomanufacturing in the EU</w:t>
      </w:r>
      <w:r w:rsidR="00622E52" w:rsidRPr="001A3D3D">
        <w:rPr>
          <w:rStyle w:val="FootnoteReference"/>
          <w:rFonts w:cs="Times New Roman"/>
          <w:noProof/>
          <w:lang w:val="en-GB"/>
        </w:rPr>
        <w:footnoteReference w:id="53"/>
      </w:r>
      <w:r w:rsidRPr="001A3D3D">
        <w:rPr>
          <w:rFonts w:cs="Times New Roman"/>
          <w:noProof/>
          <w:lang w:val="en-GB"/>
        </w:rPr>
        <w:t xml:space="preserve">, which is due to be finalised in mid-2025, the Commission will examine whether to exempt plant protection products containing only biological active substances from </w:t>
      </w:r>
      <w:r w:rsidR="1BBFA2B9" w:rsidRPr="001A3D3D">
        <w:rPr>
          <w:rFonts w:cs="Times New Roman"/>
          <w:noProof/>
          <w:lang w:val="en-GB"/>
        </w:rPr>
        <w:t>the obligation to keep records. This exemption to the obligation under</w:t>
      </w:r>
      <w:r w:rsidRPr="001A3D3D">
        <w:rPr>
          <w:rFonts w:cs="Times New Roman"/>
          <w:noProof/>
          <w:lang w:val="en-GB"/>
        </w:rPr>
        <w:t xml:space="preserve"> Article 67(1) of</w:t>
      </w:r>
      <w:r w:rsidR="205690D5" w:rsidRPr="001A3D3D">
        <w:rPr>
          <w:rFonts w:cs="Times New Roman"/>
          <w:noProof/>
          <w:lang w:val="en-GB"/>
        </w:rPr>
        <w:t xml:space="preserve"> the </w:t>
      </w:r>
      <w:r w:rsidR="4AD38E33" w:rsidRPr="001A3D3D">
        <w:rPr>
          <w:rFonts w:cs="Times New Roman"/>
          <w:noProof/>
          <w:lang w:val="en-GB"/>
        </w:rPr>
        <w:t>R</w:t>
      </w:r>
      <w:r w:rsidR="205690D5" w:rsidRPr="001A3D3D">
        <w:rPr>
          <w:rFonts w:cs="Times New Roman"/>
          <w:noProof/>
          <w:lang w:val="en-GB"/>
        </w:rPr>
        <w:t xml:space="preserve">egulation on placing plant protection products </w:t>
      </w:r>
      <w:r w:rsidR="08EE36C7" w:rsidRPr="001A3D3D">
        <w:rPr>
          <w:rFonts w:cs="Times New Roman"/>
          <w:noProof/>
          <w:lang w:val="en-GB"/>
        </w:rPr>
        <w:t xml:space="preserve">(PPPs) </w:t>
      </w:r>
      <w:r w:rsidR="205690D5" w:rsidRPr="001A3D3D">
        <w:rPr>
          <w:rFonts w:cs="Times New Roman"/>
          <w:noProof/>
          <w:lang w:val="en-GB"/>
        </w:rPr>
        <w:t>on the market</w:t>
      </w:r>
      <w:r w:rsidR="00C33DF4" w:rsidRPr="001A3D3D">
        <w:rPr>
          <w:rStyle w:val="FootnoteReference"/>
          <w:rFonts w:cs="Times New Roman"/>
          <w:noProof/>
          <w:lang w:val="en-GB"/>
        </w:rPr>
        <w:footnoteReference w:id="54"/>
      </w:r>
      <w:r w:rsidR="1BBFA2B9" w:rsidRPr="001A3D3D">
        <w:rPr>
          <w:rFonts w:cs="Times New Roman"/>
          <w:noProof/>
          <w:lang w:val="en-GB"/>
        </w:rPr>
        <w:t>,</w:t>
      </w:r>
      <w:r w:rsidR="3F3C589D" w:rsidRPr="001A3D3D">
        <w:rPr>
          <w:rFonts w:cs="Times New Roman"/>
          <w:noProof/>
          <w:lang w:val="en-GB"/>
        </w:rPr>
        <w:t xml:space="preserve"> </w:t>
      </w:r>
      <w:r w:rsidR="1BBFA2B9" w:rsidRPr="001A3D3D">
        <w:rPr>
          <w:rFonts w:cs="Times New Roman"/>
          <w:noProof/>
          <w:lang w:val="en-GB"/>
        </w:rPr>
        <w:t xml:space="preserve">is aimed at </w:t>
      </w:r>
      <w:r w:rsidR="3F3C589D" w:rsidRPr="001A3D3D">
        <w:rPr>
          <w:rFonts w:cs="Times New Roman"/>
          <w:noProof/>
          <w:lang w:val="en-GB"/>
        </w:rPr>
        <w:t>reduc</w:t>
      </w:r>
      <w:r w:rsidR="1BBFA2B9" w:rsidRPr="001A3D3D">
        <w:rPr>
          <w:rFonts w:cs="Times New Roman"/>
          <w:noProof/>
          <w:lang w:val="en-GB"/>
        </w:rPr>
        <w:t>ing</w:t>
      </w:r>
      <w:r w:rsidR="3F3C589D" w:rsidRPr="001A3D3D">
        <w:rPr>
          <w:rFonts w:cs="Times New Roman"/>
          <w:noProof/>
          <w:lang w:val="en-GB"/>
        </w:rPr>
        <w:t xml:space="preserve"> the administrative burden on farmers</w:t>
      </w:r>
      <w:r w:rsidRPr="001A3D3D">
        <w:rPr>
          <w:rFonts w:cs="Times New Roman"/>
          <w:noProof/>
          <w:lang w:val="en-GB"/>
        </w:rPr>
        <w:t xml:space="preserve"> </w:t>
      </w:r>
      <w:r w:rsidR="1BBFA2B9" w:rsidRPr="001A3D3D">
        <w:rPr>
          <w:rFonts w:cs="Times New Roman"/>
          <w:noProof/>
          <w:lang w:val="en-GB"/>
        </w:rPr>
        <w:t xml:space="preserve">who use </w:t>
      </w:r>
      <w:r w:rsidRPr="001A3D3D">
        <w:rPr>
          <w:rFonts w:cs="Times New Roman"/>
          <w:noProof/>
          <w:lang w:val="en-GB"/>
        </w:rPr>
        <w:t>such products</w:t>
      </w:r>
      <w:r w:rsidR="3F3C589D" w:rsidRPr="001A3D3D">
        <w:rPr>
          <w:rFonts w:cs="Times New Roman"/>
          <w:noProof/>
          <w:lang w:val="en-GB"/>
        </w:rPr>
        <w:t>.</w:t>
      </w:r>
      <w:r w:rsidR="44F24030" w:rsidRPr="001A3D3D">
        <w:rPr>
          <w:rFonts w:cs="Times New Roman"/>
          <w:noProof/>
          <w:lang w:val="en-GB"/>
        </w:rPr>
        <w:t xml:space="preserve"> </w:t>
      </w:r>
    </w:p>
    <w:p w14:paraId="17FABEF9" w14:textId="0EFE8DA3" w:rsidR="1CE68D99" w:rsidRPr="001A3D3D" w:rsidRDefault="6B27D7B7" w:rsidP="02BE03D9">
      <w:pPr>
        <w:pStyle w:val="NoSpacing"/>
        <w:spacing w:after="240"/>
        <w:rPr>
          <w:rFonts w:eastAsia="Times New Roman" w:cs="Times New Roman"/>
          <w:noProof/>
          <w:szCs w:val="24"/>
          <w:lang w:val="en-GB"/>
        </w:rPr>
      </w:pPr>
      <w:r w:rsidRPr="001A3D3D">
        <w:rPr>
          <w:rFonts w:eastAsia="Times New Roman" w:cs="Times New Roman"/>
          <w:b/>
          <w:noProof/>
          <w:szCs w:val="24"/>
          <w:lang w:val="en-GB"/>
        </w:rPr>
        <w:t>Eliminate the requirement that farmers must submit individual applications for aerial spraying of plant protection products</w:t>
      </w:r>
      <w:r w:rsidRPr="001A3D3D">
        <w:rPr>
          <w:rFonts w:eastAsia="Times New Roman" w:cs="Times New Roman"/>
          <w:noProof/>
          <w:szCs w:val="24"/>
          <w:lang w:val="en-GB"/>
        </w:rPr>
        <w:t xml:space="preserve"> </w:t>
      </w:r>
      <w:r w:rsidRPr="001A3D3D">
        <w:rPr>
          <w:rFonts w:eastAsia="Times New Roman" w:cs="Times New Roman"/>
          <w:b/>
          <w:noProof/>
          <w:szCs w:val="24"/>
          <w:lang w:val="en-GB"/>
        </w:rPr>
        <w:t>once relevant conditions are met</w:t>
      </w:r>
      <w:r w:rsidR="1CE68D99" w:rsidRPr="001A3D3D">
        <w:rPr>
          <w:rStyle w:val="FootnoteReference"/>
          <w:rFonts w:eastAsia="Times New Roman" w:cs="Times New Roman"/>
          <w:noProof/>
          <w:szCs w:val="24"/>
          <w:lang w:val="en-GB"/>
        </w:rPr>
        <w:footnoteReference w:id="55"/>
      </w:r>
    </w:p>
    <w:p w14:paraId="013D1B1E" w14:textId="187C5C1B" w:rsidR="00FA6EBD" w:rsidRPr="001A3D3D" w:rsidRDefault="1C000759" w:rsidP="02BE03D9">
      <w:pPr>
        <w:spacing w:after="120"/>
        <w:jc w:val="both"/>
        <w:rPr>
          <w:rFonts w:cs="Times New Roman"/>
          <w:noProof/>
          <w:lang w:val="en-GB"/>
        </w:rPr>
      </w:pPr>
      <w:r w:rsidRPr="001A3D3D">
        <w:rPr>
          <w:rFonts w:cs="Times New Roman"/>
          <w:noProof/>
          <w:lang w:val="en-GB"/>
        </w:rPr>
        <w:t xml:space="preserve"> The Commission is considering </w:t>
      </w:r>
      <w:r w:rsidR="4D133209" w:rsidRPr="001A3D3D">
        <w:rPr>
          <w:rFonts w:cs="Times New Roman"/>
          <w:noProof/>
          <w:lang w:val="en-GB"/>
        </w:rPr>
        <w:t>th</w:t>
      </w:r>
      <w:r w:rsidR="1139CCDD" w:rsidRPr="001A3D3D">
        <w:rPr>
          <w:rFonts w:cs="Times New Roman"/>
          <w:noProof/>
          <w:lang w:val="en-GB"/>
        </w:rPr>
        <w:t>is</w:t>
      </w:r>
      <w:r w:rsidR="4D133209" w:rsidRPr="001A3D3D">
        <w:rPr>
          <w:rFonts w:cs="Times New Roman"/>
          <w:noProof/>
          <w:lang w:val="en-GB"/>
        </w:rPr>
        <w:t xml:space="preserve"> </w:t>
      </w:r>
      <w:r w:rsidRPr="001A3D3D">
        <w:rPr>
          <w:rFonts w:cs="Times New Roman"/>
          <w:noProof/>
          <w:lang w:val="en-GB"/>
        </w:rPr>
        <w:t>proposal.</w:t>
      </w:r>
    </w:p>
    <w:p w14:paraId="13B67F01" w14:textId="63EC1A3B" w:rsidR="003F3A4D" w:rsidRPr="001A3D3D" w:rsidRDefault="37981D2F" w:rsidP="02BE03D9">
      <w:pPr>
        <w:pStyle w:val="NoSpacing"/>
        <w:spacing w:after="120"/>
        <w:jc w:val="both"/>
        <w:rPr>
          <w:rFonts w:cs="Times New Roman"/>
          <w:noProof/>
          <w:lang w:val="en-GB"/>
        </w:rPr>
      </w:pPr>
      <w:bookmarkStart w:id="130" w:name="_Toc168422367"/>
      <w:bookmarkStart w:id="131" w:name="_Toc168422672"/>
      <w:r w:rsidRPr="001A3D3D">
        <w:rPr>
          <w:rFonts w:cs="Times New Roman"/>
          <w:b/>
          <w:noProof/>
          <w:lang w:val="en-GB"/>
        </w:rPr>
        <w:t xml:space="preserve">Eliminate the requirement for </w:t>
      </w:r>
      <w:r w:rsidR="0D79817E" w:rsidRPr="001A3D3D">
        <w:rPr>
          <w:rFonts w:cs="Times New Roman"/>
          <w:b/>
          <w:noProof/>
          <w:lang w:val="en-GB"/>
        </w:rPr>
        <w:t xml:space="preserve">farmers to keep records of treatment of animals with medicinal products under </w:t>
      </w:r>
      <w:r w:rsidR="3D87C24D" w:rsidRPr="001A3D3D">
        <w:rPr>
          <w:rFonts w:cs="Times New Roman"/>
          <w:b/>
          <w:noProof/>
          <w:lang w:val="en-GB"/>
        </w:rPr>
        <w:t xml:space="preserve">the </w:t>
      </w:r>
      <w:r w:rsidR="4D133209" w:rsidRPr="001A3D3D">
        <w:rPr>
          <w:rFonts w:cs="Times New Roman"/>
          <w:b/>
          <w:noProof/>
          <w:lang w:val="en-GB"/>
        </w:rPr>
        <w:t>D</w:t>
      </w:r>
      <w:r w:rsidR="3D87C24D" w:rsidRPr="001A3D3D">
        <w:rPr>
          <w:rFonts w:cs="Times New Roman"/>
          <w:b/>
          <w:noProof/>
          <w:lang w:val="en-GB"/>
        </w:rPr>
        <w:t>irective on the protection of animals kept for farming purposes</w:t>
      </w:r>
      <w:r w:rsidR="00CB1257" w:rsidRPr="001A3D3D">
        <w:rPr>
          <w:rStyle w:val="FootnoteReference"/>
          <w:rFonts w:cs="Times New Roman"/>
          <w:noProof/>
          <w:lang w:val="en-GB"/>
        </w:rPr>
        <w:footnoteReference w:id="56"/>
      </w:r>
      <w:bookmarkEnd w:id="130"/>
      <w:bookmarkEnd w:id="131"/>
      <w:r w:rsidR="0D79817E" w:rsidRPr="001A3D3D">
        <w:rPr>
          <w:rFonts w:cs="Times New Roman"/>
          <w:noProof/>
          <w:lang w:val="en-GB"/>
        </w:rPr>
        <w:t xml:space="preserve"> </w:t>
      </w:r>
    </w:p>
    <w:p w14:paraId="3FF9D0EB" w14:textId="063B180B" w:rsidR="00CB1257" w:rsidRPr="003E7CF4" w:rsidRDefault="1C000759" w:rsidP="000C0B2E">
      <w:pPr>
        <w:spacing w:after="120"/>
        <w:jc w:val="both"/>
        <w:rPr>
          <w:rFonts w:eastAsia="Calibri" w:cs="Times New Roman"/>
          <w:noProof/>
          <w:lang w:val="en-GB"/>
        </w:rPr>
      </w:pPr>
      <w:r w:rsidRPr="001A3D3D">
        <w:rPr>
          <w:rFonts w:cs="Times New Roman"/>
          <w:noProof/>
          <w:lang w:val="en-GB"/>
        </w:rPr>
        <w:t xml:space="preserve">The Commission is considering </w:t>
      </w:r>
      <w:r w:rsidR="3E7684D0" w:rsidRPr="001A3D3D">
        <w:rPr>
          <w:rFonts w:cs="Times New Roman"/>
          <w:noProof/>
          <w:lang w:val="en-GB"/>
        </w:rPr>
        <w:t>this proposal.</w:t>
      </w:r>
    </w:p>
    <w:p w14:paraId="674E5A51" w14:textId="10A76F52" w:rsidR="009D2E12" w:rsidRPr="00724676" w:rsidRDefault="00DE3DC7" w:rsidP="00921335">
      <w:pPr>
        <w:pStyle w:val="NoSpacing"/>
        <w:spacing w:after="120"/>
        <w:rPr>
          <w:rFonts w:cs="Times New Roman"/>
          <w:b/>
          <w:bCs/>
          <w:noProof/>
          <w:lang w:val="en-GB"/>
        </w:rPr>
      </w:pPr>
      <w:bookmarkStart w:id="132" w:name="_Toc168422368"/>
      <w:bookmarkStart w:id="133" w:name="_Toc168422673"/>
      <w:r w:rsidRPr="00724676">
        <w:rPr>
          <w:rFonts w:cs="Times New Roman"/>
          <w:b/>
          <w:noProof/>
          <w:szCs w:val="24"/>
          <w:lang w:val="en-GB"/>
        </w:rPr>
        <w:t>Evaluation of the Nitrates Directive</w:t>
      </w:r>
      <w:bookmarkEnd w:id="132"/>
      <w:bookmarkEnd w:id="133"/>
    </w:p>
    <w:p w14:paraId="09B6C59F" w14:textId="3B5EABE8" w:rsidR="007F6553" w:rsidRPr="007E24C9" w:rsidRDefault="00027F79" w:rsidP="000C0B2E">
      <w:pPr>
        <w:spacing w:after="120"/>
        <w:jc w:val="both"/>
        <w:rPr>
          <w:rFonts w:eastAsia="Calibri" w:cs="Times New Roman"/>
          <w:noProof/>
        </w:rPr>
      </w:pPr>
      <w:r w:rsidRPr="007E24C9">
        <w:rPr>
          <w:rFonts w:cs="Times New Roman"/>
          <w:noProof/>
        </w:rPr>
        <w:t>A</w:t>
      </w:r>
      <w:r w:rsidR="00391E9B" w:rsidRPr="007E24C9">
        <w:rPr>
          <w:rFonts w:cs="Times New Roman"/>
          <w:noProof/>
        </w:rPr>
        <w:t xml:space="preserve">n evaluation of </w:t>
      </w:r>
      <w:r w:rsidRPr="007E24C9">
        <w:rPr>
          <w:rFonts w:cs="Times New Roman"/>
          <w:noProof/>
        </w:rPr>
        <w:t>the Nitrates Directive</w:t>
      </w:r>
      <w:r w:rsidR="00A13267" w:rsidRPr="00FF77A3">
        <w:rPr>
          <w:rStyle w:val="FootnoteReference"/>
          <w:rFonts w:cs="Times New Roman"/>
          <w:noProof/>
        </w:rPr>
        <w:footnoteReference w:id="57"/>
      </w:r>
      <w:r w:rsidRPr="007E24C9">
        <w:rPr>
          <w:rFonts w:cs="Times New Roman"/>
          <w:noProof/>
        </w:rPr>
        <w:t xml:space="preserve"> (</w:t>
      </w:r>
      <w:r w:rsidR="001A72D1" w:rsidRPr="007E24C9">
        <w:rPr>
          <w:rFonts w:cs="Times New Roman"/>
          <w:noProof/>
        </w:rPr>
        <w:t xml:space="preserve">relevant in relation </w:t>
      </w:r>
      <w:r w:rsidR="002D7328" w:rsidRPr="007E24C9">
        <w:rPr>
          <w:rFonts w:cs="Times New Roman"/>
          <w:noProof/>
        </w:rPr>
        <w:t xml:space="preserve">to the </w:t>
      </w:r>
      <w:r w:rsidRPr="007E24C9">
        <w:rPr>
          <w:rFonts w:cs="Times New Roman"/>
          <w:noProof/>
        </w:rPr>
        <w:t>SMR 2</w:t>
      </w:r>
      <w:r w:rsidR="001A72D1" w:rsidRPr="007E24C9">
        <w:rPr>
          <w:rFonts w:cs="Times New Roman"/>
          <w:noProof/>
        </w:rPr>
        <w:t xml:space="preserve"> conditionality </w:t>
      </w:r>
      <w:r w:rsidR="00252607" w:rsidRPr="007E24C9">
        <w:rPr>
          <w:rFonts w:cs="Times New Roman"/>
          <w:noProof/>
        </w:rPr>
        <w:t>requirement</w:t>
      </w:r>
      <w:r w:rsidR="00A13267" w:rsidRPr="00FF77A3">
        <w:rPr>
          <w:rStyle w:val="FootnoteReference"/>
          <w:rFonts w:cs="Times New Roman"/>
          <w:noProof/>
        </w:rPr>
        <w:footnoteReference w:id="58"/>
      </w:r>
      <w:r w:rsidRPr="007E24C9">
        <w:rPr>
          <w:rFonts w:cs="Times New Roman"/>
          <w:noProof/>
        </w:rPr>
        <w:t>)</w:t>
      </w:r>
      <w:r w:rsidR="00391E9B" w:rsidRPr="007E24C9">
        <w:rPr>
          <w:rFonts w:cs="Times New Roman"/>
          <w:noProof/>
        </w:rPr>
        <w:t xml:space="preserve"> is ongoing</w:t>
      </w:r>
      <w:r w:rsidR="00E93E78" w:rsidRPr="007E24C9">
        <w:rPr>
          <w:rFonts w:cs="Times New Roman"/>
          <w:noProof/>
        </w:rPr>
        <w:t xml:space="preserve"> and include</w:t>
      </w:r>
      <w:r w:rsidR="4990B1A9" w:rsidRPr="007E24C9">
        <w:rPr>
          <w:rFonts w:cs="Times New Roman"/>
          <w:noProof/>
        </w:rPr>
        <w:t>d</w:t>
      </w:r>
      <w:r w:rsidR="00E93E78" w:rsidRPr="007E24C9">
        <w:rPr>
          <w:rFonts w:cs="Times New Roman"/>
          <w:noProof/>
        </w:rPr>
        <w:t xml:space="preserve"> a public consultation</w:t>
      </w:r>
      <w:r w:rsidR="00391E9B" w:rsidRPr="007E24C9">
        <w:rPr>
          <w:rFonts w:cs="Times New Roman"/>
          <w:noProof/>
        </w:rPr>
        <w:t xml:space="preserve">. The Commission invited stakeholders to participate in </w:t>
      </w:r>
      <w:r w:rsidR="00E93E78" w:rsidRPr="007E24C9">
        <w:rPr>
          <w:rFonts w:cs="Times New Roman"/>
          <w:noProof/>
        </w:rPr>
        <w:t xml:space="preserve">this </w:t>
      </w:r>
      <w:r w:rsidR="00391E9B" w:rsidRPr="007E24C9">
        <w:rPr>
          <w:rFonts w:cs="Times New Roman"/>
          <w:noProof/>
        </w:rPr>
        <w:t>consultation</w:t>
      </w:r>
      <w:r w:rsidR="00E93E78" w:rsidRPr="007E24C9">
        <w:rPr>
          <w:rFonts w:cs="Times New Roman"/>
          <w:noProof/>
        </w:rPr>
        <w:t xml:space="preserve">, also to express </w:t>
      </w:r>
      <w:r w:rsidR="002D7328" w:rsidRPr="007E24C9">
        <w:rPr>
          <w:rFonts w:cs="Times New Roman"/>
          <w:noProof/>
        </w:rPr>
        <w:t xml:space="preserve">their </w:t>
      </w:r>
      <w:r w:rsidR="00E93E78" w:rsidRPr="007E24C9">
        <w:rPr>
          <w:rFonts w:cs="Times New Roman"/>
          <w:noProof/>
        </w:rPr>
        <w:t>views on the administrative burden under this piece of legislation.</w:t>
      </w:r>
      <w:r w:rsidR="00391E9B" w:rsidRPr="007E24C9">
        <w:rPr>
          <w:rFonts w:cs="Times New Roman"/>
          <w:noProof/>
        </w:rPr>
        <w:t xml:space="preserve"> </w:t>
      </w:r>
      <w:r w:rsidR="00E93E78" w:rsidRPr="007E24C9">
        <w:rPr>
          <w:rFonts w:cs="Times New Roman"/>
          <w:noProof/>
        </w:rPr>
        <w:t xml:space="preserve">The consultation </w:t>
      </w:r>
      <w:r w:rsidR="009B6781" w:rsidRPr="007E24C9">
        <w:rPr>
          <w:rFonts w:cs="Times New Roman"/>
          <w:noProof/>
        </w:rPr>
        <w:t xml:space="preserve">closed on </w:t>
      </w:r>
      <w:r w:rsidR="235EE52A" w:rsidRPr="007E24C9">
        <w:rPr>
          <w:rFonts w:cs="Times New Roman"/>
          <w:noProof/>
        </w:rPr>
        <w:t xml:space="preserve">8 </w:t>
      </w:r>
      <w:r w:rsidRPr="007E24C9">
        <w:rPr>
          <w:rFonts w:cs="Times New Roman"/>
          <w:noProof/>
        </w:rPr>
        <w:t xml:space="preserve">March </w:t>
      </w:r>
      <w:r w:rsidR="009B6781" w:rsidRPr="007E24C9">
        <w:rPr>
          <w:rFonts w:cs="Times New Roman"/>
          <w:noProof/>
        </w:rPr>
        <w:t>2024</w:t>
      </w:r>
      <w:r w:rsidR="00637DEF" w:rsidRPr="007E24C9">
        <w:rPr>
          <w:rFonts w:cs="Times New Roman"/>
          <w:noProof/>
        </w:rPr>
        <w:t>. The views expressed will be taken into account in the</w:t>
      </w:r>
      <w:r w:rsidR="0DAD8328" w:rsidRPr="007E24C9">
        <w:rPr>
          <w:rFonts w:cs="Times New Roman"/>
          <w:noProof/>
        </w:rPr>
        <w:t xml:space="preserve"> ongoing</w:t>
      </w:r>
      <w:r w:rsidR="4A963F9E" w:rsidRPr="007E24C9">
        <w:rPr>
          <w:rFonts w:cs="Times New Roman"/>
          <w:noProof/>
        </w:rPr>
        <w:t xml:space="preserve"> </w:t>
      </w:r>
      <w:r w:rsidR="00637DEF" w:rsidRPr="007E24C9">
        <w:rPr>
          <w:rFonts w:cs="Times New Roman"/>
          <w:noProof/>
        </w:rPr>
        <w:t>evaluation</w:t>
      </w:r>
      <w:r w:rsidR="4D2C6B2C" w:rsidRPr="007E24C9">
        <w:rPr>
          <w:rFonts w:cs="Times New Roman"/>
          <w:noProof/>
        </w:rPr>
        <w:t xml:space="preserve">. </w:t>
      </w:r>
      <w:r w:rsidR="004F7988" w:rsidRPr="007E24C9">
        <w:rPr>
          <w:rFonts w:cs="Times New Roman"/>
          <w:noProof/>
        </w:rPr>
        <w:t xml:space="preserve"> </w:t>
      </w:r>
    </w:p>
    <w:p w14:paraId="4F44D65D" w14:textId="7E3226CC" w:rsidR="004F7988" w:rsidRDefault="004F7988" w:rsidP="006F5E36">
      <w:pPr>
        <w:spacing w:after="120"/>
        <w:jc w:val="both"/>
        <w:rPr>
          <w:rFonts w:eastAsia="Verdana" w:cs="Times New Roman"/>
          <w:noProof/>
          <w:lang w:val="en-GB" w:eastAsia="en-IE"/>
        </w:rPr>
      </w:pPr>
      <w:r w:rsidRPr="007E24C9">
        <w:rPr>
          <w:rFonts w:eastAsia="Verdana" w:cs="Times New Roman"/>
          <w:noProof/>
          <w:lang w:val="en-GB" w:eastAsia="en-IE"/>
        </w:rPr>
        <w:t xml:space="preserve">In response to requests from Member </w:t>
      </w:r>
      <w:r w:rsidR="002D7328" w:rsidRPr="007E24C9">
        <w:rPr>
          <w:rFonts w:eastAsia="Verdana" w:cs="Times New Roman"/>
          <w:noProof/>
          <w:lang w:val="en-GB" w:eastAsia="en-IE"/>
        </w:rPr>
        <w:t>S</w:t>
      </w:r>
      <w:r w:rsidRPr="007E24C9">
        <w:rPr>
          <w:rFonts w:eastAsia="Verdana" w:cs="Times New Roman"/>
          <w:noProof/>
          <w:lang w:val="en-GB" w:eastAsia="en-IE"/>
        </w:rPr>
        <w:t xml:space="preserve">tates and farmers’ organisations, the Commission also presented on </w:t>
      </w:r>
      <w:r w:rsidR="2795A76A" w:rsidRPr="007E24C9">
        <w:rPr>
          <w:rFonts w:eastAsia="Verdana" w:cs="Times New Roman"/>
          <w:noProof/>
          <w:lang w:val="en-GB" w:eastAsia="en-IE"/>
        </w:rPr>
        <w:t>1</w:t>
      </w:r>
      <w:r w:rsidR="5C6EBEFD" w:rsidRPr="007E24C9">
        <w:rPr>
          <w:rFonts w:eastAsia="Verdana" w:cs="Times New Roman"/>
          <w:noProof/>
          <w:lang w:val="en-GB" w:eastAsia="en-IE"/>
        </w:rPr>
        <w:t>9</w:t>
      </w:r>
      <w:r w:rsidRPr="007E24C9">
        <w:rPr>
          <w:rFonts w:eastAsia="Verdana" w:cs="Times New Roman"/>
          <w:noProof/>
          <w:lang w:val="en-GB" w:eastAsia="en-IE"/>
        </w:rPr>
        <w:t xml:space="preserve"> April</w:t>
      </w:r>
      <w:r w:rsidR="007F2EE5" w:rsidRPr="007E24C9">
        <w:rPr>
          <w:rFonts w:eastAsia="Verdana" w:cs="Times New Roman"/>
          <w:noProof/>
          <w:lang w:val="en-GB" w:eastAsia="en-IE"/>
        </w:rPr>
        <w:t xml:space="preserve"> 2024</w:t>
      </w:r>
      <w:r w:rsidR="00B86CAA" w:rsidRPr="007E24C9">
        <w:rPr>
          <w:rFonts w:eastAsia="Verdana" w:cs="Times New Roman"/>
          <w:noProof/>
          <w:lang w:val="en-GB" w:eastAsia="en-IE"/>
        </w:rPr>
        <w:t>,</w:t>
      </w:r>
      <w:r w:rsidRPr="007E24C9">
        <w:rPr>
          <w:rFonts w:eastAsia="Verdana" w:cs="Times New Roman"/>
          <w:noProof/>
          <w:lang w:val="en-GB" w:eastAsia="en-IE"/>
        </w:rPr>
        <w:t xml:space="preserve"> for public feedback</w:t>
      </w:r>
      <w:r w:rsidR="00C31FEC" w:rsidRPr="007E24C9">
        <w:rPr>
          <w:rStyle w:val="FootnoteReference"/>
          <w:rFonts w:eastAsia="Verdana" w:cs="Times New Roman"/>
          <w:noProof/>
          <w:lang w:val="en-GB" w:eastAsia="en-IE"/>
        </w:rPr>
        <w:footnoteReference w:id="59"/>
      </w:r>
      <w:r w:rsidR="00B86CAA" w:rsidRPr="007E24C9">
        <w:rPr>
          <w:rFonts w:eastAsia="Verdana" w:cs="Times New Roman"/>
          <w:noProof/>
          <w:lang w:val="en-GB" w:eastAsia="en-IE"/>
        </w:rPr>
        <w:t>,</w:t>
      </w:r>
      <w:r w:rsidRPr="007E24C9">
        <w:rPr>
          <w:rFonts w:eastAsia="Verdana" w:cs="Times New Roman"/>
          <w:noProof/>
          <w:lang w:val="en-GB" w:eastAsia="en-IE"/>
        </w:rPr>
        <w:t xml:space="preserve"> a draft amendment </w:t>
      </w:r>
      <w:r w:rsidR="00621FD5" w:rsidRPr="007E24C9">
        <w:rPr>
          <w:rFonts w:eastAsia="Verdana" w:cs="Times New Roman"/>
          <w:noProof/>
          <w:lang w:val="en-GB" w:eastAsia="en-IE"/>
        </w:rPr>
        <w:t xml:space="preserve">to </w:t>
      </w:r>
      <w:r w:rsidRPr="007E24C9">
        <w:rPr>
          <w:rFonts w:eastAsia="Verdana" w:cs="Times New Roman"/>
          <w:noProof/>
          <w:lang w:val="en-GB" w:eastAsia="en-IE"/>
        </w:rPr>
        <w:t xml:space="preserve">Annex III of the </w:t>
      </w:r>
      <w:r w:rsidRPr="007E24C9">
        <w:rPr>
          <w:rFonts w:eastAsia="Verdana" w:cs="Times New Roman"/>
          <w:noProof/>
          <w:lang w:val="en-GB" w:eastAsia="en-IE"/>
        </w:rPr>
        <w:lastRenderedPageBreak/>
        <w:t xml:space="preserve">Nitrates Directive, which will allow </w:t>
      </w:r>
      <w:r w:rsidR="373F371D" w:rsidRPr="08B2124B">
        <w:rPr>
          <w:rFonts w:eastAsia="Verdana" w:cs="Times New Roman"/>
          <w:noProof/>
          <w:lang w:val="en-GB" w:eastAsia="en-IE"/>
        </w:rPr>
        <w:t>Member States to authorise the use of</w:t>
      </w:r>
      <w:r w:rsidRPr="007E24C9">
        <w:rPr>
          <w:rFonts w:eastAsia="Verdana" w:cs="Times New Roman"/>
          <w:noProof/>
          <w:lang w:val="en-GB" w:eastAsia="en-IE"/>
        </w:rPr>
        <w:t xml:space="preserve"> RENURE fertilisers </w:t>
      </w:r>
      <w:r w:rsidR="00E05160" w:rsidRPr="007E24C9">
        <w:rPr>
          <w:rFonts w:eastAsia="Verdana" w:cs="Times New Roman"/>
          <w:noProof/>
          <w:lang w:val="en-GB" w:eastAsia="en-IE"/>
        </w:rPr>
        <w:t xml:space="preserve">(i.e. </w:t>
      </w:r>
      <w:r w:rsidR="009F2CD7" w:rsidRPr="007E24C9">
        <w:rPr>
          <w:rFonts w:eastAsia="Verdana" w:cs="Times New Roman"/>
          <w:noProof/>
          <w:lang w:val="en-GB" w:eastAsia="en-IE"/>
        </w:rPr>
        <w:t>fertilisers derived from manure)</w:t>
      </w:r>
      <w:r w:rsidR="009F2CD7" w:rsidRPr="08B2124B">
        <w:rPr>
          <w:rFonts w:eastAsia="Verdana" w:cs="Times New Roman"/>
          <w:noProof/>
          <w:lang w:val="en-GB" w:eastAsia="en-IE"/>
        </w:rPr>
        <w:t xml:space="preserve"> </w:t>
      </w:r>
      <w:r w:rsidR="001D117F">
        <w:rPr>
          <w:rFonts w:eastAsia="Verdana" w:cs="Times New Roman"/>
          <w:noProof/>
          <w:lang w:val="en-GB" w:eastAsia="en-IE"/>
        </w:rPr>
        <w:t>by</w:t>
      </w:r>
      <w:r w:rsidR="78B1D5D0" w:rsidRPr="08B2124B">
        <w:rPr>
          <w:rFonts w:eastAsia="Verdana" w:cs="Times New Roman"/>
          <w:noProof/>
          <w:lang w:val="en-GB" w:eastAsia="en-IE"/>
        </w:rPr>
        <w:t xml:space="preserve"> farmers</w:t>
      </w:r>
      <w:r w:rsidR="009F2CD7" w:rsidRPr="007E24C9">
        <w:rPr>
          <w:rFonts w:eastAsia="Verdana" w:cs="Times New Roman"/>
          <w:noProof/>
          <w:lang w:val="en-GB" w:eastAsia="en-IE"/>
        </w:rPr>
        <w:t xml:space="preserve"> </w:t>
      </w:r>
      <w:r w:rsidRPr="007E24C9">
        <w:rPr>
          <w:rFonts w:eastAsia="Verdana" w:cs="Times New Roman"/>
          <w:noProof/>
          <w:lang w:val="en-GB" w:eastAsia="en-IE"/>
        </w:rPr>
        <w:t>above the limit for manure application</w:t>
      </w:r>
      <w:r w:rsidR="23651AB1" w:rsidRPr="007E24C9">
        <w:rPr>
          <w:rFonts w:eastAsia="Verdana" w:cs="Times New Roman"/>
          <w:noProof/>
          <w:lang w:val="en-GB" w:eastAsia="en-IE"/>
        </w:rPr>
        <w:t xml:space="preserve"> in Nitrates Vulnerable Zones</w:t>
      </w:r>
      <w:r w:rsidR="00621FD5" w:rsidRPr="007E24C9">
        <w:rPr>
          <w:rFonts w:eastAsia="Verdana" w:cs="Times New Roman"/>
          <w:noProof/>
          <w:lang w:val="en-GB" w:eastAsia="en-IE"/>
        </w:rPr>
        <w:t>,</w:t>
      </w:r>
      <w:r w:rsidRPr="007E24C9">
        <w:rPr>
          <w:rFonts w:eastAsia="Verdana" w:cs="Times New Roman"/>
          <w:noProof/>
          <w:lang w:val="en-GB" w:eastAsia="en-IE"/>
        </w:rPr>
        <w:t xml:space="preserve"> thereby </w:t>
      </w:r>
      <w:r w:rsidR="1555AC11" w:rsidRPr="08B2124B">
        <w:rPr>
          <w:rFonts w:eastAsia="Verdana" w:cs="Times New Roman"/>
          <w:noProof/>
          <w:lang w:val="en-GB" w:eastAsia="en-IE"/>
        </w:rPr>
        <w:t xml:space="preserve">contributing to the </w:t>
      </w:r>
      <w:r w:rsidRPr="007E24C9">
        <w:rPr>
          <w:rFonts w:eastAsia="Verdana" w:cs="Times New Roman"/>
          <w:noProof/>
          <w:lang w:val="en-GB" w:eastAsia="en-IE"/>
        </w:rPr>
        <w:t>replac</w:t>
      </w:r>
      <w:r w:rsidR="0BBFA7CF" w:rsidRPr="08B2124B">
        <w:rPr>
          <w:rFonts w:eastAsia="Verdana" w:cs="Times New Roman"/>
          <w:noProof/>
          <w:lang w:val="en-GB" w:eastAsia="en-IE"/>
        </w:rPr>
        <w:t>ement of</w:t>
      </w:r>
      <w:r w:rsidRPr="007E24C9">
        <w:rPr>
          <w:rFonts w:eastAsia="Verdana" w:cs="Times New Roman"/>
          <w:noProof/>
          <w:lang w:val="en-GB" w:eastAsia="en-IE"/>
        </w:rPr>
        <w:t xml:space="preserve"> chemical fertilisers. This </w:t>
      </w:r>
      <w:r w:rsidR="4ABC8D76" w:rsidRPr="00FF77A3">
        <w:rPr>
          <w:rFonts w:eastAsia="Verdana" w:cs="Times New Roman"/>
          <w:noProof/>
          <w:lang w:val="en-GB" w:eastAsia="en-IE"/>
        </w:rPr>
        <w:t>draft</w:t>
      </w:r>
      <w:r w:rsidRPr="00FF77A3">
        <w:rPr>
          <w:rFonts w:eastAsia="Verdana" w:cs="Times New Roman"/>
          <w:noProof/>
          <w:lang w:val="en-GB" w:eastAsia="en-IE"/>
        </w:rPr>
        <w:t xml:space="preserve"> </w:t>
      </w:r>
      <w:r w:rsidR="00AB3DC4" w:rsidRPr="00FF77A3">
        <w:rPr>
          <w:rFonts w:eastAsia="Verdana" w:cs="Times New Roman"/>
          <w:noProof/>
          <w:lang w:val="en-GB" w:eastAsia="en-IE"/>
        </w:rPr>
        <w:t>amendment</w:t>
      </w:r>
      <w:r w:rsidR="00AB3DC4" w:rsidRPr="08B2124B">
        <w:rPr>
          <w:rFonts w:eastAsia="Verdana" w:cs="Times New Roman"/>
          <w:noProof/>
          <w:lang w:val="en-GB" w:eastAsia="en-IE"/>
        </w:rPr>
        <w:t xml:space="preserve"> </w:t>
      </w:r>
      <w:r w:rsidRPr="007E24C9">
        <w:rPr>
          <w:rFonts w:eastAsia="Verdana" w:cs="Times New Roman"/>
          <w:noProof/>
          <w:lang w:val="en-GB" w:eastAsia="en-IE"/>
        </w:rPr>
        <w:t xml:space="preserve">is aimed </w:t>
      </w:r>
      <w:r w:rsidR="00621FD5" w:rsidRPr="007E24C9">
        <w:rPr>
          <w:rFonts w:eastAsia="Verdana" w:cs="Times New Roman"/>
          <w:noProof/>
          <w:lang w:val="en-GB" w:eastAsia="en-IE"/>
        </w:rPr>
        <w:t xml:space="preserve">to be </w:t>
      </w:r>
      <w:r w:rsidRPr="007E24C9">
        <w:rPr>
          <w:rFonts w:eastAsia="Verdana" w:cs="Times New Roman"/>
          <w:noProof/>
          <w:lang w:val="en-GB" w:eastAsia="en-IE"/>
        </w:rPr>
        <w:t>an interim solution to address the immediate needs of farmers while also ensuring appropriate safeguards to comply with environmental protection objectives, particularly the protection of waters against pollution caused by nitrates from agricultural sources.</w:t>
      </w:r>
      <w:r w:rsidRPr="5B7F1876">
        <w:rPr>
          <w:rFonts w:eastAsia="Verdana" w:cs="Times New Roman"/>
          <w:noProof/>
          <w:lang w:val="en-GB" w:eastAsia="en-IE"/>
        </w:rPr>
        <w:t xml:space="preserve"> </w:t>
      </w:r>
    </w:p>
    <w:p w14:paraId="24995C9D" w14:textId="550F9563" w:rsidR="00515ABD" w:rsidRPr="00FF77A3" w:rsidRDefault="00FB3EDC" w:rsidP="00FF77A3">
      <w:pPr>
        <w:spacing w:after="120" w:line="240" w:lineRule="auto"/>
        <w:jc w:val="both"/>
        <w:rPr>
          <w:rFonts w:eastAsia="Calibri" w:cs="Times New Roman"/>
          <w:b/>
          <w:bCs/>
          <w:noProof/>
          <w:lang w:val="en-GB"/>
        </w:rPr>
      </w:pPr>
      <w:r w:rsidRPr="00FF77A3">
        <w:rPr>
          <w:rFonts w:eastAsia="Calibri" w:cs="Times New Roman"/>
          <w:b/>
          <w:bCs/>
          <w:noProof/>
          <w:lang w:val="en-GB"/>
        </w:rPr>
        <w:t xml:space="preserve">Actions in relation to </w:t>
      </w:r>
      <w:r w:rsidR="004C7040">
        <w:rPr>
          <w:rFonts w:eastAsia="Calibri" w:cs="Times New Roman"/>
          <w:b/>
          <w:bCs/>
          <w:noProof/>
          <w:lang w:val="en-GB"/>
        </w:rPr>
        <w:t xml:space="preserve">the </w:t>
      </w:r>
      <w:r w:rsidR="00515ABD" w:rsidRPr="00FF77A3">
        <w:rPr>
          <w:rFonts w:eastAsia="Calibri" w:cs="Times New Roman"/>
          <w:b/>
          <w:bCs/>
          <w:noProof/>
          <w:lang w:val="en-GB"/>
        </w:rPr>
        <w:t xml:space="preserve">EU Deforestation Regulation </w:t>
      </w:r>
    </w:p>
    <w:p w14:paraId="7BFD0DFF" w14:textId="77777777" w:rsidR="00FF77A3" w:rsidRPr="00085328" w:rsidRDefault="00FB3EDC" w:rsidP="00515ABD">
      <w:pPr>
        <w:spacing w:after="120" w:line="240" w:lineRule="auto"/>
        <w:jc w:val="both"/>
        <w:rPr>
          <w:rFonts w:eastAsia="Calibri" w:cs="Times New Roman"/>
          <w:noProof/>
          <w:lang w:val="en-GB"/>
        </w:rPr>
      </w:pPr>
      <w:r w:rsidRPr="00085328">
        <w:rPr>
          <w:rFonts w:eastAsia="Calibri" w:cs="Times New Roman"/>
          <w:noProof/>
          <w:lang w:val="en-GB"/>
        </w:rPr>
        <w:t>The EU Deforestation Regulation</w:t>
      </w:r>
      <w:r w:rsidRPr="00085328">
        <w:rPr>
          <w:rStyle w:val="FootnoteReference"/>
          <w:rFonts w:eastAsia="Calibri" w:cs="Times New Roman"/>
          <w:noProof/>
          <w:lang w:val="en-GB"/>
        </w:rPr>
        <w:footnoteReference w:id="60"/>
      </w:r>
      <w:r w:rsidRPr="00085328">
        <w:rPr>
          <w:rFonts w:eastAsia="Calibri" w:cs="Times New Roman"/>
          <w:noProof/>
          <w:lang w:val="en-GB"/>
        </w:rPr>
        <w:t xml:space="preserve"> </w:t>
      </w:r>
      <w:r w:rsidR="00515ABD" w:rsidRPr="00085328">
        <w:rPr>
          <w:rFonts w:eastAsia="Calibri" w:cs="Times New Roman"/>
          <w:noProof/>
          <w:lang w:val="en-GB"/>
        </w:rPr>
        <w:t>lays down rules to ensure that</w:t>
      </w:r>
      <w:r w:rsidR="00EE0456" w:rsidRPr="00085328">
        <w:rPr>
          <w:rFonts w:eastAsia="Calibri" w:cs="Times New Roman"/>
          <w:noProof/>
          <w:lang w:val="en-GB"/>
        </w:rPr>
        <w:t xml:space="preserve"> </w:t>
      </w:r>
      <w:r w:rsidR="00515ABD" w:rsidRPr="00085328">
        <w:rPr>
          <w:rFonts w:eastAsia="Calibri" w:cs="Times New Roman"/>
          <w:noProof/>
          <w:lang w:val="en-GB"/>
        </w:rPr>
        <w:t>certain commodities (cattle, cocoa, coffee, oil palm, rubber, soya and wood) and relevant products are placed or made available on the Union market or exported, only if they are</w:t>
      </w:r>
      <w:r w:rsidR="004D25FB" w:rsidRPr="00085328">
        <w:rPr>
          <w:rFonts w:eastAsia="Calibri" w:cs="Times New Roman"/>
          <w:noProof/>
          <w:lang w:val="en-GB"/>
        </w:rPr>
        <w:t xml:space="preserve"> </w:t>
      </w:r>
      <w:r w:rsidR="00515ABD" w:rsidRPr="00085328">
        <w:rPr>
          <w:rFonts w:eastAsia="Calibri" w:cs="Times New Roman"/>
          <w:noProof/>
          <w:lang w:val="en-GB"/>
        </w:rPr>
        <w:t xml:space="preserve">deforestation-free, have been produced in accordance with the relevant legislation of the country of production and covered by a due diligence statement. </w:t>
      </w:r>
    </w:p>
    <w:p w14:paraId="52B62DC2" w14:textId="78583C99" w:rsidR="00446C62" w:rsidRPr="00FF77A3" w:rsidRDefault="00DB2214" w:rsidP="00515ABD">
      <w:pPr>
        <w:spacing w:after="120" w:line="240" w:lineRule="auto"/>
        <w:jc w:val="both"/>
        <w:rPr>
          <w:rFonts w:eastAsia="Calibri" w:cs="Times New Roman"/>
          <w:noProof/>
          <w:lang w:val="en-GB"/>
        </w:rPr>
      </w:pPr>
      <w:r w:rsidRPr="00085328">
        <w:rPr>
          <w:rFonts w:eastAsia="Calibri" w:cs="Times New Roman"/>
          <w:noProof/>
          <w:lang w:val="en-GB"/>
        </w:rPr>
        <w:t xml:space="preserve">To address concerns raised in relation </w:t>
      </w:r>
      <w:r w:rsidR="009D1B64" w:rsidRPr="00085328">
        <w:rPr>
          <w:rFonts w:eastAsia="Calibri" w:cs="Times New Roman"/>
          <w:noProof/>
          <w:lang w:val="en-GB"/>
        </w:rPr>
        <w:t xml:space="preserve">to the </w:t>
      </w:r>
      <w:r w:rsidRPr="00085328">
        <w:rPr>
          <w:rFonts w:eastAsia="Calibri" w:cs="Times New Roman"/>
          <w:noProof/>
          <w:lang w:val="en-GB"/>
        </w:rPr>
        <w:t>Regulation</w:t>
      </w:r>
      <w:r w:rsidR="009D1B64" w:rsidRPr="00085328">
        <w:rPr>
          <w:rFonts w:eastAsia="Calibri" w:cs="Times New Roman"/>
          <w:noProof/>
          <w:lang w:val="en-GB"/>
        </w:rPr>
        <w:t xml:space="preserve">, </w:t>
      </w:r>
      <w:r w:rsidR="00B57DFB" w:rsidRPr="00085328">
        <w:rPr>
          <w:rFonts w:eastAsia="Calibri" w:cs="Times New Roman"/>
          <w:noProof/>
          <w:lang w:val="en-GB"/>
        </w:rPr>
        <w:t xml:space="preserve">the Commission </w:t>
      </w:r>
      <w:r w:rsidR="00E75E14" w:rsidRPr="00085328">
        <w:rPr>
          <w:rFonts w:eastAsia="Calibri" w:cs="Times New Roman"/>
          <w:noProof/>
          <w:lang w:val="en-GB"/>
        </w:rPr>
        <w:t xml:space="preserve">put forward a set of measures in its package </w:t>
      </w:r>
      <w:r w:rsidR="009D1B64" w:rsidRPr="00085328">
        <w:rPr>
          <w:rFonts w:eastAsia="Calibri" w:cs="Times New Roman"/>
          <w:noProof/>
          <w:lang w:val="en-GB"/>
        </w:rPr>
        <w:t xml:space="preserve">of </w:t>
      </w:r>
      <w:r w:rsidR="00E75E14" w:rsidRPr="00085328">
        <w:rPr>
          <w:rFonts w:eastAsia="Calibri" w:cs="Times New Roman"/>
          <w:noProof/>
          <w:lang w:val="en-GB"/>
        </w:rPr>
        <w:t>2 October 2024</w:t>
      </w:r>
      <w:r w:rsidR="00C352A4" w:rsidRPr="00085328">
        <w:rPr>
          <w:rStyle w:val="FootnoteReference"/>
          <w:rFonts w:eastAsia="Calibri" w:cs="Times New Roman"/>
          <w:noProof/>
          <w:lang w:val="en-GB"/>
        </w:rPr>
        <w:footnoteReference w:id="61"/>
      </w:r>
      <w:r w:rsidR="00E75E14" w:rsidRPr="00085328">
        <w:rPr>
          <w:rFonts w:eastAsia="Calibri" w:cs="Times New Roman"/>
          <w:noProof/>
          <w:lang w:val="en-GB"/>
        </w:rPr>
        <w:t>.</w:t>
      </w:r>
      <w:r w:rsidR="009D1B64" w:rsidRPr="00085328">
        <w:rPr>
          <w:rFonts w:eastAsia="Calibri" w:cs="Times New Roman"/>
          <w:noProof/>
          <w:lang w:val="en-GB"/>
        </w:rPr>
        <w:t xml:space="preserve"> This include</w:t>
      </w:r>
      <w:r w:rsidR="009E6AE5" w:rsidRPr="00085328">
        <w:rPr>
          <w:rFonts w:eastAsia="Calibri" w:cs="Times New Roman"/>
          <w:noProof/>
          <w:lang w:val="en-GB"/>
        </w:rPr>
        <w:t>s</w:t>
      </w:r>
      <w:r w:rsidR="00B13558" w:rsidRPr="00085328">
        <w:rPr>
          <w:rFonts w:eastAsia="Calibri" w:cs="Times New Roman"/>
          <w:noProof/>
          <w:lang w:val="en-GB"/>
        </w:rPr>
        <w:t xml:space="preserve"> a proposal for </w:t>
      </w:r>
      <w:r w:rsidR="00515ABD" w:rsidRPr="00085328">
        <w:rPr>
          <w:rFonts w:eastAsia="Calibri" w:cs="Times New Roman"/>
          <w:noProof/>
          <w:lang w:val="en-GB"/>
        </w:rPr>
        <w:t xml:space="preserve">an additional </w:t>
      </w:r>
      <w:r w:rsidR="00B676AA" w:rsidRPr="00085328">
        <w:rPr>
          <w:rFonts w:eastAsia="Calibri" w:cs="Times New Roman"/>
          <w:noProof/>
          <w:lang w:val="en-GB"/>
        </w:rPr>
        <w:t>12-month</w:t>
      </w:r>
      <w:r w:rsidR="00515ABD" w:rsidRPr="00085328">
        <w:rPr>
          <w:rFonts w:eastAsia="Calibri" w:cs="Times New Roman"/>
          <w:noProof/>
          <w:lang w:val="en-GB"/>
        </w:rPr>
        <w:t xml:space="preserve"> phasing-in period, which </w:t>
      </w:r>
      <w:r w:rsidR="001B4CF6" w:rsidRPr="00085328">
        <w:rPr>
          <w:rFonts w:eastAsia="Calibri" w:cs="Times New Roman"/>
          <w:noProof/>
          <w:lang w:val="en-GB"/>
        </w:rPr>
        <w:t>– upon agreement of co-legislators – will s</w:t>
      </w:r>
      <w:r w:rsidR="00515ABD" w:rsidRPr="00085328">
        <w:rPr>
          <w:rFonts w:eastAsia="Calibri" w:cs="Times New Roman"/>
          <w:noProof/>
          <w:lang w:val="en-GB"/>
        </w:rPr>
        <w:t>hift the date of applicability by 12 months, to allow operators, traders and competent authorities to be better prepared and to fully establish the necessary due diligence systems.</w:t>
      </w:r>
      <w:r w:rsidR="00F76EB5" w:rsidRPr="00085328">
        <w:rPr>
          <w:rFonts w:eastAsia="Calibri" w:cs="Times New Roman"/>
          <w:noProof/>
          <w:lang w:val="en-GB"/>
        </w:rPr>
        <w:t xml:space="preserve"> In addition, t</w:t>
      </w:r>
      <w:r w:rsidR="00515ABD" w:rsidRPr="00085328">
        <w:rPr>
          <w:rFonts w:eastAsia="Calibri" w:cs="Times New Roman"/>
          <w:noProof/>
          <w:lang w:val="en-GB"/>
        </w:rPr>
        <w:t>he Commission published a Guidance Document and Frequently Asked Questions (FAQs) which address and clarify many issues raised by farmers and forest owners</w:t>
      </w:r>
      <w:r w:rsidR="00A47D37" w:rsidRPr="00085328">
        <w:rPr>
          <w:rFonts w:eastAsia="Calibri" w:cs="Times New Roman"/>
          <w:noProof/>
          <w:lang w:val="en-GB"/>
        </w:rPr>
        <w:t xml:space="preserve"> (see also </w:t>
      </w:r>
      <w:r w:rsidR="00085328">
        <w:rPr>
          <w:rFonts w:eastAsia="Calibri" w:cs="Times New Roman"/>
          <w:noProof/>
          <w:lang w:val="en-GB"/>
        </w:rPr>
        <w:t>A</w:t>
      </w:r>
      <w:r w:rsidR="00DB5C4A" w:rsidRPr="00085328">
        <w:rPr>
          <w:rFonts w:eastAsia="Calibri" w:cs="Times New Roman"/>
          <w:noProof/>
          <w:lang w:val="en-GB"/>
        </w:rPr>
        <w:t>nnex</w:t>
      </w:r>
      <w:r w:rsidR="00521165">
        <w:rPr>
          <w:rFonts w:eastAsia="Calibri" w:cs="Times New Roman"/>
          <w:noProof/>
          <w:lang w:val="en-GB"/>
        </w:rPr>
        <w:t xml:space="preserve"> 2</w:t>
      </w:r>
      <w:r w:rsidR="00DB5C4A" w:rsidRPr="00085328">
        <w:rPr>
          <w:rFonts w:eastAsia="Calibri" w:cs="Times New Roman"/>
          <w:noProof/>
          <w:lang w:val="en-GB"/>
        </w:rPr>
        <w:t xml:space="preserve">, </w:t>
      </w:r>
      <w:r w:rsidR="001F253E">
        <w:rPr>
          <w:rFonts w:eastAsia="Calibri" w:cs="Times New Roman"/>
          <w:noProof/>
          <w:lang w:val="en-GB"/>
        </w:rPr>
        <w:t>page 109</w:t>
      </w:r>
      <w:r w:rsidR="00DB5C4A" w:rsidRPr="00085328">
        <w:rPr>
          <w:rFonts w:eastAsia="Calibri" w:cs="Times New Roman"/>
          <w:noProof/>
          <w:lang w:val="en-GB"/>
        </w:rPr>
        <w:t>)</w:t>
      </w:r>
      <w:r w:rsidR="00515ABD" w:rsidRPr="00085328">
        <w:rPr>
          <w:rFonts w:eastAsia="Calibri" w:cs="Times New Roman"/>
          <w:noProof/>
          <w:lang w:val="en-GB"/>
        </w:rPr>
        <w:t>.</w:t>
      </w:r>
      <w:r w:rsidR="00515ABD" w:rsidRPr="00FF77A3">
        <w:rPr>
          <w:rFonts w:eastAsia="Calibri" w:cs="Times New Roman"/>
          <w:noProof/>
          <w:lang w:val="en-GB"/>
        </w:rPr>
        <w:t xml:space="preserve"> </w:t>
      </w:r>
    </w:p>
    <w:p w14:paraId="2EFC0ABE" w14:textId="1A6D8FD6" w:rsidR="009B7745" w:rsidRPr="00724676" w:rsidRDefault="00413341" w:rsidP="00197E11">
      <w:pPr>
        <w:pStyle w:val="Heading1"/>
        <w:spacing w:before="120" w:after="240"/>
        <w:rPr>
          <w:noProof/>
          <w:lang w:val="en-GB"/>
        </w:rPr>
      </w:pPr>
      <w:bookmarkStart w:id="134" w:name="_Toc172125133"/>
      <w:r w:rsidRPr="00724676">
        <w:rPr>
          <w:bCs/>
          <w:noProof/>
          <w:lang w:val="en-GB"/>
        </w:rPr>
        <w:t>6.</w:t>
      </w:r>
      <w:r w:rsidR="00531D1D" w:rsidRPr="00724676">
        <w:rPr>
          <w:bCs/>
          <w:noProof/>
          <w:lang w:val="en-GB"/>
        </w:rPr>
        <w:t xml:space="preserve"> </w:t>
      </w:r>
      <w:r w:rsidR="00C600AC" w:rsidRPr="00724676">
        <w:rPr>
          <w:noProof/>
          <w:lang w:val="en-GB"/>
        </w:rPr>
        <w:t xml:space="preserve"> MAIN </w:t>
      </w:r>
      <w:r w:rsidR="00531D1D" w:rsidRPr="00724676">
        <w:rPr>
          <w:noProof/>
          <w:lang w:val="en-GB"/>
        </w:rPr>
        <w:t>IMPACTS OF THE SIMPLIFICATION MEASURES</w:t>
      </w:r>
      <w:bookmarkEnd w:id="134"/>
    </w:p>
    <w:p w14:paraId="0A6B40BD" w14:textId="6FCB665B" w:rsidR="009004BF" w:rsidRPr="00724676" w:rsidRDefault="009004BF" w:rsidP="00261DD7">
      <w:pPr>
        <w:spacing w:after="240"/>
        <w:jc w:val="both"/>
        <w:rPr>
          <w:noProof/>
          <w:lang w:val="en-GB"/>
        </w:rPr>
      </w:pPr>
      <w:r w:rsidRPr="2E1D0E0E">
        <w:rPr>
          <w:rFonts w:cs="Times New Roman"/>
          <w:noProof/>
          <w:lang w:val="en-GB"/>
        </w:rPr>
        <w:t xml:space="preserve">Delivering on its commitment to ease </w:t>
      </w:r>
      <w:r w:rsidR="00621FD5" w:rsidRPr="2E1D0E0E">
        <w:rPr>
          <w:rFonts w:cs="Times New Roman"/>
          <w:noProof/>
          <w:lang w:val="en-GB"/>
        </w:rPr>
        <w:t xml:space="preserve">the </w:t>
      </w:r>
      <w:r w:rsidRPr="2E1D0E0E">
        <w:rPr>
          <w:rFonts w:cs="Times New Roman"/>
          <w:noProof/>
          <w:lang w:val="en-GB"/>
        </w:rPr>
        <w:t xml:space="preserve">administrative burden </w:t>
      </w:r>
      <w:r w:rsidR="00752B58" w:rsidRPr="2E1D0E0E">
        <w:rPr>
          <w:rFonts w:cs="Times New Roman"/>
          <w:noProof/>
          <w:lang w:val="en-GB"/>
        </w:rPr>
        <w:t xml:space="preserve">on </w:t>
      </w:r>
      <w:r w:rsidRPr="2E1D0E0E">
        <w:rPr>
          <w:rFonts w:cs="Times New Roman"/>
          <w:noProof/>
          <w:lang w:val="en-GB"/>
        </w:rPr>
        <w:t>EU farmers, the Commission listened attentively to the concerns expressed by farmers, their organisations and Member States</w:t>
      </w:r>
      <w:r w:rsidR="00752B58" w:rsidRPr="2E1D0E0E">
        <w:rPr>
          <w:rFonts w:cs="Times New Roman"/>
          <w:noProof/>
          <w:lang w:val="en-GB"/>
        </w:rPr>
        <w:t>,</w:t>
      </w:r>
      <w:r w:rsidRPr="2E1D0E0E">
        <w:rPr>
          <w:rFonts w:cs="Times New Roman"/>
          <w:noProof/>
          <w:lang w:val="en-GB"/>
        </w:rPr>
        <w:t xml:space="preserve"> and acted on them by </w:t>
      </w:r>
      <w:r w:rsidR="00F44D7A" w:rsidRPr="2E1D0E0E">
        <w:rPr>
          <w:rFonts w:cs="Times New Roman"/>
          <w:noProof/>
          <w:lang w:val="en-GB"/>
        </w:rPr>
        <w:t>delivering concrete</w:t>
      </w:r>
      <w:r w:rsidRPr="2E1D0E0E">
        <w:rPr>
          <w:rFonts w:cs="Times New Roman"/>
          <w:noProof/>
          <w:lang w:val="en-GB"/>
        </w:rPr>
        <w:t xml:space="preserve"> </w:t>
      </w:r>
      <w:r w:rsidR="1DCC377A" w:rsidRPr="2E1D0E0E">
        <w:rPr>
          <w:rFonts w:cs="Times New Roman"/>
          <w:noProof/>
          <w:lang w:val="en-GB"/>
        </w:rPr>
        <w:t>measures</w:t>
      </w:r>
      <w:r w:rsidRPr="2E1D0E0E">
        <w:rPr>
          <w:rFonts w:cs="Times New Roman"/>
          <w:noProof/>
          <w:lang w:val="en-GB"/>
        </w:rPr>
        <w:t xml:space="preserve"> under the simplification package. The</w:t>
      </w:r>
      <w:r w:rsidR="0BA3C21C" w:rsidRPr="2E1D0E0E">
        <w:rPr>
          <w:rFonts w:cs="Times New Roman"/>
          <w:noProof/>
          <w:lang w:val="en-GB"/>
        </w:rPr>
        <w:t>y</w:t>
      </w:r>
      <w:r w:rsidRPr="2E1D0E0E">
        <w:rPr>
          <w:rFonts w:cs="Times New Roman"/>
          <w:noProof/>
          <w:lang w:val="en-GB"/>
        </w:rPr>
        <w:t xml:space="preserve"> were developed based on </w:t>
      </w:r>
      <w:r w:rsidR="47BEBE6C" w:rsidRPr="2E1D0E0E">
        <w:rPr>
          <w:rFonts w:cs="Times New Roman"/>
          <w:noProof/>
          <w:lang w:val="en-GB"/>
        </w:rPr>
        <w:t xml:space="preserve">suggestions </w:t>
      </w:r>
      <w:r w:rsidRPr="2E1D0E0E">
        <w:rPr>
          <w:rFonts w:cs="Times New Roman"/>
          <w:noProof/>
          <w:lang w:val="en-GB"/>
        </w:rPr>
        <w:t>made by and in close cooperation with national administrations and farmers’ representatives. As such</w:t>
      </w:r>
      <w:r w:rsidR="00752B58" w:rsidRPr="2E1D0E0E">
        <w:rPr>
          <w:rFonts w:cs="Times New Roman"/>
          <w:noProof/>
          <w:lang w:val="en-GB"/>
        </w:rPr>
        <w:t>,</w:t>
      </w:r>
      <w:r w:rsidRPr="2E1D0E0E">
        <w:rPr>
          <w:rFonts w:cs="Times New Roman"/>
          <w:noProof/>
          <w:lang w:val="en-GB"/>
        </w:rPr>
        <w:t xml:space="preserve"> this exercise should </w:t>
      </w:r>
      <w:r w:rsidRPr="2E1D0E0E">
        <w:rPr>
          <w:rFonts w:cs="Times New Roman"/>
          <w:b/>
          <w:noProof/>
          <w:lang w:val="en-GB"/>
        </w:rPr>
        <w:t>contribute to building trust between the different actors and levels of governance</w:t>
      </w:r>
      <w:r w:rsidRPr="2E1D0E0E">
        <w:rPr>
          <w:rFonts w:cs="Times New Roman"/>
          <w:noProof/>
          <w:lang w:val="en-GB"/>
        </w:rPr>
        <w:t xml:space="preserve">, which is an essential factor </w:t>
      </w:r>
      <w:r w:rsidR="00752B58" w:rsidRPr="2E1D0E0E">
        <w:rPr>
          <w:rFonts w:cs="Times New Roman"/>
          <w:noProof/>
          <w:lang w:val="en-GB"/>
        </w:rPr>
        <w:t xml:space="preserve">in </w:t>
      </w:r>
      <w:r w:rsidRPr="2E1D0E0E">
        <w:rPr>
          <w:rFonts w:cs="Times New Roman"/>
          <w:b/>
          <w:noProof/>
          <w:lang w:val="en-GB"/>
        </w:rPr>
        <w:t>better policy delivery.</w:t>
      </w:r>
      <w:r w:rsidR="000E7920" w:rsidRPr="2E1D0E0E">
        <w:rPr>
          <w:rFonts w:cs="Times New Roman"/>
          <w:b/>
          <w:noProof/>
          <w:lang w:val="en-GB"/>
        </w:rPr>
        <w:t xml:space="preserve"> </w:t>
      </w:r>
      <w:r w:rsidR="000E7920" w:rsidRPr="2E1D0E0E">
        <w:rPr>
          <w:rFonts w:cs="Times New Roman"/>
          <w:noProof/>
          <w:lang w:val="en-GB"/>
        </w:rPr>
        <w:t>The impact analysis</w:t>
      </w:r>
      <w:r w:rsidR="00752B58" w:rsidRPr="2E1D0E0E">
        <w:rPr>
          <w:rFonts w:cs="Times New Roman"/>
          <w:noProof/>
          <w:lang w:val="en-GB"/>
        </w:rPr>
        <w:t xml:space="preserve"> of the</w:t>
      </w:r>
      <w:r w:rsidR="01766E87" w:rsidRPr="2E1D0E0E">
        <w:rPr>
          <w:rFonts w:cs="Times New Roman"/>
          <w:noProof/>
          <w:lang w:val="en-GB"/>
        </w:rPr>
        <w:t>se</w:t>
      </w:r>
      <w:r w:rsidR="00752B58" w:rsidRPr="2E1D0E0E">
        <w:rPr>
          <w:rFonts w:cs="Times New Roman"/>
          <w:noProof/>
          <w:lang w:val="en-GB"/>
        </w:rPr>
        <w:t xml:space="preserve"> measures</w:t>
      </w:r>
      <w:r w:rsidR="000E7920" w:rsidRPr="2E1D0E0E">
        <w:rPr>
          <w:rFonts w:cs="Times New Roman"/>
          <w:noProof/>
          <w:lang w:val="en-GB"/>
        </w:rPr>
        <w:t xml:space="preserve"> is summarised </w:t>
      </w:r>
      <w:r w:rsidR="00165690">
        <w:rPr>
          <w:rFonts w:cs="Times New Roman"/>
          <w:noProof/>
          <w:lang w:val="en-GB"/>
        </w:rPr>
        <w:br/>
      </w:r>
      <w:r w:rsidR="000E7920" w:rsidRPr="2E1D0E0E">
        <w:rPr>
          <w:rFonts w:cs="Times New Roman"/>
          <w:noProof/>
          <w:lang w:val="en-GB"/>
        </w:rPr>
        <w:t xml:space="preserve">in </w:t>
      </w:r>
      <w:r w:rsidR="00752B58" w:rsidRPr="2E1D0E0E">
        <w:rPr>
          <w:rFonts w:cs="Times New Roman"/>
          <w:noProof/>
          <w:lang w:val="en-GB"/>
        </w:rPr>
        <w:t>A</w:t>
      </w:r>
      <w:r w:rsidR="000E7920" w:rsidRPr="2E1D0E0E">
        <w:rPr>
          <w:rFonts w:cs="Times New Roman"/>
          <w:noProof/>
          <w:lang w:val="en-GB"/>
        </w:rPr>
        <w:t>nnex</w:t>
      </w:r>
      <w:r w:rsidR="00165690">
        <w:rPr>
          <w:rFonts w:cs="Times New Roman"/>
          <w:noProof/>
          <w:lang w:val="en-GB"/>
        </w:rPr>
        <w:t xml:space="preserve"> </w:t>
      </w:r>
      <w:r w:rsidR="000E7920" w:rsidRPr="2E1D0E0E">
        <w:rPr>
          <w:rFonts w:cs="Times New Roman"/>
          <w:noProof/>
          <w:lang w:val="en-GB"/>
        </w:rPr>
        <w:t>3</w:t>
      </w:r>
      <w:r w:rsidR="007215B6" w:rsidRPr="2E1D0E0E">
        <w:rPr>
          <w:rFonts w:cs="Times New Roman"/>
          <w:noProof/>
          <w:lang w:val="en-GB"/>
        </w:rPr>
        <w:t>.</w:t>
      </w:r>
    </w:p>
    <w:p w14:paraId="3ED115CB" w14:textId="445E65F1" w:rsidR="006143E7" w:rsidRPr="00724676" w:rsidRDefault="009B7745" w:rsidP="00BA4E5B">
      <w:pPr>
        <w:pStyle w:val="Heading2"/>
        <w:rPr>
          <w:noProof/>
          <w:lang w:val="en-GB"/>
        </w:rPr>
      </w:pPr>
      <w:bookmarkStart w:id="135" w:name="_Toc172125134"/>
      <w:r w:rsidRPr="00724676">
        <w:rPr>
          <w:noProof/>
          <w:lang w:val="en-GB"/>
        </w:rPr>
        <w:t xml:space="preserve">6.1 </w:t>
      </w:r>
      <w:r w:rsidR="006143E7" w:rsidRPr="00724676">
        <w:rPr>
          <w:noProof/>
          <w:lang w:val="en-GB"/>
        </w:rPr>
        <w:t xml:space="preserve">Impacts on </w:t>
      </w:r>
      <w:r w:rsidR="00752B58">
        <w:rPr>
          <w:noProof/>
          <w:lang w:val="en-GB"/>
        </w:rPr>
        <w:t xml:space="preserve">the </w:t>
      </w:r>
      <w:r w:rsidR="006143E7" w:rsidRPr="00724676">
        <w:rPr>
          <w:noProof/>
          <w:lang w:val="en-GB"/>
        </w:rPr>
        <w:t>administrative burden</w:t>
      </w:r>
      <w:r w:rsidR="00D353FA" w:rsidRPr="00724676">
        <w:rPr>
          <w:noProof/>
          <w:lang w:val="en-GB"/>
        </w:rPr>
        <w:t xml:space="preserve"> </w:t>
      </w:r>
      <w:r w:rsidR="00382771" w:rsidRPr="00724676">
        <w:rPr>
          <w:noProof/>
          <w:lang w:val="en-GB"/>
        </w:rPr>
        <w:t>for beneficiaries</w:t>
      </w:r>
      <w:r w:rsidR="00D353FA" w:rsidRPr="00724676">
        <w:rPr>
          <w:noProof/>
          <w:color w:val="FF0000"/>
          <w:lang w:val="en-GB"/>
        </w:rPr>
        <w:t xml:space="preserve"> </w:t>
      </w:r>
      <w:r w:rsidR="0065078C" w:rsidRPr="00724676">
        <w:rPr>
          <w:noProof/>
          <w:lang w:val="en-GB"/>
        </w:rPr>
        <w:t xml:space="preserve">and </w:t>
      </w:r>
      <w:r w:rsidR="00283FF6" w:rsidRPr="00724676">
        <w:rPr>
          <w:noProof/>
          <w:lang w:val="en-GB"/>
        </w:rPr>
        <w:t>national administrations</w:t>
      </w:r>
      <w:bookmarkEnd w:id="135"/>
    </w:p>
    <w:p w14:paraId="07A0C5AF" w14:textId="13F16F60" w:rsidR="00FF2816" w:rsidRPr="00724676" w:rsidRDefault="00FF2816" w:rsidP="00261DD7">
      <w:pPr>
        <w:spacing w:before="240" w:after="240"/>
        <w:rPr>
          <w:rFonts w:cs="Times New Roman"/>
          <w:noProof/>
          <w:szCs w:val="24"/>
          <w:lang w:val="en-GB"/>
        </w:rPr>
      </w:pPr>
      <w:r w:rsidRPr="00724676">
        <w:rPr>
          <w:rFonts w:cs="Times New Roman"/>
          <w:b/>
          <w:bCs/>
          <w:noProof/>
          <w:szCs w:val="24"/>
          <w:lang w:val="en-GB"/>
        </w:rPr>
        <w:t>Beneficiaries/farmers</w:t>
      </w:r>
    </w:p>
    <w:p w14:paraId="086522AB" w14:textId="6213E4BF" w:rsidR="00E97520" w:rsidRPr="00724676" w:rsidRDefault="00E97520" w:rsidP="001C10D1">
      <w:pPr>
        <w:spacing w:after="120"/>
        <w:jc w:val="both"/>
        <w:rPr>
          <w:rFonts w:eastAsia="Times New Roman" w:cs="Times New Roman"/>
          <w:noProof/>
          <w:color w:val="333333"/>
          <w:lang w:val="en-GB"/>
        </w:rPr>
      </w:pPr>
      <w:r w:rsidRPr="00F22A97">
        <w:rPr>
          <w:rFonts w:eastAsia="Times New Roman" w:cs="Times New Roman"/>
          <w:noProof/>
          <w:color w:val="333333"/>
          <w:lang w:val="en-GB"/>
        </w:rPr>
        <w:t xml:space="preserve">The simplification package </w:t>
      </w:r>
      <w:r w:rsidR="00651D92" w:rsidRPr="00F22A97">
        <w:rPr>
          <w:rFonts w:eastAsia="Times New Roman" w:cs="Times New Roman"/>
          <w:noProof/>
          <w:color w:val="333333"/>
          <w:lang w:val="en-GB"/>
        </w:rPr>
        <w:t xml:space="preserve">is likely to </w:t>
      </w:r>
      <w:r w:rsidRPr="00F22A97">
        <w:rPr>
          <w:rFonts w:eastAsia="Times New Roman" w:cs="Times New Roman"/>
          <w:noProof/>
          <w:color w:val="333333"/>
          <w:lang w:val="en-GB"/>
        </w:rPr>
        <w:t>reduce the time</w:t>
      </w:r>
      <w:r w:rsidR="00752B58" w:rsidRPr="00F22A97">
        <w:rPr>
          <w:rFonts w:eastAsia="Times New Roman" w:cs="Times New Roman"/>
          <w:noProof/>
          <w:color w:val="333333"/>
          <w:lang w:val="en-GB"/>
        </w:rPr>
        <w:t xml:space="preserve"> that</w:t>
      </w:r>
      <w:r w:rsidRPr="00F22A97">
        <w:rPr>
          <w:rFonts w:eastAsia="Times New Roman" w:cs="Times New Roman"/>
          <w:noProof/>
          <w:color w:val="333333"/>
          <w:lang w:val="en-GB"/>
        </w:rPr>
        <w:t xml:space="preserve"> CAP beneficiaries need to dedicate to </w:t>
      </w:r>
      <w:r w:rsidRPr="00D458D9">
        <w:rPr>
          <w:rFonts w:eastAsia="Times New Roman" w:cs="Times New Roman"/>
          <w:b/>
          <w:noProof/>
          <w:color w:val="333333"/>
          <w:lang w:val="en-GB"/>
        </w:rPr>
        <w:t>applications and checks</w:t>
      </w:r>
      <w:r w:rsidR="00F8059E" w:rsidRPr="00D458D9">
        <w:rPr>
          <w:rFonts w:eastAsia="Times New Roman" w:cs="Times New Roman"/>
          <w:b/>
          <w:noProof/>
          <w:color w:val="333333"/>
          <w:lang w:val="en-GB"/>
        </w:rPr>
        <w:t>.</w:t>
      </w:r>
      <w:r w:rsidR="00C56636" w:rsidRPr="00F22A97">
        <w:rPr>
          <w:rFonts w:eastAsia="Times New Roman" w:cs="Times New Roman"/>
          <w:b/>
          <w:noProof/>
          <w:color w:val="333333"/>
          <w:lang w:val="en-GB"/>
        </w:rPr>
        <w:t xml:space="preserve"> </w:t>
      </w:r>
      <w:r w:rsidRPr="00F22A97">
        <w:rPr>
          <w:rFonts w:eastAsia="Times New Roman" w:cs="Times New Roman"/>
          <w:noProof/>
          <w:color w:val="333333"/>
          <w:lang w:val="en-GB"/>
        </w:rPr>
        <w:t xml:space="preserve">For some of the </w:t>
      </w:r>
      <w:r w:rsidR="3F5553DD" w:rsidRPr="00F22A97">
        <w:rPr>
          <w:rFonts w:eastAsia="Times New Roman" w:cs="Times New Roman"/>
          <w:noProof/>
          <w:color w:val="333333"/>
          <w:lang w:val="en-GB"/>
        </w:rPr>
        <w:t>measures</w:t>
      </w:r>
      <w:r w:rsidRPr="00F22A97">
        <w:rPr>
          <w:rFonts w:eastAsia="Times New Roman" w:cs="Times New Roman"/>
          <w:noProof/>
          <w:color w:val="333333"/>
          <w:lang w:val="en-GB"/>
        </w:rPr>
        <w:t xml:space="preserve">, quantitative </w:t>
      </w:r>
      <w:r w:rsidR="00357296" w:rsidRPr="00F22A97">
        <w:rPr>
          <w:rFonts w:eastAsia="Times New Roman" w:cs="Times New Roman"/>
          <w:noProof/>
          <w:color w:val="333333"/>
          <w:lang w:val="en-GB"/>
        </w:rPr>
        <w:t xml:space="preserve">estimates </w:t>
      </w:r>
      <w:r w:rsidRPr="00F22A97">
        <w:rPr>
          <w:rFonts w:eastAsia="Times New Roman" w:cs="Times New Roman"/>
          <w:noProof/>
          <w:color w:val="333333"/>
          <w:lang w:val="en-GB"/>
        </w:rPr>
        <w:t xml:space="preserve">of cost reductions </w:t>
      </w:r>
      <w:r w:rsidR="004C4FD5" w:rsidRPr="00F22A97">
        <w:rPr>
          <w:rFonts w:eastAsia="Times New Roman" w:cs="Times New Roman"/>
          <w:noProof/>
          <w:color w:val="333333"/>
          <w:lang w:val="en-GB"/>
        </w:rPr>
        <w:t>could</w:t>
      </w:r>
      <w:r w:rsidRPr="00F22A97">
        <w:rPr>
          <w:rFonts w:eastAsia="Times New Roman" w:cs="Times New Roman"/>
          <w:noProof/>
          <w:color w:val="333333"/>
          <w:lang w:val="en-GB"/>
        </w:rPr>
        <w:t xml:space="preserve"> be</w:t>
      </w:r>
      <w:r w:rsidRPr="2E1D0E0E">
        <w:rPr>
          <w:rFonts w:eastAsia="Times New Roman" w:cs="Times New Roman"/>
          <w:noProof/>
          <w:color w:val="333333"/>
          <w:lang w:val="en-GB"/>
        </w:rPr>
        <w:t xml:space="preserve"> made.</w:t>
      </w:r>
    </w:p>
    <w:p w14:paraId="763DD43A" w14:textId="00584FF6" w:rsidR="006143E7" w:rsidRPr="00724676" w:rsidRDefault="006B6E54" w:rsidP="001C10D1">
      <w:pPr>
        <w:spacing w:after="120"/>
        <w:jc w:val="both"/>
        <w:rPr>
          <w:rFonts w:eastAsia="Times New Roman" w:cs="Times New Roman"/>
          <w:noProof/>
          <w:color w:val="333333"/>
          <w:szCs w:val="24"/>
          <w:lang w:val="en-GB"/>
        </w:rPr>
      </w:pPr>
      <w:r w:rsidRPr="00724676">
        <w:rPr>
          <w:rFonts w:eastAsia="Times New Roman" w:cs="Times New Roman"/>
          <w:b/>
          <w:noProof/>
          <w:color w:val="333333"/>
          <w:szCs w:val="24"/>
          <w:lang w:val="en-GB"/>
        </w:rPr>
        <w:t>P</w:t>
      </w:r>
      <w:r w:rsidR="00C75C59" w:rsidRPr="00724676">
        <w:rPr>
          <w:rFonts w:eastAsia="Times New Roman" w:cs="Times New Roman"/>
          <w:b/>
          <w:noProof/>
          <w:color w:val="333333"/>
          <w:szCs w:val="24"/>
          <w:lang w:val="en-GB"/>
        </w:rPr>
        <w:t xml:space="preserve">rocesses </w:t>
      </w:r>
      <w:r w:rsidR="007B2C44" w:rsidRPr="00724676">
        <w:rPr>
          <w:rFonts w:eastAsia="Times New Roman" w:cs="Times New Roman"/>
          <w:b/>
          <w:noProof/>
          <w:color w:val="333333"/>
          <w:szCs w:val="24"/>
          <w:lang w:val="en-GB"/>
        </w:rPr>
        <w:t>can be</w:t>
      </w:r>
      <w:r w:rsidR="00C75C59" w:rsidRPr="00724676">
        <w:rPr>
          <w:rFonts w:eastAsia="Times New Roman" w:cs="Times New Roman"/>
          <w:b/>
          <w:noProof/>
          <w:color w:val="333333"/>
          <w:szCs w:val="24"/>
          <w:lang w:val="en-GB"/>
        </w:rPr>
        <w:t xml:space="preserve"> simplified</w:t>
      </w:r>
      <w:r w:rsidR="00C75C59" w:rsidRPr="00724676">
        <w:rPr>
          <w:rFonts w:eastAsia="Times New Roman" w:cs="Times New Roman"/>
          <w:noProof/>
          <w:color w:val="333333"/>
          <w:szCs w:val="24"/>
          <w:lang w:val="en-GB"/>
        </w:rPr>
        <w:t xml:space="preserve"> through</w:t>
      </w:r>
      <w:r w:rsidR="00340213" w:rsidRPr="00724676">
        <w:rPr>
          <w:rFonts w:eastAsia="Times New Roman" w:cs="Times New Roman"/>
          <w:noProof/>
          <w:color w:val="333333"/>
          <w:szCs w:val="24"/>
          <w:lang w:val="en-GB"/>
        </w:rPr>
        <w:t xml:space="preserve"> the</w:t>
      </w:r>
      <w:r w:rsidR="00C75C59" w:rsidRPr="00724676">
        <w:rPr>
          <w:rFonts w:eastAsia="Times New Roman" w:cs="Times New Roman"/>
          <w:noProof/>
          <w:color w:val="333333"/>
          <w:szCs w:val="24"/>
          <w:lang w:val="en-GB"/>
        </w:rPr>
        <w:t xml:space="preserve"> </w:t>
      </w:r>
      <w:r w:rsidR="00340213" w:rsidRPr="00724676">
        <w:rPr>
          <w:rFonts w:eastAsia="Times New Roman" w:cs="Times New Roman"/>
          <w:noProof/>
          <w:color w:val="333333"/>
          <w:szCs w:val="24"/>
          <w:lang w:val="en-GB"/>
        </w:rPr>
        <w:t>d</w:t>
      </w:r>
      <w:r w:rsidR="006143E7" w:rsidRPr="00724676">
        <w:rPr>
          <w:rFonts w:eastAsia="Times New Roman" w:cs="Times New Roman"/>
          <w:noProof/>
          <w:color w:val="333333"/>
          <w:szCs w:val="24"/>
          <w:lang w:val="en-GB"/>
        </w:rPr>
        <w:t xml:space="preserve">igitalisation of </w:t>
      </w:r>
      <w:r w:rsidR="002F6B77" w:rsidRPr="00724676">
        <w:rPr>
          <w:rFonts w:eastAsia="Times New Roman" w:cs="Times New Roman"/>
          <w:noProof/>
          <w:color w:val="333333"/>
          <w:szCs w:val="24"/>
          <w:lang w:val="en-GB"/>
        </w:rPr>
        <w:t xml:space="preserve">the CAP </w:t>
      </w:r>
      <w:r w:rsidR="006143E7" w:rsidRPr="00724676">
        <w:rPr>
          <w:rFonts w:eastAsia="Times New Roman" w:cs="Times New Roman"/>
          <w:noProof/>
          <w:color w:val="333333"/>
          <w:szCs w:val="24"/>
          <w:lang w:val="en-GB"/>
        </w:rPr>
        <w:t xml:space="preserve">application procedures </w:t>
      </w:r>
      <w:r w:rsidR="00357296">
        <w:rPr>
          <w:rFonts w:eastAsia="Times New Roman" w:cs="Times New Roman"/>
          <w:noProof/>
          <w:color w:val="333333"/>
          <w:szCs w:val="24"/>
          <w:lang w:val="en-GB"/>
        </w:rPr>
        <w:t xml:space="preserve">(e.g. by using </w:t>
      </w:r>
      <w:r w:rsidR="002F6B77" w:rsidRPr="00724676">
        <w:rPr>
          <w:rFonts w:eastAsia="Times New Roman" w:cs="Times New Roman"/>
          <w:noProof/>
          <w:color w:val="333333"/>
          <w:szCs w:val="24"/>
          <w:lang w:val="en-GB"/>
        </w:rPr>
        <w:t>geotagg</w:t>
      </w:r>
      <w:r w:rsidR="00C9658E" w:rsidRPr="00724676">
        <w:rPr>
          <w:rFonts w:eastAsia="Times New Roman" w:cs="Times New Roman"/>
          <w:noProof/>
          <w:color w:val="333333"/>
          <w:szCs w:val="24"/>
          <w:lang w:val="en-GB"/>
        </w:rPr>
        <w:t>ed photos</w:t>
      </w:r>
      <w:r w:rsidR="00357296">
        <w:rPr>
          <w:rFonts w:eastAsia="Times New Roman" w:cs="Times New Roman"/>
          <w:noProof/>
          <w:color w:val="333333"/>
          <w:szCs w:val="24"/>
          <w:lang w:val="en-GB"/>
        </w:rPr>
        <w:t>)</w:t>
      </w:r>
      <w:r w:rsidR="002955F4" w:rsidRPr="00724676">
        <w:rPr>
          <w:rFonts w:eastAsia="Times New Roman" w:cs="Times New Roman"/>
          <w:noProof/>
          <w:color w:val="333333"/>
          <w:szCs w:val="24"/>
          <w:lang w:val="en-GB"/>
        </w:rPr>
        <w:t>,</w:t>
      </w:r>
      <w:r w:rsidR="002F6B77" w:rsidRPr="00724676">
        <w:rPr>
          <w:rFonts w:eastAsia="Times New Roman" w:cs="Times New Roman"/>
          <w:noProof/>
          <w:color w:val="333333"/>
          <w:szCs w:val="24"/>
          <w:lang w:val="en-GB"/>
        </w:rPr>
        <w:t xml:space="preserve"> and </w:t>
      </w:r>
      <w:r w:rsidR="00357296">
        <w:rPr>
          <w:rFonts w:eastAsia="Times New Roman" w:cs="Times New Roman"/>
          <w:noProof/>
          <w:color w:val="333333"/>
          <w:szCs w:val="24"/>
          <w:lang w:val="en-GB"/>
        </w:rPr>
        <w:t xml:space="preserve">the </w:t>
      </w:r>
      <w:r w:rsidR="002F6B77" w:rsidRPr="00724676">
        <w:rPr>
          <w:rFonts w:eastAsia="Times New Roman" w:cs="Times New Roman"/>
          <w:noProof/>
          <w:color w:val="333333"/>
          <w:szCs w:val="24"/>
          <w:lang w:val="en-GB"/>
        </w:rPr>
        <w:t>automati</w:t>
      </w:r>
      <w:r w:rsidR="002955F4" w:rsidRPr="00724676">
        <w:rPr>
          <w:rFonts w:eastAsia="Times New Roman" w:cs="Times New Roman"/>
          <w:noProof/>
          <w:color w:val="333333"/>
          <w:szCs w:val="24"/>
          <w:lang w:val="en-GB"/>
        </w:rPr>
        <w:t>c processing</w:t>
      </w:r>
      <w:r w:rsidR="002F6B77" w:rsidRPr="00724676">
        <w:rPr>
          <w:rFonts w:eastAsia="Times New Roman" w:cs="Times New Roman"/>
          <w:noProof/>
          <w:color w:val="333333"/>
          <w:szCs w:val="24"/>
          <w:lang w:val="en-GB"/>
        </w:rPr>
        <w:t xml:space="preserve"> of </w:t>
      </w:r>
      <w:r w:rsidR="00DA7B2E" w:rsidRPr="00724676">
        <w:rPr>
          <w:rFonts w:eastAsia="Times New Roman" w:cs="Times New Roman"/>
          <w:noProof/>
          <w:color w:val="333333"/>
          <w:szCs w:val="24"/>
          <w:lang w:val="en-GB"/>
        </w:rPr>
        <w:t>feedback</w:t>
      </w:r>
      <w:r w:rsidR="00597740" w:rsidRPr="00724676">
        <w:rPr>
          <w:rFonts w:eastAsia="Times New Roman" w:cs="Times New Roman"/>
          <w:noProof/>
          <w:color w:val="333333"/>
          <w:szCs w:val="24"/>
          <w:lang w:val="en-GB"/>
        </w:rPr>
        <w:t xml:space="preserve"> </w:t>
      </w:r>
      <w:r w:rsidR="00DA7B2E" w:rsidRPr="00724676">
        <w:rPr>
          <w:rFonts w:eastAsia="Times New Roman" w:cs="Times New Roman"/>
          <w:noProof/>
          <w:color w:val="333333"/>
          <w:szCs w:val="24"/>
          <w:lang w:val="en-GB"/>
        </w:rPr>
        <w:t>received by farmers from the authorities</w:t>
      </w:r>
      <w:r w:rsidR="00597740" w:rsidRPr="00724676">
        <w:rPr>
          <w:rFonts w:eastAsia="Times New Roman" w:cs="Times New Roman"/>
          <w:noProof/>
          <w:color w:val="333333"/>
          <w:szCs w:val="24"/>
          <w:lang w:val="en-GB"/>
        </w:rPr>
        <w:t xml:space="preserve"> (early warning</w:t>
      </w:r>
      <w:r w:rsidR="00F159F1" w:rsidRPr="00724676">
        <w:rPr>
          <w:rFonts w:eastAsia="Times New Roman" w:cs="Times New Roman"/>
          <w:noProof/>
          <w:color w:val="333333"/>
          <w:szCs w:val="24"/>
          <w:lang w:val="en-GB"/>
        </w:rPr>
        <w:t xml:space="preserve"> notifications under </w:t>
      </w:r>
      <w:r w:rsidR="00357296">
        <w:rPr>
          <w:rFonts w:eastAsia="Times New Roman" w:cs="Times New Roman"/>
          <w:noProof/>
          <w:color w:val="333333"/>
          <w:szCs w:val="24"/>
          <w:lang w:val="en-GB"/>
        </w:rPr>
        <w:t xml:space="preserve">the </w:t>
      </w:r>
      <w:r w:rsidR="00F159F1" w:rsidRPr="00724676">
        <w:rPr>
          <w:rFonts w:eastAsia="Times New Roman" w:cs="Times New Roman"/>
          <w:noProof/>
          <w:color w:val="333333"/>
          <w:szCs w:val="24"/>
          <w:lang w:val="en-GB"/>
        </w:rPr>
        <w:t>AMS</w:t>
      </w:r>
      <w:r w:rsidR="00597740" w:rsidRPr="00724676">
        <w:rPr>
          <w:rFonts w:eastAsia="Times New Roman" w:cs="Times New Roman"/>
          <w:noProof/>
          <w:color w:val="333333"/>
          <w:szCs w:val="24"/>
          <w:lang w:val="en-GB"/>
        </w:rPr>
        <w:t>)</w:t>
      </w:r>
      <w:r w:rsidR="006143E7" w:rsidRPr="00724676">
        <w:rPr>
          <w:rFonts w:eastAsia="Times New Roman" w:cs="Times New Roman"/>
          <w:noProof/>
          <w:color w:val="333333"/>
          <w:szCs w:val="24"/>
          <w:lang w:val="en-GB"/>
        </w:rPr>
        <w:t xml:space="preserve">. </w:t>
      </w:r>
      <w:r w:rsidR="00687F23" w:rsidRPr="00724676">
        <w:rPr>
          <w:rFonts w:eastAsia="Times New Roman" w:cs="Times New Roman"/>
          <w:noProof/>
          <w:color w:val="333333"/>
          <w:szCs w:val="24"/>
          <w:lang w:val="en-GB"/>
        </w:rPr>
        <w:t>T</w:t>
      </w:r>
      <w:r w:rsidR="006143E7" w:rsidRPr="00724676">
        <w:rPr>
          <w:rFonts w:eastAsia="Times New Roman" w:cs="Times New Roman"/>
          <w:noProof/>
          <w:color w:val="333333"/>
          <w:szCs w:val="24"/>
          <w:lang w:val="en-GB"/>
        </w:rPr>
        <w:t>he first year of implementation</w:t>
      </w:r>
      <w:r w:rsidR="000338AE" w:rsidRPr="00724676">
        <w:rPr>
          <w:rFonts w:eastAsia="Times New Roman" w:cs="Times New Roman"/>
          <w:noProof/>
          <w:color w:val="333333"/>
          <w:szCs w:val="24"/>
          <w:lang w:val="en-GB"/>
        </w:rPr>
        <w:t xml:space="preserve"> has showed</w:t>
      </w:r>
      <w:r w:rsidR="006143E7" w:rsidRPr="00724676">
        <w:rPr>
          <w:rFonts w:eastAsia="Times New Roman" w:cs="Times New Roman"/>
          <w:noProof/>
          <w:color w:val="333333"/>
          <w:szCs w:val="24"/>
          <w:lang w:val="en-GB"/>
        </w:rPr>
        <w:t xml:space="preserve"> </w:t>
      </w:r>
      <w:r w:rsidR="00357296">
        <w:rPr>
          <w:rFonts w:eastAsia="Times New Roman" w:cs="Times New Roman"/>
          <w:noProof/>
          <w:color w:val="333333"/>
          <w:szCs w:val="24"/>
          <w:lang w:val="en-GB"/>
        </w:rPr>
        <w:t>that these solutions have</w:t>
      </w:r>
      <w:r w:rsidR="006143E7" w:rsidRPr="00724676">
        <w:rPr>
          <w:rFonts w:eastAsia="Times New Roman" w:cs="Times New Roman"/>
          <w:noProof/>
          <w:color w:val="333333"/>
          <w:szCs w:val="24"/>
          <w:lang w:val="en-GB"/>
        </w:rPr>
        <w:t xml:space="preserve"> </w:t>
      </w:r>
      <w:r w:rsidR="000338AE" w:rsidRPr="00724676">
        <w:rPr>
          <w:rFonts w:eastAsia="Times New Roman" w:cs="Times New Roman"/>
          <w:noProof/>
          <w:color w:val="333333"/>
          <w:szCs w:val="24"/>
          <w:lang w:val="en-GB"/>
        </w:rPr>
        <w:t xml:space="preserve">often </w:t>
      </w:r>
      <w:r w:rsidR="006143E7" w:rsidRPr="00724676">
        <w:rPr>
          <w:rFonts w:eastAsia="Times New Roman" w:cs="Times New Roman"/>
          <w:noProof/>
          <w:color w:val="333333"/>
          <w:szCs w:val="24"/>
          <w:lang w:val="en-GB"/>
        </w:rPr>
        <w:t xml:space="preserve">not been </w:t>
      </w:r>
      <w:r w:rsidR="00357296">
        <w:rPr>
          <w:rFonts w:eastAsia="Times New Roman" w:cs="Times New Roman"/>
          <w:noProof/>
          <w:color w:val="333333"/>
          <w:szCs w:val="24"/>
          <w:lang w:val="en-GB"/>
        </w:rPr>
        <w:t>taken up</w:t>
      </w:r>
      <w:r w:rsidR="006143E7" w:rsidRPr="00724676">
        <w:rPr>
          <w:rFonts w:eastAsia="Times New Roman" w:cs="Times New Roman"/>
          <w:noProof/>
          <w:color w:val="333333"/>
          <w:szCs w:val="24"/>
          <w:lang w:val="en-GB"/>
        </w:rPr>
        <w:t>. The actions taken by the Commission</w:t>
      </w:r>
      <w:r w:rsidR="00D06D4A" w:rsidRPr="00724676">
        <w:rPr>
          <w:rFonts w:eastAsia="Times New Roman" w:cs="Times New Roman"/>
          <w:noProof/>
          <w:color w:val="333333"/>
          <w:szCs w:val="24"/>
          <w:lang w:val="en-GB"/>
        </w:rPr>
        <w:t xml:space="preserve"> </w:t>
      </w:r>
      <w:r w:rsidR="00515C05" w:rsidRPr="00724676">
        <w:rPr>
          <w:rFonts w:eastAsia="Times New Roman" w:cs="Times New Roman"/>
          <w:noProof/>
          <w:color w:val="333333"/>
          <w:szCs w:val="24"/>
          <w:lang w:val="en-GB"/>
        </w:rPr>
        <w:t>(</w:t>
      </w:r>
      <w:r w:rsidR="0C109250" w:rsidRPr="00724676">
        <w:rPr>
          <w:rFonts w:eastAsia="Times New Roman" w:cs="Times New Roman"/>
          <w:noProof/>
          <w:color w:val="333333"/>
          <w:szCs w:val="24"/>
          <w:lang w:val="en-GB"/>
        </w:rPr>
        <w:t xml:space="preserve">e.g. </w:t>
      </w:r>
      <w:r w:rsidR="00515C05" w:rsidRPr="00724676">
        <w:rPr>
          <w:rFonts w:eastAsia="Times New Roman" w:cs="Times New Roman"/>
          <w:noProof/>
          <w:color w:val="333333"/>
          <w:szCs w:val="24"/>
          <w:lang w:val="en-GB"/>
        </w:rPr>
        <w:t>measure</w:t>
      </w:r>
      <w:r w:rsidR="00AF19C6" w:rsidRPr="00724676">
        <w:rPr>
          <w:rFonts w:eastAsia="Times New Roman" w:cs="Times New Roman"/>
          <w:noProof/>
          <w:color w:val="333333"/>
          <w:szCs w:val="24"/>
          <w:lang w:val="en-GB"/>
        </w:rPr>
        <w:t>s</w:t>
      </w:r>
      <w:r w:rsidR="00515C05" w:rsidRPr="00724676">
        <w:rPr>
          <w:rFonts w:eastAsia="Times New Roman" w:cs="Times New Roman"/>
          <w:noProof/>
          <w:color w:val="333333"/>
          <w:szCs w:val="24"/>
          <w:lang w:val="en-GB"/>
        </w:rPr>
        <w:t xml:space="preserve"> A.4 </w:t>
      </w:r>
      <w:r w:rsidR="00AF19C6" w:rsidRPr="00724676">
        <w:rPr>
          <w:rFonts w:eastAsia="Times New Roman" w:cs="Times New Roman"/>
          <w:noProof/>
          <w:color w:val="333333"/>
          <w:szCs w:val="24"/>
          <w:lang w:val="en-GB"/>
        </w:rPr>
        <w:t xml:space="preserve">and A.6 </w:t>
      </w:r>
      <w:r w:rsidR="00515C05" w:rsidRPr="00724676">
        <w:rPr>
          <w:rFonts w:eastAsia="Times New Roman" w:cs="Times New Roman"/>
          <w:noProof/>
          <w:color w:val="333333"/>
          <w:szCs w:val="24"/>
          <w:lang w:val="en-GB"/>
        </w:rPr>
        <w:t xml:space="preserve">in </w:t>
      </w:r>
      <w:r w:rsidR="005422C6" w:rsidRPr="00724676">
        <w:rPr>
          <w:rFonts w:eastAsia="Times New Roman" w:cs="Times New Roman"/>
          <w:noProof/>
          <w:color w:val="333333"/>
          <w:szCs w:val="24"/>
          <w:lang w:val="en-GB"/>
        </w:rPr>
        <w:t>A</w:t>
      </w:r>
      <w:r w:rsidR="00515C05" w:rsidRPr="00724676">
        <w:rPr>
          <w:rFonts w:eastAsia="Times New Roman" w:cs="Times New Roman"/>
          <w:noProof/>
          <w:color w:val="333333"/>
          <w:szCs w:val="24"/>
          <w:lang w:val="en-GB"/>
        </w:rPr>
        <w:t>nnex 1)</w:t>
      </w:r>
      <w:r w:rsidR="006143E7" w:rsidRPr="00724676">
        <w:rPr>
          <w:rFonts w:eastAsia="Times New Roman" w:cs="Times New Roman"/>
          <w:noProof/>
          <w:color w:val="333333"/>
          <w:szCs w:val="24"/>
          <w:lang w:val="en-GB"/>
        </w:rPr>
        <w:t xml:space="preserve"> aim to </w:t>
      </w:r>
      <w:r w:rsidR="0020016F" w:rsidRPr="00724676">
        <w:rPr>
          <w:rFonts w:eastAsia="Times New Roman" w:cs="Times New Roman"/>
          <w:b/>
          <w:noProof/>
          <w:color w:val="333333"/>
          <w:szCs w:val="24"/>
          <w:lang w:val="en-GB"/>
        </w:rPr>
        <w:t>improve</w:t>
      </w:r>
      <w:r w:rsidR="005D1495" w:rsidRPr="00724676">
        <w:rPr>
          <w:rFonts w:eastAsia="Times New Roman" w:cs="Times New Roman"/>
          <w:b/>
          <w:noProof/>
          <w:color w:val="333333"/>
          <w:szCs w:val="24"/>
          <w:lang w:val="en-GB"/>
        </w:rPr>
        <w:t xml:space="preserve"> the workability</w:t>
      </w:r>
      <w:r w:rsidR="00BF2BD5" w:rsidRPr="00724676">
        <w:rPr>
          <w:rFonts w:eastAsia="Times New Roman" w:cs="Times New Roman"/>
          <w:noProof/>
          <w:color w:val="333333"/>
          <w:szCs w:val="24"/>
          <w:lang w:val="en-GB"/>
        </w:rPr>
        <w:t xml:space="preserve"> </w:t>
      </w:r>
      <w:r w:rsidR="0020016F" w:rsidRPr="00724676">
        <w:rPr>
          <w:rFonts w:eastAsia="Times New Roman" w:cs="Times New Roman"/>
          <w:noProof/>
          <w:color w:val="333333"/>
          <w:szCs w:val="24"/>
          <w:lang w:val="en-GB"/>
        </w:rPr>
        <w:t xml:space="preserve">of these </w:t>
      </w:r>
      <w:r w:rsidR="0020016F" w:rsidRPr="00724676">
        <w:rPr>
          <w:rFonts w:eastAsia="Times New Roman" w:cs="Times New Roman"/>
          <w:noProof/>
          <w:color w:val="333333"/>
          <w:szCs w:val="24"/>
          <w:lang w:val="en-GB"/>
        </w:rPr>
        <w:lastRenderedPageBreak/>
        <w:t>solutions</w:t>
      </w:r>
      <w:r w:rsidR="009F7048">
        <w:rPr>
          <w:rFonts w:eastAsia="Times New Roman" w:cs="Times New Roman"/>
          <w:noProof/>
          <w:color w:val="333333"/>
          <w:szCs w:val="24"/>
          <w:lang w:val="en-GB"/>
        </w:rPr>
        <w:t>,</w:t>
      </w:r>
      <w:r w:rsidR="00515C05" w:rsidRPr="00724676">
        <w:rPr>
          <w:rFonts w:eastAsia="Times New Roman" w:cs="Times New Roman"/>
          <w:noProof/>
          <w:color w:val="333333"/>
          <w:szCs w:val="24"/>
          <w:lang w:val="en-GB"/>
        </w:rPr>
        <w:t xml:space="preserve"> </w:t>
      </w:r>
      <w:r w:rsidR="006143E7" w:rsidRPr="00724676">
        <w:rPr>
          <w:rFonts w:eastAsia="Times New Roman" w:cs="Times New Roman"/>
          <w:noProof/>
          <w:color w:val="333333"/>
          <w:szCs w:val="24"/>
          <w:lang w:val="en-GB"/>
        </w:rPr>
        <w:t xml:space="preserve">thereby </w:t>
      </w:r>
      <w:r w:rsidR="006143E7" w:rsidRPr="00724676">
        <w:rPr>
          <w:rFonts w:eastAsia="Times New Roman" w:cs="Times New Roman"/>
          <w:b/>
          <w:noProof/>
          <w:color w:val="333333"/>
          <w:szCs w:val="24"/>
          <w:lang w:val="en-GB"/>
        </w:rPr>
        <w:t>reducing</w:t>
      </w:r>
      <w:r w:rsidR="006143E7" w:rsidRPr="00724676">
        <w:rPr>
          <w:rFonts w:eastAsia="Times New Roman" w:cs="Times New Roman"/>
          <w:noProof/>
          <w:color w:val="333333"/>
          <w:szCs w:val="24"/>
          <w:lang w:val="en-GB"/>
        </w:rPr>
        <w:t xml:space="preserve"> the burden on farmers </w:t>
      </w:r>
      <w:r w:rsidR="004079B7" w:rsidRPr="00724676">
        <w:rPr>
          <w:rFonts w:eastAsia="Times New Roman" w:cs="Times New Roman"/>
          <w:noProof/>
          <w:color w:val="333333"/>
          <w:szCs w:val="24"/>
          <w:lang w:val="en-GB"/>
        </w:rPr>
        <w:t>linked to on-site inspections</w:t>
      </w:r>
      <w:r w:rsidR="006143E7" w:rsidRPr="00724676">
        <w:rPr>
          <w:rFonts w:eastAsia="Times New Roman" w:cs="Times New Roman"/>
          <w:noProof/>
          <w:color w:val="333333"/>
          <w:szCs w:val="24"/>
          <w:lang w:val="en-GB"/>
        </w:rPr>
        <w:t xml:space="preserve">. </w:t>
      </w:r>
      <w:r w:rsidR="000777DC">
        <w:rPr>
          <w:rFonts w:eastAsia="Times New Roman" w:cs="Times New Roman"/>
          <w:noProof/>
          <w:color w:val="333333"/>
          <w:szCs w:val="24"/>
          <w:lang w:val="en-GB"/>
        </w:rPr>
        <w:br/>
      </w:r>
      <w:r w:rsidR="006143E7" w:rsidRPr="00724676">
        <w:rPr>
          <w:rFonts w:eastAsia="Times New Roman" w:cs="Times New Roman"/>
          <w:noProof/>
          <w:color w:val="333333"/>
          <w:szCs w:val="24"/>
          <w:lang w:val="en-GB"/>
        </w:rPr>
        <w:t>The impact of these actions is difficult to quantify.</w:t>
      </w:r>
    </w:p>
    <w:p w14:paraId="14293E31" w14:textId="5A5D157F" w:rsidR="007D6D3A" w:rsidRPr="00724676" w:rsidRDefault="0052654A" w:rsidP="001C10D1">
      <w:pPr>
        <w:spacing w:after="120"/>
        <w:jc w:val="both"/>
        <w:rPr>
          <w:rFonts w:eastAsia="Times New Roman" w:cs="Times New Roman"/>
          <w:noProof/>
          <w:color w:val="333333"/>
          <w:szCs w:val="24"/>
          <w:lang w:val="en-GB"/>
        </w:rPr>
      </w:pPr>
      <w:r w:rsidRPr="00724676">
        <w:rPr>
          <w:rFonts w:eastAsia="Times New Roman" w:cs="Times New Roman"/>
          <w:noProof/>
          <w:color w:val="333333"/>
          <w:szCs w:val="24"/>
          <w:lang w:val="en-GB"/>
        </w:rPr>
        <w:t xml:space="preserve">The Commission’s clarification of the concept of </w:t>
      </w:r>
      <w:r w:rsidRPr="00724676">
        <w:rPr>
          <w:rFonts w:eastAsia="Times New Roman" w:cs="Times New Roman"/>
          <w:i/>
          <w:noProof/>
          <w:color w:val="333333"/>
          <w:szCs w:val="24"/>
          <w:lang w:val="en-GB"/>
        </w:rPr>
        <w:t>force majeure</w:t>
      </w:r>
      <w:r w:rsidRPr="00724676">
        <w:rPr>
          <w:rFonts w:eastAsia="Times New Roman" w:cs="Times New Roman"/>
          <w:noProof/>
          <w:color w:val="333333"/>
          <w:szCs w:val="24"/>
          <w:lang w:val="en-GB"/>
        </w:rPr>
        <w:t xml:space="preserve"> </w:t>
      </w:r>
      <w:r w:rsidR="00E10A6B" w:rsidRPr="00724676">
        <w:rPr>
          <w:rFonts w:eastAsia="Times New Roman" w:cs="Times New Roman"/>
          <w:noProof/>
          <w:color w:val="333333"/>
          <w:szCs w:val="24"/>
          <w:lang w:val="en-GB"/>
        </w:rPr>
        <w:t xml:space="preserve">(measure A.5 in Annex 1) </w:t>
      </w:r>
      <w:r w:rsidR="00AF7A96" w:rsidRPr="00724676">
        <w:rPr>
          <w:rFonts w:eastAsia="Times New Roman" w:cs="Times New Roman"/>
          <w:noProof/>
          <w:color w:val="333333"/>
          <w:szCs w:val="24"/>
          <w:lang w:val="en-GB"/>
        </w:rPr>
        <w:t xml:space="preserve">helps </w:t>
      </w:r>
      <w:r w:rsidRPr="00724676">
        <w:rPr>
          <w:rFonts w:eastAsia="Times New Roman" w:cs="Times New Roman"/>
          <w:noProof/>
          <w:color w:val="333333"/>
          <w:szCs w:val="24"/>
          <w:lang w:val="en-GB"/>
        </w:rPr>
        <w:t xml:space="preserve">reduce the administrative burden for farmers as it </w:t>
      </w:r>
      <w:r w:rsidRPr="00724676">
        <w:rPr>
          <w:rFonts w:eastAsia="Times New Roman" w:cs="Times New Roman"/>
          <w:b/>
          <w:bCs/>
          <w:noProof/>
          <w:color w:val="333333"/>
          <w:szCs w:val="24"/>
          <w:lang w:val="en-GB"/>
        </w:rPr>
        <w:t xml:space="preserve">eliminates the need </w:t>
      </w:r>
      <w:r w:rsidR="009F7048">
        <w:rPr>
          <w:rFonts w:eastAsia="Times New Roman" w:cs="Times New Roman"/>
          <w:b/>
          <w:bCs/>
          <w:noProof/>
          <w:color w:val="333333"/>
          <w:szCs w:val="24"/>
          <w:lang w:val="en-GB"/>
        </w:rPr>
        <w:t>to</w:t>
      </w:r>
      <w:r w:rsidR="009F7048" w:rsidRPr="00724676">
        <w:rPr>
          <w:rFonts w:eastAsia="Times New Roman" w:cs="Times New Roman"/>
          <w:b/>
          <w:bCs/>
          <w:noProof/>
          <w:color w:val="333333"/>
          <w:szCs w:val="24"/>
          <w:lang w:val="en-GB"/>
        </w:rPr>
        <w:t xml:space="preserve"> </w:t>
      </w:r>
      <w:r w:rsidR="00612F31" w:rsidRPr="00724676">
        <w:rPr>
          <w:rFonts w:eastAsia="Times New Roman" w:cs="Times New Roman"/>
          <w:b/>
          <w:bCs/>
          <w:noProof/>
          <w:color w:val="333333"/>
          <w:szCs w:val="24"/>
          <w:lang w:val="en-GB"/>
        </w:rPr>
        <w:t>introduc</w:t>
      </w:r>
      <w:r w:rsidR="009F7048">
        <w:rPr>
          <w:rFonts w:eastAsia="Times New Roman" w:cs="Times New Roman"/>
          <w:b/>
          <w:bCs/>
          <w:noProof/>
          <w:color w:val="333333"/>
          <w:szCs w:val="24"/>
          <w:lang w:val="en-GB"/>
        </w:rPr>
        <w:t>e</w:t>
      </w:r>
      <w:r w:rsidR="00612F31" w:rsidRPr="00724676">
        <w:rPr>
          <w:rFonts w:eastAsia="Times New Roman" w:cs="Times New Roman"/>
          <w:b/>
          <w:bCs/>
          <w:noProof/>
          <w:color w:val="333333"/>
          <w:szCs w:val="24"/>
          <w:lang w:val="en-GB"/>
        </w:rPr>
        <w:t xml:space="preserve"> </w:t>
      </w:r>
      <w:r w:rsidRPr="00724676">
        <w:rPr>
          <w:rFonts w:eastAsia="Times New Roman" w:cs="Times New Roman"/>
          <w:b/>
          <w:bCs/>
          <w:noProof/>
          <w:color w:val="333333"/>
          <w:szCs w:val="24"/>
          <w:lang w:val="en-GB"/>
        </w:rPr>
        <w:t>individual requests</w:t>
      </w:r>
      <w:r w:rsidRPr="00724676">
        <w:rPr>
          <w:rFonts w:eastAsia="Times New Roman" w:cs="Times New Roman"/>
          <w:noProof/>
          <w:color w:val="333333"/>
          <w:szCs w:val="24"/>
          <w:lang w:val="en-GB"/>
        </w:rPr>
        <w:t xml:space="preserve">, including gathering the evidence and </w:t>
      </w:r>
      <w:r w:rsidR="009F7048">
        <w:rPr>
          <w:rFonts w:eastAsia="Times New Roman" w:cs="Times New Roman"/>
          <w:noProof/>
          <w:color w:val="333333"/>
          <w:szCs w:val="24"/>
          <w:lang w:val="en-GB"/>
        </w:rPr>
        <w:t>providing it to</w:t>
      </w:r>
      <w:r w:rsidRPr="00724676">
        <w:rPr>
          <w:rFonts w:eastAsia="Times New Roman" w:cs="Times New Roman"/>
          <w:noProof/>
          <w:color w:val="333333"/>
          <w:szCs w:val="24"/>
          <w:lang w:val="en-GB"/>
        </w:rPr>
        <w:t xml:space="preserve"> the authorities.</w:t>
      </w:r>
      <w:r w:rsidR="001C10D1" w:rsidRPr="00724676">
        <w:rPr>
          <w:rFonts w:eastAsia="Times New Roman" w:cs="Times New Roman"/>
          <w:noProof/>
          <w:color w:val="333333"/>
          <w:szCs w:val="24"/>
          <w:lang w:val="en-GB"/>
        </w:rPr>
        <w:t xml:space="preserve"> </w:t>
      </w:r>
      <w:r w:rsidRPr="00724676">
        <w:rPr>
          <w:rFonts w:eastAsia="Times New Roman" w:cs="Times New Roman"/>
          <w:noProof/>
          <w:color w:val="333333"/>
          <w:szCs w:val="24"/>
          <w:lang w:val="en-GB"/>
        </w:rPr>
        <w:t xml:space="preserve">Quantification of the </w:t>
      </w:r>
      <w:r w:rsidR="009F7048">
        <w:rPr>
          <w:rFonts w:eastAsia="Times New Roman" w:cs="Times New Roman"/>
          <w:noProof/>
          <w:color w:val="333333"/>
          <w:szCs w:val="24"/>
          <w:lang w:val="en-GB"/>
        </w:rPr>
        <w:t xml:space="preserve">resulting </w:t>
      </w:r>
      <w:r w:rsidRPr="00724676">
        <w:rPr>
          <w:rFonts w:eastAsia="Times New Roman" w:cs="Times New Roman"/>
          <w:noProof/>
          <w:color w:val="333333"/>
          <w:szCs w:val="24"/>
          <w:lang w:val="en-GB"/>
        </w:rPr>
        <w:t>benefits is not possible as it depends on the occurrence of unpredictable events.</w:t>
      </w:r>
    </w:p>
    <w:p w14:paraId="4E5E4C10" w14:textId="400E9CE7" w:rsidR="00565689" w:rsidRPr="00724676" w:rsidRDefault="004E36AB" w:rsidP="001C10D1">
      <w:pPr>
        <w:spacing w:after="120"/>
        <w:jc w:val="both"/>
        <w:rPr>
          <w:rFonts w:eastAsiaTheme="minorEastAsia" w:cs="Times New Roman"/>
          <w:b/>
          <w:bCs/>
          <w:noProof/>
          <w:szCs w:val="24"/>
          <w:lang w:val="en-GB"/>
        </w:rPr>
      </w:pPr>
      <w:r w:rsidRPr="00724676">
        <w:rPr>
          <w:rFonts w:eastAsiaTheme="minorEastAsia" w:cs="Times New Roman"/>
          <w:noProof/>
          <w:szCs w:val="24"/>
          <w:lang w:val="en-GB"/>
        </w:rPr>
        <w:t>The simplification package also</w:t>
      </w:r>
      <w:r w:rsidR="005D4997" w:rsidRPr="00724676">
        <w:rPr>
          <w:rFonts w:eastAsiaTheme="minorEastAsia" w:cs="Times New Roman"/>
          <w:noProof/>
          <w:szCs w:val="24"/>
          <w:lang w:val="en-GB"/>
        </w:rPr>
        <w:t xml:space="preserve"> </w:t>
      </w:r>
      <w:r w:rsidR="006657EF" w:rsidRPr="00724676">
        <w:rPr>
          <w:rFonts w:eastAsiaTheme="minorEastAsia" w:cs="Times New Roman"/>
          <w:noProof/>
          <w:szCs w:val="24"/>
          <w:lang w:val="en-GB"/>
        </w:rPr>
        <w:t>stream</w:t>
      </w:r>
      <w:r w:rsidR="00141812" w:rsidRPr="00724676">
        <w:rPr>
          <w:rFonts w:eastAsiaTheme="minorEastAsia" w:cs="Times New Roman"/>
          <w:noProof/>
          <w:szCs w:val="24"/>
          <w:lang w:val="en-GB"/>
        </w:rPr>
        <w:t>l</w:t>
      </w:r>
      <w:r w:rsidR="006657EF" w:rsidRPr="00724676">
        <w:rPr>
          <w:rFonts w:eastAsiaTheme="minorEastAsia" w:cs="Times New Roman"/>
          <w:noProof/>
          <w:szCs w:val="24"/>
          <w:lang w:val="en-GB"/>
        </w:rPr>
        <w:t xml:space="preserve">ines </w:t>
      </w:r>
      <w:r w:rsidR="005D4997" w:rsidRPr="00724676">
        <w:rPr>
          <w:rFonts w:eastAsiaTheme="minorEastAsia" w:cs="Times New Roman"/>
          <w:noProof/>
          <w:szCs w:val="24"/>
          <w:lang w:val="en-GB"/>
        </w:rPr>
        <w:t>the approach to controls</w:t>
      </w:r>
      <w:r w:rsidR="00F8059E" w:rsidRPr="00724676">
        <w:rPr>
          <w:rFonts w:eastAsiaTheme="minorEastAsia" w:cs="Times New Roman"/>
          <w:noProof/>
          <w:szCs w:val="24"/>
          <w:lang w:val="en-GB"/>
        </w:rPr>
        <w:t xml:space="preserve"> </w:t>
      </w:r>
      <w:r w:rsidR="00515C05" w:rsidRPr="00724676">
        <w:rPr>
          <w:rFonts w:eastAsia="Times New Roman" w:cs="Times New Roman"/>
          <w:bCs/>
          <w:noProof/>
          <w:color w:val="333333"/>
          <w:szCs w:val="24"/>
          <w:lang w:val="en-GB"/>
        </w:rPr>
        <w:t>(</w:t>
      </w:r>
      <w:r w:rsidR="00F8059E" w:rsidRPr="00724676">
        <w:rPr>
          <w:rFonts w:eastAsia="Times New Roman" w:cs="Times New Roman"/>
          <w:bCs/>
          <w:noProof/>
          <w:color w:val="333333"/>
          <w:szCs w:val="24"/>
          <w:lang w:val="en-GB"/>
        </w:rPr>
        <w:t>measure</w:t>
      </w:r>
      <w:r w:rsidR="00403147" w:rsidRPr="00724676">
        <w:rPr>
          <w:rFonts w:eastAsia="Times New Roman" w:cs="Times New Roman"/>
          <w:bCs/>
          <w:noProof/>
          <w:color w:val="333333"/>
          <w:szCs w:val="24"/>
          <w:lang w:val="en-GB"/>
        </w:rPr>
        <w:t>s A.3,</w:t>
      </w:r>
      <w:r w:rsidR="00F8059E" w:rsidRPr="00724676">
        <w:rPr>
          <w:rFonts w:eastAsia="Times New Roman" w:cs="Times New Roman"/>
          <w:bCs/>
          <w:noProof/>
          <w:color w:val="333333"/>
          <w:szCs w:val="24"/>
          <w:lang w:val="en-GB"/>
        </w:rPr>
        <w:t xml:space="preserve"> A.6</w:t>
      </w:r>
      <w:r w:rsidR="00A55A17" w:rsidRPr="00724676">
        <w:rPr>
          <w:rFonts w:eastAsia="Times New Roman" w:cs="Times New Roman"/>
          <w:bCs/>
          <w:noProof/>
          <w:color w:val="333333"/>
          <w:szCs w:val="24"/>
          <w:lang w:val="en-GB"/>
        </w:rPr>
        <w:t>, B.2</w:t>
      </w:r>
      <w:r w:rsidR="00F8059E" w:rsidRPr="00724676">
        <w:rPr>
          <w:rFonts w:eastAsia="Times New Roman" w:cs="Times New Roman"/>
          <w:bCs/>
          <w:noProof/>
          <w:color w:val="333333"/>
          <w:szCs w:val="24"/>
          <w:lang w:val="en-GB"/>
        </w:rPr>
        <w:t xml:space="preserve"> in Annex</w:t>
      </w:r>
      <w:r w:rsidR="009F7048">
        <w:rPr>
          <w:rFonts w:eastAsia="Times New Roman" w:cs="Times New Roman"/>
          <w:bCs/>
          <w:noProof/>
          <w:color w:val="333333"/>
          <w:szCs w:val="24"/>
          <w:lang w:val="en-GB"/>
        </w:rPr>
        <w:t xml:space="preserve"> </w:t>
      </w:r>
      <w:r w:rsidR="00F8059E" w:rsidRPr="00724676">
        <w:rPr>
          <w:rFonts w:eastAsia="Times New Roman" w:cs="Times New Roman"/>
          <w:bCs/>
          <w:noProof/>
          <w:color w:val="333333"/>
          <w:szCs w:val="24"/>
          <w:lang w:val="en-GB"/>
        </w:rPr>
        <w:t xml:space="preserve">1), </w:t>
      </w:r>
      <w:r w:rsidR="005D4997" w:rsidRPr="00724676">
        <w:rPr>
          <w:rFonts w:eastAsiaTheme="minorEastAsia" w:cs="Times New Roman"/>
          <w:noProof/>
          <w:szCs w:val="24"/>
          <w:lang w:val="en-GB"/>
        </w:rPr>
        <w:t>result</w:t>
      </w:r>
      <w:r w:rsidR="00A357B9" w:rsidRPr="00724676">
        <w:rPr>
          <w:rFonts w:eastAsiaTheme="minorEastAsia" w:cs="Times New Roman"/>
          <w:noProof/>
          <w:szCs w:val="24"/>
          <w:lang w:val="en-GB"/>
        </w:rPr>
        <w:t>ing</w:t>
      </w:r>
      <w:r w:rsidR="005D4997" w:rsidRPr="00724676">
        <w:rPr>
          <w:rFonts w:eastAsiaTheme="minorEastAsia" w:cs="Times New Roman"/>
          <w:noProof/>
          <w:szCs w:val="24"/>
          <w:lang w:val="en-GB"/>
        </w:rPr>
        <w:t xml:space="preserve"> in </w:t>
      </w:r>
      <w:r w:rsidR="005D4997" w:rsidRPr="00724676">
        <w:rPr>
          <w:rFonts w:eastAsiaTheme="minorEastAsia" w:cs="Times New Roman"/>
          <w:b/>
          <w:bCs/>
          <w:noProof/>
          <w:szCs w:val="24"/>
          <w:lang w:val="en-GB"/>
        </w:rPr>
        <w:t xml:space="preserve">fewer </w:t>
      </w:r>
      <w:r w:rsidR="00A357B9" w:rsidRPr="00724676">
        <w:rPr>
          <w:rFonts w:eastAsiaTheme="minorEastAsia" w:cs="Times New Roman"/>
          <w:b/>
          <w:bCs/>
          <w:noProof/>
          <w:szCs w:val="24"/>
          <w:lang w:val="en-GB"/>
        </w:rPr>
        <w:t xml:space="preserve">on-site </w:t>
      </w:r>
      <w:r w:rsidR="005D4997" w:rsidRPr="00724676" w:rsidDel="00CC11E6">
        <w:rPr>
          <w:rFonts w:eastAsiaTheme="minorEastAsia" w:cs="Times New Roman"/>
          <w:b/>
          <w:bCs/>
          <w:noProof/>
          <w:szCs w:val="24"/>
          <w:lang w:val="en-GB"/>
        </w:rPr>
        <w:t>visits</w:t>
      </w:r>
      <w:r w:rsidR="005D4997" w:rsidRPr="00724676" w:rsidDel="00CC11E6">
        <w:rPr>
          <w:rFonts w:eastAsiaTheme="minorEastAsia" w:cs="Times New Roman"/>
          <w:noProof/>
          <w:szCs w:val="24"/>
          <w:lang w:val="en-GB"/>
        </w:rPr>
        <w:t xml:space="preserve"> </w:t>
      </w:r>
      <w:r w:rsidR="009F7048">
        <w:rPr>
          <w:rFonts w:eastAsiaTheme="minorEastAsia" w:cs="Times New Roman"/>
          <w:noProof/>
          <w:szCs w:val="24"/>
          <w:lang w:val="en-GB"/>
        </w:rPr>
        <w:t>by</w:t>
      </w:r>
      <w:r w:rsidR="009F7048" w:rsidRPr="00724676" w:rsidDel="00CC11E6">
        <w:rPr>
          <w:rFonts w:eastAsiaTheme="minorEastAsia" w:cs="Times New Roman"/>
          <w:noProof/>
          <w:szCs w:val="24"/>
          <w:lang w:val="en-GB"/>
        </w:rPr>
        <w:t xml:space="preserve"> </w:t>
      </w:r>
      <w:r w:rsidR="005D4997" w:rsidRPr="00724676" w:rsidDel="00CC11E6">
        <w:rPr>
          <w:rFonts w:eastAsiaTheme="minorEastAsia" w:cs="Times New Roman"/>
          <w:noProof/>
          <w:szCs w:val="24"/>
          <w:lang w:val="en-GB"/>
        </w:rPr>
        <w:t xml:space="preserve">the administration, </w:t>
      </w:r>
      <w:r w:rsidR="00A357B9" w:rsidRPr="00724676">
        <w:rPr>
          <w:rFonts w:eastAsiaTheme="minorEastAsia" w:cs="Times New Roman"/>
          <w:noProof/>
          <w:szCs w:val="24"/>
          <w:lang w:val="en-GB"/>
        </w:rPr>
        <w:t>thereby leaving</w:t>
      </w:r>
      <w:r w:rsidR="005D4997" w:rsidRPr="00724676">
        <w:rPr>
          <w:rFonts w:eastAsiaTheme="minorEastAsia" w:cs="Times New Roman"/>
          <w:noProof/>
          <w:szCs w:val="24"/>
          <w:lang w:val="en-GB"/>
        </w:rPr>
        <w:t xml:space="preserve"> </w:t>
      </w:r>
      <w:r w:rsidR="005D4997" w:rsidRPr="00724676" w:rsidDel="00CC11E6">
        <w:rPr>
          <w:rFonts w:eastAsiaTheme="minorEastAsia" w:cs="Times New Roman"/>
          <w:b/>
          <w:bCs/>
          <w:noProof/>
          <w:szCs w:val="24"/>
          <w:lang w:val="en-GB"/>
        </w:rPr>
        <w:t>farmers more time to dedicate to their core work</w:t>
      </w:r>
      <w:r w:rsidR="005D4997" w:rsidRPr="00724676">
        <w:rPr>
          <w:rFonts w:eastAsiaTheme="minorEastAsia" w:cs="Times New Roman"/>
          <w:b/>
          <w:bCs/>
          <w:noProof/>
          <w:szCs w:val="24"/>
          <w:lang w:val="en-GB"/>
        </w:rPr>
        <w:t>.</w:t>
      </w:r>
    </w:p>
    <w:p w14:paraId="4B2A829E" w14:textId="7D9D1354" w:rsidR="00945ECB" w:rsidRPr="00724676" w:rsidRDefault="00647648" w:rsidP="001C10D1">
      <w:pPr>
        <w:spacing w:after="120"/>
        <w:jc w:val="both"/>
        <w:rPr>
          <w:rFonts w:eastAsiaTheme="minorEastAsia" w:cs="Times New Roman"/>
          <w:noProof/>
          <w:szCs w:val="24"/>
          <w:lang w:val="en-GB"/>
        </w:rPr>
      </w:pPr>
      <w:r w:rsidRPr="00724676">
        <w:rPr>
          <w:rFonts w:eastAsia="Calibri" w:cs="Times New Roman"/>
          <w:noProof/>
          <w:szCs w:val="24"/>
          <w:lang w:val="en-GB"/>
        </w:rPr>
        <w:t>In particular, t</w:t>
      </w:r>
      <w:r w:rsidR="0045141E" w:rsidRPr="00724676">
        <w:rPr>
          <w:rFonts w:eastAsia="Calibri" w:cs="Times New Roman"/>
          <w:noProof/>
          <w:szCs w:val="24"/>
          <w:lang w:val="en-GB"/>
        </w:rPr>
        <w:t xml:space="preserve">he revision of the IACS </w:t>
      </w:r>
      <w:r w:rsidR="00DF4886" w:rsidRPr="00724676">
        <w:rPr>
          <w:rFonts w:eastAsia="Calibri" w:cs="Times New Roman"/>
          <w:noProof/>
          <w:szCs w:val="24"/>
          <w:lang w:val="en-GB"/>
        </w:rPr>
        <w:t xml:space="preserve">quality </w:t>
      </w:r>
      <w:r w:rsidR="00A568A6" w:rsidRPr="00724676">
        <w:rPr>
          <w:rFonts w:eastAsia="Calibri" w:cs="Times New Roman"/>
          <w:noProof/>
          <w:szCs w:val="24"/>
          <w:lang w:val="en-GB"/>
        </w:rPr>
        <w:t>ass</w:t>
      </w:r>
      <w:r w:rsidR="0057019A" w:rsidRPr="00724676">
        <w:rPr>
          <w:rFonts w:eastAsia="Calibri" w:cs="Times New Roman"/>
          <w:noProof/>
          <w:szCs w:val="24"/>
          <w:lang w:val="en-GB"/>
        </w:rPr>
        <w:t>essment</w:t>
      </w:r>
      <w:r w:rsidR="00A568A6" w:rsidRPr="00724676">
        <w:rPr>
          <w:rFonts w:eastAsia="Calibri" w:cs="Times New Roman"/>
          <w:noProof/>
          <w:szCs w:val="24"/>
          <w:lang w:val="en-GB"/>
        </w:rPr>
        <w:t xml:space="preserve"> </w:t>
      </w:r>
      <w:r w:rsidR="0045141E" w:rsidRPr="00724676">
        <w:rPr>
          <w:rFonts w:eastAsia="Calibri" w:cs="Times New Roman"/>
          <w:noProof/>
          <w:color w:val="000000" w:themeColor="text1"/>
          <w:szCs w:val="24"/>
          <w:lang w:val="en-GB"/>
        </w:rPr>
        <w:t xml:space="preserve">methodology </w:t>
      </w:r>
      <w:r w:rsidR="00F8059E" w:rsidRPr="00724676">
        <w:rPr>
          <w:rFonts w:eastAsia="Times New Roman" w:cs="Times New Roman"/>
          <w:noProof/>
          <w:color w:val="333333"/>
          <w:szCs w:val="24"/>
          <w:lang w:val="en-GB"/>
        </w:rPr>
        <w:t>(measure A.3 in Annex</w:t>
      </w:r>
      <w:r w:rsidR="009F7048">
        <w:rPr>
          <w:rFonts w:eastAsia="Times New Roman" w:cs="Times New Roman"/>
          <w:noProof/>
          <w:color w:val="333333"/>
          <w:szCs w:val="24"/>
          <w:lang w:val="en-GB"/>
        </w:rPr>
        <w:t> </w:t>
      </w:r>
      <w:r w:rsidR="00F8059E" w:rsidRPr="00724676">
        <w:rPr>
          <w:rFonts w:eastAsia="Times New Roman" w:cs="Times New Roman"/>
          <w:noProof/>
          <w:color w:val="333333"/>
          <w:szCs w:val="24"/>
          <w:lang w:val="en-GB"/>
        </w:rPr>
        <w:t xml:space="preserve">1), </w:t>
      </w:r>
      <w:r w:rsidR="0045141E" w:rsidRPr="00724676">
        <w:rPr>
          <w:rFonts w:eastAsia="Calibri" w:cs="Times New Roman"/>
          <w:noProof/>
          <w:color w:val="000000" w:themeColor="text1"/>
          <w:szCs w:val="24"/>
          <w:lang w:val="en-GB"/>
        </w:rPr>
        <w:t xml:space="preserve">should </w:t>
      </w:r>
      <w:r w:rsidR="00D75112" w:rsidRPr="00724676">
        <w:rPr>
          <w:rFonts w:eastAsia="Calibri" w:cs="Times New Roman"/>
          <w:noProof/>
          <w:color w:val="000000" w:themeColor="text1"/>
          <w:szCs w:val="24"/>
          <w:lang w:val="en-GB"/>
        </w:rPr>
        <w:t>significantly reduce</w:t>
      </w:r>
      <w:r w:rsidR="0045141E" w:rsidRPr="00724676">
        <w:rPr>
          <w:rFonts w:eastAsia="Calibri" w:cs="Times New Roman"/>
          <w:noProof/>
          <w:color w:val="000000" w:themeColor="text1"/>
          <w:szCs w:val="24"/>
          <w:lang w:val="en-GB"/>
        </w:rPr>
        <w:t xml:space="preserve"> the number of </w:t>
      </w:r>
      <w:r w:rsidR="009770D9" w:rsidRPr="00724676">
        <w:rPr>
          <w:rFonts w:eastAsia="Calibri" w:cs="Times New Roman"/>
          <w:noProof/>
          <w:color w:val="000000" w:themeColor="text1"/>
          <w:szCs w:val="24"/>
          <w:lang w:val="en-GB"/>
        </w:rPr>
        <w:t xml:space="preserve">visited </w:t>
      </w:r>
      <w:r w:rsidR="0045141E" w:rsidRPr="00724676">
        <w:rPr>
          <w:rFonts w:eastAsia="Calibri" w:cs="Times New Roman"/>
          <w:noProof/>
          <w:color w:val="000000" w:themeColor="text1"/>
          <w:szCs w:val="24"/>
          <w:lang w:val="en-GB"/>
        </w:rPr>
        <w:t>farm</w:t>
      </w:r>
      <w:r w:rsidR="009770D9" w:rsidRPr="00724676">
        <w:rPr>
          <w:rFonts w:eastAsia="Calibri" w:cs="Times New Roman"/>
          <w:noProof/>
          <w:color w:val="000000" w:themeColor="text1"/>
          <w:szCs w:val="24"/>
          <w:lang w:val="en-GB"/>
        </w:rPr>
        <w:t>s</w:t>
      </w:r>
      <w:r w:rsidR="0045141E" w:rsidRPr="00724676">
        <w:rPr>
          <w:rFonts w:eastAsia="Calibri" w:cs="Times New Roman"/>
          <w:noProof/>
          <w:color w:val="000000" w:themeColor="text1"/>
          <w:szCs w:val="24"/>
          <w:lang w:val="en-GB"/>
        </w:rPr>
        <w:t xml:space="preserve"> in the quality assessment sample. It is estimated that the change will </w:t>
      </w:r>
      <w:r w:rsidR="0045141E" w:rsidRPr="00724676">
        <w:rPr>
          <w:rStyle w:val="Strong"/>
          <w:rFonts w:cs="Times New Roman"/>
          <w:b w:val="0"/>
          <w:bCs w:val="0"/>
          <w:noProof/>
          <w:color w:val="000000"/>
          <w:kern w:val="0"/>
          <w:szCs w:val="24"/>
          <w:lang w:val="en-GB"/>
          <w14:ligatures w14:val="none"/>
        </w:rPr>
        <w:t>reduc</w:t>
      </w:r>
      <w:r w:rsidR="004072D6" w:rsidRPr="00724676">
        <w:rPr>
          <w:rStyle w:val="Strong"/>
          <w:rFonts w:cs="Times New Roman"/>
          <w:b w:val="0"/>
          <w:bCs w:val="0"/>
          <w:noProof/>
          <w:color w:val="000000"/>
          <w:kern w:val="0"/>
          <w:szCs w:val="24"/>
          <w:lang w:val="en-GB"/>
          <w14:ligatures w14:val="none"/>
        </w:rPr>
        <w:t>e the number</w:t>
      </w:r>
      <w:r w:rsidR="0045141E" w:rsidRPr="00724676">
        <w:rPr>
          <w:rStyle w:val="Strong"/>
          <w:rFonts w:cs="Times New Roman"/>
          <w:b w:val="0"/>
          <w:bCs w:val="0"/>
          <w:noProof/>
          <w:color w:val="000000"/>
          <w:kern w:val="0"/>
          <w:szCs w:val="24"/>
          <w:lang w:val="en-GB"/>
          <w14:ligatures w14:val="none"/>
        </w:rPr>
        <w:t xml:space="preserve"> of visited farms </w:t>
      </w:r>
      <w:r w:rsidR="0045141E" w:rsidRPr="00724676">
        <w:rPr>
          <w:rFonts w:eastAsia="Calibri" w:cs="Times New Roman"/>
          <w:noProof/>
          <w:color w:val="000000" w:themeColor="text1"/>
          <w:szCs w:val="24"/>
          <w:lang w:val="en-GB"/>
        </w:rPr>
        <w:t>by 50%</w:t>
      </w:r>
      <w:r w:rsidR="00B54224" w:rsidRPr="00724676">
        <w:rPr>
          <w:rFonts w:eastAsia="Calibri" w:cs="Times New Roman"/>
          <w:noProof/>
          <w:color w:val="000000" w:themeColor="text1"/>
          <w:szCs w:val="24"/>
          <w:lang w:val="en-GB"/>
        </w:rPr>
        <w:t xml:space="preserve"> or more</w:t>
      </w:r>
      <w:r w:rsidR="0045141E" w:rsidRPr="00724676">
        <w:rPr>
          <w:rFonts w:eastAsia="Calibri" w:cs="Times New Roman"/>
          <w:noProof/>
          <w:color w:val="000000" w:themeColor="text1"/>
          <w:szCs w:val="24"/>
          <w:lang w:val="en-GB"/>
        </w:rPr>
        <w:t xml:space="preserve"> compared to 2023. Assuming a reduction of around 174</w:t>
      </w:r>
      <w:r w:rsidR="009F7048">
        <w:rPr>
          <w:rFonts w:eastAsia="Calibri" w:cs="Times New Roman"/>
          <w:noProof/>
          <w:color w:val="000000" w:themeColor="text1"/>
          <w:szCs w:val="24"/>
          <w:lang w:val="en-GB"/>
        </w:rPr>
        <w:t> </w:t>
      </w:r>
      <w:r w:rsidR="0045141E" w:rsidRPr="00724676">
        <w:rPr>
          <w:rFonts w:eastAsia="Calibri" w:cs="Times New Roman"/>
          <w:noProof/>
          <w:color w:val="000000" w:themeColor="text1"/>
          <w:szCs w:val="24"/>
          <w:lang w:val="en-GB"/>
        </w:rPr>
        <w:t>000</w:t>
      </w:r>
      <w:r w:rsidR="0045141E" w:rsidRPr="00724676" w:rsidDel="00465032">
        <w:rPr>
          <w:rFonts w:eastAsia="Calibri" w:cs="Times New Roman"/>
          <w:noProof/>
          <w:color w:val="000000" w:themeColor="text1"/>
          <w:szCs w:val="24"/>
          <w:lang w:val="en-GB"/>
        </w:rPr>
        <w:t xml:space="preserve"> </w:t>
      </w:r>
      <w:r w:rsidR="0045141E" w:rsidRPr="00724676">
        <w:rPr>
          <w:rFonts w:eastAsia="Calibri" w:cs="Times New Roman"/>
          <w:noProof/>
          <w:color w:val="000000" w:themeColor="text1"/>
          <w:szCs w:val="24"/>
          <w:lang w:val="en-GB"/>
        </w:rPr>
        <w:t>field</w:t>
      </w:r>
      <w:r w:rsidR="0045141E" w:rsidRPr="00724676" w:rsidDel="00465032">
        <w:rPr>
          <w:rFonts w:eastAsia="Calibri" w:cs="Times New Roman"/>
          <w:noProof/>
          <w:color w:val="000000" w:themeColor="text1"/>
          <w:szCs w:val="24"/>
          <w:lang w:val="en-GB"/>
        </w:rPr>
        <w:t xml:space="preserve"> </w:t>
      </w:r>
      <w:r w:rsidR="0045141E" w:rsidRPr="00724676">
        <w:rPr>
          <w:rFonts w:eastAsia="Calibri" w:cs="Times New Roman"/>
          <w:noProof/>
          <w:color w:val="000000" w:themeColor="text1"/>
          <w:szCs w:val="24"/>
          <w:lang w:val="en-GB"/>
        </w:rPr>
        <w:t>visits, this translate</w:t>
      </w:r>
      <w:r w:rsidR="001907BA" w:rsidRPr="00724676">
        <w:rPr>
          <w:rFonts w:eastAsia="Calibri" w:cs="Times New Roman"/>
          <w:noProof/>
          <w:color w:val="000000" w:themeColor="text1"/>
          <w:szCs w:val="24"/>
          <w:lang w:val="en-GB"/>
        </w:rPr>
        <w:t>s</w:t>
      </w:r>
      <w:r w:rsidR="0045141E" w:rsidRPr="00724676">
        <w:rPr>
          <w:rFonts w:eastAsia="Calibri" w:cs="Times New Roman"/>
          <w:noProof/>
          <w:color w:val="000000" w:themeColor="text1"/>
          <w:szCs w:val="24"/>
          <w:lang w:val="en-GB"/>
        </w:rPr>
        <w:t xml:space="preserve"> to an annual </w:t>
      </w:r>
      <w:r w:rsidR="0045141E" w:rsidRPr="00724676">
        <w:rPr>
          <w:rFonts w:eastAsia="Calibri" w:cs="Times New Roman"/>
          <w:b/>
          <w:bCs/>
          <w:noProof/>
          <w:color w:val="000000" w:themeColor="text1"/>
          <w:szCs w:val="24"/>
          <w:lang w:val="en-GB"/>
        </w:rPr>
        <w:t>reduction of administrative costs equivalent to EUR 61.8 million</w:t>
      </w:r>
      <w:r w:rsidR="0045141E" w:rsidRPr="00724676">
        <w:rPr>
          <w:rFonts w:eastAsia="Calibri" w:cs="Times New Roman"/>
          <w:noProof/>
          <w:color w:val="000000" w:themeColor="text1"/>
          <w:szCs w:val="24"/>
          <w:lang w:val="en-GB"/>
        </w:rPr>
        <w:t xml:space="preserve"> for farmers</w:t>
      </w:r>
      <w:r w:rsidR="0045141E" w:rsidRPr="00724676">
        <w:rPr>
          <w:rFonts w:eastAsiaTheme="minorEastAsia" w:cs="Times New Roman"/>
          <w:noProof/>
          <w:color w:val="000000" w:themeColor="text1"/>
          <w:szCs w:val="24"/>
          <w:lang w:val="en-GB"/>
        </w:rPr>
        <w:t>, using average EU values for labour costs. T</w:t>
      </w:r>
      <w:r w:rsidR="0045141E" w:rsidRPr="00724676" w:rsidDel="00CC11E6">
        <w:rPr>
          <w:rFonts w:eastAsiaTheme="minorEastAsia" w:cs="Times New Roman"/>
          <w:noProof/>
          <w:szCs w:val="24"/>
          <w:lang w:val="en-GB"/>
        </w:rPr>
        <w:t>he Commission’s clarification</w:t>
      </w:r>
      <w:r w:rsidR="0045141E" w:rsidRPr="00724676">
        <w:rPr>
          <w:rFonts w:eastAsiaTheme="minorEastAsia" w:cs="Times New Roman"/>
          <w:noProof/>
          <w:szCs w:val="24"/>
          <w:lang w:val="en-GB"/>
        </w:rPr>
        <w:t>s</w:t>
      </w:r>
      <w:r w:rsidR="0045141E" w:rsidRPr="00724676" w:rsidDel="00CC11E6">
        <w:rPr>
          <w:rFonts w:eastAsiaTheme="minorEastAsia" w:cs="Times New Roman"/>
          <w:noProof/>
          <w:szCs w:val="24"/>
          <w:lang w:val="en-GB"/>
        </w:rPr>
        <w:t xml:space="preserve"> </w:t>
      </w:r>
      <w:r w:rsidR="0045141E" w:rsidRPr="00724676">
        <w:rPr>
          <w:rFonts w:eastAsiaTheme="minorEastAsia" w:cs="Times New Roman"/>
          <w:noProof/>
          <w:szCs w:val="24"/>
          <w:lang w:val="en-GB"/>
        </w:rPr>
        <w:t>on the</w:t>
      </w:r>
      <w:r w:rsidR="0045141E" w:rsidRPr="00724676" w:rsidDel="00CC11E6">
        <w:rPr>
          <w:rFonts w:eastAsiaTheme="minorEastAsia" w:cs="Times New Roman"/>
          <w:noProof/>
          <w:szCs w:val="24"/>
          <w:lang w:val="en-GB"/>
        </w:rPr>
        <w:t xml:space="preserve"> us</w:t>
      </w:r>
      <w:r w:rsidR="0045141E" w:rsidRPr="00724676">
        <w:rPr>
          <w:rFonts w:eastAsiaTheme="minorEastAsia" w:cs="Times New Roman"/>
          <w:noProof/>
          <w:szCs w:val="24"/>
          <w:lang w:val="en-GB"/>
        </w:rPr>
        <w:t>age of</w:t>
      </w:r>
      <w:r w:rsidR="0045141E" w:rsidRPr="00724676" w:rsidDel="00CC11E6">
        <w:rPr>
          <w:rFonts w:eastAsiaTheme="minorEastAsia" w:cs="Times New Roman"/>
          <w:noProof/>
          <w:szCs w:val="24"/>
          <w:lang w:val="en-GB"/>
        </w:rPr>
        <w:t xml:space="preserve"> geotagged photos </w:t>
      </w:r>
      <w:r w:rsidR="0045141E" w:rsidRPr="00724676">
        <w:rPr>
          <w:rFonts w:eastAsiaTheme="minorEastAsia" w:cs="Times New Roman"/>
          <w:noProof/>
          <w:szCs w:val="24"/>
          <w:lang w:val="en-GB"/>
        </w:rPr>
        <w:t>should</w:t>
      </w:r>
      <w:r w:rsidR="0045141E" w:rsidRPr="00724676" w:rsidDel="00CC11E6">
        <w:rPr>
          <w:rFonts w:eastAsiaTheme="minorEastAsia" w:cs="Times New Roman"/>
          <w:noProof/>
          <w:szCs w:val="24"/>
          <w:lang w:val="en-GB"/>
        </w:rPr>
        <w:t xml:space="preserve"> </w:t>
      </w:r>
      <w:r w:rsidR="0045141E" w:rsidRPr="00724676">
        <w:rPr>
          <w:rFonts w:eastAsiaTheme="minorEastAsia" w:cs="Times New Roman"/>
          <w:noProof/>
          <w:szCs w:val="24"/>
          <w:lang w:val="en-GB"/>
        </w:rPr>
        <w:t>further</w:t>
      </w:r>
      <w:r w:rsidR="0045141E" w:rsidRPr="00724676" w:rsidDel="00CC11E6">
        <w:rPr>
          <w:rFonts w:eastAsiaTheme="minorEastAsia" w:cs="Times New Roman"/>
          <w:noProof/>
          <w:szCs w:val="24"/>
          <w:lang w:val="en-GB"/>
        </w:rPr>
        <w:t xml:space="preserve"> reduc</w:t>
      </w:r>
      <w:r w:rsidR="0045141E" w:rsidRPr="00724676">
        <w:rPr>
          <w:rFonts w:eastAsiaTheme="minorEastAsia" w:cs="Times New Roman"/>
          <w:noProof/>
          <w:szCs w:val="24"/>
          <w:lang w:val="en-GB"/>
        </w:rPr>
        <w:t>e</w:t>
      </w:r>
      <w:r w:rsidR="0045141E" w:rsidRPr="00724676" w:rsidDel="00CC11E6">
        <w:rPr>
          <w:rFonts w:eastAsiaTheme="minorEastAsia" w:cs="Times New Roman"/>
          <w:noProof/>
          <w:szCs w:val="24"/>
          <w:lang w:val="en-GB"/>
        </w:rPr>
        <w:t xml:space="preserve"> the number of on-farm visits</w:t>
      </w:r>
      <w:r w:rsidR="0045141E" w:rsidRPr="00724676">
        <w:rPr>
          <w:rFonts w:eastAsiaTheme="minorEastAsia" w:cs="Times New Roman"/>
          <w:noProof/>
          <w:szCs w:val="24"/>
          <w:lang w:val="en-GB"/>
        </w:rPr>
        <w:t xml:space="preserve"> and the associated costs</w:t>
      </w:r>
      <w:r w:rsidR="0045141E" w:rsidRPr="00724676" w:rsidDel="00CC11E6">
        <w:rPr>
          <w:rFonts w:eastAsiaTheme="minorEastAsia" w:cs="Times New Roman"/>
          <w:noProof/>
          <w:szCs w:val="24"/>
          <w:lang w:val="en-GB"/>
        </w:rPr>
        <w:t xml:space="preserve">. </w:t>
      </w:r>
    </w:p>
    <w:p w14:paraId="7F23ED57" w14:textId="567C1616" w:rsidR="00AC61B0" w:rsidRPr="00724676" w:rsidRDefault="0045141E" w:rsidP="001C10D1">
      <w:pPr>
        <w:spacing w:after="120"/>
        <w:jc w:val="both"/>
        <w:rPr>
          <w:noProof/>
          <w:shd w:val="clear" w:color="auto" w:fill="FFFFFF"/>
          <w:lang w:val="en-GB"/>
        </w:rPr>
      </w:pPr>
      <w:r w:rsidRPr="00724676">
        <w:rPr>
          <w:rFonts w:eastAsia="Calibri" w:cs="Times New Roman"/>
          <w:noProof/>
          <w:szCs w:val="24"/>
          <w:lang w:val="en-GB"/>
        </w:rPr>
        <w:t xml:space="preserve">Farms under 10 hectares </w:t>
      </w:r>
      <w:r w:rsidR="007F2EE5">
        <w:rPr>
          <w:rFonts w:eastAsia="Calibri" w:cs="Times New Roman"/>
          <w:noProof/>
          <w:szCs w:val="24"/>
          <w:lang w:val="en-GB"/>
        </w:rPr>
        <w:t xml:space="preserve">of agricultural area </w:t>
      </w:r>
      <w:r w:rsidRPr="00724676">
        <w:rPr>
          <w:rFonts w:eastAsia="Calibri" w:cs="Times New Roman"/>
          <w:noProof/>
          <w:szCs w:val="24"/>
          <w:lang w:val="en-GB"/>
        </w:rPr>
        <w:t xml:space="preserve">represent 65% of CAP beneficiaries. These farms operate on around 9.6% of </w:t>
      </w:r>
      <w:r w:rsidR="00357296">
        <w:rPr>
          <w:rFonts w:eastAsia="Calibri" w:cs="Times New Roman"/>
          <w:noProof/>
          <w:szCs w:val="24"/>
          <w:lang w:val="en-GB"/>
        </w:rPr>
        <w:t xml:space="preserve">the </w:t>
      </w:r>
      <w:r w:rsidRPr="00724676">
        <w:rPr>
          <w:rFonts w:eastAsia="Calibri" w:cs="Times New Roman"/>
          <w:noProof/>
          <w:szCs w:val="24"/>
          <w:lang w:val="en-GB"/>
        </w:rPr>
        <w:t>EU</w:t>
      </w:r>
      <w:r w:rsidR="00357296">
        <w:rPr>
          <w:rFonts w:eastAsia="Calibri" w:cs="Times New Roman"/>
          <w:noProof/>
          <w:szCs w:val="24"/>
          <w:lang w:val="en-GB"/>
        </w:rPr>
        <w:t>’s</w:t>
      </w:r>
      <w:r w:rsidRPr="00724676">
        <w:rPr>
          <w:rFonts w:eastAsia="Calibri" w:cs="Times New Roman"/>
          <w:noProof/>
          <w:szCs w:val="24"/>
          <w:lang w:val="en-GB"/>
        </w:rPr>
        <w:t xml:space="preserve"> agricultural area and receive around 11% of the EU direct payment</w:t>
      </w:r>
      <w:r w:rsidR="009F7048">
        <w:rPr>
          <w:rFonts w:eastAsia="Calibri" w:cs="Times New Roman"/>
          <w:noProof/>
          <w:szCs w:val="24"/>
          <w:lang w:val="en-GB"/>
        </w:rPr>
        <w:t>s</w:t>
      </w:r>
      <w:r w:rsidRPr="00724676">
        <w:rPr>
          <w:rFonts w:eastAsia="Calibri" w:cs="Times New Roman"/>
          <w:noProof/>
          <w:szCs w:val="24"/>
          <w:lang w:val="en-GB"/>
        </w:rPr>
        <w:t xml:space="preserve"> (Figure </w:t>
      </w:r>
      <w:r w:rsidR="00D3259D" w:rsidRPr="00724676">
        <w:rPr>
          <w:rFonts w:eastAsia="Calibri" w:cs="Times New Roman"/>
          <w:noProof/>
          <w:szCs w:val="24"/>
          <w:lang w:val="en-GB"/>
        </w:rPr>
        <w:t>2</w:t>
      </w:r>
      <w:r w:rsidRPr="00724676">
        <w:rPr>
          <w:rFonts w:eastAsia="Calibri" w:cs="Times New Roman"/>
          <w:noProof/>
          <w:szCs w:val="24"/>
          <w:lang w:val="en-GB"/>
        </w:rPr>
        <w:t xml:space="preserve">). </w:t>
      </w:r>
      <w:r w:rsidR="00A96211" w:rsidRPr="00724676">
        <w:rPr>
          <w:rFonts w:eastAsia="Calibri" w:cs="Times New Roman"/>
          <w:noProof/>
          <w:szCs w:val="24"/>
          <w:lang w:val="en-GB"/>
        </w:rPr>
        <w:t>Performing</w:t>
      </w:r>
      <w:r w:rsidRPr="00724676">
        <w:rPr>
          <w:rFonts w:eastAsia="Calibri" w:cs="Times New Roman"/>
          <w:noProof/>
          <w:szCs w:val="24"/>
          <w:lang w:val="en-GB"/>
        </w:rPr>
        <w:t xml:space="preserve"> conditionality controls </w:t>
      </w:r>
      <w:r w:rsidR="00A96211" w:rsidRPr="00724676">
        <w:rPr>
          <w:rFonts w:eastAsia="Calibri" w:cs="Times New Roman"/>
          <w:noProof/>
          <w:szCs w:val="24"/>
          <w:lang w:val="en-GB"/>
        </w:rPr>
        <w:t xml:space="preserve">on these farms was </w:t>
      </w:r>
      <w:r w:rsidR="003746E5" w:rsidRPr="00724676">
        <w:rPr>
          <w:rFonts w:eastAsia="Calibri" w:cs="Times New Roman"/>
          <w:noProof/>
          <w:szCs w:val="24"/>
          <w:lang w:val="en-GB"/>
        </w:rPr>
        <w:t xml:space="preserve">thus </w:t>
      </w:r>
      <w:r w:rsidR="00A96211" w:rsidRPr="00724676">
        <w:rPr>
          <w:rFonts w:eastAsia="Calibri" w:cs="Times New Roman"/>
          <w:noProof/>
          <w:szCs w:val="24"/>
          <w:lang w:val="en-GB"/>
        </w:rPr>
        <w:t>deemed disproport</w:t>
      </w:r>
      <w:r w:rsidR="003746E5" w:rsidRPr="00724676">
        <w:rPr>
          <w:rFonts w:eastAsia="Calibri" w:cs="Times New Roman"/>
          <w:noProof/>
          <w:szCs w:val="24"/>
          <w:lang w:val="en-GB"/>
        </w:rPr>
        <w:t>ionate</w:t>
      </w:r>
      <w:r w:rsidR="00A96211" w:rsidRPr="00724676">
        <w:rPr>
          <w:rFonts w:eastAsia="Calibri" w:cs="Times New Roman"/>
          <w:noProof/>
          <w:szCs w:val="24"/>
          <w:lang w:val="en-GB"/>
        </w:rPr>
        <w:t>.</w:t>
      </w:r>
      <w:r w:rsidR="003F080B" w:rsidRPr="00724676">
        <w:rPr>
          <w:rFonts w:eastAsia="Calibri" w:cs="Times New Roman"/>
          <w:noProof/>
          <w:szCs w:val="24"/>
          <w:lang w:val="en-GB"/>
        </w:rPr>
        <w:t xml:space="preserve"> </w:t>
      </w:r>
      <w:r w:rsidR="003746E5" w:rsidRPr="00724676">
        <w:rPr>
          <w:rFonts w:eastAsia="Calibri" w:cs="Times New Roman"/>
          <w:noProof/>
          <w:szCs w:val="24"/>
          <w:lang w:val="en-GB"/>
        </w:rPr>
        <w:t>Their r</w:t>
      </w:r>
      <w:r w:rsidRPr="00724676">
        <w:rPr>
          <w:rFonts w:eastAsia="Calibri" w:cs="Times New Roman"/>
          <w:noProof/>
          <w:szCs w:val="24"/>
          <w:lang w:val="en-GB"/>
        </w:rPr>
        <w:t>emov</w:t>
      </w:r>
      <w:r w:rsidR="003746E5" w:rsidRPr="00724676">
        <w:rPr>
          <w:rFonts w:eastAsia="Calibri" w:cs="Times New Roman"/>
          <w:noProof/>
          <w:szCs w:val="24"/>
          <w:lang w:val="en-GB"/>
        </w:rPr>
        <w:t>al</w:t>
      </w:r>
      <w:r w:rsidR="00515C05" w:rsidRPr="00724676">
        <w:rPr>
          <w:rFonts w:eastAsia="Calibri" w:cs="Times New Roman"/>
          <w:noProof/>
          <w:szCs w:val="24"/>
          <w:lang w:val="en-GB"/>
        </w:rPr>
        <w:t xml:space="preserve"> (measure B.2 in </w:t>
      </w:r>
      <w:r w:rsidR="009F7048">
        <w:rPr>
          <w:rFonts w:eastAsia="Calibri" w:cs="Times New Roman"/>
          <w:noProof/>
          <w:szCs w:val="24"/>
          <w:lang w:val="en-GB"/>
        </w:rPr>
        <w:t>A</w:t>
      </w:r>
      <w:r w:rsidR="00515C05" w:rsidRPr="00724676">
        <w:rPr>
          <w:rFonts w:eastAsia="Calibri" w:cs="Times New Roman"/>
          <w:noProof/>
          <w:szCs w:val="24"/>
          <w:lang w:val="en-GB"/>
        </w:rPr>
        <w:t>nnex</w:t>
      </w:r>
      <w:r w:rsidR="009F7048">
        <w:rPr>
          <w:rFonts w:eastAsia="Calibri" w:cs="Times New Roman"/>
          <w:noProof/>
          <w:szCs w:val="24"/>
          <w:lang w:val="en-GB"/>
        </w:rPr>
        <w:t xml:space="preserve"> </w:t>
      </w:r>
      <w:r w:rsidR="00515C05" w:rsidRPr="00724676">
        <w:rPr>
          <w:rFonts w:eastAsia="Calibri" w:cs="Times New Roman"/>
          <w:noProof/>
          <w:szCs w:val="24"/>
          <w:lang w:val="en-GB"/>
        </w:rPr>
        <w:t>1)</w:t>
      </w:r>
      <w:r w:rsidR="002574F8" w:rsidRPr="00724676">
        <w:rPr>
          <w:rFonts w:eastAsia="Calibri" w:cs="Times New Roman"/>
          <w:noProof/>
          <w:szCs w:val="24"/>
          <w:lang w:val="en-GB"/>
        </w:rPr>
        <w:t xml:space="preserve"> </w:t>
      </w:r>
      <w:r w:rsidRPr="00724676">
        <w:rPr>
          <w:rFonts w:eastAsia="Calibri" w:cs="Times New Roman"/>
          <w:noProof/>
          <w:szCs w:val="24"/>
          <w:lang w:val="en-GB"/>
        </w:rPr>
        <w:t xml:space="preserve">is estimated to result in approximately 37 600 </w:t>
      </w:r>
      <w:r w:rsidR="00357296" w:rsidRPr="00724676">
        <w:rPr>
          <w:rFonts w:eastAsia="Calibri" w:cs="Times New Roman"/>
          <w:noProof/>
          <w:szCs w:val="24"/>
          <w:lang w:val="en-GB"/>
        </w:rPr>
        <w:t xml:space="preserve">fewer </w:t>
      </w:r>
      <w:r w:rsidRPr="00724676">
        <w:rPr>
          <w:rFonts w:eastAsia="Calibri" w:cs="Times New Roman"/>
          <w:noProof/>
          <w:szCs w:val="24"/>
          <w:lang w:val="en-GB"/>
        </w:rPr>
        <w:t xml:space="preserve">controls every year. This translates into </w:t>
      </w:r>
      <w:r w:rsidR="009F7048">
        <w:rPr>
          <w:rFonts w:eastAsia="Calibri" w:cs="Times New Roman"/>
          <w:noProof/>
          <w:szCs w:val="24"/>
          <w:lang w:val="en-GB"/>
        </w:rPr>
        <w:t xml:space="preserve">an </w:t>
      </w:r>
      <w:r w:rsidRPr="003E7CF4">
        <w:rPr>
          <w:rFonts w:eastAsia="Calibri" w:cs="Times New Roman"/>
          <w:b/>
          <w:bCs/>
          <w:noProof/>
          <w:szCs w:val="24"/>
          <w:lang w:val="en-GB"/>
        </w:rPr>
        <w:t>a</w:t>
      </w:r>
      <w:r w:rsidR="009F7048" w:rsidRPr="003E7CF4">
        <w:rPr>
          <w:rFonts w:eastAsia="Calibri" w:cs="Times New Roman"/>
          <w:b/>
          <w:bCs/>
          <w:noProof/>
          <w:szCs w:val="24"/>
          <w:lang w:val="en-GB"/>
        </w:rPr>
        <w:t>nnual</w:t>
      </w:r>
      <w:r w:rsidRPr="00724676">
        <w:rPr>
          <w:rFonts w:eastAsia="Calibri" w:cs="Times New Roman"/>
          <w:b/>
          <w:noProof/>
          <w:szCs w:val="24"/>
          <w:lang w:val="en-GB"/>
        </w:rPr>
        <w:t xml:space="preserve"> reduction in the administrative burden of </w:t>
      </w:r>
      <w:r w:rsidRPr="00724676">
        <w:rPr>
          <w:rFonts w:eastAsia="Calibri" w:cs="Times New Roman"/>
          <w:b/>
          <w:noProof/>
          <w:color w:val="000000" w:themeColor="text1"/>
          <w:szCs w:val="24"/>
          <w:lang w:val="en-GB"/>
        </w:rPr>
        <w:t>EUR 6.</w:t>
      </w:r>
      <w:r w:rsidR="000C19A7" w:rsidRPr="00724676">
        <w:rPr>
          <w:rFonts w:eastAsia="Calibri" w:cs="Times New Roman"/>
          <w:b/>
          <w:noProof/>
          <w:color w:val="000000" w:themeColor="text1"/>
          <w:szCs w:val="24"/>
          <w:lang w:val="en-GB"/>
        </w:rPr>
        <w:t xml:space="preserve">7 </w:t>
      </w:r>
      <w:r w:rsidRPr="00724676">
        <w:rPr>
          <w:rFonts w:eastAsia="Calibri" w:cs="Times New Roman"/>
          <w:b/>
          <w:noProof/>
          <w:color w:val="000000" w:themeColor="text1"/>
          <w:szCs w:val="24"/>
          <w:lang w:val="en-GB"/>
        </w:rPr>
        <w:t>million</w:t>
      </w:r>
      <w:r w:rsidRPr="00724676">
        <w:rPr>
          <w:rFonts w:eastAsia="Calibri" w:cs="Times New Roman"/>
          <w:noProof/>
          <w:color w:val="000000" w:themeColor="text1"/>
          <w:szCs w:val="24"/>
          <w:lang w:val="en-GB"/>
        </w:rPr>
        <w:t xml:space="preserve"> for farmers</w:t>
      </w:r>
      <w:r w:rsidR="00357296">
        <w:rPr>
          <w:rFonts w:eastAsia="Calibri" w:cs="Times New Roman"/>
          <w:noProof/>
          <w:color w:val="000000" w:themeColor="text1"/>
          <w:szCs w:val="24"/>
          <w:lang w:val="en-GB"/>
        </w:rPr>
        <w:t>,</w:t>
      </w:r>
      <w:r w:rsidRPr="00724676">
        <w:rPr>
          <w:rFonts w:eastAsiaTheme="minorEastAsia" w:cs="Times New Roman"/>
          <w:noProof/>
          <w:color w:val="000000" w:themeColor="text1"/>
          <w:szCs w:val="24"/>
          <w:lang w:val="en-GB"/>
        </w:rPr>
        <w:t xml:space="preserve"> based on the average EU values for labour costs. The scope of this modification</w:t>
      </w:r>
      <w:r w:rsidR="00357296">
        <w:rPr>
          <w:rFonts w:eastAsiaTheme="minorEastAsia" w:cs="Times New Roman"/>
          <w:noProof/>
          <w:color w:val="000000" w:themeColor="text1"/>
          <w:szCs w:val="24"/>
          <w:lang w:val="en-GB"/>
        </w:rPr>
        <w:t xml:space="preserve"> and,</w:t>
      </w:r>
      <w:r w:rsidRPr="00724676">
        <w:rPr>
          <w:rFonts w:eastAsiaTheme="minorEastAsia" w:cs="Times New Roman"/>
          <w:noProof/>
          <w:color w:val="000000" w:themeColor="text1"/>
          <w:szCs w:val="24"/>
          <w:lang w:val="en-GB"/>
        </w:rPr>
        <w:t xml:space="preserve"> </w:t>
      </w:r>
      <w:r w:rsidR="00357296">
        <w:rPr>
          <w:rFonts w:eastAsiaTheme="minorEastAsia" w:cs="Times New Roman"/>
          <w:noProof/>
          <w:color w:val="000000" w:themeColor="text1"/>
          <w:szCs w:val="24"/>
          <w:lang w:val="en-GB"/>
        </w:rPr>
        <w:t>therefore,</w:t>
      </w:r>
      <w:r w:rsidRPr="00724676">
        <w:rPr>
          <w:rFonts w:eastAsiaTheme="minorEastAsia" w:cs="Times New Roman"/>
          <w:noProof/>
          <w:szCs w:val="24"/>
          <w:lang w:val="en-GB"/>
        </w:rPr>
        <w:t xml:space="preserve"> its economic</w:t>
      </w:r>
      <w:r w:rsidRPr="00724676">
        <w:rPr>
          <w:noProof/>
          <w:lang w:val="en-GB"/>
        </w:rPr>
        <w:t xml:space="preserve"> </w:t>
      </w:r>
      <w:r w:rsidRPr="00724676">
        <w:rPr>
          <w:rFonts w:eastAsiaTheme="minorEastAsia" w:cs="Times New Roman"/>
          <w:noProof/>
          <w:szCs w:val="24"/>
          <w:lang w:val="en-GB"/>
        </w:rPr>
        <w:t>impact</w:t>
      </w:r>
      <w:r w:rsidR="00357296">
        <w:rPr>
          <w:rFonts w:eastAsiaTheme="minorEastAsia" w:cs="Times New Roman"/>
          <w:noProof/>
          <w:szCs w:val="24"/>
          <w:lang w:val="en-GB"/>
        </w:rPr>
        <w:t>,</w:t>
      </w:r>
      <w:r w:rsidRPr="00724676">
        <w:rPr>
          <w:rFonts w:eastAsiaTheme="minorEastAsia" w:cs="Times New Roman"/>
          <w:noProof/>
          <w:szCs w:val="24"/>
          <w:lang w:val="en-GB"/>
        </w:rPr>
        <w:t xml:space="preserve"> differs according to the structure of </w:t>
      </w:r>
      <w:r w:rsidR="00357296">
        <w:rPr>
          <w:rFonts w:eastAsiaTheme="minorEastAsia" w:cs="Times New Roman"/>
          <w:noProof/>
          <w:szCs w:val="24"/>
          <w:lang w:val="en-GB"/>
        </w:rPr>
        <w:t xml:space="preserve">each </w:t>
      </w:r>
      <w:r w:rsidRPr="00724676">
        <w:rPr>
          <w:rFonts w:eastAsiaTheme="minorEastAsia" w:cs="Times New Roman"/>
          <w:noProof/>
          <w:szCs w:val="24"/>
          <w:lang w:val="en-GB"/>
        </w:rPr>
        <w:t>Member State</w:t>
      </w:r>
      <w:r w:rsidR="00357296">
        <w:rPr>
          <w:rFonts w:eastAsiaTheme="minorEastAsia" w:cs="Times New Roman"/>
          <w:noProof/>
          <w:szCs w:val="24"/>
          <w:lang w:val="en-GB"/>
        </w:rPr>
        <w:t>’</w:t>
      </w:r>
      <w:r w:rsidRPr="00724676">
        <w:rPr>
          <w:rFonts w:eastAsiaTheme="minorEastAsia" w:cs="Times New Roman"/>
          <w:noProof/>
          <w:szCs w:val="24"/>
          <w:lang w:val="en-GB"/>
        </w:rPr>
        <w:t>s agricultural sector.</w:t>
      </w:r>
      <w:r w:rsidR="00520177" w:rsidRPr="00724676">
        <w:rPr>
          <w:noProof/>
          <w:shd w:val="clear" w:color="auto" w:fill="FFFFFF"/>
          <w:lang w:val="en-GB"/>
        </w:rPr>
        <w:t xml:space="preserve"> </w:t>
      </w:r>
    </w:p>
    <w:p w14:paraId="4B61ACEC" w14:textId="54271DD1" w:rsidR="00A95DF5" w:rsidRDefault="009F7048" w:rsidP="003E7CF4">
      <w:pPr>
        <w:spacing w:after="120"/>
        <w:jc w:val="both"/>
        <w:rPr>
          <w:noProof/>
        </w:rPr>
      </w:pPr>
      <w:r>
        <w:rPr>
          <w:rFonts w:eastAsiaTheme="minorEastAsia" w:cs="Times New Roman"/>
          <w:noProof/>
          <w:szCs w:val="24"/>
          <w:lang w:val="en-GB"/>
        </w:rPr>
        <w:t>It is more difficult to assess t</w:t>
      </w:r>
      <w:r w:rsidR="00520177" w:rsidRPr="00724676">
        <w:rPr>
          <w:rFonts w:eastAsiaTheme="minorEastAsia" w:cs="Times New Roman"/>
          <w:noProof/>
          <w:szCs w:val="24"/>
          <w:lang w:val="en-GB"/>
        </w:rPr>
        <w:t xml:space="preserve">ime </w:t>
      </w:r>
      <w:r w:rsidR="00520177" w:rsidRPr="00724676">
        <w:rPr>
          <w:rFonts w:eastAsiaTheme="minorEastAsia" w:cs="Times New Roman"/>
          <w:noProof/>
          <w:color w:val="000000" w:themeColor="text1"/>
          <w:szCs w:val="24"/>
          <w:lang w:val="en-GB"/>
        </w:rPr>
        <w:t xml:space="preserve">and cost savings for several </w:t>
      </w:r>
      <w:r>
        <w:rPr>
          <w:rFonts w:eastAsiaTheme="minorEastAsia" w:cs="Times New Roman"/>
          <w:noProof/>
          <w:color w:val="000000" w:themeColor="text1"/>
          <w:szCs w:val="24"/>
          <w:lang w:val="en-GB"/>
        </w:rPr>
        <w:t xml:space="preserve">other </w:t>
      </w:r>
      <w:r w:rsidR="00F44D7A" w:rsidRPr="00724676">
        <w:rPr>
          <w:rFonts w:eastAsiaTheme="minorEastAsia" w:cs="Times New Roman"/>
          <w:noProof/>
          <w:color w:val="000000" w:themeColor="text1"/>
          <w:szCs w:val="24"/>
          <w:lang w:val="en-GB"/>
        </w:rPr>
        <w:t>actions</w:t>
      </w:r>
      <w:r w:rsidR="00F44D7A">
        <w:rPr>
          <w:rFonts w:eastAsiaTheme="minorEastAsia" w:cs="Times New Roman"/>
          <w:noProof/>
          <w:color w:val="000000" w:themeColor="text1"/>
          <w:szCs w:val="24"/>
          <w:lang w:val="en-GB"/>
        </w:rPr>
        <w:t xml:space="preserve"> and</w:t>
      </w:r>
      <w:r w:rsidR="00520177" w:rsidRPr="00724676">
        <w:rPr>
          <w:rFonts w:eastAsiaTheme="minorEastAsia" w:cs="Times New Roman"/>
          <w:noProof/>
          <w:color w:val="000000" w:themeColor="text1"/>
          <w:szCs w:val="24"/>
          <w:lang w:val="en-GB"/>
        </w:rPr>
        <w:t xml:space="preserve"> depends on how Member States take up </w:t>
      </w:r>
      <w:r w:rsidR="00357296">
        <w:rPr>
          <w:rFonts w:eastAsiaTheme="minorEastAsia" w:cs="Times New Roman"/>
          <w:noProof/>
          <w:color w:val="000000" w:themeColor="text1"/>
          <w:szCs w:val="24"/>
          <w:lang w:val="en-GB"/>
        </w:rPr>
        <w:t xml:space="preserve">the </w:t>
      </w:r>
      <w:r w:rsidR="00520177" w:rsidRPr="00724676">
        <w:rPr>
          <w:rFonts w:eastAsiaTheme="minorEastAsia" w:cs="Times New Roman"/>
          <w:noProof/>
          <w:color w:val="000000" w:themeColor="text1"/>
          <w:szCs w:val="24"/>
          <w:lang w:val="en-GB"/>
        </w:rPr>
        <w:t>opportunities provided.</w:t>
      </w:r>
      <w:r w:rsidR="00520177" w:rsidRPr="00724676">
        <w:rPr>
          <w:rStyle w:val="eop"/>
          <w:noProof/>
          <w:color w:val="000000"/>
          <w:shd w:val="clear" w:color="auto" w:fill="FFFFFF"/>
          <w:lang w:val="en-GB"/>
        </w:rPr>
        <w:t> </w:t>
      </w:r>
    </w:p>
    <w:p w14:paraId="367BF696" w14:textId="42D6F429" w:rsidR="0045141E" w:rsidRPr="00724676" w:rsidRDefault="0045141E" w:rsidP="000C0B2E">
      <w:pPr>
        <w:pStyle w:val="Caption"/>
        <w:spacing w:after="120" w:line="259" w:lineRule="auto"/>
        <w:rPr>
          <w:rFonts w:eastAsia="Times New Roman" w:cs="Times New Roman"/>
          <w:b/>
          <w:bCs/>
          <w:noProof/>
          <w:color w:val="auto"/>
          <w:sz w:val="24"/>
          <w:szCs w:val="24"/>
          <w:lang w:val="en-GB"/>
        </w:rPr>
      </w:pPr>
      <w:r w:rsidRPr="00724676">
        <w:rPr>
          <w:rFonts w:cs="Times New Roman"/>
          <w:noProof/>
          <w:color w:val="auto"/>
          <w:sz w:val="24"/>
          <w:szCs w:val="24"/>
          <w:lang w:val="en-GB"/>
        </w:rPr>
        <w:t xml:space="preserve">Figure </w:t>
      </w:r>
      <w:r w:rsidR="00D3259D" w:rsidRPr="00724676">
        <w:rPr>
          <w:rFonts w:cs="Times New Roman"/>
          <w:noProof/>
          <w:color w:val="auto"/>
          <w:sz w:val="24"/>
          <w:szCs w:val="24"/>
          <w:lang w:val="en-GB"/>
        </w:rPr>
        <w:t xml:space="preserve">2 </w:t>
      </w:r>
      <w:r w:rsidRPr="00724676">
        <w:rPr>
          <w:rFonts w:cs="Times New Roman"/>
          <w:noProof/>
          <w:color w:val="auto"/>
          <w:sz w:val="24"/>
          <w:szCs w:val="24"/>
          <w:lang w:val="en-GB"/>
        </w:rPr>
        <w:t>Farms below 10 ha at EU level</w:t>
      </w:r>
    </w:p>
    <w:tbl>
      <w:tblPr>
        <w:tblStyle w:val="TableGrid"/>
        <w:tblW w:w="9067" w:type="dxa"/>
        <w:tblLook w:val="04A0" w:firstRow="1" w:lastRow="0" w:firstColumn="1" w:lastColumn="0" w:noHBand="0" w:noVBand="1"/>
      </w:tblPr>
      <w:tblGrid>
        <w:gridCol w:w="1163"/>
        <w:gridCol w:w="1294"/>
        <w:gridCol w:w="1316"/>
        <w:gridCol w:w="1472"/>
        <w:gridCol w:w="1448"/>
        <w:gridCol w:w="957"/>
        <w:gridCol w:w="1417"/>
      </w:tblGrid>
      <w:tr w:rsidR="0045141E" w:rsidRPr="00807559" w14:paraId="76DF9EC9" w14:textId="77777777">
        <w:trPr>
          <w:trHeight w:val="348"/>
        </w:trPr>
        <w:tc>
          <w:tcPr>
            <w:tcW w:w="1163" w:type="dxa"/>
            <w:shd w:val="clear" w:color="auto" w:fill="D9D9D9" w:themeFill="background1" w:themeFillShade="D9"/>
            <w:hideMark/>
          </w:tcPr>
          <w:p w14:paraId="4CAFAFDC" w14:textId="77777777" w:rsidR="0045141E" w:rsidRPr="00724676" w:rsidRDefault="0045141E" w:rsidP="000C0B2E">
            <w:pPr>
              <w:spacing w:after="120" w:line="259" w:lineRule="auto"/>
              <w:jc w:val="center"/>
              <w:rPr>
                <w:rFonts w:cs="Times New Roman"/>
                <w:b/>
                <w:bCs/>
                <w:noProof/>
                <w:sz w:val="20"/>
                <w:szCs w:val="20"/>
                <w:lang w:val="en-GB"/>
              </w:rPr>
            </w:pPr>
            <w:r w:rsidRPr="00724676">
              <w:rPr>
                <w:rFonts w:cs="Times New Roman"/>
                <w:b/>
                <w:bCs/>
                <w:noProof/>
                <w:sz w:val="20"/>
                <w:szCs w:val="20"/>
                <w:lang w:val="en-GB"/>
              </w:rPr>
              <w:t>Farm size class</w:t>
            </w:r>
          </w:p>
        </w:tc>
        <w:tc>
          <w:tcPr>
            <w:tcW w:w="1294" w:type="dxa"/>
            <w:shd w:val="clear" w:color="auto" w:fill="D9D9D9" w:themeFill="background1" w:themeFillShade="D9"/>
            <w:hideMark/>
          </w:tcPr>
          <w:p w14:paraId="301DB1D8" w14:textId="77777777" w:rsidR="0045141E" w:rsidRPr="00724676" w:rsidRDefault="0045141E" w:rsidP="000C0B2E">
            <w:pPr>
              <w:spacing w:after="120" w:line="259" w:lineRule="auto"/>
              <w:jc w:val="center"/>
              <w:rPr>
                <w:rFonts w:cs="Times New Roman"/>
                <w:b/>
                <w:bCs/>
                <w:noProof/>
                <w:sz w:val="20"/>
                <w:szCs w:val="20"/>
                <w:lang w:val="en-GB"/>
              </w:rPr>
            </w:pPr>
            <w:r w:rsidRPr="00724676">
              <w:rPr>
                <w:rFonts w:cs="Times New Roman"/>
                <w:b/>
                <w:bCs/>
                <w:noProof/>
                <w:sz w:val="20"/>
                <w:szCs w:val="20"/>
                <w:lang w:val="en-GB"/>
              </w:rPr>
              <w:t>Number of beneficiaries</w:t>
            </w:r>
          </w:p>
          <w:p w14:paraId="0AFA5CD2" w14:textId="0448D3DB" w:rsidR="0045141E" w:rsidRPr="00724676" w:rsidRDefault="00C44857" w:rsidP="000C0B2E">
            <w:pPr>
              <w:spacing w:after="120" w:line="259" w:lineRule="auto"/>
              <w:jc w:val="center"/>
              <w:rPr>
                <w:rFonts w:cs="Times New Roman"/>
                <w:b/>
                <w:bCs/>
                <w:noProof/>
                <w:sz w:val="20"/>
                <w:szCs w:val="20"/>
                <w:lang w:val="en-GB"/>
              </w:rPr>
            </w:pPr>
            <w:r w:rsidRPr="00724676">
              <w:rPr>
                <w:rFonts w:cs="Times New Roman"/>
                <w:b/>
                <w:bCs/>
                <w:noProof/>
                <w:sz w:val="20"/>
                <w:szCs w:val="20"/>
                <w:lang w:val="en-GB"/>
              </w:rPr>
              <w:t>(million)</w:t>
            </w:r>
          </w:p>
        </w:tc>
        <w:tc>
          <w:tcPr>
            <w:tcW w:w="1316" w:type="dxa"/>
            <w:shd w:val="clear" w:color="auto" w:fill="D9D9D9" w:themeFill="background1" w:themeFillShade="D9"/>
            <w:hideMark/>
          </w:tcPr>
          <w:p w14:paraId="41C7AC38" w14:textId="77777777" w:rsidR="0045141E" w:rsidRPr="00724676" w:rsidRDefault="0045141E" w:rsidP="000C0B2E">
            <w:pPr>
              <w:spacing w:after="120" w:line="259" w:lineRule="auto"/>
              <w:jc w:val="center"/>
              <w:rPr>
                <w:rFonts w:cs="Times New Roman"/>
                <w:b/>
                <w:bCs/>
                <w:noProof/>
                <w:sz w:val="20"/>
                <w:szCs w:val="20"/>
                <w:lang w:val="en-GB"/>
              </w:rPr>
            </w:pPr>
            <w:r w:rsidRPr="00724676">
              <w:rPr>
                <w:rFonts w:cs="Times New Roman"/>
                <w:b/>
                <w:bCs/>
                <w:noProof/>
                <w:sz w:val="20"/>
                <w:szCs w:val="20"/>
                <w:lang w:val="en-GB"/>
              </w:rPr>
              <w:t>Area [ha]</w:t>
            </w:r>
          </w:p>
        </w:tc>
        <w:tc>
          <w:tcPr>
            <w:tcW w:w="1472" w:type="dxa"/>
            <w:shd w:val="clear" w:color="auto" w:fill="D9D9D9" w:themeFill="background1" w:themeFillShade="D9"/>
            <w:hideMark/>
          </w:tcPr>
          <w:p w14:paraId="2426C892" w14:textId="2A06B959" w:rsidR="0045141E" w:rsidRPr="00724676" w:rsidRDefault="0045141E" w:rsidP="000C0B2E">
            <w:pPr>
              <w:spacing w:after="120" w:line="259" w:lineRule="auto"/>
              <w:jc w:val="center"/>
              <w:rPr>
                <w:rFonts w:cs="Times New Roman"/>
                <w:b/>
                <w:bCs/>
                <w:noProof/>
                <w:sz w:val="20"/>
                <w:szCs w:val="20"/>
                <w:lang w:val="en-GB"/>
              </w:rPr>
            </w:pPr>
            <w:r w:rsidRPr="00724676">
              <w:rPr>
                <w:rFonts w:cs="Times New Roman"/>
                <w:b/>
                <w:bCs/>
                <w:noProof/>
                <w:sz w:val="20"/>
                <w:szCs w:val="20"/>
                <w:lang w:val="en-GB"/>
              </w:rPr>
              <w:t xml:space="preserve">Direct </w:t>
            </w:r>
            <w:r w:rsidR="00357296">
              <w:rPr>
                <w:rFonts w:cs="Times New Roman"/>
                <w:b/>
                <w:bCs/>
                <w:noProof/>
                <w:sz w:val="20"/>
                <w:szCs w:val="20"/>
                <w:lang w:val="en-GB"/>
              </w:rPr>
              <w:t>p</w:t>
            </w:r>
            <w:r w:rsidRPr="00724676">
              <w:rPr>
                <w:rFonts w:cs="Times New Roman"/>
                <w:b/>
                <w:bCs/>
                <w:noProof/>
                <w:sz w:val="20"/>
                <w:szCs w:val="20"/>
                <w:lang w:val="en-GB"/>
              </w:rPr>
              <w:t>ayments [</w:t>
            </w:r>
            <w:r w:rsidR="00357296">
              <w:rPr>
                <w:rFonts w:cs="Times New Roman"/>
                <w:b/>
                <w:bCs/>
                <w:noProof/>
                <w:sz w:val="20"/>
                <w:szCs w:val="20"/>
                <w:lang w:val="en-GB"/>
              </w:rPr>
              <w:t>EUR</w:t>
            </w:r>
            <w:r w:rsidRPr="00724676">
              <w:rPr>
                <w:rFonts w:cs="Times New Roman"/>
                <w:b/>
                <w:bCs/>
                <w:noProof/>
                <w:sz w:val="20"/>
                <w:szCs w:val="20"/>
                <w:lang w:val="en-GB"/>
              </w:rPr>
              <w:t>]</w:t>
            </w:r>
          </w:p>
        </w:tc>
        <w:tc>
          <w:tcPr>
            <w:tcW w:w="1448" w:type="dxa"/>
            <w:shd w:val="clear" w:color="auto" w:fill="D9D9D9" w:themeFill="background1" w:themeFillShade="D9"/>
            <w:hideMark/>
          </w:tcPr>
          <w:p w14:paraId="7EE955E9" w14:textId="77777777" w:rsidR="0045141E" w:rsidRPr="00724676" w:rsidRDefault="0045141E" w:rsidP="000C0B2E">
            <w:pPr>
              <w:spacing w:after="120" w:line="259" w:lineRule="auto"/>
              <w:jc w:val="center"/>
              <w:rPr>
                <w:rFonts w:cs="Times New Roman"/>
                <w:b/>
                <w:bCs/>
                <w:noProof/>
                <w:sz w:val="20"/>
                <w:szCs w:val="20"/>
                <w:lang w:val="en-GB"/>
              </w:rPr>
            </w:pPr>
            <w:r w:rsidRPr="00724676">
              <w:rPr>
                <w:rFonts w:cs="Times New Roman"/>
                <w:b/>
                <w:bCs/>
                <w:noProof/>
                <w:sz w:val="20"/>
                <w:szCs w:val="20"/>
                <w:lang w:val="en-GB"/>
              </w:rPr>
              <w:t>% Beneficiaries</w:t>
            </w:r>
          </w:p>
        </w:tc>
        <w:tc>
          <w:tcPr>
            <w:tcW w:w="957" w:type="dxa"/>
            <w:shd w:val="clear" w:color="auto" w:fill="D9D9D9" w:themeFill="background1" w:themeFillShade="D9"/>
            <w:hideMark/>
          </w:tcPr>
          <w:p w14:paraId="5891D9C8" w14:textId="77777777" w:rsidR="0045141E" w:rsidRPr="00724676" w:rsidRDefault="0045141E" w:rsidP="000C0B2E">
            <w:pPr>
              <w:spacing w:after="120" w:line="259" w:lineRule="auto"/>
              <w:jc w:val="center"/>
              <w:rPr>
                <w:rFonts w:cs="Times New Roman"/>
                <w:b/>
                <w:bCs/>
                <w:noProof/>
                <w:sz w:val="20"/>
                <w:szCs w:val="20"/>
                <w:lang w:val="en-GB"/>
              </w:rPr>
            </w:pPr>
            <w:r w:rsidRPr="00724676">
              <w:rPr>
                <w:rFonts w:cs="Times New Roman"/>
                <w:b/>
                <w:bCs/>
                <w:noProof/>
                <w:sz w:val="20"/>
                <w:szCs w:val="20"/>
                <w:lang w:val="en-GB"/>
              </w:rPr>
              <w:t>% Area</w:t>
            </w:r>
          </w:p>
        </w:tc>
        <w:tc>
          <w:tcPr>
            <w:tcW w:w="1417" w:type="dxa"/>
            <w:shd w:val="clear" w:color="auto" w:fill="D9D9D9" w:themeFill="background1" w:themeFillShade="D9"/>
            <w:hideMark/>
          </w:tcPr>
          <w:p w14:paraId="6E5CBD86" w14:textId="5F0150DD" w:rsidR="0045141E" w:rsidRPr="00724676" w:rsidRDefault="0045141E" w:rsidP="000C0B2E">
            <w:pPr>
              <w:spacing w:after="120" w:line="259" w:lineRule="auto"/>
              <w:jc w:val="center"/>
              <w:rPr>
                <w:rFonts w:cs="Times New Roman"/>
                <w:b/>
                <w:bCs/>
                <w:noProof/>
                <w:sz w:val="20"/>
                <w:szCs w:val="20"/>
                <w:lang w:val="en-GB"/>
              </w:rPr>
            </w:pPr>
            <w:r w:rsidRPr="00724676">
              <w:rPr>
                <w:rFonts w:cs="Times New Roman"/>
                <w:b/>
                <w:bCs/>
                <w:noProof/>
                <w:sz w:val="20"/>
                <w:szCs w:val="20"/>
                <w:lang w:val="en-GB"/>
              </w:rPr>
              <w:t xml:space="preserve">% Direct </w:t>
            </w:r>
            <w:r w:rsidR="00357296">
              <w:rPr>
                <w:rFonts w:cs="Times New Roman"/>
                <w:b/>
                <w:bCs/>
                <w:noProof/>
                <w:sz w:val="20"/>
                <w:szCs w:val="20"/>
                <w:lang w:val="en-GB"/>
              </w:rPr>
              <w:t>p</w:t>
            </w:r>
            <w:r w:rsidRPr="00724676">
              <w:rPr>
                <w:rFonts w:cs="Times New Roman"/>
                <w:b/>
                <w:bCs/>
                <w:noProof/>
                <w:sz w:val="20"/>
                <w:szCs w:val="20"/>
                <w:lang w:val="en-GB"/>
              </w:rPr>
              <w:t>ayments</w:t>
            </w:r>
          </w:p>
        </w:tc>
      </w:tr>
      <w:tr w:rsidR="0045141E" w:rsidRPr="00807559" w14:paraId="1F6C5C85" w14:textId="77777777">
        <w:trPr>
          <w:trHeight w:val="348"/>
        </w:trPr>
        <w:tc>
          <w:tcPr>
            <w:tcW w:w="1163" w:type="dxa"/>
            <w:hideMark/>
          </w:tcPr>
          <w:p w14:paraId="7BDB6E71" w14:textId="77777777" w:rsidR="0045141E" w:rsidRPr="00724676" w:rsidRDefault="0045141E" w:rsidP="000C0B2E">
            <w:pPr>
              <w:spacing w:after="120" w:line="259" w:lineRule="auto"/>
              <w:jc w:val="right"/>
              <w:rPr>
                <w:rFonts w:cs="Times New Roman"/>
                <w:noProof/>
                <w:sz w:val="20"/>
                <w:szCs w:val="20"/>
                <w:lang w:val="en-GB"/>
              </w:rPr>
            </w:pPr>
            <w:r w:rsidRPr="00724676">
              <w:rPr>
                <w:rFonts w:cs="Times New Roman"/>
                <w:noProof/>
                <w:sz w:val="20"/>
                <w:szCs w:val="20"/>
                <w:lang w:val="en-GB"/>
              </w:rPr>
              <w:t> All farms</w:t>
            </w:r>
          </w:p>
        </w:tc>
        <w:tc>
          <w:tcPr>
            <w:tcW w:w="1294" w:type="dxa"/>
            <w:hideMark/>
          </w:tcPr>
          <w:p w14:paraId="2C28D4C5" w14:textId="10E8600E" w:rsidR="0045141E" w:rsidRPr="00724676" w:rsidRDefault="0045141E" w:rsidP="000C0B2E">
            <w:pPr>
              <w:spacing w:after="120" w:line="259" w:lineRule="auto"/>
              <w:jc w:val="right"/>
              <w:rPr>
                <w:rFonts w:cs="Times New Roman"/>
                <w:noProof/>
                <w:sz w:val="20"/>
                <w:szCs w:val="20"/>
                <w:lang w:val="en-GB"/>
              </w:rPr>
            </w:pPr>
            <w:r w:rsidRPr="00724676">
              <w:rPr>
                <w:rFonts w:cs="Times New Roman"/>
                <w:noProof/>
                <w:sz w:val="20"/>
                <w:szCs w:val="20"/>
                <w:lang w:val="en-GB"/>
              </w:rPr>
              <w:t>5</w:t>
            </w:r>
            <w:r w:rsidR="00357296">
              <w:rPr>
                <w:rFonts w:cs="Times New Roman"/>
                <w:noProof/>
                <w:sz w:val="20"/>
                <w:szCs w:val="20"/>
                <w:lang w:val="en-GB"/>
              </w:rPr>
              <w:t>.</w:t>
            </w:r>
            <w:r w:rsidRPr="00724676">
              <w:rPr>
                <w:rFonts w:cs="Times New Roman"/>
                <w:noProof/>
                <w:sz w:val="20"/>
                <w:szCs w:val="20"/>
                <w:lang w:val="en-GB"/>
              </w:rPr>
              <w:t>8</w:t>
            </w:r>
          </w:p>
        </w:tc>
        <w:tc>
          <w:tcPr>
            <w:tcW w:w="1316" w:type="dxa"/>
            <w:hideMark/>
          </w:tcPr>
          <w:p w14:paraId="35775CD0" w14:textId="3DB9AE83" w:rsidR="0045141E" w:rsidRPr="00724676" w:rsidRDefault="0045141E" w:rsidP="000C0B2E">
            <w:pPr>
              <w:spacing w:after="120" w:line="259" w:lineRule="auto"/>
              <w:jc w:val="right"/>
              <w:rPr>
                <w:rFonts w:cs="Times New Roman"/>
                <w:noProof/>
                <w:sz w:val="20"/>
                <w:szCs w:val="20"/>
                <w:lang w:val="en-GB"/>
              </w:rPr>
            </w:pPr>
            <w:r w:rsidRPr="00724676">
              <w:rPr>
                <w:rFonts w:cs="Times New Roman"/>
                <w:noProof/>
                <w:sz w:val="20"/>
                <w:szCs w:val="20"/>
                <w:lang w:val="en-GB"/>
              </w:rPr>
              <w:t>140</w:t>
            </w:r>
            <w:r w:rsidR="00357296">
              <w:rPr>
                <w:rFonts w:cs="Times New Roman"/>
                <w:noProof/>
                <w:sz w:val="20"/>
                <w:szCs w:val="20"/>
                <w:lang w:val="en-GB"/>
              </w:rPr>
              <w:t>.</w:t>
            </w:r>
            <w:r w:rsidRPr="00724676">
              <w:rPr>
                <w:rFonts w:cs="Times New Roman"/>
                <w:noProof/>
                <w:sz w:val="20"/>
                <w:szCs w:val="20"/>
                <w:lang w:val="en-GB"/>
              </w:rPr>
              <w:t>7 m</w:t>
            </w:r>
          </w:p>
        </w:tc>
        <w:tc>
          <w:tcPr>
            <w:tcW w:w="1472" w:type="dxa"/>
            <w:hideMark/>
          </w:tcPr>
          <w:p w14:paraId="3F3069D6" w14:textId="17689EA0" w:rsidR="0045141E" w:rsidRPr="00724676" w:rsidRDefault="0045141E" w:rsidP="000C0B2E">
            <w:pPr>
              <w:spacing w:after="120" w:line="259" w:lineRule="auto"/>
              <w:jc w:val="right"/>
              <w:rPr>
                <w:rFonts w:cs="Times New Roman"/>
                <w:noProof/>
                <w:sz w:val="20"/>
                <w:szCs w:val="20"/>
                <w:lang w:val="en-GB"/>
              </w:rPr>
            </w:pPr>
            <w:r w:rsidRPr="00724676">
              <w:rPr>
                <w:rFonts w:cs="Times New Roman"/>
                <w:noProof/>
                <w:sz w:val="20"/>
                <w:szCs w:val="20"/>
                <w:lang w:val="en-GB"/>
              </w:rPr>
              <w:t>37</w:t>
            </w:r>
            <w:r w:rsidR="00357296">
              <w:rPr>
                <w:rFonts w:cs="Times New Roman"/>
                <w:noProof/>
                <w:sz w:val="20"/>
                <w:szCs w:val="20"/>
                <w:lang w:val="en-GB"/>
              </w:rPr>
              <w:t>.</w:t>
            </w:r>
            <w:r w:rsidRPr="00724676">
              <w:rPr>
                <w:rFonts w:cs="Times New Roman"/>
                <w:noProof/>
                <w:sz w:val="20"/>
                <w:szCs w:val="20"/>
                <w:lang w:val="en-GB"/>
              </w:rPr>
              <w:t>1 bn</w:t>
            </w:r>
          </w:p>
        </w:tc>
        <w:tc>
          <w:tcPr>
            <w:tcW w:w="1448" w:type="dxa"/>
            <w:hideMark/>
          </w:tcPr>
          <w:p w14:paraId="3F58FB27" w14:textId="77777777" w:rsidR="0045141E" w:rsidRPr="00724676" w:rsidRDefault="0045141E" w:rsidP="000C0B2E">
            <w:pPr>
              <w:spacing w:after="120" w:line="259" w:lineRule="auto"/>
              <w:jc w:val="right"/>
              <w:rPr>
                <w:rFonts w:cs="Times New Roman"/>
                <w:noProof/>
                <w:sz w:val="20"/>
                <w:szCs w:val="20"/>
                <w:lang w:val="en-GB"/>
              </w:rPr>
            </w:pPr>
            <w:r w:rsidRPr="00724676">
              <w:rPr>
                <w:rFonts w:cs="Times New Roman"/>
                <w:noProof/>
                <w:sz w:val="20"/>
                <w:szCs w:val="20"/>
                <w:lang w:val="en-GB"/>
              </w:rPr>
              <w:t>100.0%</w:t>
            </w:r>
          </w:p>
        </w:tc>
        <w:tc>
          <w:tcPr>
            <w:tcW w:w="957" w:type="dxa"/>
            <w:hideMark/>
          </w:tcPr>
          <w:p w14:paraId="53A7DAC9" w14:textId="77777777" w:rsidR="0045141E" w:rsidRPr="00724676" w:rsidRDefault="0045141E" w:rsidP="000C0B2E">
            <w:pPr>
              <w:spacing w:after="120" w:line="259" w:lineRule="auto"/>
              <w:jc w:val="right"/>
              <w:rPr>
                <w:rFonts w:cs="Times New Roman"/>
                <w:noProof/>
                <w:sz w:val="20"/>
                <w:szCs w:val="20"/>
                <w:lang w:val="en-GB"/>
              </w:rPr>
            </w:pPr>
            <w:r w:rsidRPr="00724676">
              <w:rPr>
                <w:rFonts w:cs="Times New Roman"/>
                <w:noProof/>
                <w:sz w:val="20"/>
                <w:szCs w:val="20"/>
                <w:lang w:val="en-GB"/>
              </w:rPr>
              <w:t>100.0%</w:t>
            </w:r>
          </w:p>
        </w:tc>
        <w:tc>
          <w:tcPr>
            <w:tcW w:w="1417" w:type="dxa"/>
            <w:hideMark/>
          </w:tcPr>
          <w:p w14:paraId="69814621" w14:textId="77777777" w:rsidR="0045141E" w:rsidRPr="00724676" w:rsidRDefault="0045141E" w:rsidP="000C0B2E">
            <w:pPr>
              <w:spacing w:after="120" w:line="259" w:lineRule="auto"/>
              <w:jc w:val="right"/>
              <w:rPr>
                <w:rFonts w:cs="Times New Roman"/>
                <w:noProof/>
                <w:sz w:val="20"/>
                <w:szCs w:val="20"/>
                <w:lang w:val="en-GB"/>
              </w:rPr>
            </w:pPr>
            <w:r w:rsidRPr="00724676">
              <w:rPr>
                <w:rFonts w:cs="Times New Roman"/>
                <w:noProof/>
                <w:sz w:val="20"/>
                <w:szCs w:val="20"/>
                <w:lang w:val="en-GB"/>
              </w:rPr>
              <w:t>100.0%</w:t>
            </w:r>
          </w:p>
        </w:tc>
      </w:tr>
      <w:tr w:rsidR="0045141E" w:rsidRPr="00807559" w14:paraId="589DB626" w14:textId="77777777">
        <w:trPr>
          <w:trHeight w:val="348"/>
        </w:trPr>
        <w:tc>
          <w:tcPr>
            <w:tcW w:w="1163" w:type="dxa"/>
            <w:hideMark/>
          </w:tcPr>
          <w:p w14:paraId="1B262FD0" w14:textId="41297ECB" w:rsidR="0045141E" w:rsidRPr="00724676" w:rsidRDefault="0045141E" w:rsidP="000C0B2E">
            <w:pPr>
              <w:spacing w:after="120" w:line="259" w:lineRule="auto"/>
              <w:jc w:val="right"/>
              <w:rPr>
                <w:rFonts w:cs="Times New Roman"/>
                <w:b/>
                <w:bCs/>
                <w:noProof/>
                <w:sz w:val="20"/>
                <w:szCs w:val="20"/>
                <w:lang w:val="en-GB"/>
              </w:rPr>
            </w:pPr>
            <w:r w:rsidRPr="00724676">
              <w:rPr>
                <w:rFonts w:cs="Times New Roman"/>
                <w:b/>
                <w:bCs/>
                <w:noProof/>
                <w:sz w:val="20"/>
                <w:szCs w:val="20"/>
                <w:lang w:val="en-GB"/>
              </w:rPr>
              <w:t>&lt;=</w:t>
            </w:r>
            <w:r w:rsidR="00AA181D" w:rsidRPr="00724676">
              <w:rPr>
                <w:rFonts w:cs="Times New Roman"/>
                <w:b/>
                <w:bCs/>
                <w:noProof/>
                <w:sz w:val="20"/>
                <w:szCs w:val="20"/>
                <w:lang w:val="en-GB"/>
              </w:rPr>
              <w:t xml:space="preserve"> </w:t>
            </w:r>
            <w:r w:rsidRPr="00724676">
              <w:rPr>
                <w:rFonts w:cs="Times New Roman"/>
                <w:b/>
                <w:bCs/>
                <w:noProof/>
                <w:sz w:val="20"/>
                <w:szCs w:val="20"/>
                <w:lang w:val="en-GB"/>
              </w:rPr>
              <w:t>10ha</w:t>
            </w:r>
          </w:p>
        </w:tc>
        <w:tc>
          <w:tcPr>
            <w:tcW w:w="1294" w:type="dxa"/>
            <w:hideMark/>
          </w:tcPr>
          <w:p w14:paraId="2304FBB5" w14:textId="6A0E3FAF" w:rsidR="0045141E" w:rsidRPr="00724676" w:rsidRDefault="0045141E" w:rsidP="000C0B2E">
            <w:pPr>
              <w:spacing w:after="120" w:line="259" w:lineRule="auto"/>
              <w:jc w:val="right"/>
              <w:rPr>
                <w:rFonts w:cs="Times New Roman"/>
                <w:b/>
                <w:bCs/>
                <w:noProof/>
                <w:sz w:val="20"/>
                <w:szCs w:val="20"/>
                <w:lang w:val="en-GB"/>
              </w:rPr>
            </w:pPr>
            <w:r w:rsidRPr="00724676">
              <w:rPr>
                <w:rFonts w:cs="Times New Roman"/>
                <w:b/>
                <w:bCs/>
                <w:noProof/>
                <w:sz w:val="20"/>
                <w:szCs w:val="20"/>
                <w:lang w:val="en-GB"/>
              </w:rPr>
              <w:t>3</w:t>
            </w:r>
            <w:r w:rsidR="00357296">
              <w:rPr>
                <w:rFonts w:cs="Times New Roman"/>
                <w:b/>
                <w:bCs/>
                <w:noProof/>
                <w:sz w:val="20"/>
                <w:szCs w:val="20"/>
                <w:lang w:val="en-GB"/>
              </w:rPr>
              <w:t>.</w:t>
            </w:r>
            <w:r w:rsidRPr="00724676">
              <w:rPr>
                <w:rFonts w:cs="Times New Roman"/>
                <w:b/>
                <w:bCs/>
                <w:noProof/>
                <w:sz w:val="20"/>
                <w:szCs w:val="20"/>
                <w:lang w:val="en-GB"/>
              </w:rPr>
              <w:t>8</w:t>
            </w:r>
          </w:p>
        </w:tc>
        <w:tc>
          <w:tcPr>
            <w:tcW w:w="1316" w:type="dxa"/>
            <w:hideMark/>
          </w:tcPr>
          <w:p w14:paraId="11390AA0" w14:textId="3FADFFDB" w:rsidR="0045141E" w:rsidRPr="00724676" w:rsidRDefault="0045141E" w:rsidP="000C0B2E">
            <w:pPr>
              <w:spacing w:after="120" w:line="259" w:lineRule="auto"/>
              <w:jc w:val="right"/>
              <w:rPr>
                <w:rFonts w:cs="Times New Roman"/>
                <w:b/>
                <w:bCs/>
                <w:noProof/>
                <w:sz w:val="20"/>
                <w:szCs w:val="20"/>
                <w:lang w:val="en-GB"/>
              </w:rPr>
            </w:pPr>
            <w:r w:rsidRPr="00724676">
              <w:rPr>
                <w:rFonts w:cs="Times New Roman"/>
                <w:b/>
                <w:bCs/>
                <w:noProof/>
                <w:sz w:val="20"/>
                <w:szCs w:val="20"/>
                <w:lang w:val="en-GB"/>
              </w:rPr>
              <w:t>13</w:t>
            </w:r>
            <w:r w:rsidR="00357296">
              <w:rPr>
                <w:rFonts w:cs="Times New Roman"/>
                <w:b/>
                <w:bCs/>
                <w:noProof/>
                <w:sz w:val="20"/>
                <w:szCs w:val="20"/>
                <w:lang w:val="en-GB"/>
              </w:rPr>
              <w:t>.</w:t>
            </w:r>
            <w:r w:rsidRPr="00724676">
              <w:rPr>
                <w:rFonts w:cs="Times New Roman"/>
                <w:b/>
                <w:bCs/>
                <w:noProof/>
                <w:sz w:val="20"/>
                <w:szCs w:val="20"/>
                <w:lang w:val="en-GB"/>
              </w:rPr>
              <w:t>6 m</w:t>
            </w:r>
          </w:p>
        </w:tc>
        <w:tc>
          <w:tcPr>
            <w:tcW w:w="1472" w:type="dxa"/>
            <w:hideMark/>
          </w:tcPr>
          <w:p w14:paraId="5459549F" w14:textId="113D41E3" w:rsidR="0045141E" w:rsidRPr="00724676" w:rsidRDefault="0045141E" w:rsidP="000C0B2E">
            <w:pPr>
              <w:spacing w:after="120" w:line="259" w:lineRule="auto"/>
              <w:jc w:val="right"/>
              <w:rPr>
                <w:rFonts w:cs="Times New Roman"/>
                <w:b/>
                <w:bCs/>
                <w:noProof/>
                <w:sz w:val="20"/>
                <w:szCs w:val="20"/>
                <w:lang w:val="en-GB"/>
              </w:rPr>
            </w:pPr>
            <w:r w:rsidRPr="00724676">
              <w:rPr>
                <w:rFonts w:cs="Times New Roman"/>
                <w:b/>
                <w:bCs/>
                <w:noProof/>
                <w:sz w:val="20"/>
                <w:szCs w:val="20"/>
                <w:lang w:val="en-GB"/>
              </w:rPr>
              <w:t>4</w:t>
            </w:r>
            <w:r w:rsidR="00357296">
              <w:rPr>
                <w:rFonts w:cs="Times New Roman"/>
                <w:b/>
                <w:bCs/>
                <w:noProof/>
                <w:sz w:val="20"/>
                <w:szCs w:val="20"/>
                <w:lang w:val="en-GB"/>
              </w:rPr>
              <w:t>.</w:t>
            </w:r>
            <w:r w:rsidRPr="00724676">
              <w:rPr>
                <w:rFonts w:cs="Times New Roman"/>
                <w:b/>
                <w:bCs/>
                <w:noProof/>
                <w:sz w:val="20"/>
                <w:szCs w:val="20"/>
                <w:lang w:val="en-GB"/>
              </w:rPr>
              <w:t>1 bn</w:t>
            </w:r>
          </w:p>
        </w:tc>
        <w:tc>
          <w:tcPr>
            <w:tcW w:w="1448" w:type="dxa"/>
            <w:hideMark/>
          </w:tcPr>
          <w:p w14:paraId="02102FF5" w14:textId="77777777" w:rsidR="0045141E" w:rsidRPr="00724676" w:rsidRDefault="0045141E" w:rsidP="000C0B2E">
            <w:pPr>
              <w:spacing w:after="120" w:line="259" w:lineRule="auto"/>
              <w:jc w:val="right"/>
              <w:rPr>
                <w:rFonts w:cs="Times New Roman"/>
                <w:b/>
                <w:bCs/>
                <w:noProof/>
                <w:sz w:val="20"/>
                <w:szCs w:val="20"/>
                <w:lang w:val="en-GB"/>
              </w:rPr>
            </w:pPr>
            <w:r w:rsidRPr="00724676">
              <w:rPr>
                <w:rFonts w:cs="Times New Roman"/>
                <w:b/>
                <w:bCs/>
                <w:noProof/>
                <w:sz w:val="20"/>
                <w:szCs w:val="20"/>
                <w:lang w:val="en-GB"/>
              </w:rPr>
              <w:t>65.3%</w:t>
            </w:r>
          </w:p>
        </w:tc>
        <w:tc>
          <w:tcPr>
            <w:tcW w:w="957" w:type="dxa"/>
            <w:hideMark/>
          </w:tcPr>
          <w:p w14:paraId="420C7576" w14:textId="77777777" w:rsidR="0045141E" w:rsidRPr="00724676" w:rsidRDefault="0045141E" w:rsidP="000C0B2E">
            <w:pPr>
              <w:spacing w:after="120" w:line="259" w:lineRule="auto"/>
              <w:jc w:val="right"/>
              <w:rPr>
                <w:rFonts w:cs="Times New Roman"/>
                <w:b/>
                <w:bCs/>
                <w:noProof/>
                <w:sz w:val="20"/>
                <w:szCs w:val="20"/>
                <w:lang w:val="en-GB"/>
              </w:rPr>
            </w:pPr>
            <w:r w:rsidRPr="00724676">
              <w:rPr>
                <w:rFonts w:cs="Times New Roman"/>
                <w:b/>
                <w:bCs/>
                <w:noProof/>
                <w:sz w:val="20"/>
                <w:szCs w:val="20"/>
                <w:lang w:val="en-GB"/>
              </w:rPr>
              <w:t>9.6%</w:t>
            </w:r>
          </w:p>
        </w:tc>
        <w:tc>
          <w:tcPr>
            <w:tcW w:w="1417" w:type="dxa"/>
            <w:hideMark/>
          </w:tcPr>
          <w:p w14:paraId="73031731" w14:textId="77777777" w:rsidR="0045141E" w:rsidRPr="00724676" w:rsidRDefault="0045141E" w:rsidP="000C0B2E">
            <w:pPr>
              <w:spacing w:after="120" w:line="259" w:lineRule="auto"/>
              <w:jc w:val="right"/>
              <w:rPr>
                <w:rFonts w:cs="Times New Roman"/>
                <w:b/>
                <w:bCs/>
                <w:noProof/>
                <w:sz w:val="20"/>
                <w:szCs w:val="20"/>
                <w:lang w:val="en-GB"/>
              </w:rPr>
            </w:pPr>
            <w:r w:rsidRPr="00724676">
              <w:rPr>
                <w:rFonts w:cs="Times New Roman"/>
                <w:b/>
                <w:bCs/>
                <w:noProof/>
                <w:sz w:val="20"/>
                <w:szCs w:val="20"/>
                <w:lang w:val="en-GB"/>
              </w:rPr>
              <w:t>11.1%</w:t>
            </w:r>
          </w:p>
        </w:tc>
      </w:tr>
    </w:tbl>
    <w:p w14:paraId="3561B9AE" w14:textId="76156652" w:rsidR="0045141E" w:rsidRPr="00724676" w:rsidRDefault="0045141E" w:rsidP="00261DD7">
      <w:pPr>
        <w:spacing w:after="240"/>
        <w:jc w:val="both"/>
        <w:rPr>
          <w:rFonts w:eastAsia="Times New Roman" w:cs="Times New Roman"/>
          <w:noProof/>
          <w:color w:val="333333"/>
          <w:sz w:val="20"/>
          <w:szCs w:val="20"/>
          <w:lang w:val="en-GB"/>
        </w:rPr>
      </w:pPr>
      <w:r w:rsidRPr="00724676">
        <w:rPr>
          <w:rFonts w:eastAsia="Times New Roman" w:cs="Times New Roman"/>
          <w:noProof/>
          <w:color w:val="333333"/>
          <w:sz w:val="20"/>
          <w:szCs w:val="20"/>
          <w:lang w:val="en-GB"/>
        </w:rPr>
        <w:t>Source: DG AGRI, CATS database, data for 27 Member States</w:t>
      </w:r>
      <w:r w:rsidR="00357296">
        <w:rPr>
          <w:rFonts w:eastAsia="Times New Roman" w:cs="Times New Roman"/>
          <w:noProof/>
          <w:color w:val="333333"/>
          <w:sz w:val="20"/>
          <w:szCs w:val="20"/>
          <w:lang w:val="en-GB"/>
        </w:rPr>
        <w:t xml:space="preserve"> (</w:t>
      </w:r>
      <w:r w:rsidR="1BB9A0DD" w:rsidRPr="00724676">
        <w:rPr>
          <w:rFonts w:eastAsia="Times New Roman" w:cs="Times New Roman"/>
          <w:noProof/>
          <w:color w:val="333333"/>
          <w:sz w:val="20"/>
          <w:szCs w:val="20"/>
          <w:lang w:val="en-GB"/>
        </w:rPr>
        <w:t>2022</w:t>
      </w:r>
      <w:r w:rsidR="00357296">
        <w:rPr>
          <w:rFonts w:eastAsia="Times New Roman" w:cs="Times New Roman"/>
          <w:noProof/>
          <w:color w:val="333333"/>
          <w:sz w:val="20"/>
          <w:szCs w:val="20"/>
          <w:lang w:val="en-GB"/>
        </w:rPr>
        <w:t>)</w:t>
      </w:r>
      <w:r w:rsidR="1BB9A0DD" w:rsidRPr="00724676">
        <w:rPr>
          <w:rFonts w:eastAsia="Times New Roman" w:cs="Times New Roman"/>
          <w:noProof/>
          <w:color w:val="333333"/>
          <w:sz w:val="20"/>
          <w:szCs w:val="20"/>
          <w:lang w:val="en-GB"/>
        </w:rPr>
        <w:t xml:space="preserve"> </w:t>
      </w:r>
    </w:p>
    <w:p w14:paraId="53B91507" w14:textId="1AC59B18" w:rsidR="0045141E" w:rsidRPr="00724676" w:rsidRDefault="0045141E" w:rsidP="006D5C9F">
      <w:pPr>
        <w:spacing w:after="120"/>
        <w:jc w:val="both"/>
        <w:rPr>
          <w:rFonts w:eastAsiaTheme="minorEastAsia" w:cs="Times New Roman"/>
          <w:noProof/>
          <w:szCs w:val="24"/>
          <w:lang w:val="en-GB"/>
        </w:rPr>
      </w:pPr>
      <w:r w:rsidRPr="00C27F98">
        <w:rPr>
          <w:rFonts w:eastAsiaTheme="minorEastAsia" w:cs="Times New Roman"/>
          <w:noProof/>
          <w:szCs w:val="24"/>
          <w:lang w:val="en-GB"/>
        </w:rPr>
        <w:t xml:space="preserve">In the absence of data on the number of farmers that benefit from the 2023-2027 </w:t>
      </w:r>
      <w:r w:rsidR="00357296" w:rsidRPr="00C27F98">
        <w:rPr>
          <w:rFonts w:eastAsiaTheme="minorEastAsia" w:cs="Times New Roman"/>
          <w:noProof/>
          <w:szCs w:val="24"/>
          <w:lang w:val="en-GB"/>
        </w:rPr>
        <w:t xml:space="preserve">CAP </w:t>
      </w:r>
      <w:r w:rsidRPr="00C27F98">
        <w:rPr>
          <w:rFonts w:eastAsiaTheme="minorEastAsia" w:cs="Times New Roman"/>
          <w:noProof/>
          <w:szCs w:val="24"/>
          <w:lang w:val="en-GB"/>
        </w:rPr>
        <w:t xml:space="preserve">and </w:t>
      </w:r>
      <w:r w:rsidR="00357296">
        <w:rPr>
          <w:rFonts w:eastAsiaTheme="minorEastAsia" w:cs="Times New Roman"/>
          <w:noProof/>
          <w:szCs w:val="24"/>
          <w:lang w:val="en-GB"/>
        </w:rPr>
        <w:t>who,</w:t>
      </w:r>
      <w:r w:rsidR="00357296" w:rsidRPr="00C27F98">
        <w:rPr>
          <w:rFonts w:eastAsiaTheme="minorEastAsia" w:cs="Times New Roman"/>
          <w:noProof/>
          <w:szCs w:val="24"/>
          <w:lang w:val="en-GB"/>
        </w:rPr>
        <w:t xml:space="preserve"> </w:t>
      </w:r>
      <w:r w:rsidR="00C310E0" w:rsidRPr="00C27F98">
        <w:rPr>
          <w:rFonts w:eastAsiaTheme="minorEastAsia" w:cs="Times New Roman"/>
          <w:noProof/>
          <w:szCs w:val="24"/>
          <w:lang w:val="en-GB"/>
        </w:rPr>
        <w:t>at the same time</w:t>
      </w:r>
      <w:r w:rsidR="00357296">
        <w:rPr>
          <w:rFonts w:eastAsiaTheme="minorEastAsia" w:cs="Times New Roman"/>
          <w:noProof/>
          <w:szCs w:val="24"/>
          <w:lang w:val="en-GB"/>
        </w:rPr>
        <w:t>,</w:t>
      </w:r>
      <w:r w:rsidR="00C310E0" w:rsidRPr="00C27F98">
        <w:rPr>
          <w:rFonts w:eastAsiaTheme="minorEastAsia" w:cs="Times New Roman"/>
          <w:noProof/>
          <w:szCs w:val="24"/>
          <w:lang w:val="en-GB"/>
        </w:rPr>
        <w:t xml:space="preserve"> </w:t>
      </w:r>
      <w:r w:rsidRPr="00C27F98">
        <w:rPr>
          <w:rFonts w:eastAsiaTheme="minorEastAsia" w:cs="Times New Roman"/>
          <w:noProof/>
          <w:szCs w:val="24"/>
          <w:lang w:val="en-GB"/>
        </w:rPr>
        <w:t xml:space="preserve">continue to benefit from rural development support under </w:t>
      </w:r>
      <w:r w:rsidR="00357296">
        <w:rPr>
          <w:rFonts w:eastAsiaTheme="minorEastAsia" w:cs="Times New Roman"/>
          <w:noProof/>
          <w:szCs w:val="24"/>
          <w:lang w:val="en-GB"/>
        </w:rPr>
        <w:t xml:space="preserve">the </w:t>
      </w:r>
      <w:r w:rsidRPr="00C27F98">
        <w:rPr>
          <w:rFonts w:eastAsiaTheme="minorEastAsia" w:cs="Times New Roman"/>
          <w:noProof/>
          <w:szCs w:val="24"/>
          <w:lang w:val="en-GB"/>
        </w:rPr>
        <w:t>2014-2022</w:t>
      </w:r>
      <w:r w:rsidR="00357296" w:rsidRPr="00357296">
        <w:rPr>
          <w:rFonts w:eastAsiaTheme="minorEastAsia" w:cs="Times New Roman"/>
          <w:noProof/>
          <w:szCs w:val="24"/>
          <w:lang w:val="en-GB"/>
        </w:rPr>
        <w:t xml:space="preserve"> </w:t>
      </w:r>
      <w:r w:rsidR="00357296" w:rsidRPr="00C27F98">
        <w:rPr>
          <w:rFonts w:eastAsiaTheme="minorEastAsia" w:cs="Times New Roman"/>
          <w:noProof/>
          <w:szCs w:val="24"/>
          <w:lang w:val="en-GB"/>
        </w:rPr>
        <w:t>CAP</w:t>
      </w:r>
      <w:r w:rsidRPr="00C27F98">
        <w:rPr>
          <w:rFonts w:eastAsiaTheme="minorEastAsia" w:cs="Times New Roman"/>
          <w:noProof/>
          <w:szCs w:val="24"/>
          <w:lang w:val="en-GB"/>
        </w:rPr>
        <w:t>, it is not possible to estimate the costs saved by removing the ‘cross-compliance’ controls</w:t>
      </w:r>
      <w:r w:rsidR="006157C8" w:rsidRPr="00724676">
        <w:rPr>
          <w:rFonts w:eastAsiaTheme="minorEastAsia" w:cs="Times New Roman"/>
          <w:noProof/>
          <w:szCs w:val="24"/>
          <w:lang w:val="en-GB"/>
        </w:rPr>
        <w:t xml:space="preserve"> (measure </w:t>
      </w:r>
      <w:r w:rsidR="00CC2FCF" w:rsidRPr="00724676">
        <w:rPr>
          <w:rFonts w:eastAsiaTheme="minorEastAsia" w:cs="Times New Roman"/>
          <w:noProof/>
          <w:szCs w:val="24"/>
          <w:lang w:val="en-GB"/>
        </w:rPr>
        <w:t>B.4 in Annex 1)</w:t>
      </w:r>
      <w:r w:rsidR="00A82418" w:rsidRPr="00724676">
        <w:rPr>
          <w:rFonts w:eastAsiaTheme="minorEastAsia" w:cs="Times New Roman"/>
          <w:noProof/>
          <w:szCs w:val="24"/>
          <w:lang w:val="en-GB"/>
        </w:rPr>
        <w:t xml:space="preserve"> in such cases</w:t>
      </w:r>
      <w:r w:rsidRPr="00724676">
        <w:rPr>
          <w:rFonts w:eastAsiaTheme="minorEastAsia" w:cs="Times New Roman"/>
          <w:noProof/>
          <w:szCs w:val="24"/>
          <w:lang w:val="en-GB"/>
        </w:rPr>
        <w:t>.</w:t>
      </w:r>
    </w:p>
    <w:p w14:paraId="756ED737" w14:textId="78156964" w:rsidR="0020388F" w:rsidRPr="00724676" w:rsidRDefault="00583ECE" w:rsidP="20654519">
      <w:pPr>
        <w:spacing w:after="120"/>
        <w:jc w:val="both"/>
        <w:rPr>
          <w:rFonts w:eastAsia="Times New Roman" w:cs="Times New Roman"/>
          <w:noProof/>
          <w:color w:val="333333"/>
        </w:rPr>
      </w:pPr>
      <w:r w:rsidRPr="20654519">
        <w:rPr>
          <w:rFonts w:eastAsia="Calibri" w:cs="Times New Roman"/>
          <w:noProof/>
        </w:rPr>
        <w:t xml:space="preserve">The </w:t>
      </w:r>
      <w:r w:rsidRPr="20654519">
        <w:rPr>
          <w:rFonts w:eastAsia="Calibri" w:cs="Times New Roman"/>
          <w:b/>
          <w:bCs/>
          <w:noProof/>
        </w:rPr>
        <w:t xml:space="preserve">reduction of </w:t>
      </w:r>
      <w:r w:rsidR="0006417F" w:rsidRPr="20654519">
        <w:rPr>
          <w:rFonts w:eastAsia="Calibri" w:cs="Times New Roman"/>
          <w:b/>
          <w:bCs/>
          <w:noProof/>
        </w:rPr>
        <w:t xml:space="preserve">hassle costs and </w:t>
      </w:r>
      <w:r w:rsidRPr="20654519">
        <w:rPr>
          <w:rFonts w:eastAsia="Calibri" w:cs="Times New Roman"/>
          <w:b/>
          <w:bCs/>
          <w:noProof/>
        </w:rPr>
        <w:t>uncertainty</w:t>
      </w:r>
      <w:r w:rsidRPr="20654519">
        <w:rPr>
          <w:rFonts w:eastAsia="Calibri" w:cs="Times New Roman"/>
          <w:noProof/>
        </w:rPr>
        <w:t xml:space="preserve"> for farmers is another important economic effect of the changes</w:t>
      </w:r>
      <w:r w:rsidR="002B48EF" w:rsidRPr="20654519">
        <w:rPr>
          <w:rFonts w:eastAsia="Calibri" w:cs="Times New Roman"/>
          <w:noProof/>
        </w:rPr>
        <w:t xml:space="preserve"> brought by the simplification package</w:t>
      </w:r>
      <w:r w:rsidRPr="20654519">
        <w:rPr>
          <w:rFonts w:eastAsia="Calibri" w:cs="Times New Roman"/>
          <w:noProof/>
        </w:rPr>
        <w:t>.</w:t>
      </w:r>
      <w:r w:rsidR="00507024" w:rsidRPr="20654519">
        <w:rPr>
          <w:rFonts w:eastAsia="Calibri" w:cs="Times New Roman"/>
          <w:noProof/>
        </w:rPr>
        <w:t xml:space="preserve"> Actions which contribute to this include </w:t>
      </w:r>
      <w:r w:rsidR="007B42F1" w:rsidRPr="20654519">
        <w:rPr>
          <w:rFonts w:eastAsia="Calibri" w:cs="Times New Roman"/>
          <w:noProof/>
        </w:rPr>
        <w:t>improvements to the</w:t>
      </w:r>
      <w:r w:rsidR="0020388F" w:rsidRPr="20654519">
        <w:rPr>
          <w:rFonts w:eastAsia="Calibri" w:cs="Times New Roman"/>
          <w:noProof/>
        </w:rPr>
        <w:t xml:space="preserve"> early warning systems</w:t>
      </w:r>
      <w:r w:rsidR="00F26B1C" w:rsidRPr="20654519">
        <w:rPr>
          <w:rFonts w:eastAsia="Calibri" w:cs="Times New Roman"/>
          <w:noProof/>
        </w:rPr>
        <w:t>,</w:t>
      </w:r>
      <w:r w:rsidR="000139C4" w:rsidRPr="20654519">
        <w:rPr>
          <w:rFonts w:eastAsia="Calibri" w:cs="Times New Roman"/>
          <w:noProof/>
        </w:rPr>
        <w:t xml:space="preserve"> the right </w:t>
      </w:r>
      <w:r w:rsidR="28770544" w:rsidRPr="33DD248F">
        <w:rPr>
          <w:rFonts w:eastAsia="Calibri" w:cs="Times New Roman"/>
          <w:noProof/>
        </w:rPr>
        <w:t>of</w:t>
      </w:r>
      <w:r w:rsidR="00111237" w:rsidRPr="20654519">
        <w:rPr>
          <w:rFonts w:eastAsia="Calibri" w:cs="Times New Roman"/>
          <w:noProof/>
        </w:rPr>
        <w:t xml:space="preserve"> </w:t>
      </w:r>
      <w:r w:rsidR="000139C4" w:rsidRPr="20654519">
        <w:rPr>
          <w:rFonts w:eastAsia="Calibri" w:cs="Times New Roman"/>
          <w:noProof/>
        </w:rPr>
        <w:t>error</w:t>
      </w:r>
      <w:r w:rsidR="24AF8C60" w:rsidRPr="20654519">
        <w:rPr>
          <w:rFonts w:eastAsia="Calibri" w:cs="Times New Roman"/>
          <w:noProof/>
        </w:rPr>
        <w:t xml:space="preserve"> (measure A.</w:t>
      </w:r>
      <w:r w:rsidR="00284428" w:rsidRPr="20654519">
        <w:rPr>
          <w:rFonts w:eastAsia="Calibri" w:cs="Times New Roman"/>
          <w:noProof/>
        </w:rPr>
        <w:t>6</w:t>
      </w:r>
      <w:r w:rsidR="24AF8C60" w:rsidRPr="20654519">
        <w:rPr>
          <w:rFonts w:eastAsia="Calibri" w:cs="Times New Roman"/>
          <w:noProof/>
        </w:rPr>
        <w:t xml:space="preserve"> in Annex</w:t>
      </w:r>
      <w:r w:rsidR="00EB391F" w:rsidRPr="20654519">
        <w:rPr>
          <w:rFonts w:eastAsia="Calibri" w:cs="Times New Roman"/>
          <w:noProof/>
        </w:rPr>
        <w:t> </w:t>
      </w:r>
      <w:r w:rsidR="24AF8C60" w:rsidRPr="20654519">
        <w:rPr>
          <w:rFonts w:eastAsia="Calibri" w:cs="Times New Roman"/>
          <w:noProof/>
        </w:rPr>
        <w:t>1)</w:t>
      </w:r>
      <w:r w:rsidR="1D26FC85" w:rsidRPr="20654519">
        <w:rPr>
          <w:rFonts w:eastAsia="Calibri" w:cs="Times New Roman"/>
          <w:noProof/>
        </w:rPr>
        <w:t>,</w:t>
      </w:r>
      <w:r w:rsidR="002A0E46" w:rsidRPr="20654519">
        <w:rPr>
          <w:rFonts w:eastAsia="Calibri" w:cs="Times New Roman"/>
          <w:noProof/>
        </w:rPr>
        <w:t xml:space="preserve"> </w:t>
      </w:r>
      <w:r w:rsidR="000139C4" w:rsidRPr="20654519">
        <w:rPr>
          <w:rFonts w:eastAsia="Calibri" w:cs="Times New Roman"/>
          <w:noProof/>
        </w:rPr>
        <w:t>and</w:t>
      </w:r>
      <w:r w:rsidR="002A0E46" w:rsidRPr="20654519">
        <w:rPr>
          <w:rFonts w:eastAsia="Calibri" w:cs="Times New Roman"/>
          <w:noProof/>
        </w:rPr>
        <w:t xml:space="preserve"> </w:t>
      </w:r>
      <w:r w:rsidR="00882C7C" w:rsidRPr="20654519">
        <w:rPr>
          <w:rFonts w:eastAsia="Calibri" w:cs="Times New Roman"/>
          <w:noProof/>
        </w:rPr>
        <w:t xml:space="preserve">clarification of the concept of </w:t>
      </w:r>
      <w:r w:rsidR="00882C7C" w:rsidRPr="20654519">
        <w:rPr>
          <w:rFonts w:eastAsia="Calibri" w:cs="Times New Roman"/>
          <w:i/>
          <w:iCs/>
          <w:noProof/>
        </w:rPr>
        <w:t>force majeure</w:t>
      </w:r>
      <w:r w:rsidR="00E63E74" w:rsidRPr="20654519">
        <w:rPr>
          <w:rFonts w:eastAsia="Calibri" w:cs="Times New Roman"/>
          <w:i/>
          <w:iCs/>
          <w:noProof/>
        </w:rPr>
        <w:t xml:space="preserve"> </w:t>
      </w:r>
      <w:r w:rsidR="00E63E74" w:rsidRPr="20654519">
        <w:rPr>
          <w:rFonts w:eastAsia="Calibri" w:cs="Times New Roman"/>
          <w:noProof/>
        </w:rPr>
        <w:t>(</w:t>
      </w:r>
      <w:r w:rsidR="5135E4EE" w:rsidRPr="20654519">
        <w:rPr>
          <w:rFonts w:eastAsia="Calibri" w:cs="Times New Roman"/>
          <w:noProof/>
        </w:rPr>
        <w:t>measure</w:t>
      </w:r>
      <w:r w:rsidR="00E63E74" w:rsidRPr="20654519">
        <w:rPr>
          <w:rFonts w:eastAsia="Calibri" w:cs="Times New Roman"/>
          <w:noProof/>
        </w:rPr>
        <w:t xml:space="preserve"> A.</w:t>
      </w:r>
      <w:r w:rsidR="00284428" w:rsidRPr="20654519">
        <w:rPr>
          <w:rFonts w:eastAsia="Calibri" w:cs="Times New Roman"/>
          <w:noProof/>
        </w:rPr>
        <w:t>5</w:t>
      </w:r>
      <w:r w:rsidR="00E63E74" w:rsidRPr="20654519">
        <w:rPr>
          <w:rFonts w:eastAsia="Calibri" w:cs="Times New Roman"/>
          <w:noProof/>
        </w:rPr>
        <w:t xml:space="preserve"> in Annex 1)</w:t>
      </w:r>
      <w:r w:rsidR="00882C7C" w:rsidRPr="20654519">
        <w:rPr>
          <w:rFonts w:eastAsia="Calibri" w:cs="Times New Roman"/>
          <w:noProof/>
        </w:rPr>
        <w:t>.</w:t>
      </w:r>
      <w:r w:rsidR="0020388F" w:rsidRPr="20654519">
        <w:rPr>
          <w:rFonts w:eastAsia="Calibri" w:cs="Times New Roman"/>
          <w:noProof/>
        </w:rPr>
        <w:t xml:space="preserve"> </w:t>
      </w:r>
      <w:r w:rsidR="005E685F">
        <w:rPr>
          <w:rFonts w:eastAsia="Calibri" w:cs="Times New Roman"/>
          <w:noProof/>
        </w:rPr>
        <w:br/>
      </w:r>
      <w:r w:rsidR="007B42F1" w:rsidRPr="20654519">
        <w:rPr>
          <w:rFonts w:eastAsia="Calibri" w:cs="Times New Roman"/>
          <w:noProof/>
        </w:rPr>
        <w:t>These actions will</w:t>
      </w:r>
      <w:r w:rsidR="008F6B4C" w:rsidRPr="20654519">
        <w:rPr>
          <w:rFonts w:eastAsia="Calibri" w:cs="Times New Roman"/>
          <w:noProof/>
        </w:rPr>
        <w:t xml:space="preserve"> </w:t>
      </w:r>
      <w:r w:rsidR="007B42F1" w:rsidRPr="20654519">
        <w:rPr>
          <w:rFonts w:eastAsia="Calibri" w:cs="Times New Roman"/>
          <w:noProof/>
        </w:rPr>
        <w:t xml:space="preserve">help </w:t>
      </w:r>
      <w:r w:rsidR="0020388F" w:rsidRPr="20654519">
        <w:rPr>
          <w:rFonts w:eastAsia="Calibri" w:cs="Times New Roman"/>
          <w:b/>
          <w:bCs/>
          <w:noProof/>
        </w:rPr>
        <w:t xml:space="preserve">prevent </w:t>
      </w:r>
      <w:r w:rsidR="00F26B1C" w:rsidRPr="20654519">
        <w:rPr>
          <w:rFonts w:eastAsia="Calibri" w:cs="Times New Roman"/>
          <w:b/>
          <w:bCs/>
          <w:noProof/>
        </w:rPr>
        <w:t xml:space="preserve">a </w:t>
      </w:r>
      <w:r w:rsidR="0020388F" w:rsidRPr="20654519">
        <w:rPr>
          <w:rFonts w:eastAsia="Calibri" w:cs="Times New Roman"/>
          <w:b/>
          <w:bCs/>
          <w:noProof/>
        </w:rPr>
        <w:t>reduction or withdrawal of CAP support</w:t>
      </w:r>
      <w:r w:rsidR="0020388F" w:rsidRPr="20654519">
        <w:rPr>
          <w:rFonts w:eastAsia="Calibri" w:cs="Times New Roman"/>
          <w:noProof/>
        </w:rPr>
        <w:t xml:space="preserve"> for farmers, which they have already factored in their farm management decision</w:t>
      </w:r>
      <w:r w:rsidR="00072309" w:rsidRPr="20654519">
        <w:rPr>
          <w:rFonts w:eastAsia="Calibri" w:cs="Times New Roman"/>
          <w:noProof/>
        </w:rPr>
        <w:t>-</w:t>
      </w:r>
      <w:r w:rsidR="0020388F" w:rsidRPr="20654519">
        <w:rPr>
          <w:rFonts w:eastAsia="Calibri" w:cs="Times New Roman"/>
          <w:noProof/>
        </w:rPr>
        <w:t xml:space="preserve">making process as </w:t>
      </w:r>
      <w:r w:rsidR="00EB391F" w:rsidRPr="003E7CF4">
        <w:rPr>
          <w:rFonts w:eastAsia="Calibri" w:cs="Times New Roman"/>
          <w:noProof/>
        </w:rPr>
        <w:t xml:space="preserve">a </w:t>
      </w:r>
      <w:r w:rsidR="0020388F" w:rsidRPr="20654519">
        <w:rPr>
          <w:rFonts w:eastAsia="Calibri" w:cs="Times New Roman"/>
          <w:noProof/>
        </w:rPr>
        <w:lastRenderedPageBreak/>
        <w:t>source of additional income or to compensate for efforts made for specific practices</w:t>
      </w:r>
      <w:r w:rsidR="00D5090B" w:rsidRPr="20654519">
        <w:rPr>
          <w:rFonts w:eastAsia="Calibri" w:cs="Times New Roman"/>
          <w:noProof/>
        </w:rPr>
        <w:t xml:space="preserve">, thereby preventing </w:t>
      </w:r>
      <w:r w:rsidR="00D5090B" w:rsidRPr="20654519">
        <w:rPr>
          <w:rFonts w:eastAsia="Times New Roman" w:cs="Times New Roman"/>
          <w:noProof/>
          <w:color w:val="333333"/>
        </w:rPr>
        <w:t xml:space="preserve">possible negative economic impacts </w:t>
      </w:r>
      <w:r w:rsidR="00EB391F" w:rsidRPr="003E7CF4">
        <w:rPr>
          <w:rFonts w:eastAsia="Times New Roman" w:cs="Times New Roman"/>
          <w:noProof/>
          <w:color w:val="333333"/>
        </w:rPr>
        <w:t xml:space="preserve">if support is </w:t>
      </w:r>
      <w:r w:rsidR="00D5090B" w:rsidRPr="20654519">
        <w:rPr>
          <w:rFonts w:eastAsia="Times New Roman" w:cs="Times New Roman"/>
          <w:noProof/>
          <w:color w:val="333333"/>
        </w:rPr>
        <w:t>foregone</w:t>
      </w:r>
      <w:r w:rsidR="0020388F" w:rsidRPr="20654519">
        <w:rPr>
          <w:rFonts w:eastAsia="Calibri" w:cs="Times New Roman"/>
          <w:noProof/>
        </w:rPr>
        <w:t xml:space="preserve">. </w:t>
      </w:r>
      <w:r w:rsidR="00D04B4C" w:rsidRPr="20654519">
        <w:rPr>
          <w:rFonts w:eastAsia="Calibri" w:cs="Times New Roman"/>
          <w:noProof/>
        </w:rPr>
        <w:t xml:space="preserve">Moreover, these actions also facilitate the handling </w:t>
      </w:r>
      <w:r w:rsidR="00AD7594" w:rsidRPr="20654519">
        <w:rPr>
          <w:rFonts w:eastAsia="Calibri" w:cs="Times New Roman"/>
          <w:noProof/>
        </w:rPr>
        <w:t>of aid applications</w:t>
      </w:r>
      <w:r w:rsidR="00D04B4C" w:rsidRPr="20654519">
        <w:rPr>
          <w:rFonts w:eastAsia="Calibri" w:cs="Times New Roman"/>
          <w:noProof/>
        </w:rPr>
        <w:t xml:space="preserve"> b</w:t>
      </w:r>
      <w:r w:rsidR="00DB49BB" w:rsidRPr="20654519">
        <w:rPr>
          <w:rFonts w:eastAsia="Calibri" w:cs="Times New Roman"/>
          <w:noProof/>
        </w:rPr>
        <w:t xml:space="preserve">y administrations, thereby </w:t>
      </w:r>
      <w:r w:rsidR="00DB49BB" w:rsidRPr="20654519">
        <w:rPr>
          <w:rFonts w:eastAsia="Calibri" w:cs="Times New Roman"/>
          <w:b/>
          <w:bCs/>
          <w:noProof/>
        </w:rPr>
        <w:t>reducing the waiting time</w:t>
      </w:r>
      <w:r w:rsidR="00DB49BB" w:rsidRPr="20654519">
        <w:rPr>
          <w:rFonts w:eastAsia="Calibri" w:cs="Times New Roman"/>
          <w:noProof/>
        </w:rPr>
        <w:t xml:space="preserve"> for the response. </w:t>
      </w:r>
      <w:r w:rsidR="005D4997" w:rsidRPr="20654519">
        <w:rPr>
          <w:rFonts w:eastAsia="Times New Roman" w:cs="Times New Roman"/>
          <w:noProof/>
          <w:color w:val="333333"/>
        </w:rPr>
        <w:t>The reduction of uncertainty</w:t>
      </w:r>
      <w:r w:rsidR="00D5090B" w:rsidRPr="20654519">
        <w:rPr>
          <w:rFonts w:eastAsia="Times New Roman" w:cs="Times New Roman"/>
          <w:noProof/>
          <w:color w:val="333333"/>
        </w:rPr>
        <w:t xml:space="preserve"> will </w:t>
      </w:r>
      <w:r w:rsidR="00F26B1C" w:rsidRPr="20654519">
        <w:rPr>
          <w:rFonts w:eastAsia="Times New Roman" w:cs="Times New Roman"/>
          <w:noProof/>
          <w:color w:val="333333"/>
        </w:rPr>
        <w:t>also have a positive</w:t>
      </w:r>
      <w:r w:rsidR="00D5090B" w:rsidRPr="20654519">
        <w:rPr>
          <w:rFonts w:eastAsia="Times New Roman" w:cs="Times New Roman"/>
          <w:noProof/>
          <w:color w:val="333333"/>
        </w:rPr>
        <w:t xml:space="preserve"> impact </w:t>
      </w:r>
      <w:r w:rsidR="00F26B1C" w:rsidRPr="20654519">
        <w:rPr>
          <w:rFonts w:eastAsia="Times New Roman" w:cs="Times New Roman"/>
          <w:noProof/>
          <w:color w:val="333333"/>
        </w:rPr>
        <w:t xml:space="preserve">on </w:t>
      </w:r>
      <w:r w:rsidR="00D5090B" w:rsidRPr="20654519">
        <w:rPr>
          <w:rFonts w:eastAsia="Times New Roman" w:cs="Times New Roman"/>
          <w:noProof/>
          <w:color w:val="333333"/>
        </w:rPr>
        <w:t>the</w:t>
      </w:r>
      <w:r w:rsidR="00A90CA3" w:rsidRPr="20654519">
        <w:rPr>
          <w:rFonts w:eastAsia="Times New Roman" w:cs="Times New Roman"/>
          <w:noProof/>
          <w:color w:val="333333"/>
        </w:rPr>
        <w:t xml:space="preserve"> mental well</w:t>
      </w:r>
      <w:r w:rsidR="0020322D" w:rsidRPr="20654519">
        <w:rPr>
          <w:rFonts w:eastAsia="Times New Roman" w:cs="Times New Roman"/>
          <w:noProof/>
          <w:color w:val="333333"/>
        </w:rPr>
        <w:t>-</w:t>
      </w:r>
      <w:r w:rsidR="00A90CA3" w:rsidRPr="20654519">
        <w:rPr>
          <w:rFonts w:eastAsia="Times New Roman" w:cs="Times New Roman"/>
          <w:noProof/>
          <w:color w:val="333333"/>
        </w:rPr>
        <w:t>being of beneficiaries</w:t>
      </w:r>
      <w:r w:rsidR="00D5090B" w:rsidRPr="20654519">
        <w:rPr>
          <w:rFonts w:eastAsia="Times New Roman" w:cs="Times New Roman"/>
          <w:noProof/>
          <w:color w:val="333333"/>
        </w:rPr>
        <w:t>, by reducing stress</w:t>
      </w:r>
      <w:r w:rsidR="00707A95" w:rsidRPr="20654519">
        <w:rPr>
          <w:rFonts w:eastAsia="Times New Roman" w:cs="Times New Roman"/>
          <w:noProof/>
          <w:color w:val="333333"/>
        </w:rPr>
        <w:t xml:space="preserve"> (see </w:t>
      </w:r>
      <w:r w:rsidR="00F26B1C" w:rsidRPr="20654519">
        <w:rPr>
          <w:rFonts w:eastAsia="Times New Roman" w:cs="Times New Roman"/>
          <w:noProof/>
          <w:color w:val="333333"/>
        </w:rPr>
        <w:t xml:space="preserve">Section 6.4 on </w:t>
      </w:r>
      <w:r w:rsidR="00707A95" w:rsidRPr="20654519">
        <w:rPr>
          <w:rFonts w:eastAsia="Times New Roman" w:cs="Times New Roman"/>
          <w:noProof/>
          <w:color w:val="333333"/>
        </w:rPr>
        <w:t>social impacts)</w:t>
      </w:r>
      <w:r w:rsidR="00A90CA3" w:rsidRPr="20654519">
        <w:rPr>
          <w:rFonts w:eastAsia="Times New Roman" w:cs="Times New Roman"/>
          <w:noProof/>
          <w:color w:val="333333"/>
        </w:rPr>
        <w:t xml:space="preserve">. </w:t>
      </w:r>
      <w:r w:rsidR="0020388F" w:rsidRPr="20654519">
        <w:rPr>
          <w:rFonts w:eastAsia="Times New Roman" w:cs="Times New Roman"/>
          <w:noProof/>
          <w:color w:val="333333"/>
        </w:rPr>
        <w:t xml:space="preserve"> </w:t>
      </w:r>
    </w:p>
    <w:p w14:paraId="0E0001BF" w14:textId="4F1F776C" w:rsidR="00FF2816" w:rsidRPr="00724676" w:rsidRDefault="00FF2816" w:rsidP="00261DD7">
      <w:pPr>
        <w:spacing w:before="240" w:after="240"/>
        <w:jc w:val="both"/>
        <w:rPr>
          <w:rFonts w:eastAsia="Calibri" w:cs="Times New Roman"/>
          <w:b/>
          <w:bCs/>
          <w:noProof/>
          <w:szCs w:val="24"/>
          <w:lang w:val="en-GB"/>
        </w:rPr>
      </w:pPr>
      <w:r w:rsidRPr="00724676">
        <w:rPr>
          <w:rFonts w:eastAsia="Times New Roman" w:cs="Times New Roman"/>
          <w:b/>
          <w:bCs/>
          <w:noProof/>
          <w:color w:val="333333"/>
          <w:szCs w:val="24"/>
          <w:lang w:val="en-GB"/>
        </w:rPr>
        <w:t>National administrations</w:t>
      </w:r>
    </w:p>
    <w:p w14:paraId="0956FCC2" w14:textId="0A5E6C47" w:rsidR="00110807" w:rsidRPr="00724676" w:rsidRDefault="00110807" w:rsidP="000C0B2E">
      <w:pPr>
        <w:spacing w:after="120"/>
        <w:jc w:val="both"/>
        <w:rPr>
          <w:rFonts w:cs="Times New Roman"/>
          <w:b/>
          <w:bCs/>
          <w:noProof/>
          <w:szCs w:val="24"/>
          <w:lang w:val="en-GB"/>
        </w:rPr>
      </w:pPr>
      <w:r w:rsidRPr="00724676">
        <w:rPr>
          <w:rFonts w:cs="Times New Roman"/>
          <w:noProof/>
          <w:szCs w:val="24"/>
          <w:lang w:val="en-GB"/>
        </w:rPr>
        <w:t xml:space="preserve">The </w:t>
      </w:r>
      <w:r w:rsidR="00D93F5B" w:rsidRPr="00724676">
        <w:rPr>
          <w:rFonts w:cs="Times New Roman"/>
          <w:noProof/>
          <w:szCs w:val="24"/>
          <w:lang w:val="en-GB"/>
        </w:rPr>
        <w:t xml:space="preserve">measures taken </w:t>
      </w:r>
      <w:r w:rsidRPr="002874FC">
        <w:rPr>
          <w:rFonts w:cs="Times New Roman"/>
          <w:noProof/>
          <w:szCs w:val="24"/>
          <w:lang w:val="en-GB"/>
        </w:rPr>
        <w:t xml:space="preserve">will </w:t>
      </w:r>
      <w:r w:rsidR="00812FDE" w:rsidRPr="002874FC">
        <w:rPr>
          <w:rFonts w:cs="Times New Roman"/>
          <w:noProof/>
          <w:szCs w:val="24"/>
          <w:lang w:val="en-GB"/>
        </w:rPr>
        <w:t xml:space="preserve">also </w:t>
      </w:r>
      <w:r w:rsidR="0020322D" w:rsidRPr="003E7CF4">
        <w:rPr>
          <w:rFonts w:cs="Times New Roman"/>
          <w:noProof/>
          <w:szCs w:val="24"/>
          <w:lang w:val="en-GB"/>
        </w:rPr>
        <w:t>streamline</w:t>
      </w:r>
      <w:r w:rsidR="0020322D" w:rsidRPr="002874FC">
        <w:rPr>
          <w:rFonts w:cs="Times New Roman"/>
          <w:noProof/>
          <w:szCs w:val="24"/>
          <w:lang w:val="en-GB"/>
        </w:rPr>
        <w:t xml:space="preserve"> the</w:t>
      </w:r>
      <w:r w:rsidRPr="002874FC">
        <w:rPr>
          <w:rFonts w:cs="Times New Roman"/>
          <w:noProof/>
          <w:szCs w:val="24"/>
          <w:lang w:val="en-GB"/>
        </w:rPr>
        <w:t xml:space="preserve"> processes for national</w:t>
      </w:r>
      <w:r w:rsidRPr="00724676">
        <w:rPr>
          <w:rFonts w:cs="Times New Roman"/>
          <w:noProof/>
          <w:szCs w:val="24"/>
          <w:lang w:val="en-GB"/>
        </w:rPr>
        <w:t xml:space="preserve"> administrations</w:t>
      </w:r>
      <w:r w:rsidRPr="00724676">
        <w:rPr>
          <w:rFonts w:cs="Times New Roman"/>
          <w:b/>
          <w:bCs/>
          <w:noProof/>
          <w:szCs w:val="24"/>
          <w:lang w:val="en-GB"/>
        </w:rPr>
        <w:t>. </w:t>
      </w:r>
    </w:p>
    <w:p w14:paraId="692B54CC" w14:textId="26DBF401" w:rsidR="00110807" w:rsidRPr="00724676" w:rsidRDefault="00110807" w:rsidP="7C53ED75">
      <w:pPr>
        <w:spacing w:after="120"/>
        <w:jc w:val="both"/>
        <w:rPr>
          <w:rFonts w:cs="Times New Roman"/>
          <w:noProof/>
          <w:lang w:val="en-GB"/>
        </w:rPr>
      </w:pPr>
      <w:r w:rsidRPr="7C53ED75">
        <w:rPr>
          <w:rFonts w:cs="Times New Roman"/>
          <w:noProof/>
          <w:lang w:val="en-GB"/>
        </w:rPr>
        <w:t xml:space="preserve">In particular, the simplification package will </w:t>
      </w:r>
      <w:r w:rsidR="0020322D" w:rsidRPr="7C53ED75">
        <w:rPr>
          <w:rFonts w:cs="Times New Roman"/>
          <w:b/>
          <w:bCs/>
          <w:noProof/>
          <w:lang w:val="en-GB"/>
        </w:rPr>
        <w:t xml:space="preserve">reduce </w:t>
      </w:r>
      <w:r w:rsidRPr="7C53ED75">
        <w:rPr>
          <w:rFonts w:cs="Times New Roman"/>
          <w:b/>
          <w:bCs/>
          <w:noProof/>
          <w:lang w:val="en-GB"/>
        </w:rPr>
        <w:t>enforcement costs linked to on-site controls</w:t>
      </w:r>
      <w:r w:rsidRPr="7C53ED75">
        <w:rPr>
          <w:rFonts w:cs="Times New Roman"/>
          <w:noProof/>
          <w:lang w:val="en-GB"/>
        </w:rPr>
        <w:t>. The revision of the IACS quality assessment</w:t>
      </w:r>
      <w:r w:rsidR="0020322D" w:rsidRPr="7C53ED75">
        <w:rPr>
          <w:rFonts w:cs="Times New Roman"/>
          <w:noProof/>
          <w:lang w:val="en-GB"/>
        </w:rPr>
        <w:t xml:space="preserve"> </w:t>
      </w:r>
      <w:r w:rsidRPr="7C53ED75">
        <w:rPr>
          <w:rFonts w:cs="Times New Roman"/>
          <w:noProof/>
          <w:lang w:val="en-GB"/>
        </w:rPr>
        <w:t xml:space="preserve">methodology </w:t>
      </w:r>
      <w:r w:rsidR="007A26DD" w:rsidRPr="7C53ED75">
        <w:rPr>
          <w:rFonts w:cs="Times New Roman"/>
          <w:noProof/>
          <w:lang w:val="en-GB"/>
        </w:rPr>
        <w:t xml:space="preserve">(measure A3 in Annex 1) </w:t>
      </w:r>
      <w:r w:rsidRPr="7C53ED75">
        <w:rPr>
          <w:rFonts w:cs="Times New Roman"/>
          <w:noProof/>
          <w:lang w:val="en-GB"/>
        </w:rPr>
        <w:t xml:space="preserve">and the removal of controls on conditionality for farms under 10 hectares </w:t>
      </w:r>
      <w:r w:rsidR="007A26DD" w:rsidRPr="7C53ED75">
        <w:rPr>
          <w:rFonts w:cs="Times New Roman"/>
          <w:noProof/>
          <w:lang w:val="en-GB"/>
        </w:rPr>
        <w:t xml:space="preserve">(measure </w:t>
      </w:r>
      <w:r w:rsidR="006B5A95" w:rsidRPr="7C53ED75">
        <w:rPr>
          <w:rFonts w:cs="Times New Roman"/>
          <w:noProof/>
          <w:lang w:val="en-GB"/>
        </w:rPr>
        <w:t xml:space="preserve">B.2 in Annex1) </w:t>
      </w:r>
      <w:r w:rsidRPr="7C53ED75">
        <w:rPr>
          <w:rFonts w:cs="Times New Roman"/>
          <w:noProof/>
          <w:lang w:val="en-GB"/>
        </w:rPr>
        <w:t xml:space="preserve">are estimated to result in </w:t>
      </w:r>
      <w:r w:rsidR="54BE07B9" w:rsidRPr="7C53ED75">
        <w:rPr>
          <w:rFonts w:cs="Times New Roman"/>
          <w:noProof/>
          <w:lang w:val="en-GB"/>
        </w:rPr>
        <w:t>annual</w:t>
      </w:r>
      <w:r w:rsidR="003B07F9" w:rsidRPr="7C53ED75">
        <w:rPr>
          <w:rFonts w:cs="Times New Roman"/>
          <w:noProof/>
          <w:lang w:val="en-GB"/>
        </w:rPr>
        <w:t xml:space="preserve"> </w:t>
      </w:r>
      <w:r w:rsidRPr="7C53ED75">
        <w:rPr>
          <w:rFonts w:cs="Times New Roman"/>
          <w:noProof/>
          <w:lang w:val="en-GB"/>
        </w:rPr>
        <w:t xml:space="preserve">cost savings </w:t>
      </w:r>
      <w:r w:rsidRPr="7C53ED75">
        <w:rPr>
          <w:rFonts w:eastAsiaTheme="minorEastAsia" w:cs="Times New Roman"/>
          <w:noProof/>
          <w:color w:val="000000" w:themeColor="text1"/>
          <w:lang w:val="en-GB"/>
        </w:rPr>
        <w:t>for national administrations</w:t>
      </w:r>
      <w:r w:rsidRPr="7C53ED75">
        <w:rPr>
          <w:rFonts w:cs="Times New Roman"/>
          <w:noProof/>
          <w:lang w:val="en-GB"/>
        </w:rPr>
        <w:t xml:space="preserve"> of </w:t>
      </w:r>
      <w:r w:rsidRPr="7C53ED75">
        <w:rPr>
          <w:rFonts w:eastAsiaTheme="minorEastAsia" w:cs="Times New Roman"/>
          <w:b/>
          <w:bCs/>
          <w:noProof/>
          <w:color w:val="000000" w:themeColor="text1"/>
          <w:lang w:val="en-GB"/>
        </w:rPr>
        <w:t>EUR 82.4 million and EUR 13.</w:t>
      </w:r>
      <w:r w:rsidR="00FF2816" w:rsidRPr="7C53ED75">
        <w:rPr>
          <w:rFonts w:eastAsiaTheme="minorEastAsia" w:cs="Times New Roman"/>
          <w:b/>
          <w:bCs/>
          <w:noProof/>
          <w:color w:val="000000" w:themeColor="text1"/>
          <w:lang w:val="en-GB"/>
        </w:rPr>
        <w:t>4</w:t>
      </w:r>
      <w:r w:rsidRPr="7C53ED75">
        <w:rPr>
          <w:rFonts w:eastAsiaTheme="minorEastAsia" w:cs="Times New Roman"/>
          <w:b/>
          <w:bCs/>
          <w:noProof/>
          <w:color w:val="000000" w:themeColor="text1"/>
          <w:lang w:val="en-GB"/>
        </w:rPr>
        <w:t xml:space="preserve"> million</w:t>
      </w:r>
      <w:r w:rsidR="0020322D" w:rsidRPr="7C53ED75">
        <w:rPr>
          <w:rFonts w:cs="Times New Roman"/>
          <w:noProof/>
          <w:lang w:val="en-GB"/>
        </w:rPr>
        <w:t xml:space="preserve"> respectively</w:t>
      </w:r>
      <w:r w:rsidRPr="7C53ED75">
        <w:rPr>
          <w:rFonts w:eastAsiaTheme="minorEastAsia" w:cs="Times New Roman"/>
          <w:noProof/>
          <w:color w:val="000000" w:themeColor="text1"/>
          <w:lang w:val="en-GB"/>
        </w:rPr>
        <w:t xml:space="preserve">, using average EU values for labour costs. Further actions contribute to the simplification of controls, </w:t>
      </w:r>
      <w:r w:rsidR="00361D51" w:rsidRPr="7C53ED75">
        <w:rPr>
          <w:rFonts w:cs="Times New Roman"/>
          <w:noProof/>
          <w:lang w:val="en-GB"/>
        </w:rPr>
        <w:t xml:space="preserve">such as </w:t>
      </w:r>
      <w:r w:rsidRPr="7C53ED75">
        <w:rPr>
          <w:rFonts w:cs="Times New Roman"/>
          <w:noProof/>
          <w:lang w:val="en-GB"/>
        </w:rPr>
        <w:t>digitalisation of procedures and the removal of the remaining ‘cross-compliance’ controls</w:t>
      </w:r>
      <w:r w:rsidR="00D763EE" w:rsidRPr="7C53ED75">
        <w:rPr>
          <w:rFonts w:cs="Times New Roman"/>
          <w:noProof/>
          <w:lang w:val="en-GB"/>
        </w:rPr>
        <w:t xml:space="preserve"> </w:t>
      </w:r>
      <w:r w:rsidR="00D763EE" w:rsidRPr="7C53ED75">
        <w:rPr>
          <w:rFonts w:eastAsiaTheme="minorEastAsia" w:cs="Times New Roman"/>
          <w:noProof/>
          <w:lang w:val="en-GB"/>
        </w:rPr>
        <w:t>(measure B.4 in Annex 1)</w:t>
      </w:r>
      <w:r w:rsidR="00361D51" w:rsidRPr="7C53ED75">
        <w:rPr>
          <w:rFonts w:cs="Times New Roman"/>
          <w:noProof/>
          <w:lang w:val="en-GB"/>
        </w:rPr>
        <w:t>, though these benefits could not be quantified</w:t>
      </w:r>
      <w:r w:rsidRPr="7C53ED75">
        <w:rPr>
          <w:rFonts w:cs="Times New Roman"/>
          <w:noProof/>
          <w:lang w:val="en-GB"/>
        </w:rPr>
        <w:t>.</w:t>
      </w:r>
    </w:p>
    <w:p w14:paraId="357C5D12" w14:textId="3C8197C2" w:rsidR="00110807" w:rsidRPr="00724676" w:rsidRDefault="00110807" w:rsidP="000C0B2E">
      <w:pPr>
        <w:spacing w:after="120"/>
        <w:jc w:val="both"/>
        <w:rPr>
          <w:rFonts w:cs="Times New Roman"/>
          <w:noProof/>
          <w:szCs w:val="24"/>
          <w:lang w:val="en-GB"/>
        </w:rPr>
      </w:pPr>
      <w:r w:rsidRPr="00724676">
        <w:rPr>
          <w:rFonts w:cs="Times New Roman"/>
          <w:noProof/>
          <w:szCs w:val="24"/>
          <w:lang w:val="en-GB"/>
        </w:rPr>
        <w:t xml:space="preserve">Automated IT processes </w:t>
      </w:r>
      <w:r w:rsidR="0020322D">
        <w:rPr>
          <w:rFonts w:cs="Times New Roman"/>
          <w:noProof/>
          <w:szCs w:val="24"/>
          <w:lang w:val="en-GB"/>
        </w:rPr>
        <w:t>to inform</w:t>
      </w:r>
      <w:r w:rsidRPr="00724676">
        <w:rPr>
          <w:rFonts w:cs="Times New Roman"/>
          <w:noProof/>
          <w:szCs w:val="24"/>
          <w:lang w:val="en-GB"/>
        </w:rPr>
        <w:t xml:space="preserve"> farmers of potential errors in applications will </w:t>
      </w:r>
      <w:r w:rsidR="0020322D">
        <w:rPr>
          <w:rFonts w:cs="Times New Roman"/>
          <w:b/>
          <w:bCs/>
          <w:noProof/>
          <w:szCs w:val="24"/>
          <w:lang w:val="en-GB"/>
        </w:rPr>
        <w:t>reduce</w:t>
      </w:r>
      <w:r w:rsidR="0020322D" w:rsidRPr="00724676">
        <w:rPr>
          <w:rFonts w:cs="Times New Roman"/>
          <w:b/>
          <w:bCs/>
          <w:noProof/>
          <w:szCs w:val="24"/>
          <w:lang w:val="en-GB"/>
        </w:rPr>
        <w:t xml:space="preserve"> </w:t>
      </w:r>
      <w:r w:rsidRPr="00724676">
        <w:rPr>
          <w:rFonts w:cs="Times New Roman"/>
          <w:b/>
          <w:bCs/>
          <w:noProof/>
          <w:szCs w:val="24"/>
          <w:lang w:val="en-GB"/>
        </w:rPr>
        <w:t>administrative check</w:t>
      </w:r>
      <w:r w:rsidRPr="006D5661">
        <w:rPr>
          <w:rFonts w:cs="Times New Roman"/>
          <w:b/>
          <w:bCs/>
          <w:noProof/>
          <w:szCs w:val="24"/>
          <w:lang w:val="en-GB"/>
        </w:rPr>
        <w:t>s</w:t>
      </w:r>
      <w:r w:rsidRPr="00724676">
        <w:rPr>
          <w:rFonts w:cs="Times New Roman"/>
          <w:noProof/>
          <w:szCs w:val="24"/>
          <w:lang w:val="en-GB"/>
        </w:rPr>
        <w:t xml:space="preserve"> by national administrations. </w:t>
      </w:r>
      <w:r w:rsidR="0020322D">
        <w:rPr>
          <w:rFonts w:cs="Times New Roman"/>
          <w:noProof/>
          <w:szCs w:val="24"/>
          <w:lang w:val="en-GB"/>
        </w:rPr>
        <w:t>C</w:t>
      </w:r>
      <w:r w:rsidRPr="00724676">
        <w:rPr>
          <w:rFonts w:cs="Times New Roman"/>
          <w:noProof/>
          <w:szCs w:val="24"/>
          <w:lang w:val="en-GB"/>
        </w:rPr>
        <w:t xml:space="preserve">larification of the concept of </w:t>
      </w:r>
      <w:r w:rsidRPr="00724676">
        <w:rPr>
          <w:rFonts w:cs="Times New Roman"/>
          <w:i/>
          <w:iCs/>
          <w:noProof/>
          <w:szCs w:val="24"/>
          <w:lang w:val="en-GB"/>
        </w:rPr>
        <w:t>force majeure</w:t>
      </w:r>
      <w:r w:rsidRPr="00724676">
        <w:rPr>
          <w:rFonts w:cs="Times New Roman"/>
          <w:noProof/>
          <w:szCs w:val="24"/>
          <w:lang w:val="en-GB"/>
        </w:rPr>
        <w:t xml:space="preserve"> </w:t>
      </w:r>
      <w:r w:rsidR="00BF428E" w:rsidRPr="00724676">
        <w:rPr>
          <w:rFonts w:cs="Times New Roman"/>
          <w:noProof/>
          <w:szCs w:val="24"/>
          <w:lang w:val="en-GB"/>
        </w:rPr>
        <w:t>(measure A.5 in Annex</w:t>
      </w:r>
      <w:r w:rsidR="0020322D">
        <w:rPr>
          <w:rFonts w:cs="Times New Roman"/>
          <w:noProof/>
          <w:szCs w:val="24"/>
          <w:lang w:val="en-GB"/>
        </w:rPr>
        <w:t xml:space="preserve"> </w:t>
      </w:r>
      <w:r w:rsidR="00BF428E" w:rsidRPr="00724676">
        <w:rPr>
          <w:rFonts w:cs="Times New Roman"/>
          <w:noProof/>
          <w:szCs w:val="24"/>
          <w:lang w:val="en-GB"/>
        </w:rPr>
        <w:t xml:space="preserve">1) </w:t>
      </w:r>
      <w:r w:rsidRPr="00724676">
        <w:rPr>
          <w:rFonts w:cs="Times New Roman"/>
          <w:noProof/>
          <w:szCs w:val="24"/>
          <w:lang w:val="en-GB"/>
        </w:rPr>
        <w:t>eliminates the need for case-by-case assessment</w:t>
      </w:r>
      <w:r w:rsidR="0020322D">
        <w:rPr>
          <w:rFonts w:cs="Times New Roman"/>
          <w:noProof/>
          <w:szCs w:val="24"/>
          <w:lang w:val="en-GB"/>
        </w:rPr>
        <w:t>s</w:t>
      </w:r>
      <w:r w:rsidRPr="00724676">
        <w:rPr>
          <w:rFonts w:cs="Times New Roman"/>
          <w:noProof/>
          <w:szCs w:val="24"/>
          <w:lang w:val="en-GB"/>
        </w:rPr>
        <w:t xml:space="preserve"> by national administrations, where the relevant elements proving the </w:t>
      </w:r>
      <w:r w:rsidR="00A24699" w:rsidRPr="00724676">
        <w:rPr>
          <w:rFonts w:cs="Times New Roman"/>
          <w:noProof/>
          <w:szCs w:val="24"/>
          <w:lang w:val="en-GB"/>
        </w:rPr>
        <w:t>adverse</w:t>
      </w:r>
      <w:r w:rsidR="00247D97" w:rsidRPr="00724676">
        <w:rPr>
          <w:rFonts w:cs="Times New Roman"/>
          <w:noProof/>
          <w:szCs w:val="24"/>
          <w:lang w:val="en-GB"/>
        </w:rPr>
        <w:t xml:space="preserve"> </w:t>
      </w:r>
      <w:r w:rsidRPr="00724676">
        <w:rPr>
          <w:rFonts w:cs="Times New Roman"/>
          <w:noProof/>
          <w:szCs w:val="24"/>
          <w:lang w:val="en-GB"/>
        </w:rPr>
        <w:t xml:space="preserve">event in an identifiable area </w:t>
      </w:r>
      <w:r w:rsidR="0020322D">
        <w:rPr>
          <w:rFonts w:cs="Times New Roman"/>
          <w:noProof/>
          <w:szCs w:val="24"/>
          <w:lang w:val="en-GB"/>
        </w:rPr>
        <w:t>have been</w:t>
      </w:r>
      <w:r w:rsidR="0020322D" w:rsidRPr="00724676">
        <w:rPr>
          <w:rFonts w:cs="Times New Roman"/>
          <w:noProof/>
          <w:szCs w:val="24"/>
          <w:lang w:val="en-GB"/>
        </w:rPr>
        <w:t xml:space="preserve"> </w:t>
      </w:r>
      <w:r w:rsidR="00247D97" w:rsidRPr="00724676">
        <w:rPr>
          <w:rFonts w:cs="Times New Roman"/>
          <w:noProof/>
          <w:szCs w:val="24"/>
          <w:lang w:val="en-GB"/>
        </w:rPr>
        <w:t>established</w:t>
      </w:r>
      <w:r w:rsidRPr="00724676">
        <w:rPr>
          <w:rFonts w:cs="Times New Roman"/>
          <w:noProof/>
          <w:szCs w:val="24"/>
          <w:lang w:val="en-GB"/>
        </w:rPr>
        <w:t xml:space="preserve">. This facilitates </w:t>
      </w:r>
      <w:r w:rsidR="0020322D">
        <w:rPr>
          <w:rFonts w:cs="Times New Roman"/>
          <w:noProof/>
          <w:szCs w:val="24"/>
          <w:lang w:val="en-GB"/>
        </w:rPr>
        <w:t xml:space="preserve">a Member State’s </w:t>
      </w:r>
      <w:r w:rsidRPr="00724676">
        <w:rPr>
          <w:rFonts w:cs="Times New Roman"/>
          <w:noProof/>
          <w:szCs w:val="24"/>
          <w:lang w:val="en-GB"/>
        </w:rPr>
        <w:t xml:space="preserve">response to such disturbances. The streamlined </w:t>
      </w:r>
      <w:r w:rsidR="0020322D">
        <w:rPr>
          <w:rFonts w:cs="Times New Roman"/>
          <w:noProof/>
          <w:szCs w:val="24"/>
          <w:lang w:val="en-GB"/>
        </w:rPr>
        <w:t xml:space="preserve">process to </w:t>
      </w:r>
      <w:r w:rsidRPr="00724676">
        <w:rPr>
          <w:rFonts w:cs="Times New Roman"/>
          <w:noProof/>
          <w:szCs w:val="24"/>
          <w:lang w:val="en-GB"/>
        </w:rPr>
        <w:t>approv</w:t>
      </w:r>
      <w:r w:rsidR="0020322D">
        <w:rPr>
          <w:rFonts w:cs="Times New Roman"/>
          <w:noProof/>
          <w:szCs w:val="24"/>
          <w:lang w:val="en-GB"/>
        </w:rPr>
        <w:t xml:space="preserve">e </w:t>
      </w:r>
      <w:r w:rsidRPr="00724676">
        <w:rPr>
          <w:rFonts w:cs="Times New Roman"/>
          <w:noProof/>
          <w:szCs w:val="24"/>
          <w:lang w:val="en-GB"/>
        </w:rPr>
        <w:t xml:space="preserve">CSP amendments </w:t>
      </w:r>
      <w:r w:rsidR="00BF428E" w:rsidRPr="00724676">
        <w:rPr>
          <w:rFonts w:cs="Times New Roman"/>
          <w:noProof/>
          <w:szCs w:val="24"/>
          <w:lang w:val="en-GB"/>
        </w:rPr>
        <w:t>(</w:t>
      </w:r>
      <w:r w:rsidR="009126A0" w:rsidRPr="00724676">
        <w:rPr>
          <w:rFonts w:cs="Times New Roman"/>
          <w:noProof/>
          <w:szCs w:val="24"/>
          <w:lang w:val="en-GB"/>
        </w:rPr>
        <w:t>measure A.9</w:t>
      </w:r>
      <w:r w:rsidR="0038229C" w:rsidRPr="00724676">
        <w:rPr>
          <w:rFonts w:cs="Times New Roman"/>
          <w:noProof/>
          <w:szCs w:val="24"/>
          <w:lang w:val="en-GB"/>
        </w:rPr>
        <w:t xml:space="preserve"> and B.5</w:t>
      </w:r>
      <w:r w:rsidR="009126A0" w:rsidRPr="00724676">
        <w:rPr>
          <w:rFonts w:cs="Times New Roman"/>
          <w:noProof/>
          <w:szCs w:val="24"/>
          <w:lang w:val="en-GB"/>
        </w:rPr>
        <w:t xml:space="preserve"> </w:t>
      </w:r>
      <w:r w:rsidR="009126A0" w:rsidRPr="0020322D">
        <w:rPr>
          <w:rFonts w:cs="Times New Roman"/>
          <w:noProof/>
          <w:szCs w:val="24"/>
          <w:lang w:val="en-GB"/>
        </w:rPr>
        <w:t xml:space="preserve">in Annex 1) </w:t>
      </w:r>
      <w:r w:rsidRPr="0020322D">
        <w:rPr>
          <w:rFonts w:cs="Times New Roman"/>
          <w:noProof/>
          <w:szCs w:val="24"/>
          <w:lang w:val="en-GB"/>
        </w:rPr>
        <w:t xml:space="preserve">and simplified descriptions of interventions will also contribute to </w:t>
      </w:r>
      <w:r w:rsidRPr="0020322D">
        <w:rPr>
          <w:rFonts w:cs="Times New Roman"/>
          <w:b/>
          <w:bCs/>
          <w:noProof/>
          <w:szCs w:val="24"/>
          <w:lang w:val="en-GB"/>
        </w:rPr>
        <w:t>lower administrative costs</w:t>
      </w:r>
      <w:r w:rsidRPr="0020322D">
        <w:rPr>
          <w:rFonts w:cs="Times New Roman"/>
          <w:noProof/>
          <w:szCs w:val="24"/>
          <w:lang w:val="en-GB"/>
        </w:rPr>
        <w:t xml:space="preserve"> for national administrations.</w:t>
      </w:r>
      <w:r w:rsidRPr="00724676">
        <w:rPr>
          <w:rFonts w:cs="Times New Roman"/>
          <w:noProof/>
          <w:szCs w:val="24"/>
          <w:lang w:val="en-GB"/>
        </w:rPr>
        <w:t xml:space="preserve">   </w:t>
      </w:r>
    </w:p>
    <w:p w14:paraId="19D4FF62" w14:textId="6D11D87C" w:rsidR="004603F6" w:rsidRPr="00724676" w:rsidRDefault="006143E7" w:rsidP="006807F6">
      <w:pPr>
        <w:pStyle w:val="Heading2"/>
        <w:spacing w:before="240"/>
        <w:rPr>
          <w:noProof/>
        </w:rPr>
      </w:pPr>
      <w:r w:rsidRPr="00724676">
        <w:rPr>
          <w:noProof/>
        </w:rPr>
        <w:fldChar w:fldCharType="begin"/>
      </w:r>
      <w:r w:rsidRPr="00724676">
        <w:rPr>
          <w:noProof/>
        </w:rPr>
        <w:fldChar w:fldCharType="end"/>
      </w:r>
      <w:bookmarkStart w:id="136" w:name="_Toc172125135"/>
      <w:r w:rsidR="00FC77A8" w:rsidRPr="00724676">
        <w:rPr>
          <w:noProof/>
        </w:rPr>
        <w:t xml:space="preserve">6.2 </w:t>
      </w:r>
      <w:r w:rsidR="00EB4833" w:rsidRPr="00724676">
        <w:rPr>
          <w:noProof/>
        </w:rPr>
        <w:t>Other e</w:t>
      </w:r>
      <w:r w:rsidR="004603F6" w:rsidRPr="00724676">
        <w:rPr>
          <w:noProof/>
        </w:rPr>
        <w:t>conomic impacts</w:t>
      </w:r>
      <w:bookmarkEnd w:id="136"/>
      <w:r w:rsidR="002325B6" w:rsidRPr="00724676">
        <w:rPr>
          <w:noProof/>
        </w:rPr>
        <w:t xml:space="preserve"> </w:t>
      </w:r>
    </w:p>
    <w:p w14:paraId="4D721F2B" w14:textId="78048CDB" w:rsidR="008A3DBD" w:rsidRPr="00724676" w:rsidRDefault="00376691" w:rsidP="001218ED">
      <w:pPr>
        <w:spacing w:after="120"/>
        <w:jc w:val="both"/>
        <w:rPr>
          <w:rFonts w:eastAsiaTheme="minorEastAsia" w:cs="Times New Roman"/>
          <w:noProof/>
          <w:szCs w:val="24"/>
          <w:lang w:val="en-GB"/>
        </w:rPr>
      </w:pPr>
      <w:r w:rsidRPr="00724676">
        <w:rPr>
          <w:rFonts w:eastAsiaTheme="minorEastAsia" w:cs="Times New Roman"/>
          <w:noProof/>
          <w:szCs w:val="24"/>
          <w:lang w:val="en-GB"/>
        </w:rPr>
        <w:t>The package</w:t>
      </w:r>
      <w:r w:rsidR="008758B9" w:rsidRPr="00724676">
        <w:rPr>
          <w:rFonts w:eastAsiaTheme="minorEastAsia" w:cs="Times New Roman"/>
          <w:noProof/>
          <w:szCs w:val="24"/>
          <w:lang w:val="en-GB"/>
        </w:rPr>
        <w:t xml:space="preserve"> of </w:t>
      </w:r>
      <w:r w:rsidRPr="00724676">
        <w:rPr>
          <w:rFonts w:eastAsiaTheme="minorEastAsia" w:cs="Times New Roman"/>
          <w:noProof/>
          <w:szCs w:val="24"/>
          <w:lang w:val="en-GB"/>
        </w:rPr>
        <w:t xml:space="preserve">measures </w:t>
      </w:r>
      <w:r w:rsidR="00EC6634" w:rsidRPr="00724676">
        <w:rPr>
          <w:rFonts w:eastAsiaTheme="minorEastAsia" w:cs="Times New Roman"/>
          <w:noProof/>
          <w:szCs w:val="24"/>
          <w:lang w:val="en-GB"/>
        </w:rPr>
        <w:t xml:space="preserve">reduces not only costs and </w:t>
      </w:r>
      <w:r w:rsidR="00784841" w:rsidRPr="00724676">
        <w:rPr>
          <w:rFonts w:eastAsiaTheme="minorEastAsia" w:cs="Times New Roman"/>
          <w:noProof/>
          <w:szCs w:val="24"/>
          <w:lang w:val="en-GB"/>
        </w:rPr>
        <w:t>risks</w:t>
      </w:r>
      <w:r w:rsidR="000336CA" w:rsidRPr="00724676">
        <w:rPr>
          <w:rFonts w:eastAsiaTheme="minorEastAsia" w:cs="Times New Roman"/>
          <w:noProof/>
          <w:szCs w:val="24"/>
          <w:lang w:val="en-GB"/>
        </w:rPr>
        <w:t xml:space="preserve"> due to changes i</w:t>
      </w:r>
      <w:r w:rsidR="00BF3BB5" w:rsidRPr="00724676">
        <w:rPr>
          <w:rFonts w:eastAsiaTheme="minorEastAsia" w:cs="Times New Roman"/>
          <w:noProof/>
          <w:szCs w:val="24"/>
          <w:lang w:val="en-GB"/>
        </w:rPr>
        <w:t xml:space="preserve">n </w:t>
      </w:r>
      <w:r w:rsidR="0020322D">
        <w:rPr>
          <w:rFonts w:eastAsiaTheme="minorEastAsia" w:cs="Times New Roman"/>
          <w:noProof/>
          <w:szCs w:val="24"/>
          <w:lang w:val="en-GB"/>
        </w:rPr>
        <w:t xml:space="preserve">the </w:t>
      </w:r>
      <w:r w:rsidR="00BF3BB5" w:rsidRPr="00724676">
        <w:rPr>
          <w:rFonts w:eastAsiaTheme="minorEastAsia" w:cs="Times New Roman"/>
          <w:noProof/>
          <w:szCs w:val="24"/>
          <w:lang w:val="en-GB"/>
        </w:rPr>
        <w:t>ad</w:t>
      </w:r>
      <w:r w:rsidR="006650A4" w:rsidRPr="00724676">
        <w:rPr>
          <w:rFonts w:eastAsiaTheme="minorEastAsia" w:cs="Times New Roman"/>
          <w:noProof/>
          <w:szCs w:val="24"/>
          <w:lang w:val="en-GB"/>
        </w:rPr>
        <w:t>ministrative burden</w:t>
      </w:r>
      <w:r w:rsidR="00784841" w:rsidRPr="00724676">
        <w:rPr>
          <w:rFonts w:eastAsiaTheme="minorEastAsia" w:cs="Times New Roman"/>
          <w:noProof/>
          <w:szCs w:val="24"/>
          <w:lang w:val="en-GB"/>
        </w:rPr>
        <w:t xml:space="preserve">, but also other </w:t>
      </w:r>
      <w:r w:rsidR="002171FB" w:rsidRPr="00724676">
        <w:rPr>
          <w:rFonts w:eastAsiaTheme="minorEastAsia" w:cs="Times New Roman"/>
          <w:noProof/>
          <w:szCs w:val="24"/>
          <w:lang w:val="en-GB"/>
        </w:rPr>
        <w:t>economic aspects.</w:t>
      </w:r>
      <w:r w:rsidR="00504A0E" w:rsidRPr="00724676">
        <w:rPr>
          <w:rFonts w:eastAsiaTheme="minorEastAsia" w:cs="Times New Roman"/>
          <w:noProof/>
          <w:szCs w:val="24"/>
          <w:lang w:val="en-GB"/>
        </w:rPr>
        <w:t xml:space="preserve"> </w:t>
      </w:r>
      <w:r w:rsidR="007302A8" w:rsidRPr="00724676">
        <w:rPr>
          <w:rFonts w:eastAsiaTheme="minorEastAsia" w:cs="Times New Roman"/>
          <w:noProof/>
          <w:szCs w:val="24"/>
          <w:lang w:val="en-GB"/>
        </w:rPr>
        <w:t xml:space="preserve">This is specifically </w:t>
      </w:r>
      <w:r w:rsidR="008758B9" w:rsidRPr="00724676">
        <w:rPr>
          <w:rFonts w:eastAsiaTheme="minorEastAsia" w:cs="Times New Roman"/>
          <w:noProof/>
          <w:szCs w:val="24"/>
          <w:lang w:val="en-GB"/>
        </w:rPr>
        <w:t xml:space="preserve">the </w:t>
      </w:r>
      <w:r w:rsidR="007302A8" w:rsidRPr="00724676">
        <w:rPr>
          <w:rFonts w:eastAsiaTheme="minorEastAsia" w:cs="Times New Roman"/>
          <w:noProof/>
          <w:szCs w:val="24"/>
          <w:lang w:val="en-GB"/>
        </w:rPr>
        <w:t xml:space="preserve">case for </w:t>
      </w:r>
      <w:r w:rsidR="00FC5B1B" w:rsidRPr="00724676">
        <w:rPr>
          <w:rFonts w:eastAsiaTheme="minorEastAsia" w:cs="Times New Roman"/>
          <w:noProof/>
          <w:szCs w:val="24"/>
          <w:lang w:val="en-GB"/>
        </w:rPr>
        <w:t xml:space="preserve">changes to the </w:t>
      </w:r>
      <w:r w:rsidR="00523AA0">
        <w:rPr>
          <w:rFonts w:eastAsiaTheme="minorEastAsia" w:cs="Times New Roman"/>
          <w:noProof/>
          <w:szCs w:val="24"/>
          <w:lang w:val="en-GB"/>
        </w:rPr>
        <w:t>CAP Plans</w:t>
      </w:r>
      <w:r w:rsidR="00F21F7C" w:rsidRPr="00724676">
        <w:rPr>
          <w:rFonts w:eastAsiaTheme="minorEastAsia" w:cs="Times New Roman"/>
          <w:noProof/>
          <w:szCs w:val="24"/>
          <w:lang w:val="en-GB"/>
        </w:rPr>
        <w:t xml:space="preserve">’ </w:t>
      </w:r>
      <w:r w:rsidR="00FC5B1B" w:rsidRPr="00724676">
        <w:rPr>
          <w:rFonts w:eastAsiaTheme="minorEastAsia" w:cs="Times New Roman"/>
          <w:noProof/>
          <w:szCs w:val="24"/>
          <w:lang w:val="en-GB"/>
        </w:rPr>
        <w:t>green</w:t>
      </w:r>
      <w:r w:rsidR="00905E24" w:rsidRPr="00724676">
        <w:rPr>
          <w:rFonts w:eastAsiaTheme="minorEastAsia" w:cs="Times New Roman"/>
          <w:noProof/>
          <w:szCs w:val="24"/>
          <w:lang w:val="en-GB"/>
        </w:rPr>
        <w:t xml:space="preserve"> </w:t>
      </w:r>
      <w:r w:rsidR="00FC5B1B" w:rsidRPr="00724676">
        <w:rPr>
          <w:rFonts w:eastAsiaTheme="minorEastAsia" w:cs="Times New Roman"/>
          <w:noProof/>
          <w:szCs w:val="24"/>
          <w:lang w:val="en-GB"/>
        </w:rPr>
        <w:t xml:space="preserve">architecture. </w:t>
      </w:r>
      <w:r w:rsidR="00492C4D" w:rsidRPr="00724676">
        <w:rPr>
          <w:rFonts w:eastAsiaTheme="minorEastAsia" w:cs="Times New Roman"/>
          <w:noProof/>
          <w:szCs w:val="24"/>
          <w:lang w:val="en-GB"/>
        </w:rPr>
        <w:t xml:space="preserve">Due to </w:t>
      </w:r>
      <w:r w:rsidR="00993CAA" w:rsidRPr="00724676">
        <w:rPr>
          <w:rFonts w:eastAsiaTheme="minorEastAsia" w:cs="Times New Roman"/>
          <w:noProof/>
          <w:szCs w:val="24"/>
          <w:lang w:val="en-GB"/>
        </w:rPr>
        <w:t xml:space="preserve">difficulties </w:t>
      </w:r>
      <w:r w:rsidR="00D6536A" w:rsidRPr="00724676">
        <w:rPr>
          <w:rFonts w:eastAsiaTheme="minorEastAsia" w:cs="Times New Roman"/>
          <w:noProof/>
          <w:szCs w:val="24"/>
          <w:lang w:val="en-GB"/>
        </w:rPr>
        <w:t>in quantifying the</w:t>
      </w:r>
      <w:r w:rsidR="008758B9" w:rsidRPr="00724676">
        <w:rPr>
          <w:rFonts w:eastAsiaTheme="minorEastAsia" w:cs="Times New Roman"/>
          <w:noProof/>
          <w:szCs w:val="24"/>
          <w:lang w:val="en-GB"/>
        </w:rPr>
        <w:t xml:space="preserve"> imp</w:t>
      </w:r>
      <w:r w:rsidR="008A3DBD" w:rsidRPr="00724676">
        <w:rPr>
          <w:rFonts w:eastAsiaTheme="minorEastAsia" w:cs="Times New Roman"/>
          <w:noProof/>
          <w:szCs w:val="24"/>
          <w:lang w:val="en-GB"/>
        </w:rPr>
        <w:t>acts</w:t>
      </w:r>
      <w:r w:rsidR="00FC77A8" w:rsidRPr="00724676">
        <w:rPr>
          <w:rFonts w:eastAsiaTheme="minorEastAsia" w:cs="Times New Roman"/>
          <w:noProof/>
          <w:szCs w:val="24"/>
          <w:lang w:val="en-GB"/>
        </w:rPr>
        <w:t xml:space="preserve"> </w:t>
      </w:r>
      <w:r w:rsidR="00226970" w:rsidRPr="00724676">
        <w:rPr>
          <w:rFonts w:eastAsiaTheme="minorEastAsia" w:cs="Times New Roman"/>
          <w:noProof/>
          <w:szCs w:val="24"/>
          <w:lang w:val="en-GB"/>
        </w:rPr>
        <w:t>of</w:t>
      </w:r>
      <w:r w:rsidR="00FC77A8" w:rsidRPr="00724676">
        <w:rPr>
          <w:rFonts w:eastAsiaTheme="minorEastAsia" w:cs="Times New Roman"/>
          <w:noProof/>
          <w:szCs w:val="24"/>
          <w:lang w:val="en-GB"/>
        </w:rPr>
        <w:t xml:space="preserve"> the </w:t>
      </w:r>
      <w:r w:rsidR="00282524" w:rsidRPr="00724676">
        <w:rPr>
          <w:rFonts w:eastAsiaTheme="minorEastAsia" w:cs="Times New Roman"/>
          <w:noProof/>
          <w:szCs w:val="24"/>
          <w:lang w:val="en-GB"/>
        </w:rPr>
        <w:t xml:space="preserve">changes </w:t>
      </w:r>
      <w:r w:rsidR="001609FF" w:rsidRPr="00724676">
        <w:rPr>
          <w:rFonts w:eastAsiaTheme="minorEastAsia" w:cs="Times New Roman"/>
          <w:noProof/>
          <w:szCs w:val="24"/>
          <w:lang w:val="en-GB"/>
        </w:rPr>
        <w:t>made to</w:t>
      </w:r>
      <w:r w:rsidR="00282524" w:rsidRPr="00724676">
        <w:rPr>
          <w:rFonts w:eastAsiaTheme="minorEastAsia" w:cs="Times New Roman"/>
          <w:noProof/>
          <w:szCs w:val="24"/>
          <w:lang w:val="en-GB"/>
        </w:rPr>
        <w:t xml:space="preserve"> </w:t>
      </w:r>
      <w:r w:rsidR="0020322D">
        <w:rPr>
          <w:rFonts w:eastAsiaTheme="minorEastAsia" w:cs="Times New Roman"/>
          <w:noProof/>
          <w:szCs w:val="24"/>
          <w:lang w:val="en-GB"/>
        </w:rPr>
        <w:t xml:space="preserve">the </w:t>
      </w:r>
      <w:r w:rsidR="00523AA0">
        <w:rPr>
          <w:rFonts w:eastAsiaTheme="minorEastAsia" w:cs="Times New Roman"/>
          <w:noProof/>
          <w:szCs w:val="24"/>
          <w:lang w:val="en-GB"/>
        </w:rPr>
        <w:t>CAP Plans</w:t>
      </w:r>
      <w:r w:rsidR="00232A39" w:rsidRPr="00724676">
        <w:rPr>
          <w:rFonts w:eastAsiaTheme="minorEastAsia" w:cs="Times New Roman"/>
          <w:noProof/>
          <w:szCs w:val="24"/>
          <w:lang w:val="en-GB"/>
        </w:rPr>
        <w:t>’</w:t>
      </w:r>
      <w:r w:rsidR="00282524" w:rsidRPr="00724676">
        <w:rPr>
          <w:rFonts w:eastAsiaTheme="minorEastAsia" w:cs="Times New Roman"/>
          <w:noProof/>
          <w:szCs w:val="24"/>
          <w:lang w:val="en-GB"/>
        </w:rPr>
        <w:t xml:space="preserve"> </w:t>
      </w:r>
      <w:r w:rsidR="00FC77A8" w:rsidRPr="00724676">
        <w:rPr>
          <w:rFonts w:eastAsiaTheme="minorEastAsia" w:cs="Times New Roman"/>
          <w:noProof/>
          <w:szCs w:val="24"/>
          <w:lang w:val="en-GB"/>
        </w:rPr>
        <w:t>green architecture</w:t>
      </w:r>
      <w:r w:rsidR="008A3DBD" w:rsidRPr="00724676">
        <w:rPr>
          <w:rFonts w:eastAsiaTheme="minorEastAsia" w:cs="Times New Roman"/>
          <w:noProof/>
          <w:szCs w:val="24"/>
          <w:lang w:val="en-GB"/>
        </w:rPr>
        <w:t xml:space="preserve"> </w:t>
      </w:r>
      <w:r w:rsidR="008E79CF" w:rsidRPr="00724676">
        <w:rPr>
          <w:rFonts w:eastAsiaTheme="minorEastAsia" w:cs="Times New Roman"/>
          <w:noProof/>
          <w:szCs w:val="24"/>
          <w:lang w:val="en-GB"/>
        </w:rPr>
        <w:t xml:space="preserve">in </w:t>
      </w:r>
      <w:r w:rsidR="00E46A57" w:rsidRPr="00724676">
        <w:rPr>
          <w:rFonts w:eastAsiaTheme="minorEastAsia" w:cs="Times New Roman"/>
          <w:noProof/>
          <w:szCs w:val="24"/>
          <w:lang w:val="en-GB"/>
        </w:rPr>
        <w:t>many cases</w:t>
      </w:r>
      <w:r w:rsidR="00401D95" w:rsidRPr="00724676">
        <w:rPr>
          <w:rFonts w:eastAsiaTheme="minorEastAsia" w:cs="Times New Roman"/>
          <w:noProof/>
          <w:szCs w:val="24"/>
          <w:lang w:val="en-GB"/>
        </w:rPr>
        <w:t xml:space="preserve">, </w:t>
      </w:r>
      <w:r w:rsidR="009808D9" w:rsidRPr="00724676">
        <w:rPr>
          <w:rFonts w:eastAsiaTheme="minorEastAsia" w:cs="Times New Roman"/>
          <w:noProof/>
          <w:szCs w:val="24"/>
          <w:lang w:val="en-GB"/>
        </w:rPr>
        <w:t>a</w:t>
      </w:r>
      <w:r w:rsidR="00401D95" w:rsidRPr="00724676">
        <w:rPr>
          <w:rFonts w:eastAsiaTheme="minorEastAsia" w:cs="Times New Roman"/>
          <w:noProof/>
          <w:szCs w:val="24"/>
          <w:lang w:val="en-GB"/>
        </w:rPr>
        <w:t xml:space="preserve"> qualitative </w:t>
      </w:r>
      <w:r w:rsidR="009808D9" w:rsidRPr="00724676">
        <w:rPr>
          <w:rFonts w:eastAsiaTheme="minorEastAsia" w:cs="Times New Roman"/>
          <w:noProof/>
          <w:szCs w:val="24"/>
          <w:lang w:val="en-GB"/>
        </w:rPr>
        <w:t>assessment is provided</w:t>
      </w:r>
      <w:r w:rsidR="00401D95" w:rsidRPr="00724676">
        <w:rPr>
          <w:rFonts w:eastAsiaTheme="minorEastAsia" w:cs="Times New Roman"/>
          <w:noProof/>
          <w:szCs w:val="24"/>
          <w:lang w:val="en-GB"/>
        </w:rPr>
        <w:t>.</w:t>
      </w:r>
      <w:r w:rsidR="008A3DBD" w:rsidRPr="00724676">
        <w:rPr>
          <w:rFonts w:eastAsiaTheme="minorEastAsia" w:cs="Times New Roman"/>
          <w:noProof/>
          <w:szCs w:val="24"/>
          <w:lang w:val="en-GB"/>
        </w:rPr>
        <w:t xml:space="preserve"> </w:t>
      </w:r>
    </w:p>
    <w:p w14:paraId="03494A51" w14:textId="3878E0B6" w:rsidR="00647876" w:rsidRPr="00724676" w:rsidRDefault="00621FD5" w:rsidP="00647876">
      <w:pPr>
        <w:spacing w:after="120"/>
        <w:jc w:val="both"/>
        <w:rPr>
          <w:rFonts w:eastAsiaTheme="minorEastAsia" w:cs="Times New Roman"/>
          <w:noProof/>
          <w:lang w:val="en-GB"/>
        </w:rPr>
      </w:pPr>
      <w:r w:rsidRPr="6FE283EC">
        <w:rPr>
          <w:rFonts w:eastAsiaTheme="minorEastAsia" w:cs="Times New Roman"/>
          <w:noProof/>
          <w:lang w:val="en-GB"/>
        </w:rPr>
        <w:t>Changes to the</w:t>
      </w:r>
      <w:r w:rsidR="00647876" w:rsidRPr="6FE283EC">
        <w:rPr>
          <w:rFonts w:eastAsiaTheme="minorEastAsia" w:cs="Times New Roman"/>
          <w:noProof/>
          <w:lang w:val="en-GB"/>
        </w:rPr>
        <w:t xml:space="preserve"> rules under </w:t>
      </w:r>
      <w:r w:rsidR="00647876" w:rsidRPr="6FE283EC">
        <w:rPr>
          <w:rFonts w:eastAsiaTheme="minorEastAsia" w:cs="Times New Roman"/>
          <w:b/>
          <w:noProof/>
          <w:lang w:val="en-GB"/>
        </w:rPr>
        <w:t>GAEC 1 (permanent grassland</w:t>
      </w:r>
      <w:r w:rsidR="00F35677" w:rsidRPr="6FE283EC">
        <w:rPr>
          <w:rFonts w:eastAsiaTheme="minorEastAsia" w:cs="Times New Roman"/>
          <w:b/>
          <w:noProof/>
          <w:lang w:val="en-GB"/>
        </w:rPr>
        <w:t>s</w:t>
      </w:r>
      <w:r w:rsidR="00647876" w:rsidRPr="6FE283EC">
        <w:rPr>
          <w:rFonts w:eastAsiaTheme="minorEastAsia" w:cs="Times New Roman"/>
          <w:b/>
          <w:noProof/>
          <w:lang w:val="en-GB"/>
        </w:rPr>
        <w:t xml:space="preserve"> –</w:t>
      </w:r>
      <w:r w:rsidR="00D046A5" w:rsidRPr="6FE283EC">
        <w:rPr>
          <w:rFonts w:eastAsiaTheme="minorEastAsia" w:cs="Times New Roman"/>
          <w:b/>
          <w:noProof/>
          <w:lang w:val="en-GB"/>
        </w:rPr>
        <w:t xml:space="preserve"> </w:t>
      </w:r>
      <w:r w:rsidR="003354C6" w:rsidRPr="6FE283EC">
        <w:rPr>
          <w:rFonts w:eastAsiaTheme="minorEastAsia" w:cs="Times New Roman"/>
          <w:b/>
          <w:noProof/>
          <w:lang w:val="en-GB"/>
        </w:rPr>
        <w:t xml:space="preserve">maintenance of a </w:t>
      </w:r>
      <w:r w:rsidR="00647876" w:rsidRPr="6FE283EC">
        <w:rPr>
          <w:rFonts w:eastAsiaTheme="minorEastAsia" w:cs="Times New Roman"/>
          <w:b/>
          <w:noProof/>
          <w:lang w:val="en-GB"/>
        </w:rPr>
        <w:t>ratio</w:t>
      </w:r>
      <w:r w:rsidR="7017771F" w:rsidRPr="6FE283EC">
        <w:rPr>
          <w:rFonts w:eastAsiaTheme="minorEastAsia" w:cs="Times New Roman"/>
          <w:b/>
          <w:noProof/>
          <w:lang w:val="en-GB"/>
        </w:rPr>
        <w:t>,</w:t>
      </w:r>
      <w:r w:rsidR="001609FF" w:rsidRPr="6FE283EC">
        <w:rPr>
          <w:rFonts w:eastAsiaTheme="minorEastAsia" w:cs="Times New Roman"/>
          <w:b/>
          <w:noProof/>
          <w:lang w:val="en-GB"/>
        </w:rPr>
        <w:t xml:space="preserve"> </w:t>
      </w:r>
      <w:r w:rsidR="001609FF" w:rsidRPr="003E7CF4">
        <w:rPr>
          <w:rFonts w:eastAsiaTheme="minorEastAsia" w:cs="Times New Roman"/>
          <w:noProof/>
          <w:lang w:val="en-GB"/>
        </w:rPr>
        <w:t>measure A.1 in Annex 1</w:t>
      </w:r>
      <w:r w:rsidR="00647876" w:rsidRPr="6FE283EC">
        <w:rPr>
          <w:rFonts w:eastAsiaTheme="minorEastAsia" w:cs="Times New Roman"/>
          <w:b/>
          <w:noProof/>
          <w:lang w:val="en-GB"/>
        </w:rPr>
        <w:t>)</w:t>
      </w:r>
      <w:r w:rsidR="00647876" w:rsidRPr="6FE283EC">
        <w:rPr>
          <w:rFonts w:eastAsiaTheme="minorEastAsia" w:cs="Times New Roman"/>
          <w:noProof/>
          <w:lang w:val="en-GB"/>
        </w:rPr>
        <w:t xml:space="preserve"> gave Member States the possibility to </w:t>
      </w:r>
      <w:r w:rsidR="00647876" w:rsidRPr="6FE283EC">
        <w:rPr>
          <w:rFonts w:eastAsiaTheme="minorEastAsia" w:cs="Times New Roman"/>
          <w:b/>
          <w:noProof/>
          <w:lang w:val="en-GB"/>
        </w:rPr>
        <w:t>better integrate structural changes</w:t>
      </w:r>
      <w:r w:rsidR="00647876" w:rsidRPr="6FE283EC">
        <w:rPr>
          <w:rFonts w:eastAsiaTheme="minorEastAsia" w:cs="Times New Roman"/>
          <w:noProof/>
          <w:lang w:val="en-GB"/>
        </w:rPr>
        <w:t xml:space="preserve"> </w:t>
      </w:r>
      <w:r w:rsidR="00E51334" w:rsidRPr="6FE283EC">
        <w:rPr>
          <w:rFonts w:eastAsiaTheme="minorEastAsia" w:cs="Times New Roman"/>
          <w:noProof/>
          <w:lang w:val="en-GB"/>
        </w:rPr>
        <w:t xml:space="preserve">with the needs of </w:t>
      </w:r>
      <w:r w:rsidR="00647876" w:rsidRPr="6FE283EC">
        <w:rPr>
          <w:rFonts w:eastAsiaTheme="minorEastAsia" w:cs="Times New Roman"/>
          <w:noProof/>
          <w:lang w:val="en-GB"/>
        </w:rPr>
        <w:t xml:space="preserve">farmers to </w:t>
      </w:r>
      <w:r w:rsidR="00647876" w:rsidRPr="6FE283EC">
        <w:rPr>
          <w:rFonts w:eastAsiaTheme="minorEastAsia" w:cs="Times New Roman"/>
          <w:b/>
          <w:noProof/>
          <w:lang w:val="en-GB"/>
        </w:rPr>
        <w:t>manage</w:t>
      </w:r>
      <w:r w:rsidR="00647876" w:rsidRPr="6FE283EC" w:rsidDel="00E43CAE">
        <w:rPr>
          <w:rFonts w:eastAsiaTheme="minorEastAsia" w:cs="Times New Roman"/>
          <w:b/>
          <w:noProof/>
          <w:lang w:val="en-GB"/>
        </w:rPr>
        <w:t xml:space="preserve"> </w:t>
      </w:r>
      <w:r w:rsidR="00647876" w:rsidRPr="6FE283EC">
        <w:rPr>
          <w:rFonts w:eastAsiaTheme="minorEastAsia" w:cs="Times New Roman"/>
          <w:b/>
          <w:noProof/>
          <w:lang w:val="en-GB"/>
        </w:rPr>
        <w:t>their farms</w:t>
      </w:r>
      <w:r w:rsidR="00647876" w:rsidRPr="6FE283EC">
        <w:rPr>
          <w:rFonts w:eastAsiaTheme="minorEastAsia" w:cs="Times New Roman"/>
          <w:noProof/>
          <w:lang w:val="en-GB"/>
        </w:rPr>
        <w:t xml:space="preserve"> in response to </w:t>
      </w:r>
      <w:r w:rsidR="00647876" w:rsidRPr="6FE283EC">
        <w:rPr>
          <w:rFonts w:eastAsiaTheme="minorEastAsia" w:cs="Times New Roman"/>
          <w:b/>
          <w:noProof/>
          <w:lang w:val="en-GB"/>
        </w:rPr>
        <w:t>market developments</w:t>
      </w:r>
      <w:r w:rsidR="00647876" w:rsidRPr="6FE283EC">
        <w:rPr>
          <w:rFonts w:eastAsiaTheme="minorEastAsia" w:cs="Times New Roman"/>
          <w:noProof/>
          <w:lang w:val="en-GB"/>
        </w:rPr>
        <w:t xml:space="preserve">. </w:t>
      </w:r>
      <w:r w:rsidR="00E51334" w:rsidRPr="6FE283EC">
        <w:rPr>
          <w:rFonts w:eastAsiaTheme="minorEastAsia" w:cs="Times New Roman"/>
          <w:noProof/>
          <w:lang w:val="en-GB"/>
        </w:rPr>
        <w:t>I</w:t>
      </w:r>
      <w:r w:rsidR="00647876" w:rsidRPr="6FE283EC">
        <w:rPr>
          <w:rFonts w:eastAsiaTheme="minorEastAsia" w:cs="Times New Roman"/>
          <w:noProof/>
          <w:lang w:val="en-GB"/>
        </w:rPr>
        <w:t xml:space="preserve">t will be possible </w:t>
      </w:r>
      <w:r w:rsidR="00E51334" w:rsidRPr="6FE283EC">
        <w:rPr>
          <w:rFonts w:eastAsiaTheme="minorEastAsia" w:cs="Times New Roman"/>
          <w:noProof/>
          <w:lang w:val="en-GB"/>
        </w:rPr>
        <w:t xml:space="preserve">for national administrations </w:t>
      </w:r>
      <w:r w:rsidR="00647876" w:rsidRPr="6FE283EC">
        <w:rPr>
          <w:rFonts w:eastAsiaTheme="minorEastAsia" w:cs="Times New Roman"/>
          <w:noProof/>
          <w:lang w:val="en-GB"/>
        </w:rPr>
        <w:t xml:space="preserve">to react to the effects of such changes in a tailor-made way, while the objective </w:t>
      </w:r>
      <w:r w:rsidR="0076423F" w:rsidRPr="6FE283EC">
        <w:rPr>
          <w:rFonts w:eastAsiaTheme="minorEastAsia" w:cs="Times New Roman"/>
          <w:noProof/>
          <w:lang w:val="en-GB"/>
        </w:rPr>
        <w:t xml:space="preserve">of </w:t>
      </w:r>
      <w:r w:rsidR="00647876" w:rsidRPr="6FE283EC">
        <w:rPr>
          <w:rFonts w:eastAsiaTheme="minorEastAsia" w:cs="Times New Roman"/>
          <w:noProof/>
          <w:lang w:val="en-GB"/>
        </w:rPr>
        <w:t>the standard</w:t>
      </w:r>
      <w:r w:rsidR="00740B79" w:rsidRPr="6FE283EC">
        <w:rPr>
          <w:rFonts w:eastAsiaTheme="minorEastAsia" w:cs="Times New Roman"/>
          <w:noProof/>
          <w:lang w:val="en-GB"/>
        </w:rPr>
        <w:t xml:space="preserve"> (climate change mitigation)</w:t>
      </w:r>
      <w:r w:rsidR="00647876" w:rsidRPr="6FE283EC">
        <w:rPr>
          <w:rFonts w:eastAsiaTheme="minorEastAsia" w:cs="Times New Roman"/>
          <w:noProof/>
          <w:lang w:val="en-GB"/>
        </w:rPr>
        <w:t xml:space="preserve"> is respected. More precisely: </w:t>
      </w:r>
    </w:p>
    <w:p w14:paraId="2DB4B349" w14:textId="31BA4954" w:rsidR="00647876" w:rsidRPr="00724676" w:rsidRDefault="00647876" w:rsidP="00261DD7">
      <w:pPr>
        <w:pStyle w:val="ListParagraph"/>
        <w:numPr>
          <w:ilvl w:val="0"/>
          <w:numId w:val="8"/>
        </w:numPr>
        <w:spacing w:after="120"/>
        <w:ind w:left="714" w:hanging="357"/>
        <w:contextualSpacing w:val="0"/>
        <w:jc w:val="both"/>
        <w:rPr>
          <w:rFonts w:eastAsiaTheme="minorEastAsia" w:cs="Times New Roman"/>
          <w:b/>
          <w:noProof/>
          <w:szCs w:val="24"/>
          <w:lang w:val="en-GB"/>
        </w:rPr>
      </w:pPr>
      <w:r w:rsidRPr="00724676">
        <w:rPr>
          <w:rFonts w:eastAsiaTheme="minorEastAsia" w:cs="Times New Roman"/>
          <w:noProof/>
          <w:szCs w:val="24"/>
          <w:lang w:val="en-GB"/>
        </w:rPr>
        <w:t>When market development</w:t>
      </w:r>
      <w:r w:rsidR="00DD071E" w:rsidRPr="00724676">
        <w:rPr>
          <w:rFonts w:eastAsiaTheme="minorEastAsia" w:cs="Times New Roman"/>
          <w:noProof/>
          <w:szCs w:val="24"/>
          <w:lang w:val="en-GB"/>
        </w:rPr>
        <w:t>s</w:t>
      </w:r>
      <w:r w:rsidRPr="00724676">
        <w:rPr>
          <w:rFonts w:eastAsiaTheme="minorEastAsia" w:cs="Times New Roman"/>
          <w:noProof/>
          <w:szCs w:val="24"/>
          <w:lang w:val="en-GB"/>
        </w:rPr>
        <w:t xml:space="preserve"> force farmers to abandon or reduce livestock production and consequently </w:t>
      </w:r>
      <w:bookmarkStart w:id="137" w:name="_Hlk175400516"/>
      <w:r w:rsidRPr="00724676">
        <w:rPr>
          <w:rFonts w:eastAsiaTheme="minorEastAsia" w:cs="Times New Roman"/>
          <w:noProof/>
          <w:szCs w:val="24"/>
          <w:lang w:val="en-GB"/>
        </w:rPr>
        <w:t xml:space="preserve">– </w:t>
      </w:r>
      <w:bookmarkEnd w:id="137"/>
      <w:r w:rsidRPr="00724676">
        <w:rPr>
          <w:rFonts w:eastAsiaTheme="minorEastAsia" w:cs="Times New Roman"/>
          <w:noProof/>
          <w:szCs w:val="24"/>
          <w:lang w:val="en-GB"/>
        </w:rPr>
        <w:t xml:space="preserve">because </w:t>
      </w:r>
      <w:r w:rsidR="00E51334">
        <w:rPr>
          <w:rFonts w:eastAsiaTheme="minorEastAsia" w:cs="Times New Roman"/>
          <w:noProof/>
          <w:szCs w:val="24"/>
          <w:lang w:val="en-GB"/>
        </w:rPr>
        <w:t>the</w:t>
      </w:r>
      <w:r w:rsidRPr="00724676">
        <w:rPr>
          <w:rFonts w:eastAsiaTheme="minorEastAsia" w:cs="Times New Roman"/>
          <w:noProof/>
          <w:szCs w:val="24"/>
          <w:lang w:val="en-GB"/>
        </w:rPr>
        <w:t xml:space="preserve"> need to feed livestock</w:t>
      </w:r>
      <w:r w:rsidR="00E51334">
        <w:rPr>
          <w:rFonts w:eastAsiaTheme="minorEastAsia" w:cs="Times New Roman"/>
          <w:noProof/>
          <w:szCs w:val="24"/>
          <w:lang w:val="en-GB"/>
        </w:rPr>
        <w:t xml:space="preserve"> has been reduced or eliminated</w:t>
      </w:r>
      <w:r w:rsidRPr="00724676">
        <w:rPr>
          <w:rFonts w:eastAsiaTheme="minorEastAsia" w:cs="Times New Roman"/>
          <w:noProof/>
          <w:szCs w:val="24"/>
          <w:lang w:val="en-GB"/>
        </w:rPr>
        <w:t xml:space="preserve"> </w:t>
      </w:r>
      <w:r w:rsidR="00E51334" w:rsidRPr="00E51334">
        <w:rPr>
          <w:rFonts w:eastAsiaTheme="minorEastAsia" w:cs="Times New Roman"/>
          <w:noProof/>
          <w:szCs w:val="24"/>
          <w:lang w:val="en-GB"/>
        </w:rPr>
        <w:t xml:space="preserve">– </w:t>
      </w:r>
      <w:r w:rsidRPr="00724676">
        <w:rPr>
          <w:rFonts w:eastAsiaTheme="minorEastAsia" w:cs="Times New Roman"/>
          <w:noProof/>
          <w:szCs w:val="24"/>
          <w:lang w:val="en-GB"/>
        </w:rPr>
        <w:t xml:space="preserve">shift production away from grassland and herbaceous fodder towards arable crops, the provisions will allow Member States to adjust the </w:t>
      </w:r>
      <w:r w:rsidR="00F35677" w:rsidRPr="00724676">
        <w:rPr>
          <w:rFonts w:eastAsiaTheme="minorEastAsia" w:cs="Times New Roman"/>
          <w:noProof/>
          <w:szCs w:val="24"/>
          <w:lang w:val="en-GB"/>
        </w:rPr>
        <w:t xml:space="preserve">2018 </w:t>
      </w:r>
      <w:r w:rsidRPr="00724676">
        <w:rPr>
          <w:rFonts w:eastAsiaTheme="minorEastAsia" w:cs="Times New Roman"/>
          <w:noProof/>
          <w:szCs w:val="24"/>
          <w:lang w:val="en-GB"/>
        </w:rPr>
        <w:t>reference ratio. This should prevent</w:t>
      </w:r>
      <w:r w:rsidRPr="00724676">
        <w:rPr>
          <w:rFonts w:eastAsiaTheme="minorEastAsia" w:cs="Times New Roman"/>
          <w:bCs/>
          <w:noProof/>
          <w:szCs w:val="24"/>
          <w:lang w:val="en-GB"/>
        </w:rPr>
        <w:t xml:space="preserve"> </w:t>
      </w:r>
      <w:r w:rsidRPr="00724676">
        <w:rPr>
          <w:rFonts w:eastAsiaTheme="minorEastAsia" w:cs="Times New Roman"/>
          <w:noProof/>
          <w:szCs w:val="24"/>
          <w:lang w:val="en-GB"/>
        </w:rPr>
        <w:t xml:space="preserve">farmers from </w:t>
      </w:r>
      <w:r w:rsidR="00F35677" w:rsidRPr="00724676">
        <w:rPr>
          <w:rFonts w:eastAsiaTheme="minorEastAsia" w:cs="Times New Roman"/>
          <w:noProof/>
          <w:szCs w:val="24"/>
          <w:lang w:val="en-GB"/>
        </w:rPr>
        <w:t>being required</w:t>
      </w:r>
      <w:r w:rsidRPr="00724676">
        <w:rPr>
          <w:rFonts w:eastAsiaTheme="minorEastAsia" w:cs="Times New Roman"/>
          <w:noProof/>
          <w:szCs w:val="24"/>
          <w:lang w:val="en-GB"/>
        </w:rPr>
        <w:t xml:space="preserve"> to re-establish permanent grassland</w:t>
      </w:r>
      <w:r w:rsidR="00240B8C" w:rsidRPr="00724676">
        <w:rPr>
          <w:rFonts w:eastAsiaTheme="minorEastAsia" w:cs="Times New Roman"/>
          <w:noProof/>
          <w:szCs w:val="24"/>
          <w:lang w:val="en-GB"/>
        </w:rPr>
        <w:t>s</w:t>
      </w:r>
      <w:r w:rsidRPr="00724676">
        <w:rPr>
          <w:rFonts w:eastAsiaTheme="minorEastAsia" w:cs="Times New Roman"/>
          <w:noProof/>
          <w:szCs w:val="24"/>
          <w:lang w:val="en-GB"/>
        </w:rPr>
        <w:t xml:space="preserve"> without having livestock</w:t>
      </w:r>
      <w:r w:rsidR="00E51334">
        <w:rPr>
          <w:rFonts w:eastAsiaTheme="minorEastAsia" w:cs="Times New Roman"/>
          <w:noProof/>
          <w:szCs w:val="24"/>
          <w:lang w:val="en-GB"/>
        </w:rPr>
        <w:t>,</w:t>
      </w:r>
      <w:r w:rsidRPr="00724676">
        <w:rPr>
          <w:rFonts w:eastAsiaTheme="minorEastAsia" w:cs="Times New Roman"/>
          <w:noProof/>
          <w:szCs w:val="24"/>
          <w:lang w:val="en-GB"/>
        </w:rPr>
        <w:t xml:space="preserve"> and potentially without </w:t>
      </w:r>
      <w:r w:rsidR="00E51334">
        <w:rPr>
          <w:rFonts w:eastAsiaTheme="minorEastAsia" w:cs="Times New Roman"/>
          <w:noProof/>
          <w:szCs w:val="24"/>
          <w:lang w:val="en-GB"/>
        </w:rPr>
        <w:t xml:space="preserve">an </w:t>
      </w:r>
      <w:r w:rsidRPr="00724676">
        <w:rPr>
          <w:rFonts w:eastAsiaTheme="minorEastAsia" w:cs="Times New Roman"/>
          <w:noProof/>
          <w:szCs w:val="24"/>
          <w:lang w:val="en-GB"/>
        </w:rPr>
        <w:t>outlet for the fodder produced</w:t>
      </w:r>
      <w:r w:rsidR="00E51334">
        <w:rPr>
          <w:rFonts w:eastAsiaTheme="minorEastAsia" w:cs="Times New Roman"/>
          <w:noProof/>
          <w:szCs w:val="24"/>
          <w:lang w:val="en-GB"/>
        </w:rPr>
        <w:t>,</w:t>
      </w:r>
      <w:r w:rsidRPr="00724676">
        <w:rPr>
          <w:rFonts w:eastAsiaTheme="minorEastAsia" w:cs="Times New Roman"/>
          <w:noProof/>
          <w:szCs w:val="24"/>
          <w:lang w:val="en-GB"/>
        </w:rPr>
        <w:t xml:space="preserve"> if the livestock sector in the region concerned has </w:t>
      </w:r>
      <w:r w:rsidR="00E51334">
        <w:rPr>
          <w:rFonts w:eastAsiaTheme="minorEastAsia" w:cs="Times New Roman"/>
          <w:noProof/>
          <w:szCs w:val="24"/>
          <w:lang w:val="en-GB"/>
        </w:rPr>
        <w:t>shrunk</w:t>
      </w:r>
      <w:r w:rsidRPr="00724676">
        <w:rPr>
          <w:rFonts w:eastAsiaTheme="minorEastAsia" w:cs="Times New Roman"/>
          <w:noProof/>
          <w:szCs w:val="24"/>
          <w:lang w:val="en-GB"/>
        </w:rPr>
        <w:t xml:space="preserve">. In </w:t>
      </w:r>
      <w:r w:rsidR="004D2377" w:rsidRPr="00724676">
        <w:rPr>
          <w:rFonts w:eastAsiaTheme="minorEastAsia" w:cs="Times New Roman"/>
          <w:noProof/>
          <w:szCs w:val="24"/>
          <w:lang w:val="en-GB"/>
        </w:rPr>
        <w:t xml:space="preserve">such </w:t>
      </w:r>
      <w:r w:rsidRPr="00724676">
        <w:rPr>
          <w:rFonts w:eastAsiaTheme="minorEastAsia" w:cs="Times New Roman"/>
          <w:noProof/>
          <w:szCs w:val="24"/>
          <w:lang w:val="en-GB"/>
        </w:rPr>
        <w:t xml:space="preserve">cases, </w:t>
      </w:r>
      <w:r w:rsidR="00E51334">
        <w:rPr>
          <w:rFonts w:eastAsiaTheme="minorEastAsia" w:cs="Times New Roman"/>
          <w:noProof/>
          <w:szCs w:val="24"/>
          <w:lang w:val="en-GB"/>
        </w:rPr>
        <w:t xml:space="preserve">the </w:t>
      </w:r>
      <w:r w:rsidRPr="00724676">
        <w:rPr>
          <w:rFonts w:eastAsiaTheme="minorEastAsia" w:cs="Times New Roman"/>
          <w:noProof/>
          <w:szCs w:val="24"/>
          <w:lang w:val="en-GB"/>
        </w:rPr>
        <w:t xml:space="preserve">obligation to </w:t>
      </w:r>
      <w:r w:rsidR="00451DE6" w:rsidRPr="00724676">
        <w:rPr>
          <w:rFonts w:eastAsiaTheme="minorEastAsia" w:cs="Times New Roman"/>
          <w:noProof/>
          <w:szCs w:val="24"/>
          <w:lang w:val="en-GB"/>
        </w:rPr>
        <w:t>(re)</w:t>
      </w:r>
      <w:r w:rsidRPr="00724676">
        <w:rPr>
          <w:rFonts w:eastAsiaTheme="minorEastAsia" w:cs="Times New Roman"/>
          <w:noProof/>
          <w:szCs w:val="24"/>
          <w:lang w:val="en-GB"/>
        </w:rPr>
        <w:t xml:space="preserve">establish permanent grassland could prevent farmers from maintaining </w:t>
      </w:r>
      <w:r w:rsidRPr="00724676">
        <w:rPr>
          <w:rFonts w:eastAsiaTheme="minorEastAsia" w:cs="Times New Roman"/>
          <w:b/>
          <w:noProof/>
          <w:szCs w:val="24"/>
          <w:lang w:val="en-GB"/>
        </w:rPr>
        <w:t xml:space="preserve">an economically viable activity. </w:t>
      </w:r>
    </w:p>
    <w:p w14:paraId="084EB14C" w14:textId="1E090BBE" w:rsidR="00647876" w:rsidRPr="00724676" w:rsidRDefault="00647876" w:rsidP="007C3C31">
      <w:pPr>
        <w:pStyle w:val="ListParagraph"/>
        <w:numPr>
          <w:ilvl w:val="0"/>
          <w:numId w:val="8"/>
        </w:numPr>
        <w:spacing w:after="120"/>
        <w:jc w:val="both"/>
        <w:rPr>
          <w:rFonts w:eastAsiaTheme="minorEastAsia" w:cs="Times New Roman"/>
          <w:noProof/>
          <w:lang w:val="en-GB"/>
        </w:rPr>
      </w:pPr>
      <w:r w:rsidRPr="6FE283EC">
        <w:rPr>
          <w:rFonts w:eastAsiaTheme="minorEastAsia" w:cs="Times New Roman"/>
          <w:noProof/>
          <w:lang w:val="en-GB"/>
        </w:rPr>
        <w:lastRenderedPageBreak/>
        <w:t xml:space="preserve">Member States </w:t>
      </w:r>
      <w:r w:rsidR="009F7653" w:rsidRPr="6FE283EC">
        <w:rPr>
          <w:rFonts w:eastAsiaTheme="minorEastAsia" w:cs="Times New Roman"/>
          <w:noProof/>
          <w:lang w:val="en-GB"/>
        </w:rPr>
        <w:t xml:space="preserve">are also allowed </w:t>
      </w:r>
      <w:r w:rsidRPr="6FE283EC">
        <w:rPr>
          <w:rFonts w:eastAsiaTheme="minorEastAsia" w:cs="Times New Roman"/>
          <w:noProof/>
          <w:lang w:val="en-GB"/>
        </w:rPr>
        <w:t xml:space="preserve">to consider further factors. </w:t>
      </w:r>
      <w:r w:rsidR="009F7653" w:rsidRPr="6FE283EC">
        <w:rPr>
          <w:rFonts w:eastAsiaTheme="minorEastAsia" w:cs="Times New Roman"/>
          <w:noProof/>
          <w:lang w:val="en-GB"/>
        </w:rPr>
        <w:t xml:space="preserve">They </w:t>
      </w:r>
      <w:r w:rsidRPr="6FE283EC">
        <w:rPr>
          <w:rFonts w:eastAsiaTheme="minorEastAsia" w:cs="Times New Roman"/>
          <w:noProof/>
          <w:lang w:val="en-GB"/>
        </w:rPr>
        <w:t xml:space="preserve">can take into account various situations where a </w:t>
      </w:r>
      <w:r w:rsidR="008062DD" w:rsidRPr="6FE283EC">
        <w:rPr>
          <w:rFonts w:eastAsiaTheme="minorEastAsia" w:cs="Times New Roman"/>
          <w:noProof/>
          <w:lang w:val="en-GB"/>
        </w:rPr>
        <w:t>reduction in</w:t>
      </w:r>
      <w:r w:rsidRPr="6FE283EC">
        <w:rPr>
          <w:rFonts w:eastAsiaTheme="minorEastAsia" w:cs="Times New Roman"/>
          <w:noProof/>
          <w:lang w:val="en-GB"/>
        </w:rPr>
        <w:t xml:space="preserve"> the ratio of permanent grassland does not result from farmers converting permanent grassland to other agricultural uses, and where it would therefore be disproportionate to ask farmers to re-establish areas of permanent grassland. Such situations include</w:t>
      </w:r>
      <w:r w:rsidR="008062DD" w:rsidRPr="6FE283EC">
        <w:rPr>
          <w:rFonts w:eastAsiaTheme="minorEastAsia" w:cs="Times New Roman"/>
          <w:noProof/>
          <w:lang w:val="en-GB"/>
        </w:rPr>
        <w:t>,</w:t>
      </w:r>
      <w:r w:rsidRPr="6FE283EC">
        <w:rPr>
          <w:rFonts w:eastAsiaTheme="minorEastAsia" w:cs="Times New Roman"/>
          <w:noProof/>
          <w:lang w:val="en-GB"/>
        </w:rPr>
        <w:t xml:space="preserve"> for instance</w:t>
      </w:r>
      <w:r w:rsidR="008062DD" w:rsidRPr="6FE283EC">
        <w:rPr>
          <w:rFonts w:eastAsiaTheme="minorEastAsia" w:cs="Times New Roman"/>
          <w:noProof/>
          <w:lang w:val="en-GB"/>
        </w:rPr>
        <w:t>,</w:t>
      </w:r>
      <w:r w:rsidRPr="6FE283EC">
        <w:rPr>
          <w:rFonts w:eastAsiaTheme="minorEastAsia" w:cs="Times New Roman"/>
          <w:noProof/>
          <w:lang w:val="en-GB"/>
        </w:rPr>
        <w:t xml:space="preserve"> the case where</w:t>
      </w:r>
      <w:r w:rsidR="005361DB" w:rsidRPr="6FE283EC">
        <w:rPr>
          <w:rFonts w:eastAsiaTheme="minorEastAsia" w:cs="Times New Roman"/>
          <w:noProof/>
          <w:lang w:val="en-GB"/>
        </w:rPr>
        <w:t xml:space="preserve"> </w:t>
      </w:r>
      <w:r w:rsidRPr="6FE283EC">
        <w:rPr>
          <w:rFonts w:eastAsiaTheme="minorEastAsia" w:cs="Times New Roman"/>
          <w:noProof/>
          <w:lang w:val="en-GB"/>
        </w:rPr>
        <w:t>the change in the ratio result</w:t>
      </w:r>
      <w:r w:rsidR="00A21ADD" w:rsidRPr="6FE283EC">
        <w:rPr>
          <w:rFonts w:eastAsiaTheme="minorEastAsia" w:cs="Times New Roman"/>
          <w:noProof/>
          <w:lang w:val="en-GB"/>
        </w:rPr>
        <w:t>s</w:t>
      </w:r>
      <w:r w:rsidRPr="6FE283EC">
        <w:rPr>
          <w:rFonts w:eastAsiaTheme="minorEastAsia" w:cs="Times New Roman"/>
          <w:noProof/>
          <w:lang w:val="en-GB"/>
        </w:rPr>
        <w:t xml:space="preserve"> from an increase </w:t>
      </w:r>
      <w:r w:rsidR="008062DD" w:rsidRPr="6FE283EC">
        <w:rPr>
          <w:rFonts w:eastAsiaTheme="minorEastAsia" w:cs="Times New Roman"/>
          <w:noProof/>
          <w:lang w:val="en-GB"/>
        </w:rPr>
        <w:t xml:space="preserve">in </w:t>
      </w:r>
      <w:r w:rsidRPr="6FE283EC">
        <w:rPr>
          <w:rFonts w:eastAsiaTheme="minorEastAsia" w:cs="Times New Roman"/>
          <w:noProof/>
          <w:lang w:val="en-GB"/>
        </w:rPr>
        <w:t xml:space="preserve">the total agricultural area. Member States </w:t>
      </w:r>
      <w:r w:rsidR="6A779D92" w:rsidRPr="6FE283EC">
        <w:rPr>
          <w:rFonts w:eastAsiaTheme="minorEastAsia" w:cs="Times New Roman"/>
          <w:noProof/>
          <w:lang w:val="en-GB"/>
        </w:rPr>
        <w:t>a</w:t>
      </w:r>
      <w:r w:rsidR="5797AEDB" w:rsidRPr="6FE283EC">
        <w:rPr>
          <w:rFonts w:eastAsiaTheme="minorEastAsia" w:cs="Times New Roman"/>
          <w:noProof/>
          <w:lang w:val="en-GB"/>
        </w:rPr>
        <w:t>l</w:t>
      </w:r>
      <w:r w:rsidR="6A779D92" w:rsidRPr="6FE283EC">
        <w:rPr>
          <w:rFonts w:eastAsiaTheme="minorEastAsia" w:cs="Times New Roman"/>
          <w:noProof/>
          <w:lang w:val="en-GB"/>
        </w:rPr>
        <w:t>so</w:t>
      </w:r>
      <w:r w:rsidR="008062DD" w:rsidRPr="6FE283EC">
        <w:rPr>
          <w:rFonts w:eastAsiaTheme="minorEastAsia" w:cs="Times New Roman"/>
          <w:noProof/>
          <w:lang w:val="en-GB"/>
        </w:rPr>
        <w:t xml:space="preserve"> </w:t>
      </w:r>
      <w:r w:rsidRPr="6FE283EC">
        <w:rPr>
          <w:rFonts w:eastAsiaTheme="minorEastAsia" w:cs="Times New Roman"/>
          <w:noProof/>
          <w:lang w:val="en-GB"/>
        </w:rPr>
        <w:t>have</w:t>
      </w:r>
      <w:r w:rsidR="008062DD" w:rsidRPr="6FE283EC">
        <w:rPr>
          <w:rFonts w:eastAsiaTheme="minorEastAsia" w:cs="Times New Roman"/>
          <w:noProof/>
          <w:lang w:val="en-GB"/>
        </w:rPr>
        <w:t>,</w:t>
      </w:r>
      <w:r w:rsidRPr="6FE283EC">
        <w:rPr>
          <w:rFonts w:eastAsiaTheme="minorEastAsia" w:cs="Times New Roman"/>
          <w:noProof/>
          <w:lang w:val="en-GB"/>
        </w:rPr>
        <w:t xml:space="preserve"> for instance</w:t>
      </w:r>
      <w:r w:rsidR="008062DD" w:rsidRPr="6FE283EC">
        <w:rPr>
          <w:rFonts w:eastAsiaTheme="minorEastAsia" w:cs="Times New Roman"/>
          <w:noProof/>
          <w:lang w:val="en-GB"/>
        </w:rPr>
        <w:t>,</w:t>
      </w:r>
      <w:r w:rsidRPr="6FE283EC">
        <w:rPr>
          <w:rFonts w:eastAsiaTheme="minorEastAsia" w:cs="Times New Roman"/>
          <w:noProof/>
          <w:lang w:val="en-GB"/>
        </w:rPr>
        <w:t xml:space="preserve"> the possibility to </w:t>
      </w:r>
      <w:r w:rsidR="006E6528" w:rsidRPr="6FE283EC">
        <w:rPr>
          <w:rFonts w:eastAsiaTheme="minorEastAsia" w:cs="Times New Roman"/>
          <w:noProof/>
          <w:lang w:val="en-GB"/>
        </w:rPr>
        <w:t>take into account</w:t>
      </w:r>
      <w:r w:rsidRPr="6FE283EC">
        <w:rPr>
          <w:rFonts w:eastAsiaTheme="minorEastAsia" w:cs="Times New Roman"/>
          <w:noProof/>
          <w:lang w:val="en-GB"/>
        </w:rPr>
        <w:t xml:space="preserve"> the </w:t>
      </w:r>
      <w:r w:rsidR="005361DB" w:rsidRPr="6FE283EC">
        <w:rPr>
          <w:rFonts w:eastAsiaTheme="minorEastAsia" w:cs="Times New Roman"/>
          <w:noProof/>
          <w:lang w:val="en-GB"/>
        </w:rPr>
        <w:t>existence</w:t>
      </w:r>
      <w:r w:rsidRPr="6FE283EC">
        <w:rPr>
          <w:rFonts w:eastAsiaTheme="minorEastAsia" w:cs="Times New Roman"/>
          <w:noProof/>
          <w:lang w:val="en-GB"/>
        </w:rPr>
        <w:t xml:space="preserve"> </w:t>
      </w:r>
      <w:r w:rsidR="005361DB" w:rsidRPr="6FE283EC">
        <w:rPr>
          <w:rFonts w:eastAsiaTheme="minorEastAsia" w:cs="Times New Roman"/>
          <w:noProof/>
          <w:lang w:val="en-GB"/>
        </w:rPr>
        <w:t xml:space="preserve">of </w:t>
      </w:r>
      <w:r w:rsidRPr="6FE283EC">
        <w:rPr>
          <w:rFonts w:eastAsiaTheme="minorEastAsia" w:cs="Times New Roman"/>
          <w:noProof/>
          <w:lang w:val="en-GB"/>
        </w:rPr>
        <w:t>non-declared permanent grassland.</w:t>
      </w:r>
    </w:p>
    <w:p w14:paraId="197AB281" w14:textId="2209904C" w:rsidR="001C3094" w:rsidRPr="00724676" w:rsidRDefault="008A5E63" w:rsidP="00921335">
      <w:pPr>
        <w:spacing w:after="120"/>
        <w:jc w:val="both"/>
        <w:rPr>
          <w:rFonts w:cs="Times New Roman"/>
          <w:noProof/>
          <w:lang w:val="en-GB"/>
        </w:rPr>
      </w:pPr>
      <w:r w:rsidRPr="6FE283EC" w:rsidDel="00AD65D2">
        <w:rPr>
          <w:rFonts w:eastAsiaTheme="minorEastAsia" w:cs="Times New Roman"/>
          <w:noProof/>
          <w:lang w:val="en-GB"/>
        </w:rPr>
        <w:t xml:space="preserve">The adjustments </w:t>
      </w:r>
      <w:r w:rsidR="001C3094" w:rsidRPr="6FE283EC">
        <w:rPr>
          <w:rFonts w:eastAsiaTheme="minorEastAsia" w:cs="Times New Roman"/>
          <w:noProof/>
          <w:lang w:val="en-GB"/>
        </w:rPr>
        <w:t xml:space="preserve">to </w:t>
      </w:r>
      <w:r w:rsidR="001C3094" w:rsidRPr="6FE283EC">
        <w:rPr>
          <w:rFonts w:eastAsiaTheme="minorEastAsia" w:cs="Times New Roman"/>
          <w:b/>
          <w:noProof/>
          <w:lang w:val="en-GB"/>
        </w:rPr>
        <w:t xml:space="preserve">GAEC 6 </w:t>
      </w:r>
      <w:r w:rsidR="001C3094" w:rsidRPr="6FE283EC">
        <w:rPr>
          <w:rFonts w:eastAsiaTheme="minorEastAsia" w:cs="Times New Roman"/>
          <w:noProof/>
          <w:lang w:val="en-GB"/>
        </w:rPr>
        <w:t>(</w:t>
      </w:r>
      <w:r w:rsidR="001C3094" w:rsidRPr="6FE283EC">
        <w:rPr>
          <w:rFonts w:eastAsiaTheme="minorEastAsia" w:cs="Times New Roman"/>
          <w:b/>
          <w:noProof/>
          <w:lang w:val="en-GB"/>
        </w:rPr>
        <w:t>soil cover</w:t>
      </w:r>
      <w:r w:rsidR="006157C8" w:rsidRPr="6FE283EC">
        <w:rPr>
          <w:rFonts w:eastAsiaTheme="minorEastAsia" w:cs="Times New Roman"/>
          <w:noProof/>
          <w:lang w:val="en-GB"/>
        </w:rPr>
        <w:t>, measure B.1 in Annex</w:t>
      </w:r>
      <w:r w:rsidR="008062DD" w:rsidRPr="6FE283EC">
        <w:rPr>
          <w:rFonts w:eastAsiaTheme="minorEastAsia" w:cs="Times New Roman"/>
          <w:noProof/>
          <w:lang w:val="en-GB"/>
        </w:rPr>
        <w:t xml:space="preserve"> </w:t>
      </w:r>
      <w:r w:rsidR="006157C8" w:rsidRPr="6FE283EC">
        <w:rPr>
          <w:rFonts w:eastAsiaTheme="minorEastAsia" w:cs="Times New Roman"/>
          <w:noProof/>
          <w:lang w:val="en-GB"/>
        </w:rPr>
        <w:t>1</w:t>
      </w:r>
      <w:r w:rsidR="001C3094" w:rsidRPr="6FE283EC">
        <w:rPr>
          <w:rFonts w:eastAsiaTheme="minorEastAsia" w:cs="Times New Roman"/>
          <w:noProof/>
          <w:lang w:val="en-GB"/>
        </w:rPr>
        <w:t>)</w:t>
      </w:r>
      <w:r w:rsidR="001C3094" w:rsidRPr="6FE283EC">
        <w:rPr>
          <w:rFonts w:eastAsiaTheme="minorEastAsia" w:cs="Times New Roman"/>
          <w:b/>
          <w:noProof/>
          <w:lang w:val="en-GB"/>
        </w:rPr>
        <w:t xml:space="preserve"> </w:t>
      </w:r>
      <w:r w:rsidR="001C3094" w:rsidRPr="6FE283EC">
        <w:rPr>
          <w:rFonts w:eastAsiaTheme="minorEastAsia" w:cs="Times New Roman"/>
          <w:noProof/>
          <w:lang w:val="en-GB"/>
        </w:rPr>
        <w:t xml:space="preserve">provide </w:t>
      </w:r>
      <w:r w:rsidR="008062DD" w:rsidRPr="6FE283EC">
        <w:rPr>
          <w:rFonts w:eastAsiaTheme="minorEastAsia" w:cs="Times New Roman"/>
          <w:noProof/>
          <w:lang w:val="en-GB"/>
        </w:rPr>
        <w:t xml:space="preserve">greater </w:t>
      </w:r>
      <w:r w:rsidR="001C3094" w:rsidRPr="6FE283EC">
        <w:rPr>
          <w:rFonts w:eastAsiaTheme="minorEastAsia" w:cs="Times New Roman"/>
          <w:noProof/>
          <w:lang w:val="en-GB"/>
        </w:rPr>
        <w:t>flexibility to Member States</w:t>
      </w:r>
      <w:r w:rsidR="008D5A9D" w:rsidRPr="6FE283EC">
        <w:rPr>
          <w:rFonts w:eastAsiaTheme="minorEastAsia" w:cs="Times New Roman"/>
          <w:noProof/>
          <w:lang w:val="en-GB"/>
        </w:rPr>
        <w:t>,</w:t>
      </w:r>
      <w:r w:rsidR="001C3094" w:rsidRPr="6FE283EC">
        <w:rPr>
          <w:rFonts w:eastAsiaTheme="minorEastAsia" w:cs="Times New Roman"/>
          <w:noProof/>
          <w:lang w:val="en-GB"/>
        </w:rPr>
        <w:t xml:space="preserve"> </w:t>
      </w:r>
      <w:r w:rsidR="008062DD" w:rsidRPr="6FE283EC">
        <w:rPr>
          <w:rFonts w:eastAsiaTheme="minorEastAsia" w:cs="Times New Roman"/>
          <w:noProof/>
          <w:lang w:val="en-GB"/>
        </w:rPr>
        <w:t xml:space="preserve">in particular </w:t>
      </w:r>
      <w:r w:rsidR="001C3094" w:rsidRPr="6FE283EC">
        <w:rPr>
          <w:rFonts w:eastAsiaTheme="minorEastAsia" w:cs="Times New Roman"/>
          <w:noProof/>
          <w:lang w:val="en-GB"/>
        </w:rPr>
        <w:t>to define the sensitive period during which soils should be covered</w:t>
      </w:r>
      <w:r w:rsidR="008062DD" w:rsidRPr="6FE283EC">
        <w:rPr>
          <w:rFonts w:eastAsiaTheme="minorEastAsia" w:cs="Times New Roman"/>
          <w:noProof/>
          <w:lang w:val="en-GB"/>
        </w:rPr>
        <w:t xml:space="preserve">. This can give farmers </w:t>
      </w:r>
      <w:r w:rsidR="004F674E" w:rsidRPr="6FE283EC">
        <w:rPr>
          <w:rFonts w:eastAsiaTheme="minorEastAsia" w:cs="Times New Roman"/>
          <w:b/>
          <w:noProof/>
          <w:lang w:val="en-GB"/>
        </w:rPr>
        <w:t>greater</w:t>
      </w:r>
      <w:r w:rsidR="006223B6" w:rsidRPr="6FE283EC">
        <w:rPr>
          <w:rFonts w:eastAsiaTheme="minorEastAsia" w:cs="Times New Roman"/>
          <w:b/>
          <w:noProof/>
          <w:lang w:val="en-GB"/>
        </w:rPr>
        <w:t xml:space="preserve"> flexibility </w:t>
      </w:r>
      <w:r w:rsidR="006223B6" w:rsidRPr="6FE283EC">
        <w:rPr>
          <w:rFonts w:eastAsia="Calibri" w:cs="Times New Roman"/>
          <w:noProof/>
          <w:color w:val="000000" w:themeColor="text1"/>
          <w:lang w:val="en-GB"/>
        </w:rPr>
        <w:t xml:space="preserve">in </w:t>
      </w:r>
      <w:r w:rsidR="006223B6" w:rsidRPr="6FE283EC">
        <w:rPr>
          <w:rFonts w:eastAsia="Calibri" w:cs="Times New Roman"/>
          <w:b/>
          <w:noProof/>
          <w:color w:val="000000" w:themeColor="text1"/>
          <w:lang w:val="en-GB"/>
        </w:rPr>
        <w:t>organising soil preparation</w:t>
      </w:r>
      <w:r w:rsidR="000914DC" w:rsidRPr="6FE283EC">
        <w:rPr>
          <w:rFonts w:eastAsia="Calibri" w:cs="Times New Roman"/>
          <w:noProof/>
          <w:color w:val="000000" w:themeColor="text1"/>
          <w:lang w:val="en-GB"/>
        </w:rPr>
        <w:t xml:space="preserve"> and </w:t>
      </w:r>
      <w:r w:rsidR="008C0E5F" w:rsidRPr="6FE283EC">
        <w:rPr>
          <w:rFonts w:eastAsia="Calibri" w:cs="Times New Roman"/>
          <w:noProof/>
          <w:color w:val="000000" w:themeColor="text1"/>
          <w:lang w:val="en-GB"/>
        </w:rPr>
        <w:t xml:space="preserve">can </w:t>
      </w:r>
      <w:r w:rsidR="000914DC" w:rsidRPr="6FE283EC">
        <w:rPr>
          <w:rFonts w:eastAsia="Calibri" w:cs="Times New Roman"/>
          <w:noProof/>
          <w:color w:val="000000" w:themeColor="text1"/>
          <w:lang w:val="en-GB"/>
        </w:rPr>
        <w:t xml:space="preserve">reduce the constraints and </w:t>
      </w:r>
      <w:r w:rsidR="00722EB1" w:rsidRPr="6FE283EC">
        <w:rPr>
          <w:rFonts w:eastAsia="Calibri" w:cs="Times New Roman"/>
          <w:noProof/>
          <w:color w:val="000000" w:themeColor="text1"/>
          <w:lang w:val="en-GB"/>
        </w:rPr>
        <w:t xml:space="preserve">the related </w:t>
      </w:r>
      <w:r w:rsidR="000914DC" w:rsidRPr="6FE283EC">
        <w:rPr>
          <w:rFonts w:eastAsia="Calibri" w:cs="Times New Roman"/>
          <w:noProof/>
          <w:color w:val="000000" w:themeColor="text1"/>
          <w:lang w:val="en-GB"/>
        </w:rPr>
        <w:t>financial risks</w:t>
      </w:r>
      <w:r w:rsidR="006223B6" w:rsidRPr="6FE283EC">
        <w:rPr>
          <w:rFonts w:eastAsia="Calibri" w:cs="Times New Roman"/>
          <w:noProof/>
          <w:color w:val="000000" w:themeColor="text1"/>
          <w:lang w:val="en-GB"/>
        </w:rPr>
        <w:t xml:space="preserve">. </w:t>
      </w:r>
      <w:r w:rsidR="008062DD" w:rsidRPr="6FE283EC">
        <w:rPr>
          <w:rFonts w:eastAsiaTheme="minorEastAsia" w:cs="Times New Roman"/>
          <w:noProof/>
          <w:lang w:val="en-GB"/>
        </w:rPr>
        <w:t>How</w:t>
      </w:r>
      <w:r w:rsidR="001C3094" w:rsidRPr="6FE283EC">
        <w:rPr>
          <w:rFonts w:eastAsiaTheme="minorEastAsia" w:cs="Times New Roman"/>
          <w:noProof/>
          <w:lang w:val="en-GB"/>
        </w:rPr>
        <w:t xml:space="preserve"> Member States will use this</w:t>
      </w:r>
      <w:r w:rsidR="00026EE4" w:rsidRPr="6FE283EC">
        <w:rPr>
          <w:rFonts w:eastAsiaTheme="minorEastAsia" w:cs="Times New Roman"/>
          <w:noProof/>
          <w:lang w:val="en-GB"/>
        </w:rPr>
        <w:t xml:space="preserve"> </w:t>
      </w:r>
      <w:r w:rsidR="006E6528" w:rsidRPr="002959CA">
        <w:rPr>
          <w:rFonts w:eastAsiaTheme="minorEastAsia" w:cs="Times New Roman"/>
          <w:noProof/>
          <w:lang w:val="en-GB"/>
        </w:rPr>
        <w:t>adjustment</w:t>
      </w:r>
      <w:r w:rsidR="001C3094" w:rsidRPr="002959CA">
        <w:rPr>
          <w:rFonts w:eastAsiaTheme="minorEastAsia" w:cs="Times New Roman"/>
          <w:noProof/>
          <w:lang w:val="en-GB"/>
        </w:rPr>
        <w:t xml:space="preserve"> remains largely unknown</w:t>
      </w:r>
      <w:r w:rsidR="008D5A9D" w:rsidRPr="002959CA">
        <w:rPr>
          <w:rFonts w:eastAsiaTheme="minorEastAsia" w:cs="Times New Roman"/>
          <w:noProof/>
          <w:lang w:val="en-GB"/>
        </w:rPr>
        <w:t xml:space="preserve"> at this stage</w:t>
      </w:r>
      <w:r w:rsidR="001B76C6" w:rsidRPr="002959CA">
        <w:rPr>
          <w:rFonts w:eastAsiaTheme="minorEastAsia" w:cs="Times New Roman"/>
          <w:noProof/>
          <w:lang w:val="en-GB"/>
        </w:rPr>
        <w:t xml:space="preserve">, although the Commission </w:t>
      </w:r>
      <w:r w:rsidR="004F674E" w:rsidRPr="002959CA">
        <w:rPr>
          <w:rFonts w:eastAsiaTheme="minorEastAsia" w:cs="Times New Roman"/>
          <w:noProof/>
          <w:lang w:val="en-GB"/>
        </w:rPr>
        <w:t xml:space="preserve">has </w:t>
      </w:r>
      <w:r w:rsidR="001B76C6" w:rsidRPr="002959CA">
        <w:rPr>
          <w:rFonts w:eastAsiaTheme="minorEastAsia" w:cs="Times New Roman"/>
          <w:noProof/>
          <w:lang w:val="en-GB"/>
        </w:rPr>
        <w:t xml:space="preserve">already received </w:t>
      </w:r>
      <w:r w:rsidR="004F674E" w:rsidRPr="002959CA">
        <w:rPr>
          <w:rFonts w:eastAsiaTheme="minorEastAsia" w:cs="Times New Roman"/>
          <w:noProof/>
          <w:lang w:val="en-GB"/>
        </w:rPr>
        <w:t>several</w:t>
      </w:r>
      <w:r w:rsidR="001B76C6" w:rsidRPr="002959CA">
        <w:rPr>
          <w:rFonts w:eastAsiaTheme="minorEastAsia" w:cs="Times New Roman"/>
          <w:noProof/>
          <w:lang w:val="en-GB"/>
        </w:rPr>
        <w:t xml:space="preserve"> requests </w:t>
      </w:r>
      <w:r w:rsidR="004F674E" w:rsidRPr="002959CA">
        <w:rPr>
          <w:rFonts w:eastAsiaTheme="minorEastAsia" w:cs="Times New Roman"/>
          <w:noProof/>
          <w:lang w:val="en-GB"/>
        </w:rPr>
        <w:t>to shorten the</w:t>
      </w:r>
      <w:r w:rsidR="001B76C6" w:rsidRPr="002959CA">
        <w:rPr>
          <w:rFonts w:eastAsiaTheme="minorEastAsia" w:cs="Times New Roman"/>
          <w:noProof/>
          <w:lang w:val="en-GB"/>
        </w:rPr>
        <w:t xml:space="preserve"> sensitive periods.</w:t>
      </w:r>
      <w:r w:rsidR="001C3094" w:rsidRPr="002959CA">
        <w:rPr>
          <w:rFonts w:eastAsiaTheme="minorEastAsia" w:cs="Times New Roman"/>
          <w:noProof/>
          <w:lang w:val="en-GB"/>
        </w:rPr>
        <w:t xml:space="preserve"> </w:t>
      </w:r>
      <w:r w:rsidR="001C3094" w:rsidRPr="002959CA">
        <w:rPr>
          <w:rFonts w:cs="Times New Roman"/>
          <w:noProof/>
          <w:lang w:val="en-GB"/>
        </w:rPr>
        <w:t>At the same time, it remains essential that the</w:t>
      </w:r>
      <w:r w:rsidR="006E6528" w:rsidRPr="002959CA">
        <w:rPr>
          <w:rFonts w:cs="Times New Roman"/>
          <w:noProof/>
          <w:lang w:val="en-GB"/>
        </w:rPr>
        <w:t xml:space="preserve"> adjusted</w:t>
      </w:r>
      <w:r w:rsidR="001C3094" w:rsidRPr="002959CA">
        <w:rPr>
          <w:rFonts w:cs="Times New Roman"/>
          <w:noProof/>
          <w:lang w:val="en-GB"/>
        </w:rPr>
        <w:t xml:space="preserve"> requirements </w:t>
      </w:r>
      <w:r w:rsidR="00004033" w:rsidRPr="002959CA">
        <w:rPr>
          <w:rFonts w:cs="Times New Roman"/>
          <w:noProof/>
          <w:lang w:val="en-GB"/>
        </w:rPr>
        <w:t xml:space="preserve">in the </w:t>
      </w:r>
      <w:r w:rsidR="00523AA0" w:rsidRPr="002959CA">
        <w:rPr>
          <w:rFonts w:cs="Times New Roman"/>
          <w:noProof/>
          <w:lang w:val="en-GB"/>
        </w:rPr>
        <w:t>CAP Plans</w:t>
      </w:r>
      <w:r w:rsidR="001C3094" w:rsidRPr="002959CA">
        <w:rPr>
          <w:rFonts w:cs="Times New Roman"/>
          <w:noProof/>
          <w:lang w:val="en-GB"/>
        </w:rPr>
        <w:t xml:space="preserve"> keep contributing to the main objective of the standard </w:t>
      </w:r>
      <w:r w:rsidR="00685D9E" w:rsidRPr="002959CA">
        <w:rPr>
          <w:rFonts w:cs="Times New Roman"/>
          <w:noProof/>
          <w:lang w:val="en-GB"/>
        </w:rPr>
        <w:t xml:space="preserve">as poor soil quality can seriously affect </w:t>
      </w:r>
      <w:r w:rsidR="0002151A" w:rsidRPr="00406DFD">
        <w:rPr>
          <w:rFonts w:cs="Times New Roman"/>
          <w:noProof/>
          <w:lang w:val="en-GB"/>
        </w:rPr>
        <w:t>agricultural production</w:t>
      </w:r>
      <w:r w:rsidR="0002151A" w:rsidRPr="002959CA">
        <w:rPr>
          <w:rFonts w:cs="Times New Roman"/>
          <w:noProof/>
          <w:lang w:val="en-GB"/>
        </w:rPr>
        <w:t>, including</w:t>
      </w:r>
      <w:r w:rsidR="00685D9E" w:rsidRPr="002959CA">
        <w:rPr>
          <w:rFonts w:cs="Times New Roman"/>
          <w:noProof/>
          <w:lang w:val="en-GB"/>
        </w:rPr>
        <w:t xml:space="preserve"> resilience and productivity</w:t>
      </w:r>
      <w:r w:rsidR="00FA3C2F" w:rsidRPr="002959CA">
        <w:rPr>
          <w:rFonts w:cs="Times New Roman"/>
          <w:noProof/>
          <w:lang w:val="en-GB"/>
        </w:rPr>
        <w:t xml:space="preserve">, </w:t>
      </w:r>
      <w:r w:rsidR="004F674E" w:rsidRPr="002959CA">
        <w:rPr>
          <w:rFonts w:cs="Times New Roman"/>
          <w:noProof/>
          <w:lang w:val="en-GB"/>
        </w:rPr>
        <w:t xml:space="preserve">resulting in </w:t>
      </w:r>
      <w:r w:rsidR="00FA3C2F" w:rsidRPr="002959CA">
        <w:rPr>
          <w:rFonts w:cs="Times New Roman"/>
          <w:noProof/>
          <w:lang w:val="en-GB"/>
        </w:rPr>
        <w:t>economic lo</w:t>
      </w:r>
      <w:r w:rsidR="004F674E" w:rsidRPr="002959CA">
        <w:rPr>
          <w:rFonts w:cs="Times New Roman"/>
          <w:noProof/>
          <w:lang w:val="en-GB"/>
        </w:rPr>
        <w:t>s</w:t>
      </w:r>
      <w:r w:rsidR="00FA3C2F" w:rsidRPr="002959CA">
        <w:rPr>
          <w:rFonts w:cs="Times New Roman"/>
          <w:noProof/>
          <w:lang w:val="en-GB"/>
        </w:rPr>
        <w:t>ses</w:t>
      </w:r>
      <w:r w:rsidR="00685D9E" w:rsidRPr="002959CA">
        <w:rPr>
          <w:rFonts w:cs="Times New Roman"/>
          <w:noProof/>
          <w:lang w:val="en-GB"/>
        </w:rPr>
        <w:t>.</w:t>
      </w:r>
    </w:p>
    <w:p w14:paraId="68F57683" w14:textId="6C615A23" w:rsidR="006528DB" w:rsidRPr="00724676" w:rsidRDefault="007F4420" w:rsidP="008805EE">
      <w:pPr>
        <w:spacing w:after="120"/>
        <w:jc w:val="both"/>
        <w:rPr>
          <w:rFonts w:cs="Times New Roman"/>
          <w:noProof/>
          <w:szCs w:val="24"/>
          <w:lang w:val="en-GB"/>
        </w:rPr>
      </w:pPr>
      <w:r w:rsidRPr="00724676">
        <w:rPr>
          <w:rFonts w:cs="Times New Roman"/>
          <w:noProof/>
          <w:szCs w:val="24"/>
          <w:lang w:val="en-GB"/>
        </w:rPr>
        <w:t>T</w:t>
      </w:r>
      <w:r w:rsidR="00F8486D" w:rsidRPr="00724676">
        <w:rPr>
          <w:rFonts w:cs="Times New Roman"/>
          <w:noProof/>
          <w:szCs w:val="24"/>
          <w:lang w:val="en-GB"/>
        </w:rPr>
        <w:t xml:space="preserve">he </w:t>
      </w:r>
      <w:r w:rsidR="00C63380" w:rsidRPr="00724676">
        <w:rPr>
          <w:rFonts w:cs="Times New Roman"/>
          <w:noProof/>
          <w:szCs w:val="24"/>
          <w:lang w:val="en-GB"/>
        </w:rPr>
        <w:t xml:space="preserve">existing flexibilities </w:t>
      </w:r>
      <w:r w:rsidRPr="00724676">
        <w:rPr>
          <w:rFonts w:cs="Times New Roman"/>
          <w:noProof/>
          <w:szCs w:val="24"/>
          <w:lang w:val="en-GB"/>
        </w:rPr>
        <w:t xml:space="preserve">under </w:t>
      </w:r>
      <w:r w:rsidRPr="00724676">
        <w:rPr>
          <w:rFonts w:cs="Times New Roman"/>
          <w:b/>
          <w:bCs/>
          <w:noProof/>
          <w:szCs w:val="24"/>
          <w:lang w:val="en-GB"/>
        </w:rPr>
        <w:t>GAEC 7</w:t>
      </w:r>
      <w:r w:rsidRPr="00724676">
        <w:rPr>
          <w:rFonts w:cs="Times New Roman"/>
          <w:noProof/>
          <w:szCs w:val="24"/>
          <w:lang w:val="en-GB"/>
        </w:rPr>
        <w:t xml:space="preserve"> </w:t>
      </w:r>
      <w:r w:rsidR="00F8486D" w:rsidRPr="00724676">
        <w:rPr>
          <w:rFonts w:cs="Times New Roman"/>
          <w:noProof/>
          <w:szCs w:val="24"/>
          <w:lang w:val="en-GB"/>
        </w:rPr>
        <w:t>ensur</w:t>
      </w:r>
      <w:r w:rsidRPr="00724676">
        <w:rPr>
          <w:rFonts w:cs="Times New Roman"/>
          <w:noProof/>
          <w:szCs w:val="24"/>
          <w:lang w:val="en-GB"/>
        </w:rPr>
        <w:t>e</w:t>
      </w:r>
      <w:r w:rsidR="00F8486D" w:rsidRPr="00724676">
        <w:rPr>
          <w:rFonts w:cs="Times New Roman"/>
          <w:noProof/>
          <w:szCs w:val="24"/>
          <w:lang w:val="en-GB"/>
        </w:rPr>
        <w:t xml:space="preserve"> a system of </w:t>
      </w:r>
      <w:r w:rsidR="00004033" w:rsidRPr="00724676">
        <w:rPr>
          <w:rFonts w:cs="Times New Roman"/>
          <w:noProof/>
          <w:szCs w:val="24"/>
          <w:lang w:val="en-GB"/>
        </w:rPr>
        <w:t xml:space="preserve">crop </w:t>
      </w:r>
      <w:r w:rsidR="00F8486D" w:rsidRPr="00724676">
        <w:rPr>
          <w:rFonts w:cs="Times New Roman"/>
          <w:noProof/>
          <w:szCs w:val="24"/>
          <w:lang w:val="en-GB"/>
        </w:rPr>
        <w:t xml:space="preserve">rotation on all parcels </w:t>
      </w:r>
      <w:r w:rsidR="00AA6FEF">
        <w:rPr>
          <w:rFonts w:cs="Times New Roman"/>
          <w:noProof/>
          <w:szCs w:val="24"/>
          <w:lang w:val="en-GB"/>
        </w:rPr>
        <w:t xml:space="preserve">of land </w:t>
      </w:r>
      <w:r w:rsidR="008B5538" w:rsidRPr="00724676">
        <w:rPr>
          <w:rFonts w:cs="Times New Roman"/>
          <w:noProof/>
          <w:szCs w:val="24"/>
          <w:lang w:val="en-GB"/>
        </w:rPr>
        <w:t xml:space="preserve">over </w:t>
      </w:r>
      <w:r w:rsidR="00AA6FEF">
        <w:rPr>
          <w:rFonts w:cs="Times New Roman"/>
          <w:noProof/>
          <w:szCs w:val="24"/>
          <w:lang w:val="en-GB"/>
        </w:rPr>
        <w:t>several</w:t>
      </w:r>
      <w:r w:rsidR="00AA6FEF" w:rsidRPr="00724676">
        <w:rPr>
          <w:rFonts w:cs="Times New Roman"/>
          <w:noProof/>
          <w:szCs w:val="24"/>
          <w:lang w:val="en-GB"/>
        </w:rPr>
        <w:t xml:space="preserve"> </w:t>
      </w:r>
      <w:r w:rsidR="008B5538" w:rsidRPr="00724676">
        <w:rPr>
          <w:rFonts w:cs="Times New Roman"/>
          <w:noProof/>
          <w:szCs w:val="24"/>
          <w:lang w:val="en-GB"/>
        </w:rPr>
        <w:t>years</w:t>
      </w:r>
      <w:r w:rsidR="00AA6FEF">
        <w:rPr>
          <w:rFonts w:cs="Times New Roman"/>
          <w:noProof/>
          <w:szCs w:val="24"/>
          <w:lang w:val="en-GB"/>
        </w:rPr>
        <w:t>,</w:t>
      </w:r>
      <w:r w:rsidR="008B5538" w:rsidRPr="00724676">
        <w:rPr>
          <w:rFonts w:cs="Times New Roman"/>
          <w:noProof/>
          <w:szCs w:val="24"/>
          <w:lang w:val="en-GB"/>
        </w:rPr>
        <w:t xml:space="preserve"> </w:t>
      </w:r>
      <w:r w:rsidR="00F8486D" w:rsidRPr="00724676">
        <w:rPr>
          <w:rFonts w:cs="Times New Roman"/>
          <w:noProof/>
          <w:szCs w:val="24"/>
          <w:lang w:val="en-GB"/>
        </w:rPr>
        <w:t xml:space="preserve">which is </w:t>
      </w:r>
      <w:r w:rsidR="00AA6FEF">
        <w:rPr>
          <w:rFonts w:cs="Times New Roman"/>
          <w:noProof/>
          <w:szCs w:val="24"/>
          <w:lang w:val="en-GB"/>
        </w:rPr>
        <w:t>suitable</w:t>
      </w:r>
      <w:r w:rsidR="00AA6FEF" w:rsidRPr="00724676">
        <w:rPr>
          <w:rFonts w:cs="Times New Roman"/>
          <w:noProof/>
          <w:szCs w:val="24"/>
          <w:lang w:val="en-GB"/>
        </w:rPr>
        <w:t xml:space="preserve"> </w:t>
      </w:r>
      <w:r w:rsidR="00F8486D" w:rsidRPr="00724676">
        <w:rPr>
          <w:rFonts w:cs="Times New Roman"/>
          <w:noProof/>
          <w:szCs w:val="24"/>
          <w:lang w:val="en-GB"/>
        </w:rPr>
        <w:t xml:space="preserve">for all </w:t>
      </w:r>
      <w:r w:rsidR="00AA6FEF">
        <w:rPr>
          <w:rFonts w:cs="Times New Roman"/>
          <w:noProof/>
          <w:szCs w:val="24"/>
          <w:lang w:val="en-GB"/>
        </w:rPr>
        <w:t xml:space="preserve">the </w:t>
      </w:r>
      <w:r w:rsidR="00F8486D" w:rsidRPr="00724676">
        <w:rPr>
          <w:rFonts w:cs="Times New Roman"/>
          <w:noProof/>
          <w:szCs w:val="24"/>
          <w:lang w:val="en-GB"/>
        </w:rPr>
        <w:t xml:space="preserve">main </w:t>
      </w:r>
      <w:r w:rsidR="00AA6FEF">
        <w:rPr>
          <w:rFonts w:cs="Times New Roman"/>
          <w:noProof/>
          <w:szCs w:val="24"/>
          <w:lang w:val="en-GB"/>
        </w:rPr>
        <w:t xml:space="preserve">types of </w:t>
      </w:r>
      <w:r w:rsidR="00F8486D" w:rsidRPr="00724676">
        <w:rPr>
          <w:rFonts w:cs="Times New Roman"/>
          <w:noProof/>
          <w:szCs w:val="24"/>
          <w:lang w:val="en-GB"/>
        </w:rPr>
        <w:t>farming</w:t>
      </w:r>
      <w:r w:rsidR="009A4AE1" w:rsidRPr="00724676">
        <w:rPr>
          <w:rFonts w:cs="Times New Roman"/>
          <w:noProof/>
          <w:szCs w:val="24"/>
          <w:lang w:val="en-GB"/>
        </w:rPr>
        <w:t>,</w:t>
      </w:r>
      <w:r w:rsidR="00F8486D" w:rsidRPr="00724676">
        <w:rPr>
          <w:rFonts w:cs="Times New Roman"/>
          <w:noProof/>
          <w:szCs w:val="24"/>
          <w:lang w:val="en-GB"/>
        </w:rPr>
        <w:t xml:space="preserve"> and which avoids unnecessary rigidities. </w:t>
      </w:r>
      <w:r w:rsidR="00763E41" w:rsidRPr="00724676">
        <w:rPr>
          <w:rFonts w:cs="Times New Roman"/>
          <w:noProof/>
          <w:szCs w:val="24"/>
          <w:lang w:val="en-GB"/>
        </w:rPr>
        <w:t>T</w:t>
      </w:r>
      <w:r w:rsidR="00F8486D" w:rsidRPr="00724676">
        <w:rPr>
          <w:rFonts w:cs="Times New Roman"/>
          <w:noProof/>
          <w:szCs w:val="24"/>
          <w:lang w:val="en-GB"/>
        </w:rPr>
        <w:t xml:space="preserve">he option </w:t>
      </w:r>
      <w:r w:rsidR="00763E41" w:rsidRPr="00724676">
        <w:rPr>
          <w:rFonts w:cs="Times New Roman"/>
          <w:noProof/>
          <w:szCs w:val="24"/>
          <w:lang w:val="en-GB"/>
        </w:rPr>
        <w:t>of</w:t>
      </w:r>
      <w:r w:rsidR="00F8486D" w:rsidRPr="00724676">
        <w:rPr>
          <w:rFonts w:cs="Times New Roman"/>
          <w:noProof/>
          <w:szCs w:val="24"/>
          <w:lang w:val="en-GB"/>
        </w:rPr>
        <w:t xml:space="preserve"> a </w:t>
      </w:r>
      <w:r w:rsidR="00F8486D" w:rsidRPr="00724676">
        <w:rPr>
          <w:rFonts w:cs="Times New Roman"/>
          <w:b/>
          <w:bCs/>
          <w:noProof/>
          <w:szCs w:val="24"/>
          <w:lang w:val="en-GB"/>
        </w:rPr>
        <w:t>yearly diversification</w:t>
      </w:r>
      <w:r w:rsidR="00F8486D" w:rsidRPr="00724676">
        <w:rPr>
          <w:rFonts w:cs="Times New Roman"/>
          <w:noProof/>
          <w:szCs w:val="24"/>
          <w:lang w:val="en-GB"/>
        </w:rPr>
        <w:t xml:space="preserve"> of crops </w:t>
      </w:r>
      <w:r w:rsidR="00CC2FCF" w:rsidRPr="00724676">
        <w:rPr>
          <w:rFonts w:cs="Times New Roman"/>
          <w:noProof/>
          <w:szCs w:val="24"/>
          <w:lang w:val="en-GB"/>
        </w:rPr>
        <w:t>(</w:t>
      </w:r>
      <w:r w:rsidR="00DE38E9" w:rsidRPr="00724676">
        <w:rPr>
          <w:rFonts w:cs="Times New Roman"/>
          <w:noProof/>
          <w:szCs w:val="24"/>
          <w:lang w:val="en-GB"/>
        </w:rPr>
        <w:t xml:space="preserve">measure </w:t>
      </w:r>
      <w:r w:rsidR="00694955" w:rsidRPr="00724676">
        <w:rPr>
          <w:rFonts w:cs="Times New Roman"/>
          <w:noProof/>
          <w:szCs w:val="24"/>
          <w:lang w:val="en-GB"/>
        </w:rPr>
        <w:t>B.1 in Annex</w:t>
      </w:r>
      <w:r w:rsidR="00EB391F">
        <w:rPr>
          <w:rFonts w:cs="Times New Roman"/>
          <w:noProof/>
          <w:szCs w:val="24"/>
          <w:lang w:val="en-GB"/>
        </w:rPr>
        <w:t> </w:t>
      </w:r>
      <w:r w:rsidR="00694955" w:rsidRPr="00724676">
        <w:rPr>
          <w:rFonts w:cs="Times New Roman"/>
          <w:noProof/>
          <w:szCs w:val="24"/>
          <w:lang w:val="en-GB"/>
        </w:rPr>
        <w:t xml:space="preserve">1) </w:t>
      </w:r>
      <w:r w:rsidR="00736DF8" w:rsidRPr="00724676">
        <w:rPr>
          <w:rFonts w:cs="Times New Roman"/>
          <w:noProof/>
          <w:szCs w:val="24"/>
          <w:lang w:val="en-GB"/>
        </w:rPr>
        <w:t>provides</w:t>
      </w:r>
      <w:r w:rsidR="009A4AE1" w:rsidRPr="00724676">
        <w:rPr>
          <w:rFonts w:cs="Times New Roman"/>
          <w:noProof/>
          <w:szCs w:val="24"/>
          <w:lang w:val="en-GB"/>
        </w:rPr>
        <w:t xml:space="preserve"> further</w:t>
      </w:r>
      <w:r w:rsidR="00F8486D" w:rsidRPr="00724676">
        <w:rPr>
          <w:rFonts w:cs="Times New Roman"/>
          <w:noProof/>
          <w:szCs w:val="24"/>
          <w:lang w:val="en-GB"/>
        </w:rPr>
        <w:t xml:space="preserve"> flexibility for</w:t>
      </w:r>
      <w:r w:rsidR="00F8486D" w:rsidRPr="00724676">
        <w:rPr>
          <w:rFonts w:cs="Times New Roman"/>
          <w:b/>
          <w:bCs/>
          <w:noProof/>
          <w:szCs w:val="24"/>
          <w:lang w:val="en-GB"/>
        </w:rPr>
        <w:t xml:space="preserve"> </w:t>
      </w:r>
      <w:r w:rsidR="00790982" w:rsidRPr="00724676">
        <w:rPr>
          <w:rFonts w:cs="Times New Roman"/>
          <w:b/>
          <w:bCs/>
          <w:noProof/>
          <w:szCs w:val="24"/>
          <w:lang w:val="en-GB"/>
        </w:rPr>
        <w:t>managing</w:t>
      </w:r>
      <w:r w:rsidR="00F8486D" w:rsidRPr="00724676">
        <w:rPr>
          <w:rFonts w:cs="Times New Roman"/>
          <w:b/>
          <w:bCs/>
          <w:noProof/>
          <w:szCs w:val="24"/>
          <w:lang w:val="en-GB"/>
        </w:rPr>
        <w:t xml:space="preserve"> parcel allocation</w:t>
      </w:r>
      <w:r w:rsidR="00BD03D9">
        <w:rPr>
          <w:rFonts w:cs="Times New Roman"/>
          <w:b/>
          <w:bCs/>
          <w:noProof/>
          <w:szCs w:val="24"/>
          <w:lang w:val="en-GB"/>
        </w:rPr>
        <w:t xml:space="preserve">. </w:t>
      </w:r>
      <w:r w:rsidR="00BD03D9">
        <w:rPr>
          <w:rFonts w:cs="Times New Roman"/>
          <w:noProof/>
          <w:szCs w:val="24"/>
          <w:lang w:val="en-GB"/>
        </w:rPr>
        <w:t>This</w:t>
      </w:r>
      <w:r w:rsidR="00CA20C6" w:rsidRPr="00724676">
        <w:rPr>
          <w:rFonts w:cs="Times New Roman"/>
          <w:noProof/>
          <w:szCs w:val="24"/>
          <w:lang w:val="en-GB"/>
        </w:rPr>
        <w:t xml:space="preserve"> can be useful for some farming systems</w:t>
      </w:r>
      <w:r w:rsidR="00BD03D9">
        <w:rPr>
          <w:rFonts w:cs="Times New Roman"/>
          <w:noProof/>
          <w:szCs w:val="24"/>
          <w:lang w:val="en-GB"/>
        </w:rPr>
        <w:t>, and the actual situation on farms,</w:t>
      </w:r>
      <w:r w:rsidR="00CA20C6" w:rsidRPr="00724676">
        <w:rPr>
          <w:rFonts w:cs="Times New Roman"/>
          <w:noProof/>
          <w:szCs w:val="24"/>
          <w:lang w:val="en-GB"/>
        </w:rPr>
        <w:t xml:space="preserve"> </w:t>
      </w:r>
      <w:r w:rsidR="00BD03D9">
        <w:rPr>
          <w:rFonts w:cs="Times New Roman"/>
          <w:noProof/>
          <w:szCs w:val="24"/>
          <w:lang w:val="en-GB"/>
        </w:rPr>
        <w:t xml:space="preserve">by </w:t>
      </w:r>
      <w:r w:rsidR="00F366C3" w:rsidRPr="00724676">
        <w:rPr>
          <w:rFonts w:cs="Times New Roman"/>
          <w:b/>
          <w:bCs/>
          <w:noProof/>
          <w:szCs w:val="24"/>
          <w:lang w:val="en-GB"/>
        </w:rPr>
        <w:t xml:space="preserve">reducing </w:t>
      </w:r>
      <w:r w:rsidR="00EB5943" w:rsidRPr="00724676">
        <w:rPr>
          <w:rFonts w:cs="Times New Roman"/>
          <w:b/>
          <w:bCs/>
          <w:noProof/>
          <w:szCs w:val="24"/>
          <w:lang w:val="en-GB"/>
        </w:rPr>
        <w:t xml:space="preserve">uncertainty </w:t>
      </w:r>
      <w:r w:rsidR="00F366C3" w:rsidRPr="00724676">
        <w:rPr>
          <w:rFonts w:cs="Times New Roman"/>
          <w:b/>
          <w:bCs/>
          <w:noProof/>
          <w:szCs w:val="24"/>
          <w:lang w:val="en-GB"/>
        </w:rPr>
        <w:t>costs</w:t>
      </w:r>
      <w:r w:rsidR="00C2196C" w:rsidRPr="00724676">
        <w:rPr>
          <w:rFonts w:cs="Times New Roman"/>
          <w:b/>
          <w:bCs/>
          <w:noProof/>
          <w:szCs w:val="24"/>
          <w:lang w:val="en-GB"/>
        </w:rPr>
        <w:t xml:space="preserve"> </w:t>
      </w:r>
      <w:r w:rsidR="00F8486D" w:rsidRPr="00724676">
        <w:rPr>
          <w:rFonts w:cs="Times New Roman"/>
          <w:noProof/>
          <w:szCs w:val="24"/>
          <w:lang w:val="en-GB"/>
        </w:rPr>
        <w:t xml:space="preserve">while still serving the objective of </w:t>
      </w:r>
      <w:r w:rsidR="00790982" w:rsidRPr="00724676">
        <w:rPr>
          <w:rFonts w:cs="Times New Roman"/>
          <w:noProof/>
          <w:szCs w:val="24"/>
          <w:lang w:val="en-GB"/>
        </w:rPr>
        <w:t xml:space="preserve">preserving soil potential, </w:t>
      </w:r>
      <w:r w:rsidR="00AC65E5" w:rsidRPr="00724676">
        <w:rPr>
          <w:rFonts w:cs="Times New Roman"/>
          <w:noProof/>
          <w:szCs w:val="24"/>
          <w:lang w:val="en-GB"/>
        </w:rPr>
        <w:t>and</w:t>
      </w:r>
      <w:r w:rsidR="00790982" w:rsidRPr="00724676">
        <w:rPr>
          <w:rFonts w:cs="Times New Roman"/>
          <w:noProof/>
          <w:szCs w:val="24"/>
          <w:lang w:val="en-GB"/>
        </w:rPr>
        <w:t xml:space="preserve"> thus also</w:t>
      </w:r>
      <w:r w:rsidR="00BD03D9">
        <w:rPr>
          <w:rFonts w:cs="Times New Roman"/>
          <w:noProof/>
          <w:szCs w:val="24"/>
          <w:lang w:val="en-GB"/>
        </w:rPr>
        <w:t xml:space="preserve"> the</w:t>
      </w:r>
      <w:r w:rsidR="00790982" w:rsidRPr="00724676">
        <w:rPr>
          <w:rFonts w:cs="Times New Roman"/>
          <w:noProof/>
          <w:szCs w:val="24"/>
          <w:lang w:val="en-GB"/>
        </w:rPr>
        <w:t xml:space="preserve"> </w:t>
      </w:r>
      <w:r w:rsidR="00790982" w:rsidRPr="00724676">
        <w:rPr>
          <w:rFonts w:cs="Times New Roman"/>
          <w:b/>
          <w:bCs/>
          <w:noProof/>
          <w:szCs w:val="24"/>
          <w:lang w:val="en-GB"/>
        </w:rPr>
        <w:t xml:space="preserve">productivity of </w:t>
      </w:r>
      <w:r w:rsidR="00BD03D9">
        <w:rPr>
          <w:rFonts w:cs="Times New Roman"/>
          <w:b/>
          <w:bCs/>
          <w:noProof/>
          <w:szCs w:val="24"/>
          <w:lang w:val="en-GB"/>
        </w:rPr>
        <w:t xml:space="preserve">the </w:t>
      </w:r>
      <w:r w:rsidR="00790982" w:rsidRPr="00724676">
        <w:rPr>
          <w:rFonts w:cs="Times New Roman"/>
          <w:b/>
          <w:bCs/>
          <w:noProof/>
          <w:szCs w:val="24"/>
          <w:lang w:val="en-GB"/>
        </w:rPr>
        <w:t>land</w:t>
      </w:r>
      <w:r w:rsidR="00F8486D" w:rsidRPr="00724676">
        <w:rPr>
          <w:rFonts w:cs="Times New Roman"/>
          <w:noProof/>
          <w:szCs w:val="24"/>
          <w:lang w:val="en-GB"/>
        </w:rPr>
        <w:t xml:space="preserve">. </w:t>
      </w:r>
    </w:p>
    <w:p w14:paraId="04BFD150" w14:textId="4909FFF8" w:rsidR="007F3506" w:rsidRPr="00406DFD" w:rsidRDefault="00BD03D9" w:rsidP="000E54CE">
      <w:pPr>
        <w:spacing w:after="120"/>
        <w:jc w:val="both"/>
        <w:rPr>
          <w:rFonts w:cs="Times New Roman"/>
          <w:noProof/>
          <w:szCs w:val="24"/>
          <w:lang w:val="en-GB"/>
        </w:rPr>
      </w:pPr>
      <w:r w:rsidRPr="6FE283EC">
        <w:rPr>
          <w:rFonts w:cs="Times New Roman"/>
          <w:noProof/>
          <w:lang w:val="en-GB"/>
        </w:rPr>
        <w:t>It is difficult to make an a</w:t>
      </w:r>
      <w:r w:rsidR="00306403" w:rsidRPr="6FE283EC">
        <w:rPr>
          <w:rFonts w:cs="Times New Roman"/>
          <w:noProof/>
          <w:lang w:val="en-GB"/>
        </w:rPr>
        <w:t xml:space="preserve">ssessment of </w:t>
      </w:r>
      <w:r w:rsidRPr="6FE283EC">
        <w:rPr>
          <w:rFonts w:cs="Times New Roman"/>
          <w:noProof/>
          <w:lang w:val="en-GB"/>
        </w:rPr>
        <w:t xml:space="preserve">the </w:t>
      </w:r>
      <w:r w:rsidR="00306403" w:rsidRPr="6FE283EC">
        <w:rPr>
          <w:rFonts w:cs="Times New Roman"/>
          <w:noProof/>
          <w:lang w:val="en-GB"/>
        </w:rPr>
        <w:t>impact (</w:t>
      </w:r>
      <w:r w:rsidRPr="6FE283EC">
        <w:rPr>
          <w:rFonts w:cs="Times New Roman"/>
          <w:noProof/>
          <w:lang w:val="en-GB"/>
        </w:rPr>
        <w:t xml:space="preserve">both </w:t>
      </w:r>
      <w:r w:rsidR="00306403" w:rsidRPr="6FE283EC">
        <w:rPr>
          <w:rFonts w:cs="Times New Roman"/>
          <w:noProof/>
          <w:lang w:val="en-GB"/>
        </w:rPr>
        <w:t xml:space="preserve">economic </w:t>
      </w:r>
      <w:r w:rsidRPr="6FE283EC">
        <w:rPr>
          <w:rFonts w:cs="Times New Roman"/>
          <w:noProof/>
          <w:lang w:val="en-GB"/>
        </w:rPr>
        <w:t>and</w:t>
      </w:r>
      <w:r w:rsidR="00306403" w:rsidRPr="6FE283EC">
        <w:rPr>
          <w:rFonts w:cs="Times New Roman"/>
          <w:noProof/>
          <w:lang w:val="en-GB"/>
        </w:rPr>
        <w:t xml:space="preserve"> environmental</w:t>
      </w:r>
      <w:r w:rsidR="00F34780" w:rsidRPr="6FE283EC">
        <w:rPr>
          <w:rFonts w:cs="Times New Roman"/>
          <w:noProof/>
          <w:lang w:val="en-GB"/>
        </w:rPr>
        <w:t xml:space="preserve">, see </w:t>
      </w:r>
      <w:r w:rsidR="2C046CAA" w:rsidRPr="6FE283EC">
        <w:rPr>
          <w:rFonts w:cs="Times New Roman"/>
          <w:noProof/>
          <w:lang w:val="en-GB"/>
        </w:rPr>
        <w:t>Section 6</w:t>
      </w:r>
      <w:r w:rsidR="2C046CAA" w:rsidRPr="00406DFD">
        <w:rPr>
          <w:rFonts w:cs="Times New Roman"/>
          <w:noProof/>
          <w:szCs w:val="24"/>
          <w:lang w:val="en-GB"/>
        </w:rPr>
        <w:t>.3</w:t>
      </w:r>
      <w:r w:rsidR="00306403" w:rsidRPr="00406DFD">
        <w:rPr>
          <w:rFonts w:cs="Times New Roman"/>
          <w:noProof/>
          <w:szCs w:val="24"/>
          <w:lang w:val="en-GB"/>
        </w:rPr>
        <w:t xml:space="preserve">) of </w:t>
      </w:r>
      <w:r w:rsidRPr="00406DFD">
        <w:rPr>
          <w:rFonts w:cs="Times New Roman"/>
          <w:b/>
          <w:noProof/>
          <w:szCs w:val="24"/>
          <w:lang w:val="en-GB"/>
        </w:rPr>
        <w:t>removing</w:t>
      </w:r>
      <w:r w:rsidRPr="00406DFD">
        <w:rPr>
          <w:rFonts w:cs="Times New Roman"/>
          <w:noProof/>
          <w:szCs w:val="24"/>
          <w:lang w:val="en-GB"/>
        </w:rPr>
        <w:t xml:space="preserve"> </w:t>
      </w:r>
      <w:r w:rsidR="0886E37F" w:rsidRPr="00406DFD">
        <w:rPr>
          <w:rFonts w:cs="Times New Roman"/>
          <w:noProof/>
          <w:szCs w:val="24"/>
          <w:lang w:val="en-GB"/>
        </w:rPr>
        <w:t>the</w:t>
      </w:r>
      <w:r w:rsidR="6740D3E9" w:rsidRPr="00406DFD">
        <w:rPr>
          <w:rFonts w:cs="Times New Roman"/>
          <w:noProof/>
          <w:szCs w:val="24"/>
          <w:lang w:val="en-GB"/>
        </w:rPr>
        <w:t xml:space="preserve"> </w:t>
      </w:r>
      <w:r w:rsidR="6740D3E9" w:rsidRPr="00406DFD">
        <w:rPr>
          <w:rFonts w:cs="Times New Roman"/>
          <w:b/>
          <w:noProof/>
          <w:szCs w:val="24"/>
          <w:lang w:val="en-GB"/>
        </w:rPr>
        <w:t>GAEC 8</w:t>
      </w:r>
      <w:r w:rsidR="562D7487" w:rsidRPr="00406DFD">
        <w:rPr>
          <w:rFonts w:cs="Times New Roman"/>
          <w:b/>
          <w:noProof/>
          <w:szCs w:val="24"/>
          <w:lang w:val="en-GB"/>
        </w:rPr>
        <w:t xml:space="preserve"> first requirement</w:t>
      </w:r>
      <w:r w:rsidR="00306403" w:rsidRPr="00406DFD">
        <w:rPr>
          <w:rFonts w:cs="Times New Roman"/>
          <w:b/>
          <w:noProof/>
          <w:szCs w:val="24"/>
          <w:lang w:val="en-GB"/>
        </w:rPr>
        <w:t xml:space="preserve"> </w:t>
      </w:r>
      <w:r w:rsidR="00306403" w:rsidRPr="003E7CF4">
        <w:rPr>
          <w:rFonts w:cs="Times New Roman"/>
          <w:noProof/>
          <w:szCs w:val="24"/>
          <w:lang w:val="en-GB"/>
        </w:rPr>
        <w:t>(</w:t>
      </w:r>
      <w:r w:rsidR="00EB391F" w:rsidRPr="00406DFD">
        <w:rPr>
          <w:rFonts w:cs="Times New Roman"/>
          <w:b/>
          <w:noProof/>
          <w:szCs w:val="24"/>
          <w:lang w:val="en-GB"/>
        </w:rPr>
        <w:t xml:space="preserve">the </w:t>
      </w:r>
      <w:r w:rsidR="00306403" w:rsidRPr="00406DFD">
        <w:rPr>
          <w:rFonts w:cs="Times New Roman"/>
          <w:b/>
          <w:noProof/>
          <w:szCs w:val="24"/>
          <w:lang w:val="en-GB"/>
        </w:rPr>
        <w:t xml:space="preserve">share of non-productive </w:t>
      </w:r>
      <w:r w:rsidR="00562EBB" w:rsidRPr="00406DFD">
        <w:rPr>
          <w:rFonts w:cs="Times New Roman"/>
          <w:b/>
          <w:noProof/>
          <w:szCs w:val="24"/>
          <w:lang w:val="en-GB"/>
        </w:rPr>
        <w:t>areas and features</w:t>
      </w:r>
      <w:r w:rsidR="00694955" w:rsidRPr="00406DFD">
        <w:rPr>
          <w:rFonts w:cs="Times New Roman"/>
          <w:b/>
          <w:noProof/>
          <w:szCs w:val="24"/>
          <w:lang w:val="en-GB"/>
        </w:rPr>
        <w:t xml:space="preserve">, </w:t>
      </w:r>
      <w:r w:rsidR="00694955" w:rsidRPr="00406DFD">
        <w:rPr>
          <w:rFonts w:cs="Times New Roman"/>
          <w:noProof/>
          <w:szCs w:val="24"/>
          <w:lang w:val="en-GB"/>
        </w:rPr>
        <w:t>measure B.1 in Annex 1</w:t>
      </w:r>
      <w:r w:rsidR="666E078E" w:rsidRPr="003E7CF4">
        <w:rPr>
          <w:rFonts w:cs="Times New Roman"/>
          <w:noProof/>
          <w:szCs w:val="24"/>
          <w:lang w:val="en-GB"/>
        </w:rPr>
        <w:t>)</w:t>
      </w:r>
      <w:r w:rsidR="00306403" w:rsidRPr="00406DFD">
        <w:rPr>
          <w:rFonts w:cs="Times New Roman"/>
          <w:noProof/>
          <w:szCs w:val="24"/>
          <w:lang w:val="en-GB"/>
        </w:rPr>
        <w:t xml:space="preserve"> </w:t>
      </w:r>
      <w:r w:rsidRPr="00406DFD">
        <w:rPr>
          <w:rFonts w:cs="Times New Roman"/>
          <w:noProof/>
          <w:szCs w:val="24"/>
          <w:lang w:val="en-GB"/>
        </w:rPr>
        <w:t>due to</w:t>
      </w:r>
      <w:r w:rsidR="00306403" w:rsidRPr="00406DFD">
        <w:rPr>
          <w:rFonts w:cs="Times New Roman"/>
          <w:noProof/>
          <w:szCs w:val="24"/>
          <w:lang w:val="en-GB"/>
        </w:rPr>
        <w:t xml:space="preserve">: (i) </w:t>
      </w:r>
      <w:r w:rsidRPr="00406DFD">
        <w:rPr>
          <w:rFonts w:cs="Times New Roman"/>
          <w:noProof/>
          <w:szCs w:val="24"/>
          <w:lang w:val="en-GB"/>
        </w:rPr>
        <w:t>t</w:t>
      </w:r>
      <w:r w:rsidR="00BE4D36" w:rsidRPr="00406DFD">
        <w:rPr>
          <w:rFonts w:cs="Times New Roman"/>
          <w:noProof/>
          <w:szCs w:val="24"/>
          <w:lang w:val="en-GB"/>
        </w:rPr>
        <w:t>he</w:t>
      </w:r>
      <w:r w:rsidR="007A3E92" w:rsidRPr="00406DFD">
        <w:rPr>
          <w:rFonts w:cs="Times New Roman"/>
          <w:noProof/>
          <w:szCs w:val="24"/>
          <w:lang w:val="en-GB"/>
        </w:rPr>
        <w:t xml:space="preserve"> </w:t>
      </w:r>
      <w:r w:rsidR="00FF4DB7" w:rsidRPr="00406DFD">
        <w:rPr>
          <w:rFonts w:cs="Times New Roman"/>
          <w:noProof/>
          <w:szCs w:val="24"/>
          <w:lang w:val="en-GB"/>
        </w:rPr>
        <w:t>l</w:t>
      </w:r>
      <w:r w:rsidR="00306403" w:rsidRPr="00406DFD">
        <w:rPr>
          <w:rFonts w:cs="Times New Roman"/>
          <w:noProof/>
          <w:szCs w:val="24"/>
          <w:lang w:val="en-GB"/>
        </w:rPr>
        <w:t xml:space="preserve">ack of reference </w:t>
      </w:r>
      <w:r w:rsidR="00A6735D" w:rsidRPr="00406DFD">
        <w:rPr>
          <w:rFonts w:cs="Times New Roman"/>
          <w:noProof/>
          <w:szCs w:val="24"/>
          <w:lang w:val="en-GB"/>
        </w:rPr>
        <w:t xml:space="preserve">data </w:t>
      </w:r>
      <w:r w:rsidR="00FD110B" w:rsidRPr="00406DFD">
        <w:rPr>
          <w:rFonts w:cs="Times New Roman"/>
          <w:noProof/>
          <w:szCs w:val="24"/>
          <w:lang w:val="en-GB"/>
        </w:rPr>
        <w:t xml:space="preserve">on </w:t>
      </w:r>
      <w:r w:rsidR="00306403" w:rsidRPr="00406DFD">
        <w:rPr>
          <w:rFonts w:cs="Times New Roman"/>
          <w:noProof/>
          <w:szCs w:val="24"/>
          <w:lang w:val="en-GB"/>
        </w:rPr>
        <w:t xml:space="preserve">the implementation of </w:t>
      </w:r>
      <w:r w:rsidR="00E97661" w:rsidRPr="00406DFD">
        <w:rPr>
          <w:rFonts w:cs="Times New Roman"/>
          <w:noProof/>
          <w:szCs w:val="24"/>
          <w:lang w:val="en-GB"/>
        </w:rPr>
        <w:t>that requirement</w:t>
      </w:r>
      <w:r w:rsidR="00306403" w:rsidRPr="00406DFD">
        <w:rPr>
          <w:rFonts w:cs="Times New Roman"/>
          <w:noProof/>
          <w:szCs w:val="24"/>
          <w:lang w:val="en-GB"/>
        </w:rPr>
        <w:t xml:space="preserve">; (ii) </w:t>
      </w:r>
      <w:r w:rsidR="00514767" w:rsidRPr="00406DFD">
        <w:rPr>
          <w:rFonts w:cs="Times New Roman"/>
          <w:noProof/>
          <w:szCs w:val="24"/>
          <w:lang w:val="en-GB"/>
        </w:rPr>
        <w:t>the</w:t>
      </w:r>
      <w:r w:rsidR="00306403" w:rsidRPr="00406DFD">
        <w:rPr>
          <w:rFonts w:cs="Times New Roman"/>
          <w:noProof/>
          <w:szCs w:val="24"/>
          <w:lang w:val="en-GB"/>
        </w:rPr>
        <w:t xml:space="preserve"> </w:t>
      </w:r>
      <w:r w:rsidR="009B0CD3" w:rsidRPr="00406DFD">
        <w:rPr>
          <w:rFonts w:cs="Times New Roman"/>
          <w:noProof/>
          <w:szCs w:val="24"/>
          <w:lang w:val="en-GB"/>
        </w:rPr>
        <w:t xml:space="preserve">lack of information on the extent to which farmers would declare </w:t>
      </w:r>
      <w:r w:rsidR="00306403" w:rsidRPr="00406DFD">
        <w:rPr>
          <w:rFonts w:cs="Times New Roman"/>
          <w:noProof/>
          <w:szCs w:val="24"/>
          <w:lang w:val="en-GB"/>
        </w:rPr>
        <w:t>exist</w:t>
      </w:r>
      <w:r w:rsidR="009322BE" w:rsidRPr="00406DFD">
        <w:rPr>
          <w:rFonts w:cs="Times New Roman"/>
          <w:noProof/>
          <w:szCs w:val="24"/>
          <w:lang w:val="en-GB"/>
        </w:rPr>
        <w:t>ing</w:t>
      </w:r>
      <w:r w:rsidR="00306403" w:rsidRPr="00406DFD">
        <w:rPr>
          <w:rFonts w:cs="Times New Roman"/>
          <w:noProof/>
          <w:szCs w:val="24"/>
          <w:lang w:val="en-GB"/>
        </w:rPr>
        <w:t xml:space="preserve"> landscape </w:t>
      </w:r>
      <w:r w:rsidR="00306403" w:rsidRPr="00534FAE">
        <w:rPr>
          <w:rFonts w:cs="Times New Roman"/>
          <w:noProof/>
          <w:szCs w:val="24"/>
          <w:lang w:val="en-GB"/>
        </w:rPr>
        <w:t xml:space="preserve">features </w:t>
      </w:r>
      <w:r w:rsidRPr="00534FAE">
        <w:rPr>
          <w:rFonts w:cs="Times New Roman"/>
          <w:noProof/>
          <w:szCs w:val="24"/>
          <w:lang w:val="en-GB"/>
        </w:rPr>
        <w:t xml:space="preserve">or </w:t>
      </w:r>
      <w:r w:rsidR="00306403" w:rsidRPr="00534FAE">
        <w:rPr>
          <w:rFonts w:cs="Times New Roman"/>
          <w:noProof/>
          <w:szCs w:val="24"/>
          <w:lang w:val="en-GB"/>
        </w:rPr>
        <w:t>fallow land</w:t>
      </w:r>
      <w:r w:rsidR="00306403" w:rsidRPr="00406DFD">
        <w:rPr>
          <w:rFonts w:cs="Times New Roman"/>
          <w:noProof/>
          <w:szCs w:val="24"/>
          <w:lang w:val="en-GB"/>
        </w:rPr>
        <w:t xml:space="preserve"> </w:t>
      </w:r>
      <w:r w:rsidR="009322BE" w:rsidRPr="00406DFD">
        <w:rPr>
          <w:rFonts w:cs="Times New Roman"/>
          <w:noProof/>
          <w:szCs w:val="24"/>
          <w:lang w:val="en-GB"/>
        </w:rPr>
        <w:t>to fulfil</w:t>
      </w:r>
      <w:r w:rsidR="00306403" w:rsidRPr="00406DFD">
        <w:rPr>
          <w:rFonts w:cs="Times New Roman"/>
          <w:noProof/>
          <w:szCs w:val="24"/>
          <w:lang w:val="en-GB"/>
        </w:rPr>
        <w:t xml:space="preserve"> </w:t>
      </w:r>
      <w:r w:rsidRPr="00406DFD">
        <w:rPr>
          <w:rFonts w:cs="Times New Roman"/>
          <w:noProof/>
          <w:szCs w:val="24"/>
          <w:lang w:val="en-GB"/>
        </w:rPr>
        <w:t>the requirement</w:t>
      </w:r>
      <w:r w:rsidR="00306403" w:rsidRPr="00406DFD">
        <w:rPr>
          <w:rFonts w:cs="Times New Roman"/>
          <w:noProof/>
          <w:szCs w:val="24"/>
          <w:lang w:val="en-GB"/>
        </w:rPr>
        <w:t xml:space="preserve">; </w:t>
      </w:r>
      <w:r w:rsidR="00534FAE" w:rsidRPr="00406DFD">
        <w:rPr>
          <w:rFonts w:cs="Times New Roman"/>
          <w:noProof/>
          <w:szCs w:val="24"/>
          <w:lang w:val="en-GB"/>
        </w:rPr>
        <w:br/>
      </w:r>
      <w:r w:rsidR="00306403" w:rsidRPr="00406DFD">
        <w:rPr>
          <w:rFonts w:cs="Times New Roman"/>
          <w:noProof/>
          <w:szCs w:val="24"/>
          <w:lang w:val="en-GB"/>
        </w:rPr>
        <w:t xml:space="preserve">(iii) the future coverage </w:t>
      </w:r>
      <w:r w:rsidR="006F603D" w:rsidRPr="00406DFD">
        <w:rPr>
          <w:rFonts w:cs="Times New Roman"/>
          <w:noProof/>
          <w:szCs w:val="24"/>
          <w:lang w:val="en-GB"/>
        </w:rPr>
        <w:t>(Member States are not obliged to have interventions with the same scope as the deleted GAEC</w:t>
      </w:r>
      <w:r w:rsidR="007F71D7" w:rsidRPr="00406DFD">
        <w:rPr>
          <w:rFonts w:cs="Times New Roman"/>
          <w:noProof/>
          <w:szCs w:val="24"/>
          <w:lang w:val="en-GB"/>
        </w:rPr>
        <w:t xml:space="preserve"> </w:t>
      </w:r>
      <w:r w:rsidR="009A7F48" w:rsidRPr="00406DFD">
        <w:rPr>
          <w:rFonts w:cs="Times New Roman"/>
          <w:noProof/>
          <w:szCs w:val="24"/>
          <w:lang w:val="en-GB"/>
        </w:rPr>
        <w:t xml:space="preserve">8 </w:t>
      </w:r>
      <w:r w:rsidR="007F71D7" w:rsidRPr="00406DFD">
        <w:rPr>
          <w:rFonts w:cs="Times New Roman"/>
          <w:noProof/>
          <w:szCs w:val="24"/>
          <w:lang w:val="en-GB"/>
        </w:rPr>
        <w:t>requirement</w:t>
      </w:r>
      <w:r w:rsidR="006F603D" w:rsidRPr="00406DFD">
        <w:rPr>
          <w:rFonts w:cs="Times New Roman"/>
          <w:noProof/>
          <w:szCs w:val="24"/>
          <w:lang w:val="en-GB"/>
        </w:rPr>
        <w:t xml:space="preserve">), uptake </w:t>
      </w:r>
      <w:r w:rsidR="00306403" w:rsidRPr="00406DFD">
        <w:rPr>
          <w:rFonts w:cs="Times New Roman"/>
          <w:noProof/>
          <w:szCs w:val="24"/>
          <w:lang w:val="en-GB"/>
        </w:rPr>
        <w:t xml:space="preserve">and impact of the eco-scheme to be </w:t>
      </w:r>
      <w:r w:rsidR="00B6174E" w:rsidRPr="00406DFD">
        <w:rPr>
          <w:rFonts w:cs="Times New Roman"/>
          <w:noProof/>
          <w:szCs w:val="24"/>
          <w:lang w:val="en-GB"/>
        </w:rPr>
        <w:t xml:space="preserve">created </w:t>
      </w:r>
      <w:r w:rsidR="00306403" w:rsidRPr="00406DFD">
        <w:rPr>
          <w:rFonts w:cs="Times New Roman"/>
          <w:noProof/>
          <w:szCs w:val="24"/>
          <w:lang w:val="en-GB"/>
        </w:rPr>
        <w:t>by Member States</w:t>
      </w:r>
      <w:r w:rsidR="7F205329" w:rsidRPr="00406DFD">
        <w:rPr>
          <w:rFonts w:cs="Times New Roman"/>
          <w:noProof/>
          <w:szCs w:val="24"/>
          <w:lang w:val="en-GB"/>
        </w:rPr>
        <w:t xml:space="preserve"> </w:t>
      </w:r>
      <w:r w:rsidR="1FDB543D" w:rsidRPr="00406DFD">
        <w:rPr>
          <w:rFonts w:cs="Times New Roman"/>
          <w:noProof/>
          <w:szCs w:val="24"/>
          <w:lang w:val="en-GB"/>
        </w:rPr>
        <w:t>to</w:t>
      </w:r>
      <w:r w:rsidR="00B6174E" w:rsidRPr="00406DFD">
        <w:rPr>
          <w:rFonts w:cs="Times New Roman"/>
          <w:noProof/>
          <w:szCs w:val="24"/>
          <w:lang w:val="en-GB"/>
        </w:rPr>
        <w:t xml:space="preserve"> replace</w:t>
      </w:r>
      <w:r w:rsidR="00306403" w:rsidRPr="00406DFD">
        <w:rPr>
          <w:rFonts w:cs="Times New Roman"/>
          <w:noProof/>
          <w:szCs w:val="24"/>
          <w:lang w:val="en-GB"/>
        </w:rPr>
        <w:t xml:space="preserve"> this GAEC </w:t>
      </w:r>
      <w:r w:rsidR="00A3493D">
        <w:rPr>
          <w:rFonts w:cs="Times New Roman"/>
          <w:noProof/>
          <w:szCs w:val="24"/>
          <w:lang w:val="en-GB"/>
        </w:rPr>
        <w:t xml:space="preserve">8 </w:t>
      </w:r>
      <w:r w:rsidR="008654FD" w:rsidRPr="00406DFD">
        <w:rPr>
          <w:rFonts w:cs="Times New Roman"/>
          <w:noProof/>
          <w:szCs w:val="24"/>
          <w:lang w:val="en-GB"/>
        </w:rPr>
        <w:t xml:space="preserve">requirement </w:t>
      </w:r>
      <w:r w:rsidR="005A3230" w:rsidRPr="00406DFD">
        <w:rPr>
          <w:rFonts w:cs="Times New Roman"/>
          <w:noProof/>
          <w:szCs w:val="24"/>
          <w:lang w:val="en-GB"/>
        </w:rPr>
        <w:t>(</w:t>
      </w:r>
      <w:r w:rsidR="00B6174E" w:rsidRPr="00406DFD">
        <w:rPr>
          <w:rFonts w:cs="Times New Roman"/>
          <w:noProof/>
          <w:szCs w:val="24"/>
          <w:lang w:val="en-GB"/>
        </w:rPr>
        <w:t>s</w:t>
      </w:r>
      <w:r w:rsidR="005A3230" w:rsidRPr="00406DFD">
        <w:rPr>
          <w:rFonts w:cs="Times New Roman"/>
          <w:noProof/>
          <w:szCs w:val="24"/>
          <w:lang w:val="en-GB"/>
        </w:rPr>
        <w:t xml:space="preserve">ee also </w:t>
      </w:r>
      <w:r w:rsidR="00B6174E" w:rsidRPr="00406DFD">
        <w:rPr>
          <w:rFonts w:cs="Times New Roman"/>
          <w:noProof/>
          <w:szCs w:val="24"/>
          <w:lang w:val="en-GB"/>
        </w:rPr>
        <w:t>S</w:t>
      </w:r>
      <w:r w:rsidR="005A3230" w:rsidRPr="00406DFD">
        <w:rPr>
          <w:rFonts w:cs="Times New Roman"/>
          <w:noProof/>
          <w:szCs w:val="24"/>
          <w:lang w:val="en-GB"/>
        </w:rPr>
        <w:t>ection</w:t>
      </w:r>
      <w:r w:rsidR="00FB590F" w:rsidRPr="00406DFD">
        <w:rPr>
          <w:rFonts w:cs="Times New Roman"/>
          <w:noProof/>
          <w:szCs w:val="24"/>
          <w:lang w:val="en-GB"/>
        </w:rPr>
        <w:t xml:space="preserve"> 6.3)</w:t>
      </w:r>
      <w:r w:rsidR="00306403" w:rsidRPr="00406DFD">
        <w:rPr>
          <w:rFonts w:cs="Times New Roman"/>
          <w:noProof/>
          <w:szCs w:val="24"/>
          <w:lang w:val="en-GB"/>
        </w:rPr>
        <w:t>.</w:t>
      </w:r>
    </w:p>
    <w:p w14:paraId="51A7A27B" w14:textId="707F87B6" w:rsidR="00306403" w:rsidRPr="00534FAE" w:rsidRDefault="009033AC" w:rsidP="000E54CE">
      <w:pPr>
        <w:spacing w:after="120"/>
        <w:jc w:val="both"/>
        <w:rPr>
          <w:rFonts w:eastAsia="Times New Roman" w:cs="Times New Roman"/>
          <w:noProof/>
          <w:szCs w:val="24"/>
          <w:lang w:val="en-GB"/>
        </w:rPr>
      </w:pPr>
      <w:r w:rsidRPr="00406DFD">
        <w:rPr>
          <w:rFonts w:cs="Times New Roman"/>
          <w:noProof/>
          <w:szCs w:val="24"/>
          <w:lang w:val="en-GB"/>
        </w:rPr>
        <w:t>Notwithstanding</w:t>
      </w:r>
      <w:r w:rsidR="008654FD" w:rsidRPr="00406DFD">
        <w:rPr>
          <w:rFonts w:cs="Times New Roman"/>
          <w:noProof/>
          <w:szCs w:val="24"/>
          <w:lang w:val="en-GB"/>
        </w:rPr>
        <w:t xml:space="preserve"> these constraints</w:t>
      </w:r>
      <w:r w:rsidR="006A32DE" w:rsidRPr="00406DFD">
        <w:rPr>
          <w:rFonts w:cs="Times New Roman"/>
          <w:noProof/>
          <w:szCs w:val="24"/>
          <w:lang w:val="en-GB"/>
        </w:rPr>
        <w:t xml:space="preserve">, the </w:t>
      </w:r>
      <w:r w:rsidR="006A32DE" w:rsidRPr="00406DFD">
        <w:rPr>
          <w:rFonts w:cs="Times New Roman"/>
          <w:b/>
          <w:noProof/>
          <w:szCs w:val="24"/>
          <w:lang w:val="en-GB"/>
        </w:rPr>
        <w:t>estimate</w:t>
      </w:r>
      <w:r w:rsidR="006A32DE" w:rsidRPr="00406DFD">
        <w:rPr>
          <w:rFonts w:cs="Times New Roman"/>
          <w:noProof/>
          <w:szCs w:val="24"/>
          <w:lang w:val="en-GB"/>
        </w:rPr>
        <w:t xml:space="preserve"> </w:t>
      </w:r>
      <w:r w:rsidR="006359BF" w:rsidRPr="00406DFD">
        <w:rPr>
          <w:rFonts w:cs="Times New Roman"/>
          <w:noProof/>
          <w:szCs w:val="24"/>
          <w:lang w:val="en-GB"/>
        </w:rPr>
        <w:t xml:space="preserve">made </w:t>
      </w:r>
      <w:r w:rsidR="179C4CB4" w:rsidRPr="00406DFD">
        <w:rPr>
          <w:rFonts w:cs="Times New Roman"/>
          <w:noProof/>
          <w:szCs w:val="24"/>
          <w:lang w:val="en-GB"/>
        </w:rPr>
        <w:t>by the Commission</w:t>
      </w:r>
      <w:r w:rsidR="00934DFA" w:rsidRPr="00406DFD">
        <w:rPr>
          <w:rFonts w:cs="Times New Roman"/>
          <w:noProof/>
          <w:szCs w:val="24"/>
          <w:lang w:val="en-GB"/>
        </w:rPr>
        <w:t>’s</w:t>
      </w:r>
      <w:r w:rsidR="179C4CB4" w:rsidRPr="00406DFD">
        <w:rPr>
          <w:rFonts w:cs="Times New Roman"/>
          <w:noProof/>
          <w:szCs w:val="24"/>
          <w:lang w:val="en-GB"/>
        </w:rPr>
        <w:t xml:space="preserve"> Joint Research Centre </w:t>
      </w:r>
      <w:r w:rsidR="06AE01F7" w:rsidRPr="00406DFD">
        <w:rPr>
          <w:rFonts w:cs="Times New Roman"/>
          <w:noProof/>
          <w:szCs w:val="24"/>
          <w:lang w:val="en-GB"/>
        </w:rPr>
        <w:t>through</w:t>
      </w:r>
      <w:r w:rsidR="0032233A" w:rsidRPr="00406DFD">
        <w:rPr>
          <w:rFonts w:cs="Times New Roman"/>
          <w:noProof/>
          <w:szCs w:val="24"/>
          <w:lang w:val="en-GB"/>
        </w:rPr>
        <w:t xml:space="preserve"> the </w:t>
      </w:r>
      <w:r w:rsidR="005805A1" w:rsidRPr="00406DFD">
        <w:rPr>
          <w:rFonts w:eastAsia="Times New Roman" w:cs="Times New Roman"/>
          <w:noProof/>
          <w:szCs w:val="24"/>
          <w:lang w:val="en-GB"/>
        </w:rPr>
        <w:t>‘</w:t>
      </w:r>
      <w:r w:rsidR="00306403" w:rsidRPr="00406DFD">
        <w:rPr>
          <w:rFonts w:eastAsia="Times New Roman" w:cs="Times New Roman"/>
          <w:noProof/>
          <w:szCs w:val="24"/>
          <w:lang w:val="en-GB"/>
        </w:rPr>
        <w:t>Individual Farm Model for Common Agricultural Policy Analysis (IFM-CAP)</w:t>
      </w:r>
      <w:r w:rsidR="00306403" w:rsidRPr="00406DFD">
        <w:rPr>
          <w:rStyle w:val="FootnoteReference"/>
          <w:rFonts w:eastAsia="Times New Roman" w:cs="Times New Roman"/>
          <w:noProof/>
          <w:szCs w:val="24"/>
          <w:lang w:val="en-GB"/>
        </w:rPr>
        <w:footnoteReference w:id="62"/>
      </w:r>
      <w:r w:rsidRPr="00406DFD">
        <w:rPr>
          <w:rFonts w:eastAsia="Times New Roman" w:cs="Times New Roman"/>
          <w:noProof/>
          <w:szCs w:val="24"/>
          <w:lang w:val="en-GB"/>
        </w:rPr>
        <w:t xml:space="preserve"> </w:t>
      </w:r>
      <w:r w:rsidR="00325BA8" w:rsidRPr="00406DFD">
        <w:rPr>
          <w:rFonts w:eastAsia="Times New Roman" w:cs="Times New Roman"/>
          <w:noProof/>
          <w:szCs w:val="24"/>
          <w:lang w:val="en-GB"/>
        </w:rPr>
        <w:t xml:space="preserve">and based on </w:t>
      </w:r>
      <w:r w:rsidR="00B6174E" w:rsidRPr="00406DFD">
        <w:rPr>
          <w:rFonts w:eastAsia="Times New Roman" w:cs="Times New Roman"/>
          <w:noProof/>
          <w:szCs w:val="24"/>
          <w:lang w:val="en-GB"/>
        </w:rPr>
        <w:t xml:space="preserve">data from the </w:t>
      </w:r>
      <w:r w:rsidR="00325BA8" w:rsidRPr="00406DFD">
        <w:rPr>
          <w:rFonts w:eastAsia="Times New Roman" w:cs="Times New Roman"/>
          <w:noProof/>
          <w:szCs w:val="24"/>
          <w:lang w:val="en-GB"/>
        </w:rPr>
        <w:t>Farm Accoun</w:t>
      </w:r>
      <w:r w:rsidR="00427F0B" w:rsidRPr="00406DFD">
        <w:rPr>
          <w:rFonts w:eastAsia="Times New Roman" w:cs="Times New Roman"/>
          <w:noProof/>
          <w:szCs w:val="24"/>
          <w:lang w:val="en-GB"/>
        </w:rPr>
        <w:t>tancy Data Network (FADN)</w:t>
      </w:r>
      <w:r w:rsidR="00401DF9" w:rsidRPr="00406DFD">
        <w:rPr>
          <w:rFonts w:eastAsia="Times New Roman" w:cs="Times New Roman"/>
          <w:noProof/>
          <w:szCs w:val="24"/>
          <w:lang w:val="en-GB"/>
        </w:rPr>
        <w:t>,</w:t>
      </w:r>
      <w:r w:rsidR="00427F0B" w:rsidRPr="00406DFD">
        <w:rPr>
          <w:rFonts w:eastAsia="Times New Roman" w:cs="Times New Roman"/>
          <w:noProof/>
          <w:szCs w:val="24"/>
          <w:lang w:val="en-GB"/>
        </w:rPr>
        <w:t xml:space="preserve"> </w:t>
      </w:r>
      <w:r w:rsidRPr="00406DFD">
        <w:rPr>
          <w:rFonts w:eastAsia="Times New Roman" w:cs="Times New Roman"/>
          <w:noProof/>
          <w:szCs w:val="24"/>
          <w:lang w:val="en-GB"/>
        </w:rPr>
        <w:t xml:space="preserve">provides some indications of </w:t>
      </w:r>
      <w:r w:rsidRPr="00406DFD">
        <w:rPr>
          <w:rFonts w:eastAsia="Times New Roman" w:cs="Times New Roman"/>
          <w:b/>
          <w:noProof/>
          <w:szCs w:val="24"/>
          <w:lang w:val="en-GB"/>
        </w:rPr>
        <w:t>additional income for farmers</w:t>
      </w:r>
      <w:r w:rsidR="008654FD" w:rsidRPr="00406DFD">
        <w:rPr>
          <w:rFonts w:eastAsia="Times New Roman" w:cs="Times New Roman"/>
          <w:b/>
          <w:noProof/>
          <w:szCs w:val="24"/>
          <w:lang w:val="en-GB"/>
        </w:rPr>
        <w:t xml:space="preserve"> </w:t>
      </w:r>
      <w:r w:rsidR="00B6174E" w:rsidRPr="00406DFD">
        <w:rPr>
          <w:rFonts w:eastAsia="Times New Roman" w:cs="Times New Roman"/>
          <w:noProof/>
          <w:szCs w:val="24"/>
          <w:lang w:val="en-GB"/>
        </w:rPr>
        <w:t>as a result of</w:t>
      </w:r>
      <w:r w:rsidR="008654FD" w:rsidRPr="00406DFD">
        <w:rPr>
          <w:rFonts w:eastAsia="Times New Roman" w:cs="Times New Roman"/>
          <w:noProof/>
          <w:szCs w:val="24"/>
          <w:lang w:val="en-GB"/>
        </w:rPr>
        <w:t xml:space="preserve"> this change</w:t>
      </w:r>
      <w:r w:rsidR="666E078E" w:rsidRPr="00406DFD">
        <w:rPr>
          <w:rFonts w:eastAsia="Times New Roman" w:cs="Times New Roman"/>
          <w:noProof/>
          <w:szCs w:val="24"/>
          <w:lang w:val="en-GB"/>
        </w:rPr>
        <w:t xml:space="preserve">. </w:t>
      </w:r>
      <w:r w:rsidR="00557318" w:rsidRPr="00406DFD">
        <w:rPr>
          <w:rFonts w:eastAsia="Times New Roman" w:cs="Times New Roman"/>
          <w:noProof/>
          <w:szCs w:val="24"/>
          <w:lang w:val="en-GB"/>
        </w:rPr>
        <w:t>The</w:t>
      </w:r>
      <w:r w:rsidR="00EF2A74" w:rsidRPr="00406DFD">
        <w:rPr>
          <w:rFonts w:eastAsia="Times New Roman" w:cs="Times New Roman"/>
          <w:noProof/>
          <w:szCs w:val="24"/>
          <w:lang w:val="en-GB"/>
        </w:rPr>
        <w:t xml:space="preserve"> </w:t>
      </w:r>
      <w:r w:rsidR="00557318" w:rsidRPr="00406DFD">
        <w:rPr>
          <w:rFonts w:eastAsia="Times New Roman" w:cs="Times New Roman"/>
          <w:noProof/>
          <w:szCs w:val="24"/>
          <w:lang w:val="en-GB"/>
        </w:rPr>
        <w:t xml:space="preserve">approach taken in this modelling exercise is explained in Annex </w:t>
      </w:r>
      <w:r w:rsidR="00E4106C" w:rsidRPr="00406DFD">
        <w:rPr>
          <w:rFonts w:eastAsia="Times New Roman" w:cs="Times New Roman"/>
          <w:noProof/>
          <w:szCs w:val="24"/>
          <w:lang w:val="en-GB"/>
        </w:rPr>
        <w:t>4</w:t>
      </w:r>
      <w:r w:rsidR="00557318" w:rsidRPr="00406DFD">
        <w:rPr>
          <w:rFonts w:eastAsia="Times New Roman" w:cs="Times New Roman"/>
          <w:noProof/>
          <w:szCs w:val="24"/>
          <w:lang w:val="en-GB"/>
        </w:rPr>
        <w:t>.</w:t>
      </w:r>
    </w:p>
    <w:p w14:paraId="2684EE41" w14:textId="45DFFA10" w:rsidR="00F41475" w:rsidRPr="00724676" w:rsidRDefault="552F22AC" w:rsidP="3DAFB8A8">
      <w:pPr>
        <w:spacing w:after="120"/>
        <w:jc w:val="both"/>
        <w:rPr>
          <w:rFonts w:eastAsia="Times New Roman" w:cs="Times New Roman"/>
          <w:noProof/>
          <w:szCs w:val="24"/>
          <w:lang w:val="en-GB"/>
        </w:rPr>
      </w:pPr>
      <w:r w:rsidRPr="00724676">
        <w:rPr>
          <w:rFonts w:eastAsia="Times New Roman" w:cs="Times New Roman"/>
          <w:noProof/>
          <w:szCs w:val="24"/>
          <w:lang w:val="en-GB"/>
        </w:rPr>
        <w:t>According to th</w:t>
      </w:r>
      <w:r w:rsidR="7F88E448" w:rsidRPr="00724676">
        <w:rPr>
          <w:rFonts w:eastAsia="Times New Roman" w:cs="Times New Roman"/>
          <w:noProof/>
          <w:szCs w:val="24"/>
          <w:lang w:val="en-GB"/>
        </w:rPr>
        <w:t>ese</w:t>
      </w:r>
      <w:r w:rsidRPr="00724676">
        <w:rPr>
          <w:rFonts w:eastAsia="Times New Roman" w:cs="Times New Roman"/>
          <w:noProof/>
          <w:szCs w:val="24"/>
          <w:lang w:val="en-GB"/>
        </w:rPr>
        <w:t xml:space="preserve"> estimate</w:t>
      </w:r>
      <w:r w:rsidR="2B92E931" w:rsidRPr="00724676">
        <w:rPr>
          <w:rFonts w:eastAsia="Times New Roman" w:cs="Times New Roman"/>
          <w:noProof/>
          <w:szCs w:val="24"/>
          <w:lang w:val="en-GB"/>
        </w:rPr>
        <w:t>s</w:t>
      </w:r>
      <w:r w:rsidRPr="00724676">
        <w:rPr>
          <w:rFonts w:eastAsia="Times New Roman" w:cs="Times New Roman"/>
          <w:noProof/>
          <w:szCs w:val="24"/>
          <w:lang w:val="en-GB"/>
        </w:rPr>
        <w:t xml:space="preserve">, </w:t>
      </w:r>
      <w:r w:rsidR="1D250074" w:rsidRPr="00724676">
        <w:rPr>
          <w:rFonts w:eastAsia="Times New Roman" w:cs="Times New Roman"/>
          <w:noProof/>
          <w:szCs w:val="24"/>
          <w:lang w:val="en-GB"/>
        </w:rPr>
        <w:t xml:space="preserve">lifting </w:t>
      </w:r>
      <w:r w:rsidR="7736B3FC" w:rsidRPr="00724676">
        <w:rPr>
          <w:rFonts w:eastAsia="Times New Roman" w:cs="Times New Roman"/>
          <w:noProof/>
          <w:szCs w:val="24"/>
          <w:lang w:val="en-GB"/>
        </w:rPr>
        <w:t>th</w:t>
      </w:r>
      <w:r w:rsidR="151D198D" w:rsidRPr="00724676">
        <w:rPr>
          <w:rFonts w:eastAsia="Times New Roman" w:cs="Times New Roman"/>
          <w:noProof/>
          <w:szCs w:val="24"/>
          <w:lang w:val="en-GB"/>
        </w:rPr>
        <w:t>is</w:t>
      </w:r>
      <w:r w:rsidR="1D250074" w:rsidRPr="00724676">
        <w:rPr>
          <w:rFonts w:eastAsia="Times New Roman" w:cs="Times New Roman"/>
          <w:noProof/>
          <w:szCs w:val="24"/>
          <w:lang w:val="en-GB"/>
        </w:rPr>
        <w:t xml:space="preserve"> </w:t>
      </w:r>
      <w:r w:rsidR="1D250074" w:rsidRPr="009C2593">
        <w:rPr>
          <w:rFonts w:eastAsia="Times New Roman" w:cs="Times New Roman"/>
          <w:noProof/>
          <w:szCs w:val="24"/>
          <w:lang w:val="en-GB"/>
        </w:rPr>
        <w:t xml:space="preserve">GAEC 8 </w:t>
      </w:r>
      <w:r w:rsidR="4B9F3A0D" w:rsidRPr="009C2593">
        <w:rPr>
          <w:rFonts w:eastAsia="Times New Roman" w:cs="Times New Roman"/>
          <w:noProof/>
          <w:szCs w:val="24"/>
          <w:lang w:val="en-GB"/>
        </w:rPr>
        <w:t>requirement</w:t>
      </w:r>
      <w:r w:rsidR="1D250074" w:rsidRPr="009C2593">
        <w:rPr>
          <w:rFonts w:eastAsia="Times New Roman" w:cs="Times New Roman"/>
          <w:noProof/>
          <w:szCs w:val="24"/>
          <w:lang w:val="en-GB"/>
        </w:rPr>
        <w:t xml:space="preserve"> will </w:t>
      </w:r>
      <w:r w:rsidR="06521019" w:rsidRPr="009C2593">
        <w:rPr>
          <w:rFonts w:eastAsia="Times New Roman" w:cs="Times New Roman"/>
          <w:noProof/>
          <w:szCs w:val="24"/>
          <w:lang w:val="en-GB"/>
        </w:rPr>
        <w:t>impact</w:t>
      </w:r>
      <w:r w:rsidR="1DF59B2A" w:rsidRPr="009C2593">
        <w:rPr>
          <w:rFonts w:eastAsia="Times New Roman" w:cs="Times New Roman"/>
          <w:noProof/>
          <w:szCs w:val="24"/>
          <w:lang w:val="en-GB"/>
        </w:rPr>
        <w:t xml:space="preserve"> </w:t>
      </w:r>
      <w:r w:rsidR="0111B834" w:rsidRPr="009C2593">
        <w:rPr>
          <w:rFonts w:eastAsia="Times New Roman" w:cs="Times New Roman"/>
          <w:noProof/>
          <w:szCs w:val="24"/>
          <w:lang w:val="en-GB"/>
        </w:rPr>
        <w:t>roughly 1.1 million farms</w:t>
      </w:r>
      <w:r w:rsidR="38DE9E79" w:rsidRPr="009C2593">
        <w:rPr>
          <w:rFonts w:eastAsia="Times New Roman" w:cs="Times New Roman"/>
          <w:noProof/>
          <w:szCs w:val="24"/>
          <w:lang w:val="en-GB"/>
        </w:rPr>
        <w:t>,</w:t>
      </w:r>
      <w:r w:rsidR="0111B834" w:rsidRPr="009C2593">
        <w:rPr>
          <w:rFonts w:eastAsia="Times New Roman" w:cs="Times New Roman"/>
          <w:noProof/>
          <w:szCs w:val="24"/>
          <w:lang w:val="en-GB"/>
        </w:rPr>
        <w:t xml:space="preserve"> covering approximately 76 million hectares of arable land</w:t>
      </w:r>
      <w:r w:rsidR="4F00A8FA" w:rsidRPr="009C2593">
        <w:rPr>
          <w:rFonts w:eastAsia="Times New Roman" w:cs="Times New Roman"/>
          <w:noProof/>
          <w:szCs w:val="24"/>
          <w:lang w:val="en-GB"/>
        </w:rPr>
        <w:t>,</w:t>
      </w:r>
      <w:r w:rsidR="0111B834" w:rsidRPr="009C2593">
        <w:rPr>
          <w:rFonts w:eastAsia="Times New Roman" w:cs="Times New Roman"/>
          <w:noProof/>
          <w:szCs w:val="24"/>
          <w:lang w:val="en-GB"/>
        </w:rPr>
        <w:t xml:space="preserve"> </w:t>
      </w:r>
      <w:r w:rsidR="3B9429B1" w:rsidRPr="009C2593">
        <w:rPr>
          <w:rFonts w:eastAsia="Times New Roman" w:cs="Times New Roman"/>
          <w:noProof/>
          <w:szCs w:val="24"/>
          <w:lang w:val="en-GB"/>
        </w:rPr>
        <w:t>by</w:t>
      </w:r>
      <w:r w:rsidR="0111B834" w:rsidRPr="009C2593">
        <w:rPr>
          <w:rFonts w:eastAsia="Times New Roman" w:cs="Times New Roman"/>
          <w:noProof/>
          <w:szCs w:val="24"/>
          <w:lang w:val="en-GB"/>
        </w:rPr>
        <w:t xml:space="preserve"> </w:t>
      </w:r>
      <w:r w:rsidR="4D738982" w:rsidRPr="009C2593">
        <w:rPr>
          <w:rFonts w:eastAsia="Times New Roman" w:cs="Times New Roman"/>
          <w:noProof/>
          <w:szCs w:val="24"/>
          <w:lang w:val="en-GB"/>
        </w:rPr>
        <w:t>potentially</w:t>
      </w:r>
      <w:r w:rsidR="0111B834" w:rsidRPr="009C2593">
        <w:rPr>
          <w:rFonts w:eastAsia="Times New Roman" w:cs="Times New Roman"/>
          <w:noProof/>
          <w:szCs w:val="24"/>
          <w:lang w:val="en-GB"/>
        </w:rPr>
        <w:t xml:space="preserve"> </w:t>
      </w:r>
      <w:r w:rsidR="05C274B8" w:rsidRPr="009C2593">
        <w:rPr>
          <w:rFonts w:eastAsia="Times New Roman" w:cs="Times New Roman"/>
          <w:b/>
          <w:noProof/>
          <w:lang w:val="en-GB"/>
        </w:rPr>
        <w:t xml:space="preserve">freeing </w:t>
      </w:r>
      <w:r w:rsidR="74C97F3F" w:rsidRPr="009C2593">
        <w:rPr>
          <w:rFonts w:eastAsia="Times New Roman" w:cs="Times New Roman"/>
          <w:b/>
          <w:noProof/>
          <w:lang w:val="en-GB"/>
        </w:rPr>
        <w:t xml:space="preserve">for </w:t>
      </w:r>
      <w:r w:rsidR="17981CB6" w:rsidRPr="009C2593">
        <w:rPr>
          <w:rFonts w:eastAsia="Times New Roman" w:cs="Times New Roman"/>
          <w:b/>
          <w:noProof/>
          <w:lang w:val="en-GB"/>
        </w:rPr>
        <w:t>production</w:t>
      </w:r>
      <w:r w:rsidR="17981CB6" w:rsidRPr="009C2593">
        <w:rPr>
          <w:rFonts w:eastAsia="Times New Roman" w:cs="Times New Roman"/>
          <w:noProof/>
          <w:lang w:val="en-GB"/>
        </w:rPr>
        <w:t xml:space="preserve"> </w:t>
      </w:r>
      <w:r w:rsidR="2A8B74BB" w:rsidRPr="009C2593">
        <w:rPr>
          <w:rFonts w:eastAsia="Times New Roman" w:cs="Times New Roman"/>
          <w:noProof/>
          <w:lang w:val="en-GB"/>
        </w:rPr>
        <w:t>close to</w:t>
      </w:r>
      <w:r w:rsidR="2A8B74BB" w:rsidRPr="009C2593">
        <w:rPr>
          <w:rFonts w:eastAsia="Times New Roman" w:cs="Times New Roman"/>
          <w:b/>
          <w:noProof/>
          <w:lang w:val="en-GB"/>
        </w:rPr>
        <w:t xml:space="preserve"> </w:t>
      </w:r>
      <w:r w:rsidR="17981CB6" w:rsidRPr="009C2593">
        <w:rPr>
          <w:rFonts w:eastAsia="Times New Roman" w:cs="Times New Roman"/>
          <w:b/>
          <w:noProof/>
          <w:lang w:val="en-GB"/>
        </w:rPr>
        <w:t>2</w:t>
      </w:r>
      <w:r w:rsidR="6525C4DF" w:rsidRPr="009C2593">
        <w:rPr>
          <w:rFonts w:eastAsia="Times New Roman" w:cs="Times New Roman"/>
          <w:b/>
          <w:noProof/>
          <w:lang w:val="en-GB"/>
        </w:rPr>
        <w:t>.1</w:t>
      </w:r>
      <w:r w:rsidR="17981CB6" w:rsidRPr="009C2593">
        <w:rPr>
          <w:rFonts w:eastAsia="Times New Roman" w:cs="Times New Roman"/>
          <w:b/>
          <w:noProof/>
          <w:lang w:val="en-GB"/>
        </w:rPr>
        <w:t xml:space="preserve"> million hectares</w:t>
      </w:r>
      <w:r w:rsidR="17981CB6" w:rsidRPr="009C2593">
        <w:rPr>
          <w:rFonts w:eastAsia="Times New Roman" w:cs="Times New Roman"/>
          <w:noProof/>
          <w:szCs w:val="24"/>
          <w:lang w:val="en-GB"/>
        </w:rPr>
        <w:t xml:space="preserve"> </w:t>
      </w:r>
      <w:r w:rsidR="7EE2B5F4" w:rsidRPr="009C2593">
        <w:rPr>
          <w:rFonts w:eastAsia="Times New Roman" w:cs="Times New Roman"/>
          <w:noProof/>
          <w:szCs w:val="24"/>
          <w:lang w:val="en-GB"/>
        </w:rPr>
        <w:t xml:space="preserve">of </w:t>
      </w:r>
      <w:r w:rsidR="559F6032" w:rsidRPr="009C2593">
        <w:rPr>
          <w:rFonts w:eastAsia="Times New Roman" w:cs="Times New Roman"/>
          <w:noProof/>
          <w:szCs w:val="24"/>
          <w:lang w:val="en-GB"/>
        </w:rPr>
        <w:t>‘</w:t>
      </w:r>
      <w:r w:rsidR="73378676" w:rsidRPr="009C2593">
        <w:rPr>
          <w:rFonts w:eastAsia="Times New Roman" w:cs="Times New Roman"/>
          <w:noProof/>
          <w:szCs w:val="24"/>
          <w:lang w:val="en-GB"/>
        </w:rPr>
        <w:t>G</w:t>
      </w:r>
      <w:r w:rsidR="23317240" w:rsidRPr="009C2593">
        <w:rPr>
          <w:rFonts w:eastAsia="Times New Roman" w:cs="Times New Roman"/>
          <w:noProof/>
          <w:szCs w:val="24"/>
          <w:lang w:val="en-GB"/>
        </w:rPr>
        <w:t>AEC</w:t>
      </w:r>
      <w:r w:rsidR="559F6032" w:rsidRPr="009C2593">
        <w:rPr>
          <w:rFonts w:eastAsia="Times New Roman" w:cs="Times New Roman"/>
          <w:noProof/>
          <w:szCs w:val="24"/>
          <w:lang w:val="en-GB"/>
        </w:rPr>
        <w:t xml:space="preserve"> </w:t>
      </w:r>
      <w:r w:rsidR="23317240" w:rsidRPr="009C2593">
        <w:rPr>
          <w:rFonts w:eastAsia="Times New Roman" w:cs="Times New Roman"/>
          <w:noProof/>
          <w:szCs w:val="24"/>
          <w:lang w:val="en-GB"/>
        </w:rPr>
        <w:t xml:space="preserve">8 </w:t>
      </w:r>
      <w:r w:rsidR="7CA52321" w:rsidRPr="009C2593">
        <w:rPr>
          <w:rFonts w:eastAsia="Times New Roman" w:cs="Times New Roman"/>
          <w:noProof/>
          <w:szCs w:val="24"/>
          <w:lang w:val="en-GB"/>
        </w:rPr>
        <w:t xml:space="preserve">non-productive </w:t>
      </w:r>
      <w:r w:rsidR="466111D5" w:rsidRPr="009C2593">
        <w:rPr>
          <w:rFonts w:eastAsia="Times New Roman" w:cs="Times New Roman"/>
          <w:noProof/>
          <w:szCs w:val="24"/>
          <w:lang w:val="en-GB"/>
        </w:rPr>
        <w:t>land</w:t>
      </w:r>
      <w:r w:rsidR="559F6032" w:rsidRPr="009C2593">
        <w:rPr>
          <w:rFonts w:eastAsia="Times New Roman" w:cs="Times New Roman"/>
          <w:noProof/>
          <w:szCs w:val="24"/>
          <w:lang w:val="en-GB"/>
        </w:rPr>
        <w:t>’</w:t>
      </w:r>
      <w:r w:rsidR="5E5E594F" w:rsidRPr="009C2593">
        <w:rPr>
          <w:rFonts w:eastAsia="Times New Roman" w:cs="Times New Roman"/>
          <w:b/>
          <w:noProof/>
          <w:szCs w:val="24"/>
          <w:lang w:val="en-GB"/>
        </w:rPr>
        <w:t>.</w:t>
      </w:r>
      <w:r w:rsidR="06FE2177" w:rsidRPr="009C2593">
        <w:rPr>
          <w:rFonts w:eastAsia="Times New Roman" w:cs="Times New Roman"/>
          <w:noProof/>
          <w:szCs w:val="24"/>
          <w:lang w:val="en-GB"/>
        </w:rPr>
        <w:t xml:space="preserve"> </w:t>
      </w:r>
      <w:r w:rsidR="22BFAE17" w:rsidRPr="009C2593">
        <w:rPr>
          <w:rFonts w:eastAsia="Times New Roman" w:cs="Times New Roman"/>
          <w:noProof/>
          <w:szCs w:val="24"/>
          <w:lang w:val="en-GB"/>
        </w:rPr>
        <w:t>T</w:t>
      </w:r>
      <w:r w:rsidR="0FD988D9" w:rsidRPr="009C2593">
        <w:rPr>
          <w:rFonts w:eastAsia="Times New Roman" w:cs="Times New Roman"/>
          <w:noProof/>
          <w:szCs w:val="24"/>
          <w:lang w:val="en-GB"/>
        </w:rPr>
        <w:t xml:space="preserve">hat is the </w:t>
      </w:r>
      <w:r w:rsidR="03B12DD8" w:rsidRPr="009C2593">
        <w:rPr>
          <w:rFonts w:eastAsia="Times New Roman" w:cs="Times New Roman"/>
          <w:noProof/>
          <w:szCs w:val="24"/>
          <w:lang w:val="en-GB"/>
        </w:rPr>
        <w:t xml:space="preserve">area </w:t>
      </w:r>
      <w:r w:rsidR="14E567DB" w:rsidRPr="009C2593">
        <w:rPr>
          <w:rFonts w:eastAsia="Times New Roman" w:cs="Times New Roman"/>
          <w:noProof/>
          <w:szCs w:val="24"/>
          <w:lang w:val="en-GB"/>
        </w:rPr>
        <w:t>which</w:t>
      </w:r>
      <w:r w:rsidR="38DE9E79" w:rsidRPr="009C2593">
        <w:rPr>
          <w:rFonts w:eastAsia="Times New Roman" w:cs="Times New Roman"/>
          <w:noProof/>
          <w:szCs w:val="24"/>
          <w:lang w:val="en-GB"/>
        </w:rPr>
        <w:t>,</w:t>
      </w:r>
      <w:r w:rsidR="14E567DB" w:rsidRPr="009C2593">
        <w:rPr>
          <w:rFonts w:eastAsia="Times New Roman" w:cs="Times New Roman"/>
          <w:noProof/>
          <w:szCs w:val="24"/>
          <w:lang w:val="en-GB"/>
        </w:rPr>
        <w:t xml:space="preserve"> </w:t>
      </w:r>
      <w:r w:rsidR="0111B834" w:rsidRPr="009C2593">
        <w:rPr>
          <w:rFonts w:eastAsia="Times New Roman" w:cs="Times New Roman"/>
          <w:noProof/>
          <w:szCs w:val="24"/>
          <w:lang w:val="en-GB"/>
        </w:rPr>
        <w:t>in the absence of the adjustments</w:t>
      </w:r>
      <w:r w:rsidR="38DE9E79" w:rsidRPr="009C2593">
        <w:rPr>
          <w:rFonts w:eastAsia="Times New Roman" w:cs="Times New Roman"/>
          <w:noProof/>
          <w:szCs w:val="24"/>
          <w:lang w:val="en-GB"/>
        </w:rPr>
        <w:t>,</w:t>
      </w:r>
      <w:r w:rsidR="0111B834" w:rsidRPr="009C2593">
        <w:rPr>
          <w:rFonts w:eastAsia="Times New Roman" w:cs="Times New Roman"/>
          <w:noProof/>
          <w:szCs w:val="24"/>
          <w:lang w:val="en-GB"/>
        </w:rPr>
        <w:t xml:space="preserve"> would </w:t>
      </w:r>
      <w:r w:rsidR="3AB2A23F" w:rsidRPr="009C2593">
        <w:rPr>
          <w:rFonts w:eastAsia="Times New Roman" w:cs="Times New Roman"/>
          <w:noProof/>
          <w:szCs w:val="24"/>
          <w:lang w:val="en-GB"/>
        </w:rPr>
        <w:t xml:space="preserve">have </w:t>
      </w:r>
      <w:r w:rsidR="0111B834" w:rsidRPr="009C2593">
        <w:rPr>
          <w:rFonts w:eastAsia="Times New Roman" w:cs="Times New Roman"/>
          <w:noProof/>
          <w:szCs w:val="24"/>
          <w:lang w:val="en-GB"/>
        </w:rPr>
        <w:t>be</w:t>
      </w:r>
      <w:r w:rsidR="3AB2A23F" w:rsidRPr="009C2593">
        <w:rPr>
          <w:rFonts w:eastAsia="Times New Roman" w:cs="Times New Roman"/>
          <w:noProof/>
          <w:szCs w:val="24"/>
          <w:lang w:val="en-GB"/>
        </w:rPr>
        <w:t>en</w:t>
      </w:r>
      <w:r w:rsidR="0111B834" w:rsidRPr="009C2593">
        <w:rPr>
          <w:rFonts w:eastAsia="Times New Roman" w:cs="Times New Roman"/>
          <w:noProof/>
          <w:szCs w:val="24"/>
          <w:lang w:val="en-GB"/>
        </w:rPr>
        <w:t xml:space="preserve"> dedicated to </w:t>
      </w:r>
      <w:r w:rsidR="6D6DE7E2" w:rsidRPr="009C2593">
        <w:rPr>
          <w:rFonts w:eastAsia="Times New Roman" w:cs="Times New Roman"/>
          <w:noProof/>
          <w:szCs w:val="24"/>
          <w:lang w:val="en-GB"/>
        </w:rPr>
        <w:t xml:space="preserve">additional </w:t>
      </w:r>
      <w:r w:rsidR="0111B834" w:rsidRPr="009C2593">
        <w:rPr>
          <w:rFonts w:eastAsia="Times New Roman" w:cs="Times New Roman"/>
          <w:noProof/>
          <w:szCs w:val="24"/>
          <w:lang w:val="en-GB"/>
        </w:rPr>
        <w:t>fallow-lan</w:t>
      </w:r>
      <w:r w:rsidR="787D9DA5" w:rsidRPr="009C2593">
        <w:rPr>
          <w:rFonts w:eastAsia="Times New Roman" w:cs="Times New Roman"/>
          <w:noProof/>
          <w:szCs w:val="24"/>
          <w:lang w:val="en-GB"/>
        </w:rPr>
        <w:t>d</w:t>
      </w:r>
      <w:r w:rsidR="3E8264FD" w:rsidRPr="009C2593">
        <w:rPr>
          <w:rFonts w:eastAsia="Times New Roman" w:cs="Times New Roman"/>
          <w:noProof/>
          <w:szCs w:val="24"/>
          <w:lang w:val="en-GB"/>
        </w:rPr>
        <w:t xml:space="preserve"> or </w:t>
      </w:r>
      <w:r w:rsidR="0B6A083D" w:rsidRPr="009C2593">
        <w:rPr>
          <w:rFonts w:eastAsia="Times New Roman" w:cs="Times New Roman"/>
          <w:noProof/>
          <w:szCs w:val="24"/>
          <w:lang w:val="en-GB"/>
        </w:rPr>
        <w:t xml:space="preserve">landscape features </w:t>
      </w:r>
      <w:r w:rsidR="51D30159" w:rsidRPr="009C2593">
        <w:rPr>
          <w:rFonts w:eastAsia="Times New Roman" w:cs="Times New Roman"/>
          <w:noProof/>
          <w:szCs w:val="24"/>
          <w:lang w:val="en-GB"/>
        </w:rPr>
        <w:t xml:space="preserve">such as </w:t>
      </w:r>
      <w:r w:rsidR="787D9DA5" w:rsidRPr="009C2593">
        <w:rPr>
          <w:rFonts w:eastAsia="Times New Roman" w:cs="Times New Roman"/>
          <w:noProof/>
          <w:szCs w:val="24"/>
          <w:lang w:val="en-GB"/>
        </w:rPr>
        <w:t xml:space="preserve">woody </w:t>
      </w:r>
      <w:r w:rsidR="520308C4" w:rsidRPr="009C2593">
        <w:rPr>
          <w:rFonts w:eastAsia="Times New Roman" w:cs="Times New Roman"/>
          <w:noProof/>
          <w:szCs w:val="24"/>
          <w:lang w:val="en-GB"/>
        </w:rPr>
        <w:t>el</w:t>
      </w:r>
      <w:r w:rsidR="290BEE4A" w:rsidRPr="009C2593">
        <w:rPr>
          <w:rFonts w:eastAsia="Times New Roman" w:cs="Times New Roman"/>
          <w:noProof/>
          <w:szCs w:val="24"/>
          <w:lang w:val="en-GB"/>
        </w:rPr>
        <w:t>ement</w:t>
      </w:r>
      <w:r w:rsidR="51D30159" w:rsidRPr="009C2593">
        <w:rPr>
          <w:rFonts w:eastAsia="Times New Roman" w:cs="Times New Roman"/>
          <w:noProof/>
          <w:szCs w:val="24"/>
          <w:lang w:val="en-GB"/>
        </w:rPr>
        <w:t>s</w:t>
      </w:r>
      <w:r w:rsidR="290BEE4A" w:rsidRPr="009C2593">
        <w:rPr>
          <w:rFonts w:eastAsia="Times New Roman" w:cs="Times New Roman"/>
          <w:noProof/>
          <w:szCs w:val="24"/>
          <w:lang w:val="en-GB"/>
        </w:rPr>
        <w:t xml:space="preserve"> </w:t>
      </w:r>
      <w:r w:rsidR="24BECD53" w:rsidRPr="009C2593">
        <w:rPr>
          <w:rFonts w:eastAsia="Times New Roman" w:cs="Times New Roman"/>
          <w:noProof/>
          <w:szCs w:val="24"/>
          <w:lang w:val="en-GB"/>
        </w:rPr>
        <w:t>or</w:t>
      </w:r>
      <w:r w:rsidR="290BEE4A" w:rsidRPr="009C2593">
        <w:rPr>
          <w:rFonts w:eastAsia="Times New Roman" w:cs="Times New Roman"/>
          <w:noProof/>
          <w:szCs w:val="24"/>
          <w:lang w:val="en-GB"/>
        </w:rPr>
        <w:t xml:space="preserve"> grass strips</w:t>
      </w:r>
      <w:r w:rsidR="0111B834" w:rsidRPr="009C2593">
        <w:rPr>
          <w:rFonts w:eastAsia="Times New Roman" w:cs="Times New Roman"/>
          <w:noProof/>
          <w:szCs w:val="24"/>
          <w:lang w:val="en-GB"/>
        </w:rPr>
        <w:t>.</w:t>
      </w:r>
      <w:r w:rsidR="0F4AAFD7" w:rsidRPr="009C2593">
        <w:rPr>
          <w:rFonts w:eastAsia="Times New Roman" w:cs="Times New Roman"/>
          <w:noProof/>
          <w:szCs w:val="24"/>
          <w:lang w:val="en-GB"/>
        </w:rPr>
        <w:t xml:space="preserve"> </w:t>
      </w:r>
      <w:r w:rsidR="6F9D06B1" w:rsidRPr="009C2593">
        <w:rPr>
          <w:rFonts w:eastAsia="Times New Roman" w:cs="Times New Roman"/>
          <w:noProof/>
          <w:szCs w:val="24"/>
          <w:lang w:val="en-GB"/>
        </w:rPr>
        <w:t xml:space="preserve">At </w:t>
      </w:r>
      <w:r w:rsidR="0111B834" w:rsidRPr="009C2593">
        <w:rPr>
          <w:rFonts w:eastAsia="Times New Roman" w:cs="Times New Roman"/>
          <w:noProof/>
          <w:szCs w:val="24"/>
          <w:lang w:val="en-GB"/>
        </w:rPr>
        <w:t>the EU level,</w:t>
      </w:r>
      <w:r w:rsidR="6F9D06B1" w:rsidRPr="009C2593">
        <w:rPr>
          <w:rFonts w:eastAsia="Times New Roman" w:cs="Times New Roman"/>
          <w:noProof/>
          <w:szCs w:val="24"/>
          <w:lang w:val="en-GB"/>
        </w:rPr>
        <w:t xml:space="preserve"> the economic impact</w:t>
      </w:r>
      <w:r w:rsidR="722D27D2" w:rsidRPr="009C2593">
        <w:rPr>
          <w:rFonts w:eastAsia="Times New Roman" w:cs="Times New Roman"/>
          <w:noProof/>
          <w:szCs w:val="24"/>
          <w:lang w:val="en-GB"/>
        </w:rPr>
        <w:t xml:space="preserve"> </w:t>
      </w:r>
      <w:r w:rsidR="4B15D749" w:rsidRPr="009C2593">
        <w:rPr>
          <w:rFonts w:eastAsia="Times New Roman" w:cs="Times New Roman"/>
          <w:noProof/>
          <w:szCs w:val="24"/>
          <w:lang w:val="en-GB"/>
        </w:rPr>
        <w:t xml:space="preserve">measured as </w:t>
      </w:r>
      <w:r w:rsidR="722D27D2" w:rsidRPr="009C2593">
        <w:rPr>
          <w:rFonts w:eastAsia="Times New Roman" w:cs="Times New Roman"/>
          <w:noProof/>
          <w:szCs w:val="24"/>
          <w:lang w:val="en-GB"/>
        </w:rPr>
        <w:t>the</w:t>
      </w:r>
      <w:r w:rsidR="0111B834" w:rsidRPr="009C2593">
        <w:rPr>
          <w:rFonts w:eastAsia="Times New Roman" w:cs="Times New Roman"/>
          <w:noProof/>
          <w:szCs w:val="24"/>
          <w:lang w:val="en-GB"/>
        </w:rPr>
        <w:t xml:space="preserve"> annual change </w:t>
      </w:r>
      <w:r w:rsidR="38DE9E79" w:rsidRPr="009C2593">
        <w:rPr>
          <w:rFonts w:eastAsia="Times New Roman" w:cs="Times New Roman"/>
          <w:noProof/>
          <w:szCs w:val="24"/>
          <w:lang w:val="en-GB"/>
        </w:rPr>
        <w:t>in</w:t>
      </w:r>
      <w:r w:rsidR="38DE9E79">
        <w:rPr>
          <w:rFonts w:eastAsia="Times New Roman" w:cs="Times New Roman"/>
          <w:noProof/>
          <w:szCs w:val="24"/>
          <w:lang w:val="en-GB"/>
        </w:rPr>
        <w:t xml:space="preserve"> the</w:t>
      </w:r>
      <w:r w:rsidR="38DE9E79" w:rsidRPr="00724676">
        <w:rPr>
          <w:rFonts w:eastAsia="Times New Roman" w:cs="Times New Roman"/>
          <w:noProof/>
          <w:szCs w:val="24"/>
          <w:lang w:val="en-GB"/>
        </w:rPr>
        <w:t xml:space="preserve"> </w:t>
      </w:r>
      <w:r w:rsidR="0111B834" w:rsidRPr="00724676">
        <w:rPr>
          <w:rFonts w:eastAsia="Times New Roman" w:cs="Times New Roman"/>
          <w:noProof/>
          <w:szCs w:val="24"/>
          <w:lang w:val="en-GB"/>
        </w:rPr>
        <w:t>gross margin of arable crops</w:t>
      </w:r>
      <w:r w:rsidR="722D27D2" w:rsidRPr="00724676">
        <w:rPr>
          <w:rFonts w:eastAsia="Times New Roman" w:cs="Times New Roman"/>
          <w:noProof/>
          <w:szCs w:val="24"/>
          <w:lang w:val="en-GB"/>
        </w:rPr>
        <w:t xml:space="preserve"> (</w:t>
      </w:r>
      <w:r w:rsidR="23F982DD" w:rsidRPr="00724676">
        <w:rPr>
          <w:rFonts w:eastAsia="Times New Roman" w:cs="Times New Roman"/>
          <w:b/>
          <w:noProof/>
          <w:szCs w:val="24"/>
          <w:lang w:val="en-GB"/>
        </w:rPr>
        <w:t xml:space="preserve">additional </w:t>
      </w:r>
      <w:r w:rsidR="23F982DD" w:rsidRPr="00724676">
        <w:rPr>
          <w:rFonts w:eastAsia="Times New Roman" w:cs="Times New Roman"/>
          <w:b/>
          <w:noProof/>
          <w:szCs w:val="24"/>
          <w:lang w:val="en-GB"/>
        </w:rPr>
        <w:lastRenderedPageBreak/>
        <w:t>income</w:t>
      </w:r>
      <w:r w:rsidR="23F982DD" w:rsidRPr="00724676">
        <w:rPr>
          <w:rFonts w:eastAsia="Times New Roman" w:cs="Times New Roman"/>
          <w:b/>
          <w:bCs/>
          <w:noProof/>
          <w:szCs w:val="24"/>
          <w:lang w:val="en-GB"/>
        </w:rPr>
        <w:t>/</w:t>
      </w:r>
      <w:r w:rsidR="7E7FCA1A" w:rsidRPr="00724676">
        <w:rPr>
          <w:rFonts w:eastAsia="Times New Roman" w:cs="Times New Roman"/>
          <w:b/>
          <w:bCs/>
          <w:noProof/>
          <w:szCs w:val="24"/>
          <w:lang w:val="en-GB"/>
        </w:rPr>
        <w:t>avoided</w:t>
      </w:r>
      <w:r w:rsidR="2B88123A" w:rsidRPr="00724676">
        <w:rPr>
          <w:rFonts w:eastAsia="Times New Roman" w:cs="Times New Roman"/>
          <w:b/>
          <w:bCs/>
          <w:noProof/>
          <w:szCs w:val="24"/>
          <w:lang w:val="en-GB"/>
        </w:rPr>
        <w:t xml:space="preserve"> income </w:t>
      </w:r>
      <w:r w:rsidR="56A32A5D" w:rsidRPr="00724676">
        <w:rPr>
          <w:rFonts w:eastAsia="Times New Roman" w:cs="Times New Roman"/>
          <w:b/>
          <w:bCs/>
          <w:noProof/>
          <w:szCs w:val="24"/>
          <w:lang w:val="en-GB"/>
        </w:rPr>
        <w:t>loss</w:t>
      </w:r>
      <w:r w:rsidR="722D27D2" w:rsidRPr="00724676">
        <w:rPr>
          <w:rFonts w:eastAsia="Times New Roman" w:cs="Times New Roman"/>
          <w:noProof/>
          <w:szCs w:val="24"/>
          <w:lang w:val="en-GB"/>
        </w:rPr>
        <w:t>)</w:t>
      </w:r>
      <w:r w:rsidR="0111B834" w:rsidRPr="00724676">
        <w:rPr>
          <w:rFonts w:eastAsia="Times New Roman" w:cs="Times New Roman"/>
          <w:noProof/>
          <w:szCs w:val="24"/>
          <w:lang w:val="en-GB"/>
        </w:rPr>
        <w:t xml:space="preserve"> is</w:t>
      </w:r>
      <w:r w:rsidR="0111B834" w:rsidRPr="00724676">
        <w:rPr>
          <w:rFonts w:eastAsia="Times New Roman" w:cs="Times New Roman"/>
          <w:b/>
          <w:bCs/>
          <w:noProof/>
          <w:szCs w:val="24"/>
          <w:lang w:val="en-GB"/>
        </w:rPr>
        <w:t xml:space="preserve"> </w:t>
      </w:r>
      <w:r w:rsidR="0111B834" w:rsidRPr="00724676">
        <w:rPr>
          <w:rFonts w:eastAsia="Times New Roman" w:cs="Times New Roman"/>
          <w:noProof/>
          <w:szCs w:val="24"/>
          <w:lang w:val="en-GB"/>
        </w:rPr>
        <w:t xml:space="preserve">estimated to be </w:t>
      </w:r>
      <w:r w:rsidR="3B69A1A7" w:rsidRPr="00724676">
        <w:rPr>
          <w:rFonts w:eastAsia="Times New Roman" w:cs="Times New Roman"/>
          <w:b/>
          <w:bCs/>
          <w:noProof/>
          <w:szCs w:val="24"/>
          <w:lang w:val="en-GB"/>
        </w:rPr>
        <w:t>around</w:t>
      </w:r>
      <w:r w:rsidR="0111B834" w:rsidRPr="00724676">
        <w:rPr>
          <w:rFonts w:eastAsia="Times New Roman" w:cs="Times New Roman"/>
          <w:b/>
          <w:bCs/>
          <w:noProof/>
          <w:szCs w:val="24"/>
          <w:lang w:val="en-GB"/>
        </w:rPr>
        <w:t xml:space="preserve"> EUR 930 </w:t>
      </w:r>
      <w:r w:rsidR="722D27D2" w:rsidRPr="00724676">
        <w:rPr>
          <w:rFonts w:eastAsia="Times New Roman" w:cs="Times New Roman"/>
          <w:b/>
          <w:bCs/>
          <w:noProof/>
          <w:szCs w:val="24"/>
          <w:lang w:val="en-GB"/>
        </w:rPr>
        <w:t>million</w:t>
      </w:r>
      <w:r w:rsidR="0111B834" w:rsidRPr="00724676">
        <w:rPr>
          <w:rFonts w:eastAsia="Times New Roman" w:cs="Times New Roman"/>
          <w:b/>
          <w:bCs/>
          <w:noProof/>
          <w:szCs w:val="24"/>
          <w:lang w:val="en-GB"/>
        </w:rPr>
        <w:t>.</w:t>
      </w:r>
      <w:r w:rsidR="0111B834" w:rsidRPr="00724676">
        <w:rPr>
          <w:rFonts w:eastAsia="Times New Roman" w:cs="Times New Roman"/>
          <w:noProof/>
          <w:szCs w:val="24"/>
          <w:lang w:val="en-GB"/>
        </w:rPr>
        <w:t xml:space="preserve"> This corresponds to </w:t>
      </w:r>
      <w:r w:rsidR="4F00A8FA">
        <w:rPr>
          <w:rFonts w:eastAsia="Times New Roman" w:cs="Times New Roman"/>
          <w:noProof/>
          <w:szCs w:val="24"/>
          <w:lang w:val="en-GB"/>
        </w:rPr>
        <w:t>a</w:t>
      </w:r>
      <w:r w:rsidR="4F00A8FA" w:rsidRPr="00724676">
        <w:rPr>
          <w:rFonts w:eastAsia="Times New Roman" w:cs="Times New Roman"/>
          <w:noProof/>
          <w:szCs w:val="24"/>
          <w:lang w:val="en-GB"/>
        </w:rPr>
        <w:t xml:space="preserve"> </w:t>
      </w:r>
      <w:r w:rsidR="0111B834" w:rsidRPr="00724676">
        <w:rPr>
          <w:rFonts w:eastAsia="Times New Roman" w:cs="Times New Roman"/>
          <w:b/>
          <w:bCs/>
          <w:noProof/>
          <w:szCs w:val="24"/>
          <w:lang w:val="en-GB"/>
        </w:rPr>
        <w:t xml:space="preserve">1.5% increase </w:t>
      </w:r>
      <w:r w:rsidR="38DE9E79">
        <w:rPr>
          <w:rFonts w:eastAsia="Times New Roman" w:cs="Times New Roman"/>
          <w:b/>
          <w:bCs/>
          <w:noProof/>
          <w:szCs w:val="24"/>
          <w:lang w:val="en-GB"/>
        </w:rPr>
        <w:t>in</w:t>
      </w:r>
      <w:r w:rsidR="38DE9E79" w:rsidRPr="00724676">
        <w:rPr>
          <w:rFonts w:eastAsia="Times New Roman" w:cs="Times New Roman"/>
          <w:b/>
          <w:bCs/>
          <w:noProof/>
          <w:szCs w:val="24"/>
          <w:lang w:val="en-GB"/>
        </w:rPr>
        <w:t xml:space="preserve"> </w:t>
      </w:r>
      <w:r w:rsidR="0111B834" w:rsidRPr="00724676">
        <w:rPr>
          <w:rFonts w:eastAsia="Times New Roman" w:cs="Times New Roman"/>
          <w:b/>
          <w:bCs/>
          <w:noProof/>
          <w:szCs w:val="24"/>
          <w:lang w:val="en-GB"/>
        </w:rPr>
        <w:t>gross margin</w:t>
      </w:r>
      <w:r w:rsidR="0111B834" w:rsidRPr="00724676">
        <w:rPr>
          <w:rFonts w:eastAsia="Times New Roman" w:cs="Times New Roman"/>
          <w:noProof/>
          <w:szCs w:val="24"/>
          <w:lang w:val="en-GB"/>
        </w:rPr>
        <w:t xml:space="preserve"> for </w:t>
      </w:r>
      <w:r w:rsidR="722D27D2" w:rsidRPr="00724676">
        <w:rPr>
          <w:rFonts w:eastAsia="Times New Roman" w:cs="Times New Roman"/>
          <w:noProof/>
          <w:szCs w:val="24"/>
          <w:lang w:val="en-GB"/>
        </w:rPr>
        <w:t xml:space="preserve">the </w:t>
      </w:r>
      <w:r w:rsidR="0111B834" w:rsidRPr="00724676">
        <w:rPr>
          <w:rFonts w:eastAsia="Times New Roman" w:cs="Times New Roman"/>
          <w:noProof/>
          <w:szCs w:val="24"/>
          <w:lang w:val="en-GB"/>
        </w:rPr>
        <w:t>impacted farms</w:t>
      </w:r>
      <w:r w:rsidR="7FC024C5" w:rsidRPr="00724676">
        <w:rPr>
          <w:rFonts w:eastAsia="Times New Roman" w:cs="Times New Roman"/>
          <w:noProof/>
          <w:szCs w:val="24"/>
          <w:lang w:val="en-GB"/>
        </w:rPr>
        <w:t>, though this may differ at more disaggregated level</w:t>
      </w:r>
      <w:r w:rsidR="4F00A8FA">
        <w:rPr>
          <w:rFonts w:eastAsia="Times New Roman" w:cs="Times New Roman"/>
          <w:noProof/>
          <w:szCs w:val="24"/>
          <w:lang w:val="en-GB"/>
        </w:rPr>
        <w:t>,</w:t>
      </w:r>
      <w:r w:rsidR="7FC024C5" w:rsidRPr="00724676">
        <w:rPr>
          <w:rFonts w:eastAsia="Times New Roman" w:cs="Times New Roman"/>
          <w:noProof/>
          <w:szCs w:val="24"/>
          <w:lang w:val="en-GB"/>
        </w:rPr>
        <w:t xml:space="preserve"> </w:t>
      </w:r>
      <w:r w:rsidR="77E61BF1" w:rsidRPr="00724676">
        <w:rPr>
          <w:rFonts w:eastAsia="Times New Roman" w:cs="Times New Roman"/>
          <w:noProof/>
          <w:szCs w:val="24"/>
          <w:lang w:val="en-GB"/>
        </w:rPr>
        <w:t xml:space="preserve">such as </w:t>
      </w:r>
      <w:r w:rsidR="4F00A8FA">
        <w:rPr>
          <w:rFonts w:eastAsia="Times New Roman" w:cs="Times New Roman"/>
          <w:noProof/>
          <w:szCs w:val="24"/>
          <w:lang w:val="en-GB"/>
        </w:rPr>
        <w:t>according to the economic size of the</w:t>
      </w:r>
      <w:r w:rsidR="4F00A8FA" w:rsidRPr="00724676">
        <w:rPr>
          <w:rFonts w:eastAsia="Times New Roman" w:cs="Times New Roman"/>
          <w:noProof/>
          <w:szCs w:val="24"/>
          <w:lang w:val="en-GB"/>
        </w:rPr>
        <w:t xml:space="preserve"> </w:t>
      </w:r>
      <w:r w:rsidR="77E61BF1" w:rsidRPr="00724676">
        <w:rPr>
          <w:rFonts w:eastAsia="Times New Roman" w:cs="Times New Roman"/>
          <w:noProof/>
          <w:szCs w:val="24"/>
          <w:lang w:val="en-GB"/>
        </w:rPr>
        <w:t>farms or the type of production</w:t>
      </w:r>
      <w:r w:rsidR="0111B834" w:rsidRPr="00724676">
        <w:rPr>
          <w:rFonts w:eastAsia="Times New Roman" w:cs="Times New Roman"/>
          <w:noProof/>
          <w:szCs w:val="24"/>
          <w:lang w:val="en-GB"/>
        </w:rPr>
        <w:t>.</w:t>
      </w:r>
      <w:r w:rsidR="65C08A99" w:rsidRPr="00724676">
        <w:rPr>
          <w:rFonts w:eastAsia="Times New Roman" w:cs="Times New Roman"/>
          <w:noProof/>
          <w:szCs w:val="24"/>
          <w:lang w:val="en-GB"/>
        </w:rPr>
        <w:t xml:space="preserve"> </w:t>
      </w:r>
    </w:p>
    <w:p w14:paraId="7D6A75AF" w14:textId="6FADF9E6" w:rsidR="00D159DC" w:rsidRPr="00724676" w:rsidRDefault="00B6389A" w:rsidP="006D5C9F">
      <w:pPr>
        <w:spacing w:after="120"/>
        <w:jc w:val="both"/>
        <w:rPr>
          <w:rFonts w:eastAsia="Times New Roman" w:cs="Times New Roman"/>
          <w:noProof/>
          <w:szCs w:val="24"/>
          <w:lang w:val="en-GB"/>
        </w:rPr>
      </w:pPr>
      <w:r w:rsidRPr="00724676">
        <w:rPr>
          <w:rFonts w:eastAsia="Times New Roman" w:cs="Times New Roman"/>
          <w:noProof/>
          <w:szCs w:val="24"/>
          <w:lang w:val="en-GB"/>
        </w:rPr>
        <w:t xml:space="preserve">Another </w:t>
      </w:r>
      <w:r w:rsidR="002B1F07" w:rsidRPr="00724676">
        <w:rPr>
          <w:rFonts w:eastAsia="Times New Roman" w:cs="Times New Roman"/>
          <w:noProof/>
          <w:szCs w:val="24"/>
          <w:lang w:val="en-GB"/>
        </w:rPr>
        <w:t xml:space="preserve">insight </w:t>
      </w:r>
      <w:r w:rsidRPr="00724676">
        <w:rPr>
          <w:rFonts w:eastAsia="Times New Roman" w:cs="Times New Roman"/>
          <w:noProof/>
          <w:szCs w:val="24"/>
          <w:lang w:val="en-GB"/>
        </w:rPr>
        <w:t xml:space="preserve">comes from the uptake of the 2023 derogations from </w:t>
      </w:r>
      <w:r w:rsidR="00753C72" w:rsidRPr="00724676">
        <w:rPr>
          <w:rFonts w:eastAsia="Times New Roman" w:cs="Times New Roman"/>
          <w:noProof/>
          <w:szCs w:val="24"/>
          <w:lang w:val="en-GB"/>
        </w:rPr>
        <w:t xml:space="preserve">this </w:t>
      </w:r>
      <w:r w:rsidRPr="00724676">
        <w:rPr>
          <w:rFonts w:eastAsia="Times New Roman" w:cs="Times New Roman"/>
          <w:noProof/>
          <w:szCs w:val="24"/>
          <w:lang w:val="en-GB"/>
        </w:rPr>
        <w:t xml:space="preserve">GAEC 8 </w:t>
      </w:r>
      <w:r w:rsidR="002034A2" w:rsidRPr="00724676">
        <w:rPr>
          <w:rFonts w:eastAsia="Times New Roman" w:cs="Times New Roman"/>
          <w:noProof/>
          <w:szCs w:val="24"/>
          <w:lang w:val="en-GB"/>
        </w:rPr>
        <w:t>requirement</w:t>
      </w:r>
      <w:r w:rsidRPr="00724676">
        <w:rPr>
          <w:rFonts w:eastAsia="Times New Roman" w:cs="Times New Roman"/>
          <w:noProof/>
          <w:szCs w:val="24"/>
          <w:lang w:val="en-GB"/>
        </w:rPr>
        <w:t>,</w:t>
      </w:r>
      <w:r w:rsidR="00D86F7F" w:rsidRPr="00724676">
        <w:rPr>
          <w:rFonts w:eastAsia="Times New Roman" w:cs="Times New Roman"/>
          <w:noProof/>
          <w:szCs w:val="24"/>
          <w:lang w:val="en-GB"/>
        </w:rPr>
        <w:t xml:space="preserve"> with </w:t>
      </w:r>
      <w:r w:rsidR="00762055" w:rsidRPr="00724676">
        <w:rPr>
          <w:rFonts w:eastAsia="Times New Roman" w:cs="Times New Roman"/>
          <w:noProof/>
          <w:szCs w:val="24"/>
          <w:lang w:val="en-GB"/>
        </w:rPr>
        <w:t xml:space="preserve">significant </w:t>
      </w:r>
      <w:r w:rsidR="00D86F7F" w:rsidRPr="00724676">
        <w:rPr>
          <w:rFonts w:eastAsia="Times New Roman" w:cs="Times New Roman"/>
          <w:noProof/>
          <w:szCs w:val="24"/>
          <w:lang w:val="en-GB"/>
        </w:rPr>
        <w:t xml:space="preserve">variations </w:t>
      </w:r>
      <w:r w:rsidR="00C4441A" w:rsidRPr="00724676">
        <w:rPr>
          <w:rFonts w:eastAsia="Times New Roman" w:cs="Times New Roman"/>
          <w:noProof/>
          <w:szCs w:val="24"/>
          <w:lang w:val="en-GB"/>
        </w:rPr>
        <w:t>across Member States</w:t>
      </w:r>
      <w:r w:rsidR="00DB11C2" w:rsidRPr="00724676">
        <w:rPr>
          <w:rFonts w:eastAsia="Times New Roman" w:cs="Times New Roman"/>
          <w:noProof/>
          <w:szCs w:val="24"/>
          <w:lang w:val="en-GB"/>
        </w:rPr>
        <w:t xml:space="preserve"> </w:t>
      </w:r>
      <w:r w:rsidR="00D86F7F" w:rsidRPr="00724676">
        <w:rPr>
          <w:rFonts w:eastAsia="Times New Roman" w:cs="Times New Roman"/>
          <w:noProof/>
          <w:szCs w:val="24"/>
          <w:lang w:val="en-GB"/>
        </w:rPr>
        <w:t xml:space="preserve">in terms of land </w:t>
      </w:r>
      <w:r w:rsidR="004B0055" w:rsidRPr="00724676">
        <w:rPr>
          <w:rFonts w:eastAsia="Times New Roman" w:cs="Times New Roman"/>
          <w:noProof/>
          <w:szCs w:val="24"/>
          <w:lang w:val="en-GB"/>
        </w:rPr>
        <w:t>taken up</w:t>
      </w:r>
      <w:r w:rsidR="00D86F7F" w:rsidRPr="00724676">
        <w:rPr>
          <w:rFonts w:eastAsia="Times New Roman" w:cs="Times New Roman"/>
          <w:noProof/>
          <w:szCs w:val="24"/>
          <w:lang w:val="en-GB"/>
        </w:rPr>
        <w:t xml:space="preserve"> for </w:t>
      </w:r>
      <w:r w:rsidR="00D159DC" w:rsidRPr="00724676">
        <w:rPr>
          <w:rFonts w:eastAsia="Times New Roman" w:cs="Times New Roman"/>
          <w:noProof/>
          <w:szCs w:val="24"/>
          <w:lang w:val="en-GB"/>
        </w:rPr>
        <w:t>production</w:t>
      </w:r>
      <w:r w:rsidR="00362A77" w:rsidRPr="00724676">
        <w:rPr>
          <w:rFonts w:eastAsia="Times New Roman" w:cs="Times New Roman"/>
          <w:noProof/>
          <w:szCs w:val="24"/>
          <w:lang w:val="en-GB"/>
        </w:rPr>
        <w:t>.</w:t>
      </w:r>
      <w:r w:rsidR="00D159DC" w:rsidRPr="00724676">
        <w:rPr>
          <w:rFonts w:eastAsia="Times New Roman" w:cs="Times New Roman"/>
          <w:noProof/>
          <w:szCs w:val="24"/>
          <w:lang w:val="en-GB"/>
        </w:rPr>
        <w:t xml:space="preserve"> </w:t>
      </w:r>
      <w:r w:rsidR="00634A05">
        <w:rPr>
          <w:rFonts w:eastAsia="Times New Roman" w:cs="Times New Roman"/>
          <w:noProof/>
          <w:szCs w:val="24"/>
          <w:lang w:val="en-GB"/>
        </w:rPr>
        <w:t>This uptake</w:t>
      </w:r>
      <w:r w:rsidR="00634A05" w:rsidRPr="00724676">
        <w:rPr>
          <w:rFonts w:eastAsia="Times New Roman" w:cs="Times New Roman"/>
          <w:noProof/>
          <w:szCs w:val="24"/>
          <w:lang w:val="en-GB"/>
        </w:rPr>
        <w:t xml:space="preserve"> </w:t>
      </w:r>
      <w:r w:rsidR="00C06C1A" w:rsidRPr="00724676">
        <w:rPr>
          <w:rFonts w:eastAsia="Times New Roman" w:cs="Times New Roman"/>
          <w:noProof/>
          <w:szCs w:val="24"/>
          <w:lang w:val="en-GB"/>
        </w:rPr>
        <w:t>resulted</w:t>
      </w:r>
      <w:r w:rsidR="00CE1D94" w:rsidRPr="00724676">
        <w:rPr>
          <w:rFonts w:eastAsia="Times New Roman" w:cs="Times New Roman"/>
          <w:noProof/>
          <w:szCs w:val="24"/>
          <w:lang w:val="en-GB"/>
        </w:rPr>
        <w:t xml:space="preserve"> </w:t>
      </w:r>
      <w:r w:rsidR="00C06C1A" w:rsidRPr="00724676">
        <w:rPr>
          <w:rFonts w:eastAsia="Times New Roman" w:cs="Times New Roman"/>
          <w:noProof/>
          <w:szCs w:val="24"/>
          <w:lang w:val="en-GB"/>
        </w:rPr>
        <w:t>in</w:t>
      </w:r>
      <w:r w:rsidR="00634A05">
        <w:rPr>
          <w:rFonts w:eastAsia="Times New Roman" w:cs="Times New Roman"/>
          <w:noProof/>
          <w:szCs w:val="24"/>
          <w:lang w:val="en-GB"/>
        </w:rPr>
        <w:t xml:space="preserve"> the</w:t>
      </w:r>
      <w:r w:rsidR="00573A10" w:rsidRPr="00724676">
        <w:rPr>
          <w:rFonts w:eastAsia="Times New Roman" w:cs="Times New Roman"/>
          <w:noProof/>
          <w:szCs w:val="24"/>
          <w:lang w:val="en-GB"/>
        </w:rPr>
        <w:t xml:space="preserve"> cultivation </w:t>
      </w:r>
      <w:r w:rsidR="00CE1D94" w:rsidRPr="00724676">
        <w:rPr>
          <w:rFonts w:eastAsia="Times New Roman" w:cs="Times New Roman"/>
          <w:noProof/>
          <w:szCs w:val="24"/>
          <w:lang w:val="en-GB"/>
        </w:rPr>
        <w:t xml:space="preserve">of </w:t>
      </w:r>
      <w:r w:rsidR="00D159DC" w:rsidRPr="00724676">
        <w:rPr>
          <w:rFonts w:eastAsia="Times New Roman" w:cs="Times New Roman"/>
          <w:noProof/>
          <w:szCs w:val="24"/>
          <w:lang w:val="en-GB"/>
        </w:rPr>
        <w:t>cereals</w:t>
      </w:r>
      <w:r w:rsidR="000C7411" w:rsidRPr="00724676">
        <w:rPr>
          <w:rFonts w:eastAsia="Times New Roman" w:cs="Times New Roman"/>
          <w:noProof/>
          <w:szCs w:val="24"/>
          <w:lang w:val="en-GB"/>
        </w:rPr>
        <w:t xml:space="preserve"> and</w:t>
      </w:r>
      <w:r w:rsidR="00634A05">
        <w:rPr>
          <w:rFonts w:eastAsia="Times New Roman" w:cs="Times New Roman"/>
          <w:noProof/>
          <w:szCs w:val="24"/>
          <w:lang w:val="en-GB"/>
        </w:rPr>
        <w:t>,</w:t>
      </w:r>
      <w:r w:rsidR="000C7411" w:rsidRPr="00724676">
        <w:rPr>
          <w:rFonts w:eastAsia="Times New Roman" w:cs="Times New Roman"/>
          <w:noProof/>
          <w:szCs w:val="24"/>
          <w:lang w:val="en-GB"/>
        </w:rPr>
        <w:t xml:space="preserve"> to a lesser extent</w:t>
      </w:r>
      <w:r w:rsidR="00634A05">
        <w:rPr>
          <w:rFonts w:eastAsia="Times New Roman" w:cs="Times New Roman"/>
          <w:noProof/>
          <w:szCs w:val="24"/>
          <w:lang w:val="en-GB"/>
        </w:rPr>
        <w:t>,</w:t>
      </w:r>
      <w:r w:rsidR="000C7411" w:rsidRPr="00724676">
        <w:rPr>
          <w:rFonts w:eastAsia="Times New Roman" w:cs="Times New Roman"/>
          <w:noProof/>
          <w:szCs w:val="24"/>
          <w:lang w:val="en-GB"/>
        </w:rPr>
        <w:t xml:space="preserve"> dry pulses</w:t>
      </w:r>
      <w:r w:rsidR="00634A05">
        <w:rPr>
          <w:rFonts w:eastAsia="Times New Roman" w:cs="Times New Roman"/>
          <w:noProof/>
          <w:szCs w:val="24"/>
          <w:lang w:val="en-GB"/>
        </w:rPr>
        <w:t xml:space="preserve"> and </w:t>
      </w:r>
      <w:r w:rsidR="000C7411" w:rsidRPr="00724676">
        <w:rPr>
          <w:rFonts w:eastAsia="Times New Roman" w:cs="Times New Roman"/>
          <w:noProof/>
          <w:szCs w:val="24"/>
          <w:lang w:val="en-GB"/>
        </w:rPr>
        <w:t>leguminous crops, rapeseed, sunflower</w:t>
      </w:r>
      <w:r w:rsidR="00D159DC" w:rsidRPr="00724676">
        <w:rPr>
          <w:rFonts w:eastAsia="Times New Roman" w:cs="Times New Roman"/>
          <w:noProof/>
          <w:szCs w:val="24"/>
          <w:lang w:val="en-GB"/>
        </w:rPr>
        <w:t xml:space="preserve"> </w:t>
      </w:r>
      <w:r w:rsidR="00CE1D94" w:rsidRPr="00724676">
        <w:rPr>
          <w:rFonts w:eastAsia="Times New Roman" w:cs="Times New Roman"/>
          <w:noProof/>
          <w:szCs w:val="24"/>
          <w:lang w:val="en-GB"/>
        </w:rPr>
        <w:t>and</w:t>
      </w:r>
      <w:r w:rsidR="00D159DC" w:rsidRPr="00724676">
        <w:rPr>
          <w:rFonts w:eastAsia="Times New Roman" w:cs="Times New Roman"/>
          <w:noProof/>
          <w:szCs w:val="24"/>
          <w:lang w:val="en-GB"/>
        </w:rPr>
        <w:t xml:space="preserve"> potatoes</w:t>
      </w:r>
      <w:r w:rsidR="009B60C7" w:rsidRPr="00724676">
        <w:rPr>
          <w:rFonts w:eastAsia="Times New Roman" w:cs="Times New Roman"/>
          <w:noProof/>
          <w:szCs w:val="24"/>
          <w:lang w:val="en-GB"/>
        </w:rPr>
        <w:t>, generating additional income opportunities</w:t>
      </w:r>
      <w:r w:rsidR="00D159DC" w:rsidRPr="00724676">
        <w:rPr>
          <w:rFonts w:eastAsia="Times New Roman" w:cs="Times New Roman"/>
          <w:noProof/>
          <w:szCs w:val="24"/>
          <w:lang w:val="en-GB"/>
        </w:rPr>
        <w:t xml:space="preserve">. </w:t>
      </w:r>
      <w:r w:rsidR="00B07B85" w:rsidRPr="00724676">
        <w:rPr>
          <w:rFonts w:eastAsia="Times New Roman" w:cs="Times New Roman"/>
          <w:noProof/>
          <w:szCs w:val="24"/>
          <w:lang w:val="en-GB"/>
        </w:rPr>
        <w:t>D</w:t>
      </w:r>
      <w:r w:rsidR="004B0055" w:rsidRPr="00724676">
        <w:rPr>
          <w:rFonts w:eastAsia="Times New Roman" w:cs="Times New Roman"/>
          <w:noProof/>
          <w:szCs w:val="24"/>
          <w:lang w:val="en-GB"/>
        </w:rPr>
        <w:t xml:space="preserve">ifferences in the quality of fallow land to produce crops, </w:t>
      </w:r>
      <w:r w:rsidR="00B07B85" w:rsidRPr="00724676">
        <w:rPr>
          <w:rFonts w:eastAsia="Times New Roman" w:cs="Times New Roman"/>
          <w:noProof/>
          <w:szCs w:val="24"/>
          <w:lang w:val="en-GB"/>
        </w:rPr>
        <w:t xml:space="preserve">in </w:t>
      </w:r>
      <w:r w:rsidR="004B0055" w:rsidRPr="00724676">
        <w:rPr>
          <w:rFonts w:eastAsia="Times New Roman" w:cs="Times New Roman"/>
          <w:noProof/>
          <w:szCs w:val="24"/>
          <w:lang w:val="en-GB"/>
        </w:rPr>
        <w:t xml:space="preserve">the size and location of the </w:t>
      </w:r>
      <w:r w:rsidR="00F93C80" w:rsidRPr="00724676">
        <w:rPr>
          <w:rFonts w:eastAsia="Times New Roman" w:cs="Times New Roman"/>
          <w:noProof/>
          <w:szCs w:val="24"/>
          <w:lang w:val="en-GB"/>
        </w:rPr>
        <w:t>fallow</w:t>
      </w:r>
      <w:r w:rsidR="00361D51" w:rsidRPr="00724676">
        <w:rPr>
          <w:rFonts w:eastAsia="Times New Roman" w:cs="Times New Roman"/>
          <w:noProof/>
          <w:szCs w:val="24"/>
          <w:lang w:val="en-GB"/>
        </w:rPr>
        <w:t xml:space="preserve"> land</w:t>
      </w:r>
      <w:r w:rsidR="00634A05">
        <w:rPr>
          <w:rFonts w:eastAsia="Times New Roman" w:cs="Times New Roman"/>
          <w:noProof/>
          <w:szCs w:val="24"/>
          <w:lang w:val="en-GB"/>
        </w:rPr>
        <w:t>,</w:t>
      </w:r>
      <w:r w:rsidR="00361D51" w:rsidRPr="00724676">
        <w:rPr>
          <w:rFonts w:eastAsia="Times New Roman" w:cs="Times New Roman"/>
          <w:noProof/>
          <w:szCs w:val="24"/>
          <w:lang w:val="en-GB"/>
        </w:rPr>
        <w:t xml:space="preserve"> </w:t>
      </w:r>
      <w:r w:rsidR="00F93C80" w:rsidRPr="00724676">
        <w:rPr>
          <w:rFonts w:eastAsia="Times New Roman" w:cs="Times New Roman"/>
          <w:noProof/>
          <w:szCs w:val="24"/>
          <w:lang w:val="en-GB"/>
        </w:rPr>
        <w:t xml:space="preserve">and </w:t>
      </w:r>
      <w:r w:rsidR="00E45D84" w:rsidRPr="00724676">
        <w:rPr>
          <w:rFonts w:eastAsia="Times New Roman" w:cs="Times New Roman"/>
          <w:noProof/>
          <w:szCs w:val="24"/>
          <w:lang w:val="en-GB"/>
        </w:rPr>
        <w:t xml:space="preserve">in </w:t>
      </w:r>
      <w:r w:rsidR="00F93C80" w:rsidRPr="00724676">
        <w:rPr>
          <w:rFonts w:eastAsia="Times New Roman" w:cs="Times New Roman"/>
          <w:noProof/>
          <w:szCs w:val="24"/>
          <w:lang w:val="en-GB"/>
        </w:rPr>
        <w:t>the existence and attractiveness of voluntary measures</w:t>
      </w:r>
      <w:r w:rsidR="0023783D" w:rsidRPr="00724676">
        <w:rPr>
          <w:rFonts w:eastAsia="Times New Roman" w:cs="Times New Roman"/>
          <w:noProof/>
          <w:szCs w:val="24"/>
          <w:lang w:val="en-GB"/>
        </w:rPr>
        <w:t xml:space="preserve"> influenced</w:t>
      </w:r>
      <w:r w:rsidR="00EC4F67" w:rsidRPr="00724676">
        <w:rPr>
          <w:rFonts w:eastAsia="Times New Roman" w:cs="Times New Roman"/>
          <w:noProof/>
          <w:szCs w:val="24"/>
          <w:lang w:val="en-GB"/>
        </w:rPr>
        <w:t xml:space="preserve"> </w:t>
      </w:r>
      <w:r w:rsidR="004A7C17" w:rsidRPr="00724676">
        <w:rPr>
          <w:rFonts w:eastAsia="Times New Roman" w:cs="Times New Roman"/>
          <w:noProof/>
          <w:szCs w:val="24"/>
          <w:lang w:val="en-GB"/>
        </w:rPr>
        <w:t>land use</w:t>
      </w:r>
      <w:r w:rsidR="007326A9" w:rsidRPr="00724676">
        <w:rPr>
          <w:rFonts w:eastAsia="Times New Roman" w:cs="Times New Roman"/>
          <w:noProof/>
          <w:szCs w:val="24"/>
          <w:lang w:val="en-GB"/>
        </w:rPr>
        <w:t xml:space="preserve"> in that year</w:t>
      </w:r>
      <w:r w:rsidR="00F93C80" w:rsidRPr="00724676">
        <w:rPr>
          <w:rFonts w:eastAsia="Times New Roman" w:cs="Times New Roman"/>
          <w:noProof/>
          <w:szCs w:val="24"/>
          <w:lang w:val="en-GB"/>
        </w:rPr>
        <w:t>.</w:t>
      </w:r>
      <w:r w:rsidR="004A7C17" w:rsidRPr="00724676">
        <w:rPr>
          <w:rFonts w:eastAsia="Times New Roman" w:cs="Times New Roman"/>
          <w:noProof/>
          <w:szCs w:val="24"/>
          <w:lang w:val="en-GB"/>
        </w:rPr>
        <w:t xml:space="preserve"> This </w:t>
      </w:r>
      <w:r w:rsidR="002034A2" w:rsidRPr="00724676">
        <w:rPr>
          <w:rFonts w:eastAsia="Times New Roman" w:cs="Times New Roman"/>
          <w:noProof/>
          <w:szCs w:val="24"/>
          <w:lang w:val="en-GB"/>
        </w:rPr>
        <w:t>provides</w:t>
      </w:r>
      <w:r w:rsidR="004A7C17" w:rsidRPr="00724676">
        <w:rPr>
          <w:rFonts w:eastAsia="Times New Roman" w:cs="Times New Roman"/>
          <w:noProof/>
          <w:szCs w:val="24"/>
          <w:lang w:val="en-GB"/>
        </w:rPr>
        <w:t xml:space="preserve"> a </w:t>
      </w:r>
      <w:r w:rsidR="002034A2" w:rsidRPr="00724676">
        <w:rPr>
          <w:rFonts w:eastAsia="Times New Roman" w:cs="Times New Roman"/>
          <w:noProof/>
          <w:szCs w:val="24"/>
          <w:lang w:val="en-GB"/>
        </w:rPr>
        <w:t xml:space="preserve">good </w:t>
      </w:r>
      <w:r w:rsidR="004A7C17" w:rsidRPr="00724676">
        <w:rPr>
          <w:rFonts w:eastAsia="Times New Roman" w:cs="Times New Roman"/>
          <w:noProof/>
          <w:szCs w:val="24"/>
          <w:lang w:val="en-GB"/>
        </w:rPr>
        <w:t xml:space="preserve">indication for </w:t>
      </w:r>
      <w:r w:rsidR="00F23DB1" w:rsidRPr="00724676">
        <w:rPr>
          <w:rFonts w:eastAsia="Times New Roman" w:cs="Times New Roman"/>
          <w:noProof/>
          <w:szCs w:val="24"/>
          <w:lang w:val="en-GB"/>
        </w:rPr>
        <w:t>what is likely to occur.</w:t>
      </w:r>
      <w:r w:rsidR="00F93C80" w:rsidRPr="00724676">
        <w:rPr>
          <w:rFonts w:eastAsia="Times New Roman" w:cs="Times New Roman"/>
          <w:noProof/>
          <w:szCs w:val="24"/>
          <w:lang w:val="en-GB"/>
        </w:rPr>
        <w:t xml:space="preserve"> </w:t>
      </w:r>
    </w:p>
    <w:p w14:paraId="03349598" w14:textId="5CC344A7" w:rsidR="00E16BDE" w:rsidRPr="00724676" w:rsidRDefault="001C536E" w:rsidP="000E54CE">
      <w:pPr>
        <w:spacing w:after="120"/>
        <w:jc w:val="both"/>
        <w:rPr>
          <w:rFonts w:cs="Times New Roman"/>
          <w:noProof/>
          <w:szCs w:val="24"/>
          <w:lang w:val="en-GB"/>
        </w:rPr>
      </w:pPr>
      <w:r w:rsidRPr="00724676">
        <w:rPr>
          <w:rFonts w:eastAsia="Times New Roman" w:cs="Times New Roman"/>
          <w:noProof/>
          <w:szCs w:val="24"/>
          <w:lang w:val="en-GB"/>
        </w:rPr>
        <w:t xml:space="preserve">At the same time, the </w:t>
      </w:r>
      <w:r w:rsidRPr="00724676">
        <w:rPr>
          <w:rFonts w:eastAsia="Times New Roman" w:cs="Times New Roman"/>
          <w:b/>
          <w:bCs/>
          <w:noProof/>
          <w:szCs w:val="24"/>
          <w:lang w:val="en-GB"/>
        </w:rPr>
        <w:t xml:space="preserve">economic benefits of additional </w:t>
      </w:r>
      <w:r w:rsidR="00C174DF" w:rsidRPr="00724676">
        <w:rPr>
          <w:rFonts w:eastAsia="Times New Roman" w:cs="Times New Roman"/>
          <w:b/>
          <w:bCs/>
          <w:noProof/>
          <w:szCs w:val="24"/>
          <w:lang w:val="en-GB"/>
        </w:rPr>
        <w:t>landscape features and of fallow land</w:t>
      </w:r>
      <w:r w:rsidR="00C174DF" w:rsidRPr="00724676">
        <w:rPr>
          <w:rFonts w:eastAsia="Times New Roman" w:cs="Times New Roman"/>
          <w:noProof/>
          <w:szCs w:val="24"/>
          <w:lang w:val="en-GB"/>
        </w:rPr>
        <w:t xml:space="preserve"> on arable farms should not be neglected</w:t>
      </w:r>
      <w:r w:rsidR="00634A05">
        <w:rPr>
          <w:rFonts w:eastAsia="Times New Roman" w:cs="Times New Roman"/>
          <w:noProof/>
          <w:szCs w:val="24"/>
          <w:lang w:val="en-GB"/>
        </w:rPr>
        <w:t>,</w:t>
      </w:r>
      <w:r w:rsidR="005D2E62" w:rsidRPr="00724676">
        <w:rPr>
          <w:noProof/>
          <w:lang w:val="en-GB"/>
        </w:rPr>
        <w:t xml:space="preserve"> </w:t>
      </w:r>
      <w:r w:rsidR="005D2E62" w:rsidRPr="00724676">
        <w:rPr>
          <w:rFonts w:eastAsia="Times New Roman" w:cs="Times New Roman"/>
          <w:noProof/>
          <w:szCs w:val="24"/>
          <w:lang w:val="en-GB"/>
        </w:rPr>
        <w:t xml:space="preserve">given their benefits for the </w:t>
      </w:r>
      <w:r w:rsidR="00634A05">
        <w:rPr>
          <w:rFonts w:eastAsia="Times New Roman" w:cs="Times New Roman"/>
          <w:noProof/>
          <w:szCs w:val="24"/>
          <w:lang w:val="en-GB"/>
        </w:rPr>
        <w:t xml:space="preserve">farms’ </w:t>
      </w:r>
      <w:r w:rsidR="007E3D41" w:rsidRPr="00724676">
        <w:rPr>
          <w:rFonts w:eastAsia="Times New Roman" w:cs="Times New Roman"/>
          <w:noProof/>
          <w:szCs w:val="24"/>
          <w:lang w:val="en-GB"/>
        </w:rPr>
        <w:t xml:space="preserve">resilience, </w:t>
      </w:r>
      <w:r w:rsidR="00634A05">
        <w:rPr>
          <w:rFonts w:eastAsia="Times New Roman" w:cs="Times New Roman"/>
          <w:noProof/>
          <w:szCs w:val="24"/>
          <w:lang w:val="en-GB"/>
        </w:rPr>
        <w:t xml:space="preserve">the </w:t>
      </w:r>
      <w:r w:rsidR="005D2E62" w:rsidRPr="00724676">
        <w:rPr>
          <w:rFonts w:eastAsia="Times New Roman" w:cs="Times New Roman"/>
          <w:noProof/>
          <w:szCs w:val="24"/>
          <w:lang w:val="en-GB"/>
        </w:rPr>
        <w:t xml:space="preserve">overall stability of crop production and agricultural productivity in the </w:t>
      </w:r>
      <w:r w:rsidR="002004CF" w:rsidRPr="00724676">
        <w:rPr>
          <w:rFonts w:eastAsia="Times New Roman" w:cs="Times New Roman"/>
          <w:noProof/>
          <w:szCs w:val="24"/>
          <w:lang w:val="en-GB"/>
        </w:rPr>
        <w:t xml:space="preserve">medium and </w:t>
      </w:r>
      <w:r w:rsidR="005D2E62" w:rsidRPr="00724676">
        <w:rPr>
          <w:rFonts w:eastAsia="Times New Roman" w:cs="Times New Roman"/>
          <w:noProof/>
          <w:szCs w:val="24"/>
          <w:lang w:val="en-GB"/>
        </w:rPr>
        <w:t xml:space="preserve">long </w:t>
      </w:r>
      <w:r w:rsidR="00634A05">
        <w:rPr>
          <w:rFonts w:eastAsia="Times New Roman" w:cs="Times New Roman"/>
          <w:noProof/>
          <w:szCs w:val="24"/>
          <w:lang w:val="en-GB"/>
        </w:rPr>
        <w:t>term</w:t>
      </w:r>
      <w:r w:rsidR="00634A05" w:rsidRPr="00724676">
        <w:rPr>
          <w:rFonts w:eastAsia="Times New Roman" w:cs="Times New Roman"/>
          <w:noProof/>
          <w:szCs w:val="24"/>
          <w:lang w:val="en-GB"/>
        </w:rPr>
        <w:t xml:space="preserve"> </w:t>
      </w:r>
      <w:r w:rsidR="002004CF" w:rsidRPr="00724676">
        <w:rPr>
          <w:rFonts w:eastAsia="Times New Roman" w:cs="Times New Roman"/>
          <w:noProof/>
          <w:szCs w:val="24"/>
          <w:lang w:val="en-GB"/>
        </w:rPr>
        <w:t>through</w:t>
      </w:r>
      <w:r w:rsidR="00396378" w:rsidRPr="00724676">
        <w:rPr>
          <w:rFonts w:eastAsia="Times New Roman" w:cs="Times New Roman"/>
          <w:noProof/>
          <w:szCs w:val="24"/>
          <w:lang w:val="en-GB"/>
        </w:rPr>
        <w:t xml:space="preserve"> </w:t>
      </w:r>
      <w:r w:rsidR="00C9199A" w:rsidRPr="00724676">
        <w:rPr>
          <w:rFonts w:eastAsia="Times New Roman" w:cs="Times New Roman"/>
          <w:b/>
          <w:bCs/>
          <w:noProof/>
          <w:szCs w:val="24"/>
          <w:lang w:val="en-GB"/>
        </w:rPr>
        <w:t>eco-</w:t>
      </w:r>
      <w:r w:rsidR="005F1FA7" w:rsidRPr="00724676">
        <w:rPr>
          <w:rFonts w:eastAsia="Times New Roman" w:cs="Times New Roman"/>
          <w:b/>
          <w:bCs/>
          <w:noProof/>
          <w:szCs w:val="24"/>
          <w:lang w:val="en-GB"/>
        </w:rPr>
        <w:t xml:space="preserve">system </w:t>
      </w:r>
      <w:r w:rsidR="00C9199A" w:rsidRPr="00724676">
        <w:rPr>
          <w:rFonts w:eastAsia="Times New Roman" w:cs="Times New Roman"/>
          <w:b/>
          <w:bCs/>
          <w:noProof/>
          <w:szCs w:val="24"/>
          <w:lang w:val="en-GB"/>
        </w:rPr>
        <w:t>benefits</w:t>
      </w:r>
      <w:r w:rsidR="00C9199A" w:rsidRPr="00724676">
        <w:rPr>
          <w:rFonts w:eastAsia="Times New Roman" w:cs="Times New Roman"/>
          <w:noProof/>
          <w:szCs w:val="24"/>
          <w:lang w:val="en-GB"/>
        </w:rPr>
        <w:t xml:space="preserve"> </w:t>
      </w:r>
      <w:r w:rsidR="005E621E" w:rsidRPr="00724676">
        <w:rPr>
          <w:rFonts w:eastAsia="Times New Roman" w:cs="Times New Roman"/>
          <w:noProof/>
          <w:szCs w:val="24"/>
          <w:lang w:val="en-GB"/>
        </w:rPr>
        <w:t xml:space="preserve">in relation to </w:t>
      </w:r>
      <w:r w:rsidR="00396378" w:rsidRPr="00724676">
        <w:rPr>
          <w:rFonts w:eastAsia="Times New Roman" w:cs="Times New Roman"/>
          <w:noProof/>
          <w:szCs w:val="24"/>
          <w:lang w:val="en-GB"/>
        </w:rPr>
        <w:t xml:space="preserve">water retention and </w:t>
      </w:r>
      <w:r w:rsidR="00396378" w:rsidRPr="00724676">
        <w:rPr>
          <w:rFonts w:cs="Times New Roman"/>
          <w:noProof/>
          <w:szCs w:val="24"/>
          <w:lang w:val="en-GB"/>
        </w:rPr>
        <w:t>q</w:t>
      </w:r>
      <w:r w:rsidR="00D34032" w:rsidRPr="00724676">
        <w:rPr>
          <w:rFonts w:cs="Times New Roman"/>
          <w:noProof/>
          <w:szCs w:val="24"/>
          <w:lang w:val="en-GB"/>
        </w:rPr>
        <w:t>uality</w:t>
      </w:r>
      <w:r w:rsidR="005E621E" w:rsidRPr="00724676">
        <w:rPr>
          <w:rFonts w:cs="Times New Roman"/>
          <w:noProof/>
          <w:szCs w:val="24"/>
          <w:lang w:val="en-GB"/>
        </w:rPr>
        <w:t>,</w:t>
      </w:r>
      <w:r w:rsidR="00D34032" w:rsidRPr="00724676">
        <w:rPr>
          <w:rFonts w:cs="Times New Roman"/>
          <w:noProof/>
          <w:szCs w:val="24"/>
          <w:lang w:val="en-GB"/>
        </w:rPr>
        <w:t xml:space="preserve"> pest control and </w:t>
      </w:r>
      <w:r w:rsidR="00634A05">
        <w:rPr>
          <w:rFonts w:cs="Times New Roman"/>
          <w:noProof/>
          <w:szCs w:val="24"/>
          <w:lang w:val="en-GB"/>
        </w:rPr>
        <w:t xml:space="preserve">the prevention of </w:t>
      </w:r>
      <w:r w:rsidR="005E621E" w:rsidRPr="00724676">
        <w:rPr>
          <w:rFonts w:cs="Times New Roman"/>
          <w:noProof/>
          <w:szCs w:val="24"/>
          <w:lang w:val="en-GB"/>
        </w:rPr>
        <w:t xml:space="preserve">soil </w:t>
      </w:r>
      <w:r w:rsidR="00D34032" w:rsidRPr="00724676">
        <w:rPr>
          <w:rFonts w:cs="Times New Roman"/>
          <w:noProof/>
          <w:szCs w:val="24"/>
          <w:lang w:val="en-GB"/>
        </w:rPr>
        <w:t>erosion</w:t>
      </w:r>
      <w:r w:rsidR="00C9199A" w:rsidRPr="00724676">
        <w:rPr>
          <w:rFonts w:eastAsia="Times New Roman" w:cs="Times New Roman"/>
          <w:noProof/>
          <w:szCs w:val="24"/>
          <w:lang w:val="en-GB"/>
        </w:rPr>
        <w:t>.</w:t>
      </w:r>
    </w:p>
    <w:p w14:paraId="72468E3F" w14:textId="32B24D51" w:rsidR="004D765F" w:rsidRPr="00724676" w:rsidRDefault="00E16BDE" w:rsidP="000E54CE">
      <w:pPr>
        <w:spacing w:after="120"/>
        <w:jc w:val="both"/>
        <w:rPr>
          <w:rFonts w:eastAsia="Times New Roman" w:cs="Times New Roman"/>
          <w:noProof/>
          <w:lang w:val="en-GB"/>
        </w:rPr>
      </w:pPr>
      <w:r w:rsidRPr="6FE283EC">
        <w:rPr>
          <w:rFonts w:cs="Times New Roman"/>
          <w:noProof/>
          <w:lang w:val="en-GB"/>
        </w:rPr>
        <w:t>T</w:t>
      </w:r>
      <w:r w:rsidR="004D765F" w:rsidRPr="6FE283EC">
        <w:rPr>
          <w:rFonts w:cs="Times New Roman"/>
          <w:noProof/>
          <w:lang w:val="en-GB"/>
        </w:rPr>
        <w:t>he</w:t>
      </w:r>
      <w:r w:rsidR="00E24397" w:rsidRPr="6FE283EC">
        <w:rPr>
          <w:rFonts w:cs="Times New Roman"/>
          <w:noProof/>
          <w:lang w:val="en-GB"/>
        </w:rPr>
        <w:t xml:space="preserve"> IF</w:t>
      </w:r>
      <w:r w:rsidR="006012C8" w:rsidRPr="6FE283EC">
        <w:rPr>
          <w:rFonts w:cs="Times New Roman"/>
          <w:noProof/>
          <w:lang w:val="en-GB"/>
        </w:rPr>
        <w:t>M</w:t>
      </w:r>
      <w:r w:rsidR="00E24397" w:rsidRPr="6FE283EC">
        <w:rPr>
          <w:rFonts w:cs="Times New Roman"/>
          <w:noProof/>
          <w:lang w:val="en-GB"/>
        </w:rPr>
        <w:t>-CAP calculations</w:t>
      </w:r>
      <w:r w:rsidR="004D765F" w:rsidRPr="6FE283EC">
        <w:rPr>
          <w:rFonts w:cs="Times New Roman"/>
          <w:noProof/>
          <w:lang w:val="en-GB"/>
        </w:rPr>
        <w:t xml:space="preserve"> do not </w:t>
      </w:r>
      <w:r w:rsidRPr="6FE283EC">
        <w:rPr>
          <w:rFonts w:cs="Times New Roman"/>
          <w:noProof/>
          <w:lang w:val="en-GB"/>
        </w:rPr>
        <w:t>consider</w:t>
      </w:r>
      <w:r w:rsidR="004D765F" w:rsidRPr="6FE283EC">
        <w:rPr>
          <w:rFonts w:cs="Times New Roman"/>
          <w:noProof/>
          <w:lang w:val="en-GB"/>
        </w:rPr>
        <w:t xml:space="preserve"> the </w:t>
      </w:r>
      <w:r w:rsidR="004D765F" w:rsidRPr="6FE283EC">
        <w:rPr>
          <w:rFonts w:cs="Times New Roman"/>
          <w:b/>
          <w:noProof/>
          <w:lang w:val="en-GB"/>
        </w:rPr>
        <w:t>introduction of eco-schemes</w:t>
      </w:r>
      <w:r w:rsidR="00904BFC" w:rsidRPr="6FE283EC">
        <w:rPr>
          <w:rFonts w:cs="Times New Roman"/>
          <w:noProof/>
          <w:lang w:val="en-GB"/>
        </w:rPr>
        <w:t xml:space="preserve"> </w:t>
      </w:r>
      <w:r w:rsidR="004D765F" w:rsidRPr="6FE283EC">
        <w:rPr>
          <w:rFonts w:cs="Times New Roman"/>
          <w:noProof/>
          <w:lang w:val="en-GB"/>
        </w:rPr>
        <w:t xml:space="preserve">for the maintenance of non-productive areas and for the establishment of new landscape features that Member States are required to set up in compensation for removing </w:t>
      </w:r>
      <w:r w:rsidR="00F74A52" w:rsidRPr="6FE283EC">
        <w:rPr>
          <w:rFonts w:cs="Times New Roman"/>
          <w:noProof/>
          <w:lang w:val="en-GB"/>
        </w:rPr>
        <w:t xml:space="preserve">the </w:t>
      </w:r>
      <w:r w:rsidR="004D765F" w:rsidRPr="6FE283EC">
        <w:rPr>
          <w:rFonts w:cs="Times New Roman"/>
          <w:noProof/>
          <w:lang w:val="en-GB"/>
        </w:rPr>
        <w:t xml:space="preserve">GAEC 8 </w:t>
      </w:r>
      <w:r w:rsidR="0E584DEB" w:rsidRPr="6FE283EC">
        <w:rPr>
          <w:rFonts w:cs="Times New Roman"/>
          <w:noProof/>
          <w:lang w:val="en-GB"/>
        </w:rPr>
        <w:t xml:space="preserve">first </w:t>
      </w:r>
      <w:r w:rsidR="006F5665" w:rsidRPr="6FE283EC">
        <w:rPr>
          <w:rFonts w:cs="Times New Roman"/>
          <w:noProof/>
          <w:lang w:val="en-GB"/>
        </w:rPr>
        <w:t>requirement</w:t>
      </w:r>
      <w:r w:rsidR="004D765F" w:rsidRPr="6FE283EC">
        <w:rPr>
          <w:rFonts w:cs="Times New Roman"/>
          <w:noProof/>
          <w:lang w:val="en-GB"/>
        </w:rPr>
        <w:t xml:space="preserve">. As these eco-schemes are voluntary for farmers, it can be assumed that farmers will engage only where the </w:t>
      </w:r>
      <w:r w:rsidR="004D765F" w:rsidRPr="6FE283EC">
        <w:rPr>
          <w:rFonts w:cs="Times New Roman"/>
          <w:b/>
          <w:noProof/>
          <w:lang w:val="en-GB"/>
        </w:rPr>
        <w:t>compensation</w:t>
      </w:r>
      <w:r w:rsidR="004D765F" w:rsidRPr="6FE283EC">
        <w:rPr>
          <w:rFonts w:cs="Times New Roman"/>
          <w:noProof/>
          <w:lang w:val="en-GB"/>
        </w:rPr>
        <w:t xml:space="preserve"> offered will </w:t>
      </w:r>
      <w:r w:rsidR="00634A05" w:rsidRPr="6FE283EC">
        <w:rPr>
          <w:rFonts w:cs="Times New Roman"/>
          <w:noProof/>
          <w:lang w:val="en-GB"/>
        </w:rPr>
        <w:t>surpass</w:t>
      </w:r>
      <w:r w:rsidR="004D765F" w:rsidRPr="6FE283EC">
        <w:rPr>
          <w:rFonts w:cs="Times New Roman"/>
          <w:b/>
          <w:noProof/>
          <w:lang w:val="en-GB"/>
        </w:rPr>
        <w:t xml:space="preserve"> their extra costs</w:t>
      </w:r>
      <w:r w:rsidR="004D765F" w:rsidRPr="6FE283EC">
        <w:rPr>
          <w:rFonts w:cs="Times New Roman"/>
          <w:noProof/>
          <w:lang w:val="en-GB"/>
        </w:rPr>
        <w:t xml:space="preserve">. This </w:t>
      </w:r>
      <w:r w:rsidR="00904BFC" w:rsidRPr="6FE283EC">
        <w:rPr>
          <w:rFonts w:cs="Times New Roman"/>
          <w:noProof/>
          <w:lang w:val="en-GB"/>
        </w:rPr>
        <w:t>could</w:t>
      </w:r>
      <w:r w:rsidR="004D765F" w:rsidRPr="6FE283EC">
        <w:rPr>
          <w:rFonts w:cs="Times New Roman"/>
          <w:noProof/>
          <w:lang w:val="en-GB"/>
        </w:rPr>
        <w:t xml:space="preserve"> </w:t>
      </w:r>
      <w:r w:rsidR="004D765F" w:rsidRPr="00D61005">
        <w:rPr>
          <w:rFonts w:cs="Times New Roman"/>
          <w:noProof/>
          <w:lang w:val="en-GB"/>
        </w:rPr>
        <w:t xml:space="preserve">be particularly attractive for farmers </w:t>
      </w:r>
      <w:r w:rsidR="00634A05" w:rsidRPr="00D61005">
        <w:rPr>
          <w:rFonts w:cs="Times New Roman"/>
          <w:noProof/>
          <w:lang w:val="en-GB"/>
        </w:rPr>
        <w:t>wh</w:t>
      </w:r>
      <w:r w:rsidR="004064E5" w:rsidRPr="00D61005">
        <w:rPr>
          <w:rFonts w:cs="Times New Roman"/>
          <w:noProof/>
          <w:lang w:val="en-GB"/>
        </w:rPr>
        <w:t>o</w:t>
      </w:r>
      <w:r w:rsidR="00634A05" w:rsidRPr="00D61005">
        <w:rPr>
          <w:rFonts w:cs="Times New Roman"/>
          <w:noProof/>
          <w:lang w:val="en-GB"/>
        </w:rPr>
        <w:t xml:space="preserve"> </w:t>
      </w:r>
      <w:r w:rsidR="004D765F" w:rsidRPr="00D61005">
        <w:rPr>
          <w:rFonts w:cs="Times New Roman"/>
          <w:noProof/>
          <w:lang w:val="en-GB"/>
        </w:rPr>
        <w:t xml:space="preserve">already </w:t>
      </w:r>
      <w:r w:rsidR="00904BFC" w:rsidRPr="00D61005">
        <w:rPr>
          <w:rFonts w:cs="Times New Roman"/>
          <w:noProof/>
          <w:lang w:val="en-GB"/>
        </w:rPr>
        <w:t xml:space="preserve">have </w:t>
      </w:r>
      <w:r w:rsidR="004D765F" w:rsidRPr="00D61005">
        <w:rPr>
          <w:rFonts w:cs="Times New Roman"/>
          <w:noProof/>
          <w:lang w:val="en-GB"/>
        </w:rPr>
        <w:t>fallow land or marginal and low productive arabl</w:t>
      </w:r>
      <w:r w:rsidR="004D765F" w:rsidRPr="00406DFD">
        <w:rPr>
          <w:rFonts w:cs="Times New Roman"/>
          <w:noProof/>
          <w:lang w:val="en-GB"/>
        </w:rPr>
        <w:t>e land, where the commitment to leave it non-productive impl</w:t>
      </w:r>
      <w:r w:rsidR="005C498B" w:rsidRPr="00406DFD">
        <w:rPr>
          <w:rFonts w:cs="Times New Roman"/>
          <w:noProof/>
          <w:lang w:val="en-GB"/>
        </w:rPr>
        <w:t>ies</w:t>
      </w:r>
      <w:r w:rsidR="004D765F" w:rsidRPr="00406DFD">
        <w:rPr>
          <w:rFonts w:cs="Times New Roman"/>
          <w:noProof/>
          <w:lang w:val="en-GB"/>
        </w:rPr>
        <w:t xml:space="preserve"> a limited </w:t>
      </w:r>
      <w:r w:rsidR="00FF2149" w:rsidRPr="00406DFD">
        <w:rPr>
          <w:rFonts w:cs="Times New Roman"/>
          <w:noProof/>
          <w:lang w:val="en-GB"/>
        </w:rPr>
        <w:t>opportunity cost</w:t>
      </w:r>
      <w:r w:rsidR="00D0338A" w:rsidRPr="00406DFD">
        <w:rPr>
          <w:rFonts w:cs="Times New Roman"/>
          <w:noProof/>
          <w:lang w:val="en-GB"/>
        </w:rPr>
        <w:t xml:space="preserve"> and less </w:t>
      </w:r>
      <w:r w:rsidR="3EB5591F" w:rsidRPr="00D61005">
        <w:rPr>
          <w:rFonts w:cs="Times New Roman"/>
          <w:noProof/>
          <w:lang w:val="en-GB"/>
        </w:rPr>
        <w:t>attractive for more</w:t>
      </w:r>
      <w:r w:rsidR="42ED4D10" w:rsidRPr="00D61005">
        <w:rPr>
          <w:rFonts w:cs="Times New Roman"/>
          <w:noProof/>
          <w:lang w:val="en-GB"/>
        </w:rPr>
        <w:t xml:space="preserve"> intensive farm</w:t>
      </w:r>
      <w:r w:rsidR="6DEC0947" w:rsidRPr="00D61005">
        <w:rPr>
          <w:rFonts w:cs="Times New Roman"/>
          <w:noProof/>
          <w:lang w:val="en-GB"/>
        </w:rPr>
        <w:t>s</w:t>
      </w:r>
      <w:r w:rsidR="004D765F" w:rsidRPr="00406DFD">
        <w:rPr>
          <w:rFonts w:cs="Times New Roman"/>
          <w:noProof/>
          <w:lang w:val="en-GB"/>
        </w:rPr>
        <w:t>.</w:t>
      </w:r>
      <w:r w:rsidR="004D765F" w:rsidRPr="6FE283EC">
        <w:rPr>
          <w:rFonts w:cs="Times New Roman"/>
          <w:noProof/>
          <w:lang w:val="en-GB"/>
        </w:rPr>
        <w:t xml:space="preserve"> </w:t>
      </w:r>
      <w:r w:rsidR="00CC175A" w:rsidRPr="6FE283EC">
        <w:rPr>
          <w:rFonts w:cs="Times New Roman"/>
          <w:noProof/>
          <w:lang w:val="en-GB"/>
        </w:rPr>
        <w:t>A</w:t>
      </w:r>
      <w:r w:rsidR="004D765F" w:rsidRPr="6FE283EC">
        <w:rPr>
          <w:rFonts w:cs="Times New Roman"/>
          <w:noProof/>
          <w:lang w:val="en-GB"/>
        </w:rPr>
        <w:t>lso</w:t>
      </w:r>
      <w:r w:rsidR="00DE50C8" w:rsidRPr="6FE283EC">
        <w:rPr>
          <w:rFonts w:cs="Times New Roman"/>
          <w:noProof/>
          <w:lang w:val="en-GB"/>
        </w:rPr>
        <w:t>,</w:t>
      </w:r>
      <w:r w:rsidR="004D765F" w:rsidRPr="6FE283EC">
        <w:rPr>
          <w:rFonts w:cs="Times New Roman"/>
          <w:noProof/>
          <w:lang w:val="en-GB"/>
        </w:rPr>
        <w:t xml:space="preserve"> farmers with more productive arable land could enter </w:t>
      </w:r>
      <w:r w:rsidR="00CA5982" w:rsidRPr="6FE283EC">
        <w:rPr>
          <w:rFonts w:cs="Times New Roman"/>
          <w:noProof/>
          <w:lang w:val="en-GB"/>
        </w:rPr>
        <w:t xml:space="preserve">a </w:t>
      </w:r>
      <w:r w:rsidR="004D765F" w:rsidRPr="6FE283EC">
        <w:rPr>
          <w:rFonts w:cs="Times New Roman"/>
          <w:noProof/>
          <w:lang w:val="en-GB"/>
        </w:rPr>
        <w:t>voluntary commitment</w:t>
      </w:r>
      <w:r w:rsidR="00634A05" w:rsidRPr="6FE283EC">
        <w:rPr>
          <w:rFonts w:cs="Times New Roman"/>
          <w:noProof/>
          <w:lang w:val="en-GB"/>
        </w:rPr>
        <w:t>,</w:t>
      </w:r>
      <w:r w:rsidR="004D765F" w:rsidRPr="6FE283EC">
        <w:rPr>
          <w:rFonts w:cs="Times New Roman"/>
          <w:noProof/>
          <w:lang w:val="en-GB"/>
        </w:rPr>
        <w:t xml:space="preserve"> given the financial compensation and the advantages </w:t>
      </w:r>
      <w:r w:rsidR="00634A05" w:rsidRPr="6FE283EC">
        <w:rPr>
          <w:rFonts w:cs="Times New Roman"/>
          <w:noProof/>
          <w:lang w:val="en-GB"/>
        </w:rPr>
        <w:t xml:space="preserve">that </w:t>
      </w:r>
      <w:r w:rsidR="004D765F" w:rsidRPr="6FE283EC">
        <w:rPr>
          <w:rFonts w:cs="Times New Roman"/>
          <w:noProof/>
          <w:lang w:val="en-GB"/>
        </w:rPr>
        <w:t>the presence of non-productive areas create for the</w:t>
      </w:r>
      <w:r w:rsidR="00966A4F" w:rsidRPr="6FE283EC">
        <w:rPr>
          <w:rFonts w:cs="Times New Roman"/>
          <w:noProof/>
          <w:lang w:val="en-GB"/>
        </w:rPr>
        <w:t xml:space="preserve"> holding’s</w:t>
      </w:r>
      <w:r w:rsidR="004D765F" w:rsidRPr="6FE283EC">
        <w:rPr>
          <w:rFonts w:cs="Times New Roman"/>
          <w:noProof/>
          <w:lang w:val="en-GB"/>
        </w:rPr>
        <w:t xml:space="preserve"> </w:t>
      </w:r>
      <w:r w:rsidR="004D765F" w:rsidRPr="6FE283EC">
        <w:rPr>
          <w:rFonts w:cs="Times New Roman"/>
          <w:b/>
          <w:noProof/>
          <w:lang w:val="en-GB"/>
        </w:rPr>
        <w:t>long</w:t>
      </w:r>
      <w:r w:rsidR="002B4CA1" w:rsidRPr="6FE283EC">
        <w:rPr>
          <w:rFonts w:cs="Times New Roman"/>
          <w:b/>
          <w:noProof/>
          <w:lang w:val="en-GB"/>
        </w:rPr>
        <w:t>-</w:t>
      </w:r>
      <w:r w:rsidR="004D765F" w:rsidRPr="6FE283EC">
        <w:rPr>
          <w:rFonts w:cs="Times New Roman"/>
          <w:b/>
          <w:noProof/>
          <w:lang w:val="en-GB"/>
        </w:rPr>
        <w:t xml:space="preserve">term </w:t>
      </w:r>
      <w:r w:rsidR="002B4CA1" w:rsidRPr="6FE283EC">
        <w:rPr>
          <w:rFonts w:cs="Times New Roman"/>
          <w:b/>
          <w:noProof/>
          <w:lang w:val="en-GB"/>
        </w:rPr>
        <w:t>productivity</w:t>
      </w:r>
      <w:r w:rsidR="004D765F" w:rsidRPr="6FE283EC">
        <w:rPr>
          <w:rFonts w:cs="Times New Roman"/>
          <w:noProof/>
          <w:lang w:val="en-GB"/>
        </w:rPr>
        <w:t xml:space="preserve">. </w:t>
      </w:r>
    </w:p>
    <w:p w14:paraId="0F87BB8F" w14:textId="5AE86C54" w:rsidR="00261DD7" w:rsidRPr="00724676" w:rsidRDefault="001B1DE5" w:rsidP="00261DD7">
      <w:pPr>
        <w:spacing w:after="120"/>
        <w:jc w:val="both"/>
        <w:rPr>
          <w:rFonts w:eastAsiaTheme="majorEastAsia" w:cs="Times New Roman"/>
          <w:b/>
          <w:noProof/>
          <w:lang w:val="en-GB"/>
        </w:rPr>
      </w:pPr>
      <w:r w:rsidRPr="6FE283EC">
        <w:rPr>
          <w:rFonts w:eastAsia="Calibri" w:cs="Times New Roman"/>
          <w:noProof/>
          <w:color w:val="000000" w:themeColor="text1"/>
          <w:lang w:val="en-GB"/>
        </w:rPr>
        <w:t xml:space="preserve">Leeway granted </w:t>
      </w:r>
      <w:r w:rsidRPr="007C016D">
        <w:rPr>
          <w:rFonts w:eastAsia="Calibri" w:cs="Times New Roman"/>
          <w:noProof/>
          <w:color w:val="000000" w:themeColor="text1"/>
          <w:lang w:val="en-GB"/>
        </w:rPr>
        <w:t>to Member States to set</w:t>
      </w:r>
      <w:r w:rsidR="006F5665" w:rsidRPr="007C016D">
        <w:rPr>
          <w:rFonts w:eastAsia="Calibri" w:cs="Times New Roman"/>
          <w:noProof/>
          <w:color w:val="000000" w:themeColor="text1"/>
          <w:lang w:val="en-GB"/>
        </w:rPr>
        <w:t xml:space="preserve"> </w:t>
      </w:r>
      <w:r w:rsidR="00634A05" w:rsidRPr="007C016D">
        <w:rPr>
          <w:rFonts w:eastAsia="Calibri" w:cs="Times New Roman"/>
          <w:noProof/>
          <w:color w:val="000000" w:themeColor="text1"/>
          <w:lang w:val="en-GB"/>
        </w:rPr>
        <w:t xml:space="preserve">out </w:t>
      </w:r>
      <w:r w:rsidR="006F5665" w:rsidRPr="007C016D">
        <w:rPr>
          <w:rFonts w:eastAsia="Calibri" w:cs="Times New Roman"/>
          <w:noProof/>
          <w:color w:val="000000" w:themeColor="text1"/>
          <w:lang w:val="en-GB"/>
        </w:rPr>
        <w:t xml:space="preserve">in their </w:t>
      </w:r>
      <w:r w:rsidR="00523AA0" w:rsidRPr="007C016D">
        <w:rPr>
          <w:rFonts w:eastAsia="Calibri" w:cs="Times New Roman"/>
          <w:noProof/>
          <w:color w:val="000000" w:themeColor="text1"/>
          <w:lang w:val="en-GB"/>
        </w:rPr>
        <w:t>CAP Plans</w:t>
      </w:r>
      <w:r w:rsidRPr="007C016D">
        <w:rPr>
          <w:rFonts w:eastAsia="Calibri" w:cs="Times New Roman"/>
          <w:noProof/>
          <w:color w:val="000000" w:themeColor="text1"/>
          <w:lang w:val="en-GB"/>
        </w:rPr>
        <w:t xml:space="preserve"> targeted </w:t>
      </w:r>
      <w:r w:rsidR="00634A05" w:rsidRPr="007C016D">
        <w:rPr>
          <w:rFonts w:eastAsia="Calibri" w:cs="Times New Roman"/>
          <w:noProof/>
          <w:color w:val="000000" w:themeColor="text1"/>
          <w:lang w:val="en-GB"/>
        </w:rPr>
        <w:t xml:space="preserve">and </w:t>
      </w:r>
      <w:r w:rsidR="00634A05" w:rsidRPr="007C016D" w:rsidDel="00B96AD1">
        <w:rPr>
          <w:rFonts w:eastAsia="Calibri" w:cs="Times New Roman"/>
          <w:noProof/>
          <w:color w:val="000000" w:themeColor="text1"/>
          <w:lang w:val="en-GB"/>
        </w:rPr>
        <w:t xml:space="preserve">duly justified </w:t>
      </w:r>
      <w:r w:rsidRPr="007C016D">
        <w:rPr>
          <w:rFonts w:eastAsia="Calibri" w:cs="Times New Roman"/>
          <w:b/>
          <w:noProof/>
          <w:color w:val="000000" w:themeColor="text1"/>
          <w:lang w:val="en-GB"/>
        </w:rPr>
        <w:t>exemptions</w:t>
      </w:r>
      <w:r w:rsidRPr="007C016D">
        <w:rPr>
          <w:rFonts w:eastAsia="Calibri" w:cs="Times New Roman"/>
          <w:noProof/>
          <w:color w:val="000000" w:themeColor="text1"/>
          <w:lang w:val="en-GB"/>
        </w:rPr>
        <w:t xml:space="preserve"> from </w:t>
      </w:r>
      <w:r w:rsidR="00634A05" w:rsidRPr="007C016D">
        <w:rPr>
          <w:rFonts w:eastAsia="Calibri" w:cs="Times New Roman"/>
          <w:noProof/>
          <w:color w:val="000000" w:themeColor="text1"/>
          <w:lang w:val="en-GB"/>
        </w:rPr>
        <w:t xml:space="preserve">the </w:t>
      </w:r>
      <w:r w:rsidRPr="007C016D">
        <w:rPr>
          <w:rFonts w:eastAsia="Calibri" w:cs="Times New Roman"/>
          <w:noProof/>
          <w:color w:val="000000" w:themeColor="text1"/>
          <w:lang w:val="en-GB"/>
        </w:rPr>
        <w:t xml:space="preserve">requirements under </w:t>
      </w:r>
      <w:r w:rsidRPr="007C016D">
        <w:rPr>
          <w:rFonts w:eastAsia="Calibri" w:cs="Times New Roman"/>
          <w:b/>
          <w:noProof/>
          <w:color w:val="000000" w:themeColor="text1"/>
          <w:lang w:val="en-GB"/>
        </w:rPr>
        <w:t xml:space="preserve">GAECs </w:t>
      </w:r>
      <w:r w:rsidRPr="007C016D">
        <w:rPr>
          <w:rFonts w:eastAsia="Calibri" w:cs="Times New Roman"/>
          <w:noProof/>
          <w:color w:val="000000" w:themeColor="text1"/>
          <w:lang w:val="en-GB"/>
        </w:rPr>
        <w:t>5, 6, 7 and 9</w:t>
      </w:r>
      <w:r w:rsidR="00634A05" w:rsidRPr="007C016D">
        <w:rPr>
          <w:rFonts w:eastAsia="Calibri" w:cs="Times New Roman"/>
          <w:noProof/>
          <w:color w:val="000000" w:themeColor="text1"/>
          <w:lang w:val="en-GB"/>
        </w:rPr>
        <w:t>,</w:t>
      </w:r>
      <w:r w:rsidRPr="007C016D">
        <w:rPr>
          <w:rFonts w:eastAsia="Calibri" w:cs="Times New Roman"/>
          <w:noProof/>
          <w:color w:val="000000" w:themeColor="text1"/>
          <w:lang w:val="en-GB"/>
        </w:rPr>
        <w:t xml:space="preserve"> or to grant </w:t>
      </w:r>
      <w:r w:rsidRPr="007C016D">
        <w:rPr>
          <w:rFonts w:eastAsia="Calibri" w:cs="Times New Roman"/>
          <w:b/>
          <w:noProof/>
          <w:color w:val="000000" w:themeColor="text1"/>
          <w:lang w:val="en-GB"/>
        </w:rPr>
        <w:t xml:space="preserve">time-limited </w:t>
      </w:r>
      <w:r w:rsidRPr="003E7CF4">
        <w:rPr>
          <w:rFonts w:eastAsia="Calibri" w:cs="Times New Roman"/>
          <w:b/>
          <w:noProof/>
          <w:lang w:val="en-GB"/>
        </w:rPr>
        <w:t>derogations</w:t>
      </w:r>
      <w:r w:rsidRPr="003E7CF4">
        <w:rPr>
          <w:rFonts w:eastAsia="Calibri" w:cs="Times New Roman"/>
          <w:noProof/>
          <w:lang w:val="en-GB"/>
        </w:rPr>
        <w:t xml:space="preserve"> to help tackle </w:t>
      </w:r>
      <w:r w:rsidR="00634A05" w:rsidRPr="003E7CF4">
        <w:rPr>
          <w:rFonts w:eastAsia="Calibri" w:cs="Times New Roman"/>
          <w:noProof/>
          <w:lang w:val="en-GB"/>
        </w:rPr>
        <w:t xml:space="preserve">the </w:t>
      </w:r>
      <w:r w:rsidRPr="003E7CF4">
        <w:rPr>
          <w:rFonts w:eastAsia="Calibri" w:cs="Times New Roman"/>
          <w:noProof/>
          <w:lang w:val="en-GB"/>
        </w:rPr>
        <w:t>effects of unexpected weather events</w:t>
      </w:r>
      <w:r w:rsidR="647B0B6D" w:rsidRPr="003E7CF4">
        <w:rPr>
          <w:rFonts w:eastAsia="Calibri" w:cs="Times New Roman"/>
          <w:noProof/>
          <w:lang w:val="en-GB"/>
        </w:rPr>
        <w:t xml:space="preserve"> (</w:t>
      </w:r>
      <w:r w:rsidR="00C3381D" w:rsidRPr="003E7CF4">
        <w:rPr>
          <w:rFonts w:eastAsia="Calibri" w:cs="Times New Roman"/>
          <w:noProof/>
          <w:lang w:val="en-GB"/>
        </w:rPr>
        <w:t>measure B.1 in</w:t>
      </w:r>
      <w:r w:rsidR="647B0B6D" w:rsidRPr="003E7CF4">
        <w:rPr>
          <w:rFonts w:eastAsia="Calibri" w:cs="Times New Roman"/>
          <w:noProof/>
          <w:lang w:val="en-GB"/>
        </w:rPr>
        <w:t xml:space="preserve"> Annex 1)</w:t>
      </w:r>
      <w:r w:rsidR="03A1396D" w:rsidRPr="003E7CF4">
        <w:rPr>
          <w:rFonts w:eastAsia="Calibri" w:cs="Times New Roman"/>
          <w:noProof/>
          <w:lang w:val="en-GB"/>
        </w:rPr>
        <w:t>,</w:t>
      </w:r>
      <w:r w:rsidRPr="003E7CF4">
        <w:rPr>
          <w:rFonts w:eastAsia="Calibri" w:cs="Times New Roman"/>
          <w:noProof/>
          <w:lang w:val="en-GB"/>
        </w:rPr>
        <w:t xml:space="preserve"> </w:t>
      </w:r>
      <w:r w:rsidRPr="003E7CF4" w:rsidDel="00B96AD1">
        <w:rPr>
          <w:rFonts w:eastAsia="Calibri" w:cs="Times New Roman"/>
          <w:noProof/>
          <w:lang w:val="en-GB"/>
        </w:rPr>
        <w:t xml:space="preserve"> can </w:t>
      </w:r>
      <w:r w:rsidR="002874FC" w:rsidRPr="003E7CF4">
        <w:rPr>
          <w:rFonts w:eastAsia="Calibri" w:cs="Times New Roman"/>
          <w:b/>
          <w:noProof/>
          <w:lang w:val="en-GB"/>
        </w:rPr>
        <w:t>reduce</w:t>
      </w:r>
      <w:r w:rsidR="002874FC" w:rsidRPr="003E7CF4" w:rsidDel="00B96AD1">
        <w:rPr>
          <w:rFonts w:eastAsia="Calibri" w:cs="Times New Roman"/>
          <w:b/>
          <w:noProof/>
          <w:lang w:val="en-GB"/>
        </w:rPr>
        <w:t xml:space="preserve"> </w:t>
      </w:r>
      <w:r w:rsidR="78DBA2D2" w:rsidRPr="003E7CF4">
        <w:rPr>
          <w:rFonts w:eastAsia="Calibri" w:cs="Times New Roman"/>
          <w:b/>
          <w:bCs/>
          <w:noProof/>
          <w:lang w:val="en-GB"/>
        </w:rPr>
        <w:t xml:space="preserve">specific </w:t>
      </w:r>
      <w:r w:rsidR="00BC480F" w:rsidRPr="003E7CF4">
        <w:rPr>
          <w:rFonts w:eastAsia="Calibri" w:cs="Times New Roman"/>
          <w:b/>
          <w:noProof/>
          <w:lang w:val="en-GB"/>
        </w:rPr>
        <w:t xml:space="preserve">structural or meteorological </w:t>
      </w:r>
      <w:r w:rsidRPr="003E7CF4" w:rsidDel="00B96AD1">
        <w:rPr>
          <w:rFonts w:eastAsia="Calibri" w:cs="Times New Roman"/>
          <w:b/>
          <w:noProof/>
          <w:lang w:val="en-GB"/>
        </w:rPr>
        <w:t>obstacle</w:t>
      </w:r>
      <w:r w:rsidRPr="003E7CF4">
        <w:rPr>
          <w:rFonts w:eastAsia="Calibri" w:cs="Times New Roman"/>
          <w:b/>
          <w:noProof/>
          <w:lang w:val="en-GB"/>
        </w:rPr>
        <w:t>s</w:t>
      </w:r>
      <w:r w:rsidRPr="003E7CF4" w:rsidDel="00B96AD1">
        <w:rPr>
          <w:rFonts w:eastAsia="Calibri" w:cs="Times New Roman"/>
          <w:b/>
          <w:noProof/>
          <w:lang w:val="en-GB"/>
        </w:rPr>
        <w:t xml:space="preserve"> </w:t>
      </w:r>
      <w:r w:rsidRPr="003E7CF4">
        <w:rPr>
          <w:rFonts w:eastAsia="Calibri" w:cs="Times New Roman"/>
          <w:b/>
          <w:noProof/>
          <w:lang w:val="en-GB"/>
        </w:rPr>
        <w:t>for farmers</w:t>
      </w:r>
      <w:r w:rsidRPr="003E7CF4" w:rsidDel="00B96AD1">
        <w:rPr>
          <w:rFonts w:eastAsia="Calibri" w:cs="Times New Roman"/>
          <w:noProof/>
          <w:lang w:val="en-GB"/>
        </w:rPr>
        <w:t>.</w:t>
      </w:r>
      <w:r w:rsidRPr="003E7CF4">
        <w:rPr>
          <w:rFonts w:eastAsia="Calibri" w:cs="Times New Roman"/>
          <w:noProof/>
          <w:lang w:val="en-GB"/>
        </w:rPr>
        <w:t xml:space="preserve"> While </w:t>
      </w:r>
      <w:r w:rsidR="00EE7AFA" w:rsidRPr="003E7CF4">
        <w:rPr>
          <w:rFonts w:eastAsia="Calibri" w:cs="Times New Roman"/>
          <w:noProof/>
          <w:lang w:val="en-GB"/>
        </w:rPr>
        <w:t xml:space="preserve">the </w:t>
      </w:r>
      <w:r w:rsidR="008A2932" w:rsidRPr="003E7CF4">
        <w:rPr>
          <w:rFonts w:eastAsia="Calibri" w:cs="Times New Roman"/>
          <w:noProof/>
          <w:lang w:val="en-GB"/>
        </w:rPr>
        <w:t>scope</w:t>
      </w:r>
      <w:r w:rsidR="00EE7AFA" w:rsidRPr="003E7CF4">
        <w:rPr>
          <w:rFonts w:eastAsia="Calibri" w:cs="Times New Roman"/>
          <w:noProof/>
          <w:lang w:val="en-GB"/>
        </w:rPr>
        <w:t xml:space="preserve"> of </w:t>
      </w:r>
      <w:r w:rsidR="00FC015D" w:rsidRPr="003E7CF4">
        <w:rPr>
          <w:rFonts w:eastAsia="Calibri" w:cs="Times New Roman"/>
          <w:noProof/>
          <w:lang w:val="en-GB"/>
        </w:rPr>
        <w:t>both</w:t>
      </w:r>
      <w:r w:rsidR="008A2932" w:rsidRPr="003E7CF4">
        <w:rPr>
          <w:rFonts w:eastAsia="Calibri" w:cs="Times New Roman"/>
          <w:noProof/>
          <w:lang w:val="en-GB"/>
        </w:rPr>
        <w:t xml:space="preserve"> facilities</w:t>
      </w:r>
      <w:r w:rsidRPr="003E7CF4">
        <w:rPr>
          <w:rFonts w:eastAsia="Calibri" w:cs="Times New Roman"/>
          <w:noProof/>
          <w:lang w:val="en-GB"/>
        </w:rPr>
        <w:t xml:space="preserve"> should be limited</w:t>
      </w:r>
      <w:r w:rsidR="000115FF" w:rsidRPr="003E7CF4">
        <w:rPr>
          <w:rFonts w:eastAsia="Calibri" w:cs="Times New Roman"/>
          <w:noProof/>
          <w:lang w:val="en-GB"/>
        </w:rPr>
        <w:t xml:space="preserve"> (</w:t>
      </w:r>
      <w:r w:rsidR="00A55A6D" w:rsidRPr="003E7CF4">
        <w:rPr>
          <w:rFonts w:eastAsia="Calibri" w:cs="Times New Roman"/>
          <w:noProof/>
          <w:lang w:val="en-GB"/>
        </w:rPr>
        <w:t xml:space="preserve">in terms of </w:t>
      </w:r>
      <w:r w:rsidRPr="003E7CF4">
        <w:rPr>
          <w:rFonts w:eastAsia="Calibri" w:cs="Times New Roman"/>
          <w:noProof/>
          <w:lang w:val="en-GB"/>
        </w:rPr>
        <w:t>areas and farmers</w:t>
      </w:r>
      <w:r w:rsidR="000115FF" w:rsidRPr="003E7CF4">
        <w:rPr>
          <w:rFonts w:eastAsia="Calibri" w:cs="Times New Roman"/>
          <w:noProof/>
          <w:lang w:val="en-GB"/>
        </w:rPr>
        <w:t>)</w:t>
      </w:r>
      <w:r w:rsidR="008A2932" w:rsidRPr="003E7CF4">
        <w:rPr>
          <w:rFonts w:eastAsia="Calibri" w:cs="Times New Roman"/>
          <w:noProof/>
          <w:lang w:val="en-GB"/>
        </w:rPr>
        <w:t>,</w:t>
      </w:r>
      <w:r w:rsidRPr="003E7CF4">
        <w:rPr>
          <w:rFonts w:eastAsia="Calibri" w:cs="Times New Roman"/>
          <w:noProof/>
          <w:lang w:val="en-GB"/>
        </w:rPr>
        <w:t xml:space="preserve"> they might have important positive economic effects</w:t>
      </w:r>
      <w:r w:rsidR="00361D51" w:rsidRPr="003E7CF4">
        <w:rPr>
          <w:rFonts w:eastAsia="Calibri" w:cs="Times New Roman"/>
          <w:noProof/>
          <w:lang w:val="en-GB"/>
        </w:rPr>
        <w:t xml:space="preserve"> or </w:t>
      </w:r>
      <w:r w:rsidRPr="003E7CF4">
        <w:rPr>
          <w:rFonts w:eastAsia="Calibri" w:cs="Times New Roman"/>
          <w:noProof/>
          <w:lang w:val="en-GB"/>
        </w:rPr>
        <w:t>limit possible negative economic</w:t>
      </w:r>
      <w:r w:rsidR="007C016D" w:rsidRPr="003E7CF4">
        <w:rPr>
          <w:rFonts w:eastAsia="Calibri" w:cs="Times New Roman"/>
          <w:noProof/>
          <w:lang w:val="en-GB"/>
        </w:rPr>
        <w:t xml:space="preserve"> </w:t>
      </w:r>
      <w:r w:rsidR="2905D991" w:rsidRPr="003E7CF4">
        <w:rPr>
          <w:rFonts w:eastAsia="Calibri" w:cs="Times New Roman"/>
          <w:noProof/>
          <w:lang w:val="en-GB"/>
        </w:rPr>
        <w:t xml:space="preserve">consequences </w:t>
      </w:r>
      <w:r w:rsidR="00E22E8A" w:rsidRPr="003E7CF4">
        <w:rPr>
          <w:rFonts w:eastAsia="Calibri" w:cs="Times New Roman"/>
          <w:noProof/>
          <w:lang w:val="en-GB"/>
        </w:rPr>
        <w:t>for the farmers</w:t>
      </w:r>
      <w:r w:rsidR="00777A19" w:rsidRPr="003E7CF4">
        <w:rPr>
          <w:rFonts w:eastAsia="Calibri" w:cs="Times New Roman"/>
          <w:noProof/>
          <w:lang w:val="en-GB"/>
        </w:rPr>
        <w:t xml:space="preserve"> </w:t>
      </w:r>
      <w:r w:rsidR="00F00FC6" w:rsidRPr="003E7CF4">
        <w:rPr>
          <w:rFonts w:eastAsia="Calibri" w:cs="Times New Roman"/>
          <w:noProof/>
          <w:lang w:val="en-GB"/>
        </w:rPr>
        <w:t>concerned</w:t>
      </w:r>
      <w:r w:rsidR="00E5075B" w:rsidRPr="003E7CF4">
        <w:rPr>
          <w:rFonts w:eastAsia="Calibri" w:cs="Times New Roman"/>
          <w:noProof/>
          <w:lang w:val="en-GB"/>
        </w:rPr>
        <w:t xml:space="preserve">. </w:t>
      </w:r>
      <w:r w:rsidRPr="007C016D">
        <w:rPr>
          <w:rFonts w:cs="Times New Roman"/>
          <w:noProof/>
          <w:lang w:val="en-GB"/>
        </w:rPr>
        <w:t xml:space="preserve">In the case of GAEC 7, an example could be parcels used </w:t>
      </w:r>
      <w:r w:rsidR="00A55A6D" w:rsidRPr="007C016D">
        <w:rPr>
          <w:rFonts w:cs="Times New Roman"/>
          <w:noProof/>
          <w:lang w:val="en-GB"/>
        </w:rPr>
        <w:t>to produce</w:t>
      </w:r>
      <w:r w:rsidRPr="007C016D">
        <w:rPr>
          <w:rFonts w:cs="Times New Roman"/>
          <w:noProof/>
          <w:lang w:val="en-GB"/>
        </w:rPr>
        <w:t xml:space="preserve"> certified seeds. </w:t>
      </w:r>
      <w:r w:rsidR="00B15EC3" w:rsidRPr="007C016D">
        <w:rPr>
          <w:rFonts w:cs="Times New Roman"/>
          <w:noProof/>
          <w:lang w:val="en-GB"/>
        </w:rPr>
        <w:t>I</w:t>
      </w:r>
      <w:r w:rsidRPr="007C016D">
        <w:rPr>
          <w:rFonts w:cs="Times New Roman"/>
          <w:noProof/>
          <w:lang w:val="en-GB"/>
        </w:rPr>
        <w:t>mposing crop rotation would</w:t>
      </w:r>
      <w:r w:rsidR="00850FFD" w:rsidRPr="007C016D">
        <w:rPr>
          <w:rFonts w:cs="Times New Roman"/>
          <w:noProof/>
          <w:lang w:val="en-GB"/>
        </w:rPr>
        <w:t xml:space="preserve"> be </w:t>
      </w:r>
      <w:r w:rsidRPr="007C016D">
        <w:rPr>
          <w:rFonts w:cs="Times New Roman"/>
          <w:noProof/>
          <w:lang w:val="en-GB"/>
        </w:rPr>
        <w:t>disproportionate</w:t>
      </w:r>
      <w:r w:rsidR="00850FFD" w:rsidRPr="007C016D">
        <w:rPr>
          <w:rFonts w:cs="Times New Roman"/>
          <w:noProof/>
          <w:lang w:val="en-GB"/>
        </w:rPr>
        <w:t xml:space="preserve"> as it would</w:t>
      </w:r>
      <w:r w:rsidRPr="007C016D">
        <w:rPr>
          <w:rFonts w:cs="Times New Roman"/>
          <w:noProof/>
          <w:lang w:val="en-GB"/>
        </w:rPr>
        <w:t xml:space="preserve"> </w:t>
      </w:r>
      <w:r w:rsidR="00A55A6D" w:rsidRPr="007C016D">
        <w:rPr>
          <w:rFonts w:cs="Times New Roman"/>
          <w:noProof/>
          <w:lang w:val="en-GB"/>
        </w:rPr>
        <w:t xml:space="preserve">make it </w:t>
      </w:r>
      <w:r w:rsidRPr="007C016D">
        <w:rPr>
          <w:rFonts w:cs="Times New Roman"/>
          <w:noProof/>
          <w:lang w:val="en-GB"/>
        </w:rPr>
        <w:t xml:space="preserve">significantly </w:t>
      </w:r>
      <w:r w:rsidR="00A55A6D" w:rsidRPr="007C016D">
        <w:rPr>
          <w:rFonts w:cs="Times New Roman"/>
          <w:noProof/>
          <w:lang w:val="en-GB"/>
        </w:rPr>
        <w:t>more difficult to fulfil</w:t>
      </w:r>
      <w:r w:rsidRPr="007C016D">
        <w:rPr>
          <w:rFonts w:cs="Times New Roman"/>
          <w:noProof/>
          <w:lang w:val="en-GB"/>
        </w:rPr>
        <w:t xml:space="preserve"> the </w:t>
      </w:r>
      <w:r w:rsidR="0080248F" w:rsidRPr="007C016D">
        <w:rPr>
          <w:rFonts w:cs="Times New Roman"/>
          <w:noProof/>
          <w:lang w:val="en-GB"/>
        </w:rPr>
        <w:t xml:space="preserve">specific </w:t>
      </w:r>
      <w:r w:rsidRPr="007C016D">
        <w:rPr>
          <w:rFonts w:cs="Times New Roman"/>
          <w:noProof/>
          <w:lang w:val="en-GB"/>
        </w:rPr>
        <w:t xml:space="preserve">requirements for </w:t>
      </w:r>
      <w:r w:rsidR="00706953" w:rsidRPr="007C016D">
        <w:rPr>
          <w:rFonts w:cs="Times New Roman"/>
          <w:noProof/>
          <w:lang w:val="en-GB"/>
        </w:rPr>
        <w:t>producing</w:t>
      </w:r>
      <w:r w:rsidRPr="007C016D">
        <w:rPr>
          <w:rFonts w:cs="Times New Roman"/>
          <w:noProof/>
          <w:lang w:val="en-GB"/>
        </w:rPr>
        <w:t xml:space="preserve"> certified seed</w:t>
      </w:r>
      <w:r w:rsidR="00F00FC6" w:rsidRPr="007C016D">
        <w:rPr>
          <w:rFonts w:cs="Times New Roman"/>
          <w:noProof/>
          <w:lang w:val="en-GB"/>
        </w:rPr>
        <w:t>s</w:t>
      </w:r>
      <w:r w:rsidR="00A55A6D" w:rsidRPr="007C016D">
        <w:rPr>
          <w:rFonts w:cs="Times New Roman"/>
          <w:noProof/>
          <w:lang w:val="en-GB"/>
        </w:rPr>
        <w:t>,</w:t>
      </w:r>
      <w:r w:rsidRPr="007C016D">
        <w:rPr>
          <w:rFonts w:cs="Times New Roman"/>
          <w:noProof/>
          <w:lang w:val="en-GB"/>
        </w:rPr>
        <w:t xml:space="preserve"> with an impact on the potential revenue related to </w:t>
      </w:r>
      <w:r w:rsidRPr="6FE283EC">
        <w:rPr>
          <w:rFonts w:cs="Times New Roman"/>
          <w:noProof/>
          <w:lang w:val="en-GB"/>
        </w:rPr>
        <w:t>such production.</w:t>
      </w:r>
      <w:r w:rsidR="00540C86" w:rsidRPr="6FE283EC">
        <w:rPr>
          <w:rFonts w:cs="Times New Roman"/>
          <w:noProof/>
          <w:lang w:val="en-GB"/>
        </w:rPr>
        <w:t xml:space="preserve"> </w:t>
      </w:r>
    </w:p>
    <w:p w14:paraId="66D8597C" w14:textId="7A89B23D" w:rsidR="00F56991" w:rsidRPr="00724676" w:rsidRDefault="00D47651" w:rsidP="006807F6">
      <w:pPr>
        <w:pStyle w:val="Heading2"/>
        <w:spacing w:before="240"/>
        <w:rPr>
          <w:noProof/>
        </w:rPr>
      </w:pPr>
      <w:bookmarkStart w:id="138" w:name="_Toc172125136"/>
      <w:r w:rsidRPr="00724676">
        <w:rPr>
          <w:noProof/>
        </w:rPr>
        <w:t xml:space="preserve">6.3 </w:t>
      </w:r>
      <w:r w:rsidR="00F56991" w:rsidRPr="00724676">
        <w:rPr>
          <w:noProof/>
        </w:rPr>
        <w:t>Environmental impacts</w:t>
      </w:r>
      <w:bookmarkEnd w:id="138"/>
    </w:p>
    <w:p w14:paraId="14EDDCE1" w14:textId="01C9A9F9" w:rsidR="00F56991" w:rsidRPr="00724676" w:rsidRDefault="00421190" w:rsidP="0021019C">
      <w:pPr>
        <w:spacing w:after="120"/>
        <w:jc w:val="both"/>
        <w:rPr>
          <w:rFonts w:eastAsia="Calibri" w:cs="Times New Roman"/>
          <w:noProof/>
          <w:lang w:val="en-GB"/>
        </w:rPr>
      </w:pPr>
      <w:r w:rsidRPr="6FE283EC">
        <w:rPr>
          <w:rFonts w:eastAsia="Calibri" w:cs="Times New Roman"/>
          <w:b/>
          <w:noProof/>
          <w:lang w:val="en-GB"/>
        </w:rPr>
        <w:t>A</w:t>
      </w:r>
      <w:r w:rsidR="00F56991" w:rsidRPr="6FE283EC">
        <w:rPr>
          <w:rFonts w:eastAsia="Calibri" w:cs="Times New Roman"/>
          <w:b/>
          <w:noProof/>
          <w:lang w:val="en-GB"/>
        </w:rPr>
        <w:t>dministrative measures</w:t>
      </w:r>
      <w:r w:rsidR="00F56991" w:rsidRPr="6FE283EC">
        <w:rPr>
          <w:rFonts w:eastAsia="Calibri" w:cs="Times New Roman"/>
          <w:noProof/>
          <w:lang w:val="en-GB"/>
        </w:rPr>
        <w:t xml:space="preserve"> </w:t>
      </w:r>
      <w:r w:rsidRPr="6FE283EC">
        <w:rPr>
          <w:rFonts w:eastAsia="Calibri" w:cs="Times New Roman"/>
          <w:noProof/>
          <w:lang w:val="en-GB"/>
        </w:rPr>
        <w:t xml:space="preserve">such as </w:t>
      </w:r>
      <w:r w:rsidR="0040530F" w:rsidRPr="6FE283EC">
        <w:rPr>
          <w:rFonts w:eastAsia="Calibri" w:cs="Times New Roman"/>
          <w:noProof/>
          <w:lang w:val="en-GB"/>
        </w:rPr>
        <w:t xml:space="preserve">improved </w:t>
      </w:r>
      <w:r w:rsidR="006A59BB" w:rsidRPr="6FE283EC">
        <w:rPr>
          <w:rFonts w:eastAsia="Calibri" w:cs="Times New Roman"/>
          <w:noProof/>
          <w:lang w:val="en-GB"/>
        </w:rPr>
        <w:t xml:space="preserve">monitoring, </w:t>
      </w:r>
      <w:r w:rsidR="00A55A6D" w:rsidRPr="6FE283EC">
        <w:rPr>
          <w:rFonts w:eastAsia="Calibri" w:cs="Times New Roman"/>
          <w:noProof/>
          <w:lang w:val="en-GB"/>
        </w:rPr>
        <w:t xml:space="preserve">the </w:t>
      </w:r>
      <w:r w:rsidR="0040530F" w:rsidRPr="6FE283EC">
        <w:rPr>
          <w:rFonts w:eastAsia="Calibri" w:cs="Times New Roman"/>
          <w:noProof/>
          <w:lang w:val="en-GB"/>
        </w:rPr>
        <w:t xml:space="preserve">uptake of </w:t>
      </w:r>
      <w:r w:rsidR="0093411D" w:rsidRPr="6FE283EC">
        <w:rPr>
          <w:rFonts w:eastAsia="Calibri" w:cs="Times New Roman"/>
          <w:noProof/>
          <w:lang w:val="en-GB"/>
        </w:rPr>
        <w:t>geotagging</w:t>
      </w:r>
      <w:r w:rsidR="00EB69E4" w:rsidRPr="6FE283EC">
        <w:rPr>
          <w:rFonts w:eastAsia="Calibri" w:cs="Times New Roman"/>
          <w:noProof/>
          <w:lang w:val="en-GB"/>
        </w:rPr>
        <w:t xml:space="preserve"> </w:t>
      </w:r>
      <w:r w:rsidR="007705AF" w:rsidRPr="6FE283EC">
        <w:rPr>
          <w:rFonts w:eastAsia="Calibri" w:cs="Times New Roman"/>
          <w:noProof/>
          <w:lang w:val="en-GB"/>
        </w:rPr>
        <w:t>and early warning</w:t>
      </w:r>
      <w:r w:rsidR="005901BD" w:rsidRPr="6FE283EC">
        <w:rPr>
          <w:rFonts w:eastAsia="Calibri" w:cs="Times New Roman"/>
          <w:noProof/>
          <w:lang w:val="en-GB"/>
        </w:rPr>
        <w:t xml:space="preserve">, </w:t>
      </w:r>
      <w:r w:rsidR="00A55A6D" w:rsidRPr="6FE283EC">
        <w:rPr>
          <w:rFonts w:eastAsia="Calibri" w:cs="Times New Roman"/>
          <w:noProof/>
          <w:lang w:val="en-GB"/>
        </w:rPr>
        <w:t xml:space="preserve">the </w:t>
      </w:r>
      <w:r w:rsidR="001A5927" w:rsidRPr="6FE283EC">
        <w:rPr>
          <w:rFonts w:eastAsia="Calibri" w:cs="Times New Roman"/>
          <w:noProof/>
          <w:lang w:val="en-GB"/>
        </w:rPr>
        <w:t xml:space="preserve">better </w:t>
      </w:r>
      <w:r w:rsidR="00A21A7B" w:rsidRPr="6FE283EC">
        <w:rPr>
          <w:rFonts w:eastAsia="Calibri" w:cs="Times New Roman"/>
          <w:noProof/>
          <w:lang w:val="en-GB"/>
        </w:rPr>
        <w:t xml:space="preserve">design of CAP interventions and improved </w:t>
      </w:r>
      <w:r w:rsidR="005901BD" w:rsidRPr="6FE283EC">
        <w:rPr>
          <w:rFonts w:eastAsia="Calibri" w:cs="Times New Roman"/>
          <w:noProof/>
          <w:lang w:val="en-GB"/>
        </w:rPr>
        <w:t>access to advice</w:t>
      </w:r>
      <w:r w:rsidR="00EE0804" w:rsidRPr="6FE283EC">
        <w:rPr>
          <w:rFonts w:eastAsia="Calibri" w:cs="Times New Roman"/>
          <w:noProof/>
          <w:lang w:val="en-GB"/>
        </w:rPr>
        <w:t xml:space="preserve"> </w:t>
      </w:r>
      <w:r w:rsidR="00B57073" w:rsidRPr="6FE283EC">
        <w:rPr>
          <w:rFonts w:eastAsia="Calibri" w:cs="Times New Roman"/>
          <w:noProof/>
          <w:lang w:val="en-GB"/>
        </w:rPr>
        <w:t>(measures A.4</w:t>
      </w:r>
      <w:r w:rsidR="003B4180" w:rsidRPr="6FE283EC">
        <w:rPr>
          <w:rFonts w:eastAsia="Calibri" w:cs="Times New Roman"/>
          <w:noProof/>
          <w:lang w:val="en-GB"/>
        </w:rPr>
        <w:t>, A.6</w:t>
      </w:r>
      <w:r w:rsidR="005901BD" w:rsidRPr="6FE283EC">
        <w:rPr>
          <w:rFonts w:eastAsia="Calibri" w:cs="Times New Roman"/>
          <w:noProof/>
          <w:lang w:val="en-GB"/>
        </w:rPr>
        <w:t>,</w:t>
      </w:r>
      <w:r w:rsidR="00A21A7B" w:rsidRPr="6FE283EC">
        <w:rPr>
          <w:rFonts w:eastAsia="Calibri" w:cs="Times New Roman"/>
          <w:noProof/>
          <w:lang w:val="en-GB"/>
        </w:rPr>
        <w:t xml:space="preserve"> A.7 and</w:t>
      </w:r>
      <w:r w:rsidR="005901BD" w:rsidRPr="6FE283EC">
        <w:rPr>
          <w:rFonts w:eastAsia="Calibri" w:cs="Times New Roman"/>
          <w:noProof/>
          <w:lang w:val="en-GB"/>
        </w:rPr>
        <w:t xml:space="preserve"> A.8</w:t>
      </w:r>
      <w:r w:rsidR="00B57073" w:rsidRPr="6FE283EC">
        <w:rPr>
          <w:rFonts w:eastAsia="Calibri" w:cs="Times New Roman"/>
          <w:noProof/>
          <w:lang w:val="en-GB"/>
        </w:rPr>
        <w:t xml:space="preserve"> in Annex 1) </w:t>
      </w:r>
      <w:r w:rsidR="00E8073D" w:rsidRPr="6FE283EC">
        <w:rPr>
          <w:rFonts w:eastAsia="Calibri" w:cs="Times New Roman"/>
          <w:noProof/>
          <w:lang w:val="en-GB"/>
        </w:rPr>
        <w:t>help</w:t>
      </w:r>
      <w:r w:rsidR="00F61AB6" w:rsidRPr="6FE283EC">
        <w:rPr>
          <w:rFonts w:eastAsia="Calibri" w:cs="Times New Roman"/>
          <w:noProof/>
          <w:lang w:val="en-GB"/>
        </w:rPr>
        <w:t xml:space="preserve"> </w:t>
      </w:r>
      <w:r w:rsidR="009C003F" w:rsidRPr="6FE283EC">
        <w:rPr>
          <w:rFonts w:eastAsia="Calibri" w:cs="Times New Roman"/>
          <w:noProof/>
          <w:lang w:val="en-GB"/>
        </w:rPr>
        <w:t>farmers</w:t>
      </w:r>
      <w:r w:rsidR="00F56991" w:rsidRPr="6FE283EC">
        <w:rPr>
          <w:rFonts w:eastAsia="Calibri" w:cs="Times New Roman"/>
          <w:noProof/>
          <w:lang w:val="en-GB"/>
        </w:rPr>
        <w:t xml:space="preserve"> to </w:t>
      </w:r>
      <w:r w:rsidR="00F56991" w:rsidRPr="6FE283EC">
        <w:rPr>
          <w:rFonts w:eastAsia="Calibri" w:cs="Times New Roman"/>
          <w:b/>
          <w:noProof/>
          <w:lang w:val="en-GB"/>
        </w:rPr>
        <w:t xml:space="preserve">adjust </w:t>
      </w:r>
      <w:r w:rsidR="00F61AB6" w:rsidRPr="6FE283EC">
        <w:rPr>
          <w:rFonts w:eastAsia="Calibri" w:cs="Times New Roman"/>
          <w:b/>
          <w:noProof/>
          <w:lang w:val="en-GB"/>
        </w:rPr>
        <w:t>farm</w:t>
      </w:r>
      <w:r w:rsidR="00F56991" w:rsidRPr="6FE283EC">
        <w:rPr>
          <w:rFonts w:eastAsia="Calibri" w:cs="Times New Roman"/>
          <w:b/>
          <w:noProof/>
          <w:lang w:val="en-GB"/>
        </w:rPr>
        <w:t xml:space="preserve"> management </w:t>
      </w:r>
      <w:r w:rsidR="00F61AB6" w:rsidRPr="6FE283EC">
        <w:rPr>
          <w:rFonts w:eastAsia="Calibri" w:cs="Times New Roman"/>
          <w:b/>
          <w:noProof/>
          <w:lang w:val="en-GB"/>
        </w:rPr>
        <w:t>practices</w:t>
      </w:r>
      <w:r w:rsidR="00F56991" w:rsidRPr="6FE283EC">
        <w:rPr>
          <w:rFonts w:eastAsia="Calibri" w:cs="Times New Roman"/>
          <w:noProof/>
          <w:lang w:val="en-GB"/>
        </w:rPr>
        <w:t xml:space="preserve"> </w:t>
      </w:r>
      <w:r w:rsidR="00536E57" w:rsidRPr="6FE283EC">
        <w:rPr>
          <w:rFonts w:eastAsia="Calibri" w:cs="Times New Roman"/>
          <w:noProof/>
          <w:lang w:val="en-GB"/>
        </w:rPr>
        <w:t xml:space="preserve">in a timely manner </w:t>
      </w:r>
      <w:r w:rsidR="00357549" w:rsidRPr="6FE283EC">
        <w:rPr>
          <w:rFonts w:eastAsia="Calibri" w:cs="Times New Roman"/>
          <w:noProof/>
          <w:lang w:val="en-GB"/>
        </w:rPr>
        <w:t>where needed</w:t>
      </w:r>
      <w:r w:rsidR="00F56991" w:rsidRPr="6FE283EC">
        <w:rPr>
          <w:rFonts w:eastAsia="Calibri" w:cs="Times New Roman"/>
          <w:noProof/>
          <w:lang w:val="en-GB"/>
        </w:rPr>
        <w:t xml:space="preserve">, </w:t>
      </w:r>
      <w:r w:rsidR="00F56991" w:rsidRPr="009922E0">
        <w:rPr>
          <w:rFonts w:eastAsia="Calibri" w:cs="Times New Roman"/>
          <w:noProof/>
          <w:lang w:val="en-GB"/>
        </w:rPr>
        <w:t xml:space="preserve">thus </w:t>
      </w:r>
      <w:r w:rsidR="00F56991" w:rsidRPr="009922E0">
        <w:rPr>
          <w:rFonts w:eastAsia="Calibri" w:cs="Times New Roman"/>
          <w:b/>
          <w:noProof/>
          <w:lang w:val="en-GB"/>
        </w:rPr>
        <w:t>ensuring</w:t>
      </w:r>
      <w:r w:rsidR="00E80D01" w:rsidRPr="009922E0">
        <w:rPr>
          <w:rFonts w:eastAsia="Calibri" w:cs="Times New Roman"/>
          <w:b/>
          <w:noProof/>
          <w:lang w:val="en-GB"/>
        </w:rPr>
        <w:t xml:space="preserve"> that</w:t>
      </w:r>
      <w:r w:rsidR="00F56991" w:rsidRPr="009922E0">
        <w:rPr>
          <w:rFonts w:eastAsia="Calibri" w:cs="Times New Roman"/>
          <w:b/>
          <w:noProof/>
          <w:lang w:val="en-GB"/>
        </w:rPr>
        <w:t xml:space="preserve"> </w:t>
      </w:r>
      <w:r w:rsidR="00A55A6D" w:rsidRPr="009922E0">
        <w:rPr>
          <w:rFonts w:eastAsia="Calibri" w:cs="Times New Roman"/>
          <w:b/>
          <w:noProof/>
          <w:lang w:val="en-GB"/>
        </w:rPr>
        <w:t xml:space="preserve">there are </w:t>
      </w:r>
      <w:r w:rsidR="00F56991" w:rsidRPr="009922E0">
        <w:rPr>
          <w:rFonts w:eastAsia="Calibri" w:cs="Times New Roman"/>
          <w:b/>
          <w:noProof/>
          <w:lang w:val="en-GB"/>
        </w:rPr>
        <w:t xml:space="preserve">benefits for </w:t>
      </w:r>
      <w:r w:rsidR="00A55A6D" w:rsidRPr="009922E0">
        <w:rPr>
          <w:rFonts w:eastAsia="Calibri" w:cs="Times New Roman"/>
          <w:b/>
          <w:noProof/>
          <w:lang w:val="en-GB"/>
        </w:rPr>
        <w:t xml:space="preserve">the </w:t>
      </w:r>
      <w:r w:rsidR="00F56991" w:rsidRPr="009922E0">
        <w:rPr>
          <w:rFonts w:eastAsia="Calibri" w:cs="Times New Roman"/>
          <w:b/>
          <w:noProof/>
          <w:lang w:val="en-GB"/>
        </w:rPr>
        <w:t>environment and climate</w:t>
      </w:r>
      <w:r w:rsidR="00F56991" w:rsidRPr="009922E0">
        <w:rPr>
          <w:rFonts w:eastAsia="Calibri" w:cs="Times New Roman"/>
          <w:noProof/>
          <w:lang w:val="en-GB"/>
        </w:rPr>
        <w:t>. This contributes not only to better environmental outcomes</w:t>
      </w:r>
      <w:r w:rsidR="00603B57" w:rsidRPr="009922E0">
        <w:rPr>
          <w:rFonts w:eastAsia="Calibri" w:cs="Times New Roman"/>
          <w:noProof/>
          <w:lang w:val="en-GB"/>
        </w:rPr>
        <w:t xml:space="preserve"> for mandatory</w:t>
      </w:r>
      <w:r w:rsidR="000E1BA3" w:rsidRPr="009922E0">
        <w:rPr>
          <w:rFonts w:eastAsia="Calibri" w:cs="Times New Roman"/>
          <w:noProof/>
          <w:lang w:val="en-GB"/>
        </w:rPr>
        <w:t xml:space="preserve"> practices</w:t>
      </w:r>
      <w:r w:rsidR="00F56991" w:rsidRPr="009922E0">
        <w:rPr>
          <w:rFonts w:eastAsia="Calibri" w:cs="Times New Roman"/>
          <w:noProof/>
          <w:lang w:val="en-GB"/>
        </w:rPr>
        <w:t xml:space="preserve"> but </w:t>
      </w:r>
      <w:r w:rsidR="00A55A6D" w:rsidRPr="009922E0">
        <w:rPr>
          <w:rFonts w:eastAsia="Calibri" w:cs="Times New Roman"/>
          <w:noProof/>
          <w:lang w:val="en-GB"/>
        </w:rPr>
        <w:t xml:space="preserve">also </w:t>
      </w:r>
      <w:r w:rsidR="00603B57" w:rsidRPr="009922E0">
        <w:rPr>
          <w:rFonts w:eastAsia="Calibri" w:cs="Times New Roman"/>
          <w:noProof/>
          <w:lang w:val="en-GB"/>
        </w:rPr>
        <w:t>makes</w:t>
      </w:r>
      <w:r w:rsidR="00F56991" w:rsidRPr="009922E0">
        <w:rPr>
          <w:rFonts w:eastAsia="Calibri" w:cs="Times New Roman"/>
          <w:noProof/>
          <w:lang w:val="en-GB"/>
        </w:rPr>
        <w:t xml:space="preserve"> </w:t>
      </w:r>
      <w:r w:rsidR="00F00FC6" w:rsidRPr="009922E0">
        <w:rPr>
          <w:rFonts w:eastAsia="Calibri" w:cs="Times New Roman"/>
          <w:noProof/>
          <w:lang w:val="en-GB"/>
        </w:rPr>
        <w:t xml:space="preserve">it </w:t>
      </w:r>
      <w:r w:rsidR="00F56991" w:rsidRPr="009922E0">
        <w:rPr>
          <w:rFonts w:eastAsia="Calibri" w:cs="Times New Roman"/>
          <w:b/>
          <w:noProof/>
          <w:lang w:val="en-GB"/>
        </w:rPr>
        <w:t xml:space="preserve">more likely </w:t>
      </w:r>
      <w:r w:rsidR="00204121" w:rsidRPr="009922E0">
        <w:rPr>
          <w:rFonts w:eastAsia="Calibri" w:cs="Times New Roman"/>
          <w:b/>
          <w:noProof/>
          <w:lang w:val="en-GB"/>
        </w:rPr>
        <w:t xml:space="preserve">that farmers </w:t>
      </w:r>
      <w:r w:rsidR="773F61EB" w:rsidRPr="003E7CF4">
        <w:rPr>
          <w:rFonts w:eastAsia="Calibri" w:cs="Times New Roman"/>
          <w:b/>
          <w:bCs/>
          <w:noProof/>
          <w:lang w:val="en-GB"/>
        </w:rPr>
        <w:t>make</w:t>
      </w:r>
      <w:r w:rsidR="00A55A6D" w:rsidRPr="009922E0">
        <w:rPr>
          <w:rFonts w:eastAsia="Calibri" w:cs="Times New Roman"/>
          <w:b/>
          <w:noProof/>
          <w:lang w:val="en-GB"/>
        </w:rPr>
        <w:t xml:space="preserve"> </w:t>
      </w:r>
      <w:r w:rsidR="00F56991" w:rsidRPr="009922E0">
        <w:rPr>
          <w:rFonts w:eastAsia="Calibri" w:cs="Times New Roman"/>
          <w:b/>
          <w:noProof/>
          <w:lang w:val="en-GB"/>
        </w:rPr>
        <w:t>the</w:t>
      </w:r>
      <w:r w:rsidR="00204121" w:rsidRPr="009922E0">
        <w:rPr>
          <w:rFonts w:eastAsia="Calibri" w:cs="Times New Roman"/>
          <w:b/>
          <w:noProof/>
          <w:lang w:val="en-GB"/>
        </w:rPr>
        <w:t>se</w:t>
      </w:r>
      <w:r w:rsidR="00F56991" w:rsidRPr="009922E0">
        <w:rPr>
          <w:rFonts w:eastAsia="Calibri" w:cs="Times New Roman"/>
          <w:b/>
          <w:noProof/>
          <w:lang w:val="en-GB"/>
        </w:rPr>
        <w:t xml:space="preserve"> </w:t>
      </w:r>
      <w:r w:rsidR="00EB7653" w:rsidRPr="009922E0">
        <w:rPr>
          <w:rFonts w:eastAsia="Calibri" w:cs="Times New Roman"/>
          <w:b/>
          <w:noProof/>
          <w:lang w:val="en-GB"/>
        </w:rPr>
        <w:t xml:space="preserve">voluntary </w:t>
      </w:r>
      <w:r w:rsidR="00204121" w:rsidRPr="009922E0">
        <w:rPr>
          <w:rFonts w:eastAsia="Calibri" w:cs="Times New Roman"/>
          <w:b/>
          <w:noProof/>
          <w:lang w:val="en-GB"/>
        </w:rPr>
        <w:t>commitments</w:t>
      </w:r>
      <w:r w:rsidR="00204121" w:rsidRPr="009922E0">
        <w:rPr>
          <w:rFonts w:eastAsia="Calibri" w:cs="Times New Roman"/>
          <w:noProof/>
          <w:lang w:val="en-GB"/>
        </w:rPr>
        <w:t xml:space="preserve"> </w:t>
      </w:r>
      <w:r w:rsidR="00F56991" w:rsidRPr="009922E0">
        <w:rPr>
          <w:rFonts w:eastAsia="Calibri" w:cs="Times New Roman"/>
          <w:noProof/>
          <w:lang w:val="en-GB"/>
        </w:rPr>
        <w:t xml:space="preserve">in the future. For this reason, the </w:t>
      </w:r>
      <w:r w:rsidR="003757F7" w:rsidRPr="009922E0">
        <w:rPr>
          <w:rFonts w:eastAsia="Calibri" w:cs="Times New Roman"/>
          <w:noProof/>
          <w:lang w:val="en-GB"/>
        </w:rPr>
        <w:t xml:space="preserve">potential </w:t>
      </w:r>
      <w:r w:rsidR="00F56991" w:rsidRPr="009922E0">
        <w:rPr>
          <w:rFonts w:eastAsia="Calibri" w:cs="Times New Roman"/>
          <w:noProof/>
          <w:lang w:val="en-GB"/>
        </w:rPr>
        <w:t>environmental impact of the</w:t>
      </w:r>
      <w:r w:rsidR="00EB7653" w:rsidRPr="009922E0">
        <w:rPr>
          <w:rFonts w:eastAsia="Calibri" w:cs="Times New Roman"/>
          <w:noProof/>
          <w:lang w:val="en-GB"/>
        </w:rPr>
        <w:t>se</w:t>
      </w:r>
      <w:r w:rsidR="00F56991" w:rsidRPr="009922E0">
        <w:rPr>
          <w:rFonts w:eastAsia="Calibri" w:cs="Times New Roman"/>
          <w:noProof/>
          <w:lang w:val="en-GB"/>
        </w:rPr>
        <w:t xml:space="preserve"> measures </w:t>
      </w:r>
      <w:r w:rsidR="00EB7653" w:rsidRPr="009922E0">
        <w:rPr>
          <w:rFonts w:eastAsia="Calibri" w:cs="Times New Roman"/>
          <w:noProof/>
          <w:lang w:val="en-GB"/>
        </w:rPr>
        <w:t>is considered</w:t>
      </w:r>
      <w:r w:rsidR="00F56991" w:rsidRPr="009922E0">
        <w:rPr>
          <w:rFonts w:eastAsia="Calibri" w:cs="Times New Roman"/>
          <w:noProof/>
          <w:lang w:val="en-GB"/>
        </w:rPr>
        <w:t xml:space="preserve"> </w:t>
      </w:r>
      <w:r w:rsidR="00080D1A" w:rsidRPr="009922E0">
        <w:rPr>
          <w:rFonts w:eastAsia="Calibri" w:cs="Times New Roman"/>
          <w:noProof/>
          <w:lang w:val="en-GB"/>
        </w:rPr>
        <w:t xml:space="preserve">to be </w:t>
      </w:r>
      <w:r w:rsidR="2EF3539E" w:rsidRPr="009922E0">
        <w:rPr>
          <w:rFonts w:eastAsia="Calibri" w:cs="Times New Roman"/>
          <w:noProof/>
          <w:lang w:val="en-GB"/>
        </w:rPr>
        <w:t>generally</w:t>
      </w:r>
      <w:r w:rsidR="00F56991" w:rsidRPr="009922E0">
        <w:rPr>
          <w:rFonts w:eastAsia="Calibri" w:cs="Times New Roman"/>
          <w:noProof/>
          <w:lang w:val="en-GB"/>
        </w:rPr>
        <w:t xml:space="preserve"> positive.</w:t>
      </w:r>
    </w:p>
    <w:p w14:paraId="0C3B5394" w14:textId="2E6AEB37" w:rsidR="00F56991" w:rsidRPr="003E7CF4" w:rsidRDefault="01EF2011" w:rsidP="02BE03D9">
      <w:pPr>
        <w:shd w:val="clear" w:color="auto" w:fill="FFFFFF" w:themeFill="background1"/>
        <w:spacing w:after="120"/>
        <w:jc w:val="both"/>
        <w:rPr>
          <w:rFonts w:eastAsia="Times New Roman" w:cs="Times New Roman"/>
          <w:noProof/>
          <w:lang w:val="en-GB"/>
        </w:rPr>
      </w:pPr>
      <w:r w:rsidRPr="5B7F1876">
        <w:rPr>
          <w:rFonts w:cs="Times New Roman"/>
          <w:noProof/>
          <w:lang w:val="en-GB"/>
        </w:rPr>
        <w:lastRenderedPageBreak/>
        <w:t xml:space="preserve">Assessing the impact of </w:t>
      </w:r>
      <w:r w:rsidR="4762CCB1" w:rsidRPr="5B7F1876">
        <w:rPr>
          <w:rFonts w:cs="Times New Roman"/>
          <w:b/>
          <w:bCs/>
          <w:noProof/>
          <w:lang w:val="en-GB"/>
        </w:rPr>
        <w:t xml:space="preserve">lifting the </w:t>
      </w:r>
      <w:r w:rsidR="20353330" w:rsidRPr="5B7F1876">
        <w:rPr>
          <w:rFonts w:cs="Times New Roman"/>
          <w:b/>
          <w:bCs/>
          <w:noProof/>
          <w:lang w:val="en-GB"/>
        </w:rPr>
        <w:t xml:space="preserve">conditionality </w:t>
      </w:r>
      <w:r w:rsidR="4762CCB1" w:rsidRPr="5B7F1876">
        <w:rPr>
          <w:rFonts w:cs="Times New Roman"/>
          <w:b/>
          <w:bCs/>
          <w:noProof/>
          <w:lang w:val="en-GB"/>
        </w:rPr>
        <w:t>controls and penalties</w:t>
      </w:r>
      <w:r w:rsidR="4762CCB1" w:rsidRPr="5B7F1876">
        <w:rPr>
          <w:rFonts w:cs="Times New Roman"/>
          <w:noProof/>
          <w:lang w:val="en-GB"/>
        </w:rPr>
        <w:t xml:space="preserve"> on </w:t>
      </w:r>
      <w:r w:rsidR="4762CCB1" w:rsidRPr="5B7F1876">
        <w:rPr>
          <w:rFonts w:cs="Times New Roman"/>
          <w:b/>
          <w:bCs/>
          <w:noProof/>
          <w:lang w:val="en-GB"/>
        </w:rPr>
        <w:t>smaller</w:t>
      </w:r>
      <w:r w:rsidR="4762CCB1" w:rsidRPr="5B7F1876">
        <w:rPr>
          <w:rFonts w:cs="Times New Roman"/>
          <w:noProof/>
          <w:lang w:val="en-GB"/>
        </w:rPr>
        <w:t xml:space="preserve"> </w:t>
      </w:r>
      <w:r w:rsidR="4762CCB1" w:rsidRPr="5B7F1876">
        <w:rPr>
          <w:rFonts w:cs="Times New Roman"/>
          <w:b/>
          <w:bCs/>
          <w:noProof/>
          <w:lang w:val="en-GB"/>
        </w:rPr>
        <w:t>farms</w:t>
      </w:r>
      <w:r w:rsidRPr="5B7F1876">
        <w:rPr>
          <w:rFonts w:cs="Times New Roman"/>
          <w:b/>
          <w:bCs/>
          <w:noProof/>
          <w:lang w:val="en-GB"/>
        </w:rPr>
        <w:t xml:space="preserve"> </w:t>
      </w:r>
      <w:r w:rsidR="5400DA5F" w:rsidRPr="5B7F1876">
        <w:rPr>
          <w:rFonts w:cs="Times New Roman"/>
          <w:noProof/>
          <w:lang w:val="en-GB"/>
        </w:rPr>
        <w:t>(</w:t>
      </w:r>
      <w:r w:rsidR="53CC0CC7" w:rsidRPr="5B7F1876">
        <w:rPr>
          <w:rFonts w:cs="Times New Roman"/>
          <w:noProof/>
          <w:lang w:val="en-GB"/>
        </w:rPr>
        <w:t xml:space="preserve">measure B.2 in Annex 1) </w:t>
      </w:r>
      <w:r w:rsidR="4B59B7F6" w:rsidRPr="5B7F1876">
        <w:rPr>
          <w:rFonts w:cs="Times New Roman"/>
          <w:noProof/>
          <w:lang w:val="en-GB"/>
        </w:rPr>
        <w:t xml:space="preserve">needs to be </w:t>
      </w:r>
      <w:r w:rsidRPr="5B7F1876">
        <w:rPr>
          <w:rFonts w:cs="Times New Roman"/>
          <w:noProof/>
          <w:lang w:val="en-GB"/>
        </w:rPr>
        <w:t>nuanced</w:t>
      </w:r>
      <w:r w:rsidR="151FD23E" w:rsidRPr="5B7F1876">
        <w:rPr>
          <w:rFonts w:cs="Times New Roman"/>
          <w:noProof/>
          <w:lang w:val="en-GB"/>
        </w:rPr>
        <w:t xml:space="preserve"> and cannot be </w:t>
      </w:r>
      <w:r w:rsidR="57F2FAC8" w:rsidRPr="6F217AB4">
        <w:rPr>
          <w:rFonts w:cs="Times New Roman"/>
          <w:noProof/>
          <w:lang w:val="en-GB"/>
        </w:rPr>
        <w:t xml:space="preserve">properly </w:t>
      </w:r>
      <w:r w:rsidR="35D3B6F1" w:rsidRPr="5B7F1876">
        <w:rPr>
          <w:rFonts w:cs="Times New Roman"/>
          <w:noProof/>
          <w:lang w:val="en-GB"/>
        </w:rPr>
        <w:t>assessed</w:t>
      </w:r>
      <w:r w:rsidR="151FD23E" w:rsidRPr="5B7F1876">
        <w:rPr>
          <w:rFonts w:cs="Times New Roman"/>
          <w:noProof/>
          <w:lang w:val="en-GB"/>
        </w:rPr>
        <w:t xml:space="preserve"> at this stage due to </w:t>
      </w:r>
      <w:r w:rsidR="75955E85" w:rsidRPr="5B7F1876">
        <w:rPr>
          <w:rFonts w:cs="Times New Roman"/>
          <w:noProof/>
          <w:lang w:val="en-GB"/>
        </w:rPr>
        <w:t>its novelty</w:t>
      </w:r>
      <w:r w:rsidR="4762CCB1" w:rsidRPr="5B7F1876">
        <w:rPr>
          <w:rFonts w:cs="Times New Roman"/>
          <w:noProof/>
          <w:lang w:val="en-GB"/>
        </w:rPr>
        <w:t xml:space="preserve">. </w:t>
      </w:r>
      <w:r w:rsidR="24817808" w:rsidRPr="6F217AB4">
        <w:rPr>
          <w:rFonts w:cs="Times New Roman"/>
          <w:noProof/>
          <w:lang w:val="en-GB"/>
        </w:rPr>
        <w:t>First, t</w:t>
      </w:r>
      <w:r w:rsidR="16996115" w:rsidRPr="5B7F1876">
        <w:rPr>
          <w:rFonts w:cs="Times New Roman"/>
          <w:noProof/>
          <w:lang w:val="en-GB"/>
        </w:rPr>
        <w:t xml:space="preserve">hese </w:t>
      </w:r>
      <w:r w:rsidR="4762CCB1" w:rsidRPr="5B7F1876">
        <w:rPr>
          <w:rFonts w:cs="Times New Roman"/>
          <w:noProof/>
          <w:lang w:val="en-GB"/>
        </w:rPr>
        <w:t xml:space="preserve">farms </w:t>
      </w:r>
      <w:r w:rsidR="0D8481A9" w:rsidRPr="5B7F1876">
        <w:rPr>
          <w:rFonts w:cs="Times New Roman"/>
          <w:noProof/>
          <w:lang w:val="en-GB"/>
        </w:rPr>
        <w:t>are not exempt</w:t>
      </w:r>
      <w:r w:rsidR="4762CCB1" w:rsidRPr="5B7F1876">
        <w:rPr>
          <w:rFonts w:cs="Times New Roman"/>
          <w:noProof/>
          <w:lang w:val="en-GB"/>
        </w:rPr>
        <w:t xml:space="preserve"> from conditionality requirements</w:t>
      </w:r>
      <w:r w:rsidR="2F2A396C" w:rsidRPr="5B7F1876">
        <w:rPr>
          <w:rFonts w:cs="Times New Roman"/>
          <w:noProof/>
          <w:lang w:val="en-GB"/>
        </w:rPr>
        <w:t xml:space="preserve"> under the CAP, nor</w:t>
      </w:r>
      <w:r w:rsidR="4762CCB1" w:rsidRPr="5B7F1876">
        <w:rPr>
          <w:rFonts w:cs="Times New Roman"/>
          <w:noProof/>
          <w:lang w:val="en-GB"/>
        </w:rPr>
        <w:t xml:space="preserve"> </w:t>
      </w:r>
      <w:r w:rsidR="4762CCB1" w:rsidRPr="5B7F1876">
        <w:rPr>
          <w:rFonts w:eastAsia="Times New Roman" w:cs="Times New Roman"/>
          <w:noProof/>
          <w:lang w:val="en-GB"/>
        </w:rPr>
        <w:t xml:space="preserve">under </w:t>
      </w:r>
      <w:r w:rsidR="2F2A396C" w:rsidRPr="5B7F1876">
        <w:rPr>
          <w:rFonts w:eastAsia="Times New Roman" w:cs="Times New Roman"/>
          <w:noProof/>
          <w:lang w:val="en-GB"/>
        </w:rPr>
        <w:t xml:space="preserve">the relevant </w:t>
      </w:r>
      <w:r w:rsidR="2F69013C" w:rsidRPr="6F217AB4">
        <w:rPr>
          <w:rFonts w:eastAsia="Times New Roman" w:cs="Times New Roman"/>
          <w:noProof/>
          <w:lang w:val="en-GB"/>
        </w:rPr>
        <w:t xml:space="preserve">EU </w:t>
      </w:r>
      <w:r w:rsidR="4762CCB1" w:rsidRPr="5B7F1876">
        <w:rPr>
          <w:rFonts w:eastAsia="Times New Roman" w:cs="Times New Roman"/>
          <w:noProof/>
          <w:lang w:val="en-GB"/>
        </w:rPr>
        <w:t xml:space="preserve">law </w:t>
      </w:r>
      <w:r w:rsidR="0601AEB4" w:rsidRPr="5B7F1876">
        <w:rPr>
          <w:rFonts w:eastAsia="Times New Roman" w:cs="Times New Roman"/>
          <w:noProof/>
          <w:lang w:val="en-GB"/>
        </w:rPr>
        <w:t xml:space="preserve">in case of </w:t>
      </w:r>
      <w:r w:rsidR="2F2A396C" w:rsidRPr="5B7F1876">
        <w:rPr>
          <w:rFonts w:eastAsia="Times New Roman" w:cs="Times New Roman"/>
          <w:noProof/>
          <w:lang w:val="en-GB"/>
        </w:rPr>
        <w:t>the SMRs</w:t>
      </w:r>
      <w:r w:rsidR="0011123A" w:rsidRPr="5B7F1876">
        <w:rPr>
          <w:rStyle w:val="FootnoteReference"/>
          <w:rFonts w:eastAsia="Times New Roman" w:cs="Times New Roman"/>
          <w:noProof/>
          <w:lang w:val="en-GB"/>
        </w:rPr>
        <w:footnoteReference w:id="63"/>
      </w:r>
      <w:r w:rsidR="4762CCB1" w:rsidRPr="5B7F1876">
        <w:rPr>
          <w:rFonts w:eastAsia="Times New Roman" w:cs="Times New Roman"/>
          <w:noProof/>
          <w:lang w:val="en-GB"/>
        </w:rPr>
        <w:t xml:space="preserve">. </w:t>
      </w:r>
      <w:r w:rsidR="006A229C" w:rsidRPr="5B7F1876">
        <w:rPr>
          <w:rFonts w:eastAsia="Times New Roman" w:cs="Times New Roman"/>
          <w:noProof/>
          <w:lang w:val="en-GB"/>
        </w:rPr>
        <w:t xml:space="preserve">Secondly, voluntary commitments have </w:t>
      </w:r>
      <w:r w:rsidR="006A229C" w:rsidRPr="00276A2E">
        <w:rPr>
          <w:rFonts w:eastAsia="Times New Roman" w:cs="Times New Roman"/>
          <w:noProof/>
          <w:lang w:val="en-GB"/>
        </w:rPr>
        <w:t xml:space="preserve">conditionality </w:t>
      </w:r>
      <w:r w:rsidR="006A229C" w:rsidRPr="00727CC6">
        <w:rPr>
          <w:rFonts w:eastAsia="Times New Roman" w:cs="Times New Roman"/>
          <w:noProof/>
          <w:lang w:val="en-GB"/>
        </w:rPr>
        <w:t xml:space="preserve">as </w:t>
      </w:r>
      <w:r w:rsidR="24817808" w:rsidRPr="00727CC6">
        <w:rPr>
          <w:rFonts w:eastAsia="Times New Roman" w:cs="Times New Roman"/>
          <w:noProof/>
          <w:lang w:val="en-GB"/>
        </w:rPr>
        <w:t xml:space="preserve">a </w:t>
      </w:r>
      <w:r w:rsidR="006A229C" w:rsidRPr="00727CC6">
        <w:rPr>
          <w:rFonts w:eastAsia="Times New Roman" w:cs="Times New Roman"/>
          <w:noProof/>
          <w:lang w:val="en-GB"/>
        </w:rPr>
        <w:t>baseline and the practices to which farmers subscribe should go beyond the conditionality. Therefore, s</w:t>
      </w:r>
      <w:r w:rsidR="4762CCB1" w:rsidRPr="00727CC6">
        <w:rPr>
          <w:rFonts w:eastAsia="Times New Roman" w:cs="Times New Roman"/>
          <w:noProof/>
          <w:lang w:val="en-GB"/>
        </w:rPr>
        <w:t xml:space="preserve">mall farms participating in </w:t>
      </w:r>
      <w:r w:rsidR="3749C706" w:rsidRPr="00727CC6">
        <w:rPr>
          <w:rFonts w:eastAsia="Times New Roman" w:cs="Times New Roman"/>
          <w:noProof/>
          <w:lang w:val="en-GB"/>
        </w:rPr>
        <w:t xml:space="preserve">voluntary CAP interventions, </w:t>
      </w:r>
      <w:r w:rsidR="4762CCB1" w:rsidRPr="00727CC6">
        <w:rPr>
          <w:rFonts w:eastAsia="Times New Roman" w:cs="Times New Roman"/>
          <w:noProof/>
          <w:lang w:val="en-GB"/>
        </w:rPr>
        <w:t>for example eco-schemes</w:t>
      </w:r>
      <w:r w:rsidR="3749C706" w:rsidRPr="00727CC6">
        <w:rPr>
          <w:rFonts w:eastAsia="Times New Roman" w:cs="Times New Roman"/>
          <w:noProof/>
          <w:lang w:val="en-GB"/>
        </w:rPr>
        <w:t>,</w:t>
      </w:r>
      <w:r w:rsidR="4762CCB1" w:rsidRPr="00727CC6">
        <w:rPr>
          <w:rFonts w:eastAsia="Times New Roman" w:cs="Times New Roman"/>
          <w:noProof/>
          <w:lang w:val="en-GB"/>
        </w:rPr>
        <w:t xml:space="preserve"> </w:t>
      </w:r>
      <w:r w:rsidR="3465D20B" w:rsidRPr="00727CC6">
        <w:rPr>
          <w:rFonts w:eastAsia="Times New Roman" w:cs="Times New Roman"/>
          <w:noProof/>
          <w:lang w:val="en-GB"/>
        </w:rPr>
        <w:t xml:space="preserve">will </w:t>
      </w:r>
      <w:r w:rsidR="60BC7130" w:rsidRPr="00727CC6">
        <w:rPr>
          <w:rFonts w:eastAsia="Times New Roman" w:cs="Times New Roman"/>
          <w:noProof/>
          <w:lang w:val="en-GB"/>
        </w:rPr>
        <w:t>inherently</w:t>
      </w:r>
      <w:r w:rsidR="1425ADF3" w:rsidRPr="00727CC6">
        <w:rPr>
          <w:rFonts w:eastAsia="Times New Roman" w:cs="Times New Roman"/>
          <w:noProof/>
          <w:lang w:val="en-GB"/>
        </w:rPr>
        <w:t xml:space="preserve"> have to</w:t>
      </w:r>
      <w:r w:rsidR="4762CCB1" w:rsidRPr="00727CC6">
        <w:rPr>
          <w:rFonts w:eastAsia="Times New Roman" w:cs="Times New Roman"/>
          <w:noProof/>
          <w:lang w:val="en-GB"/>
        </w:rPr>
        <w:t xml:space="preserve"> </w:t>
      </w:r>
      <w:r w:rsidR="1425ADF3" w:rsidRPr="00727CC6">
        <w:rPr>
          <w:rFonts w:eastAsia="Times New Roman" w:cs="Times New Roman"/>
          <w:noProof/>
          <w:lang w:val="en-GB"/>
        </w:rPr>
        <w:t>fulfil</w:t>
      </w:r>
      <w:r w:rsidR="4762CCB1" w:rsidRPr="00727CC6">
        <w:rPr>
          <w:rFonts w:eastAsia="Times New Roman" w:cs="Times New Roman"/>
          <w:noProof/>
          <w:lang w:val="en-GB"/>
        </w:rPr>
        <w:t xml:space="preserve"> the</w:t>
      </w:r>
      <w:r w:rsidR="416CE6EB" w:rsidRPr="00727CC6">
        <w:rPr>
          <w:rFonts w:eastAsia="Times New Roman" w:cs="Times New Roman"/>
          <w:noProof/>
          <w:lang w:val="en-GB"/>
        </w:rPr>
        <w:t xml:space="preserve"> related</w:t>
      </w:r>
      <w:r w:rsidR="4762CCB1" w:rsidRPr="00727CC6">
        <w:rPr>
          <w:rFonts w:eastAsia="Times New Roman" w:cs="Times New Roman"/>
          <w:noProof/>
          <w:lang w:val="en-GB"/>
        </w:rPr>
        <w:t xml:space="preserve"> </w:t>
      </w:r>
      <w:r w:rsidR="60BC7130" w:rsidRPr="00727CC6">
        <w:rPr>
          <w:rFonts w:eastAsia="Times New Roman" w:cs="Times New Roman"/>
          <w:noProof/>
          <w:lang w:val="en-GB"/>
        </w:rPr>
        <w:t xml:space="preserve">conditionality </w:t>
      </w:r>
      <w:r w:rsidR="00A3493D" w:rsidRPr="00727CC6">
        <w:rPr>
          <w:rFonts w:eastAsia="Times New Roman" w:cs="Times New Roman"/>
          <w:noProof/>
          <w:lang w:val="en-GB"/>
        </w:rPr>
        <w:t>requirements</w:t>
      </w:r>
      <w:r w:rsidR="53F27F54" w:rsidRPr="00727CC6">
        <w:rPr>
          <w:rFonts w:eastAsia="Times New Roman" w:cs="Times New Roman"/>
          <w:noProof/>
          <w:lang w:val="en-GB"/>
        </w:rPr>
        <w:t xml:space="preserve">, particularly </w:t>
      </w:r>
      <w:r w:rsidR="00A3493D" w:rsidRPr="00727CC6">
        <w:rPr>
          <w:rFonts w:eastAsia="Times New Roman" w:cs="Times New Roman"/>
          <w:noProof/>
          <w:lang w:val="en-GB"/>
        </w:rPr>
        <w:t xml:space="preserve">GAEC </w:t>
      </w:r>
      <w:r w:rsidR="53F27F54" w:rsidRPr="00727CC6">
        <w:rPr>
          <w:rFonts w:eastAsia="Times New Roman" w:cs="Times New Roman"/>
          <w:noProof/>
          <w:lang w:val="en-GB"/>
        </w:rPr>
        <w:t>standard(s) that are</w:t>
      </w:r>
      <w:r w:rsidR="50694D10" w:rsidRPr="00727CC6">
        <w:rPr>
          <w:rFonts w:eastAsia="Times New Roman" w:cs="Times New Roman"/>
          <w:noProof/>
          <w:lang w:val="en-GB"/>
        </w:rPr>
        <w:t xml:space="preserve"> </w:t>
      </w:r>
      <w:r w:rsidR="60BC7130" w:rsidRPr="00727CC6">
        <w:rPr>
          <w:rFonts w:eastAsia="Times New Roman" w:cs="Times New Roman"/>
          <w:noProof/>
          <w:lang w:val="en-GB"/>
        </w:rPr>
        <w:t xml:space="preserve">part of the </w:t>
      </w:r>
      <w:r w:rsidR="4762CCB1" w:rsidRPr="00727CC6">
        <w:rPr>
          <w:rFonts w:eastAsia="Times New Roman" w:cs="Times New Roman"/>
          <w:noProof/>
          <w:lang w:val="en-GB"/>
        </w:rPr>
        <w:t>baseline</w:t>
      </w:r>
      <w:r w:rsidR="0601AEB4" w:rsidRPr="00727CC6">
        <w:rPr>
          <w:rFonts w:eastAsia="Times New Roman" w:cs="Times New Roman"/>
          <w:noProof/>
          <w:lang w:val="en-GB"/>
        </w:rPr>
        <w:t xml:space="preserve"> for these interventions</w:t>
      </w:r>
      <w:r w:rsidR="4762CCB1" w:rsidRPr="00727CC6">
        <w:rPr>
          <w:rFonts w:eastAsia="Times New Roman" w:cs="Times New Roman"/>
          <w:noProof/>
          <w:lang w:val="en-GB"/>
        </w:rPr>
        <w:t>.</w:t>
      </w:r>
      <w:r w:rsidR="44FE1B92" w:rsidRPr="00727CC6">
        <w:rPr>
          <w:rFonts w:eastAsia="Times New Roman" w:cs="Times New Roman"/>
          <w:noProof/>
          <w:lang w:val="en-GB"/>
        </w:rPr>
        <w:t xml:space="preserve"> </w:t>
      </w:r>
      <w:r w:rsidR="24817808" w:rsidRPr="00727CC6">
        <w:rPr>
          <w:rFonts w:eastAsia="Times New Roman" w:cs="Times New Roman"/>
          <w:noProof/>
          <w:lang w:val="en-GB"/>
        </w:rPr>
        <w:t>Thirdly</w:t>
      </w:r>
      <w:r w:rsidR="4762CCB1" w:rsidRPr="00727CC6">
        <w:rPr>
          <w:rFonts w:eastAsia="Times New Roman" w:cs="Times New Roman"/>
          <w:noProof/>
          <w:lang w:val="en-GB"/>
        </w:rPr>
        <w:t xml:space="preserve">, due to the relatively small agricultural surface managed by small farmers </w:t>
      </w:r>
      <w:r w:rsidR="24817808" w:rsidRPr="00727CC6">
        <w:rPr>
          <w:rFonts w:eastAsia="Times New Roman" w:cs="Times New Roman"/>
          <w:noProof/>
          <w:lang w:val="en-GB"/>
        </w:rPr>
        <w:t>(</w:t>
      </w:r>
      <w:r w:rsidR="4762CCB1" w:rsidRPr="00727CC6">
        <w:rPr>
          <w:rFonts w:eastAsia="Times New Roman" w:cs="Times New Roman"/>
          <w:noProof/>
          <w:lang w:val="en-GB"/>
        </w:rPr>
        <w:t>accounting for around 9</w:t>
      </w:r>
      <w:r w:rsidR="57F2FAC8" w:rsidRPr="00727CC6">
        <w:rPr>
          <w:rFonts w:eastAsia="Times New Roman" w:cs="Times New Roman"/>
          <w:noProof/>
          <w:lang w:val="en-GB"/>
        </w:rPr>
        <w:t>.</w:t>
      </w:r>
      <w:r w:rsidR="4762CCB1" w:rsidRPr="00727CC6">
        <w:rPr>
          <w:rFonts w:eastAsia="Times New Roman" w:cs="Times New Roman"/>
          <w:noProof/>
          <w:lang w:val="en-GB"/>
        </w:rPr>
        <w:t xml:space="preserve">6% of the </w:t>
      </w:r>
      <w:r w:rsidR="24817808" w:rsidRPr="00727CC6">
        <w:rPr>
          <w:rFonts w:eastAsia="Times New Roman" w:cs="Times New Roman"/>
          <w:noProof/>
          <w:lang w:val="en-GB"/>
        </w:rPr>
        <w:t xml:space="preserve">EU’s </w:t>
      </w:r>
      <w:r w:rsidR="4762CCB1" w:rsidRPr="00727CC6">
        <w:rPr>
          <w:rFonts w:eastAsia="Times New Roman" w:cs="Times New Roman"/>
          <w:noProof/>
          <w:lang w:val="en-GB"/>
        </w:rPr>
        <w:t>total agricultural</w:t>
      </w:r>
      <w:r w:rsidR="4762CCB1" w:rsidRPr="00276A2E">
        <w:rPr>
          <w:rFonts w:eastAsia="Times New Roman" w:cs="Times New Roman"/>
          <w:noProof/>
          <w:lang w:val="en-GB"/>
        </w:rPr>
        <w:t xml:space="preserve"> area</w:t>
      </w:r>
      <w:r w:rsidR="24817808" w:rsidRPr="00276A2E">
        <w:rPr>
          <w:rFonts w:eastAsia="Times New Roman" w:cs="Times New Roman"/>
          <w:noProof/>
          <w:lang w:val="en-GB"/>
        </w:rPr>
        <w:t>)</w:t>
      </w:r>
      <w:r w:rsidR="1425ADF3" w:rsidRPr="00276A2E">
        <w:rPr>
          <w:rFonts w:eastAsia="Times New Roman" w:cs="Times New Roman"/>
          <w:noProof/>
          <w:lang w:val="en-GB"/>
        </w:rPr>
        <w:t>,</w:t>
      </w:r>
      <w:r w:rsidR="4762CCB1" w:rsidRPr="00276A2E">
        <w:rPr>
          <w:rFonts w:eastAsia="Times New Roman" w:cs="Times New Roman"/>
          <w:noProof/>
          <w:lang w:val="en-GB"/>
        </w:rPr>
        <w:t xml:space="preserve"> </w:t>
      </w:r>
      <w:r w:rsidR="2D209651" w:rsidRPr="003E7CF4">
        <w:rPr>
          <w:rFonts w:eastAsia="Times New Roman" w:cs="Times New Roman"/>
          <w:noProof/>
          <w:lang w:val="en-GB"/>
        </w:rPr>
        <w:t xml:space="preserve">any potential non-compliance </w:t>
      </w:r>
      <w:r w:rsidR="00FF5F4A" w:rsidRPr="003E7CF4">
        <w:rPr>
          <w:rFonts w:eastAsia="Times New Roman" w:cs="Times New Roman"/>
          <w:noProof/>
          <w:lang w:val="en-GB"/>
        </w:rPr>
        <w:t>should</w:t>
      </w:r>
      <w:r w:rsidR="00FF5F4A" w:rsidRPr="00276A2E">
        <w:rPr>
          <w:rFonts w:eastAsia="Times New Roman" w:cs="Times New Roman"/>
          <w:noProof/>
          <w:lang w:val="en-GB"/>
        </w:rPr>
        <w:t xml:space="preserve"> not</w:t>
      </w:r>
      <w:r w:rsidR="4762CCB1" w:rsidRPr="00276A2E">
        <w:rPr>
          <w:rFonts w:eastAsia="Times New Roman" w:cs="Times New Roman"/>
          <w:noProof/>
          <w:lang w:val="en-GB"/>
        </w:rPr>
        <w:t xml:space="preserve"> significantly </w:t>
      </w:r>
      <w:r w:rsidR="00FF5F4A" w:rsidRPr="00276A2E">
        <w:rPr>
          <w:rFonts w:eastAsia="Times New Roman" w:cs="Times New Roman"/>
          <w:noProof/>
          <w:lang w:val="en-GB"/>
        </w:rPr>
        <w:t>hamper the</w:t>
      </w:r>
      <w:r w:rsidR="4E3B00FE" w:rsidRPr="003E7CF4">
        <w:rPr>
          <w:rFonts w:eastAsia="Times New Roman" w:cs="Times New Roman"/>
          <w:noProof/>
          <w:lang w:val="en-GB"/>
        </w:rPr>
        <w:t xml:space="preserve"> </w:t>
      </w:r>
      <w:r w:rsidR="4762CCB1" w:rsidRPr="00276A2E">
        <w:rPr>
          <w:rFonts w:eastAsia="Times New Roman" w:cs="Times New Roman"/>
          <w:noProof/>
          <w:lang w:val="en-GB"/>
        </w:rPr>
        <w:t>objectives</w:t>
      </w:r>
      <w:r w:rsidR="5FEEF1E5" w:rsidRPr="003E7CF4">
        <w:rPr>
          <w:rFonts w:eastAsia="Times New Roman" w:cs="Times New Roman"/>
          <w:noProof/>
          <w:lang w:val="en-GB"/>
        </w:rPr>
        <w:t xml:space="preserve"> of these </w:t>
      </w:r>
      <w:r w:rsidR="5788E49A" w:rsidRPr="003E7CF4">
        <w:rPr>
          <w:rFonts w:eastAsia="Times New Roman" w:cs="Times New Roman"/>
          <w:noProof/>
          <w:lang w:val="en-GB"/>
        </w:rPr>
        <w:t>GAEC standards</w:t>
      </w:r>
      <w:r w:rsidR="11528847" w:rsidRPr="00276A2E">
        <w:rPr>
          <w:rFonts w:eastAsia="Times New Roman" w:cs="Times New Roman"/>
          <w:noProof/>
          <w:lang w:val="en-GB"/>
        </w:rPr>
        <w:t>.</w:t>
      </w:r>
      <w:r w:rsidR="4762CCB1" w:rsidRPr="00276A2E">
        <w:rPr>
          <w:rFonts w:eastAsia="Times New Roman" w:cs="Times New Roman"/>
          <w:noProof/>
          <w:lang w:val="en-GB"/>
        </w:rPr>
        <w:t xml:space="preserve"> </w:t>
      </w:r>
      <w:r w:rsidRPr="00276A2E" w:rsidDel="55B5F74B">
        <w:rPr>
          <w:rFonts w:eastAsia="Times New Roman" w:cs="Times New Roman"/>
          <w:noProof/>
          <w:lang w:val="en-GB"/>
        </w:rPr>
        <w:t>T</w:t>
      </w:r>
      <w:r w:rsidR="7B602F00" w:rsidRPr="00276A2E">
        <w:rPr>
          <w:rFonts w:eastAsia="Times New Roman" w:cs="Times New Roman"/>
          <w:noProof/>
          <w:lang w:val="en-GB"/>
        </w:rPr>
        <w:t>he</w:t>
      </w:r>
      <w:r w:rsidR="11528847" w:rsidRPr="00276A2E">
        <w:rPr>
          <w:rFonts w:eastAsia="Times New Roman" w:cs="Times New Roman"/>
          <w:noProof/>
          <w:lang w:val="en-GB"/>
        </w:rPr>
        <w:t xml:space="preserve"> impact </w:t>
      </w:r>
      <w:r w:rsidR="4762CCB1" w:rsidRPr="00276A2E">
        <w:rPr>
          <w:rFonts w:eastAsia="Times New Roman" w:cs="Times New Roman"/>
          <w:noProof/>
          <w:lang w:val="en-GB"/>
        </w:rPr>
        <w:t>differ</w:t>
      </w:r>
      <w:r w:rsidR="75955E85" w:rsidRPr="00276A2E">
        <w:rPr>
          <w:rFonts w:eastAsia="Times New Roman" w:cs="Times New Roman"/>
          <w:noProof/>
          <w:lang w:val="en-GB"/>
        </w:rPr>
        <w:t>s</w:t>
      </w:r>
      <w:r w:rsidR="4762CCB1" w:rsidRPr="00276A2E">
        <w:rPr>
          <w:rFonts w:eastAsia="Times New Roman" w:cs="Times New Roman"/>
          <w:noProof/>
          <w:lang w:val="en-GB"/>
        </w:rPr>
        <w:t xml:space="preserve"> </w:t>
      </w:r>
      <w:r w:rsidR="0591B4B4" w:rsidRPr="00276A2E">
        <w:rPr>
          <w:rFonts w:eastAsia="Times New Roman" w:cs="Times New Roman"/>
          <w:noProof/>
          <w:lang w:val="en-GB"/>
        </w:rPr>
        <w:t xml:space="preserve">between </w:t>
      </w:r>
      <w:r w:rsidR="4762CCB1" w:rsidRPr="00276A2E">
        <w:rPr>
          <w:rFonts w:eastAsia="Times New Roman" w:cs="Times New Roman"/>
          <w:noProof/>
          <w:lang w:val="en-GB"/>
        </w:rPr>
        <w:t xml:space="preserve">Member States </w:t>
      </w:r>
      <w:r w:rsidR="0591B4B4" w:rsidRPr="00276A2E">
        <w:rPr>
          <w:rFonts w:eastAsia="Times New Roman" w:cs="Times New Roman"/>
          <w:noProof/>
          <w:lang w:val="en-GB"/>
        </w:rPr>
        <w:t xml:space="preserve">because of </w:t>
      </w:r>
      <w:r w:rsidR="4762CCB1" w:rsidRPr="00276A2E">
        <w:rPr>
          <w:rFonts w:eastAsia="Times New Roman" w:cs="Times New Roman"/>
          <w:noProof/>
          <w:lang w:val="en-GB"/>
        </w:rPr>
        <w:t xml:space="preserve">the </w:t>
      </w:r>
      <w:r w:rsidR="0591B4B4" w:rsidRPr="00276A2E">
        <w:rPr>
          <w:rFonts w:eastAsia="Times New Roman" w:cs="Times New Roman"/>
          <w:noProof/>
          <w:lang w:val="en-GB"/>
        </w:rPr>
        <w:t xml:space="preserve">significant </w:t>
      </w:r>
      <w:r w:rsidR="4762CCB1" w:rsidRPr="00276A2E">
        <w:rPr>
          <w:rFonts w:eastAsia="Times New Roman" w:cs="Times New Roman"/>
          <w:noProof/>
          <w:lang w:val="en-GB"/>
        </w:rPr>
        <w:t xml:space="preserve">differences in the </w:t>
      </w:r>
      <w:r w:rsidR="0139CD78" w:rsidRPr="00276A2E">
        <w:rPr>
          <w:rFonts w:eastAsia="Times New Roman" w:cs="Times New Roman"/>
          <w:noProof/>
          <w:lang w:val="en-GB"/>
        </w:rPr>
        <w:t>share</w:t>
      </w:r>
      <w:r w:rsidR="77E03DC0" w:rsidRPr="00276A2E">
        <w:rPr>
          <w:rFonts w:eastAsia="Times New Roman" w:cs="Times New Roman"/>
          <w:noProof/>
          <w:lang w:val="en-GB"/>
        </w:rPr>
        <w:t xml:space="preserve"> </w:t>
      </w:r>
      <w:r w:rsidR="4762CCB1" w:rsidRPr="00276A2E">
        <w:rPr>
          <w:rFonts w:eastAsia="Times New Roman" w:cs="Times New Roman"/>
          <w:noProof/>
          <w:lang w:val="en-GB"/>
        </w:rPr>
        <w:t>of smaller farms.</w:t>
      </w:r>
      <w:r w:rsidR="4762CCB1" w:rsidRPr="00276A2E">
        <w:rPr>
          <w:rFonts w:eastAsia="Source Sans Pro" w:cs="Times New Roman"/>
          <w:noProof/>
          <w:lang w:val="en-GB"/>
        </w:rPr>
        <w:t xml:space="preserve"> </w:t>
      </w:r>
    </w:p>
    <w:p w14:paraId="4017BEC3" w14:textId="5560A170" w:rsidR="00E6391A" w:rsidRPr="00724676" w:rsidRDefault="00221905" w:rsidP="20654519">
      <w:pPr>
        <w:spacing w:after="120"/>
        <w:jc w:val="both"/>
        <w:rPr>
          <w:rFonts w:eastAsiaTheme="minorEastAsia" w:cs="Times New Roman"/>
          <w:noProof/>
        </w:rPr>
      </w:pPr>
      <w:r w:rsidRPr="20654519">
        <w:rPr>
          <w:rFonts w:eastAsiaTheme="minorEastAsia" w:cs="Times New Roman"/>
          <w:noProof/>
        </w:rPr>
        <w:t xml:space="preserve">Changes to the delegated legislation </w:t>
      </w:r>
      <w:r w:rsidR="00F40567" w:rsidRPr="20654519">
        <w:rPr>
          <w:rFonts w:eastAsiaTheme="minorEastAsia" w:cs="Times New Roman"/>
          <w:noProof/>
        </w:rPr>
        <w:t xml:space="preserve">on </w:t>
      </w:r>
      <w:r w:rsidRPr="20654519">
        <w:rPr>
          <w:rFonts w:eastAsiaTheme="minorEastAsia" w:cs="Times New Roman"/>
          <w:noProof/>
        </w:rPr>
        <w:t xml:space="preserve">the ratio of </w:t>
      </w:r>
      <w:r w:rsidRPr="20654519">
        <w:rPr>
          <w:rFonts w:eastAsiaTheme="minorEastAsia" w:cs="Times New Roman"/>
          <w:b/>
          <w:bCs/>
          <w:noProof/>
        </w:rPr>
        <w:t>permanent grassland</w:t>
      </w:r>
      <w:r w:rsidRPr="20654519">
        <w:rPr>
          <w:rFonts w:eastAsiaTheme="minorEastAsia" w:cs="Times New Roman"/>
          <w:noProof/>
        </w:rPr>
        <w:t xml:space="preserve"> </w:t>
      </w:r>
      <w:r w:rsidR="00B8162D" w:rsidRPr="20654519">
        <w:rPr>
          <w:rFonts w:eastAsiaTheme="minorEastAsia" w:cs="Times New Roman"/>
          <w:noProof/>
        </w:rPr>
        <w:t xml:space="preserve">under </w:t>
      </w:r>
      <w:r w:rsidR="00A7095F" w:rsidRPr="20654519">
        <w:rPr>
          <w:rFonts w:eastAsiaTheme="minorEastAsia" w:cs="Times New Roman"/>
          <w:b/>
          <w:bCs/>
          <w:noProof/>
        </w:rPr>
        <w:t>GAEC 1</w:t>
      </w:r>
      <w:r w:rsidR="00D742C1" w:rsidRPr="20654519">
        <w:rPr>
          <w:rFonts w:eastAsiaTheme="minorEastAsia" w:cs="Times New Roman"/>
          <w:b/>
          <w:bCs/>
          <w:noProof/>
        </w:rPr>
        <w:t xml:space="preserve"> </w:t>
      </w:r>
      <w:r w:rsidR="00D742C1" w:rsidRPr="20654519">
        <w:rPr>
          <w:rFonts w:eastAsiaTheme="minorEastAsia" w:cs="Times New Roman"/>
          <w:noProof/>
        </w:rPr>
        <w:t>(measure A.1 in Annex 1)</w:t>
      </w:r>
      <w:r w:rsidR="00A7095F" w:rsidRPr="20654519">
        <w:rPr>
          <w:rFonts w:eastAsiaTheme="minorEastAsia" w:cs="Times New Roman"/>
          <w:noProof/>
        </w:rPr>
        <w:t xml:space="preserve"> are </w:t>
      </w:r>
      <w:r w:rsidR="00A7095F" w:rsidRPr="20654519">
        <w:rPr>
          <w:rFonts w:eastAsiaTheme="minorEastAsia" w:cs="Times New Roman"/>
          <w:b/>
          <w:bCs/>
          <w:noProof/>
        </w:rPr>
        <w:t xml:space="preserve">not expected to </w:t>
      </w:r>
      <w:r w:rsidR="00E6391A" w:rsidRPr="20654519">
        <w:rPr>
          <w:rFonts w:eastAsiaTheme="minorEastAsia" w:cs="Times New Roman"/>
          <w:b/>
          <w:bCs/>
          <w:noProof/>
        </w:rPr>
        <w:t xml:space="preserve">affect </w:t>
      </w:r>
      <w:r w:rsidR="00A7095F" w:rsidRPr="20654519">
        <w:rPr>
          <w:rFonts w:eastAsiaTheme="minorEastAsia" w:cs="Times New Roman"/>
          <w:b/>
          <w:bCs/>
          <w:noProof/>
        </w:rPr>
        <w:t xml:space="preserve">its </w:t>
      </w:r>
      <w:r w:rsidR="00DE7625" w:rsidRPr="20654519">
        <w:rPr>
          <w:rFonts w:eastAsiaTheme="minorEastAsia" w:cs="Times New Roman"/>
          <w:b/>
          <w:bCs/>
          <w:noProof/>
        </w:rPr>
        <w:t xml:space="preserve">main </w:t>
      </w:r>
      <w:r w:rsidR="00A7095F" w:rsidRPr="20654519">
        <w:rPr>
          <w:rFonts w:eastAsiaTheme="minorEastAsia" w:cs="Times New Roman"/>
          <w:b/>
          <w:bCs/>
          <w:noProof/>
        </w:rPr>
        <w:t>objective</w:t>
      </w:r>
      <w:r w:rsidR="00E6391A" w:rsidRPr="20654519">
        <w:rPr>
          <w:rFonts w:eastAsiaTheme="minorEastAsia" w:cs="Times New Roman"/>
          <w:b/>
          <w:bCs/>
          <w:noProof/>
        </w:rPr>
        <w:t xml:space="preserve"> </w:t>
      </w:r>
      <w:r w:rsidR="00E6391A" w:rsidRPr="20654519">
        <w:rPr>
          <w:rFonts w:eastAsiaTheme="minorEastAsia" w:cs="Times New Roman"/>
          <w:noProof/>
        </w:rPr>
        <w:t xml:space="preserve">to be a </w:t>
      </w:r>
      <w:r w:rsidR="00E6391A" w:rsidRPr="20654519">
        <w:rPr>
          <w:rFonts w:eastAsiaTheme="minorEastAsia" w:cs="Times New Roman"/>
          <w:i/>
          <w:iCs/>
          <w:noProof/>
        </w:rPr>
        <w:t>‘general safeguard against conversion to other agricultural uses to preserve carbon stock’</w:t>
      </w:r>
      <w:r w:rsidR="00EF60EA" w:rsidRPr="20654519">
        <w:rPr>
          <w:rFonts w:eastAsiaTheme="minorEastAsia" w:cs="Times New Roman"/>
          <w:noProof/>
        </w:rPr>
        <w:t xml:space="preserve"> with only</w:t>
      </w:r>
      <w:r w:rsidR="00F40567" w:rsidRPr="20654519">
        <w:rPr>
          <w:rFonts w:eastAsiaTheme="minorEastAsia" w:cs="Times New Roman"/>
          <w:noProof/>
        </w:rPr>
        <w:t xml:space="preserve"> a</w:t>
      </w:r>
      <w:r w:rsidR="00E6391A" w:rsidRPr="20654519">
        <w:rPr>
          <w:rFonts w:eastAsiaTheme="minorEastAsia" w:cs="Times New Roman"/>
          <w:noProof/>
        </w:rPr>
        <w:t xml:space="preserve"> modest impact on the entirety of </w:t>
      </w:r>
      <w:r w:rsidR="00F40567" w:rsidRPr="20654519">
        <w:rPr>
          <w:rFonts w:eastAsiaTheme="minorEastAsia" w:cs="Times New Roman"/>
          <w:noProof/>
        </w:rPr>
        <w:t xml:space="preserve">the </w:t>
      </w:r>
      <w:r w:rsidR="00E6391A" w:rsidRPr="20654519">
        <w:rPr>
          <w:rFonts w:eastAsiaTheme="minorEastAsia" w:cs="Times New Roman"/>
          <w:noProof/>
        </w:rPr>
        <w:t>carbon stock</w:t>
      </w:r>
      <w:r w:rsidR="005F4098" w:rsidRPr="20654519">
        <w:rPr>
          <w:rFonts w:eastAsiaTheme="minorEastAsia" w:cs="Times New Roman"/>
          <w:noProof/>
        </w:rPr>
        <w:t>.</w:t>
      </w:r>
      <w:r w:rsidR="00E6391A" w:rsidRPr="20654519">
        <w:rPr>
          <w:rFonts w:eastAsiaTheme="minorEastAsia" w:cs="Times New Roman"/>
          <w:noProof/>
        </w:rPr>
        <w:t xml:space="preserve"> </w:t>
      </w:r>
      <w:r w:rsidR="005F4098" w:rsidRPr="20654519">
        <w:rPr>
          <w:rFonts w:eastAsiaTheme="minorEastAsia" w:cs="Times New Roman"/>
          <w:noProof/>
        </w:rPr>
        <w:t>T</w:t>
      </w:r>
      <w:r w:rsidR="00E6391A" w:rsidRPr="20654519">
        <w:rPr>
          <w:rFonts w:eastAsiaTheme="minorEastAsia" w:cs="Times New Roman"/>
          <w:noProof/>
        </w:rPr>
        <w:t xml:space="preserve">he flexibility granted to Member States </w:t>
      </w:r>
      <w:r w:rsidR="00E6391A" w:rsidRPr="20654519">
        <w:rPr>
          <w:rFonts w:eastAsiaTheme="minorEastAsia" w:cs="Times New Roman"/>
          <w:b/>
          <w:bCs/>
          <w:noProof/>
        </w:rPr>
        <w:t xml:space="preserve">will not incentivise </w:t>
      </w:r>
      <w:r w:rsidR="00F40567" w:rsidRPr="20654519">
        <w:rPr>
          <w:rFonts w:eastAsiaTheme="minorEastAsia" w:cs="Times New Roman"/>
          <w:b/>
          <w:bCs/>
          <w:noProof/>
        </w:rPr>
        <w:t xml:space="preserve">the </w:t>
      </w:r>
      <w:r w:rsidR="00E6391A" w:rsidRPr="20654519">
        <w:rPr>
          <w:rFonts w:eastAsiaTheme="minorEastAsia" w:cs="Times New Roman"/>
          <w:b/>
          <w:bCs/>
          <w:noProof/>
        </w:rPr>
        <w:t>conversion</w:t>
      </w:r>
      <w:r w:rsidR="00E6391A" w:rsidRPr="20654519">
        <w:rPr>
          <w:rFonts w:eastAsiaTheme="minorEastAsia" w:cs="Times New Roman"/>
          <w:noProof/>
        </w:rPr>
        <w:t xml:space="preserve"> of permanent </w:t>
      </w:r>
      <w:r w:rsidR="00FF5F4A" w:rsidRPr="20654519">
        <w:rPr>
          <w:rFonts w:eastAsiaTheme="minorEastAsia" w:cs="Times New Roman"/>
          <w:noProof/>
        </w:rPr>
        <w:t>grassland but</w:t>
      </w:r>
      <w:r w:rsidR="002B6FDF" w:rsidRPr="20654519">
        <w:rPr>
          <w:rFonts w:eastAsiaTheme="minorEastAsia" w:cs="Times New Roman"/>
          <w:noProof/>
        </w:rPr>
        <w:t xml:space="preserve"> </w:t>
      </w:r>
      <w:r w:rsidR="00F40567" w:rsidRPr="20654519">
        <w:rPr>
          <w:rFonts w:eastAsiaTheme="minorEastAsia" w:cs="Times New Roman"/>
          <w:noProof/>
        </w:rPr>
        <w:t xml:space="preserve">will make it possible </w:t>
      </w:r>
      <w:r w:rsidR="002B6FDF" w:rsidRPr="20654519">
        <w:rPr>
          <w:rFonts w:eastAsiaTheme="minorEastAsia" w:cs="Times New Roman"/>
          <w:noProof/>
        </w:rPr>
        <w:t>to take into account significant structural development</w:t>
      </w:r>
      <w:r w:rsidR="00F40567" w:rsidRPr="20654519">
        <w:rPr>
          <w:rFonts w:eastAsiaTheme="minorEastAsia" w:cs="Times New Roman"/>
          <w:noProof/>
        </w:rPr>
        <w:t>s</w:t>
      </w:r>
      <w:r w:rsidR="002B6FDF" w:rsidRPr="20654519">
        <w:rPr>
          <w:rFonts w:eastAsiaTheme="minorEastAsia" w:cs="Times New Roman"/>
          <w:noProof/>
        </w:rPr>
        <w:t xml:space="preserve"> in a strictly </w:t>
      </w:r>
      <w:r w:rsidR="00EB391F" w:rsidRPr="003E7CF4">
        <w:rPr>
          <w:rFonts w:eastAsiaTheme="minorEastAsia" w:cs="Times New Roman"/>
          <w:noProof/>
        </w:rPr>
        <w:t>defined</w:t>
      </w:r>
      <w:r w:rsidR="00EB391F" w:rsidRPr="20654519">
        <w:rPr>
          <w:rFonts w:eastAsiaTheme="minorEastAsia" w:cs="Times New Roman"/>
          <w:noProof/>
        </w:rPr>
        <w:t xml:space="preserve"> </w:t>
      </w:r>
      <w:r w:rsidR="002B6FDF" w:rsidRPr="20654519">
        <w:rPr>
          <w:rFonts w:eastAsiaTheme="minorEastAsia" w:cs="Times New Roman"/>
          <w:noProof/>
        </w:rPr>
        <w:t>way</w:t>
      </w:r>
      <w:r w:rsidR="00F40567" w:rsidRPr="20654519">
        <w:rPr>
          <w:rFonts w:eastAsiaTheme="minorEastAsia" w:cs="Times New Roman"/>
          <w:noProof/>
        </w:rPr>
        <w:t>,</w:t>
      </w:r>
      <w:r w:rsidR="002B6FDF" w:rsidRPr="20654519">
        <w:rPr>
          <w:rFonts w:eastAsiaTheme="minorEastAsia" w:cs="Times New Roman"/>
          <w:noProof/>
        </w:rPr>
        <w:t xml:space="preserve"> and </w:t>
      </w:r>
      <w:r w:rsidR="00F40567" w:rsidRPr="20654519">
        <w:rPr>
          <w:rFonts w:eastAsiaTheme="minorEastAsia" w:cs="Times New Roman"/>
          <w:noProof/>
        </w:rPr>
        <w:t>gives</w:t>
      </w:r>
      <w:r w:rsidR="002B6FDF" w:rsidRPr="20654519">
        <w:rPr>
          <w:rFonts w:eastAsiaTheme="minorEastAsia" w:cs="Times New Roman"/>
          <w:noProof/>
        </w:rPr>
        <w:t xml:space="preserve"> Member States</w:t>
      </w:r>
      <w:r w:rsidR="00F40567" w:rsidRPr="20654519">
        <w:rPr>
          <w:rFonts w:eastAsiaTheme="minorEastAsia" w:cs="Times New Roman"/>
          <w:noProof/>
        </w:rPr>
        <w:t xml:space="preserve"> the option</w:t>
      </w:r>
      <w:r w:rsidR="002B6FDF" w:rsidRPr="20654519">
        <w:rPr>
          <w:rFonts w:eastAsiaTheme="minorEastAsia" w:cs="Times New Roman"/>
          <w:noProof/>
        </w:rPr>
        <w:t xml:space="preserve"> to consider </w:t>
      </w:r>
      <w:r w:rsidR="00F40567" w:rsidRPr="20654519">
        <w:rPr>
          <w:rFonts w:eastAsiaTheme="minorEastAsia" w:cs="Times New Roman"/>
          <w:noProof/>
        </w:rPr>
        <w:t xml:space="preserve">a </w:t>
      </w:r>
      <w:r w:rsidR="002B6FDF" w:rsidRPr="20654519">
        <w:rPr>
          <w:rFonts w:eastAsiaTheme="minorEastAsia" w:cs="Times New Roman"/>
          <w:noProof/>
        </w:rPr>
        <w:t>more nuance</w:t>
      </w:r>
      <w:r w:rsidR="00F40567" w:rsidRPr="20654519">
        <w:rPr>
          <w:rFonts w:eastAsiaTheme="minorEastAsia" w:cs="Times New Roman"/>
          <w:noProof/>
        </w:rPr>
        <w:t>d</w:t>
      </w:r>
      <w:r w:rsidR="002B6FDF" w:rsidRPr="20654519">
        <w:rPr>
          <w:rFonts w:eastAsiaTheme="minorEastAsia" w:cs="Times New Roman"/>
          <w:noProof/>
        </w:rPr>
        <w:t xml:space="preserve"> implementation of the requirement</w:t>
      </w:r>
      <w:r w:rsidR="00E6391A" w:rsidRPr="20654519">
        <w:rPr>
          <w:rFonts w:eastAsiaTheme="minorEastAsia" w:cs="Times New Roman"/>
          <w:noProof/>
        </w:rPr>
        <w:t xml:space="preserve">.  </w:t>
      </w:r>
    </w:p>
    <w:p w14:paraId="10018C65" w14:textId="1C9BDC0D" w:rsidR="00602AE4" w:rsidRPr="00724676" w:rsidRDefault="00B37B7C" w:rsidP="0021019C">
      <w:pPr>
        <w:spacing w:after="120"/>
        <w:jc w:val="both"/>
        <w:rPr>
          <w:rFonts w:cs="Times New Roman"/>
          <w:noProof/>
          <w:lang w:val="en-GB"/>
        </w:rPr>
      </w:pPr>
      <w:r w:rsidRPr="6FE283EC">
        <w:rPr>
          <w:rFonts w:cs="Times New Roman"/>
          <w:noProof/>
          <w:lang w:val="en-GB"/>
        </w:rPr>
        <w:t xml:space="preserve">The modifications of the CSP Regulation provide that </w:t>
      </w:r>
      <w:r w:rsidRPr="6FE283EC">
        <w:rPr>
          <w:rFonts w:cs="Times New Roman"/>
          <w:b/>
          <w:noProof/>
          <w:lang w:val="en-GB"/>
        </w:rPr>
        <w:t xml:space="preserve">exemptions </w:t>
      </w:r>
      <w:r w:rsidRPr="6FE283EC">
        <w:rPr>
          <w:rFonts w:cs="Times New Roman"/>
          <w:noProof/>
          <w:lang w:val="en-GB"/>
        </w:rPr>
        <w:t>to GAEC 5 (tillage), GAEC 6 (soil cover), GAEC 7 (crop rotation/</w:t>
      </w:r>
      <w:r w:rsidR="00D7382D" w:rsidRPr="6FE283EC">
        <w:rPr>
          <w:rFonts w:cs="Times New Roman"/>
          <w:noProof/>
          <w:lang w:val="en-GB"/>
        </w:rPr>
        <w:t xml:space="preserve">crop </w:t>
      </w:r>
      <w:r w:rsidRPr="6FE283EC">
        <w:rPr>
          <w:rFonts w:cs="Times New Roman"/>
          <w:noProof/>
          <w:lang w:val="en-GB"/>
        </w:rPr>
        <w:t>diversification) and GAEC 9</w:t>
      </w:r>
      <w:r w:rsidRPr="6FE283EC" w:rsidDel="00F40567">
        <w:rPr>
          <w:rFonts w:cs="Times New Roman"/>
          <w:noProof/>
          <w:lang w:val="en-GB"/>
        </w:rPr>
        <w:t xml:space="preserve"> </w:t>
      </w:r>
      <w:r w:rsidR="0D9AD1EB" w:rsidRPr="6FE283EC">
        <w:rPr>
          <w:rFonts w:cs="Times New Roman"/>
          <w:noProof/>
          <w:lang w:val="en-GB"/>
        </w:rPr>
        <w:t>(environmentally sensitive permanent grasslands)</w:t>
      </w:r>
      <w:r w:rsidR="32990873" w:rsidRPr="6FE283EC">
        <w:rPr>
          <w:rFonts w:cs="Times New Roman"/>
          <w:noProof/>
          <w:lang w:val="en-GB"/>
        </w:rPr>
        <w:t xml:space="preserve"> (</w:t>
      </w:r>
      <w:r w:rsidR="009B47F4" w:rsidRPr="6FE283EC">
        <w:rPr>
          <w:rFonts w:cs="Times New Roman"/>
          <w:noProof/>
          <w:lang w:val="en-GB"/>
        </w:rPr>
        <w:t>measure B.1 in</w:t>
      </w:r>
      <w:r w:rsidR="32990873" w:rsidRPr="6FE283EC">
        <w:rPr>
          <w:rFonts w:cs="Times New Roman"/>
          <w:noProof/>
          <w:lang w:val="en-GB"/>
        </w:rPr>
        <w:t xml:space="preserve"> Annex 1) </w:t>
      </w:r>
      <w:r w:rsidRPr="6FE283EC">
        <w:rPr>
          <w:rFonts w:cs="Times New Roman"/>
          <w:noProof/>
          <w:lang w:val="en-GB"/>
        </w:rPr>
        <w:t xml:space="preserve">shall be </w:t>
      </w:r>
      <w:r w:rsidRPr="6FE283EC">
        <w:rPr>
          <w:rFonts w:cs="Times New Roman"/>
          <w:b/>
          <w:noProof/>
          <w:lang w:val="en-GB"/>
        </w:rPr>
        <w:t>targeted</w:t>
      </w:r>
      <w:r w:rsidRPr="6FE283EC">
        <w:rPr>
          <w:rFonts w:cs="Times New Roman"/>
          <w:noProof/>
          <w:lang w:val="en-GB"/>
        </w:rPr>
        <w:t xml:space="preserve"> in a way </w:t>
      </w:r>
      <w:r w:rsidR="00F40567" w:rsidRPr="6FE283EC">
        <w:rPr>
          <w:rFonts w:cs="Times New Roman"/>
          <w:noProof/>
          <w:lang w:val="en-GB"/>
        </w:rPr>
        <w:t xml:space="preserve">that </w:t>
      </w:r>
      <w:r w:rsidRPr="6FE283EC">
        <w:rPr>
          <w:rFonts w:cs="Times New Roman"/>
          <w:noProof/>
          <w:lang w:val="en-GB"/>
        </w:rPr>
        <w:t xml:space="preserve">ensures that </w:t>
      </w:r>
      <w:r w:rsidR="00D7382D" w:rsidRPr="6FE283EC">
        <w:rPr>
          <w:rFonts w:cs="Times New Roman"/>
          <w:noProof/>
          <w:lang w:val="en-GB"/>
        </w:rPr>
        <w:t xml:space="preserve">the exemption </w:t>
      </w:r>
      <w:r w:rsidRPr="6FE283EC">
        <w:rPr>
          <w:rFonts w:cs="Times New Roman"/>
          <w:noProof/>
          <w:lang w:val="en-GB"/>
        </w:rPr>
        <w:t xml:space="preserve">will not significantly hamper the </w:t>
      </w:r>
      <w:r w:rsidR="00DE7625" w:rsidRPr="6FE283EC">
        <w:rPr>
          <w:rFonts w:cs="Times New Roman"/>
          <w:noProof/>
          <w:lang w:val="en-GB"/>
        </w:rPr>
        <w:t xml:space="preserve">main </w:t>
      </w:r>
      <w:r w:rsidRPr="6FE283EC">
        <w:rPr>
          <w:rFonts w:cs="Times New Roman"/>
          <w:noProof/>
          <w:lang w:val="en-GB"/>
        </w:rPr>
        <w:t>objective</w:t>
      </w:r>
      <w:r w:rsidR="00AB5DBF" w:rsidRPr="6FE283EC">
        <w:rPr>
          <w:rFonts w:cs="Times New Roman"/>
          <w:noProof/>
          <w:lang w:val="en-GB"/>
        </w:rPr>
        <w:t>s</w:t>
      </w:r>
      <w:r w:rsidR="00271117" w:rsidRPr="6FE283EC">
        <w:rPr>
          <w:rFonts w:cs="Times New Roman"/>
          <w:noProof/>
          <w:lang w:val="en-GB"/>
        </w:rPr>
        <w:t xml:space="preserve"> of these GAEC standards</w:t>
      </w:r>
      <w:r w:rsidRPr="6FE283EC">
        <w:rPr>
          <w:rFonts w:cs="Times New Roman"/>
          <w:noProof/>
          <w:lang w:val="en-GB"/>
        </w:rPr>
        <w:t xml:space="preserve">, and hence they should </w:t>
      </w:r>
      <w:r w:rsidRPr="6FE283EC">
        <w:rPr>
          <w:rFonts w:cs="Times New Roman"/>
          <w:b/>
          <w:noProof/>
          <w:lang w:val="en-GB"/>
        </w:rPr>
        <w:t>not significantly</w:t>
      </w:r>
      <w:r w:rsidR="00D7790F" w:rsidRPr="6FE283EC">
        <w:rPr>
          <w:rFonts w:cs="Times New Roman"/>
          <w:b/>
          <w:noProof/>
          <w:lang w:val="en-GB"/>
        </w:rPr>
        <w:t xml:space="preserve"> </w:t>
      </w:r>
      <w:r w:rsidRPr="6FE283EC">
        <w:rPr>
          <w:rFonts w:cs="Times New Roman"/>
          <w:b/>
          <w:noProof/>
          <w:lang w:val="en-GB"/>
        </w:rPr>
        <w:t>affect the environmental impacts</w:t>
      </w:r>
      <w:r w:rsidR="00F40567" w:rsidRPr="6FE283EC">
        <w:rPr>
          <w:rFonts w:cs="Times New Roman"/>
          <w:b/>
          <w:noProof/>
          <w:lang w:val="en-GB"/>
        </w:rPr>
        <w:t xml:space="preserve"> of the CAP plans</w:t>
      </w:r>
      <w:r w:rsidRPr="6FE283EC">
        <w:rPr>
          <w:rFonts w:cs="Times New Roman"/>
          <w:noProof/>
          <w:lang w:val="en-GB"/>
        </w:rPr>
        <w:t xml:space="preserve">. </w:t>
      </w:r>
    </w:p>
    <w:p w14:paraId="71221DE6" w14:textId="45DC8E60" w:rsidR="00B37B7C" w:rsidRPr="00724676" w:rsidRDefault="00AD60F0" w:rsidP="0021019C">
      <w:pPr>
        <w:spacing w:after="120"/>
        <w:jc w:val="both"/>
        <w:rPr>
          <w:rFonts w:eastAsia="Times New Roman" w:cs="Times New Roman"/>
          <w:noProof/>
          <w:color w:val="000000" w:themeColor="text1"/>
          <w:szCs w:val="24"/>
          <w:lang w:val="en-GB"/>
        </w:rPr>
      </w:pPr>
      <w:r w:rsidRPr="00724676">
        <w:rPr>
          <w:rFonts w:cs="Times New Roman"/>
          <w:noProof/>
          <w:szCs w:val="24"/>
          <w:lang w:val="en-GB"/>
        </w:rPr>
        <w:t>B</w:t>
      </w:r>
      <w:r w:rsidR="00B37B7C" w:rsidRPr="00724676">
        <w:rPr>
          <w:rFonts w:cs="Times New Roman"/>
          <w:noProof/>
          <w:szCs w:val="24"/>
          <w:lang w:val="en-GB"/>
        </w:rPr>
        <w:t xml:space="preserve">y </w:t>
      </w:r>
      <w:r w:rsidR="00F40567">
        <w:rPr>
          <w:rFonts w:cs="Times New Roman"/>
          <w:noProof/>
          <w:szCs w:val="24"/>
          <w:lang w:val="en-GB"/>
        </w:rPr>
        <w:t>making it possible to</w:t>
      </w:r>
      <w:r w:rsidR="00B37B7C" w:rsidRPr="00724676">
        <w:rPr>
          <w:rFonts w:cs="Times New Roman"/>
          <w:b/>
          <w:bCs/>
          <w:noProof/>
          <w:szCs w:val="24"/>
          <w:lang w:val="en-GB"/>
        </w:rPr>
        <w:t xml:space="preserve"> take </w:t>
      </w:r>
      <w:r w:rsidR="00F40567">
        <w:rPr>
          <w:rFonts w:cs="Times New Roman"/>
          <w:b/>
          <w:bCs/>
          <w:noProof/>
          <w:szCs w:val="24"/>
          <w:lang w:val="en-GB"/>
        </w:rPr>
        <w:t xml:space="preserve">greater </w:t>
      </w:r>
      <w:r w:rsidR="00B37B7C" w:rsidRPr="00724676">
        <w:rPr>
          <w:rFonts w:cs="Times New Roman"/>
          <w:b/>
          <w:bCs/>
          <w:noProof/>
          <w:szCs w:val="24"/>
          <w:lang w:val="en-GB"/>
        </w:rPr>
        <w:t>account of the diverse and sometimes complex nature of farming</w:t>
      </w:r>
      <w:r w:rsidR="00B37B7C" w:rsidRPr="00724676">
        <w:rPr>
          <w:rFonts w:cs="Times New Roman"/>
          <w:noProof/>
          <w:szCs w:val="24"/>
          <w:lang w:val="en-GB"/>
        </w:rPr>
        <w:t xml:space="preserve"> and </w:t>
      </w:r>
      <w:r w:rsidR="00777F81">
        <w:rPr>
          <w:rFonts w:cs="Times New Roman"/>
          <w:noProof/>
          <w:szCs w:val="24"/>
          <w:lang w:val="en-GB"/>
        </w:rPr>
        <w:t xml:space="preserve">of </w:t>
      </w:r>
      <w:r w:rsidR="00B37B7C" w:rsidRPr="00724676">
        <w:rPr>
          <w:rFonts w:cs="Times New Roman"/>
          <w:noProof/>
          <w:szCs w:val="24"/>
          <w:lang w:val="en-GB"/>
        </w:rPr>
        <w:t>factors affecting the impact of certain practices on the environment</w:t>
      </w:r>
      <w:r w:rsidR="00777F81">
        <w:rPr>
          <w:rFonts w:cs="Times New Roman"/>
          <w:noProof/>
          <w:szCs w:val="24"/>
          <w:lang w:val="en-GB"/>
        </w:rPr>
        <w:t xml:space="preserve"> </w:t>
      </w:r>
      <w:r w:rsidR="00323EBA">
        <w:rPr>
          <w:rFonts w:cs="Times New Roman"/>
          <w:noProof/>
          <w:szCs w:val="24"/>
          <w:lang w:val="en-GB"/>
        </w:rPr>
        <w:br/>
      </w:r>
      <w:r w:rsidR="00777F81">
        <w:rPr>
          <w:rFonts w:cs="Times New Roman"/>
          <w:noProof/>
          <w:szCs w:val="24"/>
          <w:lang w:val="en-GB"/>
        </w:rPr>
        <w:t>(</w:t>
      </w:r>
      <w:r w:rsidR="00E97123" w:rsidRPr="00724676">
        <w:rPr>
          <w:rFonts w:cs="Times New Roman"/>
          <w:noProof/>
          <w:szCs w:val="24"/>
          <w:lang w:val="en-GB"/>
        </w:rPr>
        <w:t>e.g.</w:t>
      </w:r>
      <w:r w:rsidR="00B37B7C" w:rsidRPr="00724676">
        <w:rPr>
          <w:rFonts w:cs="Times New Roman"/>
          <w:noProof/>
          <w:szCs w:val="24"/>
          <w:lang w:val="en-GB"/>
        </w:rPr>
        <w:t xml:space="preserve"> the characteristics of specific types of production, farming systems, types of soil, crops and/or Member States’ pedoclimatic conditions</w:t>
      </w:r>
      <w:r w:rsidR="00777F81">
        <w:rPr>
          <w:rFonts w:cs="Times New Roman"/>
          <w:noProof/>
          <w:szCs w:val="24"/>
          <w:lang w:val="en-GB"/>
        </w:rPr>
        <w:t>)</w:t>
      </w:r>
      <w:r w:rsidR="00B37B7C" w:rsidRPr="00724676">
        <w:rPr>
          <w:rFonts w:cs="Times New Roman"/>
          <w:noProof/>
          <w:szCs w:val="24"/>
          <w:lang w:val="en-GB"/>
        </w:rPr>
        <w:t xml:space="preserve">, </w:t>
      </w:r>
      <w:r w:rsidR="00D71B42" w:rsidRPr="00724676">
        <w:rPr>
          <w:rFonts w:cs="Times New Roman"/>
          <w:noProof/>
          <w:szCs w:val="24"/>
          <w:lang w:val="en-GB"/>
        </w:rPr>
        <w:t xml:space="preserve">these </w:t>
      </w:r>
      <w:r w:rsidR="00B37B7C" w:rsidRPr="00724676">
        <w:rPr>
          <w:rFonts w:cs="Times New Roman"/>
          <w:b/>
          <w:bCs/>
          <w:noProof/>
          <w:szCs w:val="24"/>
          <w:lang w:val="en-GB"/>
        </w:rPr>
        <w:t xml:space="preserve">requirements can be </w:t>
      </w:r>
      <w:r w:rsidR="00690FA8" w:rsidRPr="00724676">
        <w:rPr>
          <w:rFonts w:cs="Times New Roman"/>
          <w:b/>
          <w:bCs/>
          <w:noProof/>
          <w:szCs w:val="24"/>
          <w:lang w:val="en-GB"/>
        </w:rPr>
        <w:t xml:space="preserve">designed </w:t>
      </w:r>
      <w:r w:rsidR="004B6495" w:rsidRPr="00724676">
        <w:rPr>
          <w:rFonts w:cs="Times New Roman"/>
          <w:noProof/>
          <w:szCs w:val="24"/>
          <w:lang w:val="en-GB"/>
        </w:rPr>
        <w:t xml:space="preserve">to limit </w:t>
      </w:r>
      <w:r w:rsidR="00777F81">
        <w:rPr>
          <w:rFonts w:cs="Times New Roman"/>
          <w:noProof/>
          <w:szCs w:val="24"/>
          <w:lang w:val="en-GB"/>
        </w:rPr>
        <w:t xml:space="preserve">the </w:t>
      </w:r>
      <w:r w:rsidR="004B6495" w:rsidRPr="00724676">
        <w:rPr>
          <w:rFonts w:cs="Times New Roman"/>
          <w:noProof/>
          <w:szCs w:val="24"/>
          <w:lang w:val="en-GB"/>
        </w:rPr>
        <w:t>potential environmental drawbacks</w:t>
      </w:r>
      <w:r w:rsidR="002B7F75" w:rsidRPr="00724676">
        <w:rPr>
          <w:rFonts w:cs="Times New Roman"/>
          <w:noProof/>
          <w:szCs w:val="24"/>
          <w:lang w:val="en-GB"/>
        </w:rPr>
        <w:t xml:space="preserve"> of</w:t>
      </w:r>
      <w:r w:rsidR="009E0C26" w:rsidRPr="00724676">
        <w:rPr>
          <w:rFonts w:cs="Times New Roman"/>
          <w:noProof/>
          <w:szCs w:val="24"/>
          <w:lang w:val="en-GB"/>
        </w:rPr>
        <w:t xml:space="preserve"> otherwise good practices</w:t>
      </w:r>
      <w:r w:rsidR="00B37B7C" w:rsidRPr="00724676">
        <w:rPr>
          <w:rFonts w:cs="Times New Roman"/>
          <w:noProof/>
          <w:szCs w:val="24"/>
          <w:lang w:val="en-GB"/>
        </w:rPr>
        <w:t>. For instance, in the case of GAEC 6</w:t>
      </w:r>
      <w:r w:rsidR="311F61D2" w:rsidRPr="00724676">
        <w:rPr>
          <w:rFonts w:cs="Times New Roman"/>
          <w:noProof/>
          <w:szCs w:val="24"/>
          <w:lang w:val="en-GB"/>
        </w:rPr>
        <w:t>,</w:t>
      </w:r>
      <w:r w:rsidR="00B37B7C" w:rsidRPr="00724676">
        <w:rPr>
          <w:rFonts w:cs="Times New Roman"/>
          <w:noProof/>
          <w:szCs w:val="24"/>
          <w:lang w:val="en-GB"/>
        </w:rPr>
        <w:t xml:space="preserve"> the characteristics of heavy clay soil can be such that the benefits of ensuring a full minimum soil cover over winter </w:t>
      </w:r>
      <w:r w:rsidR="009B4354" w:rsidRPr="00724676">
        <w:rPr>
          <w:rFonts w:cs="Times New Roman"/>
          <w:noProof/>
          <w:szCs w:val="24"/>
          <w:lang w:val="en-GB"/>
        </w:rPr>
        <w:t xml:space="preserve">need to </w:t>
      </w:r>
      <w:r w:rsidR="00B37B7C" w:rsidRPr="00724676">
        <w:rPr>
          <w:rFonts w:cs="Times New Roman"/>
          <w:noProof/>
          <w:szCs w:val="24"/>
          <w:lang w:val="en-GB"/>
        </w:rPr>
        <w:t xml:space="preserve">be balanced against the </w:t>
      </w:r>
      <w:r w:rsidR="00E17DF1" w:rsidRPr="00724676">
        <w:rPr>
          <w:rFonts w:cs="Times New Roman"/>
          <w:noProof/>
          <w:szCs w:val="24"/>
          <w:lang w:val="en-GB"/>
        </w:rPr>
        <w:t xml:space="preserve">risk of compaction </w:t>
      </w:r>
      <w:r w:rsidR="0083436A" w:rsidRPr="00724676">
        <w:rPr>
          <w:rFonts w:cs="Times New Roman"/>
          <w:noProof/>
          <w:szCs w:val="24"/>
          <w:lang w:val="en-GB"/>
        </w:rPr>
        <w:t>posed by</w:t>
      </w:r>
      <w:r w:rsidR="001F57E4" w:rsidRPr="00724676">
        <w:rPr>
          <w:rFonts w:cs="Times New Roman"/>
          <w:noProof/>
          <w:szCs w:val="24"/>
          <w:lang w:val="en-GB"/>
        </w:rPr>
        <w:t xml:space="preserve"> </w:t>
      </w:r>
      <w:r w:rsidR="00B37B7C" w:rsidRPr="00724676">
        <w:rPr>
          <w:rFonts w:cs="Times New Roman"/>
          <w:noProof/>
          <w:szCs w:val="24"/>
          <w:lang w:val="en-GB"/>
        </w:rPr>
        <w:t>prepar</w:t>
      </w:r>
      <w:r w:rsidR="001F57E4" w:rsidRPr="00724676">
        <w:rPr>
          <w:rFonts w:cs="Times New Roman"/>
          <w:noProof/>
          <w:szCs w:val="24"/>
          <w:lang w:val="en-GB"/>
        </w:rPr>
        <w:t>ing</w:t>
      </w:r>
      <w:r w:rsidR="00B37B7C" w:rsidRPr="00724676">
        <w:rPr>
          <w:rFonts w:cs="Times New Roman"/>
          <w:noProof/>
          <w:szCs w:val="24"/>
          <w:lang w:val="en-GB"/>
        </w:rPr>
        <w:t xml:space="preserve"> the soil for sowing in early spring. Similar</w:t>
      </w:r>
      <w:r w:rsidR="008F2251" w:rsidRPr="00724676">
        <w:rPr>
          <w:rFonts w:cs="Times New Roman"/>
          <w:noProof/>
          <w:szCs w:val="24"/>
          <w:lang w:val="en-GB"/>
        </w:rPr>
        <w:t>ly</w:t>
      </w:r>
      <w:r w:rsidR="00B37B7C" w:rsidRPr="00724676">
        <w:rPr>
          <w:rFonts w:cs="Times New Roman"/>
          <w:noProof/>
          <w:szCs w:val="24"/>
          <w:lang w:val="en-GB"/>
        </w:rPr>
        <w:t xml:space="preserve">, </w:t>
      </w:r>
      <w:r w:rsidR="003A1986" w:rsidRPr="00724676">
        <w:rPr>
          <w:rFonts w:cs="Times New Roman"/>
          <w:noProof/>
          <w:szCs w:val="24"/>
          <w:lang w:val="en-GB"/>
        </w:rPr>
        <w:t xml:space="preserve">the use of mechanical weeding under organic farming </w:t>
      </w:r>
      <w:r w:rsidR="005F017E" w:rsidRPr="00724676">
        <w:rPr>
          <w:rFonts w:cs="Times New Roman"/>
          <w:noProof/>
          <w:szCs w:val="24"/>
          <w:lang w:val="en-GB"/>
        </w:rPr>
        <w:t xml:space="preserve">may </w:t>
      </w:r>
      <w:r w:rsidR="00777F81">
        <w:rPr>
          <w:rFonts w:cs="Times New Roman"/>
          <w:noProof/>
          <w:szCs w:val="24"/>
          <w:lang w:val="en-GB"/>
        </w:rPr>
        <w:t>make it necessary to</w:t>
      </w:r>
      <w:r w:rsidR="00777F81" w:rsidRPr="00724676">
        <w:rPr>
          <w:rFonts w:cs="Times New Roman"/>
          <w:noProof/>
          <w:szCs w:val="24"/>
          <w:lang w:val="en-GB"/>
        </w:rPr>
        <w:t xml:space="preserve"> </w:t>
      </w:r>
      <w:r w:rsidR="00B0089E" w:rsidRPr="00724676">
        <w:rPr>
          <w:rFonts w:cs="Times New Roman"/>
          <w:noProof/>
          <w:szCs w:val="24"/>
          <w:lang w:val="en-GB"/>
        </w:rPr>
        <w:t>prepar</w:t>
      </w:r>
      <w:r w:rsidR="00777F81">
        <w:rPr>
          <w:rFonts w:cs="Times New Roman"/>
          <w:noProof/>
          <w:szCs w:val="24"/>
          <w:lang w:val="en-GB"/>
        </w:rPr>
        <w:t>e</w:t>
      </w:r>
      <w:r w:rsidR="00B0089E" w:rsidRPr="00724676">
        <w:rPr>
          <w:rFonts w:cs="Times New Roman"/>
          <w:noProof/>
          <w:szCs w:val="24"/>
          <w:lang w:val="en-GB"/>
        </w:rPr>
        <w:t xml:space="preserve"> the soil at </w:t>
      </w:r>
      <w:r w:rsidR="00777F81">
        <w:rPr>
          <w:rFonts w:cs="Times New Roman"/>
          <w:noProof/>
          <w:szCs w:val="24"/>
          <w:lang w:val="en-GB"/>
        </w:rPr>
        <w:t xml:space="preserve">an </w:t>
      </w:r>
      <w:r w:rsidR="00B0089E" w:rsidRPr="00724676">
        <w:rPr>
          <w:rFonts w:cs="Times New Roman"/>
          <w:noProof/>
          <w:szCs w:val="24"/>
          <w:lang w:val="en-GB"/>
        </w:rPr>
        <w:t>early stage</w:t>
      </w:r>
      <w:r w:rsidR="00B37B7C" w:rsidRPr="00724676">
        <w:rPr>
          <w:rFonts w:eastAsia="Times New Roman" w:cs="Times New Roman"/>
          <w:noProof/>
          <w:color w:val="000000" w:themeColor="text1"/>
          <w:szCs w:val="24"/>
          <w:lang w:val="en-GB"/>
        </w:rPr>
        <w:t xml:space="preserve">. </w:t>
      </w:r>
      <w:r w:rsidR="002538EE" w:rsidRPr="00724676">
        <w:rPr>
          <w:rFonts w:eastAsia="Times New Roman" w:cs="Times New Roman"/>
          <w:noProof/>
          <w:color w:val="000000" w:themeColor="text1"/>
          <w:szCs w:val="24"/>
          <w:lang w:val="en-GB"/>
        </w:rPr>
        <w:t>When considering such exemptions it is</w:t>
      </w:r>
      <w:r w:rsidR="00777F81">
        <w:rPr>
          <w:rFonts w:eastAsia="Times New Roman" w:cs="Times New Roman"/>
          <w:noProof/>
          <w:color w:val="000000" w:themeColor="text1"/>
          <w:szCs w:val="24"/>
          <w:lang w:val="en-GB"/>
        </w:rPr>
        <w:t>,</w:t>
      </w:r>
      <w:r w:rsidR="002538EE" w:rsidRPr="00724676">
        <w:rPr>
          <w:rFonts w:eastAsia="Times New Roman" w:cs="Times New Roman"/>
          <w:noProof/>
          <w:color w:val="000000" w:themeColor="text1"/>
          <w:szCs w:val="24"/>
          <w:lang w:val="en-GB"/>
        </w:rPr>
        <w:t xml:space="preserve"> however</w:t>
      </w:r>
      <w:r w:rsidR="00777F81">
        <w:rPr>
          <w:rFonts w:eastAsia="Times New Roman" w:cs="Times New Roman"/>
          <w:noProof/>
          <w:color w:val="000000" w:themeColor="text1"/>
          <w:szCs w:val="24"/>
          <w:lang w:val="en-GB"/>
        </w:rPr>
        <w:t>,</w:t>
      </w:r>
      <w:r w:rsidR="002538EE" w:rsidRPr="00724676">
        <w:rPr>
          <w:rFonts w:eastAsia="Times New Roman" w:cs="Times New Roman"/>
          <w:noProof/>
          <w:color w:val="000000" w:themeColor="text1"/>
          <w:szCs w:val="24"/>
          <w:lang w:val="en-GB"/>
        </w:rPr>
        <w:t xml:space="preserve"> important to also keep </w:t>
      </w:r>
      <w:r w:rsidR="00777F81">
        <w:rPr>
          <w:rFonts w:eastAsia="Times New Roman" w:cs="Times New Roman"/>
          <w:noProof/>
          <w:color w:val="000000" w:themeColor="text1"/>
          <w:szCs w:val="24"/>
          <w:lang w:val="en-GB"/>
        </w:rPr>
        <w:t xml:space="preserve">in mind the </w:t>
      </w:r>
      <w:r w:rsidR="002538EE" w:rsidRPr="00724676">
        <w:rPr>
          <w:rFonts w:eastAsia="Times New Roman" w:cs="Times New Roman"/>
          <w:noProof/>
          <w:color w:val="000000" w:themeColor="text1"/>
          <w:szCs w:val="24"/>
          <w:lang w:val="en-GB"/>
        </w:rPr>
        <w:t>long</w:t>
      </w:r>
      <w:r w:rsidR="00777F81">
        <w:rPr>
          <w:rFonts w:eastAsia="Times New Roman" w:cs="Times New Roman"/>
          <w:noProof/>
          <w:color w:val="000000" w:themeColor="text1"/>
          <w:szCs w:val="24"/>
          <w:lang w:val="en-GB"/>
        </w:rPr>
        <w:t>-</w:t>
      </w:r>
      <w:r w:rsidR="002538EE" w:rsidRPr="00724676">
        <w:rPr>
          <w:rFonts w:eastAsia="Times New Roman" w:cs="Times New Roman"/>
          <w:noProof/>
          <w:color w:val="000000" w:themeColor="text1"/>
          <w:szCs w:val="24"/>
          <w:lang w:val="en-GB"/>
        </w:rPr>
        <w:t>te</w:t>
      </w:r>
      <w:r w:rsidR="001B03D0" w:rsidRPr="00724676">
        <w:rPr>
          <w:rFonts w:eastAsia="Times New Roman" w:cs="Times New Roman"/>
          <w:noProof/>
          <w:color w:val="000000" w:themeColor="text1"/>
          <w:szCs w:val="24"/>
          <w:lang w:val="en-GB"/>
        </w:rPr>
        <w:t>rm impact of certain practices on the</w:t>
      </w:r>
      <w:r w:rsidR="002538EE" w:rsidRPr="00724676">
        <w:rPr>
          <w:rFonts w:eastAsia="Times New Roman" w:cs="Times New Roman"/>
          <w:noProof/>
          <w:color w:val="000000" w:themeColor="text1"/>
          <w:szCs w:val="24"/>
          <w:lang w:val="en-GB"/>
        </w:rPr>
        <w:t xml:space="preserve"> objectives</w:t>
      </w:r>
      <w:r w:rsidR="00E21683" w:rsidRPr="00724676">
        <w:rPr>
          <w:rFonts w:eastAsia="Times New Roman" w:cs="Times New Roman"/>
          <w:noProof/>
          <w:color w:val="000000" w:themeColor="text1"/>
          <w:szCs w:val="24"/>
          <w:lang w:val="en-GB"/>
        </w:rPr>
        <w:t xml:space="preserve"> of the </w:t>
      </w:r>
      <w:r w:rsidR="00E21683" w:rsidRPr="002874FC">
        <w:rPr>
          <w:rFonts w:eastAsia="Times New Roman" w:cs="Times New Roman"/>
          <w:noProof/>
          <w:color w:val="000000" w:themeColor="text1"/>
          <w:szCs w:val="24"/>
          <w:lang w:val="en-GB"/>
        </w:rPr>
        <w:t>GAEC standard</w:t>
      </w:r>
      <w:r w:rsidR="002538EE" w:rsidRPr="002874FC">
        <w:rPr>
          <w:rFonts w:eastAsia="Times New Roman" w:cs="Times New Roman"/>
          <w:noProof/>
          <w:color w:val="000000" w:themeColor="text1"/>
          <w:szCs w:val="24"/>
          <w:lang w:val="en-GB"/>
        </w:rPr>
        <w:t xml:space="preserve"> </w:t>
      </w:r>
      <w:r w:rsidR="00E20F75" w:rsidRPr="002874FC">
        <w:rPr>
          <w:rFonts w:eastAsia="Times New Roman" w:cs="Times New Roman"/>
          <w:noProof/>
          <w:color w:val="000000" w:themeColor="text1"/>
          <w:szCs w:val="24"/>
          <w:lang w:val="en-GB"/>
        </w:rPr>
        <w:t xml:space="preserve">and </w:t>
      </w:r>
      <w:r w:rsidR="004A0819" w:rsidRPr="002874FC">
        <w:rPr>
          <w:rFonts w:eastAsia="Times New Roman" w:cs="Times New Roman"/>
          <w:noProof/>
          <w:color w:val="000000" w:themeColor="text1"/>
          <w:szCs w:val="24"/>
          <w:lang w:val="en-GB"/>
        </w:rPr>
        <w:t>give value to the range</w:t>
      </w:r>
      <w:r w:rsidR="004A0819" w:rsidRPr="00724676">
        <w:rPr>
          <w:rFonts w:eastAsia="Times New Roman" w:cs="Times New Roman"/>
          <w:noProof/>
          <w:color w:val="000000" w:themeColor="text1"/>
          <w:szCs w:val="24"/>
          <w:lang w:val="en-GB"/>
        </w:rPr>
        <w:t xml:space="preserve"> of different</w:t>
      </w:r>
      <w:r w:rsidR="00E20F75" w:rsidRPr="00724676">
        <w:rPr>
          <w:rFonts w:eastAsia="Times New Roman" w:cs="Times New Roman"/>
          <w:noProof/>
          <w:color w:val="000000" w:themeColor="text1"/>
          <w:szCs w:val="24"/>
          <w:lang w:val="en-GB"/>
        </w:rPr>
        <w:t xml:space="preserve"> farming practices</w:t>
      </w:r>
      <w:r w:rsidR="00777F81">
        <w:rPr>
          <w:rFonts w:eastAsia="Times New Roman" w:cs="Times New Roman"/>
          <w:noProof/>
          <w:color w:val="000000" w:themeColor="text1"/>
          <w:szCs w:val="24"/>
          <w:lang w:val="en-GB"/>
        </w:rPr>
        <w:t xml:space="preserve"> that</w:t>
      </w:r>
      <w:r w:rsidR="004A0819" w:rsidRPr="00724676">
        <w:rPr>
          <w:rFonts w:eastAsia="Times New Roman" w:cs="Times New Roman"/>
          <w:noProof/>
          <w:color w:val="000000" w:themeColor="text1"/>
          <w:szCs w:val="24"/>
          <w:lang w:val="en-GB"/>
        </w:rPr>
        <w:t xml:space="preserve"> exist</w:t>
      </w:r>
      <w:r w:rsidR="001E32F7" w:rsidRPr="00724676">
        <w:rPr>
          <w:rFonts w:eastAsia="Times New Roman" w:cs="Times New Roman"/>
          <w:noProof/>
          <w:color w:val="000000" w:themeColor="text1"/>
          <w:szCs w:val="24"/>
          <w:lang w:val="en-GB"/>
        </w:rPr>
        <w:t>.</w:t>
      </w:r>
    </w:p>
    <w:p w14:paraId="06952473" w14:textId="070D10D5" w:rsidR="00E6391A" w:rsidRPr="00724676" w:rsidRDefault="00E6391A" w:rsidP="0021019C">
      <w:pPr>
        <w:spacing w:after="120"/>
        <w:jc w:val="both"/>
        <w:rPr>
          <w:rFonts w:cs="Times New Roman"/>
          <w:noProof/>
          <w:lang w:val="en-GB"/>
        </w:rPr>
      </w:pPr>
      <w:r w:rsidRPr="6FE283EC">
        <w:rPr>
          <w:rFonts w:cs="Times New Roman"/>
          <w:noProof/>
          <w:lang w:val="en-GB"/>
        </w:rPr>
        <w:t xml:space="preserve">The main requirement for farmers </w:t>
      </w:r>
      <w:r w:rsidR="00C76DED" w:rsidRPr="6FE283EC">
        <w:rPr>
          <w:rFonts w:cs="Times New Roman"/>
          <w:noProof/>
          <w:lang w:val="en-GB"/>
        </w:rPr>
        <w:t xml:space="preserve">set out </w:t>
      </w:r>
      <w:r w:rsidRPr="6FE283EC">
        <w:rPr>
          <w:rFonts w:cs="Times New Roman"/>
          <w:noProof/>
          <w:lang w:val="en-GB"/>
        </w:rPr>
        <w:t xml:space="preserve">across all </w:t>
      </w:r>
      <w:r w:rsidR="00523AA0" w:rsidRPr="6FE283EC">
        <w:rPr>
          <w:rFonts w:cs="Times New Roman"/>
          <w:noProof/>
          <w:lang w:val="en-GB"/>
        </w:rPr>
        <w:t>CAP Plans</w:t>
      </w:r>
      <w:r w:rsidRPr="6FE283EC">
        <w:rPr>
          <w:rFonts w:cs="Times New Roman"/>
          <w:noProof/>
          <w:lang w:val="en-GB"/>
        </w:rPr>
        <w:t xml:space="preserve"> under</w:t>
      </w:r>
      <w:r w:rsidRPr="6FE283EC">
        <w:rPr>
          <w:rFonts w:cs="Times New Roman"/>
          <w:b/>
          <w:noProof/>
          <w:lang w:val="en-GB"/>
        </w:rPr>
        <w:t xml:space="preserve"> GAEC 9</w:t>
      </w:r>
      <w:r w:rsidRPr="6FE283EC">
        <w:rPr>
          <w:rFonts w:cs="Times New Roman"/>
          <w:noProof/>
          <w:lang w:val="en-GB"/>
        </w:rPr>
        <w:t xml:space="preserve"> (</w:t>
      </w:r>
      <w:r w:rsidR="00A323BF" w:rsidRPr="6FE283EC">
        <w:rPr>
          <w:rFonts w:cs="Times New Roman"/>
          <w:noProof/>
          <w:lang w:val="en-GB"/>
        </w:rPr>
        <w:t xml:space="preserve">environmentally sensitive </w:t>
      </w:r>
      <w:r w:rsidRPr="6FE283EC">
        <w:rPr>
          <w:rFonts w:cs="Times New Roman"/>
          <w:noProof/>
          <w:lang w:val="en-GB"/>
        </w:rPr>
        <w:t>permanent grasslands</w:t>
      </w:r>
      <w:r w:rsidR="002F4EEF">
        <w:rPr>
          <w:rFonts w:cs="Times New Roman"/>
          <w:noProof/>
          <w:lang w:val="en-GB"/>
        </w:rPr>
        <w:t xml:space="preserve"> in Natura 2000 areas</w:t>
      </w:r>
      <w:r w:rsidRPr="6FE283EC">
        <w:rPr>
          <w:rFonts w:cs="Times New Roman"/>
          <w:noProof/>
          <w:lang w:val="en-GB"/>
        </w:rPr>
        <w:t xml:space="preserve">) entails a ban </w:t>
      </w:r>
      <w:r w:rsidR="00C76DED" w:rsidRPr="6FE283EC">
        <w:rPr>
          <w:rFonts w:cs="Times New Roman"/>
          <w:noProof/>
          <w:lang w:val="en-GB"/>
        </w:rPr>
        <w:t xml:space="preserve">on </w:t>
      </w:r>
      <w:r w:rsidR="006F72BC" w:rsidRPr="6FE283EC">
        <w:rPr>
          <w:rFonts w:cs="Times New Roman"/>
          <w:noProof/>
          <w:lang w:val="en-GB"/>
        </w:rPr>
        <w:t xml:space="preserve">the </w:t>
      </w:r>
      <w:r w:rsidRPr="6FE283EC">
        <w:rPr>
          <w:rFonts w:cs="Times New Roman"/>
          <w:noProof/>
          <w:lang w:val="en-GB"/>
        </w:rPr>
        <w:t>conversion and ploughing up</w:t>
      </w:r>
      <w:r w:rsidR="00C76DED" w:rsidRPr="6FE283EC">
        <w:rPr>
          <w:rFonts w:cs="Times New Roman"/>
          <w:noProof/>
          <w:lang w:val="en-GB"/>
        </w:rPr>
        <w:t xml:space="preserve"> of these grasslands</w:t>
      </w:r>
      <w:r w:rsidRPr="6FE283EC">
        <w:rPr>
          <w:rFonts w:cs="Times New Roman"/>
          <w:noProof/>
          <w:lang w:val="en-GB"/>
        </w:rPr>
        <w:t xml:space="preserve">. </w:t>
      </w:r>
      <w:r w:rsidR="006F72BC" w:rsidRPr="6FE283EC">
        <w:rPr>
          <w:rFonts w:cs="Times New Roman"/>
          <w:noProof/>
          <w:lang w:val="en-GB"/>
        </w:rPr>
        <w:t>This is a continuation of</w:t>
      </w:r>
      <w:r w:rsidRPr="6FE283EC">
        <w:rPr>
          <w:rFonts w:cs="Times New Roman"/>
          <w:noProof/>
          <w:lang w:val="en-GB"/>
        </w:rPr>
        <w:t xml:space="preserve"> the greening rules </w:t>
      </w:r>
      <w:r w:rsidR="627FBA17" w:rsidRPr="6FE283EC">
        <w:rPr>
          <w:rFonts w:cs="Times New Roman"/>
          <w:noProof/>
          <w:lang w:val="en-GB"/>
        </w:rPr>
        <w:t xml:space="preserve"> </w:t>
      </w:r>
      <w:r w:rsidR="59ACE9E2" w:rsidRPr="6FE283EC">
        <w:rPr>
          <w:rFonts w:cs="Times New Roman"/>
          <w:noProof/>
          <w:lang w:val="en-GB"/>
        </w:rPr>
        <w:t>that</w:t>
      </w:r>
      <w:r w:rsidR="00C76DED" w:rsidRPr="6FE283EC">
        <w:rPr>
          <w:rFonts w:cs="Times New Roman"/>
          <w:noProof/>
          <w:lang w:val="en-GB"/>
        </w:rPr>
        <w:t xml:space="preserve"> applied during</w:t>
      </w:r>
      <w:r w:rsidRPr="6FE283EC">
        <w:rPr>
          <w:rFonts w:cs="Times New Roman"/>
          <w:noProof/>
          <w:lang w:val="en-GB"/>
        </w:rPr>
        <w:t xml:space="preserve"> the </w:t>
      </w:r>
      <w:r w:rsidR="006F72BC" w:rsidRPr="6FE283EC">
        <w:rPr>
          <w:rFonts w:cs="Times New Roman"/>
          <w:noProof/>
          <w:lang w:val="en-GB"/>
        </w:rPr>
        <w:t>pre-2023</w:t>
      </w:r>
      <w:r w:rsidRPr="6FE283EC">
        <w:rPr>
          <w:rFonts w:cs="Times New Roman"/>
          <w:noProof/>
          <w:lang w:val="en-GB"/>
        </w:rPr>
        <w:t xml:space="preserve"> CAP period. The amendments brought by the Commission</w:t>
      </w:r>
      <w:r w:rsidR="00C76DED" w:rsidRPr="6FE283EC">
        <w:rPr>
          <w:rFonts w:cs="Times New Roman"/>
          <w:noProof/>
          <w:lang w:val="en-GB"/>
        </w:rPr>
        <w:t>’s proposal of</w:t>
      </w:r>
      <w:r w:rsidRPr="6FE283EC">
        <w:rPr>
          <w:rFonts w:cs="Times New Roman"/>
          <w:noProof/>
          <w:lang w:val="en-GB"/>
        </w:rPr>
        <w:t xml:space="preserve"> 15 March </w:t>
      </w:r>
      <w:r w:rsidR="2C1F23B2" w:rsidRPr="6FE283EC">
        <w:rPr>
          <w:rFonts w:cs="Times New Roman"/>
          <w:noProof/>
          <w:lang w:val="en-GB"/>
        </w:rPr>
        <w:lastRenderedPageBreak/>
        <w:t xml:space="preserve">2024 </w:t>
      </w:r>
      <w:r w:rsidR="007550EA" w:rsidRPr="6FE283EC">
        <w:rPr>
          <w:rFonts w:cs="Times New Roman"/>
          <w:noProof/>
          <w:lang w:val="en-GB"/>
        </w:rPr>
        <w:t xml:space="preserve">to allow targeted </w:t>
      </w:r>
      <w:r w:rsidR="007550EA" w:rsidRPr="6FE283EC">
        <w:rPr>
          <w:rFonts w:cs="Times New Roman"/>
          <w:b/>
          <w:noProof/>
          <w:lang w:val="en-GB"/>
        </w:rPr>
        <w:t>exemptions</w:t>
      </w:r>
      <w:r w:rsidR="6D960BAD" w:rsidRPr="6FE283EC">
        <w:rPr>
          <w:rFonts w:cs="Times New Roman"/>
          <w:noProof/>
          <w:lang w:val="en-GB"/>
        </w:rPr>
        <w:t xml:space="preserve"> </w:t>
      </w:r>
      <w:r w:rsidR="007550EA" w:rsidRPr="6FE283EC">
        <w:rPr>
          <w:rFonts w:cs="Times New Roman"/>
          <w:noProof/>
          <w:lang w:val="en-GB"/>
        </w:rPr>
        <w:t>ensure</w:t>
      </w:r>
      <w:r w:rsidR="00C76DED" w:rsidRPr="6FE283EC">
        <w:rPr>
          <w:rFonts w:cs="Times New Roman"/>
          <w:noProof/>
          <w:lang w:val="en-GB"/>
        </w:rPr>
        <w:t>,</w:t>
      </w:r>
      <w:r w:rsidR="007550EA" w:rsidRPr="6FE283EC">
        <w:rPr>
          <w:rFonts w:cs="Times New Roman"/>
          <w:noProof/>
          <w:lang w:val="en-GB"/>
        </w:rPr>
        <w:t xml:space="preserve"> in particular</w:t>
      </w:r>
      <w:r w:rsidR="00C76DED" w:rsidRPr="6FE283EC">
        <w:rPr>
          <w:rFonts w:cs="Times New Roman"/>
          <w:noProof/>
          <w:lang w:val="en-GB"/>
        </w:rPr>
        <w:t>,</w:t>
      </w:r>
      <w:r w:rsidR="007550EA" w:rsidRPr="6FE283EC">
        <w:rPr>
          <w:rFonts w:cs="Times New Roman"/>
          <w:noProof/>
          <w:lang w:val="en-GB"/>
        </w:rPr>
        <w:t xml:space="preserve"> that where the grass </w:t>
      </w:r>
      <w:r w:rsidR="00232231" w:rsidRPr="6FE283EC">
        <w:rPr>
          <w:rFonts w:cs="Times New Roman"/>
          <w:noProof/>
          <w:lang w:val="en-GB"/>
        </w:rPr>
        <w:t xml:space="preserve">cover </w:t>
      </w:r>
      <w:r w:rsidR="007550EA" w:rsidRPr="6FE283EC">
        <w:rPr>
          <w:rFonts w:cs="Times New Roman"/>
          <w:noProof/>
          <w:lang w:val="en-GB"/>
        </w:rPr>
        <w:t xml:space="preserve">has been destroyed </w:t>
      </w:r>
      <w:r w:rsidR="00C76DED" w:rsidRPr="6FE283EC">
        <w:rPr>
          <w:rFonts w:cs="Times New Roman"/>
          <w:noProof/>
          <w:lang w:val="en-GB"/>
        </w:rPr>
        <w:t>(</w:t>
      </w:r>
      <w:r w:rsidR="007550EA" w:rsidRPr="6FE283EC">
        <w:rPr>
          <w:rFonts w:cs="Times New Roman"/>
          <w:noProof/>
          <w:lang w:val="en-GB"/>
        </w:rPr>
        <w:t xml:space="preserve">e.g. due to </w:t>
      </w:r>
      <w:r w:rsidRPr="6FE283EC">
        <w:rPr>
          <w:rFonts w:cs="Times New Roman"/>
          <w:noProof/>
          <w:lang w:val="en-GB"/>
        </w:rPr>
        <w:t>damage made by wild animals or invasive species</w:t>
      </w:r>
      <w:r w:rsidR="00C76DED" w:rsidRPr="6FE283EC">
        <w:rPr>
          <w:rFonts w:cs="Times New Roman"/>
          <w:noProof/>
          <w:lang w:val="en-GB"/>
        </w:rPr>
        <w:t>),</w:t>
      </w:r>
      <w:r w:rsidR="004B1CCE" w:rsidRPr="00724676">
        <w:rPr>
          <w:noProof/>
          <w:lang w:val="en-GB"/>
        </w:rPr>
        <w:t xml:space="preserve"> </w:t>
      </w:r>
      <w:r w:rsidR="004B1CCE" w:rsidRPr="6FE283EC">
        <w:rPr>
          <w:rFonts w:cs="Times New Roman"/>
          <w:noProof/>
          <w:lang w:val="en-GB"/>
        </w:rPr>
        <w:t xml:space="preserve">the necessary tillage can be </w:t>
      </w:r>
      <w:r w:rsidR="00C76DED" w:rsidRPr="6FE283EC">
        <w:rPr>
          <w:rFonts w:cs="Times New Roman"/>
          <w:noProof/>
          <w:lang w:val="en-GB"/>
        </w:rPr>
        <w:t xml:space="preserve">carried out </w:t>
      </w:r>
      <w:r w:rsidR="004B1CCE" w:rsidRPr="6FE283EC">
        <w:rPr>
          <w:rFonts w:cs="Times New Roman"/>
          <w:b/>
          <w:noProof/>
          <w:lang w:val="en-GB"/>
        </w:rPr>
        <w:t>to restore the grassland</w:t>
      </w:r>
      <w:r w:rsidRPr="6FE283EC">
        <w:rPr>
          <w:rFonts w:cs="Times New Roman"/>
          <w:noProof/>
          <w:lang w:val="en-GB"/>
        </w:rPr>
        <w:t xml:space="preserve">. This reflects both </w:t>
      </w:r>
      <w:r w:rsidRPr="6FE283EC">
        <w:rPr>
          <w:rFonts w:cs="Times New Roman"/>
          <w:b/>
          <w:noProof/>
          <w:lang w:val="en-GB"/>
        </w:rPr>
        <w:t xml:space="preserve">agronomic and biodiversity </w:t>
      </w:r>
      <w:r w:rsidR="00C407F0" w:rsidRPr="6FE283EC">
        <w:rPr>
          <w:rFonts w:cs="Times New Roman"/>
          <w:b/>
          <w:noProof/>
          <w:lang w:val="en-GB"/>
        </w:rPr>
        <w:t>considerations</w:t>
      </w:r>
      <w:r w:rsidR="00C407F0" w:rsidRPr="6FE283EC">
        <w:rPr>
          <w:rFonts w:cs="Times New Roman"/>
          <w:noProof/>
          <w:lang w:val="en-GB"/>
        </w:rPr>
        <w:t xml:space="preserve"> </w:t>
      </w:r>
      <w:r w:rsidR="00C407F0" w:rsidRPr="6FE283EC">
        <w:rPr>
          <w:rFonts w:cs="Times New Roman"/>
          <w:b/>
          <w:noProof/>
          <w:lang w:val="en-GB"/>
        </w:rPr>
        <w:t xml:space="preserve">for </w:t>
      </w:r>
      <w:r w:rsidR="00C76DED" w:rsidRPr="6FE283EC">
        <w:rPr>
          <w:rFonts w:cs="Times New Roman"/>
          <w:b/>
          <w:noProof/>
          <w:lang w:val="en-GB"/>
        </w:rPr>
        <w:t xml:space="preserve">the </w:t>
      </w:r>
      <w:r w:rsidRPr="6FE283EC">
        <w:rPr>
          <w:rFonts w:cs="Times New Roman"/>
          <w:b/>
          <w:noProof/>
          <w:lang w:val="en-GB"/>
        </w:rPr>
        <w:t>renew</w:t>
      </w:r>
      <w:r w:rsidR="00C407F0" w:rsidRPr="6FE283EC">
        <w:rPr>
          <w:rFonts w:cs="Times New Roman"/>
          <w:b/>
          <w:noProof/>
          <w:lang w:val="en-GB"/>
        </w:rPr>
        <w:t>al</w:t>
      </w:r>
      <w:r w:rsidRPr="6FE283EC">
        <w:rPr>
          <w:rFonts w:cs="Times New Roman"/>
          <w:b/>
          <w:noProof/>
          <w:lang w:val="en-GB"/>
        </w:rPr>
        <w:t xml:space="preserve"> and regenerat</w:t>
      </w:r>
      <w:r w:rsidR="00C407F0" w:rsidRPr="6FE283EC">
        <w:rPr>
          <w:rFonts w:cs="Times New Roman"/>
          <w:b/>
          <w:noProof/>
          <w:lang w:val="en-GB"/>
        </w:rPr>
        <w:t>ion</w:t>
      </w:r>
      <w:r w:rsidR="00C407F0" w:rsidRPr="6FE283EC">
        <w:rPr>
          <w:rFonts w:cs="Times New Roman"/>
          <w:noProof/>
          <w:lang w:val="en-GB"/>
        </w:rPr>
        <w:t xml:space="preserve"> of such grasslands</w:t>
      </w:r>
      <w:r w:rsidR="00C76DED" w:rsidRPr="6FE283EC">
        <w:rPr>
          <w:rFonts w:cs="Times New Roman"/>
          <w:noProof/>
          <w:lang w:val="en-GB"/>
        </w:rPr>
        <w:t>,</w:t>
      </w:r>
      <w:r w:rsidRPr="6FE283EC">
        <w:rPr>
          <w:rFonts w:cs="Times New Roman"/>
          <w:noProof/>
          <w:lang w:val="en-GB"/>
        </w:rPr>
        <w:t xml:space="preserve"> though the actual impact of this flexibility will depend on Member States’ implementation choices</w:t>
      </w:r>
      <w:r w:rsidRPr="00724676">
        <w:rPr>
          <w:rFonts w:cs="Times New Roman"/>
          <w:noProof/>
          <w:sz w:val="28"/>
          <w:szCs w:val="28"/>
          <w:lang w:val="en-GB"/>
        </w:rPr>
        <w:t>.</w:t>
      </w:r>
      <w:r w:rsidR="00662238" w:rsidRPr="6FE283EC">
        <w:rPr>
          <w:rFonts w:cs="Times New Roman"/>
          <w:noProof/>
          <w:lang w:val="en-GB"/>
        </w:rPr>
        <w:t xml:space="preserve"> </w:t>
      </w:r>
      <w:r w:rsidR="005A15BE" w:rsidRPr="6FE283EC">
        <w:rPr>
          <w:rFonts w:cs="Times New Roman"/>
          <w:noProof/>
          <w:lang w:val="en-GB"/>
        </w:rPr>
        <w:t>If applied properly</w:t>
      </w:r>
      <w:r w:rsidR="00907BF5" w:rsidRPr="6FE283EC">
        <w:rPr>
          <w:rFonts w:cs="Times New Roman"/>
          <w:noProof/>
          <w:lang w:val="en-GB"/>
        </w:rPr>
        <w:t xml:space="preserve"> </w:t>
      </w:r>
      <w:r w:rsidR="00C76DED" w:rsidRPr="6FE283EC">
        <w:rPr>
          <w:rFonts w:cs="Times New Roman"/>
          <w:noProof/>
          <w:lang w:val="en-GB"/>
        </w:rPr>
        <w:t xml:space="preserve">this flexibility </w:t>
      </w:r>
      <w:r w:rsidR="00662238" w:rsidRPr="6FE283EC">
        <w:rPr>
          <w:rFonts w:cs="Times New Roman"/>
          <w:noProof/>
          <w:lang w:val="en-GB"/>
        </w:rPr>
        <w:t>should</w:t>
      </w:r>
      <w:r w:rsidR="00C76DED" w:rsidRPr="6FE283EC">
        <w:rPr>
          <w:rFonts w:cs="Times New Roman"/>
          <w:noProof/>
          <w:lang w:val="en-GB"/>
        </w:rPr>
        <w:t xml:space="preserve"> not,</w:t>
      </w:r>
      <w:r w:rsidR="00662238" w:rsidRPr="6FE283EC">
        <w:rPr>
          <w:rFonts w:cs="Times New Roman"/>
          <w:noProof/>
          <w:lang w:val="en-GB"/>
        </w:rPr>
        <w:t xml:space="preserve"> in principle</w:t>
      </w:r>
      <w:r w:rsidR="00C76DED" w:rsidRPr="6FE283EC">
        <w:rPr>
          <w:rFonts w:cs="Times New Roman"/>
          <w:noProof/>
          <w:lang w:val="en-GB"/>
        </w:rPr>
        <w:t>,</w:t>
      </w:r>
      <w:r w:rsidR="00662238" w:rsidRPr="6FE283EC">
        <w:rPr>
          <w:rFonts w:cs="Times New Roman"/>
          <w:noProof/>
          <w:lang w:val="en-GB"/>
        </w:rPr>
        <w:t xml:space="preserve"> </w:t>
      </w:r>
      <w:r w:rsidR="002776C9" w:rsidRPr="6FE283EC">
        <w:rPr>
          <w:rFonts w:cs="Times New Roman"/>
          <w:b/>
          <w:noProof/>
          <w:lang w:val="en-GB"/>
        </w:rPr>
        <w:t xml:space="preserve">substantially </w:t>
      </w:r>
      <w:r w:rsidR="00662238" w:rsidRPr="6FE283EC">
        <w:rPr>
          <w:rFonts w:cs="Times New Roman"/>
          <w:b/>
          <w:noProof/>
          <w:lang w:val="en-GB"/>
        </w:rPr>
        <w:t>affect</w:t>
      </w:r>
      <w:r w:rsidR="00662238" w:rsidRPr="6FE283EC">
        <w:rPr>
          <w:rFonts w:cs="Times New Roman"/>
          <w:noProof/>
          <w:lang w:val="en-GB"/>
        </w:rPr>
        <w:t xml:space="preserve"> the contribution </w:t>
      </w:r>
      <w:r w:rsidR="0C5278BD" w:rsidRPr="6FE283EC">
        <w:rPr>
          <w:rFonts w:cs="Times New Roman"/>
          <w:noProof/>
          <w:lang w:val="en-GB"/>
        </w:rPr>
        <w:t>of this requirement</w:t>
      </w:r>
      <w:r w:rsidR="43C5FA71" w:rsidRPr="6FE283EC">
        <w:rPr>
          <w:rFonts w:cs="Times New Roman"/>
          <w:noProof/>
          <w:lang w:val="en-GB"/>
        </w:rPr>
        <w:t xml:space="preserve"> </w:t>
      </w:r>
      <w:r w:rsidR="00662238" w:rsidRPr="6FE283EC">
        <w:rPr>
          <w:rFonts w:cs="Times New Roman"/>
          <w:noProof/>
          <w:lang w:val="en-GB"/>
        </w:rPr>
        <w:t xml:space="preserve">to the </w:t>
      </w:r>
      <w:r w:rsidR="00662238" w:rsidRPr="6FE283EC">
        <w:rPr>
          <w:rFonts w:cs="Times New Roman"/>
          <w:b/>
          <w:noProof/>
          <w:lang w:val="en-GB"/>
        </w:rPr>
        <w:t>standard’s biodiversity objective</w:t>
      </w:r>
      <w:r w:rsidR="00662238" w:rsidRPr="6FE283EC">
        <w:rPr>
          <w:rFonts w:cs="Times New Roman"/>
          <w:noProof/>
          <w:lang w:val="en-GB"/>
        </w:rPr>
        <w:t>.</w:t>
      </w:r>
    </w:p>
    <w:p w14:paraId="3F43A017" w14:textId="3CA80797" w:rsidR="00345086" w:rsidRPr="00724676" w:rsidRDefault="009D464E" w:rsidP="0021019C">
      <w:pPr>
        <w:spacing w:after="120"/>
        <w:jc w:val="both"/>
        <w:rPr>
          <w:rFonts w:cs="Times New Roman"/>
          <w:noProof/>
          <w:lang w:val="en-GB"/>
        </w:rPr>
      </w:pPr>
      <w:r w:rsidRPr="6FE283EC">
        <w:rPr>
          <w:rFonts w:cs="Times New Roman"/>
          <w:noProof/>
          <w:lang w:val="en-GB"/>
        </w:rPr>
        <w:t>T</w:t>
      </w:r>
      <w:r w:rsidR="00345086" w:rsidRPr="6FE283EC">
        <w:rPr>
          <w:rFonts w:cs="Times New Roman"/>
          <w:noProof/>
          <w:lang w:val="en-GB"/>
        </w:rPr>
        <w:t xml:space="preserve">he possibility to grant </w:t>
      </w:r>
      <w:r w:rsidR="00345086" w:rsidRPr="6FE283EC">
        <w:rPr>
          <w:rFonts w:cs="Times New Roman"/>
          <w:b/>
          <w:noProof/>
          <w:lang w:val="en-GB"/>
        </w:rPr>
        <w:t>temporary derogations</w:t>
      </w:r>
      <w:r w:rsidR="4F671F4F" w:rsidRPr="6FE283EC">
        <w:rPr>
          <w:rFonts w:cs="Times New Roman"/>
          <w:noProof/>
          <w:lang w:val="en-GB"/>
        </w:rPr>
        <w:t xml:space="preserve"> </w:t>
      </w:r>
      <w:r w:rsidR="719E21C2" w:rsidRPr="6FE283EC">
        <w:rPr>
          <w:rFonts w:cs="Times New Roman"/>
          <w:noProof/>
          <w:lang w:val="en-GB"/>
        </w:rPr>
        <w:t>(</w:t>
      </w:r>
      <w:r w:rsidR="00AC0E31" w:rsidRPr="6FE283EC">
        <w:rPr>
          <w:rFonts w:cs="Times New Roman"/>
          <w:noProof/>
          <w:lang w:val="en-GB"/>
        </w:rPr>
        <w:t>measure B.1 in</w:t>
      </w:r>
      <w:r w:rsidR="719E21C2" w:rsidRPr="6FE283EC">
        <w:rPr>
          <w:rFonts w:cs="Times New Roman"/>
          <w:noProof/>
          <w:lang w:val="en-GB"/>
        </w:rPr>
        <w:t xml:space="preserve"> Annex 1)</w:t>
      </w:r>
      <w:r w:rsidR="00345086" w:rsidRPr="6FE283EC">
        <w:rPr>
          <w:rFonts w:cs="Times New Roman"/>
          <w:noProof/>
          <w:lang w:val="en-GB"/>
        </w:rPr>
        <w:t xml:space="preserve"> will </w:t>
      </w:r>
      <w:r w:rsidR="00E55815" w:rsidRPr="6FE283EC">
        <w:rPr>
          <w:rFonts w:cs="Times New Roman"/>
          <w:noProof/>
          <w:lang w:val="en-GB"/>
        </w:rPr>
        <w:t xml:space="preserve">enable </w:t>
      </w:r>
      <w:r w:rsidR="00345086" w:rsidRPr="6FE283EC">
        <w:rPr>
          <w:rFonts w:cs="Times New Roman"/>
          <w:noProof/>
          <w:lang w:val="en-GB"/>
        </w:rPr>
        <w:t xml:space="preserve">Member States to </w:t>
      </w:r>
      <w:r w:rsidR="00882BBA" w:rsidRPr="6FE283EC">
        <w:rPr>
          <w:rFonts w:cs="Times New Roman"/>
          <w:noProof/>
          <w:lang w:val="en-GB"/>
        </w:rPr>
        <w:t xml:space="preserve">address </w:t>
      </w:r>
      <w:r w:rsidR="00C76DED" w:rsidRPr="6FE283EC">
        <w:rPr>
          <w:rFonts w:cs="Times New Roman"/>
          <w:noProof/>
          <w:lang w:val="en-GB"/>
        </w:rPr>
        <w:t xml:space="preserve">the </w:t>
      </w:r>
      <w:r w:rsidR="00345086" w:rsidRPr="6FE283EC">
        <w:rPr>
          <w:rFonts w:cs="Times New Roman"/>
          <w:noProof/>
          <w:lang w:val="en-GB"/>
        </w:rPr>
        <w:t>consequences of increasingly unpredictable weather events, such as the drought episodes and rainfalls of autumn 2023. As this concerns situation</w:t>
      </w:r>
      <w:r w:rsidR="00882BBA" w:rsidRPr="6FE283EC">
        <w:rPr>
          <w:rFonts w:cs="Times New Roman"/>
          <w:noProof/>
          <w:lang w:val="en-GB"/>
        </w:rPr>
        <w:t>s</w:t>
      </w:r>
      <w:r w:rsidR="00345086" w:rsidRPr="6FE283EC">
        <w:rPr>
          <w:rFonts w:cs="Times New Roman"/>
          <w:noProof/>
          <w:lang w:val="en-GB"/>
        </w:rPr>
        <w:t xml:space="preserve"> where farmers are prevented f</w:t>
      </w:r>
      <w:r w:rsidR="00B80DCF" w:rsidRPr="6FE283EC">
        <w:rPr>
          <w:rFonts w:cs="Times New Roman"/>
          <w:noProof/>
          <w:lang w:val="en-GB"/>
        </w:rPr>
        <w:t>r</w:t>
      </w:r>
      <w:r w:rsidR="00345086" w:rsidRPr="6FE283EC">
        <w:rPr>
          <w:rFonts w:cs="Times New Roman"/>
          <w:noProof/>
          <w:lang w:val="en-GB"/>
        </w:rPr>
        <w:t xml:space="preserve">om respecting </w:t>
      </w:r>
      <w:r w:rsidR="00263E18" w:rsidRPr="6FE283EC">
        <w:rPr>
          <w:rFonts w:cs="Times New Roman"/>
          <w:noProof/>
          <w:lang w:val="en-GB"/>
        </w:rPr>
        <w:t xml:space="preserve">GAEC </w:t>
      </w:r>
      <w:r w:rsidR="00345086" w:rsidRPr="6FE283EC">
        <w:rPr>
          <w:rFonts w:cs="Times New Roman"/>
          <w:noProof/>
          <w:lang w:val="en-GB"/>
        </w:rPr>
        <w:t xml:space="preserve">requirements, such temporary derogations should have </w:t>
      </w:r>
      <w:r w:rsidR="00263E18" w:rsidRPr="6FE283EC">
        <w:rPr>
          <w:rFonts w:cs="Times New Roman"/>
          <w:noProof/>
          <w:lang w:val="en-GB"/>
        </w:rPr>
        <w:t xml:space="preserve">a </w:t>
      </w:r>
      <w:r w:rsidR="00345086" w:rsidRPr="6FE283EC">
        <w:rPr>
          <w:rFonts w:cs="Times New Roman"/>
          <w:b/>
          <w:noProof/>
          <w:lang w:val="en-GB"/>
        </w:rPr>
        <w:t xml:space="preserve">neutral effect on </w:t>
      </w:r>
      <w:r w:rsidR="00C76DED" w:rsidRPr="6FE283EC">
        <w:rPr>
          <w:rFonts w:cs="Times New Roman"/>
          <w:b/>
          <w:noProof/>
          <w:lang w:val="en-GB"/>
        </w:rPr>
        <w:t xml:space="preserve">the </w:t>
      </w:r>
      <w:r w:rsidR="00345086" w:rsidRPr="6FE283EC">
        <w:rPr>
          <w:rFonts w:cs="Times New Roman"/>
          <w:b/>
          <w:noProof/>
          <w:lang w:val="en-GB"/>
        </w:rPr>
        <w:t>environment</w:t>
      </w:r>
      <w:r w:rsidR="00263E18" w:rsidRPr="6FE283EC">
        <w:rPr>
          <w:rFonts w:cs="Times New Roman"/>
          <w:b/>
          <w:noProof/>
          <w:lang w:val="en-GB"/>
        </w:rPr>
        <w:t xml:space="preserve">. </w:t>
      </w:r>
      <w:r w:rsidR="00263E18" w:rsidRPr="6FE283EC">
        <w:rPr>
          <w:rFonts w:cs="Times New Roman"/>
          <w:noProof/>
          <w:lang w:val="en-GB"/>
        </w:rPr>
        <w:t>I</w:t>
      </w:r>
      <w:r w:rsidR="006328A7" w:rsidRPr="6FE283EC">
        <w:rPr>
          <w:rFonts w:cs="Times New Roman"/>
          <w:noProof/>
          <w:lang w:val="en-GB"/>
        </w:rPr>
        <w:t xml:space="preserve">n some </w:t>
      </w:r>
      <w:r w:rsidR="00613F13" w:rsidRPr="6FE283EC">
        <w:rPr>
          <w:rFonts w:cs="Times New Roman"/>
          <w:noProof/>
          <w:lang w:val="en-GB"/>
        </w:rPr>
        <w:t>cases,</w:t>
      </w:r>
      <w:r w:rsidR="00345086" w:rsidRPr="6FE283EC">
        <w:rPr>
          <w:rFonts w:cs="Times New Roman"/>
          <w:noProof/>
          <w:lang w:val="en-GB"/>
        </w:rPr>
        <w:t xml:space="preserve"> </w:t>
      </w:r>
      <w:r w:rsidR="00263E18" w:rsidRPr="6FE283EC">
        <w:rPr>
          <w:rFonts w:cs="Times New Roman"/>
          <w:noProof/>
          <w:lang w:val="en-GB"/>
        </w:rPr>
        <w:t xml:space="preserve">the derogations should also </w:t>
      </w:r>
      <w:r w:rsidR="00345086" w:rsidRPr="6FE283EC">
        <w:rPr>
          <w:rFonts w:cs="Times New Roman"/>
          <w:noProof/>
          <w:lang w:val="en-GB"/>
        </w:rPr>
        <w:t xml:space="preserve">serve the purpose of </w:t>
      </w:r>
      <w:r w:rsidR="00345086" w:rsidRPr="6FE283EC">
        <w:rPr>
          <w:rFonts w:cs="Times New Roman"/>
          <w:b/>
          <w:noProof/>
          <w:lang w:val="en-GB"/>
        </w:rPr>
        <w:t xml:space="preserve">avoiding counterproductive </w:t>
      </w:r>
      <w:r w:rsidR="00B97319" w:rsidRPr="6FE283EC">
        <w:rPr>
          <w:rFonts w:cs="Times New Roman"/>
          <w:b/>
          <w:noProof/>
          <w:lang w:val="en-GB"/>
        </w:rPr>
        <w:t>consequences</w:t>
      </w:r>
      <w:r w:rsidR="00882BBA" w:rsidRPr="6FE283EC">
        <w:rPr>
          <w:rFonts w:cs="Times New Roman"/>
          <w:noProof/>
          <w:lang w:val="en-GB"/>
        </w:rPr>
        <w:t xml:space="preserve"> </w:t>
      </w:r>
      <w:r w:rsidR="00DE7625" w:rsidRPr="6FE283EC">
        <w:rPr>
          <w:rFonts w:cs="Times New Roman"/>
          <w:noProof/>
          <w:lang w:val="en-GB"/>
        </w:rPr>
        <w:t>for</w:t>
      </w:r>
      <w:r w:rsidR="00345086" w:rsidRPr="6FE283EC">
        <w:rPr>
          <w:rFonts w:cs="Times New Roman"/>
          <w:noProof/>
          <w:lang w:val="en-GB"/>
        </w:rPr>
        <w:t xml:space="preserve"> farmers aiming to </w:t>
      </w:r>
      <w:r w:rsidR="6164E6BA" w:rsidRPr="6FE283EC">
        <w:rPr>
          <w:rFonts w:cs="Times New Roman"/>
          <w:noProof/>
          <w:lang w:val="en-GB"/>
        </w:rPr>
        <w:t xml:space="preserve">satisfy </w:t>
      </w:r>
      <w:r w:rsidR="00B97319" w:rsidRPr="6FE283EC">
        <w:rPr>
          <w:rFonts w:cs="Times New Roman"/>
          <w:noProof/>
          <w:lang w:val="en-GB"/>
        </w:rPr>
        <w:t>GAEC</w:t>
      </w:r>
      <w:r w:rsidR="00345086" w:rsidRPr="6FE283EC">
        <w:rPr>
          <w:rFonts w:cs="Times New Roman"/>
          <w:noProof/>
          <w:lang w:val="en-GB"/>
        </w:rPr>
        <w:t xml:space="preserve"> requirements against what is agronomically </w:t>
      </w:r>
      <w:r w:rsidR="006E513E" w:rsidRPr="6FE283EC">
        <w:rPr>
          <w:rFonts w:cs="Times New Roman"/>
          <w:noProof/>
          <w:lang w:val="en-GB"/>
        </w:rPr>
        <w:t>practicable</w:t>
      </w:r>
      <w:r w:rsidR="00345086" w:rsidRPr="6FE283EC">
        <w:rPr>
          <w:rFonts w:cs="Times New Roman"/>
          <w:noProof/>
          <w:lang w:val="en-GB"/>
        </w:rPr>
        <w:t xml:space="preserve">. </w:t>
      </w:r>
    </w:p>
    <w:p w14:paraId="7ED40FC4" w14:textId="21844C3C" w:rsidR="00E6391A" w:rsidRPr="00724676" w:rsidRDefault="39885860" w:rsidP="02BE03D9">
      <w:pPr>
        <w:spacing w:after="120"/>
        <w:jc w:val="both"/>
        <w:rPr>
          <w:rFonts w:cs="Times New Roman"/>
          <w:b/>
          <w:bCs/>
          <w:noProof/>
          <w:lang w:val="en-GB"/>
        </w:rPr>
      </w:pPr>
      <w:r w:rsidRPr="00276A2E">
        <w:rPr>
          <w:rFonts w:cs="Times New Roman"/>
          <w:noProof/>
          <w:lang w:val="en-GB"/>
        </w:rPr>
        <w:t xml:space="preserve">It follows that, </w:t>
      </w:r>
      <w:r w:rsidRPr="00276A2E">
        <w:rPr>
          <w:rFonts w:cs="Times New Roman"/>
          <w:b/>
          <w:noProof/>
          <w:lang w:val="en-GB"/>
        </w:rPr>
        <w:t>o</w:t>
      </w:r>
      <w:r w:rsidR="3DECAF4C" w:rsidRPr="00276A2E">
        <w:rPr>
          <w:rFonts w:cs="Times New Roman"/>
          <w:b/>
          <w:noProof/>
          <w:lang w:val="en-GB"/>
        </w:rPr>
        <w:t xml:space="preserve">verall, </w:t>
      </w:r>
      <w:r w:rsidR="3DECAF4C" w:rsidRPr="003E7CF4">
        <w:rPr>
          <w:rFonts w:cs="Times New Roman"/>
          <w:noProof/>
          <w:lang w:val="en-GB"/>
        </w:rPr>
        <w:t xml:space="preserve">these amendments to the </w:t>
      </w:r>
      <w:r w:rsidR="0F8BF263" w:rsidRPr="003E7CF4">
        <w:rPr>
          <w:rFonts w:cs="Times New Roman"/>
          <w:noProof/>
          <w:lang w:val="en-GB"/>
        </w:rPr>
        <w:t xml:space="preserve">CAP </w:t>
      </w:r>
      <w:r w:rsidR="3DECAF4C" w:rsidRPr="003E7CF4">
        <w:rPr>
          <w:rFonts w:cs="Times New Roman"/>
          <w:noProof/>
          <w:lang w:val="en-GB"/>
        </w:rPr>
        <w:t>framework</w:t>
      </w:r>
      <w:r w:rsidR="3DECAF4C" w:rsidRPr="00276A2E">
        <w:rPr>
          <w:rFonts w:cs="Times New Roman"/>
          <w:b/>
          <w:noProof/>
          <w:lang w:val="en-GB"/>
        </w:rPr>
        <w:t xml:space="preserve"> (</w:t>
      </w:r>
      <w:r w:rsidR="1328BA19" w:rsidRPr="00276A2E">
        <w:rPr>
          <w:rFonts w:cs="Times New Roman"/>
          <w:b/>
          <w:noProof/>
          <w:lang w:val="en-GB"/>
        </w:rPr>
        <w:t>targeted exemptions</w:t>
      </w:r>
      <w:r w:rsidR="3DECAF4C" w:rsidRPr="00276A2E">
        <w:rPr>
          <w:rFonts w:cs="Times New Roman"/>
          <w:b/>
          <w:noProof/>
          <w:lang w:val="en-GB"/>
        </w:rPr>
        <w:t xml:space="preserve"> and temporary derogations) </w:t>
      </w:r>
      <w:r w:rsidR="3DECAF4C" w:rsidRPr="003E7CF4">
        <w:rPr>
          <w:rFonts w:cs="Times New Roman"/>
          <w:noProof/>
          <w:lang w:val="en-GB"/>
        </w:rPr>
        <w:t>are expected to have</w:t>
      </w:r>
      <w:r w:rsidR="3DECAF4C" w:rsidRPr="00276A2E">
        <w:rPr>
          <w:rFonts w:cs="Times New Roman"/>
          <w:b/>
          <w:noProof/>
          <w:lang w:val="en-GB"/>
        </w:rPr>
        <w:t xml:space="preserve"> a limited environmental impact</w:t>
      </w:r>
      <w:r w:rsidR="0F8BF263" w:rsidRPr="00276A2E">
        <w:rPr>
          <w:rFonts w:cs="Times New Roman"/>
          <w:b/>
          <w:noProof/>
          <w:lang w:val="en-GB"/>
        </w:rPr>
        <w:t>,</w:t>
      </w:r>
      <w:r w:rsidR="08A71BB0" w:rsidRPr="00276A2E">
        <w:rPr>
          <w:rFonts w:cs="Times New Roman"/>
          <w:b/>
          <w:noProof/>
          <w:lang w:val="en-GB"/>
        </w:rPr>
        <w:t xml:space="preserve"> </w:t>
      </w:r>
      <w:r w:rsidR="000EF068" w:rsidRPr="00276A2E">
        <w:rPr>
          <w:rFonts w:cs="Times New Roman"/>
          <w:b/>
          <w:noProof/>
          <w:lang w:val="en-GB"/>
        </w:rPr>
        <w:t>if applied properly</w:t>
      </w:r>
      <w:r w:rsidR="2FEB2501" w:rsidRPr="00276A2E">
        <w:rPr>
          <w:rFonts w:cs="Times New Roman"/>
          <w:b/>
          <w:noProof/>
          <w:lang w:val="en-GB"/>
        </w:rPr>
        <w:t xml:space="preserve">, </w:t>
      </w:r>
      <w:r w:rsidR="2FCF8A65" w:rsidRPr="003E7CF4">
        <w:rPr>
          <w:rFonts w:cs="Times New Roman"/>
          <w:noProof/>
          <w:lang w:val="en-GB"/>
        </w:rPr>
        <w:t xml:space="preserve">since they are </w:t>
      </w:r>
      <w:r w:rsidR="08A71BB0" w:rsidRPr="003E7CF4">
        <w:rPr>
          <w:rFonts w:cs="Times New Roman"/>
          <w:noProof/>
          <w:lang w:val="en-GB"/>
        </w:rPr>
        <w:t xml:space="preserve">tools to address </w:t>
      </w:r>
      <w:r w:rsidR="5B1A1031" w:rsidRPr="003E7CF4">
        <w:rPr>
          <w:rFonts w:cs="Times New Roman"/>
          <w:noProof/>
          <w:lang w:val="en-GB"/>
        </w:rPr>
        <w:t>specific</w:t>
      </w:r>
      <w:r w:rsidR="08A71BB0" w:rsidRPr="003E7CF4">
        <w:rPr>
          <w:rFonts w:cs="Times New Roman"/>
          <w:noProof/>
          <w:lang w:val="en-GB"/>
        </w:rPr>
        <w:t xml:space="preserve"> situations </w:t>
      </w:r>
      <w:r w:rsidR="0F8BF263" w:rsidRPr="003E7CF4">
        <w:rPr>
          <w:rFonts w:cs="Times New Roman"/>
          <w:noProof/>
          <w:lang w:val="en-GB"/>
        </w:rPr>
        <w:t xml:space="preserve">and </w:t>
      </w:r>
      <w:r w:rsidR="08A71BB0" w:rsidRPr="003E7CF4">
        <w:rPr>
          <w:rFonts w:cs="Times New Roman"/>
          <w:noProof/>
          <w:lang w:val="en-GB"/>
        </w:rPr>
        <w:t>problems</w:t>
      </w:r>
      <w:r w:rsidR="6D8C524B" w:rsidRPr="003E7CF4">
        <w:rPr>
          <w:rFonts w:cs="Times New Roman"/>
          <w:noProof/>
          <w:lang w:val="en-GB"/>
        </w:rPr>
        <w:t xml:space="preserve"> </w:t>
      </w:r>
      <w:r w:rsidR="4E8C5EC2" w:rsidRPr="003E7CF4">
        <w:rPr>
          <w:rFonts w:cs="Times New Roman"/>
          <w:noProof/>
          <w:lang w:val="en-GB"/>
        </w:rPr>
        <w:t>without</w:t>
      </w:r>
      <w:r w:rsidR="0F8BF263" w:rsidRPr="003E7CF4">
        <w:rPr>
          <w:rFonts w:cs="Times New Roman"/>
          <w:noProof/>
          <w:lang w:val="en-GB"/>
        </w:rPr>
        <w:t xml:space="preserve"> substantially</w:t>
      </w:r>
      <w:r w:rsidR="4E8C5EC2" w:rsidRPr="003E7CF4">
        <w:rPr>
          <w:rFonts w:cs="Times New Roman"/>
          <w:noProof/>
          <w:lang w:val="en-GB"/>
        </w:rPr>
        <w:t xml:space="preserve"> changing</w:t>
      </w:r>
      <w:r w:rsidR="08A71BB0" w:rsidRPr="003E7CF4">
        <w:rPr>
          <w:rFonts w:cs="Times New Roman"/>
          <w:noProof/>
          <w:lang w:val="en-GB"/>
        </w:rPr>
        <w:t xml:space="preserve"> basic practices</w:t>
      </w:r>
      <w:r w:rsidR="66FE0FF5" w:rsidRPr="003E7CF4">
        <w:rPr>
          <w:rFonts w:cs="Times New Roman"/>
          <w:noProof/>
          <w:lang w:val="en-GB"/>
        </w:rPr>
        <w:t>.</w:t>
      </w:r>
      <w:r w:rsidR="08A71BB0" w:rsidRPr="003E7CF4">
        <w:rPr>
          <w:rFonts w:cs="Times New Roman"/>
          <w:noProof/>
          <w:lang w:val="en-GB"/>
        </w:rPr>
        <w:t xml:space="preserve"> </w:t>
      </w:r>
    </w:p>
    <w:p w14:paraId="286DC06D" w14:textId="6B6D5D01" w:rsidR="00E6391A" w:rsidRPr="00724676" w:rsidRDefault="00E6391A" w:rsidP="0021019C">
      <w:pPr>
        <w:spacing w:after="120"/>
        <w:jc w:val="both"/>
        <w:rPr>
          <w:rFonts w:cs="Times New Roman"/>
          <w:noProof/>
          <w:szCs w:val="24"/>
          <w:lang w:val="en-GB"/>
        </w:rPr>
      </w:pPr>
      <w:r w:rsidRPr="00724676">
        <w:rPr>
          <w:rFonts w:cs="Times New Roman"/>
          <w:noProof/>
          <w:szCs w:val="24"/>
          <w:lang w:val="en-GB"/>
        </w:rPr>
        <w:t xml:space="preserve">As regards </w:t>
      </w:r>
      <w:r w:rsidRPr="00724676">
        <w:rPr>
          <w:rFonts w:cs="Times New Roman"/>
          <w:b/>
          <w:bCs/>
          <w:noProof/>
          <w:szCs w:val="24"/>
          <w:lang w:val="en-GB"/>
        </w:rPr>
        <w:t>GAEC 6</w:t>
      </w:r>
      <w:r w:rsidR="00E30940" w:rsidRPr="00724676">
        <w:rPr>
          <w:rFonts w:cs="Times New Roman"/>
          <w:b/>
          <w:bCs/>
          <w:noProof/>
          <w:szCs w:val="24"/>
          <w:lang w:val="en-GB"/>
        </w:rPr>
        <w:t xml:space="preserve"> (</w:t>
      </w:r>
      <w:r w:rsidR="00DF74EE" w:rsidRPr="00724676">
        <w:rPr>
          <w:rFonts w:cs="Times New Roman"/>
          <w:b/>
          <w:bCs/>
          <w:noProof/>
          <w:szCs w:val="24"/>
          <w:lang w:val="en-GB"/>
        </w:rPr>
        <w:t xml:space="preserve">minimum </w:t>
      </w:r>
      <w:r w:rsidR="00E30940" w:rsidRPr="00724676">
        <w:rPr>
          <w:rFonts w:cs="Times New Roman"/>
          <w:b/>
          <w:bCs/>
          <w:noProof/>
          <w:szCs w:val="24"/>
          <w:lang w:val="en-GB"/>
        </w:rPr>
        <w:t>soil cover</w:t>
      </w:r>
      <w:r w:rsidR="1989D54D" w:rsidRPr="00724676">
        <w:rPr>
          <w:rFonts w:cs="Times New Roman"/>
          <w:noProof/>
          <w:szCs w:val="24"/>
          <w:lang w:val="en-GB"/>
        </w:rPr>
        <w:t>, measure B</w:t>
      </w:r>
      <w:r w:rsidR="00A422AD" w:rsidRPr="00724676">
        <w:rPr>
          <w:rFonts w:cs="Times New Roman"/>
          <w:noProof/>
          <w:szCs w:val="24"/>
          <w:lang w:val="en-GB"/>
        </w:rPr>
        <w:t>.</w:t>
      </w:r>
      <w:r w:rsidR="1989D54D" w:rsidRPr="00724676">
        <w:rPr>
          <w:rFonts w:cs="Times New Roman"/>
          <w:noProof/>
          <w:szCs w:val="24"/>
          <w:lang w:val="en-GB"/>
        </w:rPr>
        <w:t>1 in Annex 1</w:t>
      </w:r>
      <w:r w:rsidR="029A4A67" w:rsidRPr="00724676">
        <w:rPr>
          <w:rFonts w:cs="Times New Roman"/>
          <w:b/>
          <w:bCs/>
          <w:noProof/>
          <w:szCs w:val="24"/>
          <w:lang w:val="en-GB"/>
        </w:rPr>
        <w:t>)</w:t>
      </w:r>
      <w:r w:rsidR="39E67AD5" w:rsidRPr="00724676">
        <w:rPr>
          <w:rFonts w:cs="Times New Roman"/>
          <w:b/>
          <w:bCs/>
          <w:noProof/>
          <w:szCs w:val="24"/>
          <w:lang w:val="en-GB"/>
        </w:rPr>
        <w:t>,</w:t>
      </w:r>
      <w:r w:rsidRPr="00724676">
        <w:rPr>
          <w:rFonts w:cs="Times New Roman"/>
          <w:noProof/>
          <w:szCs w:val="24"/>
          <w:lang w:val="en-GB"/>
        </w:rPr>
        <w:t xml:space="preserve"> </w:t>
      </w:r>
      <w:r w:rsidR="004B2C96" w:rsidRPr="00724676">
        <w:rPr>
          <w:rFonts w:cs="Times New Roman"/>
          <w:noProof/>
          <w:szCs w:val="24"/>
          <w:lang w:val="en-GB"/>
        </w:rPr>
        <w:t>w</w:t>
      </w:r>
      <w:r w:rsidR="003328FC" w:rsidRPr="00724676">
        <w:rPr>
          <w:rFonts w:cs="Times New Roman"/>
          <w:noProof/>
          <w:szCs w:val="24"/>
          <w:lang w:val="en-GB"/>
        </w:rPr>
        <w:t xml:space="preserve">hile </w:t>
      </w:r>
      <w:r w:rsidR="00040BA4" w:rsidRPr="00724676">
        <w:rPr>
          <w:rFonts w:cs="Times New Roman"/>
          <w:noProof/>
          <w:szCs w:val="24"/>
          <w:lang w:val="en-GB"/>
        </w:rPr>
        <w:t>in many cases the main objective of this GAEC</w:t>
      </w:r>
      <w:r w:rsidR="00913DB8" w:rsidRPr="00724676">
        <w:rPr>
          <w:rFonts w:cs="Times New Roman"/>
          <w:noProof/>
          <w:szCs w:val="24"/>
          <w:lang w:val="en-GB"/>
        </w:rPr>
        <w:t xml:space="preserve"> (</w:t>
      </w:r>
      <w:r w:rsidR="00530523" w:rsidRPr="00724676">
        <w:rPr>
          <w:rFonts w:cs="Times New Roman"/>
          <w:noProof/>
          <w:szCs w:val="24"/>
          <w:lang w:val="en-GB"/>
        </w:rPr>
        <w:t xml:space="preserve">the protection of </w:t>
      </w:r>
      <w:r w:rsidR="00913DB8" w:rsidRPr="00724676">
        <w:rPr>
          <w:rFonts w:cs="Times New Roman"/>
          <w:noProof/>
          <w:szCs w:val="24"/>
          <w:lang w:val="en-GB"/>
        </w:rPr>
        <w:t>soil</w:t>
      </w:r>
      <w:r w:rsidR="00530523" w:rsidRPr="00724676">
        <w:rPr>
          <w:rFonts w:cs="Times New Roman"/>
          <w:noProof/>
          <w:szCs w:val="24"/>
          <w:lang w:val="en-GB"/>
        </w:rPr>
        <w:t xml:space="preserve"> against</w:t>
      </w:r>
      <w:r w:rsidR="00913DB8" w:rsidRPr="00724676">
        <w:rPr>
          <w:rFonts w:cs="Times New Roman"/>
          <w:noProof/>
          <w:szCs w:val="24"/>
          <w:lang w:val="en-GB"/>
        </w:rPr>
        <w:t xml:space="preserve"> erosion)</w:t>
      </w:r>
      <w:r w:rsidR="00040BA4" w:rsidRPr="00724676">
        <w:rPr>
          <w:rFonts w:cs="Times New Roman"/>
          <w:noProof/>
          <w:szCs w:val="24"/>
          <w:lang w:val="en-GB"/>
        </w:rPr>
        <w:t xml:space="preserve"> is further supported by voluntary commitments relating to e.g. green cover, catch crops and enhanced crop rotation or diversification, the overall impact will depend on </w:t>
      </w:r>
      <w:r w:rsidR="00AE5A22">
        <w:rPr>
          <w:rFonts w:cs="Times New Roman"/>
          <w:noProof/>
          <w:szCs w:val="24"/>
          <w:lang w:val="en-GB"/>
        </w:rPr>
        <w:t xml:space="preserve">the </w:t>
      </w:r>
      <w:r w:rsidR="00D851E1" w:rsidRPr="00724676">
        <w:rPr>
          <w:rFonts w:cs="Times New Roman"/>
          <w:noProof/>
          <w:szCs w:val="24"/>
          <w:lang w:val="en-GB"/>
        </w:rPr>
        <w:t>scope and uptake</w:t>
      </w:r>
      <w:r w:rsidR="00AE5A22">
        <w:rPr>
          <w:rFonts w:cs="Times New Roman"/>
          <w:noProof/>
          <w:szCs w:val="24"/>
          <w:lang w:val="en-GB"/>
        </w:rPr>
        <w:t xml:space="preserve"> of these commitments</w:t>
      </w:r>
      <w:r w:rsidR="00D851E1" w:rsidRPr="00724676">
        <w:rPr>
          <w:rFonts w:cs="Times New Roman"/>
          <w:noProof/>
          <w:szCs w:val="24"/>
          <w:lang w:val="en-GB"/>
        </w:rPr>
        <w:t xml:space="preserve">. </w:t>
      </w:r>
    </w:p>
    <w:p w14:paraId="59A665BA" w14:textId="56D6E1A2" w:rsidR="00341C71" w:rsidRPr="00724676" w:rsidRDefault="003762F2" w:rsidP="0021019C">
      <w:pPr>
        <w:spacing w:after="120"/>
        <w:jc w:val="both"/>
        <w:rPr>
          <w:rFonts w:cs="Times New Roman"/>
          <w:noProof/>
          <w:szCs w:val="24"/>
          <w:lang w:val="en-GB"/>
        </w:rPr>
      </w:pPr>
      <w:r w:rsidRPr="00724676">
        <w:rPr>
          <w:rFonts w:cs="Times New Roman"/>
          <w:b/>
          <w:noProof/>
          <w:szCs w:val="24"/>
          <w:lang w:val="en-GB"/>
        </w:rPr>
        <w:t>C</w:t>
      </w:r>
      <w:r w:rsidR="006A00A5" w:rsidRPr="00724676">
        <w:rPr>
          <w:rFonts w:cs="Times New Roman"/>
          <w:b/>
          <w:noProof/>
          <w:szCs w:val="24"/>
          <w:lang w:val="en-GB"/>
        </w:rPr>
        <w:t>rop diversification</w:t>
      </w:r>
      <w:r w:rsidR="006A00A5" w:rsidRPr="00724676">
        <w:rPr>
          <w:rFonts w:cs="Times New Roman"/>
          <w:bCs/>
          <w:noProof/>
          <w:szCs w:val="24"/>
          <w:lang w:val="en-GB"/>
        </w:rPr>
        <w:t>,</w:t>
      </w:r>
      <w:r w:rsidR="006A00A5" w:rsidRPr="00724676">
        <w:rPr>
          <w:rFonts w:cs="Times New Roman"/>
          <w:noProof/>
          <w:szCs w:val="24"/>
          <w:lang w:val="en-GB"/>
        </w:rPr>
        <w:t xml:space="preserve"> as an alte</w:t>
      </w:r>
      <w:r w:rsidR="006A00A5" w:rsidRPr="002874FC">
        <w:rPr>
          <w:rFonts w:cs="Times New Roman"/>
          <w:noProof/>
          <w:szCs w:val="24"/>
          <w:lang w:val="en-GB"/>
        </w:rPr>
        <w:t xml:space="preserve">rnative to crop rotation under </w:t>
      </w:r>
      <w:r w:rsidR="006A00A5" w:rsidRPr="002874FC">
        <w:rPr>
          <w:rFonts w:cs="Times New Roman"/>
          <w:b/>
          <w:bCs/>
          <w:noProof/>
          <w:szCs w:val="24"/>
          <w:lang w:val="en-GB"/>
        </w:rPr>
        <w:t>GAEC 7</w:t>
      </w:r>
      <w:r w:rsidR="6E86CCA5" w:rsidRPr="002874FC">
        <w:rPr>
          <w:rFonts w:cs="Times New Roman"/>
          <w:noProof/>
          <w:szCs w:val="24"/>
          <w:lang w:val="en-GB"/>
        </w:rPr>
        <w:t xml:space="preserve"> (measure B.1 in Annex</w:t>
      </w:r>
      <w:r w:rsidR="00613F13" w:rsidRPr="002874FC">
        <w:rPr>
          <w:rFonts w:cs="Times New Roman"/>
          <w:noProof/>
          <w:szCs w:val="24"/>
          <w:lang w:val="en-GB"/>
        </w:rPr>
        <w:t> </w:t>
      </w:r>
      <w:r w:rsidR="6E86CCA5" w:rsidRPr="002874FC">
        <w:rPr>
          <w:rFonts w:cs="Times New Roman"/>
          <w:noProof/>
          <w:szCs w:val="24"/>
          <w:lang w:val="en-GB"/>
        </w:rPr>
        <w:t xml:space="preserve">1) </w:t>
      </w:r>
      <w:r w:rsidR="006A00A5" w:rsidRPr="002874FC">
        <w:rPr>
          <w:rFonts w:cs="Times New Roman"/>
          <w:noProof/>
          <w:szCs w:val="24"/>
          <w:lang w:val="en-GB"/>
        </w:rPr>
        <w:t xml:space="preserve">provides </w:t>
      </w:r>
      <w:r w:rsidR="001253F1" w:rsidRPr="002874FC">
        <w:rPr>
          <w:rFonts w:cs="Times New Roman"/>
          <w:noProof/>
          <w:szCs w:val="24"/>
          <w:lang w:val="en-GB"/>
        </w:rPr>
        <w:t>farmers with an extra</w:t>
      </w:r>
      <w:r w:rsidR="006A00A5" w:rsidRPr="002874FC">
        <w:rPr>
          <w:rFonts w:cs="Times New Roman"/>
          <w:noProof/>
          <w:szCs w:val="24"/>
          <w:lang w:val="en-GB"/>
        </w:rPr>
        <w:t xml:space="preserve"> </w:t>
      </w:r>
      <w:r w:rsidR="00F44D7A" w:rsidRPr="002874FC">
        <w:rPr>
          <w:rFonts w:cs="Times New Roman"/>
          <w:noProof/>
          <w:szCs w:val="24"/>
          <w:lang w:val="en-GB"/>
        </w:rPr>
        <w:t>choice but</w:t>
      </w:r>
      <w:r w:rsidR="006A00A5" w:rsidRPr="002874FC">
        <w:rPr>
          <w:rFonts w:cs="Times New Roman"/>
          <w:noProof/>
          <w:szCs w:val="24"/>
          <w:lang w:val="en-GB"/>
        </w:rPr>
        <w:t xml:space="preserve"> </w:t>
      </w:r>
      <w:r w:rsidR="006A00A5" w:rsidRPr="002874FC">
        <w:rPr>
          <w:rFonts w:cs="Times New Roman"/>
          <w:b/>
          <w:bCs/>
          <w:noProof/>
          <w:szCs w:val="24"/>
          <w:lang w:val="en-GB"/>
        </w:rPr>
        <w:t xml:space="preserve">maintains </w:t>
      </w:r>
      <w:r w:rsidR="00613F13" w:rsidRPr="003E7CF4">
        <w:rPr>
          <w:rFonts w:cs="Times New Roman"/>
          <w:b/>
          <w:bCs/>
          <w:noProof/>
          <w:szCs w:val="24"/>
          <w:lang w:val="en-GB"/>
        </w:rPr>
        <w:t>its role</w:t>
      </w:r>
      <w:r w:rsidR="006A00A5" w:rsidRPr="002874FC">
        <w:rPr>
          <w:rFonts w:cs="Times New Roman"/>
          <w:b/>
          <w:bCs/>
          <w:noProof/>
          <w:szCs w:val="24"/>
          <w:lang w:val="en-GB"/>
        </w:rPr>
        <w:t xml:space="preserve"> </w:t>
      </w:r>
      <w:r w:rsidR="00613F13" w:rsidRPr="003E7CF4">
        <w:rPr>
          <w:rFonts w:cs="Times New Roman"/>
          <w:b/>
          <w:bCs/>
          <w:noProof/>
          <w:szCs w:val="24"/>
          <w:lang w:val="en-GB"/>
        </w:rPr>
        <w:t xml:space="preserve">in helping </w:t>
      </w:r>
      <w:r w:rsidR="00613F13">
        <w:rPr>
          <w:rFonts w:cs="Times New Roman"/>
          <w:b/>
          <w:bCs/>
          <w:noProof/>
          <w:szCs w:val="24"/>
          <w:lang w:val="en-GB"/>
        </w:rPr>
        <w:t>to make farming systems more resilient</w:t>
      </w:r>
      <w:r w:rsidR="00C9304C" w:rsidRPr="002874FC">
        <w:rPr>
          <w:rFonts w:cs="Times New Roman"/>
          <w:b/>
          <w:bCs/>
          <w:noProof/>
          <w:szCs w:val="24"/>
          <w:lang w:val="en-GB"/>
        </w:rPr>
        <w:t>.</w:t>
      </w:r>
      <w:r w:rsidR="006A00A5" w:rsidRPr="002874FC">
        <w:rPr>
          <w:rFonts w:cs="Times New Roman"/>
          <w:b/>
          <w:bCs/>
          <w:noProof/>
          <w:szCs w:val="24"/>
          <w:lang w:val="en-GB"/>
        </w:rPr>
        <w:t xml:space="preserve"> </w:t>
      </w:r>
      <w:r w:rsidR="00C9304C" w:rsidRPr="002874FC">
        <w:rPr>
          <w:rFonts w:cs="Times New Roman"/>
          <w:bCs/>
          <w:noProof/>
          <w:szCs w:val="24"/>
          <w:lang w:val="en-GB"/>
        </w:rPr>
        <w:t>With crop</w:t>
      </w:r>
      <w:r w:rsidR="00C9304C" w:rsidRPr="00724676">
        <w:rPr>
          <w:rFonts w:cs="Times New Roman"/>
          <w:bCs/>
          <w:noProof/>
          <w:szCs w:val="24"/>
          <w:lang w:val="en-GB"/>
        </w:rPr>
        <w:t xml:space="preserve"> rotation, farmers change the crops grown on each parcel from one or more year(s) to another. This limits the depletion of soil nutrients and </w:t>
      </w:r>
      <w:r w:rsidR="002C444C">
        <w:rPr>
          <w:rFonts w:cs="Times New Roman"/>
          <w:bCs/>
          <w:noProof/>
          <w:szCs w:val="24"/>
          <w:lang w:val="en-GB"/>
        </w:rPr>
        <w:br/>
      </w:r>
      <w:r w:rsidR="00C9304C" w:rsidRPr="00724676">
        <w:rPr>
          <w:rFonts w:cs="Times New Roman"/>
          <w:bCs/>
          <w:noProof/>
          <w:szCs w:val="24"/>
          <w:lang w:val="en-GB"/>
        </w:rPr>
        <w:t xml:space="preserve">the spread of pathogens. Despite the requirement </w:t>
      </w:r>
      <w:r w:rsidR="00390F2F">
        <w:rPr>
          <w:rFonts w:cs="Times New Roman"/>
          <w:bCs/>
          <w:noProof/>
          <w:szCs w:val="24"/>
          <w:lang w:val="en-GB"/>
        </w:rPr>
        <w:t>to have</w:t>
      </w:r>
      <w:r w:rsidR="00C6489F" w:rsidRPr="00724676">
        <w:rPr>
          <w:rFonts w:cs="Times New Roman"/>
          <w:bCs/>
          <w:noProof/>
          <w:szCs w:val="24"/>
          <w:lang w:val="en-GB"/>
        </w:rPr>
        <w:t xml:space="preserve"> </w:t>
      </w:r>
      <w:r w:rsidR="00C9304C" w:rsidRPr="00724676">
        <w:rPr>
          <w:rFonts w:cs="Times New Roman"/>
          <w:bCs/>
          <w:noProof/>
          <w:szCs w:val="24"/>
          <w:lang w:val="en-GB"/>
        </w:rPr>
        <w:t xml:space="preserve">at least two or three </w:t>
      </w:r>
      <w:r w:rsidR="00390F2F">
        <w:rPr>
          <w:rFonts w:cs="Times New Roman"/>
          <w:bCs/>
          <w:noProof/>
          <w:szCs w:val="24"/>
          <w:lang w:val="en-GB"/>
        </w:rPr>
        <w:t xml:space="preserve">different </w:t>
      </w:r>
      <w:r w:rsidR="00C9304C" w:rsidRPr="00724676">
        <w:rPr>
          <w:rFonts w:cs="Times New Roman"/>
          <w:bCs/>
          <w:noProof/>
          <w:szCs w:val="24"/>
          <w:lang w:val="en-GB"/>
        </w:rPr>
        <w:t xml:space="preserve">crops on a farm in any given year, crop diversification might not guarantee a similar </w:t>
      </w:r>
      <w:r w:rsidR="00C9304C" w:rsidRPr="002874FC">
        <w:rPr>
          <w:rFonts w:cs="Times New Roman"/>
          <w:bCs/>
          <w:noProof/>
          <w:szCs w:val="24"/>
          <w:lang w:val="en-GB"/>
        </w:rPr>
        <w:t>change in crops on land over time.</w:t>
      </w:r>
      <w:r w:rsidR="00C9304C" w:rsidRPr="002874FC">
        <w:rPr>
          <w:rFonts w:cs="Times New Roman"/>
          <w:b/>
          <w:bCs/>
          <w:noProof/>
          <w:szCs w:val="24"/>
          <w:lang w:val="en-GB"/>
        </w:rPr>
        <w:t xml:space="preserve"> </w:t>
      </w:r>
      <w:r w:rsidR="00C9304C" w:rsidRPr="002874FC">
        <w:rPr>
          <w:rFonts w:cs="Times New Roman"/>
          <w:noProof/>
          <w:szCs w:val="24"/>
          <w:lang w:val="en-GB"/>
        </w:rPr>
        <w:t>While this might not bring the full environmental benefits of crop r</w:t>
      </w:r>
      <w:r w:rsidR="00C9304C" w:rsidRPr="00724676">
        <w:rPr>
          <w:rFonts w:cs="Times New Roman"/>
          <w:noProof/>
          <w:szCs w:val="24"/>
          <w:lang w:val="en-GB"/>
        </w:rPr>
        <w:t>otation,</w:t>
      </w:r>
      <w:r w:rsidR="00C9304C" w:rsidRPr="00724676">
        <w:rPr>
          <w:rFonts w:cs="Times New Roman"/>
          <w:b/>
          <w:bCs/>
          <w:noProof/>
          <w:szCs w:val="24"/>
          <w:lang w:val="en-GB"/>
        </w:rPr>
        <w:t xml:space="preserve"> </w:t>
      </w:r>
      <w:r w:rsidR="00C9304C" w:rsidRPr="00724676">
        <w:rPr>
          <w:rFonts w:cs="Times New Roman"/>
          <w:noProof/>
          <w:szCs w:val="24"/>
          <w:lang w:val="en-GB"/>
        </w:rPr>
        <w:t>o</w:t>
      </w:r>
      <w:r w:rsidR="000C7751" w:rsidRPr="00724676">
        <w:rPr>
          <w:rFonts w:cs="Times New Roman"/>
          <w:noProof/>
          <w:szCs w:val="24"/>
          <w:lang w:val="en-GB"/>
        </w:rPr>
        <w:t xml:space="preserve">ne of the purposes of crop diversification is to </w:t>
      </w:r>
      <w:r w:rsidR="000C7751" w:rsidRPr="00724676">
        <w:rPr>
          <w:rFonts w:cs="Times New Roman"/>
          <w:b/>
          <w:bCs/>
          <w:noProof/>
          <w:szCs w:val="24"/>
          <w:lang w:val="en-GB"/>
        </w:rPr>
        <w:t>prevent a generalisation of monoculture</w:t>
      </w:r>
      <w:r w:rsidR="000C7751" w:rsidRPr="00724676">
        <w:rPr>
          <w:rFonts w:cs="Times New Roman"/>
          <w:noProof/>
          <w:szCs w:val="24"/>
          <w:lang w:val="en-GB"/>
        </w:rPr>
        <w:t xml:space="preserve"> which could be happening in some </w:t>
      </w:r>
      <w:r w:rsidR="00E471DD" w:rsidRPr="00724676">
        <w:rPr>
          <w:rFonts w:cs="Times New Roman"/>
          <w:noProof/>
          <w:szCs w:val="24"/>
          <w:lang w:val="en-GB"/>
        </w:rPr>
        <w:t xml:space="preserve">arable </w:t>
      </w:r>
      <w:r w:rsidR="001D009B" w:rsidRPr="00724676">
        <w:rPr>
          <w:rFonts w:cs="Times New Roman"/>
          <w:noProof/>
          <w:szCs w:val="24"/>
          <w:lang w:val="en-GB"/>
        </w:rPr>
        <w:t xml:space="preserve">areas </w:t>
      </w:r>
      <w:r w:rsidR="007F5427" w:rsidRPr="00724676">
        <w:rPr>
          <w:rFonts w:cs="Times New Roman"/>
          <w:noProof/>
          <w:szCs w:val="24"/>
          <w:lang w:val="en-GB"/>
        </w:rPr>
        <w:t>due to structural changes</w:t>
      </w:r>
      <w:r w:rsidR="000C7751" w:rsidRPr="00724676">
        <w:rPr>
          <w:rFonts w:cs="Times New Roman"/>
          <w:noProof/>
          <w:szCs w:val="24"/>
          <w:lang w:val="en-GB"/>
        </w:rPr>
        <w:t xml:space="preserve">. It also </w:t>
      </w:r>
      <w:r w:rsidR="000C7751" w:rsidRPr="00724676">
        <w:rPr>
          <w:rFonts w:cs="Times New Roman"/>
          <w:b/>
          <w:bCs/>
          <w:noProof/>
          <w:szCs w:val="24"/>
          <w:lang w:val="en-GB"/>
        </w:rPr>
        <w:t>indirectly encourages rotation</w:t>
      </w:r>
      <w:r w:rsidR="000C7751" w:rsidRPr="00724676">
        <w:rPr>
          <w:rFonts w:cs="Times New Roman"/>
          <w:noProof/>
          <w:szCs w:val="24"/>
          <w:lang w:val="en-GB"/>
        </w:rPr>
        <w:t xml:space="preserve">, as once farmers are obliged to have different crops, it makes sense agronomically to alternate them in the fields </w:t>
      </w:r>
      <w:r w:rsidR="00C6489F">
        <w:rPr>
          <w:rFonts w:cs="Times New Roman"/>
          <w:noProof/>
          <w:szCs w:val="24"/>
          <w:lang w:val="en-GB"/>
        </w:rPr>
        <w:t xml:space="preserve">in </w:t>
      </w:r>
      <w:r w:rsidR="000C7751" w:rsidRPr="00724676">
        <w:rPr>
          <w:rFonts w:cs="Times New Roman"/>
          <w:noProof/>
          <w:szCs w:val="24"/>
          <w:lang w:val="en-GB"/>
        </w:rPr>
        <w:t>the following year</w:t>
      </w:r>
      <w:r w:rsidR="00341C71" w:rsidRPr="00724676">
        <w:rPr>
          <w:rFonts w:cs="Times New Roman"/>
          <w:noProof/>
          <w:szCs w:val="24"/>
          <w:lang w:val="en-GB"/>
        </w:rPr>
        <w:t>.</w:t>
      </w:r>
    </w:p>
    <w:p w14:paraId="1A82269D" w14:textId="3E3A8D1C" w:rsidR="007E510D" w:rsidRPr="002874FC" w:rsidRDefault="000C7751" w:rsidP="0021019C">
      <w:pPr>
        <w:spacing w:after="120"/>
        <w:jc w:val="both"/>
        <w:rPr>
          <w:rFonts w:cs="Times New Roman"/>
          <w:noProof/>
          <w:szCs w:val="24"/>
          <w:lang w:val="en-GB"/>
        </w:rPr>
      </w:pPr>
      <w:r w:rsidRPr="00724676">
        <w:rPr>
          <w:rFonts w:cs="Times New Roman"/>
          <w:noProof/>
          <w:szCs w:val="24"/>
          <w:lang w:val="en-GB"/>
        </w:rPr>
        <w:t xml:space="preserve">The environmental impacts of the change </w:t>
      </w:r>
      <w:r w:rsidR="00C6489F">
        <w:rPr>
          <w:rFonts w:cs="Times New Roman"/>
          <w:noProof/>
          <w:szCs w:val="24"/>
          <w:lang w:val="en-GB"/>
        </w:rPr>
        <w:t>to</w:t>
      </w:r>
      <w:r w:rsidR="00C6489F" w:rsidRPr="00724676">
        <w:rPr>
          <w:rFonts w:cs="Times New Roman"/>
          <w:noProof/>
          <w:szCs w:val="24"/>
          <w:lang w:val="en-GB"/>
        </w:rPr>
        <w:t xml:space="preserve"> </w:t>
      </w:r>
      <w:r w:rsidRPr="00724676">
        <w:rPr>
          <w:rFonts w:cs="Times New Roman"/>
          <w:noProof/>
          <w:szCs w:val="24"/>
          <w:lang w:val="en-GB"/>
        </w:rPr>
        <w:t>GAEC 7</w:t>
      </w:r>
      <w:r w:rsidRPr="00724676" w:rsidDel="003E5E65">
        <w:rPr>
          <w:rFonts w:cs="Times New Roman"/>
          <w:noProof/>
          <w:szCs w:val="24"/>
          <w:lang w:val="en-GB"/>
        </w:rPr>
        <w:t xml:space="preserve"> </w:t>
      </w:r>
      <w:r w:rsidRPr="00724676">
        <w:rPr>
          <w:rFonts w:cs="Times New Roman"/>
          <w:noProof/>
          <w:szCs w:val="24"/>
          <w:lang w:val="en-GB"/>
        </w:rPr>
        <w:t xml:space="preserve">will depend on </w:t>
      </w:r>
      <w:r w:rsidRPr="00724676">
        <w:rPr>
          <w:rFonts w:cs="Times New Roman"/>
          <w:b/>
          <w:noProof/>
          <w:szCs w:val="24"/>
          <w:lang w:val="en-GB"/>
        </w:rPr>
        <w:t xml:space="preserve">the level of diversity </w:t>
      </w:r>
      <w:r w:rsidR="00C6489F">
        <w:rPr>
          <w:rFonts w:cs="Times New Roman"/>
          <w:b/>
          <w:noProof/>
          <w:szCs w:val="24"/>
          <w:lang w:val="en-GB"/>
        </w:rPr>
        <w:t>that will</w:t>
      </w:r>
      <w:r w:rsidR="00C6489F" w:rsidRPr="00724676">
        <w:rPr>
          <w:rFonts w:cs="Times New Roman"/>
          <w:b/>
          <w:noProof/>
          <w:szCs w:val="24"/>
          <w:lang w:val="en-GB"/>
        </w:rPr>
        <w:t xml:space="preserve"> </w:t>
      </w:r>
      <w:r w:rsidRPr="00724676">
        <w:rPr>
          <w:rFonts w:cs="Times New Roman"/>
          <w:b/>
          <w:noProof/>
          <w:szCs w:val="24"/>
          <w:lang w:val="en-GB"/>
        </w:rPr>
        <w:t>be required</w:t>
      </w:r>
      <w:r w:rsidRPr="00724676">
        <w:rPr>
          <w:rFonts w:cs="Times New Roman"/>
          <w:noProof/>
          <w:szCs w:val="24"/>
          <w:lang w:val="en-GB"/>
        </w:rPr>
        <w:t>, especially the number</w:t>
      </w:r>
      <w:r w:rsidR="00C6489F">
        <w:rPr>
          <w:rFonts w:cs="Times New Roman"/>
          <w:noProof/>
          <w:szCs w:val="24"/>
          <w:lang w:val="en-GB"/>
        </w:rPr>
        <w:t xml:space="preserve"> and</w:t>
      </w:r>
      <w:r w:rsidR="00545BA0" w:rsidRPr="00724676">
        <w:rPr>
          <w:rFonts w:cs="Times New Roman"/>
          <w:noProof/>
          <w:szCs w:val="24"/>
          <w:lang w:val="en-GB"/>
        </w:rPr>
        <w:t xml:space="preserve"> type of crops (e.g. leguminous crops)</w:t>
      </w:r>
      <w:r w:rsidR="00C6489F">
        <w:rPr>
          <w:rFonts w:cs="Times New Roman"/>
          <w:noProof/>
          <w:szCs w:val="24"/>
          <w:lang w:val="en-GB"/>
        </w:rPr>
        <w:t>,</w:t>
      </w:r>
      <w:r w:rsidRPr="00724676">
        <w:rPr>
          <w:rFonts w:cs="Times New Roman"/>
          <w:noProof/>
          <w:szCs w:val="24"/>
          <w:lang w:val="en-GB"/>
        </w:rPr>
        <w:t xml:space="preserve"> the share of different crops as well as </w:t>
      </w:r>
      <w:r w:rsidR="00C6489F">
        <w:rPr>
          <w:rFonts w:cs="Times New Roman"/>
          <w:noProof/>
          <w:szCs w:val="24"/>
          <w:lang w:val="en-GB"/>
        </w:rPr>
        <w:t xml:space="preserve">the </w:t>
      </w:r>
      <w:r w:rsidRPr="00724676">
        <w:rPr>
          <w:rFonts w:cs="Times New Roman"/>
          <w:noProof/>
          <w:szCs w:val="24"/>
          <w:lang w:val="en-GB"/>
        </w:rPr>
        <w:t>crop definition</w:t>
      </w:r>
      <w:r w:rsidR="005A15B7" w:rsidRPr="00724676">
        <w:rPr>
          <w:rFonts w:cs="Times New Roman"/>
          <w:noProof/>
          <w:szCs w:val="24"/>
          <w:lang w:val="en-GB"/>
        </w:rPr>
        <w:t xml:space="preserve"> for this purpose</w:t>
      </w:r>
      <w:r w:rsidR="0097321E" w:rsidRPr="00724676">
        <w:rPr>
          <w:rFonts w:cs="Times New Roman"/>
          <w:noProof/>
          <w:szCs w:val="24"/>
          <w:lang w:val="en-GB"/>
        </w:rPr>
        <w:t>, and then</w:t>
      </w:r>
      <w:r w:rsidR="0097321E" w:rsidRPr="00724676">
        <w:rPr>
          <w:noProof/>
          <w:lang w:val="en-GB"/>
        </w:rPr>
        <w:t xml:space="preserve"> </w:t>
      </w:r>
      <w:r w:rsidR="0097321E" w:rsidRPr="00724676">
        <w:rPr>
          <w:rFonts w:cs="Times New Roman"/>
          <w:noProof/>
          <w:szCs w:val="24"/>
          <w:lang w:val="en-GB"/>
        </w:rPr>
        <w:t>the extent to which farmers will choose this option</w:t>
      </w:r>
      <w:r w:rsidRPr="00724676">
        <w:rPr>
          <w:rFonts w:cs="Times New Roman"/>
          <w:noProof/>
          <w:szCs w:val="24"/>
          <w:lang w:val="en-GB"/>
        </w:rPr>
        <w:t xml:space="preserve">. </w:t>
      </w:r>
      <w:r w:rsidR="00780625" w:rsidRPr="00724676">
        <w:rPr>
          <w:rFonts w:cs="Times New Roman"/>
          <w:noProof/>
          <w:szCs w:val="24"/>
          <w:lang w:val="en-GB"/>
        </w:rPr>
        <w:t>A</w:t>
      </w:r>
      <w:r w:rsidR="00D44673" w:rsidRPr="00724676">
        <w:rPr>
          <w:rFonts w:cs="Times New Roman"/>
          <w:noProof/>
          <w:szCs w:val="24"/>
          <w:lang w:val="en-GB"/>
        </w:rPr>
        <w:t>llow</w:t>
      </w:r>
      <w:r w:rsidR="00780625" w:rsidRPr="00724676">
        <w:rPr>
          <w:rFonts w:cs="Times New Roman"/>
          <w:noProof/>
          <w:szCs w:val="24"/>
          <w:lang w:val="en-GB"/>
        </w:rPr>
        <w:t>ing a high</w:t>
      </w:r>
      <w:r w:rsidRPr="00724676">
        <w:rPr>
          <w:rFonts w:cs="Times New Roman"/>
          <w:noProof/>
          <w:szCs w:val="24"/>
          <w:lang w:val="en-GB"/>
        </w:rPr>
        <w:t xml:space="preserve"> </w:t>
      </w:r>
      <w:r w:rsidR="00C6489F">
        <w:rPr>
          <w:rFonts w:cs="Times New Roman"/>
          <w:noProof/>
          <w:szCs w:val="24"/>
          <w:lang w:val="en-GB"/>
        </w:rPr>
        <w:t>proportion</w:t>
      </w:r>
      <w:r w:rsidR="00C6489F" w:rsidRPr="00724676">
        <w:rPr>
          <w:rFonts w:cs="Times New Roman"/>
          <w:noProof/>
          <w:szCs w:val="24"/>
          <w:lang w:val="en-GB"/>
        </w:rPr>
        <w:t xml:space="preserve"> </w:t>
      </w:r>
      <w:r w:rsidRPr="00724676">
        <w:rPr>
          <w:rFonts w:cs="Times New Roman"/>
          <w:noProof/>
          <w:szCs w:val="24"/>
          <w:lang w:val="en-GB"/>
        </w:rPr>
        <w:t>of</w:t>
      </w:r>
      <w:r w:rsidR="00C6489F">
        <w:rPr>
          <w:rFonts w:cs="Times New Roman"/>
          <w:noProof/>
          <w:szCs w:val="24"/>
          <w:lang w:val="en-GB"/>
        </w:rPr>
        <w:t xml:space="preserve"> the</w:t>
      </w:r>
      <w:r w:rsidRPr="00724676">
        <w:rPr>
          <w:rFonts w:cs="Times New Roman"/>
          <w:noProof/>
          <w:szCs w:val="24"/>
          <w:lang w:val="en-GB"/>
        </w:rPr>
        <w:t xml:space="preserve"> </w:t>
      </w:r>
      <w:r w:rsidR="00780625" w:rsidRPr="00724676">
        <w:rPr>
          <w:rFonts w:cs="Times New Roman"/>
          <w:noProof/>
          <w:szCs w:val="24"/>
          <w:lang w:val="en-GB"/>
        </w:rPr>
        <w:t xml:space="preserve">land </w:t>
      </w:r>
      <w:r w:rsidR="00C6489F">
        <w:rPr>
          <w:rFonts w:cs="Times New Roman"/>
          <w:noProof/>
          <w:szCs w:val="24"/>
          <w:lang w:val="en-GB"/>
        </w:rPr>
        <w:t xml:space="preserve">to be allocated </w:t>
      </w:r>
      <w:r w:rsidR="00780625" w:rsidRPr="00724676">
        <w:rPr>
          <w:rFonts w:cs="Times New Roman"/>
          <w:noProof/>
          <w:szCs w:val="24"/>
          <w:lang w:val="en-GB"/>
        </w:rPr>
        <w:t>for</w:t>
      </w:r>
      <w:r w:rsidR="00D44673" w:rsidRPr="00724676">
        <w:rPr>
          <w:rFonts w:cs="Times New Roman"/>
          <w:noProof/>
          <w:szCs w:val="24"/>
          <w:lang w:val="en-GB"/>
        </w:rPr>
        <w:t xml:space="preserve"> the </w:t>
      </w:r>
      <w:r w:rsidRPr="00724676">
        <w:rPr>
          <w:rFonts w:cs="Times New Roman"/>
          <w:noProof/>
          <w:szCs w:val="24"/>
          <w:lang w:val="en-GB"/>
        </w:rPr>
        <w:t xml:space="preserve">main </w:t>
      </w:r>
      <w:r w:rsidR="00D44673" w:rsidRPr="00724676">
        <w:rPr>
          <w:rFonts w:cs="Times New Roman"/>
          <w:noProof/>
          <w:szCs w:val="24"/>
          <w:lang w:val="en-GB"/>
        </w:rPr>
        <w:t xml:space="preserve">crop </w:t>
      </w:r>
      <w:r w:rsidR="00780625" w:rsidRPr="00724676">
        <w:rPr>
          <w:rFonts w:cs="Times New Roman"/>
          <w:noProof/>
          <w:szCs w:val="24"/>
          <w:lang w:val="en-GB"/>
        </w:rPr>
        <w:t xml:space="preserve">in diversification </w:t>
      </w:r>
      <w:r w:rsidRPr="00724676">
        <w:rPr>
          <w:rFonts w:cs="Times New Roman"/>
          <w:noProof/>
          <w:szCs w:val="24"/>
          <w:lang w:val="en-GB"/>
        </w:rPr>
        <w:t xml:space="preserve">may </w:t>
      </w:r>
      <w:r w:rsidR="00D44673" w:rsidRPr="00724676">
        <w:rPr>
          <w:rFonts w:cs="Times New Roman"/>
          <w:noProof/>
          <w:szCs w:val="24"/>
          <w:lang w:val="en-GB"/>
        </w:rPr>
        <w:t>imply</w:t>
      </w:r>
      <w:r w:rsidR="00C6489F">
        <w:rPr>
          <w:rFonts w:cs="Times New Roman"/>
          <w:noProof/>
          <w:szCs w:val="24"/>
          <w:lang w:val="en-GB"/>
        </w:rPr>
        <w:t xml:space="preserve"> a</w:t>
      </w:r>
      <w:r w:rsidRPr="00724676">
        <w:rPr>
          <w:rFonts w:cs="Times New Roman"/>
          <w:noProof/>
          <w:szCs w:val="24"/>
          <w:lang w:val="en-GB"/>
        </w:rPr>
        <w:t xml:space="preserve"> </w:t>
      </w:r>
      <w:r w:rsidRPr="00724676">
        <w:rPr>
          <w:rFonts w:cs="Times New Roman"/>
          <w:b/>
          <w:noProof/>
          <w:szCs w:val="24"/>
          <w:lang w:val="en-GB"/>
        </w:rPr>
        <w:t>more static situation</w:t>
      </w:r>
      <w:r w:rsidRPr="00724676">
        <w:rPr>
          <w:rFonts w:cs="Times New Roman"/>
          <w:noProof/>
          <w:szCs w:val="24"/>
          <w:lang w:val="en-GB"/>
        </w:rPr>
        <w:t xml:space="preserve"> </w:t>
      </w:r>
      <w:r w:rsidR="005B20D6" w:rsidRPr="00724676">
        <w:rPr>
          <w:rFonts w:cs="Times New Roman"/>
          <w:noProof/>
          <w:szCs w:val="24"/>
          <w:lang w:val="en-GB"/>
        </w:rPr>
        <w:t xml:space="preserve">with </w:t>
      </w:r>
      <w:r w:rsidR="00256CE7" w:rsidRPr="00724676">
        <w:rPr>
          <w:rFonts w:cs="Times New Roman"/>
          <w:b/>
          <w:bCs/>
          <w:noProof/>
          <w:szCs w:val="24"/>
          <w:lang w:val="en-GB"/>
        </w:rPr>
        <w:t xml:space="preserve">fewer </w:t>
      </w:r>
      <w:r w:rsidR="005B20D6" w:rsidRPr="00724676">
        <w:rPr>
          <w:rFonts w:cs="Times New Roman"/>
          <w:b/>
          <w:bCs/>
          <w:noProof/>
          <w:szCs w:val="24"/>
          <w:lang w:val="en-GB"/>
        </w:rPr>
        <w:t>environmental benefits</w:t>
      </w:r>
      <w:r w:rsidRPr="00724676">
        <w:rPr>
          <w:rFonts w:cs="Times New Roman"/>
          <w:noProof/>
          <w:szCs w:val="24"/>
          <w:lang w:val="en-GB"/>
        </w:rPr>
        <w:t>.</w:t>
      </w:r>
      <w:r w:rsidR="007E510D" w:rsidRPr="00724676" w:rsidDel="003E5995">
        <w:rPr>
          <w:rFonts w:cs="Times New Roman"/>
          <w:noProof/>
          <w:szCs w:val="24"/>
          <w:lang w:val="en-GB"/>
        </w:rPr>
        <w:t xml:space="preserve"> </w:t>
      </w:r>
      <w:r w:rsidR="007E510D" w:rsidRPr="00724676">
        <w:rPr>
          <w:rFonts w:cs="Times New Roman"/>
          <w:noProof/>
          <w:szCs w:val="24"/>
          <w:lang w:val="en-GB"/>
        </w:rPr>
        <w:t xml:space="preserve">To prevent </w:t>
      </w:r>
      <w:r w:rsidR="00C73477" w:rsidRPr="00724676">
        <w:rPr>
          <w:rFonts w:cs="Times New Roman"/>
          <w:noProof/>
          <w:szCs w:val="24"/>
          <w:lang w:val="en-GB"/>
        </w:rPr>
        <w:t>this</w:t>
      </w:r>
      <w:r w:rsidR="007E510D" w:rsidRPr="00724676">
        <w:rPr>
          <w:rFonts w:cs="Times New Roman"/>
          <w:noProof/>
          <w:szCs w:val="24"/>
          <w:lang w:val="en-GB"/>
        </w:rPr>
        <w:t>, the Commission proposal incorporates minim</w:t>
      </w:r>
      <w:r w:rsidR="00BD6784" w:rsidRPr="00724676">
        <w:rPr>
          <w:rFonts w:cs="Times New Roman"/>
          <w:noProof/>
          <w:szCs w:val="24"/>
          <w:lang w:val="en-GB"/>
        </w:rPr>
        <w:t>um</w:t>
      </w:r>
      <w:r w:rsidR="007E510D" w:rsidRPr="00724676">
        <w:rPr>
          <w:rFonts w:cs="Times New Roman"/>
          <w:noProof/>
          <w:szCs w:val="24"/>
          <w:lang w:val="en-GB"/>
        </w:rPr>
        <w:t xml:space="preserve"> requirements </w:t>
      </w:r>
      <w:r w:rsidR="008A68D0" w:rsidRPr="00724676">
        <w:rPr>
          <w:rFonts w:cs="Times New Roman"/>
          <w:noProof/>
          <w:szCs w:val="24"/>
          <w:lang w:val="en-GB"/>
        </w:rPr>
        <w:t>identical</w:t>
      </w:r>
      <w:r w:rsidR="002A6913" w:rsidRPr="00724676">
        <w:rPr>
          <w:rFonts w:cs="Times New Roman"/>
          <w:noProof/>
          <w:szCs w:val="24"/>
          <w:lang w:val="en-GB"/>
        </w:rPr>
        <w:t xml:space="preserve"> to the ones </w:t>
      </w:r>
      <w:r w:rsidR="007E510D" w:rsidRPr="00724676">
        <w:rPr>
          <w:rFonts w:cs="Times New Roman"/>
          <w:noProof/>
          <w:szCs w:val="24"/>
          <w:lang w:val="en-GB"/>
        </w:rPr>
        <w:t>set under the greening scheme in the pre-2023 CAP (based on the requirement</w:t>
      </w:r>
      <w:r w:rsidR="00C6489F">
        <w:rPr>
          <w:rFonts w:cs="Times New Roman"/>
          <w:noProof/>
          <w:szCs w:val="24"/>
          <w:lang w:val="en-GB"/>
        </w:rPr>
        <w:t xml:space="preserve"> to have </w:t>
      </w:r>
      <w:r w:rsidR="00C6489F" w:rsidRPr="002874FC">
        <w:rPr>
          <w:rFonts w:cs="Times New Roman"/>
          <w:noProof/>
          <w:szCs w:val="24"/>
          <w:lang w:val="en-GB"/>
        </w:rPr>
        <w:t>three crops</w:t>
      </w:r>
      <w:r w:rsidR="007E510D" w:rsidRPr="002874FC">
        <w:rPr>
          <w:rFonts w:cs="Times New Roman"/>
          <w:noProof/>
          <w:szCs w:val="24"/>
          <w:lang w:val="en-GB"/>
        </w:rPr>
        <w:t xml:space="preserve">, </w:t>
      </w:r>
      <w:r w:rsidR="00C6489F" w:rsidRPr="002874FC">
        <w:rPr>
          <w:rFonts w:cs="Times New Roman"/>
          <w:noProof/>
          <w:szCs w:val="24"/>
          <w:lang w:val="en-GB"/>
        </w:rPr>
        <w:t xml:space="preserve">with a </w:t>
      </w:r>
      <w:r w:rsidR="007E510D" w:rsidRPr="002874FC">
        <w:rPr>
          <w:rFonts w:cs="Times New Roman"/>
          <w:noProof/>
          <w:szCs w:val="24"/>
          <w:lang w:val="en-GB"/>
        </w:rPr>
        <w:t xml:space="preserve">maximum </w:t>
      </w:r>
      <w:r w:rsidR="00C6489F" w:rsidRPr="002874FC">
        <w:rPr>
          <w:rFonts w:cs="Times New Roman"/>
          <w:noProof/>
          <w:szCs w:val="24"/>
          <w:lang w:val="en-GB"/>
        </w:rPr>
        <w:t xml:space="preserve">of </w:t>
      </w:r>
      <w:r w:rsidR="007E510D" w:rsidRPr="002874FC">
        <w:rPr>
          <w:rFonts w:cs="Times New Roman"/>
          <w:noProof/>
          <w:szCs w:val="24"/>
          <w:lang w:val="en-GB"/>
        </w:rPr>
        <w:t xml:space="preserve">75% coverage for the main crop). </w:t>
      </w:r>
    </w:p>
    <w:p w14:paraId="797BA983" w14:textId="3ADF8374" w:rsidR="002C34E6" w:rsidRPr="00724676" w:rsidRDefault="00E6391A" w:rsidP="0021019C">
      <w:pPr>
        <w:spacing w:after="120"/>
        <w:jc w:val="both"/>
        <w:rPr>
          <w:rFonts w:cs="Times New Roman"/>
          <w:noProof/>
          <w:lang w:val="en-GB"/>
        </w:rPr>
      </w:pPr>
      <w:r w:rsidRPr="5B7F1876">
        <w:rPr>
          <w:rFonts w:cs="Times New Roman"/>
          <w:noProof/>
          <w:lang w:val="en-GB"/>
        </w:rPr>
        <w:t>The</w:t>
      </w:r>
      <w:r w:rsidR="000830B9">
        <w:rPr>
          <w:rFonts w:cs="Times New Roman"/>
          <w:noProof/>
          <w:lang w:val="en-GB"/>
        </w:rPr>
        <w:t xml:space="preserve"> greening scheme’s</w:t>
      </w:r>
      <w:r w:rsidRPr="5B7F1876">
        <w:rPr>
          <w:rFonts w:cs="Times New Roman"/>
          <w:noProof/>
          <w:lang w:val="en-GB"/>
        </w:rPr>
        <w:t xml:space="preserve"> </w:t>
      </w:r>
      <w:r w:rsidR="006A32C2" w:rsidRPr="5B7F1876">
        <w:rPr>
          <w:rFonts w:cs="Times New Roman"/>
          <w:noProof/>
          <w:lang w:val="en-GB"/>
        </w:rPr>
        <w:t xml:space="preserve">experience of </w:t>
      </w:r>
      <w:r w:rsidRPr="5B7F1876">
        <w:rPr>
          <w:rFonts w:cs="Times New Roman"/>
          <w:b/>
          <w:bCs/>
          <w:noProof/>
          <w:lang w:val="en-GB"/>
        </w:rPr>
        <w:t>the crop diversification</w:t>
      </w:r>
      <w:r w:rsidRPr="532033A3">
        <w:rPr>
          <w:rFonts w:cs="Times New Roman"/>
          <w:b/>
          <w:noProof/>
          <w:lang w:val="en-GB"/>
        </w:rPr>
        <w:t xml:space="preserve"> </w:t>
      </w:r>
      <w:r w:rsidR="2CC28C17" w:rsidRPr="532033A3">
        <w:rPr>
          <w:rFonts w:cs="Times New Roman"/>
          <w:b/>
          <w:bCs/>
          <w:noProof/>
          <w:lang w:val="en-GB"/>
        </w:rPr>
        <w:t>requirement</w:t>
      </w:r>
      <w:r w:rsidR="3A1D6EA1" w:rsidRPr="532033A3">
        <w:rPr>
          <w:rFonts w:cs="Times New Roman"/>
          <w:noProof/>
          <w:lang w:val="en-GB"/>
        </w:rPr>
        <w:t xml:space="preserve"> </w:t>
      </w:r>
      <w:r w:rsidR="006A32C2" w:rsidRPr="5B7F1876">
        <w:rPr>
          <w:rFonts w:cs="Times New Roman"/>
          <w:noProof/>
          <w:lang w:val="en-GB"/>
        </w:rPr>
        <w:t xml:space="preserve">showed that while it </w:t>
      </w:r>
      <w:r w:rsidRPr="5B7F1876">
        <w:rPr>
          <w:rFonts w:cs="Times New Roman"/>
          <w:noProof/>
          <w:lang w:val="en-GB"/>
        </w:rPr>
        <w:t xml:space="preserve">had a </w:t>
      </w:r>
      <w:r w:rsidRPr="5B7F1876">
        <w:rPr>
          <w:rFonts w:cs="Times New Roman"/>
          <w:b/>
          <w:bCs/>
          <w:noProof/>
          <w:lang w:val="en-GB"/>
        </w:rPr>
        <w:t>limited influence</w:t>
      </w:r>
      <w:r w:rsidRPr="5B7F1876">
        <w:rPr>
          <w:rFonts w:cs="Times New Roman"/>
          <w:noProof/>
          <w:lang w:val="en-GB"/>
        </w:rPr>
        <w:t xml:space="preserve"> over the </w:t>
      </w:r>
      <w:r w:rsidR="009D1AC1" w:rsidRPr="5B7F1876">
        <w:rPr>
          <w:rFonts w:cs="Times New Roman"/>
          <w:noProof/>
          <w:lang w:val="en-GB"/>
        </w:rPr>
        <w:t>cropping patterns</w:t>
      </w:r>
      <w:r w:rsidRPr="5B7F1876">
        <w:rPr>
          <w:rFonts w:cs="Times New Roman"/>
          <w:noProof/>
          <w:lang w:val="en-GB"/>
        </w:rPr>
        <w:t xml:space="preserve"> at </w:t>
      </w:r>
      <w:r w:rsidRPr="5B7F1876">
        <w:rPr>
          <w:rFonts w:cs="Times New Roman"/>
          <w:b/>
          <w:bCs/>
          <w:noProof/>
          <w:lang w:val="en-GB"/>
        </w:rPr>
        <w:t>macro level</w:t>
      </w:r>
      <w:r w:rsidRPr="5B7F1876">
        <w:rPr>
          <w:rFonts w:cs="Times New Roman"/>
          <w:noProof/>
          <w:lang w:val="en-GB"/>
        </w:rPr>
        <w:t xml:space="preserve"> it </w:t>
      </w:r>
      <w:r w:rsidRPr="5B7F1876">
        <w:rPr>
          <w:rFonts w:cs="Times New Roman"/>
          <w:b/>
          <w:bCs/>
          <w:noProof/>
          <w:lang w:val="en-GB"/>
        </w:rPr>
        <w:t>increased diversification of certain farms</w:t>
      </w:r>
      <w:r w:rsidR="00390F2F" w:rsidRPr="003E7CF4">
        <w:rPr>
          <w:rFonts w:cs="Times New Roman"/>
          <w:b/>
          <w:bCs/>
          <w:noProof/>
          <w:lang w:val="en-GB"/>
        </w:rPr>
        <w:t xml:space="preserve">. </w:t>
      </w:r>
      <w:r w:rsidR="00390F2F" w:rsidRPr="003E7CF4">
        <w:rPr>
          <w:rFonts w:cs="Times New Roman"/>
          <w:noProof/>
          <w:lang w:val="en-GB"/>
        </w:rPr>
        <w:t>This is particularly</w:t>
      </w:r>
      <w:r w:rsidR="00F97CEC" w:rsidRPr="003E7CF4">
        <w:rPr>
          <w:rFonts w:cs="Times New Roman"/>
          <w:noProof/>
          <w:lang w:val="en-GB"/>
        </w:rPr>
        <w:t xml:space="preserve"> </w:t>
      </w:r>
      <w:r w:rsidR="00390F2F" w:rsidRPr="003E7CF4">
        <w:rPr>
          <w:rFonts w:cs="Times New Roman"/>
          <w:noProof/>
          <w:lang w:val="en-GB"/>
        </w:rPr>
        <w:t>true</w:t>
      </w:r>
      <w:r w:rsidR="00390F2F" w:rsidRPr="003E7CF4">
        <w:rPr>
          <w:rFonts w:cs="Times New Roman"/>
          <w:b/>
          <w:bCs/>
          <w:noProof/>
          <w:lang w:val="en-GB"/>
        </w:rPr>
        <w:t xml:space="preserve"> </w:t>
      </w:r>
      <w:r w:rsidR="00F97CEC" w:rsidRPr="5B7F1876">
        <w:rPr>
          <w:rFonts w:cs="Times New Roman"/>
          <w:noProof/>
          <w:lang w:val="en-GB"/>
        </w:rPr>
        <w:t>in areas with high levels of monocropping</w:t>
      </w:r>
      <w:r w:rsidR="006E396A" w:rsidRPr="5B7F1876">
        <w:rPr>
          <w:rFonts w:cs="Times New Roman"/>
          <w:noProof/>
          <w:lang w:val="en-GB"/>
        </w:rPr>
        <w:t>,</w:t>
      </w:r>
      <w:r w:rsidR="006E396A" w:rsidRPr="5B7F1876">
        <w:rPr>
          <w:rFonts w:cs="Times New Roman"/>
          <w:b/>
          <w:bCs/>
          <w:noProof/>
          <w:lang w:val="en-GB"/>
        </w:rPr>
        <w:t xml:space="preserve"> </w:t>
      </w:r>
      <w:r w:rsidR="0088412B" w:rsidRPr="5B7F1876">
        <w:rPr>
          <w:rFonts w:cs="Times New Roman"/>
          <w:noProof/>
          <w:lang w:val="en-GB"/>
        </w:rPr>
        <w:t xml:space="preserve">by </w:t>
      </w:r>
      <w:r w:rsidR="0088412B" w:rsidRPr="5B7F1876">
        <w:rPr>
          <w:rFonts w:cs="Times New Roman"/>
          <w:noProof/>
          <w:lang w:val="en-GB"/>
        </w:rPr>
        <w:lastRenderedPageBreak/>
        <w:t>replacing</w:t>
      </w:r>
      <w:r w:rsidR="00B019A6" w:rsidRPr="5B7F1876">
        <w:rPr>
          <w:rFonts w:cs="Times New Roman"/>
          <w:noProof/>
          <w:lang w:val="en-GB"/>
        </w:rPr>
        <w:t xml:space="preserve"> maize or other cereals </w:t>
      </w:r>
      <w:r w:rsidR="004D4026" w:rsidRPr="5B7F1876">
        <w:rPr>
          <w:rFonts w:cs="Times New Roman"/>
          <w:noProof/>
          <w:lang w:val="en-GB"/>
        </w:rPr>
        <w:t xml:space="preserve">with </w:t>
      </w:r>
      <w:r w:rsidR="00C47C9A" w:rsidRPr="5B7F1876">
        <w:rPr>
          <w:rFonts w:cs="Times New Roman"/>
          <w:noProof/>
          <w:lang w:val="en-GB"/>
        </w:rPr>
        <w:t xml:space="preserve">crops </w:t>
      </w:r>
      <w:r w:rsidR="00390F2F" w:rsidRPr="003E7CF4">
        <w:rPr>
          <w:rFonts w:cs="Times New Roman"/>
          <w:noProof/>
          <w:lang w:val="en-GB"/>
        </w:rPr>
        <w:t>that provide</w:t>
      </w:r>
      <w:r w:rsidR="00390F2F" w:rsidRPr="5B7F1876">
        <w:rPr>
          <w:rFonts w:cs="Times New Roman"/>
          <w:noProof/>
          <w:lang w:val="en-GB"/>
        </w:rPr>
        <w:t xml:space="preserve"> </w:t>
      </w:r>
      <w:r w:rsidR="004073F4" w:rsidRPr="5B7F1876">
        <w:rPr>
          <w:rFonts w:cs="Times New Roman"/>
          <w:noProof/>
          <w:lang w:val="en-GB"/>
        </w:rPr>
        <w:t>better soil cover</w:t>
      </w:r>
      <w:r w:rsidR="00390F2F" w:rsidRPr="003E7CF4">
        <w:rPr>
          <w:rFonts w:cs="Times New Roman"/>
          <w:noProof/>
          <w:lang w:val="en-GB"/>
        </w:rPr>
        <w:t xml:space="preserve"> (which </w:t>
      </w:r>
      <w:r w:rsidR="001E271B" w:rsidRPr="5B7F1876">
        <w:rPr>
          <w:rFonts w:cs="Times New Roman"/>
          <w:noProof/>
          <w:lang w:val="en-GB"/>
        </w:rPr>
        <w:t>improv</w:t>
      </w:r>
      <w:r w:rsidR="00390F2F" w:rsidRPr="003E7CF4">
        <w:rPr>
          <w:rFonts w:cs="Times New Roman"/>
          <w:noProof/>
          <w:lang w:val="en-GB"/>
        </w:rPr>
        <w:t>es</w:t>
      </w:r>
      <w:r w:rsidR="001E271B" w:rsidRPr="5B7F1876">
        <w:rPr>
          <w:rFonts w:cs="Times New Roman"/>
          <w:noProof/>
          <w:lang w:val="en-GB"/>
        </w:rPr>
        <w:t xml:space="preserve"> soil structure</w:t>
      </w:r>
      <w:r w:rsidR="00390F2F" w:rsidRPr="003E7CF4">
        <w:rPr>
          <w:rFonts w:cs="Times New Roman"/>
          <w:noProof/>
          <w:lang w:val="en-GB"/>
        </w:rPr>
        <w:t>)</w:t>
      </w:r>
      <w:r w:rsidR="001E271B" w:rsidRPr="5B7F1876">
        <w:rPr>
          <w:rFonts w:cs="Times New Roman"/>
          <w:noProof/>
          <w:lang w:val="en-GB"/>
        </w:rPr>
        <w:t xml:space="preserve"> like</w:t>
      </w:r>
      <w:r w:rsidR="004073F4" w:rsidRPr="5B7F1876">
        <w:rPr>
          <w:rFonts w:cs="Times New Roman"/>
          <w:noProof/>
          <w:lang w:val="en-GB"/>
        </w:rPr>
        <w:t xml:space="preserve"> legumes or fallow land</w:t>
      </w:r>
      <w:r w:rsidR="65B3DCE3" w:rsidRPr="532033A3">
        <w:rPr>
          <w:rFonts w:cs="Times New Roman"/>
          <w:noProof/>
          <w:lang w:val="en-GB"/>
        </w:rPr>
        <w:t>. Th</w:t>
      </w:r>
      <w:r w:rsidR="611824F7" w:rsidRPr="532033A3">
        <w:rPr>
          <w:rFonts w:cs="Times New Roman"/>
          <w:noProof/>
          <w:lang w:val="en-GB"/>
        </w:rPr>
        <w:t>is</w:t>
      </w:r>
      <w:r w:rsidR="65B3DCE3" w:rsidRPr="532033A3">
        <w:rPr>
          <w:rFonts w:cs="Times New Roman"/>
          <w:noProof/>
          <w:lang w:val="en-GB"/>
        </w:rPr>
        <w:t xml:space="preserve"> requirement</w:t>
      </w:r>
      <w:r w:rsidR="008C5642" w:rsidRPr="5B7F1876">
        <w:rPr>
          <w:rFonts w:cs="Times New Roman"/>
          <w:noProof/>
          <w:lang w:val="en-GB"/>
        </w:rPr>
        <w:t xml:space="preserve"> </w:t>
      </w:r>
      <w:r w:rsidR="00E753E7" w:rsidRPr="5B7F1876">
        <w:rPr>
          <w:rFonts w:cs="Times New Roman"/>
          <w:noProof/>
          <w:lang w:val="en-GB"/>
        </w:rPr>
        <w:t xml:space="preserve">also </w:t>
      </w:r>
      <w:r w:rsidR="008C5642" w:rsidRPr="5B7F1876">
        <w:rPr>
          <w:rFonts w:cs="Times New Roman"/>
          <w:noProof/>
          <w:lang w:val="en-GB"/>
        </w:rPr>
        <w:t xml:space="preserve">encouraged </w:t>
      </w:r>
      <w:r w:rsidR="00390F2F" w:rsidRPr="003E7CF4">
        <w:rPr>
          <w:rFonts w:cs="Times New Roman"/>
          <w:noProof/>
          <w:lang w:val="en-GB"/>
        </w:rPr>
        <w:t xml:space="preserve"> </w:t>
      </w:r>
      <w:r w:rsidR="008C5642" w:rsidRPr="5B7F1876">
        <w:rPr>
          <w:rFonts w:cs="Times New Roman"/>
          <w:noProof/>
          <w:lang w:val="en-GB"/>
        </w:rPr>
        <w:t>rotation</w:t>
      </w:r>
      <w:r w:rsidR="00A85068" w:rsidRPr="5B7F1876">
        <w:rPr>
          <w:rStyle w:val="FootnoteReference"/>
          <w:rFonts w:cs="Times New Roman"/>
          <w:noProof/>
          <w:lang w:val="en-GB"/>
        </w:rPr>
        <w:footnoteReference w:id="64"/>
      </w:r>
      <w:r w:rsidRPr="5B7F1876">
        <w:rPr>
          <w:rFonts w:cs="Times New Roman"/>
          <w:noProof/>
          <w:lang w:val="en-GB"/>
        </w:rPr>
        <w:t>.</w:t>
      </w:r>
    </w:p>
    <w:p w14:paraId="2D630331" w14:textId="573B9F34" w:rsidR="00261DD7" w:rsidRPr="00724676" w:rsidRDefault="000147F5" w:rsidP="00261DD7">
      <w:pPr>
        <w:spacing w:after="120"/>
        <w:jc w:val="both"/>
        <w:rPr>
          <w:rFonts w:cs="Times New Roman"/>
          <w:noProof/>
          <w:lang w:val="en-GB"/>
        </w:rPr>
      </w:pPr>
      <w:r w:rsidRPr="6FE283EC">
        <w:rPr>
          <w:rFonts w:cs="Times New Roman"/>
          <w:noProof/>
          <w:lang w:val="en-GB"/>
        </w:rPr>
        <w:t xml:space="preserve">As the most </w:t>
      </w:r>
      <w:r w:rsidRPr="6FE283EC">
        <w:rPr>
          <w:rFonts w:cs="Times New Roman"/>
          <w:b/>
          <w:noProof/>
          <w:lang w:val="en-GB"/>
        </w:rPr>
        <w:t>plausible</w:t>
      </w:r>
      <w:r w:rsidRPr="6FE283EC">
        <w:rPr>
          <w:rFonts w:cs="Times New Roman"/>
          <w:noProof/>
          <w:lang w:val="en-GB"/>
        </w:rPr>
        <w:t xml:space="preserve"> scenario, a </w:t>
      </w:r>
      <w:r w:rsidRPr="6FE283EC">
        <w:rPr>
          <w:rFonts w:cs="Times New Roman"/>
          <w:b/>
          <w:noProof/>
          <w:lang w:val="en-GB"/>
        </w:rPr>
        <w:t xml:space="preserve">return to </w:t>
      </w:r>
      <w:r w:rsidR="00390F2F" w:rsidRPr="6FE283EC">
        <w:rPr>
          <w:rFonts w:cs="Times New Roman"/>
          <w:b/>
          <w:noProof/>
          <w:lang w:val="en-GB"/>
        </w:rPr>
        <w:t xml:space="preserve"> practice of </w:t>
      </w:r>
      <w:r w:rsidR="00180526" w:rsidRPr="6FE283EC">
        <w:rPr>
          <w:rFonts w:cs="Times New Roman"/>
          <w:b/>
          <w:noProof/>
          <w:lang w:val="en-GB"/>
        </w:rPr>
        <w:t>diversification of</w:t>
      </w:r>
      <w:r w:rsidRPr="6FE283EC">
        <w:rPr>
          <w:rFonts w:cs="Times New Roman"/>
          <w:b/>
          <w:noProof/>
          <w:lang w:val="en-GB"/>
        </w:rPr>
        <w:t xml:space="preserve"> </w:t>
      </w:r>
      <w:r w:rsidR="00E753E7" w:rsidRPr="6FE283EC">
        <w:rPr>
          <w:rFonts w:cs="Times New Roman"/>
          <w:b/>
          <w:noProof/>
          <w:lang w:val="en-GB"/>
        </w:rPr>
        <w:t>crop</w:t>
      </w:r>
      <w:r w:rsidR="00180526" w:rsidRPr="6FE283EC">
        <w:rPr>
          <w:rFonts w:cs="Times New Roman"/>
          <w:b/>
          <w:noProof/>
          <w:lang w:val="en-GB"/>
        </w:rPr>
        <w:t>s</w:t>
      </w:r>
      <w:r w:rsidR="00E753E7" w:rsidRPr="6FE283EC">
        <w:rPr>
          <w:rFonts w:cs="Times New Roman"/>
          <w:b/>
          <w:noProof/>
          <w:lang w:val="en-GB"/>
        </w:rPr>
        <w:t xml:space="preserve"> </w:t>
      </w:r>
      <w:r w:rsidRPr="6FE283EC">
        <w:rPr>
          <w:rFonts w:cs="Times New Roman"/>
          <w:noProof/>
          <w:lang w:val="en-GB"/>
        </w:rPr>
        <w:t xml:space="preserve">could occur in most Member </w:t>
      </w:r>
      <w:r w:rsidR="00BE5CD3" w:rsidRPr="6FE283EC">
        <w:rPr>
          <w:rFonts w:cs="Times New Roman"/>
          <w:noProof/>
          <w:lang w:val="en-GB"/>
        </w:rPr>
        <w:t>States,</w:t>
      </w:r>
      <w:r w:rsidRPr="6FE283EC">
        <w:rPr>
          <w:rFonts w:cs="Times New Roman"/>
          <w:noProof/>
          <w:lang w:val="en-GB"/>
        </w:rPr>
        <w:t xml:space="preserve"> but farmers will continue to have the choice </w:t>
      </w:r>
      <w:r w:rsidR="00E753E7" w:rsidRPr="6FE283EC">
        <w:rPr>
          <w:rFonts w:cs="Times New Roman"/>
          <w:noProof/>
          <w:lang w:val="en-GB"/>
        </w:rPr>
        <w:t xml:space="preserve">to </w:t>
      </w:r>
      <w:r w:rsidRPr="6FE283EC">
        <w:rPr>
          <w:rFonts w:cs="Times New Roman"/>
          <w:noProof/>
          <w:lang w:val="en-GB"/>
        </w:rPr>
        <w:t xml:space="preserve">fulfil the GAEC </w:t>
      </w:r>
      <w:r w:rsidR="00180526" w:rsidRPr="6FE283EC">
        <w:rPr>
          <w:rFonts w:cs="Times New Roman"/>
          <w:noProof/>
          <w:lang w:val="en-GB"/>
        </w:rPr>
        <w:t xml:space="preserve">standard </w:t>
      </w:r>
      <w:r w:rsidR="01763AEE" w:rsidRPr="6FE283EC">
        <w:rPr>
          <w:rFonts w:cs="Times New Roman"/>
          <w:noProof/>
          <w:lang w:val="en-GB"/>
        </w:rPr>
        <w:t>through</w:t>
      </w:r>
      <w:r w:rsidR="76EA60A9" w:rsidRPr="6FE283EC">
        <w:rPr>
          <w:rFonts w:cs="Times New Roman"/>
          <w:noProof/>
          <w:lang w:val="en-GB"/>
        </w:rPr>
        <w:t xml:space="preserve"> </w:t>
      </w:r>
      <w:r w:rsidRPr="6FE283EC">
        <w:rPr>
          <w:rFonts w:cs="Times New Roman"/>
          <w:noProof/>
          <w:lang w:val="en-GB"/>
        </w:rPr>
        <w:t xml:space="preserve">rotation. </w:t>
      </w:r>
      <w:r w:rsidR="00DE5D91" w:rsidRPr="6FE283EC">
        <w:rPr>
          <w:rFonts w:cs="Times New Roman"/>
          <w:noProof/>
          <w:lang w:val="en-GB"/>
        </w:rPr>
        <w:t xml:space="preserve">Also in this case, the contribution </w:t>
      </w:r>
      <w:r w:rsidR="00180526" w:rsidRPr="6FE283EC">
        <w:rPr>
          <w:rFonts w:cs="Times New Roman"/>
          <w:noProof/>
          <w:lang w:val="en-GB"/>
        </w:rPr>
        <w:t xml:space="preserve">of </w:t>
      </w:r>
      <w:r w:rsidR="00DE5D91" w:rsidRPr="6FE283EC">
        <w:rPr>
          <w:rFonts w:cs="Times New Roman"/>
          <w:noProof/>
          <w:lang w:val="en-GB"/>
        </w:rPr>
        <w:t xml:space="preserve">the </w:t>
      </w:r>
      <w:r w:rsidR="00523AA0" w:rsidRPr="6FE283EC">
        <w:rPr>
          <w:rFonts w:cs="Times New Roman"/>
          <w:noProof/>
          <w:lang w:val="en-GB"/>
        </w:rPr>
        <w:t>CAP Plans</w:t>
      </w:r>
      <w:r w:rsidR="00DE5D91" w:rsidRPr="6FE283EC">
        <w:rPr>
          <w:rFonts w:cs="Times New Roman"/>
          <w:noProof/>
          <w:lang w:val="en-GB"/>
        </w:rPr>
        <w:t xml:space="preserve"> will heavily depend on the</w:t>
      </w:r>
      <w:r w:rsidR="00180526" w:rsidRPr="6FE283EC">
        <w:rPr>
          <w:rFonts w:cs="Times New Roman"/>
          <w:noProof/>
          <w:lang w:val="en-GB"/>
        </w:rPr>
        <w:t>ir</w:t>
      </w:r>
      <w:r w:rsidR="00DE5D91" w:rsidRPr="6FE283EC">
        <w:rPr>
          <w:rFonts w:cs="Times New Roman"/>
          <w:noProof/>
          <w:lang w:val="en-GB"/>
        </w:rPr>
        <w:t xml:space="preserve"> articulation with voluntary commitments </w:t>
      </w:r>
      <w:r w:rsidR="00180526" w:rsidRPr="6FE283EC">
        <w:rPr>
          <w:rFonts w:cs="Times New Roman"/>
          <w:noProof/>
          <w:lang w:val="en-GB"/>
        </w:rPr>
        <w:t xml:space="preserve">that </w:t>
      </w:r>
      <w:r w:rsidR="00DE5D91" w:rsidRPr="6FE283EC">
        <w:rPr>
          <w:rFonts w:cs="Times New Roman"/>
          <w:noProof/>
          <w:lang w:val="en-GB"/>
        </w:rPr>
        <w:t>go beyond GAEC 7.</w:t>
      </w:r>
    </w:p>
    <w:p w14:paraId="2B514320" w14:textId="5706BE77" w:rsidR="0039404F" w:rsidRPr="00724676" w:rsidRDefault="00E6391A" w:rsidP="0039404F">
      <w:pPr>
        <w:spacing w:after="120"/>
        <w:jc w:val="both"/>
        <w:rPr>
          <w:rFonts w:cs="Times New Roman"/>
          <w:noProof/>
          <w:lang w:val="en-GB"/>
        </w:rPr>
      </w:pPr>
      <w:r w:rsidRPr="6FE283EC">
        <w:rPr>
          <w:rFonts w:cs="Times New Roman"/>
          <w:noProof/>
          <w:lang w:val="en-GB"/>
        </w:rPr>
        <w:t>The fundamental change</w:t>
      </w:r>
      <w:r w:rsidR="00A23EA5" w:rsidRPr="6FE283EC">
        <w:rPr>
          <w:rFonts w:cs="Times New Roman"/>
          <w:noProof/>
          <w:lang w:val="en-GB"/>
        </w:rPr>
        <w:t xml:space="preserve"> </w:t>
      </w:r>
      <w:r w:rsidR="00180526" w:rsidRPr="6FE283EC">
        <w:rPr>
          <w:rFonts w:cs="Times New Roman"/>
          <w:noProof/>
          <w:lang w:val="en-GB"/>
        </w:rPr>
        <w:t xml:space="preserve">in </w:t>
      </w:r>
      <w:r w:rsidR="00B2043A" w:rsidRPr="6FE283EC">
        <w:rPr>
          <w:rFonts w:cs="Times New Roman"/>
          <w:noProof/>
          <w:lang w:val="en-GB"/>
        </w:rPr>
        <w:t xml:space="preserve">the simplification package </w:t>
      </w:r>
      <w:r w:rsidRPr="6FE283EC">
        <w:rPr>
          <w:rFonts w:cs="Times New Roman"/>
          <w:noProof/>
          <w:lang w:val="en-GB"/>
        </w:rPr>
        <w:t>concerns</w:t>
      </w:r>
      <w:r w:rsidRPr="6FE283EC">
        <w:rPr>
          <w:rFonts w:cs="Times New Roman"/>
          <w:b/>
          <w:noProof/>
          <w:lang w:val="en-GB"/>
        </w:rPr>
        <w:t xml:space="preserve"> GAEC 8</w:t>
      </w:r>
      <w:r w:rsidR="4BFF9B29" w:rsidRPr="6FE283EC">
        <w:rPr>
          <w:rFonts w:cs="Times New Roman"/>
          <w:b/>
          <w:noProof/>
          <w:lang w:val="en-GB"/>
        </w:rPr>
        <w:t xml:space="preserve"> </w:t>
      </w:r>
      <w:r w:rsidR="4BFF9B29" w:rsidRPr="6FE283EC">
        <w:rPr>
          <w:rFonts w:cs="Times New Roman"/>
          <w:noProof/>
          <w:lang w:val="en-GB"/>
        </w:rPr>
        <w:t>(measure B.1 in Annex 1)</w:t>
      </w:r>
      <w:r w:rsidR="00F4437A" w:rsidRPr="6FE283EC">
        <w:rPr>
          <w:rFonts w:cs="Times New Roman"/>
          <w:noProof/>
          <w:lang w:val="en-GB"/>
        </w:rPr>
        <w:t>.</w:t>
      </w:r>
      <w:r w:rsidR="00873BBD" w:rsidRPr="6FE283EC">
        <w:rPr>
          <w:rFonts w:cs="Times New Roman"/>
          <w:noProof/>
          <w:lang w:val="en-GB"/>
        </w:rPr>
        <w:t xml:space="preserve"> </w:t>
      </w:r>
      <w:r w:rsidR="0096786F" w:rsidRPr="00406DFD">
        <w:rPr>
          <w:rFonts w:cs="Times New Roman"/>
          <w:noProof/>
          <w:lang w:val="en-GB"/>
        </w:rPr>
        <w:t xml:space="preserve">The core new </w:t>
      </w:r>
      <w:r w:rsidR="1978A432" w:rsidRPr="00664468">
        <w:rPr>
          <w:rFonts w:cs="Times New Roman"/>
          <w:noProof/>
          <w:lang w:val="en-GB"/>
        </w:rPr>
        <w:t xml:space="preserve">and </w:t>
      </w:r>
      <w:r w:rsidR="6533BD0D" w:rsidRPr="00664468">
        <w:rPr>
          <w:rFonts w:cs="Times New Roman"/>
          <w:noProof/>
          <w:lang w:val="en-GB"/>
        </w:rPr>
        <w:t>strengthened</w:t>
      </w:r>
      <w:r w:rsidR="1978A432" w:rsidRPr="00664468">
        <w:rPr>
          <w:rFonts w:cs="Times New Roman"/>
          <w:noProof/>
          <w:lang w:val="en-GB"/>
        </w:rPr>
        <w:t xml:space="preserve"> </w:t>
      </w:r>
      <w:r w:rsidR="16D7980D" w:rsidRPr="00664468">
        <w:rPr>
          <w:rFonts w:cs="Times New Roman"/>
          <w:noProof/>
          <w:lang w:val="en-GB"/>
        </w:rPr>
        <w:t>requirement</w:t>
      </w:r>
      <w:r w:rsidR="00180526" w:rsidRPr="00406DFD">
        <w:rPr>
          <w:rFonts w:cs="Times New Roman"/>
          <w:noProof/>
          <w:lang w:val="en-GB"/>
        </w:rPr>
        <w:t>,</w:t>
      </w:r>
      <w:r w:rsidR="0096786F" w:rsidRPr="00406DFD">
        <w:rPr>
          <w:rFonts w:cs="Times New Roman"/>
          <w:noProof/>
          <w:lang w:val="en-GB"/>
        </w:rPr>
        <w:t xml:space="preserve"> compared</w:t>
      </w:r>
      <w:r w:rsidR="0096786F" w:rsidRPr="00664468">
        <w:rPr>
          <w:rFonts w:cs="Times New Roman"/>
          <w:noProof/>
          <w:lang w:val="en-GB"/>
        </w:rPr>
        <w:t xml:space="preserve"> to </w:t>
      </w:r>
      <w:r w:rsidR="00180526" w:rsidRPr="00664468">
        <w:rPr>
          <w:rFonts w:cs="Times New Roman"/>
          <w:noProof/>
          <w:lang w:val="en-GB"/>
        </w:rPr>
        <w:t xml:space="preserve">the </w:t>
      </w:r>
      <w:r w:rsidR="000B67F2" w:rsidRPr="00664468">
        <w:rPr>
          <w:rFonts w:cs="Times New Roman"/>
          <w:noProof/>
          <w:lang w:val="en-GB"/>
        </w:rPr>
        <w:t xml:space="preserve">pre-2023 </w:t>
      </w:r>
      <w:r w:rsidR="0096786F" w:rsidRPr="00664468">
        <w:rPr>
          <w:rFonts w:cs="Times New Roman"/>
          <w:noProof/>
          <w:lang w:val="en-GB"/>
        </w:rPr>
        <w:t>CAP</w:t>
      </w:r>
      <w:r w:rsidR="00180526" w:rsidRPr="00664468">
        <w:rPr>
          <w:rFonts w:cs="Times New Roman"/>
          <w:noProof/>
          <w:lang w:val="en-GB"/>
        </w:rPr>
        <w:t>,</w:t>
      </w:r>
      <w:r w:rsidR="0096786F" w:rsidRPr="00664468">
        <w:rPr>
          <w:rFonts w:cs="Times New Roman"/>
          <w:noProof/>
          <w:lang w:val="en-GB"/>
        </w:rPr>
        <w:t xml:space="preserve"> was the share of arable land to be devoted to non-productive </w:t>
      </w:r>
      <w:r w:rsidR="0066332B" w:rsidRPr="00664468">
        <w:rPr>
          <w:rFonts w:cs="Times New Roman"/>
          <w:noProof/>
          <w:lang w:val="en-GB"/>
        </w:rPr>
        <w:t xml:space="preserve">areas and </w:t>
      </w:r>
      <w:r w:rsidR="0096786F" w:rsidRPr="00664468">
        <w:rPr>
          <w:rFonts w:cs="Times New Roman"/>
          <w:noProof/>
          <w:lang w:val="en-GB"/>
        </w:rPr>
        <w:t>elements at farm level</w:t>
      </w:r>
      <w:r w:rsidR="005F6465" w:rsidRPr="00664468">
        <w:rPr>
          <w:rFonts w:cs="Times New Roman"/>
          <w:noProof/>
          <w:lang w:val="en-GB"/>
        </w:rPr>
        <w:t xml:space="preserve"> (4%,</w:t>
      </w:r>
      <w:r w:rsidR="009F1D53" w:rsidRPr="00664468">
        <w:rPr>
          <w:rFonts w:cs="Times New Roman"/>
          <w:noProof/>
          <w:lang w:val="en-GB"/>
        </w:rPr>
        <w:t xml:space="preserve"> and</w:t>
      </w:r>
      <w:r w:rsidR="005F6465" w:rsidRPr="00664468">
        <w:rPr>
          <w:rFonts w:cs="Times New Roman"/>
          <w:noProof/>
          <w:lang w:val="en-GB"/>
        </w:rPr>
        <w:t xml:space="preserve"> in some cases 3%)</w:t>
      </w:r>
      <w:r w:rsidR="0096786F" w:rsidRPr="00664468">
        <w:rPr>
          <w:rFonts w:cs="Times New Roman"/>
          <w:noProof/>
          <w:lang w:val="en-GB"/>
        </w:rPr>
        <w:t>.</w:t>
      </w:r>
      <w:r w:rsidR="0096786F" w:rsidRPr="6FE283EC">
        <w:rPr>
          <w:rFonts w:cs="Times New Roman"/>
          <w:noProof/>
          <w:lang w:val="en-GB"/>
        </w:rPr>
        <w:t xml:space="preserve"> </w:t>
      </w:r>
      <w:r w:rsidRPr="6FE283EC">
        <w:rPr>
          <w:rFonts w:cs="Times New Roman"/>
          <w:noProof/>
          <w:lang w:val="en-GB"/>
        </w:rPr>
        <w:t>The</w:t>
      </w:r>
      <w:r w:rsidRPr="6FE283EC" w:rsidDel="0037232E">
        <w:rPr>
          <w:rFonts w:cs="Times New Roman"/>
          <w:noProof/>
          <w:lang w:val="en-GB"/>
        </w:rPr>
        <w:t xml:space="preserve"> </w:t>
      </w:r>
      <w:r w:rsidRPr="6FE283EC">
        <w:rPr>
          <w:rFonts w:cs="Times New Roman"/>
          <w:noProof/>
          <w:lang w:val="en-GB"/>
        </w:rPr>
        <w:t>assessment of the environmental impact</w:t>
      </w:r>
      <w:r w:rsidR="00873BBD" w:rsidRPr="6FE283EC">
        <w:rPr>
          <w:rFonts w:cs="Times New Roman"/>
          <w:noProof/>
          <w:lang w:val="en-GB"/>
        </w:rPr>
        <w:t xml:space="preserve"> </w:t>
      </w:r>
      <w:r w:rsidR="00C91F41" w:rsidRPr="6FE283EC">
        <w:rPr>
          <w:rFonts w:cs="Times New Roman"/>
          <w:noProof/>
          <w:lang w:val="en-GB"/>
        </w:rPr>
        <w:t>of removing th</w:t>
      </w:r>
      <w:r w:rsidR="00765C4D" w:rsidRPr="6FE283EC">
        <w:rPr>
          <w:rFonts w:cs="Times New Roman"/>
          <w:noProof/>
          <w:lang w:val="en-GB"/>
        </w:rPr>
        <w:t>is</w:t>
      </w:r>
      <w:r w:rsidR="00C91F41" w:rsidRPr="6FE283EC">
        <w:rPr>
          <w:rFonts w:cs="Times New Roman"/>
          <w:noProof/>
          <w:lang w:val="en-GB"/>
        </w:rPr>
        <w:t xml:space="preserve"> obligation </w:t>
      </w:r>
      <w:r w:rsidR="00873BBD" w:rsidRPr="6FE283EC">
        <w:rPr>
          <w:rFonts w:cs="Times New Roman"/>
          <w:noProof/>
          <w:lang w:val="en-GB"/>
        </w:rPr>
        <w:t xml:space="preserve">is </w:t>
      </w:r>
      <w:r w:rsidR="005E77AB" w:rsidRPr="6FE283EC">
        <w:rPr>
          <w:rFonts w:cs="Times New Roman"/>
          <w:noProof/>
          <w:lang w:val="en-GB"/>
        </w:rPr>
        <w:t xml:space="preserve">constrained </w:t>
      </w:r>
      <w:r w:rsidR="00FC565B" w:rsidRPr="6FE283EC">
        <w:rPr>
          <w:rFonts w:cs="Times New Roman"/>
          <w:noProof/>
          <w:lang w:val="en-GB"/>
        </w:rPr>
        <w:t xml:space="preserve">in particular </w:t>
      </w:r>
      <w:r w:rsidR="005E77AB" w:rsidRPr="6FE283EC">
        <w:rPr>
          <w:rFonts w:cs="Times New Roman"/>
          <w:noProof/>
          <w:lang w:val="en-GB"/>
        </w:rPr>
        <w:t xml:space="preserve">by </w:t>
      </w:r>
      <w:r w:rsidR="003D147A" w:rsidRPr="6FE283EC">
        <w:rPr>
          <w:rFonts w:cs="Times New Roman"/>
          <w:noProof/>
          <w:lang w:val="en-GB"/>
        </w:rPr>
        <w:t xml:space="preserve">the lack of experience </w:t>
      </w:r>
      <w:r w:rsidR="009F1D53" w:rsidRPr="6FE283EC">
        <w:rPr>
          <w:rFonts w:cs="Times New Roman"/>
          <w:noProof/>
          <w:lang w:val="en-GB"/>
        </w:rPr>
        <w:t>of</w:t>
      </w:r>
      <w:r w:rsidR="00961E4D" w:rsidRPr="6FE283EC">
        <w:rPr>
          <w:rFonts w:cs="Times New Roman"/>
          <w:noProof/>
          <w:lang w:val="en-GB"/>
        </w:rPr>
        <w:t xml:space="preserve"> </w:t>
      </w:r>
      <w:r w:rsidR="00FC565B" w:rsidRPr="6FE283EC">
        <w:rPr>
          <w:rFonts w:cs="Times New Roman"/>
          <w:noProof/>
          <w:lang w:val="en-GB"/>
        </w:rPr>
        <w:t>full implementation</w:t>
      </w:r>
      <w:r w:rsidR="009F1D53" w:rsidRPr="6FE283EC">
        <w:rPr>
          <w:rFonts w:cs="Times New Roman"/>
          <w:noProof/>
          <w:lang w:val="en-GB"/>
        </w:rPr>
        <w:t xml:space="preserve"> (see also the previous section)</w:t>
      </w:r>
      <w:r w:rsidRPr="6FE283EC">
        <w:rPr>
          <w:rFonts w:cs="Times New Roman"/>
          <w:noProof/>
          <w:lang w:val="en-GB"/>
        </w:rPr>
        <w:t>.</w:t>
      </w:r>
      <w:r w:rsidR="00992834" w:rsidRPr="6FE283EC">
        <w:rPr>
          <w:rFonts w:cs="Times New Roman"/>
          <w:noProof/>
          <w:lang w:val="en-GB"/>
        </w:rPr>
        <w:t xml:space="preserve"> </w:t>
      </w:r>
      <w:r w:rsidR="00A138E9" w:rsidRPr="6FE283EC">
        <w:rPr>
          <w:rFonts w:cs="Times New Roman"/>
          <w:noProof/>
          <w:lang w:val="en-GB"/>
        </w:rPr>
        <w:t xml:space="preserve">Its </w:t>
      </w:r>
      <w:r w:rsidR="00906BE9" w:rsidRPr="6FE283EC">
        <w:rPr>
          <w:rFonts w:cs="Times New Roman"/>
          <w:noProof/>
          <w:lang w:val="en-GB"/>
        </w:rPr>
        <w:t xml:space="preserve">replacement with a compulsory eco-scheme to </w:t>
      </w:r>
      <w:r w:rsidR="009F1D53" w:rsidRPr="6FE283EC">
        <w:rPr>
          <w:rFonts w:cs="Times New Roman"/>
          <w:noProof/>
          <w:lang w:val="en-GB"/>
        </w:rPr>
        <w:t xml:space="preserve">improve </w:t>
      </w:r>
      <w:r w:rsidR="00906BE9" w:rsidRPr="6FE283EC">
        <w:rPr>
          <w:rFonts w:cs="Times New Roman"/>
          <w:noProof/>
          <w:lang w:val="en-GB"/>
        </w:rPr>
        <w:t>on-farm biodiversity through incentive</w:t>
      </w:r>
      <w:r w:rsidR="00E60124" w:rsidRPr="6FE283EC">
        <w:rPr>
          <w:rFonts w:cs="Times New Roman"/>
          <w:noProof/>
          <w:lang w:val="en-GB"/>
        </w:rPr>
        <w:t xml:space="preserve">s </w:t>
      </w:r>
      <w:r w:rsidR="00906BE9" w:rsidRPr="6FE283EC">
        <w:rPr>
          <w:rFonts w:cs="Times New Roman"/>
          <w:noProof/>
          <w:lang w:val="en-GB"/>
        </w:rPr>
        <w:t>can only be assessed when</w:t>
      </w:r>
      <w:r w:rsidR="00A23EA5" w:rsidRPr="6FE283EC">
        <w:rPr>
          <w:rFonts w:cs="Times New Roman"/>
          <w:noProof/>
          <w:lang w:val="en-GB"/>
        </w:rPr>
        <w:t xml:space="preserve"> </w:t>
      </w:r>
      <w:r w:rsidR="00906BE9" w:rsidRPr="6FE283EC">
        <w:rPr>
          <w:rFonts w:cs="Times New Roman"/>
          <w:noProof/>
          <w:lang w:val="en-GB"/>
        </w:rPr>
        <w:t xml:space="preserve">the design and the level of uptake by farmers </w:t>
      </w:r>
      <w:r w:rsidR="00874484" w:rsidRPr="6FE283EC">
        <w:rPr>
          <w:rFonts w:cs="Times New Roman"/>
          <w:noProof/>
          <w:lang w:val="en-GB"/>
        </w:rPr>
        <w:t xml:space="preserve">of these new eco-schemes </w:t>
      </w:r>
      <w:r w:rsidR="00210454" w:rsidRPr="6FE283EC">
        <w:rPr>
          <w:rFonts w:cs="Times New Roman"/>
          <w:noProof/>
          <w:lang w:val="en-GB"/>
        </w:rPr>
        <w:t xml:space="preserve">becomes </w:t>
      </w:r>
      <w:r w:rsidR="00906BE9" w:rsidRPr="6FE283EC">
        <w:rPr>
          <w:rFonts w:cs="Times New Roman"/>
          <w:noProof/>
          <w:lang w:val="en-GB"/>
        </w:rPr>
        <w:t>known.</w:t>
      </w:r>
      <w:r w:rsidR="0039404F" w:rsidRPr="6FE283EC">
        <w:rPr>
          <w:rFonts w:cs="Times New Roman"/>
          <w:noProof/>
          <w:lang w:val="en-GB"/>
        </w:rPr>
        <w:t xml:space="preserve"> Furthermore, many </w:t>
      </w:r>
      <w:r w:rsidR="00523AA0" w:rsidRPr="6FE283EC">
        <w:rPr>
          <w:rFonts w:cs="Times New Roman"/>
          <w:noProof/>
          <w:lang w:val="en-GB"/>
        </w:rPr>
        <w:t>CAP Plans</w:t>
      </w:r>
      <w:r w:rsidR="0039404F" w:rsidRPr="6FE283EC">
        <w:rPr>
          <w:rFonts w:cs="Times New Roman"/>
          <w:noProof/>
          <w:lang w:val="en-GB"/>
        </w:rPr>
        <w:t xml:space="preserve"> include voluntary interventions that build on the first requirement of GAEC 8, </w:t>
      </w:r>
      <w:r w:rsidR="009F1D53" w:rsidRPr="6FE283EC">
        <w:rPr>
          <w:rFonts w:cs="Times New Roman"/>
          <w:noProof/>
          <w:lang w:val="en-GB"/>
        </w:rPr>
        <w:t xml:space="preserve">in term of </w:t>
      </w:r>
      <w:r w:rsidR="0039404F" w:rsidRPr="6FE283EC">
        <w:rPr>
          <w:rFonts w:cs="Times New Roman"/>
          <w:noProof/>
          <w:lang w:val="en-GB"/>
        </w:rPr>
        <w:t>qualit</w:t>
      </w:r>
      <w:r w:rsidR="009F1D53" w:rsidRPr="6FE283EC">
        <w:rPr>
          <w:rFonts w:cs="Times New Roman"/>
          <w:noProof/>
          <w:lang w:val="en-GB"/>
        </w:rPr>
        <w:t>y</w:t>
      </w:r>
      <w:r w:rsidR="0039404F" w:rsidRPr="6FE283EC">
        <w:rPr>
          <w:rFonts w:cs="Times New Roman"/>
          <w:noProof/>
          <w:lang w:val="en-GB"/>
        </w:rPr>
        <w:t xml:space="preserve"> and/or quantit</w:t>
      </w:r>
      <w:r w:rsidR="009F1D53" w:rsidRPr="6FE283EC">
        <w:rPr>
          <w:rFonts w:cs="Times New Roman"/>
          <w:noProof/>
          <w:lang w:val="en-GB"/>
        </w:rPr>
        <w:t>y,</w:t>
      </w:r>
      <w:r w:rsidR="00E02BEF" w:rsidRPr="6FE283EC">
        <w:rPr>
          <w:rFonts w:cs="Times New Roman"/>
          <w:noProof/>
          <w:lang w:val="en-GB"/>
        </w:rPr>
        <w:t xml:space="preserve"> and those might also be revised</w:t>
      </w:r>
      <w:r w:rsidR="0039404F" w:rsidRPr="6FE283EC">
        <w:rPr>
          <w:rFonts w:cs="Times New Roman"/>
          <w:noProof/>
          <w:lang w:val="en-GB"/>
        </w:rPr>
        <w:t xml:space="preserve">. With </w:t>
      </w:r>
      <w:r w:rsidR="009F1D53" w:rsidRPr="6FE283EC">
        <w:rPr>
          <w:rFonts w:cs="Times New Roman"/>
          <w:noProof/>
          <w:lang w:val="en-GB"/>
        </w:rPr>
        <w:t>the removal of the obligation</w:t>
      </w:r>
      <w:r w:rsidR="0039404F" w:rsidRPr="6FE283EC">
        <w:rPr>
          <w:rFonts w:cs="Times New Roman"/>
          <w:noProof/>
          <w:lang w:val="en-GB"/>
        </w:rPr>
        <w:t xml:space="preserve">, it is likely that the total </w:t>
      </w:r>
      <w:r w:rsidR="009F1D53" w:rsidRPr="6FE283EC">
        <w:rPr>
          <w:rFonts w:cs="Times New Roman"/>
          <w:noProof/>
          <w:lang w:val="en-GB"/>
        </w:rPr>
        <w:t xml:space="preserve">size </w:t>
      </w:r>
      <w:r w:rsidR="0039404F" w:rsidRPr="6FE283EC">
        <w:rPr>
          <w:rFonts w:cs="Times New Roman"/>
          <w:noProof/>
          <w:lang w:val="en-GB"/>
        </w:rPr>
        <w:t>of non-productive area</w:t>
      </w:r>
      <w:r w:rsidR="009F1D53" w:rsidRPr="6FE283EC">
        <w:rPr>
          <w:rFonts w:cs="Times New Roman"/>
          <w:noProof/>
          <w:lang w:val="en-GB"/>
        </w:rPr>
        <w:t>s</w:t>
      </w:r>
      <w:r w:rsidR="0039404F" w:rsidRPr="6FE283EC">
        <w:rPr>
          <w:rFonts w:cs="Times New Roman"/>
          <w:noProof/>
          <w:lang w:val="en-GB"/>
        </w:rPr>
        <w:t xml:space="preserve"> and features on arable land will decrease</w:t>
      </w:r>
      <w:r w:rsidR="00DA51F3" w:rsidRPr="6FE283EC">
        <w:rPr>
          <w:rFonts w:cs="Times New Roman"/>
          <w:noProof/>
          <w:lang w:val="en-GB"/>
        </w:rPr>
        <w:t xml:space="preserve"> due to economic pressures</w:t>
      </w:r>
      <w:r w:rsidR="0039404F" w:rsidRPr="6FE283EC">
        <w:rPr>
          <w:rFonts w:cs="Times New Roman"/>
          <w:noProof/>
          <w:lang w:val="en-GB"/>
        </w:rPr>
        <w:t>.</w:t>
      </w:r>
    </w:p>
    <w:p w14:paraId="1FD1CDAF" w14:textId="2CB1E50C" w:rsidR="001B600D" w:rsidRPr="00724676" w:rsidRDefault="00D533F7" w:rsidP="001B600D">
      <w:pPr>
        <w:spacing w:after="120"/>
        <w:jc w:val="both"/>
        <w:rPr>
          <w:rFonts w:cs="Times New Roman"/>
          <w:noProof/>
          <w:lang w:val="en-GB"/>
        </w:rPr>
      </w:pPr>
      <w:r w:rsidRPr="5B7F1876">
        <w:rPr>
          <w:rFonts w:cs="Times New Roman"/>
          <w:noProof/>
          <w:lang w:val="en-GB"/>
        </w:rPr>
        <w:t xml:space="preserve">The best available </w:t>
      </w:r>
      <w:r w:rsidRPr="5B7F1876">
        <w:rPr>
          <w:rFonts w:cs="Times New Roman"/>
          <w:b/>
          <w:bCs/>
          <w:noProof/>
          <w:lang w:val="en-GB"/>
        </w:rPr>
        <w:t>reference figures</w:t>
      </w:r>
      <w:r w:rsidR="005E41C9" w:rsidRPr="5B7F1876">
        <w:rPr>
          <w:rFonts w:cs="Times New Roman"/>
          <w:noProof/>
          <w:lang w:val="en-GB"/>
        </w:rPr>
        <w:t xml:space="preserve"> to </w:t>
      </w:r>
      <w:r w:rsidR="009F1D53" w:rsidRPr="5B7F1876">
        <w:rPr>
          <w:rFonts w:cs="Times New Roman"/>
          <w:noProof/>
          <w:lang w:val="en-GB"/>
        </w:rPr>
        <w:t xml:space="preserve">support an </w:t>
      </w:r>
      <w:r w:rsidR="3C602D6F" w:rsidRPr="6FE283EC">
        <w:rPr>
          <w:rFonts w:cs="Times New Roman"/>
          <w:noProof/>
          <w:lang w:val="en-GB"/>
        </w:rPr>
        <w:t xml:space="preserve">assessment </w:t>
      </w:r>
      <w:r w:rsidR="005E41C9" w:rsidRPr="5B7F1876">
        <w:rPr>
          <w:rFonts w:cs="Times New Roman"/>
          <w:noProof/>
          <w:lang w:val="en-GB"/>
        </w:rPr>
        <w:t xml:space="preserve">come from the FADN </w:t>
      </w:r>
      <w:r w:rsidR="002E540E" w:rsidRPr="5B7F1876">
        <w:rPr>
          <w:rFonts w:cs="Times New Roman"/>
          <w:noProof/>
          <w:lang w:val="en-GB"/>
        </w:rPr>
        <w:t xml:space="preserve">records </w:t>
      </w:r>
      <w:r w:rsidR="005E41C9" w:rsidRPr="5B7F1876">
        <w:rPr>
          <w:rFonts w:cs="Times New Roman"/>
          <w:noProof/>
          <w:lang w:val="en-GB"/>
        </w:rPr>
        <w:t>for fallow land</w:t>
      </w:r>
      <w:r w:rsidR="009709ED" w:rsidRPr="5B7F1876">
        <w:rPr>
          <w:rFonts w:cs="Times New Roman"/>
          <w:noProof/>
          <w:lang w:val="en-GB"/>
        </w:rPr>
        <w:t xml:space="preserve"> (see also </w:t>
      </w:r>
      <w:r w:rsidR="51B5796D" w:rsidRPr="6FE283EC">
        <w:rPr>
          <w:rFonts w:cs="Times New Roman"/>
          <w:noProof/>
          <w:lang w:val="en-GB"/>
        </w:rPr>
        <w:t>S</w:t>
      </w:r>
      <w:r w:rsidR="3D396A5C" w:rsidRPr="532033A3">
        <w:rPr>
          <w:rFonts w:cs="Times New Roman"/>
          <w:noProof/>
          <w:lang w:val="en-GB"/>
        </w:rPr>
        <w:t xml:space="preserve">ection </w:t>
      </w:r>
      <w:r w:rsidR="24FEAD68" w:rsidRPr="532033A3">
        <w:rPr>
          <w:rFonts w:cs="Times New Roman"/>
          <w:noProof/>
          <w:lang w:val="en-GB"/>
        </w:rPr>
        <w:t>6.2</w:t>
      </w:r>
      <w:r w:rsidR="009709ED" w:rsidRPr="5B7F1876">
        <w:rPr>
          <w:rFonts w:cs="Times New Roman"/>
          <w:noProof/>
          <w:lang w:val="en-GB"/>
        </w:rPr>
        <w:t xml:space="preserve"> above)</w:t>
      </w:r>
      <w:r w:rsidR="005E41C9" w:rsidRPr="5B7F1876">
        <w:rPr>
          <w:rFonts w:cs="Times New Roman"/>
          <w:noProof/>
          <w:lang w:val="en-GB"/>
        </w:rPr>
        <w:t xml:space="preserve">, the LUCAS </w:t>
      </w:r>
      <w:r w:rsidR="1C0F3FE3" w:rsidRPr="532033A3">
        <w:rPr>
          <w:rFonts w:cs="Times New Roman"/>
          <w:noProof/>
          <w:lang w:val="en-GB"/>
        </w:rPr>
        <w:t xml:space="preserve">(land use/land cover) </w:t>
      </w:r>
      <w:r w:rsidR="005E41C9" w:rsidRPr="5B7F1876">
        <w:rPr>
          <w:rFonts w:cs="Times New Roman"/>
          <w:noProof/>
          <w:lang w:val="en-GB"/>
        </w:rPr>
        <w:t xml:space="preserve">survey for </w:t>
      </w:r>
      <w:r w:rsidR="00DE29B4" w:rsidRPr="5B7F1876">
        <w:rPr>
          <w:rFonts w:cs="Times New Roman"/>
          <w:noProof/>
          <w:lang w:val="en-GB"/>
        </w:rPr>
        <w:t xml:space="preserve">landscape features, </w:t>
      </w:r>
      <w:r w:rsidR="00625980" w:rsidRPr="5B7F1876">
        <w:rPr>
          <w:rFonts w:cs="Times New Roman"/>
          <w:noProof/>
          <w:lang w:val="en-GB"/>
        </w:rPr>
        <w:t xml:space="preserve">and, as regards the </w:t>
      </w:r>
      <w:r w:rsidR="007F37DE" w:rsidRPr="5B7F1876">
        <w:rPr>
          <w:rFonts w:cs="Times New Roman"/>
          <w:noProof/>
          <w:lang w:val="en-GB"/>
        </w:rPr>
        <w:t>areas</w:t>
      </w:r>
      <w:r w:rsidR="002C5367" w:rsidRPr="5B7F1876">
        <w:rPr>
          <w:rFonts w:cs="Times New Roman"/>
          <w:noProof/>
          <w:lang w:val="en-GB"/>
        </w:rPr>
        <w:t xml:space="preserve"> </w:t>
      </w:r>
      <w:r w:rsidR="00D77A24" w:rsidRPr="5B7F1876">
        <w:rPr>
          <w:rFonts w:cs="Times New Roman"/>
          <w:noProof/>
          <w:lang w:val="en-GB"/>
        </w:rPr>
        <w:t>covered by the first requirement of</w:t>
      </w:r>
      <w:r w:rsidR="002C5367" w:rsidRPr="5B7F1876">
        <w:rPr>
          <w:rFonts w:cs="Times New Roman"/>
          <w:noProof/>
          <w:lang w:val="en-GB"/>
        </w:rPr>
        <w:t xml:space="preserve"> GAEC 8</w:t>
      </w:r>
      <w:r w:rsidR="00F90B6D" w:rsidRPr="5B7F1876">
        <w:rPr>
          <w:rFonts w:cs="Times New Roman"/>
          <w:noProof/>
          <w:lang w:val="en-GB"/>
        </w:rPr>
        <w:t xml:space="preserve">, from </w:t>
      </w:r>
      <w:r w:rsidRPr="5B7F1876">
        <w:rPr>
          <w:rFonts w:cs="Times New Roman"/>
          <w:noProof/>
          <w:lang w:val="en-GB"/>
        </w:rPr>
        <w:t xml:space="preserve">implementation of the </w:t>
      </w:r>
      <w:r w:rsidR="00D77A24" w:rsidRPr="5B7F1876">
        <w:rPr>
          <w:rFonts w:cs="Times New Roman"/>
          <w:noProof/>
          <w:lang w:val="en-GB"/>
        </w:rPr>
        <w:t>obligation in the pre-2023 CAP to create</w:t>
      </w:r>
      <w:r w:rsidRPr="5B7F1876">
        <w:rPr>
          <w:rFonts w:cs="Times New Roman"/>
          <w:noProof/>
          <w:lang w:val="en-GB"/>
        </w:rPr>
        <w:t xml:space="preserve"> Ecological Focus Area</w:t>
      </w:r>
      <w:r w:rsidR="00D77A24" w:rsidRPr="5B7F1876">
        <w:rPr>
          <w:rFonts w:cs="Times New Roman"/>
          <w:noProof/>
          <w:lang w:val="en-GB"/>
        </w:rPr>
        <w:t>s</w:t>
      </w:r>
      <w:r w:rsidRPr="5B7F1876">
        <w:rPr>
          <w:rFonts w:cs="Times New Roman"/>
          <w:noProof/>
          <w:lang w:val="en-GB"/>
        </w:rPr>
        <w:t xml:space="preserve"> (EFA</w:t>
      </w:r>
      <w:r w:rsidR="00D77A24" w:rsidRPr="5B7F1876">
        <w:rPr>
          <w:rFonts w:cs="Times New Roman"/>
          <w:noProof/>
          <w:lang w:val="en-GB"/>
        </w:rPr>
        <w:t>s</w:t>
      </w:r>
      <w:r w:rsidRPr="5B7F1876">
        <w:rPr>
          <w:rFonts w:cs="Times New Roman"/>
          <w:noProof/>
          <w:lang w:val="en-GB"/>
        </w:rPr>
        <w:t>)</w:t>
      </w:r>
      <w:r w:rsidR="00D77A24" w:rsidRPr="5B7F1876">
        <w:rPr>
          <w:rFonts w:cs="Times New Roman"/>
          <w:noProof/>
          <w:lang w:val="en-GB"/>
        </w:rPr>
        <w:t xml:space="preserve">. </w:t>
      </w:r>
      <w:r w:rsidR="5ED633E7" w:rsidRPr="6FE283EC">
        <w:rPr>
          <w:rFonts w:cs="Times New Roman"/>
          <w:noProof/>
          <w:lang w:val="en-GB"/>
        </w:rPr>
        <w:t xml:space="preserve"> However, p</w:t>
      </w:r>
      <w:r w:rsidR="00B771D6" w:rsidRPr="5B7F1876">
        <w:rPr>
          <w:rFonts w:cs="Times New Roman"/>
          <w:noProof/>
          <w:lang w:val="en-GB"/>
        </w:rPr>
        <w:t>roductive areas</w:t>
      </w:r>
      <w:r w:rsidR="001B600D" w:rsidRPr="5B7F1876">
        <w:rPr>
          <w:rFonts w:cs="Times New Roman"/>
          <w:noProof/>
          <w:lang w:val="en-GB"/>
        </w:rPr>
        <w:t xml:space="preserve"> such as catch crops, nitrogen-fixing crops</w:t>
      </w:r>
      <w:r w:rsidR="00D77A24" w:rsidRPr="5B7F1876">
        <w:rPr>
          <w:rFonts w:cs="Times New Roman"/>
          <w:noProof/>
          <w:lang w:val="en-GB"/>
        </w:rPr>
        <w:t xml:space="preserve"> and </w:t>
      </w:r>
      <w:r w:rsidR="001B600D" w:rsidRPr="5B7F1876">
        <w:rPr>
          <w:rFonts w:cs="Times New Roman"/>
          <w:noProof/>
          <w:lang w:val="en-GB"/>
        </w:rPr>
        <w:t>short</w:t>
      </w:r>
      <w:r w:rsidR="00D77A24" w:rsidRPr="5B7F1876">
        <w:rPr>
          <w:rFonts w:cs="Times New Roman"/>
          <w:noProof/>
          <w:lang w:val="en-GB"/>
        </w:rPr>
        <w:t>-</w:t>
      </w:r>
      <w:r w:rsidR="001B600D" w:rsidRPr="5B7F1876">
        <w:rPr>
          <w:rFonts w:cs="Times New Roman"/>
          <w:noProof/>
          <w:lang w:val="en-GB"/>
        </w:rPr>
        <w:t>rotation coppice</w:t>
      </w:r>
      <w:r w:rsidR="00D77A24" w:rsidRPr="5B7F1876">
        <w:rPr>
          <w:rFonts w:cs="Times New Roman"/>
          <w:noProof/>
          <w:lang w:val="en-GB"/>
        </w:rPr>
        <w:t>s were also permitted under this EFA obligation</w:t>
      </w:r>
      <w:r w:rsidR="001B600D" w:rsidRPr="5B7F1876">
        <w:rPr>
          <w:rFonts w:cs="Times New Roman"/>
          <w:noProof/>
          <w:lang w:val="en-GB"/>
        </w:rPr>
        <w:t xml:space="preserve">. </w:t>
      </w:r>
    </w:p>
    <w:p w14:paraId="27DADB8B" w14:textId="428B4402" w:rsidR="00700E53" w:rsidRPr="00724676" w:rsidRDefault="00120D1F" w:rsidP="00700E53">
      <w:pPr>
        <w:spacing w:after="120"/>
        <w:jc w:val="both"/>
        <w:rPr>
          <w:rFonts w:cs="Times New Roman"/>
          <w:noProof/>
          <w:lang w:val="en-GB"/>
        </w:rPr>
      </w:pPr>
      <w:r w:rsidRPr="6FE283EC">
        <w:rPr>
          <w:rFonts w:cs="Times New Roman"/>
          <w:b/>
          <w:noProof/>
          <w:lang w:val="en-GB"/>
        </w:rPr>
        <w:t>At macro level (EU, Member States),</w:t>
      </w:r>
      <w:r w:rsidRPr="6FE283EC">
        <w:rPr>
          <w:rFonts w:cs="Times New Roman"/>
          <w:noProof/>
          <w:lang w:val="en-GB"/>
        </w:rPr>
        <w:t xml:space="preserve"> the deletion of the first requirement of GAEC 8 </w:t>
      </w:r>
      <w:r w:rsidR="009440CD" w:rsidRPr="6FE283EC">
        <w:rPr>
          <w:rFonts w:cs="Times New Roman"/>
          <w:noProof/>
          <w:lang w:val="en-GB"/>
        </w:rPr>
        <w:t xml:space="preserve">on </w:t>
      </w:r>
      <w:r w:rsidRPr="6FE283EC">
        <w:rPr>
          <w:rFonts w:cs="Times New Roman"/>
          <w:noProof/>
          <w:lang w:val="en-GB"/>
        </w:rPr>
        <w:t>non</w:t>
      </w:r>
      <w:r w:rsidR="00E123C3" w:rsidRPr="6FE283EC">
        <w:rPr>
          <w:rFonts w:cs="Times New Roman"/>
          <w:noProof/>
          <w:lang w:val="en-GB"/>
        </w:rPr>
        <w:t>-p</w:t>
      </w:r>
      <w:r w:rsidRPr="6FE283EC">
        <w:rPr>
          <w:rFonts w:cs="Times New Roman"/>
          <w:noProof/>
          <w:lang w:val="en-GB"/>
        </w:rPr>
        <w:t xml:space="preserve">roductive elements (areas and features) is </w:t>
      </w:r>
      <w:r w:rsidRPr="6FE283EC">
        <w:rPr>
          <w:rFonts w:cs="Times New Roman"/>
          <w:b/>
          <w:noProof/>
          <w:lang w:val="en-GB"/>
        </w:rPr>
        <w:t xml:space="preserve">not expected </w:t>
      </w:r>
      <w:r w:rsidR="00484036" w:rsidRPr="6FE283EC">
        <w:rPr>
          <w:rFonts w:cs="Times New Roman"/>
          <w:b/>
          <w:noProof/>
          <w:lang w:val="en-GB"/>
        </w:rPr>
        <w:t xml:space="preserve">to </w:t>
      </w:r>
      <w:r w:rsidR="00B74DFA" w:rsidRPr="6FE283EC">
        <w:rPr>
          <w:rFonts w:cs="Times New Roman"/>
          <w:b/>
          <w:noProof/>
          <w:lang w:val="en-GB"/>
        </w:rPr>
        <w:t xml:space="preserve">entail </w:t>
      </w:r>
      <w:r w:rsidR="00484036" w:rsidRPr="6FE283EC">
        <w:rPr>
          <w:rFonts w:cs="Times New Roman"/>
          <w:b/>
          <w:noProof/>
          <w:lang w:val="en-GB"/>
        </w:rPr>
        <w:t>a</w:t>
      </w:r>
      <w:r w:rsidR="00B74DFA" w:rsidRPr="6FE283EC">
        <w:rPr>
          <w:rFonts w:cs="Times New Roman"/>
          <w:b/>
          <w:noProof/>
          <w:lang w:val="en-GB"/>
        </w:rPr>
        <w:t xml:space="preserve">n equivalent reduction </w:t>
      </w:r>
      <w:r w:rsidR="009440CD" w:rsidRPr="6FE283EC">
        <w:rPr>
          <w:rFonts w:cs="Times New Roman"/>
          <w:b/>
          <w:noProof/>
          <w:lang w:val="en-GB"/>
        </w:rPr>
        <w:t xml:space="preserve">in the </w:t>
      </w:r>
      <w:r w:rsidRPr="6FE283EC">
        <w:rPr>
          <w:rFonts w:cs="Times New Roman"/>
          <w:b/>
          <w:noProof/>
          <w:lang w:val="en-GB"/>
        </w:rPr>
        <w:t>arable land</w:t>
      </w:r>
      <w:r w:rsidR="005800D2" w:rsidRPr="6FE283EC">
        <w:rPr>
          <w:rFonts w:cs="Times New Roman"/>
          <w:b/>
          <w:noProof/>
          <w:lang w:val="en-GB"/>
        </w:rPr>
        <w:t xml:space="preserve"> </w:t>
      </w:r>
      <w:r w:rsidR="004A5101" w:rsidRPr="6FE283EC">
        <w:rPr>
          <w:rFonts w:cs="Times New Roman"/>
          <w:b/>
          <w:noProof/>
          <w:lang w:val="en-GB"/>
        </w:rPr>
        <w:t>devoted to non-productive areas and features</w:t>
      </w:r>
      <w:r w:rsidR="00700E53" w:rsidRPr="6FE283EC">
        <w:rPr>
          <w:rFonts w:cs="Times New Roman"/>
          <w:noProof/>
          <w:lang w:val="en-GB"/>
        </w:rPr>
        <w:t xml:space="preserve">. GAEC 8 </w:t>
      </w:r>
      <w:r w:rsidR="009440CD" w:rsidRPr="6FE283EC">
        <w:rPr>
          <w:rFonts w:cs="Times New Roman"/>
          <w:b/>
          <w:noProof/>
          <w:lang w:val="en-GB"/>
        </w:rPr>
        <w:t>maintains</w:t>
      </w:r>
      <w:r w:rsidR="00700E53" w:rsidRPr="6FE283EC">
        <w:rPr>
          <w:rFonts w:cs="Times New Roman"/>
          <w:noProof/>
          <w:lang w:val="en-GB"/>
        </w:rPr>
        <w:t xml:space="preserve"> a requirement to </w:t>
      </w:r>
      <w:r w:rsidR="00700E53" w:rsidRPr="6FE283EC">
        <w:rPr>
          <w:rFonts w:cs="Times New Roman"/>
          <w:b/>
          <w:noProof/>
          <w:lang w:val="en-GB"/>
        </w:rPr>
        <w:t>protect existing landscape features</w:t>
      </w:r>
      <w:r w:rsidR="00700E53" w:rsidRPr="6FE283EC">
        <w:rPr>
          <w:rFonts w:cs="Times New Roman"/>
          <w:noProof/>
          <w:lang w:val="en-GB"/>
        </w:rPr>
        <w:t xml:space="preserve">, and a certain level of fallow land </w:t>
      </w:r>
      <w:r w:rsidR="62CDC809" w:rsidRPr="6FE283EC">
        <w:rPr>
          <w:rFonts w:cs="Times New Roman"/>
          <w:noProof/>
          <w:lang w:val="en-GB"/>
        </w:rPr>
        <w:t xml:space="preserve">will </w:t>
      </w:r>
      <w:r w:rsidR="009440CD" w:rsidRPr="6FE283EC">
        <w:rPr>
          <w:rFonts w:cs="Times New Roman"/>
          <w:noProof/>
          <w:lang w:val="en-GB"/>
        </w:rPr>
        <w:t xml:space="preserve">still be </w:t>
      </w:r>
      <w:r w:rsidR="00700E53" w:rsidRPr="6FE283EC">
        <w:rPr>
          <w:rFonts w:cs="Times New Roman"/>
          <w:noProof/>
          <w:lang w:val="en-GB"/>
        </w:rPr>
        <w:t xml:space="preserve">kept for agronomic purposes </w:t>
      </w:r>
      <w:r w:rsidR="00700E53" w:rsidRPr="6FE283EC">
        <w:rPr>
          <w:rFonts w:cs="Times New Roman"/>
          <w:b/>
          <w:noProof/>
          <w:lang w:val="en-GB"/>
        </w:rPr>
        <w:t>(‘voluntary fallow’)</w:t>
      </w:r>
      <w:r w:rsidR="00700E53" w:rsidRPr="6FE283EC">
        <w:rPr>
          <w:rFonts w:cs="Times New Roman"/>
          <w:noProof/>
          <w:lang w:val="en-GB"/>
        </w:rPr>
        <w:t xml:space="preserve">. </w:t>
      </w:r>
    </w:p>
    <w:p w14:paraId="28091297" w14:textId="0EFBE4D8" w:rsidR="00A95DF5" w:rsidRPr="00724676" w:rsidRDefault="00625601" w:rsidP="2B17071E">
      <w:pPr>
        <w:spacing w:after="120"/>
        <w:jc w:val="both"/>
        <w:rPr>
          <w:rFonts w:cs="Times New Roman"/>
          <w:noProof/>
          <w:lang w:val="en-GB"/>
        </w:rPr>
      </w:pPr>
      <w:r w:rsidRPr="2B17071E">
        <w:rPr>
          <w:rFonts w:cs="Times New Roman"/>
          <w:noProof/>
          <w:lang w:val="en-GB"/>
        </w:rPr>
        <w:t>Furthermore, t</w:t>
      </w:r>
      <w:r w:rsidR="00B85054" w:rsidRPr="2B17071E">
        <w:rPr>
          <w:rFonts w:cs="Times New Roman"/>
          <w:noProof/>
          <w:lang w:val="en-GB"/>
        </w:rPr>
        <w:t xml:space="preserve">he </w:t>
      </w:r>
      <w:r w:rsidR="4A242698" w:rsidRPr="2B17071E">
        <w:rPr>
          <w:rFonts w:cs="Times New Roman"/>
          <w:noProof/>
          <w:lang w:val="en-GB"/>
        </w:rPr>
        <w:t>2022</w:t>
      </w:r>
      <w:r w:rsidR="00B85054" w:rsidRPr="2B17071E">
        <w:rPr>
          <w:rFonts w:cs="Times New Roman"/>
          <w:noProof/>
          <w:lang w:val="en-GB"/>
        </w:rPr>
        <w:t xml:space="preserve"> LUCAS survey determined </w:t>
      </w:r>
      <w:r w:rsidR="009440CD" w:rsidRPr="2B17071E">
        <w:rPr>
          <w:rFonts w:cs="Times New Roman"/>
          <w:noProof/>
          <w:lang w:val="en-GB"/>
        </w:rPr>
        <w:t xml:space="preserve">that </w:t>
      </w:r>
      <w:r w:rsidR="00B85054" w:rsidRPr="2B17071E">
        <w:rPr>
          <w:rFonts w:cs="Times New Roman"/>
          <w:noProof/>
          <w:lang w:val="en-GB"/>
        </w:rPr>
        <w:t>woody, grass</w:t>
      </w:r>
      <w:r w:rsidR="00586C9C" w:rsidRPr="2B17071E">
        <w:rPr>
          <w:rFonts w:cs="Times New Roman"/>
          <w:noProof/>
          <w:lang w:val="en-GB"/>
        </w:rPr>
        <w:t>y</w:t>
      </w:r>
      <w:r w:rsidR="00B85054" w:rsidRPr="2B17071E">
        <w:rPr>
          <w:rFonts w:cs="Times New Roman"/>
          <w:noProof/>
          <w:lang w:val="en-GB"/>
        </w:rPr>
        <w:t xml:space="preserve">, wet and </w:t>
      </w:r>
      <w:r w:rsidR="00586C9C" w:rsidRPr="2B17071E">
        <w:rPr>
          <w:rFonts w:cs="Times New Roman"/>
          <w:noProof/>
          <w:lang w:val="en-GB"/>
        </w:rPr>
        <w:t>stony elements</w:t>
      </w:r>
      <w:r w:rsidR="009440CD" w:rsidRPr="2B17071E">
        <w:rPr>
          <w:rFonts w:cs="Times New Roman"/>
          <w:noProof/>
          <w:lang w:val="en-GB"/>
        </w:rPr>
        <w:t xml:space="preserve"> comprised</w:t>
      </w:r>
      <w:r w:rsidR="00B85054" w:rsidRPr="2B17071E">
        <w:rPr>
          <w:rFonts w:cs="Times New Roman"/>
          <w:noProof/>
          <w:lang w:val="en-GB"/>
        </w:rPr>
        <w:t xml:space="preserve"> an average</w:t>
      </w:r>
      <w:r w:rsidR="009440CD" w:rsidRPr="2B17071E">
        <w:rPr>
          <w:rFonts w:cs="Times New Roman"/>
          <w:noProof/>
          <w:lang w:val="en-GB"/>
        </w:rPr>
        <w:t xml:space="preserve"> of</w:t>
      </w:r>
      <w:r w:rsidR="00B85054" w:rsidRPr="2B17071E">
        <w:rPr>
          <w:rFonts w:cs="Times New Roman"/>
          <w:noProof/>
          <w:lang w:val="en-GB"/>
        </w:rPr>
        <w:t xml:space="preserve"> 4</w:t>
      </w:r>
      <w:r w:rsidR="0040580C" w:rsidRPr="2B17071E">
        <w:rPr>
          <w:rFonts w:cs="Times New Roman"/>
          <w:noProof/>
          <w:lang w:val="en-GB"/>
        </w:rPr>
        <w:t>.</w:t>
      </w:r>
      <w:r w:rsidR="00B85054" w:rsidRPr="2B17071E">
        <w:rPr>
          <w:rFonts w:cs="Times New Roman"/>
          <w:noProof/>
          <w:lang w:val="en-GB"/>
        </w:rPr>
        <w:t>9 % of EU arable land, ranging from 3% to 9% at the level of Member States</w:t>
      </w:r>
      <w:r w:rsidR="00364324" w:rsidRPr="2B17071E">
        <w:rPr>
          <w:rFonts w:cs="Times New Roman"/>
          <w:noProof/>
          <w:lang w:val="en-GB"/>
        </w:rPr>
        <w:t>.</w:t>
      </w:r>
      <w:r w:rsidR="00A46E9E" w:rsidRPr="2B17071E">
        <w:rPr>
          <w:rFonts w:cs="Times New Roman"/>
          <w:noProof/>
          <w:lang w:val="en-GB"/>
        </w:rPr>
        <w:t xml:space="preserve"> </w:t>
      </w:r>
      <w:r w:rsidR="00364324" w:rsidRPr="2B17071E">
        <w:rPr>
          <w:rFonts w:cs="Times New Roman"/>
          <w:noProof/>
          <w:lang w:val="en-GB"/>
        </w:rPr>
        <w:t>A</w:t>
      </w:r>
      <w:r w:rsidR="0AD80168" w:rsidRPr="2B17071E">
        <w:rPr>
          <w:rFonts w:cs="Times New Roman"/>
          <w:noProof/>
          <w:lang w:val="en-GB"/>
        </w:rPr>
        <w:t xml:space="preserve">t the level of </w:t>
      </w:r>
      <w:r w:rsidR="0051534E" w:rsidRPr="2B17071E">
        <w:rPr>
          <w:rFonts w:cs="Times New Roman"/>
          <w:noProof/>
          <w:lang w:val="en-GB"/>
        </w:rPr>
        <w:t xml:space="preserve">EU </w:t>
      </w:r>
      <w:r w:rsidR="0AD80168" w:rsidRPr="2B17071E">
        <w:rPr>
          <w:rFonts w:cs="Times New Roman"/>
          <w:noProof/>
          <w:lang w:val="en-GB"/>
        </w:rPr>
        <w:t>agricultural land this share is 5.6%</w:t>
      </w:r>
      <w:r w:rsidR="00C312A2" w:rsidRPr="2B17071E">
        <w:rPr>
          <w:rFonts w:cs="Times New Roman"/>
          <w:noProof/>
          <w:lang w:val="en-GB"/>
        </w:rPr>
        <w:t xml:space="preserve"> (</w:t>
      </w:r>
      <w:r w:rsidR="004075B1" w:rsidRPr="2B17071E">
        <w:rPr>
          <w:rFonts w:cs="Times New Roman"/>
          <w:noProof/>
          <w:lang w:val="en-GB"/>
        </w:rPr>
        <w:t xml:space="preserve">Figure </w:t>
      </w:r>
      <w:r w:rsidR="00261DD7" w:rsidRPr="2B17071E">
        <w:rPr>
          <w:rFonts w:cs="Times New Roman"/>
          <w:noProof/>
          <w:lang w:val="en-GB"/>
        </w:rPr>
        <w:t>3</w:t>
      </w:r>
      <w:r w:rsidR="00C312A2" w:rsidRPr="2B17071E">
        <w:rPr>
          <w:rFonts w:cs="Times New Roman"/>
          <w:noProof/>
          <w:lang w:val="en-GB"/>
        </w:rPr>
        <w:t>)</w:t>
      </w:r>
      <w:r w:rsidR="009440CD" w:rsidRPr="2B17071E">
        <w:rPr>
          <w:rFonts w:cs="Times New Roman"/>
          <w:noProof/>
          <w:lang w:val="en-GB"/>
        </w:rPr>
        <w:t>.</w:t>
      </w:r>
      <w:r w:rsidR="00D17BC7" w:rsidRPr="2B17071E">
        <w:rPr>
          <w:rFonts w:cs="Times New Roman"/>
          <w:noProof/>
          <w:lang w:val="en-GB"/>
        </w:rPr>
        <w:t xml:space="preserve"> </w:t>
      </w:r>
      <w:r w:rsidR="009440CD" w:rsidRPr="2B17071E">
        <w:rPr>
          <w:rFonts w:cs="Times New Roman"/>
          <w:noProof/>
          <w:lang w:val="en-GB"/>
        </w:rPr>
        <w:t xml:space="preserve">However, </w:t>
      </w:r>
      <w:r w:rsidR="00D17BC7" w:rsidRPr="2B17071E">
        <w:rPr>
          <w:rFonts w:cs="Times New Roman"/>
          <w:noProof/>
          <w:lang w:val="en-GB"/>
        </w:rPr>
        <w:t xml:space="preserve">not all </w:t>
      </w:r>
      <w:r w:rsidR="009440CD" w:rsidRPr="2B17071E">
        <w:rPr>
          <w:rFonts w:cs="Times New Roman"/>
          <w:noProof/>
          <w:lang w:val="en-GB"/>
        </w:rPr>
        <w:t xml:space="preserve">of </w:t>
      </w:r>
      <w:r w:rsidR="006C6402" w:rsidRPr="2B17071E">
        <w:rPr>
          <w:rFonts w:cs="Times New Roman"/>
          <w:noProof/>
          <w:lang w:val="en-GB"/>
        </w:rPr>
        <w:t xml:space="preserve">these </w:t>
      </w:r>
      <w:r w:rsidR="009440CD" w:rsidRPr="2B17071E">
        <w:rPr>
          <w:rFonts w:cs="Times New Roman"/>
          <w:noProof/>
          <w:lang w:val="en-GB"/>
        </w:rPr>
        <w:t xml:space="preserve">elements may have been </w:t>
      </w:r>
      <w:r w:rsidR="00D454D1" w:rsidRPr="2B17071E">
        <w:rPr>
          <w:rFonts w:cs="Times New Roman"/>
          <w:noProof/>
          <w:lang w:val="en-GB"/>
        </w:rPr>
        <w:t xml:space="preserve">within </w:t>
      </w:r>
      <w:r w:rsidR="00D17BC7" w:rsidRPr="2B17071E">
        <w:rPr>
          <w:rFonts w:cs="Times New Roman"/>
          <w:noProof/>
          <w:lang w:val="en-GB"/>
        </w:rPr>
        <w:t xml:space="preserve">the scope of the GAEC 8 </w:t>
      </w:r>
      <w:r w:rsidR="00D454D1" w:rsidRPr="2B17071E">
        <w:rPr>
          <w:rFonts w:cs="Times New Roman"/>
          <w:noProof/>
          <w:lang w:val="en-GB"/>
        </w:rPr>
        <w:t xml:space="preserve">retention requirement </w:t>
      </w:r>
      <w:r w:rsidR="00CA6ECD" w:rsidRPr="2B17071E">
        <w:rPr>
          <w:rFonts w:cs="Times New Roman"/>
          <w:noProof/>
          <w:lang w:val="en-GB"/>
        </w:rPr>
        <w:t>and</w:t>
      </w:r>
      <w:r w:rsidR="009440CD" w:rsidRPr="2B17071E">
        <w:rPr>
          <w:rFonts w:cs="Times New Roman"/>
          <w:noProof/>
          <w:lang w:val="en-GB"/>
        </w:rPr>
        <w:t>, therefore,</w:t>
      </w:r>
      <w:r w:rsidR="00CA6ECD" w:rsidRPr="2B17071E">
        <w:rPr>
          <w:rFonts w:cs="Times New Roman"/>
          <w:noProof/>
          <w:lang w:val="en-GB"/>
        </w:rPr>
        <w:t xml:space="preserve"> were not declared</w:t>
      </w:r>
      <w:r w:rsidR="00701B33" w:rsidRPr="2B17071E">
        <w:rPr>
          <w:rFonts w:cs="Times New Roman"/>
          <w:noProof/>
          <w:lang w:val="en-GB"/>
        </w:rPr>
        <w:t xml:space="preserve"> under the EFA</w:t>
      </w:r>
      <w:r w:rsidR="00B85054" w:rsidRPr="2B17071E">
        <w:rPr>
          <w:rFonts w:cs="Times New Roman"/>
          <w:noProof/>
          <w:lang w:val="en-GB"/>
        </w:rPr>
        <w:t xml:space="preserve">. </w:t>
      </w:r>
      <w:r w:rsidR="009239E9" w:rsidRPr="2B17071E">
        <w:rPr>
          <w:rFonts w:cs="Times New Roman"/>
          <w:noProof/>
          <w:lang w:val="en-GB"/>
        </w:rPr>
        <w:t>The estimates</w:t>
      </w:r>
      <w:r w:rsidR="00D17BC7" w:rsidRPr="2B17071E">
        <w:rPr>
          <w:rFonts w:cs="Times New Roman"/>
          <w:noProof/>
          <w:lang w:val="en-GB"/>
        </w:rPr>
        <w:t xml:space="preserve"> based on the FADN data indicate that at least </w:t>
      </w:r>
      <w:r w:rsidR="00EE52CB" w:rsidRPr="2B17071E">
        <w:rPr>
          <w:rFonts w:cs="Times New Roman"/>
          <w:noProof/>
          <w:lang w:val="en-GB"/>
        </w:rPr>
        <w:t>1.2 million hectares</w:t>
      </w:r>
      <w:r w:rsidR="6EC027CE" w:rsidRPr="2B17071E">
        <w:rPr>
          <w:rFonts w:cs="Times New Roman"/>
          <w:noProof/>
          <w:lang w:val="en-GB"/>
        </w:rPr>
        <w:t xml:space="preserve"> </w:t>
      </w:r>
      <w:r w:rsidR="00C25470" w:rsidRPr="2B17071E">
        <w:rPr>
          <w:rFonts w:cs="Times New Roman"/>
          <w:noProof/>
          <w:lang w:val="en-GB"/>
        </w:rPr>
        <w:t xml:space="preserve">under the CAP </w:t>
      </w:r>
      <w:r w:rsidR="00D97B2B" w:rsidRPr="2B17071E">
        <w:rPr>
          <w:rFonts w:cs="Times New Roman"/>
          <w:noProof/>
          <w:lang w:val="en-GB"/>
        </w:rPr>
        <w:t xml:space="preserve">would remain </w:t>
      </w:r>
      <w:r w:rsidR="00C25470" w:rsidRPr="2B17071E">
        <w:rPr>
          <w:rFonts w:cs="Times New Roman"/>
          <w:noProof/>
          <w:lang w:val="en-GB"/>
        </w:rPr>
        <w:t xml:space="preserve">fallow in the absence of the GAEC 8 </w:t>
      </w:r>
      <w:r w:rsidR="00D454D1" w:rsidRPr="2B17071E">
        <w:rPr>
          <w:rFonts w:cs="Times New Roman"/>
          <w:noProof/>
          <w:lang w:val="en-GB"/>
        </w:rPr>
        <w:t>requirement</w:t>
      </w:r>
      <w:r w:rsidR="00C25470" w:rsidRPr="2B17071E">
        <w:rPr>
          <w:rFonts w:cs="Times New Roman"/>
          <w:noProof/>
          <w:lang w:val="en-GB"/>
        </w:rPr>
        <w:t>.</w:t>
      </w:r>
    </w:p>
    <w:p w14:paraId="1FBE06F5" w14:textId="77777777" w:rsidR="005547D4" w:rsidRDefault="005547D4">
      <w:pPr>
        <w:rPr>
          <w:rFonts w:cs="Times New Roman"/>
          <w:i/>
          <w:iCs/>
          <w:noProof/>
          <w:szCs w:val="24"/>
          <w:lang w:val="en-GB"/>
        </w:rPr>
      </w:pPr>
      <w:bookmarkStart w:id="139" w:name="_Ref169101523"/>
      <w:r>
        <w:rPr>
          <w:rFonts w:cs="Times New Roman"/>
          <w:noProof/>
          <w:szCs w:val="24"/>
          <w:lang w:val="en-GB"/>
        </w:rPr>
        <w:br w:type="page"/>
      </w:r>
    </w:p>
    <w:p w14:paraId="4045CD11" w14:textId="7A90CAB9" w:rsidR="00B71821" w:rsidRPr="003E7CF4" w:rsidRDefault="007F0604" w:rsidP="00BD4F72">
      <w:pPr>
        <w:pStyle w:val="Caption"/>
        <w:spacing w:after="120" w:line="259" w:lineRule="auto"/>
        <w:jc w:val="both"/>
        <w:rPr>
          <w:rFonts w:cs="Times New Roman"/>
          <w:b/>
          <w:i w:val="0"/>
          <w:noProof/>
          <w:sz w:val="24"/>
          <w:szCs w:val="24"/>
          <w:lang w:val="en-GB"/>
        </w:rPr>
      </w:pPr>
      <w:r w:rsidRPr="003E7CF4">
        <w:rPr>
          <w:rFonts w:cs="Times New Roman"/>
          <w:noProof/>
          <w:color w:val="auto"/>
          <w:sz w:val="24"/>
          <w:szCs w:val="24"/>
          <w:lang w:val="en-GB"/>
        </w:rPr>
        <w:lastRenderedPageBreak/>
        <w:t xml:space="preserve">Figure </w:t>
      </w:r>
      <w:bookmarkEnd w:id="139"/>
      <w:r w:rsidR="00261DD7" w:rsidRPr="003E7CF4">
        <w:rPr>
          <w:rFonts w:cs="Times New Roman"/>
          <w:noProof/>
          <w:color w:val="auto"/>
          <w:sz w:val="24"/>
          <w:szCs w:val="24"/>
          <w:lang w:val="en-GB"/>
        </w:rPr>
        <w:t>3</w:t>
      </w:r>
      <w:r w:rsidRPr="003E7CF4">
        <w:rPr>
          <w:rFonts w:cs="Times New Roman"/>
          <w:noProof/>
          <w:color w:val="auto"/>
          <w:sz w:val="24"/>
          <w:szCs w:val="24"/>
          <w:lang w:val="en-GB"/>
        </w:rPr>
        <w:t xml:space="preserve"> Share of landscape features </w:t>
      </w:r>
      <w:r w:rsidR="004075B1" w:rsidRPr="003E7CF4">
        <w:rPr>
          <w:rFonts w:cs="Times New Roman"/>
          <w:noProof/>
          <w:color w:val="auto"/>
          <w:sz w:val="24"/>
          <w:szCs w:val="24"/>
          <w:lang w:val="en-GB"/>
        </w:rPr>
        <w:t xml:space="preserve">on </w:t>
      </w:r>
      <w:r w:rsidRPr="003E7CF4">
        <w:rPr>
          <w:rFonts w:cs="Times New Roman"/>
          <w:noProof/>
          <w:color w:val="auto"/>
          <w:sz w:val="24"/>
          <w:szCs w:val="24"/>
          <w:lang w:val="en-GB"/>
        </w:rPr>
        <w:t>agricultural land at NUTS 2 level (CAP impact indicator I.21)</w:t>
      </w:r>
    </w:p>
    <w:p w14:paraId="08DCD7F8" w14:textId="4EF70060" w:rsidR="00B71821" w:rsidRPr="00724676" w:rsidDel="0081483F" w:rsidRDefault="00B71821" w:rsidP="000436A5">
      <w:pPr>
        <w:spacing w:after="120"/>
        <w:jc w:val="center"/>
        <w:rPr>
          <w:noProof/>
          <w:lang w:val="en-GB"/>
        </w:rPr>
      </w:pPr>
      <w:r w:rsidRPr="00724676">
        <w:rPr>
          <w:noProof/>
          <w:lang w:val="en-GB" w:eastAsia="en-GB"/>
        </w:rPr>
        <w:drawing>
          <wp:inline distT="0" distB="0" distL="0" distR="0" wp14:anchorId="4CE2EE10" wp14:editId="38D3CCC5">
            <wp:extent cx="3908035" cy="3114675"/>
            <wp:effectExtent l="0" t="0" r="0" b="0"/>
            <wp:docPr id="3" name="Picture 3" descr="A map of europe with green shad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3908035" cy="3114675"/>
                    </a:xfrm>
                    <a:prstGeom prst="rect">
                      <a:avLst/>
                    </a:prstGeom>
                  </pic:spPr>
                </pic:pic>
              </a:graphicData>
            </a:graphic>
          </wp:inline>
        </w:drawing>
      </w:r>
    </w:p>
    <w:p w14:paraId="1B55FD4B" w14:textId="7292B7D7" w:rsidR="00B71821" w:rsidRPr="00BD3C71" w:rsidRDefault="00B71821" w:rsidP="00921335">
      <w:pPr>
        <w:spacing w:after="240"/>
        <w:jc w:val="both"/>
        <w:rPr>
          <w:rFonts w:cs="Times New Roman"/>
          <w:noProof/>
          <w:color w:val="000000"/>
          <w:sz w:val="20"/>
          <w:szCs w:val="20"/>
        </w:rPr>
      </w:pPr>
      <w:r w:rsidRPr="00BD3C71">
        <w:rPr>
          <w:rFonts w:cs="Times New Roman"/>
          <w:noProof/>
          <w:sz w:val="20"/>
          <w:szCs w:val="20"/>
        </w:rPr>
        <w:t xml:space="preserve">Source: JRC, more at : </w:t>
      </w:r>
      <w:hyperlink r:id="rId20">
        <w:r w:rsidRPr="00BD3C71">
          <w:rPr>
            <w:rStyle w:val="Hyperlink"/>
            <w:rFonts w:cs="Times New Roman"/>
            <w:noProof/>
            <w:sz w:val="20"/>
            <w:szCs w:val="20"/>
          </w:rPr>
          <w:t>https://publications.jrc.ec.europa.eu/repository/handle/JRC136069</w:t>
        </w:r>
      </w:hyperlink>
    </w:p>
    <w:p w14:paraId="49DF048F" w14:textId="051D58E6" w:rsidR="0021019C" w:rsidRPr="00724676" w:rsidRDefault="2D704EC5" w:rsidP="6B8A9F52">
      <w:pPr>
        <w:spacing w:after="120"/>
        <w:jc w:val="both"/>
        <w:rPr>
          <w:rFonts w:cs="Times New Roman"/>
          <w:b/>
          <w:bCs/>
          <w:noProof/>
          <w:lang w:val="en-GB"/>
        </w:rPr>
      </w:pPr>
      <w:r w:rsidRPr="48005626">
        <w:rPr>
          <w:rFonts w:cs="Times New Roman"/>
          <w:noProof/>
          <w:lang w:val="en-GB"/>
        </w:rPr>
        <w:t>T</w:t>
      </w:r>
      <w:r w:rsidR="28713F8F" w:rsidRPr="48005626">
        <w:rPr>
          <w:rFonts w:cs="Times New Roman"/>
          <w:noProof/>
          <w:lang w:val="en-GB"/>
        </w:rPr>
        <w:t xml:space="preserve">here are </w:t>
      </w:r>
      <w:r w:rsidRPr="48005626">
        <w:rPr>
          <w:rFonts w:cs="Times New Roman"/>
          <w:noProof/>
          <w:lang w:val="en-GB"/>
        </w:rPr>
        <w:t xml:space="preserve">certainly </w:t>
      </w:r>
      <w:r w:rsidR="28713F8F" w:rsidRPr="48005626">
        <w:rPr>
          <w:rFonts w:cs="Times New Roman"/>
          <w:noProof/>
          <w:lang w:val="en-GB"/>
        </w:rPr>
        <w:t xml:space="preserve">significant differences </w:t>
      </w:r>
      <w:r w:rsidRPr="48005626">
        <w:rPr>
          <w:rFonts w:cs="Times New Roman"/>
          <w:noProof/>
          <w:lang w:val="en-GB"/>
        </w:rPr>
        <w:t xml:space="preserve">between </w:t>
      </w:r>
      <w:r w:rsidR="28713F8F" w:rsidRPr="48005626">
        <w:rPr>
          <w:rFonts w:cs="Times New Roman"/>
          <w:noProof/>
          <w:lang w:val="en-GB"/>
        </w:rPr>
        <w:t>farm</w:t>
      </w:r>
      <w:r w:rsidR="26A1E19E" w:rsidRPr="48005626">
        <w:rPr>
          <w:rFonts w:cs="Times New Roman"/>
          <w:noProof/>
          <w:lang w:val="en-GB"/>
        </w:rPr>
        <w:t>ing</w:t>
      </w:r>
      <w:r w:rsidR="28713F8F" w:rsidRPr="48005626">
        <w:rPr>
          <w:rFonts w:cs="Times New Roman"/>
          <w:noProof/>
          <w:lang w:val="en-GB"/>
        </w:rPr>
        <w:t xml:space="preserve"> systems and farm locations</w:t>
      </w:r>
      <w:r w:rsidR="797FF8C1" w:rsidRPr="48005626">
        <w:rPr>
          <w:rFonts w:cs="Times New Roman"/>
          <w:noProof/>
          <w:color w:val="000000" w:themeColor="text1"/>
          <w:lang w:val="en-GB"/>
        </w:rPr>
        <w:t xml:space="preserve">. </w:t>
      </w:r>
      <w:r w:rsidR="28713F8F" w:rsidRPr="48005626">
        <w:rPr>
          <w:rFonts w:cs="Times New Roman"/>
          <w:noProof/>
          <w:color w:val="000000" w:themeColor="text1"/>
          <w:lang w:val="en-GB"/>
        </w:rPr>
        <w:t xml:space="preserve"> </w:t>
      </w:r>
      <w:r w:rsidR="797FF8C1" w:rsidRPr="48005626">
        <w:rPr>
          <w:rFonts w:cs="Times New Roman"/>
          <w:noProof/>
          <w:color w:val="000000" w:themeColor="text1"/>
          <w:lang w:val="en-GB"/>
        </w:rPr>
        <w:t>T</w:t>
      </w:r>
      <w:r w:rsidR="28713F8F" w:rsidRPr="48005626">
        <w:rPr>
          <w:rFonts w:cs="Times New Roman"/>
          <w:noProof/>
          <w:lang w:val="en-GB"/>
        </w:rPr>
        <w:t>he</w:t>
      </w:r>
      <w:r w:rsidRPr="48005626">
        <w:rPr>
          <w:rFonts w:cs="Times New Roman"/>
          <w:noProof/>
          <w:lang w:val="en-GB"/>
        </w:rPr>
        <w:t>re is an unequal distribution</w:t>
      </w:r>
      <w:r w:rsidR="7813E459" w:rsidRPr="48005626">
        <w:rPr>
          <w:rFonts w:cs="Times New Roman"/>
          <w:noProof/>
          <w:lang w:val="en-GB"/>
        </w:rPr>
        <w:t xml:space="preserve"> </w:t>
      </w:r>
      <w:r w:rsidRPr="48005626">
        <w:rPr>
          <w:rFonts w:cs="Times New Roman"/>
          <w:noProof/>
          <w:lang w:val="en-GB"/>
        </w:rPr>
        <w:t>of</w:t>
      </w:r>
      <w:r w:rsidR="28713F8F" w:rsidRPr="48005626">
        <w:rPr>
          <w:rFonts w:cs="Times New Roman"/>
          <w:noProof/>
          <w:lang w:val="en-GB"/>
        </w:rPr>
        <w:t xml:space="preserve"> fallow land and landscape features among farms. As a consequence, </w:t>
      </w:r>
      <w:r w:rsidRPr="48005626">
        <w:rPr>
          <w:rFonts w:cs="Times New Roman"/>
          <w:noProof/>
          <w:lang w:val="en-GB"/>
        </w:rPr>
        <w:t xml:space="preserve">it is expected that </w:t>
      </w:r>
      <w:r w:rsidR="28713F8F" w:rsidRPr="48005626">
        <w:rPr>
          <w:rFonts w:cs="Times New Roman"/>
          <w:noProof/>
          <w:lang w:val="en-GB"/>
        </w:rPr>
        <w:t xml:space="preserve">the </w:t>
      </w:r>
      <w:r w:rsidR="28713F8F" w:rsidRPr="48005626">
        <w:rPr>
          <w:rFonts w:cs="Times New Roman"/>
          <w:b/>
          <w:bCs/>
          <w:noProof/>
          <w:lang w:val="en-GB"/>
        </w:rPr>
        <w:t>impact</w:t>
      </w:r>
      <w:r w:rsidR="28713F8F" w:rsidRPr="48005626">
        <w:rPr>
          <w:rFonts w:cs="Times New Roman"/>
          <w:noProof/>
          <w:lang w:val="en-GB"/>
        </w:rPr>
        <w:t xml:space="preserve"> </w:t>
      </w:r>
      <w:r w:rsidR="28713F8F" w:rsidRPr="48005626">
        <w:rPr>
          <w:rFonts w:cs="Times New Roman"/>
          <w:b/>
          <w:bCs/>
          <w:noProof/>
          <w:lang w:val="en-GB"/>
        </w:rPr>
        <w:t>of the removal</w:t>
      </w:r>
      <w:r w:rsidR="28713F8F" w:rsidRPr="48005626">
        <w:rPr>
          <w:rFonts w:cs="Times New Roman"/>
          <w:noProof/>
          <w:lang w:val="en-GB"/>
        </w:rPr>
        <w:t xml:space="preserve"> of </w:t>
      </w:r>
      <w:r w:rsidRPr="48005626">
        <w:rPr>
          <w:rFonts w:cs="Times New Roman"/>
          <w:noProof/>
          <w:lang w:val="en-GB"/>
        </w:rPr>
        <w:t xml:space="preserve">the </w:t>
      </w:r>
      <w:r w:rsidR="28713F8F" w:rsidRPr="48005626">
        <w:rPr>
          <w:rFonts w:cs="Times New Roman"/>
          <w:noProof/>
          <w:lang w:val="en-GB"/>
        </w:rPr>
        <w:t xml:space="preserve">GAEC 8 </w:t>
      </w:r>
      <w:r w:rsidR="7584E402" w:rsidRPr="48005626">
        <w:rPr>
          <w:rFonts w:cs="Times New Roman"/>
          <w:noProof/>
          <w:lang w:val="en-GB"/>
        </w:rPr>
        <w:t xml:space="preserve">first requirement </w:t>
      </w:r>
      <w:r w:rsidR="28713F8F" w:rsidRPr="48005626">
        <w:rPr>
          <w:rFonts w:cs="Times New Roman"/>
          <w:b/>
          <w:bCs/>
          <w:noProof/>
          <w:lang w:val="en-GB"/>
        </w:rPr>
        <w:t>on biodiversity</w:t>
      </w:r>
      <w:r w:rsidR="28713F8F" w:rsidRPr="48005626">
        <w:rPr>
          <w:rFonts w:cs="Times New Roman"/>
          <w:noProof/>
          <w:lang w:val="en-GB"/>
        </w:rPr>
        <w:t xml:space="preserve"> </w:t>
      </w:r>
      <w:r w:rsidRPr="48005626">
        <w:rPr>
          <w:rFonts w:cs="Times New Roman"/>
          <w:b/>
          <w:bCs/>
          <w:noProof/>
          <w:lang w:val="en-GB"/>
        </w:rPr>
        <w:t>will be seen</w:t>
      </w:r>
      <w:r w:rsidR="28713F8F" w:rsidRPr="48005626">
        <w:rPr>
          <w:rFonts w:cs="Times New Roman"/>
          <w:noProof/>
          <w:lang w:val="en-GB"/>
        </w:rPr>
        <w:t xml:space="preserve"> </w:t>
      </w:r>
      <w:r w:rsidR="28713F8F" w:rsidRPr="48005626">
        <w:rPr>
          <w:rFonts w:cs="Times New Roman"/>
          <w:b/>
          <w:bCs/>
          <w:noProof/>
          <w:lang w:val="en-GB"/>
        </w:rPr>
        <w:t>in regions with few landscape features</w:t>
      </w:r>
      <w:r w:rsidR="28713F8F" w:rsidRPr="48005626">
        <w:rPr>
          <w:rFonts w:cs="Times New Roman"/>
          <w:noProof/>
          <w:lang w:val="en-GB"/>
        </w:rPr>
        <w:t xml:space="preserve"> and </w:t>
      </w:r>
      <w:r w:rsidR="28713F8F" w:rsidRPr="48005626">
        <w:rPr>
          <w:rFonts w:cs="Times New Roman"/>
          <w:b/>
          <w:bCs/>
          <w:noProof/>
          <w:lang w:val="en-GB"/>
        </w:rPr>
        <w:t>highly productive arable land</w:t>
      </w:r>
      <w:r w:rsidR="28713F8F" w:rsidRPr="48005626">
        <w:rPr>
          <w:rFonts w:cs="Times New Roman"/>
          <w:noProof/>
          <w:lang w:val="en-GB"/>
        </w:rPr>
        <w:t xml:space="preserve">, which </w:t>
      </w:r>
      <w:r w:rsidRPr="48005626">
        <w:rPr>
          <w:rFonts w:cs="Times New Roman"/>
          <w:noProof/>
          <w:lang w:val="en-GB"/>
        </w:rPr>
        <w:t xml:space="preserve">are </w:t>
      </w:r>
      <w:r w:rsidR="28713F8F" w:rsidRPr="48005626">
        <w:rPr>
          <w:rFonts w:cs="Times New Roman"/>
          <w:noProof/>
          <w:lang w:val="en-GB"/>
        </w:rPr>
        <w:t xml:space="preserve">then also less likely to </w:t>
      </w:r>
      <w:r w:rsidR="7813E459" w:rsidRPr="48005626">
        <w:rPr>
          <w:rFonts w:cs="Times New Roman"/>
          <w:noProof/>
          <w:lang w:val="en-GB"/>
        </w:rPr>
        <w:t>commit</w:t>
      </w:r>
      <w:r w:rsidR="28713F8F" w:rsidRPr="48005626">
        <w:rPr>
          <w:rFonts w:cs="Times New Roman"/>
          <w:noProof/>
          <w:lang w:val="en-GB"/>
        </w:rPr>
        <w:t xml:space="preserve"> </w:t>
      </w:r>
      <w:r w:rsidRPr="48005626">
        <w:rPr>
          <w:rFonts w:cs="Times New Roman"/>
          <w:noProof/>
          <w:lang w:val="en-GB"/>
        </w:rPr>
        <w:t>to</w:t>
      </w:r>
      <w:r w:rsidR="28713F8F" w:rsidRPr="48005626">
        <w:rPr>
          <w:rFonts w:cs="Times New Roman"/>
          <w:noProof/>
          <w:lang w:val="en-GB"/>
        </w:rPr>
        <w:t xml:space="preserve"> voluntary measures. The literature review has shown the </w:t>
      </w:r>
      <w:r w:rsidR="28713F8F" w:rsidRPr="48005626">
        <w:rPr>
          <w:rFonts w:cs="Times New Roman"/>
          <w:b/>
          <w:bCs/>
          <w:noProof/>
          <w:lang w:val="en-GB"/>
        </w:rPr>
        <w:t>benefit</w:t>
      </w:r>
      <w:r w:rsidR="04597999" w:rsidRPr="48005626">
        <w:rPr>
          <w:rFonts w:cs="Times New Roman"/>
          <w:b/>
          <w:bCs/>
          <w:noProof/>
          <w:lang w:val="en-GB"/>
        </w:rPr>
        <w:t>s</w:t>
      </w:r>
      <w:r w:rsidR="28713F8F" w:rsidRPr="48005626">
        <w:rPr>
          <w:rFonts w:cs="Times New Roman"/>
          <w:noProof/>
          <w:lang w:val="en-GB"/>
        </w:rPr>
        <w:t xml:space="preserve"> of </w:t>
      </w:r>
      <w:r w:rsidRPr="48005626">
        <w:rPr>
          <w:rFonts w:cs="Times New Roman"/>
          <w:noProof/>
          <w:lang w:val="en-GB"/>
        </w:rPr>
        <w:t xml:space="preserve">a wide distribution of </w:t>
      </w:r>
      <w:r w:rsidR="28713F8F" w:rsidRPr="48005626">
        <w:rPr>
          <w:rFonts w:cs="Times New Roman"/>
          <w:noProof/>
          <w:lang w:val="en-GB"/>
        </w:rPr>
        <w:t>non-productive element</w:t>
      </w:r>
      <w:r w:rsidR="7584E402" w:rsidRPr="48005626">
        <w:rPr>
          <w:rFonts w:cs="Times New Roman"/>
          <w:noProof/>
          <w:lang w:val="en-GB"/>
        </w:rPr>
        <w:t>s</w:t>
      </w:r>
      <w:r w:rsidR="28713F8F" w:rsidRPr="48005626">
        <w:rPr>
          <w:rFonts w:cs="Times New Roman"/>
          <w:noProof/>
          <w:lang w:val="en-GB"/>
        </w:rPr>
        <w:t xml:space="preserve"> across holding parcels as regards ecosystem services</w:t>
      </w:r>
      <w:r w:rsidR="04597999" w:rsidRPr="48005626">
        <w:rPr>
          <w:rFonts w:cs="Times New Roman"/>
          <w:noProof/>
          <w:lang w:val="en-GB"/>
        </w:rPr>
        <w:t>. These benefits include: (i)</w:t>
      </w:r>
      <w:r w:rsidR="28713F8F" w:rsidRPr="48005626">
        <w:rPr>
          <w:rFonts w:cs="Times New Roman"/>
          <w:noProof/>
          <w:lang w:val="en-GB"/>
        </w:rPr>
        <w:t xml:space="preserve"> </w:t>
      </w:r>
      <w:r w:rsidR="04597999" w:rsidRPr="48005626">
        <w:rPr>
          <w:rFonts w:cs="Times New Roman"/>
          <w:noProof/>
          <w:lang w:val="en-GB"/>
        </w:rPr>
        <w:t xml:space="preserve">the </w:t>
      </w:r>
      <w:r w:rsidR="7A2E4B79" w:rsidRPr="48005626">
        <w:rPr>
          <w:rFonts w:cs="Times New Roman"/>
          <w:noProof/>
          <w:lang w:val="en-GB"/>
        </w:rPr>
        <w:t xml:space="preserve"> </w:t>
      </w:r>
      <w:r w:rsidR="57A4EB87" w:rsidRPr="48005626">
        <w:rPr>
          <w:rFonts w:cs="Times New Roman"/>
          <w:noProof/>
          <w:lang w:val="en-GB"/>
        </w:rPr>
        <w:t>limiting</w:t>
      </w:r>
      <w:r w:rsidR="04597999" w:rsidRPr="48005626">
        <w:rPr>
          <w:rFonts w:cs="Times New Roman"/>
          <w:noProof/>
          <w:lang w:val="en-GB"/>
        </w:rPr>
        <w:t xml:space="preserve"> of</w:t>
      </w:r>
      <w:r w:rsidR="28713F8F" w:rsidRPr="48005626">
        <w:rPr>
          <w:rFonts w:cs="Times New Roman"/>
          <w:noProof/>
          <w:lang w:val="en-GB"/>
        </w:rPr>
        <w:t xml:space="preserve"> erosion thanks to </w:t>
      </w:r>
      <w:r w:rsidR="04597999" w:rsidRPr="48005626">
        <w:rPr>
          <w:rFonts w:cs="Times New Roman"/>
          <w:noProof/>
          <w:lang w:val="en-GB"/>
        </w:rPr>
        <w:t xml:space="preserve">the effect of </w:t>
      </w:r>
      <w:r w:rsidR="28713F8F" w:rsidRPr="48005626">
        <w:rPr>
          <w:rFonts w:cs="Times New Roman"/>
          <w:noProof/>
          <w:lang w:val="en-GB"/>
        </w:rPr>
        <w:t>hedgerows</w:t>
      </w:r>
      <w:r w:rsidR="191A125E" w:rsidRPr="48005626">
        <w:rPr>
          <w:rFonts w:cs="Times New Roman"/>
          <w:noProof/>
          <w:lang w:val="en-GB"/>
        </w:rPr>
        <w:t xml:space="preserve"> </w:t>
      </w:r>
      <w:r w:rsidR="04597999" w:rsidRPr="48005626">
        <w:rPr>
          <w:rFonts w:cs="Times New Roman"/>
          <w:noProof/>
          <w:lang w:val="en-GB"/>
        </w:rPr>
        <w:t xml:space="preserve">on improved </w:t>
      </w:r>
      <w:r w:rsidR="191A125E" w:rsidRPr="48005626">
        <w:rPr>
          <w:rFonts w:cs="Times New Roman"/>
          <w:noProof/>
          <w:lang w:val="en-GB"/>
        </w:rPr>
        <w:t>soil quality</w:t>
      </w:r>
      <w:r w:rsidR="04597999" w:rsidRPr="48005626">
        <w:rPr>
          <w:rFonts w:cs="Times New Roman"/>
          <w:noProof/>
          <w:lang w:val="en-GB"/>
        </w:rPr>
        <w:t>; (ii)</w:t>
      </w:r>
      <w:r w:rsidR="28713F8F" w:rsidRPr="48005626">
        <w:rPr>
          <w:rFonts w:cs="Times New Roman"/>
          <w:noProof/>
          <w:lang w:val="en-GB"/>
        </w:rPr>
        <w:t xml:space="preserve"> </w:t>
      </w:r>
      <w:r w:rsidR="04597999" w:rsidRPr="48005626">
        <w:rPr>
          <w:rFonts w:cs="Times New Roman"/>
          <w:noProof/>
          <w:lang w:val="en-GB"/>
        </w:rPr>
        <w:t xml:space="preserve">the </w:t>
      </w:r>
      <w:r w:rsidR="28713F8F" w:rsidRPr="48005626">
        <w:rPr>
          <w:rFonts w:cs="Times New Roman"/>
          <w:noProof/>
          <w:lang w:val="en-GB"/>
        </w:rPr>
        <w:t>effect of windbreaks on microclimates</w:t>
      </w:r>
      <w:r w:rsidR="04597999" w:rsidRPr="48005626">
        <w:rPr>
          <w:rFonts w:cs="Times New Roman"/>
          <w:noProof/>
          <w:lang w:val="en-GB"/>
        </w:rPr>
        <w:t xml:space="preserve">; (iii) a reduction in </w:t>
      </w:r>
      <w:r w:rsidR="201F0F8F" w:rsidRPr="48005626">
        <w:rPr>
          <w:rFonts w:cs="Times New Roman"/>
          <w:noProof/>
          <w:lang w:val="en-GB"/>
        </w:rPr>
        <w:t xml:space="preserve">diffuse pollution by </w:t>
      </w:r>
      <w:r w:rsidR="53BEA0A7" w:rsidRPr="48005626">
        <w:rPr>
          <w:rFonts w:cs="Times New Roman"/>
          <w:noProof/>
          <w:lang w:val="en-GB"/>
        </w:rPr>
        <w:t>nitrates</w:t>
      </w:r>
      <w:r w:rsidR="201F0F8F" w:rsidRPr="48005626">
        <w:rPr>
          <w:rFonts w:cs="Times New Roman"/>
          <w:noProof/>
          <w:lang w:val="en-GB"/>
        </w:rPr>
        <w:t xml:space="preserve"> and </w:t>
      </w:r>
      <w:r w:rsidR="26DDFA14" w:rsidRPr="48005626">
        <w:rPr>
          <w:rFonts w:cs="Times New Roman"/>
          <w:noProof/>
          <w:lang w:val="en-GB"/>
        </w:rPr>
        <w:t>phosphates</w:t>
      </w:r>
      <w:r w:rsidR="04597999" w:rsidRPr="48005626">
        <w:rPr>
          <w:rFonts w:cs="Times New Roman"/>
          <w:noProof/>
          <w:lang w:val="en-GB"/>
        </w:rPr>
        <w:t>; (iv) a reduced</w:t>
      </w:r>
      <w:r w:rsidR="201F0F8F" w:rsidRPr="48005626">
        <w:rPr>
          <w:rFonts w:cs="Times New Roman"/>
          <w:noProof/>
          <w:lang w:val="en-GB"/>
        </w:rPr>
        <w:t xml:space="preserve"> </w:t>
      </w:r>
      <w:r w:rsidR="6282503E" w:rsidRPr="48005626">
        <w:rPr>
          <w:rFonts w:cs="Times New Roman"/>
          <w:noProof/>
          <w:lang w:val="en-GB"/>
        </w:rPr>
        <w:t xml:space="preserve">use </w:t>
      </w:r>
      <w:r w:rsidR="431023D8" w:rsidRPr="48005626">
        <w:rPr>
          <w:rFonts w:cs="Times New Roman"/>
          <w:noProof/>
          <w:lang w:val="en-GB"/>
        </w:rPr>
        <w:t>of plant protection products</w:t>
      </w:r>
      <w:r w:rsidR="04597999" w:rsidRPr="48005626">
        <w:rPr>
          <w:rFonts w:cs="Times New Roman"/>
          <w:noProof/>
          <w:lang w:val="en-GB"/>
        </w:rPr>
        <w:t>; (v)</w:t>
      </w:r>
      <w:r w:rsidR="431023D8" w:rsidRPr="48005626">
        <w:rPr>
          <w:rFonts w:cs="Times New Roman"/>
          <w:noProof/>
          <w:lang w:val="en-GB"/>
        </w:rPr>
        <w:t xml:space="preserve"> </w:t>
      </w:r>
      <w:r w:rsidR="00D40239" w:rsidRPr="48005626">
        <w:rPr>
          <w:rFonts w:cs="Times New Roman"/>
          <w:noProof/>
          <w:lang w:val="en-GB"/>
        </w:rPr>
        <w:t>increased polli</w:t>
      </w:r>
      <w:r w:rsidR="5CBC7CA6" w:rsidRPr="48005626">
        <w:rPr>
          <w:rFonts w:cs="Times New Roman"/>
          <w:noProof/>
          <w:lang w:val="en-GB"/>
        </w:rPr>
        <w:t xml:space="preserve">nation and </w:t>
      </w:r>
      <w:r w:rsidR="04597999" w:rsidRPr="48005626">
        <w:rPr>
          <w:rFonts w:cs="Times New Roman"/>
          <w:noProof/>
          <w:lang w:val="en-GB"/>
        </w:rPr>
        <w:t xml:space="preserve">(vi) greater </w:t>
      </w:r>
      <w:r w:rsidR="5CBC7CA6" w:rsidRPr="48005626">
        <w:rPr>
          <w:rFonts w:cs="Times New Roman"/>
          <w:noProof/>
          <w:lang w:val="en-GB"/>
        </w:rPr>
        <w:t>contr</w:t>
      </w:r>
      <w:r w:rsidR="5B53C679" w:rsidRPr="48005626">
        <w:rPr>
          <w:rFonts w:cs="Times New Roman"/>
          <w:noProof/>
          <w:lang w:val="en-GB"/>
        </w:rPr>
        <w:t>ol</w:t>
      </w:r>
      <w:r w:rsidR="04597999" w:rsidRPr="48005626">
        <w:rPr>
          <w:rFonts w:cs="Times New Roman"/>
          <w:noProof/>
          <w:lang w:val="en-GB"/>
        </w:rPr>
        <w:t xml:space="preserve"> of</w:t>
      </w:r>
      <w:r w:rsidR="5B53C679" w:rsidRPr="48005626">
        <w:rPr>
          <w:rFonts w:cs="Times New Roman"/>
          <w:noProof/>
          <w:lang w:val="en-GB"/>
        </w:rPr>
        <w:t xml:space="preserve"> crop pests</w:t>
      </w:r>
      <w:r w:rsidR="693BA20E" w:rsidRPr="48005626">
        <w:rPr>
          <w:rFonts w:cs="Times New Roman"/>
          <w:noProof/>
          <w:lang w:val="en-GB"/>
        </w:rPr>
        <w:t xml:space="preserve">. However, these benefits </w:t>
      </w:r>
      <w:r w:rsidR="28713F8F" w:rsidRPr="48005626">
        <w:rPr>
          <w:rFonts w:cs="Times New Roman"/>
          <w:b/>
          <w:bCs/>
          <w:noProof/>
          <w:lang w:val="en-GB"/>
        </w:rPr>
        <w:t>may not materialise</w:t>
      </w:r>
      <w:r w:rsidR="28713F8F" w:rsidRPr="48005626">
        <w:rPr>
          <w:rFonts w:cs="Times New Roman"/>
          <w:noProof/>
          <w:lang w:val="en-GB"/>
        </w:rPr>
        <w:t xml:space="preserve"> for the</w:t>
      </w:r>
      <w:r w:rsidR="7584E402" w:rsidRPr="48005626">
        <w:rPr>
          <w:rFonts w:cs="Times New Roman"/>
          <w:noProof/>
          <w:lang w:val="en-GB"/>
        </w:rPr>
        <w:t xml:space="preserve"> farming</w:t>
      </w:r>
      <w:r w:rsidR="28713F8F" w:rsidRPr="48005626">
        <w:rPr>
          <w:rFonts w:cs="Times New Roman"/>
          <w:noProof/>
          <w:lang w:val="en-GB"/>
        </w:rPr>
        <w:t xml:space="preserve"> systems</w:t>
      </w:r>
      <w:r w:rsidR="693BA20E" w:rsidRPr="48005626">
        <w:rPr>
          <w:rFonts w:cs="Times New Roman"/>
          <w:noProof/>
          <w:lang w:val="en-GB"/>
        </w:rPr>
        <w:t xml:space="preserve"> characterised by few landscape features and highly productive arable land</w:t>
      </w:r>
      <w:r w:rsidR="28713F8F" w:rsidRPr="48005626">
        <w:rPr>
          <w:rFonts w:cs="Times New Roman"/>
          <w:noProof/>
          <w:lang w:val="en-GB"/>
        </w:rPr>
        <w:t>.</w:t>
      </w:r>
    </w:p>
    <w:p w14:paraId="01E21439" w14:textId="59C866F7" w:rsidR="00E6391A" w:rsidRPr="00724676" w:rsidRDefault="3A750046" w:rsidP="0021019C">
      <w:pPr>
        <w:spacing w:after="120"/>
        <w:jc w:val="both"/>
        <w:rPr>
          <w:rFonts w:cs="Times New Roman"/>
          <w:noProof/>
          <w:lang w:val="en-GB"/>
        </w:rPr>
      </w:pPr>
      <w:r w:rsidRPr="22669E3F">
        <w:rPr>
          <w:rFonts w:cs="Times New Roman"/>
          <w:noProof/>
          <w:lang w:val="en-GB"/>
        </w:rPr>
        <w:t xml:space="preserve">While GAEC 8 aims to improve </w:t>
      </w:r>
      <w:r w:rsidR="5F1F245B" w:rsidRPr="22669E3F">
        <w:rPr>
          <w:rFonts w:cs="Times New Roman"/>
          <w:noProof/>
          <w:lang w:val="en-GB"/>
        </w:rPr>
        <w:t xml:space="preserve">biodiversity </w:t>
      </w:r>
      <w:r w:rsidRPr="22669E3F">
        <w:rPr>
          <w:rFonts w:cs="Times New Roman"/>
          <w:noProof/>
          <w:lang w:val="en-GB"/>
        </w:rPr>
        <w:t>on</w:t>
      </w:r>
      <w:r w:rsidR="5F1F245B" w:rsidRPr="22669E3F">
        <w:rPr>
          <w:rFonts w:cs="Times New Roman"/>
          <w:noProof/>
          <w:lang w:val="en-GB"/>
        </w:rPr>
        <w:t xml:space="preserve"> </w:t>
      </w:r>
      <w:r w:rsidRPr="22669E3F">
        <w:rPr>
          <w:rFonts w:cs="Times New Roman"/>
          <w:noProof/>
          <w:lang w:val="en-GB"/>
        </w:rPr>
        <w:t>farm</w:t>
      </w:r>
      <w:r w:rsidR="5F1F245B" w:rsidRPr="22669E3F">
        <w:rPr>
          <w:rFonts w:cs="Times New Roman"/>
          <w:noProof/>
          <w:lang w:val="en-GB"/>
        </w:rPr>
        <w:t>s</w:t>
      </w:r>
      <w:r w:rsidRPr="22669E3F">
        <w:rPr>
          <w:rFonts w:cs="Times New Roman"/>
          <w:noProof/>
          <w:lang w:val="en-GB"/>
        </w:rPr>
        <w:t xml:space="preserve">, there are </w:t>
      </w:r>
      <w:r w:rsidRPr="22669E3F">
        <w:rPr>
          <w:rFonts w:cs="Times New Roman"/>
          <w:b/>
          <w:bCs/>
          <w:noProof/>
          <w:lang w:val="en-GB"/>
        </w:rPr>
        <w:t xml:space="preserve">other </w:t>
      </w:r>
      <w:r w:rsidR="1D132E41" w:rsidRPr="22669E3F">
        <w:rPr>
          <w:rFonts w:cs="Times New Roman"/>
          <w:b/>
          <w:bCs/>
          <w:noProof/>
          <w:lang w:val="en-GB"/>
        </w:rPr>
        <w:t xml:space="preserve">environmental </w:t>
      </w:r>
      <w:r w:rsidRPr="22669E3F">
        <w:rPr>
          <w:rFonts w:cs="Times New Roman"/>
          <w:b/>
          <w:bCs/>
          <w:noProof/>
          <w:lang w:val="en-GB"/>
        </w:rPr>
        <w:t>effects</w:t>
      </w:r>
      <w:r w:rsidRPr="22669E3F">
        <w:rPr>
          <w:rFonts w:cs="Times New Roman"/>
          <w:noProof/>
          <w:lang w:val="en-GB"/>
        </w:rPr>
        <w:t xml:space="preserve"> linked to non-productive areas </w:t>
      </w:r>
      <w:r w:rsidR="23AE1158" w:rsidRPr="22669E3F">
        <w:rPr>
          <w:rFonts w:cs="Times New Roman"/>
          <w:noProof/>
          <w:lang w:val="en-GB"/>
        </w:rPr>
        <w:t>given that</w:t>
      </w:r>
      <w:r w:rsidR="6F92D0EE" w:rsidRPr="22669E3F">
        <w:rPr>
          <w:rFonts w:cs="Times New Roman"/>
          <w:noProof/>
          <w:lang w:val="en-GB"/>
        </w:rPr>
        <w:t>,</w:t>
      </w:r>
      <w:r w:rsidR="1BB16EC0" w:rsidRPr="22669E3F">
        <w:rPr>
          <w:rFonts w:cs="Times New Roman"/>
          <w:noProof/>
          <w:lang w:val="en-GB"/>
        </w:rPr>
        <w:t xml:space="preserve"> </w:t>
      </w:r>
      <w:r w:rsidR="6F92D0EE" w:rsidRPr="22669E3F">
        <w:rPr>
          <w:rFonts w:cs="Times New Roman"/>
          <w:noProof/>
          <w:lang w:val="en-GB"/>
        </w:rPr>
        <w:t xml:space="preserve">in general, </w:t>
      </w:r>
      <w:r w:rsidR="1BB16EC0" w:rsidRPr="22669E3F">
        <w:rPr>
          <w:rFonts w:cs="Times New Roman"/>
          <w:noProof/>
          <w:lang w:val="en-GB"/>
        </w:rPr>
        <w:t xml:space="preserve">they are </w:t>
      </w:r>
      <w:r w:rsidR="5F1F245B" w:rsidRPr="22669E3F">
        <w:rPr>
          <w:rFonts w:cs="Times New Roman"/>
          <w:noProof/>
          <w:lang w:val="en-GB"/>
        </w:rPr>
        <w:t>free from</w:t>
      </w:r>
      <w:r w:rsidRPr="22669E3F">
        <w:rPr>
          <w:rFonts w:cs="Times New Roman"/>
          <w:noProof/>
          <w:lang w:val="en-GB"/>
        </w:rPr>
        <w:t xml:space="preserve"> fertilisers and </w:t>
      </w:r>
      <w:r w:rsidR="7E820901" w:rsidRPr="22669E3F">
        <w:rPr>
          <w:rFonts w:cs="Times New Roman"/>
          <w:noProof/>
          <w:lang w:val="en-GB"/>
        </w:rPr>
        <w:t>plant protection products</w:t>
      </w:r>
      <w:r w:rsidRPr="22669E3F">
        <w:rPr>
          <w:rFonts w:cs="Times New Roman"/>
          <w:noProof/>
          <w:lang w:val="en-GB"/>
        </w:rPr>
        <w:t xml:space="preserve">. Based on the </w:t>
      </w:r>
      <w:r w:rsidRPr="002346E2">
        <w:rPr>
          <w:rFonts w:cs="Times New Roman"/>
          <w:noProof/>
          <w:lang w:val="en-GB"/>
        </w:rPr>
        <w:t xml:space="preserve">estimates </w:t>
      </w:r>
      <w:r w:rsidR="5F1F245B" w:rsidRPr="002346E2">
        <w:rPr>
          <w:rFonts w:cs="Times New Roman"/>
          <w:noProof/>
          <w:lang w:val="en-GB"/>
        </w:rPr>
        <w:t xml:space="preserve">on </w:t>
      </w:r>
      <w:r w:rsidR="31375A4B" w:rsidRPr="002346E2">
        <w:rPr>
          <w:rFonts w:cs="Times New Roman"/>
          <w:noProof/>
          <w:lang w:val="en-GB"/>
        </w:rPr>
        <w:t xml:space="preserve">the </w:t>
      </w:r>
      <w:r w:rsidRPr="002346E2">
        <w:rPr>
          <w:rFonts w:cs="Times New Roman"/>
          <w:noProof/>
          <w:lang w:val="en-GB"/>
        </w:rPr>
        <w:t xml:space="preserve">economic impacts </w:t>
      </w:r>
      <w:r w:rsidR="5F1F245B" w:rsidRPr="002346E2">
        <w:rPr>
          <w:rFonts w:cs="Times New Roman"/>
          <w:noProof/>
          <w:lang w:val="en-GB"/>
        </w:rPr>
        <w:t xml:space="preserve">calculated </w:t>
      </w:r>
      <w:r w:rsidRPr="002346E2">
        <w:rPr>
          <w:rFonts w:cs="Times New Roman"/>
          <w:noProof/>
          <w:lang w:val="en-GB"/>
        </w:rPr>
        <w:t>using the IFM-CAP</w:t>
      </w:r>
      <w:r w:rsidR="0CE345DE" w:rsidRPr="002346E2">
        <w:rPr>
          <w:rFonts w:cs="Times New Roman"/>
          <w:noProof/>
          <w:lang w:val="en-GB"/>
        </w:rPr>
        <w:t xml:space="preserve"> </w:t>
      </w:r>
      <w:r w:rsidR="13CEDA75" w:rsidRPr="002346E2">
        <w:rPr>
          <w:rFonts w:cs="Times New Roman"/>
          <w:noProof/>
          <w:lang w:val="en-GB"/>
        </w:rPr>
        <w:t>model</w:t>
      </w:r>
      <w:r w:rsidR="0CE345DE" w:rsidRPr="002346E2">
        <w:rPr>
          <w:rFonts w:cs="Times New Roman"/>
          <w:noProof/>
          <w:lang w:val="en-GB"/>
        </w:rPr>
        <w:t xml:space="preserve"> (</w:t>
      </w:r>
      <w:r w:rsidR="263A855B" w:rsidRPr="002346E2">
        <w:rPr>
          <w:rFonts w:cs="Times New Roman"/>
          <w:noProof/>
          <w:lang w:val="en-GB"/>
        </w:rPr>
        <w:t xml:space="preserve">Annex </w:t>
      </w:r>
      <w:r w:rsidR="0EEE1B50" w:rsidRPr="002346E2">
        <w:rPr>
          <w:rFonts w:cs="Times New Roman"/>
          <w:noProof/>
          <w:lang w:val="en-GB"/>
        </w:rPr>
        <w:t>4</w:t>
      </w:r>
      <w:r w:rsidR="0CE345DE" w:rsidRPr="002346E2">
        <w:rPr>
          <w:rFonts w:cs="Times New Roman"/>
          <w:noProof/>
          <w:lang w:val="en-GB"/>
        </w:rPr>
        <w:t>)</w:t>
      </w:r>
      <w:r w:rsidRPr="002346E2">
        <w:rPr>
          <w:rFonts w:cs="Times New Roman"/>
          <w:noProof/>
          <w:lang w:val="en-GB"/>
        </w:rPr>
        <w:t xml:space="preserve">, the quantity of </w:t>
      </w:r>
      <w:r w:rsidR="285F193C" w:rsidRPr="002346E2">
        <w:rPr>
          <w:rFonts w:cs="Times New Roman"/>
          <w:b/>
          <w:noProof/>
          <w:lang w:val="en-GB"/>
        </w:rPr>
        <w:t>n</w:t>
      </w:r>
      <w:r w:rsidR="6E52711A" w:rsidRPr="002346E2">
        <w:rPr>
          <w:rFonts w:cs="Times New Roman"/>
          <w:b/>
          <w:noProof/>
          <w:lang w:val="en-GB"/>
        </w:rPr>
        <w:t>itrogen</w:t>
      </w:r>
      <w:r w:rsidRPr="002346E2">
        <w:rPr>
          <w:rFonts w:cs="Times New Roman"/>
          <w:b/>
          <w:noProof/>
          <w:lang w:val="en-GB"/>
        </w:rPr>
        <w:t xml:space="preserve"> mineral-fertiliser</w:t>
      </w:r>
      <w:r w:rsidRPr="002346E2">
        <w:rPr>
          <w:rFonts w:cs="Times New Roman"/>
          <w:noProof/>
          <w:lang w:val="en-GB"/>
        </w:rPr>
        <w:t xml:space="preserve"> use</w:t>
      </w:r>
      <w:r w:rsidR="31375A4B" w:rsidRPr="003E7CF4">
        <w:rPr>
          <w:rFonts w:cs="Times New Roman"/>
          <w:noProof/>
          <w:lang w:val="en-GB"/>
        </w:rPr>
        <w:t>d in</w:t>
      </w:r>
      <w:r w:rsidRPr="002346E2">
        <w:rPr>
          <w:rFonts w:cs="Times New Roman"/>
          <w:noProof/>
          <w:lang w:val="en-GB"/>
        </w:rPr>
        <w:t xml:space="preserve"> relat</w:t>
      </w:r>
      <w:r w:rsidR="31375A4B" w:rsidRPr="003E7CF4">
        <w:rPr>
          <w:rFonts w:cs="Times New Roman"/>
          <w:noProof/>
          <w:lang w:val="en-GB"/>
        </w:rPr>
        <w:t>ion</w:t>
      </w:r>
      <w:r w:rsidRPr="002346E2">
        <w:rPr>
          <w:rFonts w:cs="Times New Roman"/>
          <w:noProof/>
          <w:lang w:val="en-GB"/>
        </w:rPr>
        <w:t xml:space="preserve"> to </w:t>
      </w:r>
      <w:r w:rsidR="31375A4B" w:rsidRPr="003E7CF4">
        <w:rPr>
          <w:rFonts w:cs="Times New Roman"/>
          <w:noProof/>
          <w:lang w:val="en-GB"/>
        </w:rPr>
        <w:t xml:space="preserve">the </w:t>
      </w:r>
      <w:r w:rsidR="1F9BB491" w:rsidRPr="002346E2">
        <w:rPr>
          <w:rFonts w:cs="Times New Roman"/>
          <w:noProof/>
          <w:lang w:val="en-GB"/>
        </w:rPr>
        <w:t xml:space="preserve">deletion </w:t>
      </w:r>
      <w:r w:rsidRPr="002346E2">
        <w:rPr>
          <w:rFonts w:cs="Times New Roman"/>
          <w:noProof/>
          <w:lang w:val="en-GB"/>
        </w:rPr>
        <w:t xml:space="preserve">of </w:t>
      </w:r>
      <w:r w:rsidR="31375A4B" w:rsidRPr="003E7CF4">
        <w:rPr>
          <w:rFonts w:cs="Times New Roman"/>
          <w:noProof/>
          <w:lang w:val="en-GB"/>
        </w:rPr>
        <w:t xml:space="preserve">the </w:t>
      </w:r>
      <w:r w:rsidRPr="002346E2">
        <w:rPr>
          <w:rFonts w:cs="Times New Roman"/>
          <w:noProof/>
          <w:lang w:val="en-GB"/>
        </w:rPr>
        <w:t xml:space="preserve">GAEC 8 </w:t>
      </w:r>
      <w:r w:rsidR="1F9BB491" w:rsidRPr="002346E2">
        <w:rPr>
          <w:rFonts w:cs="Times New Roman"/>
          <w:noProof/>
          <w:lang w:val="en-GB"/>
        </w:rPr>
        <w:t xml:space="preserve">first requirement </w:t>
      </w:r>
      <w:r w:rsidR="782D7EAD" w:rsidRPr="002346E2">
        <w:rPr>
          <w:rFonts w:cs="Times New Roman"/>
          <w:b/>
          <w:noProof/>
          <w:lang w:val="en-GB"/>
        </w:rPr>
        <w:t>could</w:t>
      </w:r>
      <w:r w:rsidR="31375A4B" w:rsidRPr="003E7CF4">
        <w:rPr>
          <w:rFonts w:cs="Times New Roman"/>
          <w:b/>
          <w:bCs/>
          <w:noProof/>
          <w:lang w:val="en-GB"/>
        </w:rPr>
        <w:t xml:space="preserve"> </w:t>
      </w:r>
      <w:r w:rsidRPr="002346E2">
        <w:rPr>
          <w:rFonts w:cs="Times New Roman"/>
          <w:b/>
          <w:noProof/>
          <w:lang w:val="en-GB"/>
        </w:rPr>
        <w:t>increase</w:t>
      </w:r>
      <w:r w:rsidRPr="002346E2">
        <w:rPr>
          <w:rFonts w:cs="Times New Roman"/>
          <w:noProof/>
          <w:lang w:val="en-GB"/>
        </w:rPr>
        <w:t xml:space="preserve"> </w:t>
      </w:r>
      <w:r w:rsidR="31375A4B" w:rsidRPr="003E7CF4">
        <w:rPr>
          <w:rFonts w:cs="Times New Roman"/>
          <w:noProof/>
          <w:lang w:val="en-GB"/>
        </w:rPr>
        <w:t>by</w:t>
      </w:r>
      <w:r w:rsidR="273E4DC6" w:rsidRPr="002346E2">
        <w:rPr>
          <w:rFonts w:cs="Times New Roman"/>
          <w:noProof/>
          <w:lang w:val="en-GB"/>
        </w:rPr>
        <w:t xml:space="preserve"> around</w:t>
      </w:r>
      <w:r w:rsidRPr="002346E2">
        <w:rPr>
          <w:rFonts w:cs="Times New Roman"/>
          <w:noProof/>
          <w:lang w:val="en-GB"/>
        </w:rPr>
        <w:t xml:space="preserve"> </w:t>
      </w:r>
      <w:r w:rsidR="70452469" w:rsidRPr="002346E2">
        <w:rPr>
          <w:rFonts w:cs="Times New Roman"/>
          <w:noProof/>
          <w:lang w:val="en-GB"/>
        </w:rPr>
        <w:t>9</w:t>
      </w:r>
      <w:r w:rsidRPr="002346E2">
        <w:rPr>
          <w:rFonts w:cs="Times New Roman"/>
          <w:noProof/>
          <w:lang w:val="en-GB"/>
        </w:rPr>
        <w:t xml:space="preserve">.5 </w:t>
      </w:r>
      <w:r w:rsidR="6F5820F6" w:rsidRPr="002346E2">
        <w:rPr>
          <w:rFonts w:cs="Times New Roman"/>
          <w:noProof/>
          <w:lang w:val="en-GB"/>
        </w:rPr>
        <w:t>million</w:t>
      </w:r>
      <w:r w:rsidRPr="002346E2">
        <w:rPr>
          <w:rFonts w:cs="Times New Roman"/>
          <w:noProof/>
          <w:lang w:val="en-GB"/>
        </w:rPr>
        <w:t xml:space="preserve"> tonnes (</w:t>
      </w:r>
      <w:r w:rsidR="09F98E92" w:rsidRPr="002346E2">
        <w:rPr>
          <w:rFonts w:cs="Times New Roman"/>
          <w:noProof/>
          <w:lang w:val="en-GB"/>
        </w:rPr>
        <w:t>+</w:t>
      </w:r>
      <w:r w:rsidRPr="002346E2">
        <w:rPr>
          <w:rFonts w:cs="Times New Roman"/>
          <w:noProof/>
          <w:lang w:val="en-GB"/>
        </w:rPr>
        <w:t xml:space="preserve">2.1%) </w:t>
      </w:r>
      <w:r w:rsidR="1B5E7D7E" w:rsidRPr="002346E2">
        <w:rPr>
          <w:rFonts w:cs="Times New Roman"/>
          <w:noProof/>
          <w:lang w:val="en-GB"/>
        </w:rPr>
        <w:t xml:space="preserve">for the impacted farms. </w:t>
      </w:r>
      <w:r w:rsidR="30F21651" w:rsidRPr="002346E2">
        <w:rPr>
          <w:rFonts w:cs="Times New Roman"/>
          <w:noProof/>
          <w:lang w:val="en-GB"/>
        </w:rPr>
        <w:t>T</w:t>
      </w:r>
      <w:r w:rsidRPr="002346E2">
        <w:rPr>
          <w:rFonts w:cs="Times New Roman"/>
          <w:noProof/>
          <w:lang w:val="en-GB"/>
        </w:rPr>
        <w:t>he</w:t>
      </w:r>
      <w:r w:rsidR="5F63D203" w:rsidRPr="002346E2">
        <w:rPr>
          <w:rFonts w:cs="Times New Roman"/>
          <w:noProof/>
          <w:lang w:val="en-GB"/>
        </w:rPr>
        <w:t xml:space="preserve"> </w:t>
      </w:r>
      <w:r w:rsidRPr="002346E2">
        <w:rPr>
          <w:rFonts w:cs="Times New Roman"/>
          <w:b/>
          <w:noProof/>
          <w:lang w:val="en-GB"/>
        </w:rPr>
        <w:t xml:space="preserve">increase </w:t>
      </w:r>
      <w:r w:rsidR="418DBE45" w:rsidRPr="002346E2">
        <w:rPr>
          <w:rFonts w:cs="Times New Roman"/>
          <w:b/>
          <w:noProof/>
          <w:lang w:val="en-GB"/>
        </w:rPr>
        <w:t xml:space="preserve">in </w:t>
      </w:r>
      <w:r w:rsidR="774916BA" w:rsidRPr="002346E2">
        <w:rPr>
          <w:rFonts w:cs="Times New Roman"/>
          <w:b/>
          <w:noProof/>
          <w:lang w:val="en-GB"/>
        </w:rPr>
        <w:t xml:space="preserve">annual </w:t>
      </w:r>
      <w:r w:rsidR="5F1F245B" w:rsidRPr="002346E2">
        <w:rPr>
          <w:rFonts w:cs="Times New Roman"/>
          <w:b/>
          <w:noProof/>
          <w:lang w:val="en-GB"/>
        </w:rPr>
        <w:t xml:space="preserve">greenhouse gas </w:t>
      </w:r>
      <w:r w:rsidRPr="002346E2">
        <w:rPr>
          <w:rFonts w:cs="Times New Roman"/>
          <w:b/>
          <w:noProof/>
          <w:lang w:val="en-GB"/>
        </w:rPr>
        <w:t>emissions</w:t>
      </w:r>
      <w:r w:rsidRPr="22669E3F">
        <w:rPr>
          <w:rFonts w:cs="Times New Roman"/>
          <w:noProof/>
          <w:lang w:val="en-GB"/>
        </w:rPr>
        <w:t xml:space="preserve"> </w:t>
      </w:r>
      <w:r w:rsidR="622A9414" w:rsidRPr="22669E3F">
        <w:rPr>
          <w:rFonts w:cs="Times New Roman"/>
          <w:noProof/>
          <w:lang w:val="en-GB"/>
        </w:rPr>
        <w:t xml:space="preserve">due to mineral fertilisation is estimated to </w:t>
      </w:r>
      <w:r w:rsidRPr="22669E3F">
        <w:rPr>
          <w:rFonts w:cs="Times New Roman"/>
          <w:noProof/>
          <w:lang w:val="en-GB"/>
        </w:rPr>
        <w:t xml:space="preserve">be in the range of </w:t>
      </w:r>
      <w:r w:rsidR="0DFC102C" w:rsidRPr="22669E3F">
        <w:rPr>
          <w:rFonts w:cs="Times New Roman"/>
          <w:noProof/>
          <w:lang w:val="en-GB"/>
        </w:rPr>
        <w:t>9</w:t>
      </w:r>
      <w:r w:rsidR="1E4F637B" w:rsidRPr="22669E3F">
        <w:rPr>
          <w:rFonts w:cs="Times New Roman"/>
          <w:noProof/>
          <w:lang w:val="en-GB"/>
        </w:rPr>
        <w:t>00</w:t>
      </w:r>
      <w:r w:rsidR="0DFC102C" w:rsidRPr="22669E3F">
        <w:rPr>
          <w:rFonts w:cs="Times New Roman"/>
          <w:noProof/>
          <w:lang w:val="en-GB"/>
        </w:rPr>
        <w:t xml:space="preserve"> kt </w:t>
      </w:r>
      <w:r w:rsidR="0CE8349B" w:rsidRPr="22669E3F">
        <w:rPr>
          <w:rFonts w:cs="Times New Roman"/>
          <w:noProof/>
          <w:lang w:val="en-GB"/>
        </w:rPr>
        <w:t>CO₂</w:t>
      </w:r>
      <w:r w:rsidR="7F244C75" w:rsidRPr="22669E3F">
        <w:rPr>
          <w:rFonts w:cs="Times New Roman"/>
          <w:noProof/>
          <w:lang w:val="en-GB"/>
        </w:rPr>
        <w:t xml:space="preserve"> eq</w:t>
      </w:r>
      <w:r w:rsidR="418DBE45" w:rsidRPr="22669E3F">
        <w:rPr>
          <w:rFonts w:cs="Times New Roman"/>
          <w:noProof/>
          <w:lang w:val="en-GB"/>
        </w:rPr>
        <w:t>uivalent</w:t>
      </w:r>
      <w:r w:rsidR="1B5E7D7E" w:rsidRPr="22669E3F">
        <w:rPr>
          <w:rFonts w:cs="Times New Roman"/>
          <w:noProof/>
          <w:lang w:val="en-GB"/>
        </w:rPr>
        <w:t xml:space="preserve"> (</w:t>
      </w:r>
      <w:r w:rsidR="2F2A826F" w:rsidRPr="22669E3F">
        <w:rPr>
          <w:rFonts w:cs="Times New Roman"/>
          <w:noProof/>
          <w:lang w:val="en-GB"/>
        </w:rPr>
        <w:t>+</w:t>
      </w:r>
      <w:r w:rsidRPr="22669E3F">
        <w:rPr>
          <w:rFonts w:cs="Times New Roman"/>
          <w:noProof/>
          <w:lang w:val="en-GB"/>
        </w:rPr>
        <w:t>0.21%</w:t>
      </w:r>
      <w:r w:rsidR="1B5E7D7E" w:rsidRPr="22669E3F">
        <w:rPr>
          <w:rFonts w:cs="Times New Roman"/>
          <w:noProof/>
          <w:lang w:val="en-GB"/>
        </w:rPr>
        <w:t>)</w:t>
      </w:r>
      <w:r w:rsidR="0926EF6B" w:rsidRPr="22669E3F">
        <w:rPr>
          <w:rFonts w:cs="Times New Roman"/>
          <w:noProof/>
          <w:lang w:val="en-GB"/>
        </w:rPr>
        <w:t xml:space="preserve"> </w:t>
      </w:r>
      <w:r w:rsidRPr="22669E3F">
        <w:rPr>
          <w:rFonts w:cs="Times New Roman"/>
          <w:noProof/>
          <w:lang w:val="en-GB"/>
        </w:rPr>
        <w:t>for the impacted farms</w:t>
      </w:r>
      <w:r w:rsidR="29CA1096" w:rsidRPr="22669E3F">
        <w:rPr>
          <w:rFonts w:cs="Times New Roman"/>
          <w:noProof/>
          <w:lang w:val="en-GB"/>
        </w:rPr>
        <w:t xml:space="preserve"> (compared to the situation with GAEC 8, first requirement)</w:t>
      </w:r>
      <w:r w:rsidRPr="22669E3F">
        <w:rPr>
          <w:rFonts w:cs="Times New Roman"/>
          <w:noProof/>
          <w:lang w:val="en-GB"/>
        </w:rPr>
        <w:t xml:space="preserve">. </w:t>
      </w:r>
      <w:r w:rsidR="17733F0E" w:rsidRPr="22669E3F">
        <w:rPr>
          <w:rFonts w:cs="Times New Roman"/>
          <w:noProof/>
          <w:lang w:val="en-GB"/>
        </w:rPr>
        <w:t xml:space="preserve">These </w:t>
      </w:r>
      <w:r w:rsidR="1F9BB491" w:rsidRPr="22669E3F">
        <w:rPr>
          <w:rFonts w:cs="Times New Roman"/>
          <w:noProof/>
          <w:lang w:val="en-GB"/>
        </w:rPr>
        <w:t>figures do not represent</w:t>
      </w:r>
      <w:r w:rsidR="17733F0E" w:rsidRPr="22669E3F">
        <w:rPr>
          <w:rFonts w:cs="Times New Roman"/>
          <w:noProof/>
          <w:lang w:val="en-GB"/>
        </w:rPr>
        <w:t xml:space="preserve"> actual increases in </w:t>
      </w:r>
      <w:r w:rsidR="6041EBDD" w:rsidRPr="22669E3F">
        <w:rPr>
          <w:rFonts w:cs="Times New Roman"/>
          <w:noProof/>
          <w:lang w:val="en-GB"/>
        </w:rPr>
        <w:t xml:space="preserve">most Member States, as </w:t>
      </w:r>
      <w:r w:rsidR="418DBE45" w:rsidRPr="22669E3F">
        <w:rPr>
          <w:rFonts w:cs="Times New Roman"/>
          <w:noProof/>
          <w:lang w:val="en-GB"/>
        </w:rPr>
        <w:t xml:space="preserve">the </w:t>
      </w:r>
      <w:r w:rsidR="295A1D55" w:rsidRPr="22669E3F">
        <w:rPr>
          <w:rFonts w:cs="Times New Roman"/>
          <w:noProof/>
          <w:lang w:val="en-GB"/>
        </w:rPr>
        <w:t>GAEC 8</w:t>
      </w:r>
      <w:r w:rsidR="1A00A89B" w:rsidRPr="22669E3F">
        <w:rPr>
          <w:rFonts w:cs="Times New Roman"/>
          <w:noProof/>
          <w:lang w:val="en-GB"/>
        </w:rPr>
        <w:t xml:space="preserve"> first requirement </w:t>
      </w:r>
      <w:r w:rsidR="418DBE45" w:rsidRPr="22669E3F">
        <w:rPr>
          <w:rFonts w:cs="Times New Roman"/>
          <w:noProof/>
          <w:lang w:val="en-GB"/>
        </w:rPr>
        <w:t xml:space="preserve">was </w:t>
      </w:r>
      <w:r w:rsidR="295A1D55" w:rsidRPr="22669E3F">
        <w:rPr>
          <w:rFonts w:cs="Times New Roman"/>
          <w:noProof/>
          <w:lang w:val="en-GB"/>
        </w:rPr>
        <w:t xml:space="preserve">not </w:t>
      </w:r>
      <w:r w:rsidR="334B60DB" w:rsidRPr="22669E3F">
        <w:rPr>
          <w:rFonts w:cs="Times New Roman"/>
          <w:noProof/>
          <w:lang w:val="en-GB"/>
        </w:rPr>
        <w:t>applied in many countries</w:t>
      </w:r>
      <w:r w:rsidR="1A00A89B" w:rsidRPr="22669E3F">
        <w:rPr>
          <w:rFonts w:cs="Times New Roman"/>
          <w:noProof/>
          <w:lang w:val="en-GB"/>
        </w:rPr>
        <w:t xml:space="preserve"> in 2023</w:t>
      </w:r>
      <w:r w:rsidR="5F0F2BC5" w:rsidRPr="22669E3F">
        <w:rPr>
          <w:rFonts w:cs="Times New Roman"/>
          <w:noProof/>
          <w:lang w:val="en-GB"/>
        </w:rPr>
        <w:t>.</w:t>
      </w:r>
      <w:r w:rsidR="202467E2" w:rsidRPr="22669E3F">
        <w:rPr>
          <w:rFonts w:cs="Times New Roman"/>
          <w:noProof/>
          <w:lang w:val="en-GB"/>
        </w:rPr>
        <w:t xml:space="preserve"> </w:t>
      </w:r>
      <w:r w:rsidR="5F0F2BC5" w:rsidRPr="22669E3F">
        <w:rPr>
          <w:rFonts w:cs="Times New Roman"/>
          <w:noProof/>
          <w:lang w:val="en-GB"/>
        </w:rPr>
        <w:t>S</w:t>
      </w:r>
      <w:r w:rsidR="202467E2" w:rsidRPr="22669E3F">
        <w:rPr>
          <w:rFonts w:cs="Times New Roman"/>
          <w:noProof/>
          <w:lang w:val="en-GB"/>
        </w:rPr>
        <w:t>o</w:t>
      </w:r>
      <w:r w:rsidR="001F4F3E">
        <w:rPr>
          <w:rFonts w:cs="Times New Roman"/>
          <w:noProof/>
          <w:lang w:val="en-GB"/>
        </w:rPr>
        <w:t>,</w:t>
      </w:r>
      <w:r w:rsidR="202467E2" w:rsidRPr="22669E3F">
        <w:rPr>
          <w:rFonts w:cs="Times New Roman"/>
          <w:noProof/>
          <w:lang w:val="en-GB"/>
        </w:rPr>
        <w:t xml:space="preserve"> </w:t>
      </w:r>
      <w:r w:rsidR="1A00A89B" w:rsidRPr="22669E3F">
        <w:rPr>
          <w:rFonts w:cs="Times New Roman"/>
          <w:noProof/>
          <w:lang w:val="en-GB"/>
        </w:rPr>
        <w:t xml:space="preserve">these </w:t>
      </w:r>
      <w:r w:rsidR="1A00A89B" w:rsidRPr="003E7CF4">
        <w:rPr>
          <w:rFonts w:cs="Times New Roman"/>
          <w:b/>
          <w:bCs/>
          <w:noProof/>
          <w:lang w:val="en-GB"/>
        </w:rPr>
        <w:t>figures</w:t>
      </w:r>
      <w:r w:rsidR="202467E2" w:rsidRPr="003E7CF4">
        <w:rPr>
          <w:rFonts w:cs="Times New Roman"/>
          <w:b/>
          <w:bCs/>
          <w:noProof/>
          <w:lang w:val="en-GB"/>
        </w:rPr>
        <w:t xml:space="preserve"> rather </w:t>
      </w:r>
      <w:r w:rsidR="1A00A89B" w:rsidRPr="003E7CF4">
        <w:rPr>
          <w:rFonts w:cs="Times New Roman"/>
          <w:b/>
          <w:bCs/>
          <w:noProof/>
          <w:lang w:val="en-GB"/>
        </w:rPr>
        <w:t xml:space="preserve">represent </w:t>
      </w:r>
      <w:r w:rsidR="202467E2" w:rsidRPr="003E7CF4">
        <w:rPr>
          <w:rFonts w:cs="Times New Roman"/>
          <w:b/>
          <w:bCs/>
          <w:noProof/>
          <w:lang w:val="en-GB"/>
        </w:rPr>
        <w:t xml:space="preserve">the absence of </w:t>
      </w:r>
      <w:r w:rsidR="600DA352" w:rsidRPr="003E7CF4">
        <w:rPr>
          <w:rFonts w:cs="Times New Roman"/>
          <w:b/>
          <w:bCs/>
          <w:noProof/>
          <w:lang w:val="en-GB"/>
        </w:rPr>
        <w:t>a decrease</w:t>
      </w:r>
      <w:r w:rsidR="01F8756E" w:rsidRPr="003E7CF4">
        <w:rPr>
          <w:rFonts w:cs="Times New Roman"/>
          <w:b/>
          <w:bCs/>
          <w:noProof/>
          <w:lang w:val="en-GB"/>
        </w:rPr>
        <w:t xml:space="preserve"> that </w:t>
      </w:r>
      <w:r w:rsidR="1395CC54" w:rsidRPr="003E7CF4">
        <w:rPr>
          <w:rFonts w:cs="Times New Roman"/>
          <w:b/>
          <w:bCs/>
          <w:noProof/>
          <w:lang w:val="en-GB"/>
        </w:rPr>
        <w:t xml:space="preserve">could </w:t>
      </w:r>
      <w:r w:rsidR="2AF8B16D" w:rsidRPr="22669E3F">
        <w:rPr>
          <w:rFonts w:cs="Times New Roman"/>
          <w:b/>
          <w:bCs/>
          <w:noProof/>
          <w:lang w:val="en-GB"/>
        </w:rPr>
        <w:t xml:space="preserve">have </w:t>
      </w:r>
      <w:r w:rsidR="0B98CF3E" w:rsidRPr="003E7CF4">
        <w:rPr>
          <w:rFonts w:cs="Times New Roman"/>
          <w:b/>
          <w:bCs/>
          <w:noProof/>
          <w:lang w:val="en-GB"/>
        </w:rPr>
        <w:t>happen</w:t>
      </w:r>
      <w:r w:rsidR="078FBE28" w:rsidRPr="22669E3F">
        <w:rPr>
          <w:rFonts w:cs="Times New Roman"/>
          <w:b/>
          <w:bCs/>
          <w:noProof/>
          <w:lang w:val="en-GB"/>
        </w:rPr>
        <w:t>ed</w:t>
      </w:r>
      <w:r w:rsidR="0B98CF3E" w:rsidRPr="003E7CF4">
        <w:rPr>
          <w:rFonts w:cs="Times New Roman"/>
          <w:b/>
          <w:bCs/>
          <w:noProof/>
          <w:lang w:val="en-GB"/>
        </w:rPr>
        <w:t xml:space="preserve"> </w:t>
      </w:r>
      <w:r w:rsidR="43F937BF" w:rsidRPr="003E7CF4">
        <w:rPr>
          <w:rFonts w:cs="Times New Roman"/>
          <w:b/>
          <w:bCs/>
          <w:noProof/>
          <w:lang w:val="en-GB"/>
        </w:rPr>
        <w:t xml:space="preserve">due </w:t>
      </w:r>
      <w:r w:rsidR="117F4741" w:rsidRPr="003E7CF4">
        <w:rPr>
          <w:rFonts w:cs="Times New Roman"/>
          <w:b/>
          <w:bCs/>
          <w:noProof/>
          <w:lang w:val="en-GB"/>
        </w:rPr>
        <w:t>to</w:t>
      </w:r>
      <w:r w:rsidR="01F8756E" w:rsidRPr="003E7CF4">
        <w:rPr>
          <w:rFonts w:cs="Times New Roman"/>
          <w:b/>
          <w:bCs/>
          <w:noProof/>
          <w:lang w:val="en-GB"/>
        </w:rPr>
        <w:t xml:space="preserve"> </w:t>
      </w:r>
      <w:r w:rsidR="418DBE45" w:rsidRPr="003E7CF4">
        <w:rPr>
          <w:rFonts w:cs="Times New Roman"/>
          <w:b/>
          <w:bCs/>
          <w:noProof/>
          <w:lang w:val="en-GB"/>
        </w:rPr>
        <w:t xml:space="preserve">the </w:t>
      </w:r>
      <w:r w:rsidR="01F8756E" w:rsidRPr="003E7CF4">
        <w:rPr>
          <w:rFonts w:cs="Times New Roman"/>
          <w:b/>
          <w:bCs/>
          <w:noProof/>
          <w:lang w:val="en-GB"/>
        </w:rPr>
        <w:t>GAEC 8 first requirement</w:t>
      </w:r>
      <w:r w:rsidR="600DA352" w:rsidRPr="003E7CF4">
        <w:rPr>
          <w:rFonts w:cs="Times New Roman"/>
          <w:b/>
          <w:bCs/>
          <w:noProof/>
          <w:lang w:val="en-GB"/>
        </w:rPr>
        <w:t>.</w:t>
      </w:r>
      <w:r w:rsidR="600DA352" w:rsidRPr="22669E3F">
        <w:rPr>
          <w:rFonts w:cs="Times New Roman"/>
          <w:noProof/>
          <w:lang w:val="en-GB"/>
        </w:rPr>
        <w:t xml:space="preserve"> </w:t>
      </w:r>
      <w:r w:rsidR="600DA352" w:rsidRPr="0059361C">
        <w:rPr>
          <w:rFonts w:cs="Times New Roman"/>
          <w:noProof/>
          <w:lang w:val="en-GB"/>
        </w:rPr>
        <w:t xml:space="preserve">The figures </w:t>
      </w:r>
      <w:r w:rsidR="63442FDB" w:rsidRPr="0059361C">
        <w:rPr>
          <w:rFonts w:cs="Times New Roman"/>
          <w:noProof/>
          <w:lang w:val="en-GB"/>
        </w:rPr>
        <w:t>cover the</w:t>
      </w:r>
      <w:r w:rsidR="7C3EB76C" w:rsidRPr="0059361C">
        <w:rPr>
          <w:rFonts w:cs="Times New Roman"/>
          <w:noProof/>
          <w:lang w:val="en-GB"/>
        </w:rPr>
        <w:t xml:space="preserve"> </w:t>
      </w:r>
      <w:r w:rsidR="0B35200F" w:rsidRPr="0059361C">
        <w:rPr>
          <w:rFonts w:cs="Times New Roman"/>
          <w:noProof/>
          <w:lang w:val="en-GB"/>
        </w:rPr>
        <w:t xml:space="preserve">estimated </w:t>
      </w:r>
      <w:r w:rsidR="4FE2FB2B" w:rsidRPr="0059361C">
        <w:rPr>
          <w:rFonts w:cs="Times New Roman"/>
          <w:noProof/>
          <w:lang w:val="en-GB"/>
        </w:rPr>
        <w:t xml:space="preserve">use </w:t>
      </w:r>
      <w:r w:rsidR="418DBE45" w:rsidRPr="0059361C">
        <w:rPr>
          <w:rFonts w:cs="Times New Roman"/>
          <w:noProof/>
          <w:lang w:val="en-GB"/>
        </w:rPr>
        <w:t xml:space="preserve">of mineral fertilisers </w:t>
      </w:r>
      <w:r w:rsidR="4FE2FB2B" w:rsidRPr="0059361C">
        <w:rPr>
          <w:rFonts w:cs="Times New Roman"/>
          <w:noProof/>
          <w:lang w:val="en-GB"/>
        </w:rPr>
        <w:t xml:space="preserve">on </w:t>
      </w:r>
      <w:r w:rsidR="17978992" w:rsidRPr="0059361C">
        <w:rPr>
          <w:rFonts w:cs="Times New Roman"/>
          <w:noProof/>
          <w:lang w:val="en-GB"/>
        </w:rPr>
        <w:t xml:space="preserve">the </w:t>
      </w:r>
      <w:r w:rsidR="2AE2865D" w:rsidRPr="0059361C">
        <w:rPr>
          <w:rFonts w:cs="Times New Roman"/>
          <w:noProof/>
          <w:lang w:val="en-GB"/>
        </w:rPr>
        <w:t>2</w:t>
      </w:r>
      <w:r w:rsidR="418DBE45" w:rsidRPr="0059361C">
        <w:rPr>
          <w:rFonts w:cs="Times New Roman"/>
          <w:noProof/>
          <w:lang w:val="en-GB"/>
        </w:rPr>
        <w:t>.</w:t>
      </w:r>
      <w:r w:rsidR="2AE2865D" w:rsidRPr="0059361C">
        <w:rPr>
          <w:rFonts w:cs="Times New Roman"/>
          <w:noProof/>
          <w:lang w:val="en-GB"/>
        </w:rPr>
        <w:t>1 million hectare</w:t>
      </w:r>
      <w:r w:rsidR="783322BC" w:rsidRPr="0059361C">
        <w:rPr>
          <w:rFonts w:cs="Times New Roman"/>
          <w:noProof/>
          <w:lang w:val="en-GB"/>
        </w:rPr>
        <w:t>s</w:t>
      </w:r>
      <w:r w:rsidR="2AE2865D" w:rsidRPr="0059361C">
        <w:rPr>
          <w:rFonts w:cs="Times New Roman"/>
          <w:noProof/>
          <w:lang w:val="en-GB"/>
        </w:rPr>
        <w:t xml:space="preserve"> of </w:t>
      </w:r>
      <w:r w:rsidR="093CA523" w:rsidRPr="0059361C">
        <w:rPr>
          <w:rFonts w:cs="Times New Roman"/>
          <w:noProof/>
          <w:lang w:val="en-GB"/>
        </w:rPr>
        <w:t xml:space="preserve">arable </w:t>
      </w:r>
      <w:r w:rsidR="2AE2865D" w:rsidRPr="0059361C">
        <w:rPr>
          <w:rFonts w:cs="Times New Roman"/>
          <w:noProof/>
          <w:lang w:val="en-GB"/>
        </w:rPr>
        <w:t>land concerned.</w:t>
      </w:r>
      <w:r w:rsidR="093CA523" w:rsidRPr="0059361C">
        <w:rPr>
          <w:rFonts w:cs="Times New Roman"/>
          <w:noProof/>
          <w:lang w:val="en-GB"/>
        </w:rPr>
        <w:t xml:space="preserve"> </w:t>
      </w:r>
      <w:r w:rsidR="735D88FB" w:rsidRPr="0059361C">
        <w:rPr>
          <w:rFonts w:cs="Times New Roman"/>
          <w:noProof/>
          <w:lang w:val="en-GB"/>
        </w:rPr>
        <w:t xml:space="preserve">Other environmental impacts, </w:t>
      </w:r>
      <w:r w:rsidR="418DBE45" w:rsidRPr="0059361C">
        <w:rPr>
          <w:rFonts w:cs="Times New Roman"/>
          <w:noProof/>
          <w:lang w:val="en-GB"/>
        </w:rPr>
        <w:t xml:space="preserve">in particular </w:t>
      </w:r>
      <w:r w:rsidR="735D88FB" w:rsidRPr="0059361C">
        <w:rPr>
          <w:rFonts w:cs="Times New Roman"/>
          <w:noProof/>
          <w:lang w:val="en-GB"/>
        </w:rPr>
        <w:t xml:space="preserve">on biodiversity, could not be quantitatively assessed </w:t>
      </w:r>
      <w:r w:rsidR="418DBE45" w:rsidRPr="0059361C">
        <w:rPr>
          <w:rFonts w:cs="Times New Roman"/>
          <w:noProof/>
          <w:lang w:val="en-GB"/>
        </w:rPr>
        <w:t xml:space="preserve">at the time of writing by </w:t>
      </w:r>
      <w:r w:rsidR="735D88FB" w:rsidRPr="0059361C">
        <w:rPr>
          <w:rFonts w:cs="Times New Roman"/>
          <w:noProof/>
          <w:lang w:val="en-GB"/>
        </w:rPr>
        <w:t>using I</w:t>
      </w:r>
      <w:r w:rsidR="52DB0716" w:rsidRPr="0059361C">
        <w:rPr>
          <w:rFonts w:cs="Times New Roman"/>
          <w:noProof/>
          <w:lang w:val="en-GB"/>
        </w:rPr>
        <w:t>F</w:t>
      </w:r>
      <w:r w:rsidR="735D88FB" w:rsidRPr="0059361C">
        <w:rPr>
          <w:rFonts w:cs="Times New Roman"/>
          <w:noProof/>
          <w:lang w:val="en-GB"/>
        </w:rPr>
        <w:t>M-CAP.</w:t>
      </w:r>
      <w:r w:rsidR="27E20491" w:rsidRPr="22669E3F">
        <w:rPr>
          <w:rFonts w:cs="Times New Roman"/>
          <w:noProof/>
          <w:lang w:val="en-GB"/>
        </w:rPr>
        <w:t xml:space="preserve"> </w:t>
      </w:r>
    </w:p>
    <w:p w14:paraId="4DA9FC61" w14:textId="06D88CA3" w:rsidR="005D240B" w:rsidRPr="00724676" w:rsidRDefault="000902BC" w:rsidP="00BA4E5B">
      <w:pPr>
        <w:pStyle w:val="Heading2"/>
        <w:rPr>
          <w:noProof/>
          <w:lang w:val="en-GB"/>
        </w:rPr>
      </w:pPr>
      <w:r w:rsidRPr="00724676">
        <w:rPr>
          <w:noProof/>
          <w:lang w:val="en-GB"/>
        </w:rPr>
        <w:lastRenderedPageBreak/>
        <w:t xml:space="preserve"> </w:t>
      </w:r>
      <w:bookmarkStart w:id="140" w:name="_Toc172125137"/>
      <w:r w:rsidR="00B344FA" w:rsidRPr="00724676">
        <w:rPr>
          <w:noProof/>
          <w:lang w:val="en-GB"/>
        </w:rPr>
        <w:t xml:space="preserve">6.4 </w:t>
      </w:r>
      <w:r w:rsidR="00083333" w:rsidRPr="00724676">
        <w:rPr>
          <w:noProof/>
          <w:lang w:val="en-GB"/>
        </w:rPr>
        <w:t>Social impacts</w:t>
      </w:r>
      <w:bookmarkEnd w:id="140"/>
      <w:r w:rsidR="008F1B37" w:rsidRPr="00724676">
        <w:rPr>
          <w:noProof/>
          <w:lang w:val="en-GB"/>
        </w:rPr>
        <w:t xml:space="preserve"> </w:t>
      </w:r>
    </w:p>
    <w:p w14:paraId="2478F371" w14:textId="4F297B0D" w:rsidR="00083333" w:rsidRPr="00724676" w:rsidRDefault="008D44C0" w:rsidP="008805EE">
      <w:pPr>
        <w:spacing w:after="120"/>
        <w:jc w:val="both"/>
        <w:rPr>
          <w:rFonts w:eastAsia="Calibri" w:cs="Times New Roman"/>
          <w:noProof/>
          <w:szCs w:val="24"/>
          <w:lang w:val="en-GB"/>
        </w:rPr>
      </w:pPr>
      <w:r w:rsidRPr="00724676">
        <w:rPr>
          <w:rFonts w:eastAsia="Calibri" w:cs="Times New Roman"/>
          <w:noProof/>
          <w:szCs w:val="24"/>
          <w:lang w:val="en-GB"/>
        </w:rPr>
        <w:t>F</w:t>
      </w:r>
      <w:r w:rsidR="00083333" w:rsidRPr="00724676">
        <w:rPr>
          <w:rFonts w:eastAsia="Calibri" w:cs="Times New Roman"/>
          <w:noProof/>
          <w:szCs w:val="24"/>
          <w:lang w:val="en-GB"/>
        </w:rPr>
        <w:t xml:space="preserve">armer communities </w:t>
      </w:r>
      <w:r w:rsidR="00C53F79" w:rsidRPr="00724676">
        <w:rPr>
          <w:rFonts w:eastAsia="Calibri" w:cs="Times New Roman"/>
          <w:noProof/>
          <w:szCs w:val="24"/>
          <w:lang w:val="en-GB"/>
        </w:rPr>
        <w:t xml:space="preserve">tend to </w:t>
      </w:r>
      <w:r w:rsidR="00083333" w:rsidRPr="00724676">
        <w:rPr>
          <w:rFonts w:eastAsia="Calibri" w:cs="Times New Roman"/>
          <w:noProof/>
          <w:szCs w:val="24"/>
          <w:lang w:val="en-GB"/>
        </w:rPr>
        <w:t xml:space="preserve">perceive </w:t>
      </w:r>
      <w:r w:rsidRPr="00724676">
        <w:rPr>
          <w:rFonts w:eastAsia="Calibri" w:cs="Times New Roman"/>
          <w:noProof/>
          <w:szCs w:val="24"/>
          <w:lang w:val="en-GB"/>
        </w:rPr>
        <w:t xml:space="preserve">the control and penalty systems </w:t>
      </w:r>
      <w:r w:rsidR="00D53887">
        <w:rPr>
          <w:rFonts w:eastAsia="Calibri" w:cs="Times New Roman"/>
          <w:noProof/>
          <w:szCs w:val="24"/>
          <w:lang w:val="en-GB"/>
        </w:rPr>
        <w:t>negatively</w:t>
      </w:r>
      <w:r w:rsidR="00614027" w:rsidRPr="00724676">
        <w:rPr>
          <w:rFonts w:eastAsia="Calibri" w:cs="Times New Roman"/>
          <w:noProof/>
          <w:szCs w:val="24"/>
          <w:lang w:val="en-GB"/>
        </w:rPr>
        <w:t xml:space="preserve">, </w:t>
      </w:r>
      <w:r w:rsidR="006E1D8E" w:rsidRPr="00724676">
        <w:rPr>
          <w:rFonts w:eastAsia="Calibri" w:cs="Times New Roman"/>
          <w:noProof/>
          <w:szCs w:val="24"/>
          <w:lang w:val="en-GB"/>
        </w:rPr>
        <w:t xml:space="preserve">as </w:t>
      </w:r>
      <w:r w:rsidR="00AF27B3" w:rsidRPr="00724676">
        <w:rPr>
          <w:rFonts w:eastAsia="Calibri" w:cs="Times New Roman"/>
          <w:noProof/>
          <w:szCs w:val="24"/>
          <w:lang w:val="en-GB"/>
        </w:rPr>
        <w:t xml:space="preserve">being disproportionately </w:t>
      </w:r>
      <w:r w:rsidR="00D53887">
        <w:rPr>
          <w:rFonts w:eastAsia="Calibri" w:cs="Times New Roman"/>
          <w:noProof/>
          <w:szCs w:val="24"/>
          <w:lang w:val="en-GB"/>
        </w:rPr>
        <w:t>focused on</w:t>
      </w:r>
      <w:r w:rsidR="00D53887" w:rsidRPr="00724676">
        <w:rPr>
          <w:rFonts w:eastAsia="Calibri" w:cs="Times New Roman"/>
          <w:noProof/>
          <w:szCs w:val="24"/>
          <w:lang w:val="en-GB"/>
        </w:rPr>
        <w:t xml:space="preserve"> </w:t>
      </w:r>
      <w:r w:rsidR="00402AA9" w:rsidRPr="00724676">
        <w:rPr>
          <w:rFonts w:eastAsia="Calibri" w:cs="Times New Roman"/>
          <w:noProof/>
          <w:szCs w:val="24"/>
          <w:lang w:val="en-GB"/>
        </w:rPr>
        <w:t xml:space="preserve">and </w:t>
      </w:r>
      <w:r w:rsidR="00E7655F" w:rsidRPr="00724676">
        <w:rPr>
          <w:rFonts w:eastAsia="Calibri" w:cs="Times New Roman"/>
          <w:noProof/>
          <w:szCs w:val="24"/>
          <w:lang w:val="en-GB"/>
        </w:rPr>
        <w:t>penali</w:t>
      </w:r>
      <w:r w:rsidR="00D53887">
        <w:rPr>
          <w:rFonts w:eastAsia="Calibri" w:cs="Times New Roman"/>
          <w:noProof/>
          <w:szCs w:val="24"/>
          <w:lang w:val="en-GB"/>
        </w:rPr>
        <w:t>sing</w:t>
      </w:r>
      <w:r w:rsidR="00614027" w:rsidRPr="00724676">
        <w:rPr>
          <w:rFonts w:eastAsia="Calibri" w:cs="Times New Roman"/>
          <w:noProof/>
          <w:szCs w:val="24"/>
          <w:lang w:val="en-GB"/>
        </w:rPr>
        <w:t xml:space="preserve"> minor or incomprehensible </w:t>
      </w:r>
      <w:r w:rsidR="00BE0D4A" w:rsidRPr="00724676">
        <w:rPr>
          <w:rFonts w:eastAsia="Calibri" w:cs="Times New Roman"/>
          <w:noProof/>
          <w:szCs w:val="24"/>
          <w:lang w:val="en-GB"/>
        </w:rPr>
        <w:t>non-compliances</w:t>
      </w:r>
      <w:r w:rsidR="00402AA9" w:rsidRPr="00724676">
        <w:rPr>
          <w:rFonts w:eastAsia="Calibri" w:cs="Times New Roman"/>
          <w:noProof/>
          <w:szCs w:val="24"/>
          <w:lang w:val="en-GB"/>
        </w:rPr>
        <w:t>.</w:t>
      </w:r>
    </w:p>
    <w:p w14:paraId="1A56A34A" w14:textId="0BCDE8C1" w:rsidR="00083333" w:rsidRPr="00724676" w:rsidRDefault="0093370A" w:rsidP="008805EE">
      <w:pPr>
        <w:spacing w:after="120"/>
        <w:jc w:val="both"/>
        <w:rPr>
          <w:rFonts w:eastAsiaTheme="minorEastAsia" w:cs="Times New Roman"/>
          <w:noProof/>
          <w:szCs w:val="24"/>
          <w:lang w:val="en-GB"/>
        </w:rPr>
      </w:pPr>
      <w:r w:rsidRPr="00724676">
        <w:rPr>
          <w:rFonts w:eastAsia="Calibri" w:cs="Times New Roman"/>
          <w:noProof/>
          <w:szCs w:val="24"/>
          <w:lang w:val="en-GB"/>
        </w:rPr>
        <w:t xml:space="preserve">With better </w:t>
      </w:r>
      <w:r w:rsidR="00720CF5" w:rsidRPr="00724676">
        <w:rPr>
          <w:rFonts w:eastAsia="Calibri" w:cs="Times New Roman"/>
          <w:noProof/>
          <w:szCs w:val="24"/>
          <w:lang w:val="en-GB"/>
        </w:rPr>
        <w:t xml:space="preserve">use </w:t>
      </w:r>
      <w:r w:rsidR="00614027" w:rsidRPr="00724676">
        <w:rPr>
          <w:rFonts w:eastAsia="Calibri" w:cs="Times New Roman"/>
          <w:noProof/>
          <w:szCs w:val="24"/>
          <w:lang w:val="en-GB"/>
        </w:rPr>
        <w:t>of the</w:t>
      </w:r>
      <w:r w:rsidR="00083333" w:rsidRPr="00724676">
        <w:rPr>
          <w:rFonts w:eastAsia="Calibri" w:cs="Times New Roman"/>
          <w:noProof/>
          <w:szCs w:val="24"/>
          <w:lang w:val="en-GB"/>
        </w:rPr>
        <w:t xml:space="preserve"> tools </w:t>
      </w:r>
      <w:r w:rsidRPr="00724676">
        <w:rPr>
          <w:rFonts w:eastAsia="Calibri" w:cs="Times New Roman"/>
          <w:noProof/>
          <w:szCs w:val="24"/>
          <w:lang w:val="en-GB"/>
        </w:rPr>
        <w:t xml:space="preserve">that Member States have </w:t>
      </w:r>
      <w:r w:rsidR="00083333" w:rsidRPr="00724676">
        <w:rPr>
          <w:rFonts w:eastAsia="Calibri" w:cs="Times New Roman"/>
          <w:noProof/>
          <w:szCs w:val="24"/>
          <w:lang w:val="en-GB"/>
        </w:rPr>
        <w:t xml:space="preserve">at </w:t>
      </w:r>
      <w:r w:rsidRPr="00724676">
        <w:rPr>
          <w:rFonts w:eastAsia="Calibri" w:cs="Times New Roman"/>
          <w:noProof/>
          <w:szCs w:val="24"/>
          <w:lang w:val="en-GB"/>
        </w:rPr>
        <w:t xml:space="preserve">their </w:t>
      </w:r>
      <w:r w:rsidR="00083333" w:rsidRPr="00724676">
        <w:rPr>
          <w:rFonts w:eastAsia="Calibri" w:cs="Times New Roman"/>
          <w:noProof/>
          <w:szCs w:val="24"/>
          <w:lang w:val="en-GB"/>
        </w:rPr>
        <w:t xml:space="preserve">disposal </w:t>
      </w:r>
      <w:r w:rsidR="00D53887">
        <w:rPr>
          <w:rFonts w:eastAsia="Calibri" w:cs="Times New Roman"/>
          <w:noProof/>
          <w:szCs w:val="24"/>
          <w:lang w:val="en-GB"/>
        </w:rPr>
        <w:t>during</w:t>
      </w:r>
      <w:r w:rsidR="00D53887" w:rsidRPr="00724676">
        <w:rPr>
          <w:rFonts w:eastAsia="Calibri" w:cs="Times New Roman"/>
          <w:noProof/>
          <w:szCs w:val="24"/>
          <w:lang w:val="en-GB"/>
        </w:rPr>
        <w:t xml:space="preserve"> </w:t>
      </w:r>
      <w:r w:rsidR="00083333" w:rsidRPr="00724676">
        <w:rPr>
          <w:rFonts w:eastAsia="Calibri" w:cs="Times New Roman"/>
          <w:noProof/>
          <w:szCs w:val="24"/>
          <w:lang w:val="en-GB"/>
        </w:rPr>
        <w:t>the 2023-2027</w:t>
      </w:r>
      <w:r w:rsidR="00D83690" w:rsidRPr="00724676">
        <w:rPr>
          <w:rFonts w:eastAsia="Calibri" w:cs="Times New Roman"/>
          <w:noProof/>
          <w:szCs w:val="24"/>
          <w:lang w:val="en-GB"/>
        </w:rPr>
        <w:t xml:space="preserve"> </w:t>
      </w:r>
      <w:r w:rsidR="00D53887" w:rsidRPr="00724676">
        <w:rPr>
          <w:rFonts w:eastAsia="Calibri" w:cs="Times New Roman"/>
          <w:noProof/>
          <w:szCs w:val="24"/>
          <w:lang w:val="en-GB"/>
        </w:rPr>
        <w:t xml:space="preserve">CAP </w:t>
      </w:r>
      <w:r w:rsidR="00D83690" w:rsidRPr="00724676">
        <w:rPr>
          <w:rFonts w:eastAsia="Calibri" w:cs="Times New Roman"/>
          <w:noProof/>
          <w:szCs w:val="24"/>
          <w:lang w:val="en-GB"/>
        </w:rPr>
        <w:t xml:space="preserve">and </w:t>
      </w:r>
      <w:r w:rsidR="00D53887">
        <w:rPr>
          <w:rFonts w:eastAsia="Calibri" w:cs="Times New Roman"/>
          <w:noProof/>
          <w:szCs w:val="24"/>
          <w:lang w:val="en-GB"/>
        </w:rPr>
        <w:t xml:space="preserve">with </w:t>
      </w:r>
      <w:r w:rsidR="00D83690" w:rsidRPr="00724676">
        <w:rPr>
          <w:rFonts w:eastAsia="Calibri" w:cs="Times New Roman"/>
          <w:noProof/>
          <w:szCs w:val="24"/>
          <w:lang w:val="en-GB"/>
        </w:rPr>
        <w:t xml:space="preserve">adjustments </w:t>
      </w:r>
      <w:r w:rsidR="00965010" w:rsidRPr="00724676">
        <w:rPr>
          <w:rFonts w:eastAsia="Calibri" w:cs="Times New Roman"/>
          <w:noProof/>
          <w:szCs w:val="24"/>
          <w:lang w:val="en-GB"/>
        </w:rPr>
        <w:t xml:space="preserve">brought by </w:t>
      </w:r>
      <w:r w:rsidR="00D83690" w:rsidRPr="00724676">
        <w:rPr>
          <w:rFonts w:eastAsia="Calibri" w:cs="Times New Roman"/>
          <w:noProof/>
          <w:szCs w:val="24"/>
          <w:lang w:val="en-GB"/>
        </w:rPr>
        <w:t xml:space="preserve">the </w:t>
      </w:r>
      <w:r w:rsidR="00CE273F" w:rsidRPr="00724676">
        <w:rPr>
          <w:rFonts w:eastAsia="Calibri" w:cs="Times New Roman"/>
          <w:noProof/>
          <w:szCs w:val="24"/>
          <w:lang w:val="en-GB"/>
        </w:rPr>
        <w:t xml:space="preserve">simplification </w:t>
      </w:r>
      <w:r w:rsidR="00D83690" w:rsidRPr="00724676">
        <w:rPr>
          <w:rFonts w:eastAsia="Calibri" w:cs="Times New Roman"/>
          <w:noProof/>
          <w:szCs w:val="24"/>
          <w:lang w:val="en-GB"/>
        </w:rPr>
        <w:t>package</w:t>
      </w:r>
      <w:r w:rsidR="00083333" w:rsidRPr="00724676">
        <w:rPr>
          <w:rFonts w:eastAsia="Calibri" w:cs="Times New Roman"/>
          <w:noProof/>
          <w:szCs w:val="24"/>
          <w:lang w:val="en-GB"/>
        </w:rPr>
        <w:t xml:space="preserve">, </w:t>
      </w:r>
      <w:r w:rsidR="00D7304F" w:rsidRPr="00724676">
        <w:rPr>
          <w:rFonts w:eastAsia="Calibri" w:cs="Times New Roman"/>
          <w:noProof/>
          <w:szCs w:val="24"/>
          <w:lang w:val="en-GB"/>
        </w:rPr>
        <w:t>farmers’</w:t>
      </w:r>
      <w:r w:rsidR="00083333" w:rsidRPr="00724676">
        <w:rPr>
          <w:rFonts w:eastAsia="Calibri" w:cs="Times New Roman"/>
          <w:noProof/>
          <w:szCs w:val="24"/>
          <w:lang w:val="en-GB"/>
        </w:rPr>
        <w:t xml:space="preserve"> application</w:t>
      </w:r>
      <w:r w:rsidR="00655230">
        <w:rPr>
          <w:rFonts w:eastAsia="Calibri" w:cs="Times New Roman"/>
          <w:noProof/>
          <w:szCs w:val="24"/>
          <w:lang w:val="en-GB"/>
        </w:rPr>
        <w:t>s</w:t>
      </w:r>
      <w:r w:rsidR="00083333" w:rsidRPr="00724676">
        <w:rPr>
          <w:rFonts w:eastAsia="Calibri" w:cs="Times New Roman"/>
          <w:noProof/>
          <w:szCs w:val="24"/>
          <w:lang w:val="en-GB"/>
        </w:rPr>
        <w:t xml:space="preserve"> for </w:t>
      </w:r>
      <w:r w:rsidR="00D7304F" w:rsidRPr="00724676">
        <w:rPr>
          <w:rFonts w:eastAsia="Calibri" w:cs="Times New Roman"/>
          <w:noProof/>
          <w:szCs w:val="24"/>
          <w:lang w:val="en-GB"/>
        </w:rPr>
        <w:t xml:space="preserve">CAP </w:t>
      </w:r>
      <w:r w:rsidR="00083333" w:rsidRPr="00724676">
        <w:rPr>
          <w:rFonts w:eastAsia="Calibri" w:cs="Times New Roman"/>
          <w:noProof/>
          <w:szCs w:val="24"/>
          <w:lang w:val="en-GB"/>
        </w:rPr>
        <w:t xml:space="preserve">support can </w:t>
      </w:r>
      <w:r w:rsidR="00655230">
        <w:rPr>
          <w:rFonts w:eastAsia="Calibri" w:cs="Times New Roman"/>
          <w:noProof/>
          <w:szCs w:val="24"/>
          <w:lang w:val="en-GB"/>
        </w:rPr>
        <w:t>be completed more easily</w:t>
      </w:r>
      <w:r w:rsidR="00125AF6" w:rsidRPr="00724676">
        <w:rPr>
          <w:rFonts w:eastAsia="Calibri" w:cs="Times New Roman"/>
          <w:noProof/>
          <w:szCs w:val="24"/>
          <w:lang w:val="en-GB"/>
        </w:rPr>
        <w:t xml:space="preserve"> and</w:t>
      </w:r>
      <w:r w:rsidR="002377D1" w:rsidRPr="00724676">
        <w:rPr>
          <w:rFonts w:eastAsia="Calibri" w:cs="Times New Roman"/>
          <w:noProof/>
          <w:szCs w:val="24"/>
          <w:lang w:val="en-GB"/>
        </w:rPr>
        <w:t xml:space="preserve"> then</w:t>
      </w:r>
      <w:r w:rsidR="00125AF6" w:rsidRPr="00724676">
        <w:rPr>
          <w:rFonts w:eastAsia="Calibri" w:cs="Times New Roman"/>
          <w:noProof/>
          <w:szCs w:val="24"/>
          <w:lang w:val="en-GB"/>
        </w:rPr>
        <w:t xml:space="preserve">, if </w:t>
      </w:r>
      <w:r w:rsidR="00655230">
        <w:rPr>
          <w:rFonts w:eastAsia="Calibri" w:cs="Times New Roman"/>
          <w:noProof/>
          <w:szCs w:val="24"/>
          <w:lang w:val="en-GB"/>
        </w:rPr>
        <w:t>necessary</w:t>
      </w:r>
      <w:r w:rsidR="00125AF6" w:rsidRPr="00724676">
        <w:rPr>
          <w:rFonts w:eastAsia="Calibri" w:cs="Times New Roman"/>
          <w:noProof/>
          <w:szCs w:val="24"/>
          <w:lang w:val="en-GB"/>
        </w:rPr>
        <w:t xml:space="preserve">, </w:t>
      </w:r>
      <w:r w:rsidR="00083333" w:rsidRPr="00724676">
        <w:rPr>
          <w:rFonts w:eastAsia="Calibri" w:cs="Times New Roman"/>
          <w:noProof/>
          <w:szCs w:val="24"/>
          <w:lang w:val="en-GB"/>
        </w:rPr>
        <w:t xml:space="preserve">corrected </w:t>
      </w:r>
      <w:r w:rsidR="00655230">
        <w:rPr>
          <w:rFonts w:eastAsia="Calibri" w:cs="Times New Roman"/>
          <w:noProof/>
          <w:szCs w:val="24"/>
          <w:lang w:val="en-GB"/>
        </w:rPr>
        <w:t>in</w:t>
      </w:r>
      <w:r w:rsidR="00655230" w:rsidRPr="00724676">
        <w:rPr>
          <w:rFonts w:eastAsia="Calibri" w:cs="Times New Roman"/>
          <w:noProof/>
          <w:szCs w:val="24"/>
          <w:lang w:val="en-GB"/>
        </w:rPr>
        <w:t xml:space="preserve"> </w:t>
      </w:r>
      <w:r w:rsidR="00083333" w:rsidRPr="00724676">
        <w:rPr>
          <w:rFonts w:eastAsia="Calibri" w:cs="Times New Roman"/>
          <w:noProof/>
          <w:szCs w:val="24"/>
          <w:lang w:val="en-GB"/>
        </w:rPr>
        <w:t xml:space="preserve">time </w:t>
      </w:r>
      <w:r w:rsidR="00EF7A98" w:rsidRPr="00724676">
        <w:rPr>
          <w:rFonts w:eastAsia="Calibri" w:cs="Times New Roman"/>
          <w:noProof/>
          <w:szCs w:val="24"/>
          <w:lang w:val="en-GB"/>
        </w:rPr>
        <w:t xml:space="preserve">so that </w:t>
      </w:r>
      <w:r w:rsidR="00965010" w:rsidRPr="00724676">
        <w:rPr>
          <w:rFonts w:eastAsia="Calibri" w:cs="Times New Roman"/>
          <w:noProof/>
          <w:szCs w:val="24"/>
          <w:lang w:val="en-GB"/>
        </w:rPr>
        <w:t xml:space="preserve">eventual </w:t>
      </w:r>
      <w:r w:rsidR="00083333" w:rsidRPr="00724676">
        <w:rPr>
          <w:rFonts w:eastAsia="Calibri" w:cs="Times New Roman"/>
          <w:noProof/>
          <w:szCs w:val="24"/>
          <w:lang w:val="en-GB"/>
        </w:rPr>
        <w:t xml:space="preserve">penalties </w:t>
      </w:r>
      <w:r w:rsidR="00655230">
        <w:rPr>
          <w:rFonts w:eastAsia="Calibri" w:cs="Times New Roman"/>
          <w:noProof/>
          <w:szCs w:val="24"/>
          <w:lang w:val="en-GB"/>
        </w:rPr>
        <w:t xml:space="preserve">may </w:t>
      </w:r>
      <w:r w:rsidR="00EF7A98" w:rsidRPr="00724676">
        <w:rPr>
          <w:rFonts w:eastAsia="Calibri" w:cs="Times New Roman"/>
          <w:noProof/>
          <w:szCs w:val="24"/>
          <w:lang w:val="en-GB"/>
        </w:rPr>
        <w:t xml:space="preserve">be </w:t>
      </w:r>
      <w:r w:rsidR="00083333" w:rsidRPr="00724676">
        <w:rPr>
          <w:rFonts w:eastAsia="Calibri" w:cs="Times New Roman"/>
          <w:noProof/>
          <w:szCs w:val="24"/>
          <w:lang w:val="en-GB"/>
        </w:rPr>
        <w:t>avoided</w:t>
      </w:r>
      <w:r w:rsidR="0053113A" w:rsidRPr="00724676">
        <w:rPr>
          <w:rFonts w:eastAsia="Calibri" w:cs="Times New Roman"/>
          <w:noProof/>
          <w:szCs w:val="24"/>
          <w:lang w:val="en-GB"/>
        </w:rPr>
        <w:t xml:space="preserve"> (measures A.</w:t>
      </w:r>
      <w:r w:rsidR="00F8151E" w:rsidRPr="00724676">
        <w:rPr>
          <w:rFonts w:eastAsia="Calibri" w:cs="Times New Roman"/>
          <w:noProof/>
          <w:szCs w:val="24"/>
          <w:lang w:val="en-GB"/>
        </w:rPr>
        <w:t xml:space="preserve">6 and </w:t>
      </w:r>
      <w:r w:rsidR="001E6146" w:rsidRPr="00724676">
        <w:rPr>
          <w:rFonts w:eastAsia="Calibri" w:cs="Times New Roman"/>
          <w:noProof/>
          <w:szCs w:val="24"/>
          <w:lang w:val="en-GB"/>
        </w:rPr>
        <w:t>A.</w:t>
      </w:r>
      <w:r w:rsidR="00F8151E" w:rsidRPr="00724676">
        <w:rPr>
          <w:rFonts w:eastAsia="Calibri" w:cs="Times New Roman"/>
          <w:noProof/>
          <w:szCs w:val="24"/>
          <w:lang w:val="en-GB"/>
        </w:rPr>
        <w:t>7</w:t>
      </w:r>
      <w:r w:rsidR="00202A8E" w:rsidRPr="00724676">
        <w:rPr>
          <w:rFonts w:eastAsia="Calibri" w:cs="Times New Roman"/>
          <w:noProof/>
          <w:szCs w:val="24"/>
          <w:lang w:val="en-GB"/>
        </w:rPr>
        <w:t xml:space="preserve"> in Annex 1)</w:t>
      </w:r>
      <w:r w:rsidR="00083333" w:rsidRPr="00724676">
        <w:rPr>
          <w:rFonts w:eastAsia="Calibri" w:cs="Times New Roman"/>
          <w:noProof/>
          <w:szCs w:val="24"/>
          <w:lang w:val="en-GB"/>
        </w:rPr>
        <w:t xml:space="preserve">. </w:t>
      </w:r>
      <w:r w:rsidR="006C2986" w:rsidRPr="00724676">
        <w:rPr>
          <w:rFonts w:eastAsia="Calibri" w:cs="Times New Roman"/>
          <w:noProof/>
          <w:szCs w:val="24"/>
          <w:lang w:val="en-GB"/>
        </w:rPr>
        <w:t>There should also be fewer on-site checks</w:t>
      </w:r>
      <w:r w:rsidR="00784505" w:rsidRPr="00724676">
        <w:rPr>
          <w:rFonts w:eastAsia="Calibri" w:cs="Times New Roman"/>
          <w:noProof/>
          <w:szCs w:val="24"/>
          <w:lang w:val="en-GB"/>
        </w:rPr>
        <w:t xml:space="preserve"> and</w:t>
      </w:r>
      <w:r w:rsidR="005F4332" w:rsidRPr="00724676">
        <w:rPr>
          <w:rFonts w:eastAsia="Calibri" w:cs="Times New Roman"/>
          <w:noProof/>
          <w:szCs w:val="24"/>
          <w:lang w:val="en-GB"/>
        </w:rPr>
        <w:t xml:space="preserve"> </w:t>
      </w:r>
      <w:r w:rsidR="00655230">
        <w:rPr>
          <w:rFonts w:eastAsia="Calibri" w:cs="Times New Roman"/>
          <w:noProof/>
          <w:szCs w:val="24"/>
          <w:lang w:val="en-GB"/>
        </w:rPr>
        <w:t xml:space="preserve">a </w:t>
      </w:r>
      <w:r w:rsidR="00987522" w:rsidRPr="00724676">
        <w:rPr>
          <w:rFonts w:eastAsia="Calibri" w:cs="Times New Roman"/>
          <w:noProof/>
          <w:szCs w:val="24"/>
          <w:lang w:val="en-GB"/>
        </w:rPr>
        <w:t xml:space="preserve">more straightforward </w:t>
      </w:r>
      <w:r w:rsidR="00655230">
        <w:rPr>
          <w:rFonts w:eastAsia="Calibri" w:cs="Times New Roman"/>
          <w:noProof/>
          <w:szCs w:val="24"/>
          <w:lang w:val="en-GB"/>
        </w:rPr>
        <w:t>treatment of</w:t>
      </w:r>
      <w:r w:rsidR="003F3361" w:rsidRPr="00724676">
        <w:rPr>
          <w:rFonts w:eastAsia="Calibri" w:cs="Times New Roman"/>
          <w:noProof/>
          <w:szCs w:val="24"/>
          <w:lang w:val="en-GB"/>
        </w:rPr>
        <w:t xml:space="preserve"> </w:t>
      </w:r>
      <w:r w:rsidR="00AD0CE1" w:rsidRPr="00724676">
        <w:rPr>
          <w:rFonts w:eastAsia="Calibri" w:cs="Times New Roman"/>
          <w:i/>
          <w:iCs/>
          <w:noProof/>
          <w:szCs w:val="24"/>
          <w:lang w:val="en-GB"/>
        </w:rPr>
        <w:t>force majeure</w:t>
      </w:r>
      <w:r w:rsidR="00AD0CE1" w:rsidRPr="00724676">
        <w:rPr>
          <w:rFonts w:eastAsia="Calibri" w:cs="Times New Roman"/>
          <w:noProof/>
          <w:szCs w:val="24"/>
          <w:lang w:val="en-GB"/>
        </w:rPr>
        <w:t xml:space="preserve"> cases </w:t>
      </w:r>
      <w:r w:rsidR="0095666E" w:rsidRPr="00724676">
        <w:rPr>
          <w:rFonts w:eastAsia="Calibri" w:cs="Times New Roman"/>
          <w:noProof/>
          <w:szCs w:val="24"/>
          <w:lang w:val="en-GB"/>
        </w:rPr>
        <w:t>(measures A.</w:t>
      </w:r>
      <w:r w:rsidR="0074632E" w:rsidRPr="00724676">
        <w:rPr>
          <w:rFonts w:eastAsia="Calibri" w:cs="Times New Roman"/>
          <w:noProof/>
          <w:szCs w:val="24"/>
          <w:lang w:val="en-GB"/>
        </w:rPr>
        <w:t>3</w:t>
      </w:r>
      <w:r w:rsidR="002B3E06" w:rsidRPr="00724676">
        <w:rPr>
          <w:rFonts w:eastAsia="Calibri" w:cs="Times New Roman"/>
          <w:noProof/>
          <w:szCs w:val="24"/>
          <w:lang w:val="en-GB"/>
        </w:rPr>
        <w:t>, A.</w:t>
      </w:r>
      <w:r w:rsidR="001B0217" w:rsidRPr="00724676">
        <w:rPr>
          <w:rFonts w:eastAsia="Calibri" w:cs="Times New Roman"/>
          <w:noProof/>
          <w:szCs w:val="24"/>
          <w:lang w:val="en-GB"/>
        </w:rPr>
        <w:t>5</w:t>
      </w:r>
      <w:r w:rsidR="007A2109" w:rsidRPr="00724676">
        <w:rPr>
          <w:rFonts w:eastAsia="Calibri" w:cs="Times New Roman"/>
          <w:noProof/>
          <w:szCs w:val="24"/>
          <w:lang w:val="en-GB"/>
        </w:rPr>
        <w:t xml:space="preserve">, </w:t>
      </w:r>
      <w:r w:rsidR="0095666E" w:rsidRPr="00724676">
        <w:rPr>
          <w:rFonts w:eastAsia="Calibri" w:cs="Times New Roman"/>
          <w:noProof/>
          <w:szCs w:val="24"/>
          <w:lang w:val="en-GB"/>
        </w:rPr>
        <w:t>A.6</w:t>
      </w:r>
      <w:r w:rsidR="00263EFA" w:rsidRPr="00724676">
        <w:rPr>
          <w:rFonts w:eastAsia="Calibri" w:cs="Times New Roman"/>
          <w:noProof/>
          <w:szCs w:val="24"/>
          <w:lang w:val="en-GB"/>
        </w:rPr>
        <w:t xml:space="preserve">, </w:t>
      </w:r>
      <w:r w:rsidR="007A2109" w:rsidRPr="00724676">
        <w:rPr>
          <w:rFonts w:eastAsia="Calibri" w:cs="Times New Roman"/>
          <w:noProof/>
          <w:szCs w:val="24"/>
          <w:lang w:val="en-GB"/>
        </w:rPr>
        <w:t>B.2</w:t>
      </w:r>
      <w:r w:rsidR="00263EFA" w:rsidRPr="00724676">
        <w:rPr>
          <w:rFonts w:eastAsia="Calibri" w:cs="Times New Roman"/>
          <w:noProof/>
          <w:szCs w:val="24"/>
          <w:lang w:val="en-GB"/>
        </w:rPr>
        <w:t xml:space="preserve"> and B.4</w:t>
      </w:r>
      <w:r w:rsidR="0095666E" w:rsidRPr="00724676">
        <w:rPr>
          <w:rFonts w:eastAsia="Calibri" w:cs="Times New Roman"/>
          <w:noProof/>
          <w:szCs w:val="24"/>
          <w:lang w:val="en-GB"/>
        </w:rPr>
        <w:t xml:space="preserve"> in </w:t>
      </w:r>
      <w:r w:rsidR="000E7625" w:rsidRPr="00724676">
        <w:rPr>
          <w:rFonts w:eastAsia="Calibri" w:cs="Times New Roman"/>
          <w:noProof/>
          <w:szCs w:val="24"/>
          <w:lang w:val="en-GB"/>
        </w:rPr>
        <w:t>A</w:t>
      </w:r>
      <w:r w:rsidR="0095666E" w:rsidRPr="00724676">
        <w:rPr>
          <w:rFonts w:eastAsia="Calibri" w:cs="Times New Roman"/>
          <w:noProof/>
          <w:szCs w:val="24"/>
          <w:lang w:val="en-GB"/>
        </w:rPr>
        <w:t>nnex</w:t>
      </w:r>
      <w:r w:rsidR="000E7625" w:rsidRPr="00724676">
        <w:rPr>
          <w:rFonts w:eastAsia="Calibri" w:cs="Times New Roman"/>
          <w:noProof/>
          <w:szCs w:val="24"/>
          <w:lang w:val="en-GB"/>
        </w:rPr>
        <w:t xml:space="preserve"> 1</w:t>
      </w:r>
      <w:r w:rsidR="0095666E" w:rsidRPr="00724676">
        <w:rPr>
          <w:rFonts w:eastAsia="Calibri" w:cs="Times New Roman"/>
          <w:noProof/>
          <w:szCs w:val="24"/>
          <w:lang w:val="en-GB"/>
        </w:rPr>
        <w:t>)</w:t>
      </w:r>
      <w:r w:rsidR="006C2986" w:rsidRPr="00724676">
        <w:rPr>
          <w:rFonts w:eastAsia="Calibri" w:cs="Times New Roman"/>
          <w:noProof/>
          <w:szCs w:val="24"/>
          <w:lang w:val="en-GB"/>
        </w:rPr>
        <w:t xml:space="preserve">. </w:t>
      </w:r>
      <w:r w:rsidR="00083333" w:rsidRPr="00724676">
        <w:rPr>
          <w:rFonts w:eastAsia="Calibri" w:cs="Times New Roman"/>
          <w:noProof/>
          <w:szCs w:val="24"/>
          <w:lang w:val="en-GB"/>
        </w:rPr>
        <w:t xml:space="preserve">These </w:t>
      </w:r>
      <w:r w:rsidR="000D47A8" w:rsidRPr="00724676">
        <w:rPr>
          <w:rFonts w:eastAsia="Calibri" w:cs="Times New Roman"/>
          <w:noProof/>
          <w:szCs w:val="24"/>
          <w:lang w:val="en-GB"/>
        </w:rPr>
        <w:t>changes should</w:t>
      </w:r>
      <w:r w:rsidR="00083333" w:rsidRPr="00724676">
        <w:rPr>
          <w:rFonts w:eastAsia="Calibri" w:cs="Times New Roman"/>
          <w:noProof/>
          <w:szCs w:val="24"/>
          <w:lang w:val="en-GB"/>
        </w:rPr>
        <w:t xml:space="preserve"> not only </w:t>
      </w:r>
      <w:r w:rsidR="00083333" w:rsidRPr="00724676">
        <w:rPr>
          <w:rFonts w:eastAsiaTheme="minorEastAsia" w:cs="Times New Roman"/>
          <w:noProof/>
          <w:szCs w:val="24"/>
          <w:lang w:val="en-GB"/>
        </w:rPr>
        <w:t xml:space="preserve">simplify farmers' administrative tasks, but also </w:t>
      </w:r>
      <w:r w:rsidR="00965010" w:rsidRPr="00724676">
        <w:rPr>
          <w:rFonts w:eastAsiaTheme="minorEastAsia" w:cs="Times New Roman"/>
          <w:b/>
          <w:noProof/>
          <w:szCs w:val="24"/>
          <w:lang w:val="en-GB"/>
        </w:rPr>
        <w:t xml:space="preserve">reduce </w:t>
      </w:r>
      <w:r w:rsidR="00083333" w:rsidRPr="00724676">
        <w:rPr>
          <w:rFonts w:eastAsiaTheme="minorEastAsia" w:cs="Times New Roman"/>
          <w:b/>
          <w:noProof/>
          <w:szCs w:val="24"/>
          <w:lang w:val="en-GB"/>
        </w:rPr>
        <w:t>stress factor</w:t>
      </w:r>
      <w:r w:rsidR="00655230">
        <w:rPr>
          <w:rFonts w:eastAsiaTheme="minorEastAsia" w:cs="Times New Roman"/>
          <w:b/>
          <w:noProof/>
          <w:szCs w:val="24"/>
          <w:lang w:val="en-GB"/>
        </w:rPr>
        <w:t>s</w:t>
      </w:r>
      <w:r w:rsidR="003D7B80" w:rsidRPr="00724676">
        <w:rPr>
          <w:rFonts w:eastAsiaTheme="minorEastAsia" w:cs="Times New Roman"/>
          <w:noProof/>
          <w:szCs w:val="24"/>
          <w:lang w:val="en-GB"/>
        </w:rPr>
        <w:t>.</w:t>
      </w:r>
      <w:r w:rsidR="00167448" w:rsidRPr="00724676">
        <w:rPr>
          <w:rFonts w:eastAsiaTheme="minorEastAsia" w:cs="Times New Roman"/>
          <w:noProof/>
          <w:szCs w:val="24"/>
          <w:lang w:val="en-GB"/>
        </w:rPr>
        <w:t xml:space="preserve"> </w:t>
      </w:r>
      <w:r w:rsidR="008916A5" w:rsidRPr="00724676">
        <w:rPr>
          <w:rFonts w:eastAsiaTheme="minorEastAsia" w:cs="Times New Roman"/>
          <w:noProof/>
          <w:szCs w:val="24"/>
          <w:lang w:val="en-GB"/>
        </w:rPr>
        <w:t>Similarly, the i</w:t>
      </w:r>
      <w:r w:rsidR="00083333" w:rsidRPr="00724676">
        <w:rPr>
          <w:rFonts w:eastAsiaTheme="minorEastAsia" w:cs="Times New Roman"/>
          <w:noProof/>
          <w:szCs w:val="24"/>
          <w:lang w:val="en-GB"/>
        </w:rPr>
        <w:t>ncreased flexibility and removal of certain restrictions on farm management</w:t>
      </w:r>
      <w:r w:rsidR="000D47A8" w:rsidRPr="00724676">
        <w:rPr>
          <w:rFonts w:eastAsiaTheme="minorEastAsia" w:cs="Times New Roman"/>
          <w:noProof/>
          <w:szCs w:val="24"/>
          <w:lang w:val="en-GB"/>
        </w:rPr>
        <w:t xml:space="preserve"> </w:t>
      </w:r>
      <w:r w:rsidR="00A9546D" w:rsidRPr="00724676">
        <w:rPr>
          <w:rFonts w:eastAsiaTheme="minorEastAsia" w:cs="Times New Roman"/>
          <w:noProof/>
          <w:szCs w:val="24"/>
          <w:lang w:val="en-GB"/>
        </w:rPr>
        <w:t>(measure B.1</w:t>
      </w:r>
      <w:r w:rsidR="00263EFA" w:rsidRPr="00724676">
        <w:rPr>
          <w:rFonts w:eastAsiaTheme="minorEastAsia" w:cs="Times New Roman"/>
          <w:noProof/>
          <w:szCs w:val="24"/>
          <w:lang w:val="en-GB"/>
        </w:rPr>
        <w:t xml:space="preserve"> in Annex 1)</w:t>
      </w:r>
      <w:r w:rsidR="00A9546D" w:rsidRPr="00724676">
        <w:rPr>
          <w:rFonts w:eastAsiaTheme="minorEastAsia" w:cs="Times New Roman"/>
          <w:noProof/>
          <w:szCs w:val="24"/>
          <w:lang w:val="en-GB"/>
        </w:rPr>
        <w:t xml:space="preserve">, </w:t>
      </w:r>
      <w:r w:rsidR="005E31EB" w:rsidRPr="00724676">
        <w:rPr>
          <w:rFonts w:eastAsiaTheme="minorEastAsia" w:cs="Times New Roman"/>
          <w:noProof/>
          <w:szCs w:val="24"/>
          <w:lang w:val="en-GB"/>
        </w:rPr>
        <w:t>should</w:t>
      </w:r>
      <w:r w:rsidR="00083333" w:rsidRPr="00724676">
        <w:rPr>
          <w:rFonts w:eastAsiaTheme="minorEastAsia" w:cs="Times New Roman"/>
          <w:noProof/>
          <w:szCs w:val="24"/>
          <w:lang w:val="en-GB"/>
        </w:rPr>
        <w:t xml:space="preserve"> simplify their daily work</w:t>
      </w:r>
      <w:r w:rsidR="006730F4" w:rsidRPr="00724676">
        <w:rPr>
          <w:rFonts w:eastAsiaTheme="minorEastAsia" w:cs="Times New Roman"/>
          <w:noProof/>
          <w:szCs w:val="24"/>
          <w:lang w:val="en-GB"/>
        </w:rPr>
        <w:t xml:space="preserve"> and</w:t>
      </w:r>
      <w:r w:rsidR="00083333" w:rsidRPr="00724676">
        <w:rPr>
          <w:rFonts w:eastAsiaTheme="minorEastAsia" w:cs="Times New Roman"/>
          <w:noProof/>
          <w:szCs w:val="24"/>
          <w:lang w:val="en-GB"/>
        </w:rPr>
        <w:t xml:space="preserve"> </w:t>
      </w:r>
      <w:r w:rsidR="00655230">
        <w:rPr>
          <w:rFonts w:eastAsiaTheme="minorEastAsia" w:cs="Times New Roman"/>
          <w:b/>
          <w:bCs/>
          <w:noProof/>
          <w:szCs w:val="24"/>
          <w:lang w:val="en-GB"/>
        </w:rPr>
        <w:t xml:space="preserve">reduce </w:t>
      </w:r>
      <w:r w:rsidR="00655230" w:rsidRPr="002874FC">
        <w:rPr>
          <w:rFonts w:eastAsiaTheme="minorEastAsia" w:cs="Times New Roman"/>
          <w:b/>
          <w:bCs/>
          <w:noProof/>
          <w:szCs w:val="24"/>
          <w:lang w:val="en-GB"/>
        </w:rPr>
        <w:t>the</w:t>
      </w:r>
      <w:r w:rsidR="00655230" w:rsidRPr="002874FC">
        <w:rPr>
          <w:rFonts w:eastAsiaTheme="minorEastAsia" w:cs="Times New Roman"/>
          <w:b/>
          <w:noProof/>
          <w:szCs w:val="24"/>
          <w:lang w:val="en-GB"/>
        </w:rPr>
        <w:t xml:space="preserve"> </w:t>
      </w:r>
      <w:r w:rsidR="00083333" w:rsidRPr="002874FC">
        <w:rPr>
          <w:rFonts w:eastAsiaTheme="minorEastAsia" w:cs="Times New Roman"/>
          <w:b/>
          <w:noProof/>
          <w:szCs w:val="24"/>
          <w:lang w:val="en-GB"/>
        </w:rPr>
        <w:t xml:space="preserve">incomprehension and frustration </w:t>
      </w:r>
      <w:r w:rsidR="00083333" w:rsidRPr="002874FC">
        <w:rPr>
          <w:rFonts w:eastAsiaTheme="minorEastAsia" w:cs="Times New Roman"/>
          <w:noProof/>
          <w:szCs w:val="24"/>
          <w:lang w:val="en-GB"/>
        </w:rPr>
        <w:t xml:space="preserve">linked to </w:t>
      </w:r>
      <w:r w:rsidR="00E75770" w:rsidRPr="002874FC">
        <w:rPr>
          <w:rFonts w:eastAsiaTheme="minorEastAsia" w:cs="Times New Roman"/>
          <w:noProof/>
          <w:szCs w:val="24"/>
          <w:lang w:val="en-GB"/>
        </w:rPr>
        <w:t xml:space="preserve">what farmers perceive as interference </w:t>
      </w:r>
      <w:r w:rsidR="00655230" w:rsidRPr="002874FC">
        <w:rPr>
          <w:rFonts w:eastAsiaTheme="minorEastAsia" w:cs="Times New Roman"/>
          <w:noProof/>
          <w:szCs w:val="24"/>
          <w:lang w:val="en-GB"/>
        </w:rPr>
        <w:t xml:space="preserve">in </w:t>
      </w:r>
      <w:r w:rsidR="00083333" w:rsidRPr="002874FC">
        <w:rPr>
          <w:rFonts w:eastAsiaTheme="minorEastAsia" w:cs="Times New Roman"/>
          <w:noProof/>
          <w:szCs w:val="24"/>
          <w:lang w:val="en-GB"/>
        </w:rPr>
        <w:t xml:space="preserve">farm management in opposition to </w:t>
      </w:r>
      <w:r w:rsidR="00390F2F" w:rsidRPr="003E7CF4">
        <w:rPr>
          <w:rFonts w:eastAsiaTheme="minorEastAsia" w:cs="Times New Roman"/>
          <w:noProof/>
          <w:szCs w:val="24"/>
          <w:lang w:val="en-GB"/>
        </w:rPr>
        <w:t xml:space="preserve">the </w:t>
      </w:r>
      <w:r w:rsidR="00083333" w:rsidRPr="002874FC">
        <w:rPr>
          <w:rFonts w:eastAsiaTheme="minorEastAsia" w:cs="Times New Roman"/>
          <w:noProof/>
          <w:szCs w:val="24"/>
          <w:lang w:val="en-GB"/>
        </w:rPr>
        <w:t>agronomic reality</w:t>
      </w:r>
      <w:r w:rsidR="00390F2F" w:rsidRPr="003E7CF4">
        <w:rPr>
          <w:rFonts w:eastAsiaTheme="minorEastAsia" w:cs="Times New Roman"/>
          <w:noProof/>
          <w:szCs w:val="24"/>
          <w:lang w:val="en-GB"/>
        </w:rPr>
        <w:t xml:space="preserve">, and </w:t>
      </w:r>
      <w:r w:rsidR="00390F2F">
        <w:rPr>
          <w:rFonts w:eastAsiaTheme="minorEastAsia" w:cs="Times New Roman"/>
          <w:noProof/>
          <w:szCs w:val="24"/>
          <w:lang w:val="en-GB"/>
        </w:rPr>
        <w:t>for</w:t>
      </w:r>
      <w:r w:rsidR="00390F2F" w:rsidRPr="003E7CF4">
        <w:rPr>
          <w:rFonts w:eastAsiaTheme="minorEastAsia" w:cs="Times New Roman"/>
          <w:noProof/>
          <w:szCs w:val="24"/>
          <w:lang w:val="en-GB"/>
        </w:rPr>
        <w:t xml:space="preserve"> which</w:t>
      </w:r>
      <w:r w:rsidR="00083333" w:rsidRPr="002874FC">
        <w:rPr>
          <w:rFonts w:eastAsiaTheme="minorEastAsia" w:cs="Times New Roman"/>
          <w:noProof/>
          <w:szCs w:val="24"/>
          <w:lang w:val="en-GB"/>
        </w:rPr>
        <w:t xml:space="preserve"> </w:t>
      </w:r>
      <w:r w:rsidR="00390F2F">
        <w:rPr>
          <w:rFonts w:eastAsiaTheme="minorEastAsia" w:cs="Times New Roman"/>
          <w:noProof/>
          <w:szCs w:val="24"/>
          <w:lang w:val="en-GB"/>
        </w:rPr>
        <w:t>they</w:t>
      </w:r>
      <w:r w:rsidR="00390F2F" w:rsidRPr="00390F2F">
        <w:rPr>
          <w:rFonts w:eastAsiaTheme="minorEastAsia" w:cs="Times New Roman"/>
          <w:noProof/>
          <w:szCs w:val="24"/>
          <w:lang w:val="en-GB"/>
        </w:rPr>
        <w:t xml:space="preserve"> </w:t>
      </w:r>
      <w:r w:rsidR="00675780" w:rsidRPr="002874FC">
        <w:rPr>
          <w:rFonts w:eastAsiaTheme="minorEastAsia" w:cs="Times New Roman"/>
          <w:noProof/>
          <w:szCs w:val="24"/>
          <w:lang w:val="en-GB"/>
        </w:rPr>
        <w:t xml:space="preserve">see </w:t>
      </w:r>
      <w:r w:rsidR="00083333" w:rsidRPr="002874FC">
        <w:rPr>
          <w:rFonts w:eastAsiaTheme="minorEastAsia" w:cs="Times New Roman"/>
          <w:noProof/>
          <w:szCs w:val="24"/>
          <w:lang w:val="en-GB"/>
        </w:rPr>
        <w:t>no direct economic benefits.</w:t>
      </w:r>
      <w:r w:rsidR="002D3A55" w:rsidRPr="00724676">
        <w:rPr>
          <w:rFonts w:eastAsiaTheme="minorEastAsia" w:cs="Times New Roman"/>
          <w:noProof/>
          <w:szCs w:val="24"/>
          <w:lang w:val="en-GB"/>
        </w:rPr>
        <w:t xml:space="preserve"> </w:t>
      </w:r>
    </w:p>
    <w:p w14:paraId="78454C61" w14:textId="3EB757B3" w:rsidR="00083333" w:rsidRPr="00724676" w:rsidRDefault="00083333" w:rsidP="006D5C9F">
      <w:pPr>
        <w:spacing w:after="120"/>
        <w:jc w:val="both"/>
        <w:rPr>
          <w:rFonts w:eastAsia="Calibri" w:cs="Times New Roman"/>
          <w:bCs/>
          <w:noProof/>
          <w:szCs w:val="24"/>
          <w:lang w:val="en-GB"/>
        </w:rPr>
      </w:pPr>
      <w:r w:rsidRPr="00724676" w:rsidDel="00DA2639">
        <w:rPr>
          <w:rFonts w:eastAsia="Calibri" w:cs="Times New Roman"/>
          <w:noProof/>
          <w:szCs w:val="24"/>
          <w:lang w:val="en-GB"/>
        </w:rPr>
        <w:t>The advisory services have an essential role, particularly for small and medium</w:t>
      </w:r>
      <w:r w:rsidR="00655230">
        <w:rPr>
          <w:rFonts w:eastAsia="Calibri" w:cs="Times New Roman"/>
          <w:noProof/>
          <w:szCs w:val="24"/>
          <w:lang w:val="en-GB"/>
        </w:rPr>
        <w:t>-sized</w:t>
      </w:r>
      <w:r w:rsidRPr="00724676" w:rsidDel="00DA2639">
        <w:rPr>
          <w:rFonts w:eastAsia="Calibri" w:cs="Times New Roman"/>
          <w:noProof/>
          <w:szCs w:val="24"/>
          <w:lang w:val="en-GB"/>
        </w:rPr>
        <w:t xml:space="preserve"> farm</w:t>
      </w:r>
      <w:r w:rsidR="00655230">
        <w:rPr>
          <w:rFonts w:eastAsia="Calibri" w:cs="Times New Roman"/>
          <w:noProof/>
          <w:szCs w:val="24"/>
          <w:lang w:val="en-GB"/>
        </w:rPr>
        <w:t>s</w:t>
      </w:r>
      <w:r w:rsidR="00DC0E84" w:rsidRPr="00724676">
        <w:rPr>
          <w:rFonts w:eastAsia="Calibri" w:cs="Times New Roman"/>
          <w:noProof/>
          <w:szCs w:val="24"/>
          <w:lang w:val="en-GB"/>
        </w:rPr>
        <w:t>,</w:t>
      </w:r>
      <w:r w:rsidRPr="00724676" w:rsidDel="00DA2639">
        <w:rPr>
          <w:rFonts w:eastAsia="Calibri" w:cs="Times New Roman"/>
          <w:noProof/>
          <w:szCs w:val="24"/>
          <w:lang w:val="en-GB"/>
        </w:rPr>
        <w:t xml:space="preserve"> when introducing new technologies and innovative solutions. Due to limited resources and technical knowledge, </w:t>
      </w:r>
      <w:r w:rsidR="002206E8" w:rsidRPr="00724676" w:rsidDel="00DA2639">
        <w:rPr>
          <w:rFonts w:eastAsia="Calibri" w:cs="Times New Roman"/>
          <w:noProof/>
          <w:szCs w:val="24"/>
          <w:lang w:val="en-GB"/>
        </w:rPr>
        <w:t>th</w:t>
      </w:r>
      <w:r w:rsidR="002206E8" w:rsidRPr="00724676">
        <w:rPr>
          <w:rFonts w:eastAsia="Calibri" w:cs="Times New Roman"/>
          <w:noProof/>
          <w:szCs w:val="24"/>
          <w:lang w:val="en-GB"/>
        </w:rPr>
        <w:t>o</w:t>
      </w:r>
      <w:r w:rsidR="002206E8" w:rsidRPr="00724676" w:rsidDel="00DA2639">
        <w:rPr>
          <w:rFonts w:eastAsia="Calibri" w:cs="Times New Roman"/>
          <w:noProof/>
          <w:szCs w:val="24"/>
          <w:lang w:val="en-GB"/>
        </w:rPr>
        <w:t xml:space="preserve">se </w:t>
      </w:r>
      <w:r w:rsidRPr="00724676" w:rsidDel="00DA2639">
        <w:rPr>
          <w:rFonts w:eastAsia="Calibri" w:cs="Times New Roman"/>
          <w:noProof/>
          <w:szCs w:val="24"/>
          <w:lang w:val="en-GB"/>
        </w:rPr>
        <w:t>farmers often have more difficult</w:t>
      </w:r>
      <w:r w:rsidR="000B2534">
        <w:rPr>
          <w:rFonts w:eastAsia="Calibri" w:cs="Times New Roman"/>
          <w:noProof/>
          <w:szCs w:val="24"/>
          <w:lang w:val="en-GB"/>
        </w:rPr>
        <w:t>y</w:t>
      </w:r>
      <w:r w:rsidRPr="00724676" w:rsidDel="00DA2639">
        <w:rPr>
          <w:rFonts w:eastAsia="Calibri" w:cs="Times New Roman"/>
          <w:noProof/>
          <w:szCs w:val="24"/>
          <w:lang w:val="en-GB"/>
        </w:rPr>
        <w:t xml:space="preserve"> in implementing modern agricultural </w:t>
      </w:r>
      <w:r w:rsidR="0068699A" w:rsidRPr="00724676" w:rsidDel="00DA2639">
        <w:rPr>
          <w:rFonts w:eastAsia="Calibri" w:cs="Times New Roman"/>
          <w:noProof/>
          <w:szCs w:val="24"/>
          <w:lang w:val="en-GB"/>
        </w:rPr>
        <w:t>practi</w:t>
      </w:r>
      <w:r w:rsidR="0068699A" w:rsidRPr="00724676">
        <w:rPr>
          <w:rFonts w:eastAsia="Calibri" w:cs="Times New Roman"/>
          <w:noProof/>
          <w:szCs w:val="24"/>
          <w:lang w:val="en-GB"/>
        </w:rPr>
        <w:t>c</w:t>
      </w:r>
      <w:r w:rsidR="0068699A" w:rsidRPr="00724676" w:rsidDel="00DA2639">
        <w:rPr>
          <w:rFonts w:eastAsia="Calibri" w:cs="Times New Roman"/>
          <w:noProof/>
          <w:szCs w:val="24"/>
          <w:lang w:val="en-GB"/>
        </w:rPr>
        <w:t xml:space="preserve">es </w:t>
      </w:r>
      <w:r w:rsidRPr="00724676" w:rsidDel="00DA2639">
        <w:rPr>
          <w:rFonts w:eastAsia="Calibri" w:cs="Times New Roman"/>
          <w:noProof/>
          <w:szCs w:val="24"/>
          <w:lang w:val="en-GB"/>
        </w:rPr>
        <w:t xml:space="preserve">and </w:t>
      </w:r>
      <w:r w:rsidR="000B2534">
        <w:rPr>
          <w:rFonts w:eastAsia="Calibri" w:cs="Times New Roman"/>
          <w:noProof/>
          <w:szCs w:val="24"/>
          <w:lang w:val="en-GB"/>
        </w:rPr>
        <w:t>making</w:t>
      </w:r>
      <w:r w:rsidR="000B2534" w:rsidRPr="00724676" w:rsidDel="00DA2639">
        <w:rPr>
          <w:rFonts w:eastAsia="Calibri" w:cs="Times New Roman"/>
          <w:noProof/>
          <w:szCs w:val="24"/>
          <w:lang w:val="en-GB"/>
        </w:rPr>
        <w:t xml:space="preserve"> </w:t>
      </w:r>
      <w:r w:rsidRPr="00724676" w:rsidDel="00DA2639">
        <w:rPr>
          <w:rFonts w:eastAsia="Calibri" w:cs="Times New Roman"/>
          <w:noProof/>
          <w:szCs w:val="24"/>
          <w:lang w:val="en-GB"/>
        </w:rPr>
        <w:t xml:space="preserve">their </w:t>
      </w:r>
      <w:r w:rsidR="00E70374" w:rsidRPr="00724676">
        <w:rPr>
          <w:rFonts w:eastAsia="Calibri" w:cs="Times New Roman"/>
          <w:noProof/>
          <w:szCs w:val="24"/>
          <w:lang w:val="en-GB"/>
        </w:rPr>
        <w:t>farms</w:t>
      </w:r>
      <w:r w:rsidR="000B2534">
        <w:rPr>
          <w:rFonts w:eastAsia="Calibri" w:cs="Times New Roman"/>
          <w:noProof/>
          <w:szCs w:val="24"/>
          <w:lang w:val="en-GB"/>
        </w:rPr>
        <w:t xml:space="preserve"> more</w:t>
      </w:r>
      <w:r w:rsidRPr="00724676" w:rsidDel="00DA2639">
        <w:rPr>
          <w:rFonts w:eastAsia="Calibri" w:cs="Times New Roman"/>
          <w:noProof/>
          <w:szCs w:val="24"/>
          <w:lang w:val="en-GB"/>
        </w:rPr>
        <w:t xml:space="preserve"> competitive.</w:t>
      </w:r>
      <w:r w:rsidRPr="00724676">
        <w:rPr>
          <w:rFonts w:eastAsia="Calibri" w:cs="Times New Roman"/>
          <w:noProof/>
          <w:szCs w:val="24"/>
          <w:lang w:val="en-GB"/>
        </w:rPr>
        <w:t xml:space="preserve"> </w:t>
      </w:r>
      <w:r w:rsidR="00F12325" w:rsidRPr="00724676">
        <w:rPr>
          <w:rFonts w:eastAsia="Calibri" w:cs="Times New Roman"/>
          <w:noProof/>
          <w:szCs w:val="24"/>
          <w:lang w:val="en-GB"/>
        </w:rPr>
        <w:t xml:space="preserve">Improving </w:t>
      </w:r>
      <w:r w:rsidR="00A968C4" w:rsidRPr="00724676">
        <w:rPr>
          <w:rFonts w:eastAsia="Calibri" w:cs="Times New Roman"/>
          <w:noProof/>
          <w:szCs w:val="24"/>
          <w:lang w:val="en-GB"/>
        </w:rPr>
        <w:t xml:space="preserve">the </w:t>
      </w:r>
      <w:r w:rsidR="5D70BF85" w:rsidRPr="00724676">
        <w:rPr>
          <w:rFonts w:eastAsia="Calibri" w:cs="Times New Roman"/>
          <w:noProof/>
          <w:szCs w:val="24"/>
          <w:lang w:val="en-GB"/>
        </w:rPr>
        <w:t xml:space="preserve">availability </w:t>
      </w:r>
      <w:r w:rsidR="16A68974" w:rsidRPr="00724676">
        <w:rPr>
          <w:rFonts w:eastAsia="Calibri" w:cs="Times New Roman"/>
          <w:noProof/>
          <w:szCs w:val="24"/>
          <w:lang w:val="en-GB"/>
        </w:rPr>
        <w:t xml:space="preserve">of </w:t>
      </w:r>
      <w:r w:rsidR="00655A2C" w:rsidRPr="00724676">
        <w:rPr>
          <w:rFonts w:eastAsia="Calibri" w:cs="Times New Roman"/>
          <w:noProof/>
          <w:szCs w:val="24"/>
          <w:lang w:val="en-GB"/>
        </w:rPr>
        <w:t xml:space="preserve">independent and </w:t>
      </w:r>
      <w:r w:rsidR="00A968C4" w:rsidRPr="00724676">
        <w:rPr>
          <w:rFonts w:eastAsia="Calibri" w:cs="Times New Roman"/>
          <w:noProof/>
          <w:szCs w:val="24"/>
          <w:lang w:val="en-GB"/>
        </w:rPr>
        <w:t xml:space="preserve">targeted </w:t>
      </w:r>
      <w:r w:rsidR="00F12325" w:rsidRPr="00724676">
        <w:rPr>
          <w:rFonts w:eastAsia="Calibri" w:cs="Times New Roman"/>
          <w:noProof/>
          <w:szCs w:val="24"/>
          <w:lang w:val="en-GB"/>
        </w:rPr>
        <w:t>quality advice</w:t>
      </w:r>
      <w:r w:rsidRPr="00724676">
        <w:rPr>
          <w:rFonts w:eastAsia="Calibri" w:cs="Times New Roman"/>
          <w:noProof/>
          <w:szCs w:val="24"/>
          <w:lang w:val="en-GB"/>
        </w:rPr>
        <w:t xml:space="preserve"> </w:t>
      </w:r>
      <w:r w:rsidR="0058717B" w:rsidRPr="00724676">
        <w:rPr>
          <w:rFonts w:eastAsia="Calibri" w:cs="Times New Roman"/>
          <w:noProof/>
          <w:szCs w:val="24"/>
          <w:lang w:val="en-GB"/>
        </w:rPr>
        <w:t xml:space="preserve">(measure A.8 in Annex </w:t>
      </w:r>
      <w:r w:rsidR="00597E14" w:rsidRPr="00724676">
        <w:rPr>
          <w:rFonts w:eastAsia="Calibri" w:cs="Times New Roman"/>
          <w:noProof/>
          <w:szCs w:val="24"/>
          <w:lang w:val="en-GB"/>
        </w:rPr>
        <w:t>1</w:t>
      </w:r>
      <w:r w:rsidR="0058717B" w:rsidRPr="00724676">
        <w:rPr>
          <w:rFonts w:eastAsia="Calibri" w:cs="Times New Roman"/>
          <w:noProof/>
          <w:szCs w:val="24"/>
          <w:lang w:val="en-GB"/>
        </w:rPr>
        <w:t xml:space="preserve">) </w:t>
      </w:r>
      <w:r w:rsidRPr="00724676">
        <w:rPr>
          <w:rFonts w:eastAsia="Calibri" w:cs="Times New Roman"/>
          <w:noProof/>
          <w:szCs w:val="24"/>
          <w:lang w:val="en-GB"/>
        </w:rPr>
        <w:t xml:space="preserve">will have </w:t>
      </w:r>
      <w:r w:rsidR="004F7F76">
        <w:rPr>
          <w:rFonts w:eastAsia="Calibri" w:cs="Times New Roman"/>
          <w:noProof/>
          <w:szCs w:val="24"/>
          <w:lang w:val="en-GB"/>
        </w:rPr>
        <w:t>significant and</w:t>
      </w:r>
      <w:r w:rsidR="004F7F76" w:rsidRPr="00724676">
        <w:rPr>
          <w:rFonts w:eastAsia="Calibri" w:cs="Times New Roman"/>
          <w:noProof/>
          <w:szCs w:val="24"/>
          <w:lang w:val="en-GB"/>
        </w:rPr>
        <w:t xml:space="preserve"> </w:t>
      </w:r>
      <w:r w:rsidRPr="00724676">
        <w:rPr>
          <w:rFonts w:eastAsia="Calibri" w:cs="Times New Roman"/>
          <w:noProof/>
          <w:szCs w:val="24"/>
          <w:lang w:val="en-GB"/>
        </w:rPr>
        <w:t xml:space="preserve">positive </w:t>
      </w:r>
      <w:r w:rsidR="004F7F76">
        <w:rPr>
          <w:rFonts w:eastAsia="Calibri" w:cs="Times New Roman"/>
          <w:noProof/>
          <w:szCs w:val="24"/>
          <w:lang w:val="en-GB"/>
        </w:rPr>
        <w:t>effects on</w:t>
      </w:r>
      <w:r w:rsidR="004F7F76" w:rsidRPr="00724676">
        <w:rPr>
          <w:rFonts w:eastAsia="Calibri" w:cs="Times New Roman"/>
          <w:b/>
          <w:bCs/>
          <w:noProof/>
          <w:szCs w:val="24"/>
          <w:lang w:val="en-GB"/>
        </w:rPr>
        <w:t xml:space="preserve"> </w:t>
      </w:r>
      <w:r w:rsidRPr="00724676">
        <w:rPr>
          <w:rFonts w:eastAsia="Calibri" w:cs="Times New Roman"/>
          <w:b/>
          <w:bCs/>
          <w:noProof/>
          <w:szCs w:val="24"/>
          <w:lang w:val="en-GB"/>
        </w:rPr>
        <w:t>the number of skilled people</w:t>
      </w:r>
      <w:r w:rsidRPr="00724676">
        <w:rPr>
          <w:rFonts w:eastAsia="Calibri" w:cs="Times New Roman"/>
          <w:noProof/>
          <w:szCs w:val="24"/>
          <w:lang w:val="en-GB"/>
        </w:rPr>
        <w:t xml:space="preserve"> employed</w:t>
      </w:r>
      <w:r w:rsidR="57014B30" w:rsidRPr="00724676">
        <w:rPr>
          <w:rFonts w:eastAsia="Calibri" w:cs="Times New Roman"/>
          <w:noProof/>
          <w:szCs w:val="24"/>
          <w:lang w:val="en-GB"/>
        </w:rPr>
        <w:t xml:space="preserve"> and </w:t>
      </w:r>
      <w:r w:rsidR="004F7F76">
        <w:rPr>
          <w:rFonts w:eastAsia="Calibri" w:cs="Times New Roman"/>
          <w:noProof/>
          <w:szCs w:val="24"/>
          <w:lang w:val="en-GB"/>
        </w:rPr>
        <w:t>on</w:t>
      </w:r>
      <w:r w:rsidR="57014B30" w:rsidRPr="00724676">
        <w:rPr>
          <w:rFonts w:eastAsia="Calibri" w:cs="Times New Roman"/>
          <w:b/>
          <w:bCs/>
          <w:noProof/>
          <w:szCs w:val="24"/>
          <w:lang w:val="en-GB"/>
        </w:rPr>
        <w:t xml:space="preserve"> the management of farms</w:t>
      </w:r>
      <w:r w:rsidR="004F7F76">
        <w:rPr>
          <w:rFonts w:eastAsia="Calibri" w:cs="Times New Roman"/>
          <w:b/>
          <w:bCs/>
          <w:noProof/>
          <w:szCs w:val="24"/>
          <w:lang w:val="en-GB"/>
        </w:rPr>
        <w:t>,</w:t>
      </w:r>
      <w:r w:rsidR="00592187" w:rsidRPr="00724676">
        <w:rPr>
          <w:rFonts w:eastAsia="Calibri" w:cs="Times New Roman"/>
          <w:b/>
          <w:bCs/>
          <w:noProof/>
          <w:szCs w:val="24"/>
          <w:lang w:val="en-GB"/>
        </w:rPr>
        <w:t xml:space="preserve"> </w:t>
      </w:r>
      <w:r w:rsidR="00E25CC7" w:rsidRPr="00724676">
        <w:rPr>
          <w:rFonts w:eastAsia="Calibri" w:cs="Times New Roman"/>
          <w:noProof/>
          <w:szCs w:val="24"/>
          <w:lang w:val="en-GB"/>
        </w:rPr>
        <w:t>considering</w:t>
      </w:r>
      <w:r w:rsidR="00592187" w:rsidRPr="00724676">
        <w:rPr>
          <w:rFonts w:eastAsia="Calibri" w:cs="Times New Roman"/>
          <w:noProof/>
          <w:szCs w:val="24"/>
          <w:lang w:val="en-GB"/>
        </w:rPr>
        <w:t xml:space="preserve"> their specific needs</w:t>
      </w:r>
      <w:r w:rsidR="006C063B" w:rsidRPr="00724676">
        <w:rPr>
          <w:rFonts w:eastAsia="Calibri" w:cs="Times New Roman"/>
          <w:noProof/>
          <w:szCs w:val="24"/>
          <w:lang w:val="en-GB"/>
        </w:rPr>
        <w:t>, including as regards more sustainable farming</w:t>
      </w:r>
      <w:r w:rsidR="00354901" w:rsidRPr="00724676">
        <w:rPr>
          <w:rFonts w:eastAsia="Calibri" w:cs="Times New Roman"/>
          <w:noProof/>
          <w:szCs w:val="24"/>
          <w:lang w:val="en-GB"/>
        </w:rPr>
        <w:t>, thus promoting the CAP’s</w:t>
      </w:r>
      <w:r w:rsidRPr="00724676" w:rsidDel="00DA2639">
        <w:rPr>
          <w:rFonts w:eastAsia="Calibri" w:cs="Times New Roman"/>
          <w:noProof/>
          <w:szCs w:val="24"/>
          <w:lang w:val="en-GB"/>
        </w:rPr>
        <w:t xml:space="preserve"> </w:t>
      </w:r>
      <w:r w:rsidR="7672EE94" w:rsidRPr="00724676">
        <w:rPr>
          <w:rFonts w:eastAsia="Calibri" w:cs="Times New Roman"/>
          <w:b/>
          <w:bCs/>
          <w:noProof/>
          <w:szCs w:val="24"/>
          <w:lang w:val="en-GB"/>
        </w:rPr>
        <w:t>environmental and climate objectives</w:t>
      </w:r>
      <w:r w:rsidR="7672EE94" w:rsidRPr="00724676">
        <w:rPr>
          <w:rFonts w:eastAsia="Calibri" w:cs="Times New Roman"/>
          <w:noProof/>
          <w:szCs w:val="24"/>
          <w:lang w:val="en-GB"/>
        </w:rPr>
        <w:t>.</w:t>
      </w:r>
    </w:p>
    <w:p w14:paraId="66EED640" w14:textId="4FF755D7" w:rsidR="006D4A24" w:rsidRPr="00724676" w:rsidRDefault="00A873CF" w:rsidP="001E779A">
      <w:pPr>
        <w:pStyle w:val="Heading2"/>
        <w:spacing w:before="120"/>
        <w:rPr>
          <w:noProof/>
          <w:lang w:val="en-GB"/>
        </w:rPr>
      </w:pPr>
      <w:bookmarkStart w:id="141" w:name="_Toc172125138"/>
      <w:r w:rsidRPr="7FD774DB">
        <w:rPr>
          <w:noProof/>
          <w:lang w:val="en-GB"/>
        </w:rPr>
        <w:t xml:space="preserve">6.5 </w:t>
      </w:r>
      <w:r w:rsidR="00021677" w:rsidRPr="7FD774DB">
        <w:rPr>
          <w:noProof/>
          <w:lang w:val="en-GB"/>
        </w:rPr>
        <w:t xml:space="preserve">Impacts </w:t>
      </w:r>
      <w:r w:rsidR="0035388F" w:rsidRPr="7FD774DB">
        <w:rPr>
          <w:noProof/>
          <w:lang w:val="en-GB"/>
        </w:rPr>
        <w:t xml:space="preserve">relating to </w:t>
      </w:r>
      <w:r w:rsidR="007C62E1" w:rsidRPr="7FD774DB">
        <w:rPr>
          <w:noProof/>
          <w:lang w:val="en-GB"/>
        </w:rPr>
        <w:t xml:space="preserve">the </w:t>
      </w:r>
      <w:r w:rsidR="00C6009F" w:rsidRPr="7FD774DB">
        <w:rPr>
          <w:noProof/>
          <w:lang w:val="en-GB"/>
        </w:rPr>
        <w:t xml:space="preserve">performance, </w:t>
      </w:r>
      <w:r w:rsidR="006D4A24" w:rsidRPr="7FD774DB">
        <w:rPr>
          <w:noProof/>
          <w:lang w:val="en-GB"/>
        </w:rPr>
        <w:t>monitoring</w:t>
      </w:r>
      <w:r w:rsidR="00021677" w:rsidRPr="7FD774DB">
        <w:rPr>
          <w:noProof/>
          <w:lang w:val="en-GB"/>
        </w:rPr>
        <w:t xml:space="preserve"> and evaluation</w:t>
      </w:r>
      <w:r w:rsidR="0035388F" w:rsidRPr="7FD774DB">
        <w:rPr>
          <w:noProof/>
          <w:lang w:val="en-GB"/>
        </w:rPr>
        <w:t xml:space="preserve"> framework</w:t>
      </w:r>
      <w:bookmarkEnd w:id="141"/>
    </w:p>
    <w:p w14:paraId="2088E86B" w14:textId="3F92A060" w:rsidR="00576B9A" w:rsidRPr="00724676" w:rsidRDefault="4CA0F79B" w:rsidP="714C0673">
      <w:pPr>
        <w:spacing w:after="120"/>
        <w:jc w:val="both"/>
        <w:rPr>
          <w:rFonts w:cs="Times New Roman"/>
          <w:b/>
          <w:bCs/>
          <w:noProof/>
          <w:lang w:val="en-GB"/>
        </w:rPr>
      </w:pPr>
      <w:r w:rsidRPr="0989AC7A">
        <w:rPr>
          <w:rFonts w:cs="Times New Roman"/>
          <w:noProof/>
          <w:lang w:val="en-GB"/>
        </w:rPr>
        <w:t xml:space="preserve">The orientation </w:t>
      </w:r>
      <w:r w:rsidR="239AECEC" w:rsidRPr="0989AC7A">
        <w:rPr>
          <w:rFonts w:cs="Times New Roman"/>
          <w:noProof/>
          <w:lang w:val="en-GB"/>
        </w:rPr>
        <w:t>on results</w:t>
      </w:r>
      <w:r w:rsidR="7282EC82" w:rsidRPr="0989AC7A">
        <w:rPr>
          <w:rFonts w:cs="Times New Roman"/>
          <w:noProof/>
          <w:lang w:val="en-GB"/>
        </w:rPr>
        <w:t xml:space="preserve"> </w:t>
      </w:r>
      <w:r w:rsidRPr="0989AC7A">
        <w:rPr>
          <w:rFonts w:cs="Times New Roman"/>
          <w:noProof/>
          <w:lang w:val="en-GB"/>
        </w:rPr>
        <w:t xml:space="preserve">as well as the increased </w:t>
      </w:r>
      <w:r w:rsidR="62D84713" w:rsidRPr="0989AC7A">
        <w:rPr>
          <w:rFonts w:cs="Times New Roman"/>
          <w:noProof/>
          <w:lang w:val="en-GB"/>
        </w:rPr>
        <w:t xml:space="preserve">flexibility </w:t>
      </w:r>
      <w:r w:rsidRPr="0989AC7A">
        <w:rPr>
          <w:rFonts w:cs="Times New Roman"/>
          <w:noProof/>
          <w:lang w:val="en-GB"/>
        </w:rPr>
        <w:t>in the new delivery model of the CAP</w:t>
      </w:r>
      <w:r w:rsidR="1E2AEC2A" w:rsidRPr="0989AC7A">
        <w:rPr>
          <w:rFonts w:cs="Times New Roman"/>
          <w:noProof/>
          <w:lang w:val="en-GB"/>
        </w:rPr>
        <w:t>,</w:t>
      </w:r>
      <w:r w:rsidRPr="0989AC7A">
        <w:rPr>
          <w:rFonts w:cs="Times New Roman"/>
          <w:noProof/>
          <w:lang w:val="en-GB"/>
        </w:rPr>
        <w:t xml:space="preserve"> based on </w:t>
      </w:r>
      <w:r w:rsidR="0778C3AB" w:rsidRPr="0989AC7A">
        <w:rPr>
          <w:rFonts w:cs="Times New Roman"/>
          <w:noProof/>
          <w:lang w:val="en-GB"/>
        </w:rPr>
        <w:t xml:space="preserve">CAP </w:t>
      </w:r>
      <w:r w:rsidR="1E2AEC2A" w:rsidRPr="0989AC7A">
        <w:rPr>
          <w:rFonts w:cs="Times New Roman"/>
          <w:noProof/>
          <w:lang w:val="en-GB"/>
        </w:rPr>
        <w:t>p</w:t>
      </w:r>
      <w:r w:rsidR="0778C3AB" w:rsidRPr="0989AC7A">
        <w:rPr>
          <w:rFonts w:cs="Times New Roman"/>
          <w:noProof/>
          <w:lang w:val="en-GB"/>
        </w:rPr>
        <w:t>lans</w:t>
      </w:r>
      <w:r w:rsidR="1E2AEC2A" w:rsidRPr="0989AC7A">
        <w:rPr>
          <w:rFonts w:cs="Times New Roman"/>
          <w:noProof/>
          <w:lang w:val="en-GB"/>
        </w:rPr>
        <w:t>,</w:t>
      </w:r>
      <w:r w:rsidR="0778C3AB" w:rsidRPr="0989AC7A">
        <w:rPr>
          <w:rFonts w:cs="Times New Roman"/>
          <w:noProof/>
          <w:lang w:val="en-GB"/>
        </w:rPr>
        <w:t xml:space="preserve"> </w:t>
      </w:r>
      <w:r w:rsidR="7A838361" w:rsidRPr="0989AC7A">
        <w:rPr>
          <w:rFonts w:cs="Times New Roman"/>
          <w:noProof/>
          <w:lang w:val="en-GB"/>
        </w:rPr>
        <w:t xml:space="preserve">relies </w:t>
      </w:r>
      <w:r w:rsidR="323C5A05" w:rsidRPr="0989AC7A">
        <w:rPr>
          <w:rFonts w:cs="Times New Roman"/>
          <w:noProof/>
          <w:lang w:val="en-GB"/>
        </w:rPr>
        <w:t xml:space="preserve">upon </w:t>
      </w:r>
      <w:r w:rsidR="0FD85764" w:rsidRPr="0989AC7A">
        <w:rPr>
          <w:rFonts w:cs="Times New Roman"/>
          <w:noProof/>
          <w:lang w:val="en-GB"/>
        </w:rPr>
        <w:t xml:space="preserve">a robust </w:t>
      </w:r>
      <w:r w:rsidR="63DF5827" w:rsidRPr="0989AC7A">
        <w:rPr>
          <w:rFonts w:cs="Times New Roman"/>
          <w:noProof/>
          <w:lang w:val="en-GB"/>
        </w:rPr>
        <w:t>performance, monitoring and evaluation framework</w:t>
      </w:r>
      <w:r w:rsidRPr="0989AC7A">
        <w:rPr>
          <w:rFonts w:cs="Times New Roman"/>
          <w:noProof/>
          <w:lang w:val="en-GB"/>
        </w:rPr>
        <w:t xml:space="preserve"> </w:t>
      </w:r>
      <w:r w:rsidR="63DF5827" w:rsidRPr="0989AC7A">
        <w:rPr>
          <w:rFonts w:cs="Times New Roman"/>
          <w:noProof/>
          <w:lang w:val="en-GB"/>
        </w:rPr>
        <w:t>(</w:t>
      </w:r>
      <w:r w:rsidRPr="0989AC7A">
        <w:rPr>
          <w:rFonts w:cs="Times New Roman"/>
          <w:noProof/>
          <w:lang w:val="en-GB"/>
        </w:rPr>
        <w:t>PMEF</w:t>
      </w:r>
      <w:r w:rsidR="63DF5827" w:rsidRPr="0989AC7A">
        <w:rPr>
          <w:rFonts w:cs="Times New Roman"/>
          <w:noProof/>
          <w:lang w:val="en-GB"/>
        </w:rPr>
        <w:t>)</w:t>
      </w:r>
      <w:r w:rsidRPr="0989AC7A">
        <w:rPr>
          <w:rFonts w:cs="Times New Roman"/>
          <w:noProof/>
          <w:lang w:val="en-GB"/>
        </w:rPr>
        <w:t xml:space="preserve">. </w:t>
      </w:r>
      <w:r w:rsidRPr="003E7CF4">
        <w:rPr>
          <w:rFonts w:cs="Times New Roman"/>
          <w:noProof/>
          <w:lang w:val="en-GB"/>
        </w:rPr>
        <w:t xml:space="preserve">The simplification </w:t>
      </w:r>
      <w:r w:rsidR="1D42515D" w:rsidRPr="003E7CF4">
        <w:rPr>
          <w:rFonts w:cs="Times New Roman"/>
          <w:noProof/>
          <w:lang w:val="en-GB"/>
        </w:rPr>
        <w:t xml:space="preserve">changes made </w:t>
      </w:r>
      <w:r w:rsidRPr="003E7CF4">
        <w:rPr>
          <w:rFonts w:cs="Times New Roman"/>
          <w:noProof/>
          <w:lang w:val="en-GB"/>
        </w:rPr>
        <w:t>to existing legislation</w:t>
      </w:r>
      <w:r w:rsidR="1D42515D" w:rsidRPr="003E7CF4">
        <w:rPr>
          <w:rFonts w:cs="Times New Roman"/>
          <w:noProof/>
          <w:lang w:val="en-GB"/>
        </w:rPr>
        <w:t>,</w:t>
      </w:r>
      <w:r w:rsidRPr="003E7CF4">
        <w:rPr>
          <w:rFonts w:cs="Times New Roman"/>
          <w:noProof/>
          <w:lang w:val="en-GB"/>
        </w:rPr>
        <w:t xml:space="preserve"> and </w:t>
      </w:r>
      <w:r w:rsidR="0F51F230" w:rsidRPr="003E7CF4">
        <w:rPr>
          <w:rFonts w:cs="Times New Roman"/>
          <w:noProof/>
          <w:lang w:val="en-GB"/>
        </w:rPr>
        <w:t xml:space="preserve">other accompanying </w:t>
      </w:r>
      <w:r w:rsidRPr="003E7CF4">
        <w:rPr>
          <w:rFonts w:cs="Times New Roman"/>
          <w:noProof/>
          <w:lang w:val="en-GB"/>
        </w:rPr>
        <w:t>actions</w:t>
      </w:r>
      <w:r w:rsidR="1D42515D" w:rsidRPr="003E7CF4">
        <w:rPr>
          <w:rFonts w:cs="Times New Roman"/>
          <w:noProof/>
          <w:lang w:val="en-GB"/>
        </w:rPr>
        <w:t>,</w:t>
      </w:r>
      <w:r w:rsidR="1D42515D" w:rsidRPr="0989AC7A">
        <w:rPr>
          <w:rFonts w:cs="Times New Roman"/>
          <w:noProof/>
          <w:lang w:val="en-GB"/>
        </w:rPr>
        <w:t xml:space="preserve"> </w:t>
      </w:r>
      <w:r w:rsidRPr="003E7CF4">
        <w:rPr>
          <w:rFonts w:cs="Times New Roman"/>
          <w:noProof/>
          <w:lang w:val="en-GB"/>
        </w:rPr>
        <w:t xml:space="preserve">therefore also </w:t>
      </w:r>
      <w:r w:rsidRPr="003E7CF4">
        <w:rPr>
          <w:rFonts w:cs="Times New Roman"/>
          <w:b/>
          <w:bCs/>
          <w:noProof/>
          <w:lang w:val="en-GB"/>
        </w:rPr>
        <w:t xml:space="preserve">require modifications of </w:t>
      </w:r>
      <w:r w:rsidR="31439F5A" w:rsidRPr="0989AC7A">
        <w:rPr>
          <w:rFonts w:cs="Times New Roman"/>
          <w:b/>
          <w:bCs/>
          <w:noProof/>
          <w:lang w:val="en-GB"/>
        </w:rPr>
        <w:t>certain</w:t>
      </w:r>
      <w:r w:rsidRPr="003E7CF4">
        <w:rPr>
          <w:rFonts w:cs="Times New Roman"/>
          <w:b/>
          <w:bCs/>
          <w:noProof/>
          <w:lang w:val="en-GB"/>
        </w:rPr>
        <w:t xml:space="preserve"> </w:t>
      </w:r>
      <w:r w:rsidR="02AAC9E0" w:rsidRPr="003E7CF4">
        <w:rPr>
          <w:rFonts w:cs="Times New Roman"/>
          <w:noProof/>
          <w:lang w:val="en-GB"/>
        </w:rPr>
        <w:t xml:space="preserve">elements of the </w:t>
      </w:r>
      <w:r w:rsidRPr="0989AC7A">
        <w:rPr>
          <w:rFonts w:cs="Times New Roman"/>
          <w:noProof/>
          <w:lang w:val="en-GB"/>
        </w:rPr>
        <w:t xml:space="preserve">PMEF </w:t>
      </w:r>
      <w:r w:rsidR="31CA5A43" w:rsidRPr="0989AC7A">
        <w:rPr>
          <w:rFonts w:cs="Times New Roman"/>
          <w:noProof/>
          <w:lang w:val="en-GB"/>
        </w:rPr>
        <w:t>set out in the CAP Plans</w:t>
      </w:r>
      <w:r w:rsidR="4DEED5BA" w:rsidRPr="003E7CF4">
        <w:rPr>
          <w:rFonts w:cs="Times New Roman"/>
          <w:noProof/>
          <w:lang w:val="en-GB"/>
        </w:rPr>
        <w:t>: indicators, unit amounts, financial allocation and reporting.</w:t>
      </w:r>
    </w:p>
    <w:p w14:paraId="06B24F71" w14:textId="09C34D37" w:rsidR="002E1E26" w:rsidRPr="00724676" w:rsidRDefault="006D4A24" w:rsidP="002E1E26">
      <w:pPr>
        <w:spacing w:after="120"/>
        <w:jc w:val="both"/>
        <w:rPr>
          <w:rFonts w:cs="Times New Roman"/>
          <w:noProof/>
          <w:lang w:val="en-GB"/>
        </w:rPr>
      </w:pPr>
      <w:r w:rsidRPr="3C7958FC">
        <w:rPr>
          <w:rFonts w:cs="Times New Roman"/>
          <w:noProof/>
          <w:lang w:val="en-GB"/>
        </w:rPr>
        <w:t xml:space="preserve">When designing the PMEF, </w:t>
      </w:r>
      <w:r w:rsidR="004F7F76" w:rsidRPr="3C7958FC">
        <w:rPr>
          <w:rFonts w:cs="Times New Roman"/>
          <w:noProof/>
          <w:lang w:val="en-GB"/>
        </w:rPr>
        <w:t>improved</w:t>
      </w:r>
      <w:r w:rsidRPr="3C7958FC">
        <w:rPr>
          <w:rFonts w:cs="Times New Roman"/>
          <w:noProof/>
          <w:lang w:val="en-GB"/>
        </w:rPr>
        <w:t xml:space="preserve"> conditionality (including </w:t>
      </w:r>
      <w:r w:rsidR="004F7F76" w:rsidRPr="3C7958FC">
        <w:rPr>
          <w:rFonts w:cs="Times New Roman"/>
          <w:noProof/>
          <w:lang w:val="en-GB"/>
        </w:rPr>
        <w:t xml:space="preserve">the </w:t>
      </w:r>
      <w:r w:rsidR="00687CB2" w:rsidRPr="3C7958FC">
        <w:rPr>
          <w:rFonts w:cs="Times New Roman"/>
          <w:noProof/>
          <w:lang w:val="en-GB"/>
        </w:rPr>
        <w:t>first requirement</w:t>
      </w:r>
      <w:r w:rsidR="004F7F76" w:rsidRPr="3C7958FC">
        <w:rPr>
          <w:rFonts w:cs="Times New Roman"/>
          <w:noProof/>
          <w:lang w:val="en-GB"/>
        </w:rPr>
        <w:t xml:space="preserve"> of GAEC 8</w:t>
      </w:r>
      <w:r w:rsidRPr="3C7958FC">
        <w:rPr>
          <w:rFonts w:cs="Times New Roman"/>
          <w:noProof/>
          <w:lang w:val="en-GB"/>
        </w:rPr>
        <w:t xml:space="preserve">) has been </w:t>
      </w:r>
      <w:r w:rsidR="004F7F76" w:rsidRPr="3C7958FC">
        <w:rPr>
          <w:rFonts w:cs="Times New Roman"/>
          <w:noProof/>
          <w:lang w:val="en-GB"/>
        </w:rPr>
        <w:t>treated</w:t>
      </w:r>
      <w:r w:rsidRPr="3C7958FC">
        <w:rPr>
          <w:rFonts w:cs="Times New Roman"/>
          <w:noProof/>
          <w:lang w:val="en-GB"/>
        </w:rPr>
        <w:t xml:space="preserve"> as the baseline, </w:t>
      </w:r>
      <w:r w:rsidR="00C2482A" w:rsidRPr="3C7958FC">
        <w:rPr>
          <w:rFonts w:cs="Times New Roman"/>
          <w:noProof/>
          <w:lang w:val="en-GB"/>
        </w:rPr>
        <w:t>i.e.</w:t>
      </w:r>
      <w:r w:rsidRPr="3C7958FC">
        <w:rPr>
          <w:rFonts w:cs="Times New Roman"/>
          <w:noProof/>
          <w:lang w:val="en-GB"/>
        </w:rPr>
        <w:t xml:space="preserve"> the level of environmental </w:t>
      </w:r>
      <w:r w:rsidR="004F7F76" w:rsidRPr="3C7958FC">
        <w:rPr>
          <w:rFonts w:cs="Times New Roman"/>
          <w:noProof/>
          <w:lang w:val="en-GB"/>
        </w:rPr>
        <w:t>improvements</w:t>
      </w:r>
      <w:r w:rsidRPr="3C7958FC">
        <w:rPr>
          <w:rFonts w:cs="Times New Roman"/>
          <w:noProof/>
          <w:lang w:val="en-GB"/>
        </w:rPr>
        <w:t xml:space="preserve"> to be reached by all </w:t>
      </w:r>
      <w:r w:rsidR="00C13FFB" w:rsidRPr="3C7958FC">
        <w:rPr>
          <w:rFonts w:cs="Times New Roman"/>
          <w:noProof/>
          <w:lang w:val="en-GB"/>
        </w:rPr>
        <w:t xml:space="preserve">EU </w:t>
      </w:r>
      <w:r w:rsidRPr="3C7958FC">
        <w:rPr>
          <w:rFonts w:cs="Times New Roman"/>
          <w:noProof/>
          <w:lang w:val="en-GB"/>
        </w:rPr>
        <w:t xml:space="preserve">farmers </w:t>
      </w:r>
      <w:r w:rsidR="008E3109" w:rsidRPr="3C7958FC">
        <w:rPr>
          <w:rFonts w:cs="Times New Roman"/>
          <w:noProof/>
          <w:lang w:val="en-GB"/>
        </w:rPr>
        <w:t>receiving CAP support</w:t>
      </w:r>
      <w:r w:rsidRPr="3C7958FC">
        <w:rPr>
          <w:rFonts w:cs="Times New Roman"/>
          <w:noProof/>
          <w:lang w:val="en-GB"/>
        </w:rPr>
        <w:t xml:space="preserve">. Thus, area-based result indicators relate only to the voluntary commitments </w:t>
      </w:r>
      <w:r w:rsidR="004F7F76" w:rsidRPr="3C7958FC">
        <w:rPr>
          <w:rFonts w:cs="Times New Roman"/>
          <w:noProof/>
          <w:lang w:val="en-GB"/>
        </w:rPr>
        <w:t xml:space="preserve">that </w:t>
      </w:r>
      <w:r w:rsidRPr="004466B4">
        <w:rPr>
          <w:rFonts w:cs="Times New Roman"/>
          <w:noProof/>
          <w:lang w:val="en-GB"/>
        </w:rPr>
        <w:t xml:space="preserve">go beyond these mandatory </w:t>
      </w:r>
      <w:r w:rsidR="6422DD2E" w:rsidRPr="004466B4">
        <w:rPr>
          <w:rFonts w:cs="Times New Roman"/>
          <w:noProof/>
          <w:lang w:val="en-GB"/>
        </w:rPr>
        <w:t>practices</w:t>
      </w:r>
      <w:r w:rsidR="533468D0" w:rsidRPr="004466B4">
        <w:rPr>
          <w:rFonts w:cs="Times New Roman"/>
          <w:noProof/>
          <w:lang w:val="en-GB"/>
        </w:rPr>
        <w:t>.</w:t>
      </w:r>
      <w:r w:rsidRPr="004466B4">
        <w:rPr>
          <w:rFonts w:cs="Times New Roman"/>
          <w:noProof/>
          <w:lang w:val="en-GB"/>
        </w:rPr>
        <w:t xml:space="preserve"> Removing </w:t>
      </w:r>
      <w:r w:rsidR="004F7F76" w:rsidRPr="004466B4">
        <w:rPr>
          <w:rFonts w:cs="Times New Roman"/>
          <w:noProof/>
          <w:lang w:val="en-GB"/>
        </w:rPr>
        <w:t xml:space="preserve">the </w:t>
      </w:r>
      <w:r w:rsidRPr="004466B4">
        <w:rPr>
          <w:rFonts w:cs="Times New Roman"/>
          <w:noProof/>
          <w:lang w:val="en-GB"/>
        </w:rPr>
        <w:t xml:space="preserve">GAEC 8 </w:t>
      </w:r>
      <w:r w:rsidR="00117F3F" w:rsidRPr="004466B4">
        <w:rPr>
          <w:rFonts w:cs="Times New Roman"/>
          <w:noProof/>
          <w:lang w:val="en-GB"/>
        </w:rPr>
        <w:t xml:space="preserve">first </w:t>
      </w:r>
      <w:r w:rsidRPr="004466B4">
        <w:rPr>
          <w:rFonts w:cs="Times New Roman"/>
          <w:noProof/>
          <w:lang w:val="en-GB"/>
        </w:rPr>
        <w:t xml:space="preserve">requirement and replacing it with </w:t>
      </w:r>
      <w:r w:rsidR="0C218ADE" w:rsidRPr="004466B4">
        <w:rPr>
          <w:rFonts w:cs="Times New Roman"/>
          <w:noProof/>
          <w:lang w:val="en-GB"/>
        </w:rPr>
        <w:t xml:space="preserve">new </w:t>
      </w:r>
      <w:r w:rsidRPr="004466B4">
        <w:rPr>
          <w:rFonts w:cs="Times New Roman"/>
          <w:b/>
          <w:bCs/>
          <w:noProof/>
          <w:lang w:val="en-GB"/>
        </w:rPr>
        <w:t>voluntary commitment</w:t>
      </w:r>
      <w:r w:rsidR="00117F3F" w:rsidRPr="004466B4">
        <w:rPr>
          <w:rFonts w:cs="Times New Roman"/>
          <w:b/>
          <w:bCs/>
          <w:noProof/>
          <w:lang w:val="en-GB"/>
        </w:rPr>
        <w:t>s</w:t>
      </w:r>
      <w:r w:rsidRPr="3C7958FC">
        <w:rPr>
          <w:rFonts w:cs="Times New Roman"/>
          <w:b/>
          <w:bCs/>
          <w:noProof/>
          <w:lang w:val="en-GB"/>
        </w:rPr>
        <w:t xml:space="preserve"> </w:t>
      </w:r>
      <w:r w:rsidR="04DFB10F" w:rsidRPr="3C7958FC">
        <w:rPr>
          <w:rFonts w:cs="Times New Roman"/>
          <w:noProof/>
          <w:lang w:val="en-GB"/>
        </w:rPr>
        <w:t xml:space="preserve">(measure B.1 in </w:t>
      </w:r>
      <w:r w:rsidR="004466B4">
        <w:rPr>
          <w:rFonts w:cs="Times New Roman"/>
          <w:noProof/>
          <w:lang w:val="en-GB"/>
        </w:rPr>
        <w:br/>
      </w:r>
      <w:r w:rsidR="04DFB10F" w:rsidRPr="3C7958FC">
        <w:rPr>
          <w:rFonts w:cs="Times New Roman"/>
          <w:noProof/>
          <w:lang w:val="en-GB"/>
        </w:rPr>
        <w:t>Annex 1)</w:t>
      </w:r>
      <w:r w:rsidR="24D21F77" w:rsidRPr="3C7958FC">
        <w:rPr>
          <w:rFonts w:cs="Times New Roman"/>
          <w:noProof/>
          <w:lang w:val="en-GB"/>
        </w:rPr>
        <w:t xml:space="preserve"> </w:t>
      </w:r>
      <w:r w:rsidRPr="003E7CF4">
        <w:rPr>
          <w:rFonts w:cs="Times New Roman"/>
          <w:noProof/>
          <w:lang w:val="en-GB"/>
        </w:rPr>
        <w:t xml:space="preserve">implies that </w:t>
      </w:r>
      <w:r w:rsidR="004F7F76" w:rsidRPr="003E7CF4">
        <w:rPr>
          <w:rFonts w:cs="Times New Roman"/>
          <w:noProof/>
          <w:lang w:val="en-GB"/>
        </w:rPr>
        <w:t xml:space="preserve">the </w:t>
      </w:r>
      <w:r w:rsidR="00DB67AA" w:rsidRPr="003E7CF4">
        <w:rPr>
          <w:rFonts w:cs="Times New Roman"/>
          <w:noProof/>
          <w:lang w:val="en-GB"/>
        </w:rPr>
        <w:t xml:space="preserve">values </w:t>
      </w:r>
      <w:r w:rsidR="004F7F76" w:rsidRPr="003E7CF4">
        <w:rPr>
          <w:rFonts w:cs="Times New Roman"/>
          <w:noProof/>
          <w:lang w:val="en-GB"/>
        </w:rPr>
        <w:t>that</w:t>
      </w:r>
      <w:r w:rsidR="00684D39" w:rsidRPr="003E7CF4">
        <w:rPr>
          <w:rFonts w:cs="Times New Roman"/>
          <w:noProof/>
          <w:lang w:val="en-GB"/>
        </w:rPr>
        <w:t xml:space="preserve"> </w:t>
      </w:r>
      <w:r w:rsidRPr="003E7CF4">
        <w:rPr>
          <w:rFonts w:cs="Times New Roman"/>
          <w:b/>
          <w:bCs/>
          <w:noProof/>
          <w:lang w:val="en-GB"/>
        </w:rPr>
        <w:t>result indicators</w:t>
      </w:r>
      <w:r w:rsidRPr="003E7CF4">
        <w:rPr>
          <w:rFonts w:cs="Times New Roman"/>
          <w:noProof/>
          <w:lang w:val="en-GB"/>
        </w:rPr>
        <w:t xml:space="preserve"> </w:t>
      </w:r>
      <w:r w:rsidR="004F7F76" w:rsidRPr="003E7CF4">
        <w:rPr>
          <w:rFonts w:cs="Times New Roman"/>
          <w:noProof/>
          <w:lang w:val="en-GB"/>
        </w:rPr>
        <w:t xml:space="preserve">should reach </w:t>
      </w:r>
      <w:r w:rsidR="00797D9D" w:rsidRPr="003E7CF4">
        <w:rPr>
          <w:rFonts w:cs="Times New Roman"/>
          <w:noProof/>
          <w:lang w:val="en-GB"/>
        </w:rPr>
        <w:t xml:space="preserve">for </w:t>
      </w:r>
      <w:r w:rsidRPr="003E7CF4">
        <w:rPr>
          <w:rFonts w:cs="Times New Roman"/>
          <w:noProof/>
          <w:lang w:val="en-GB"/>
        </w:rPr>
        <w:t xml:space="preserve">the </w:t>
      </w:r>
      <w:r w:rsidR="7F602F60" w:rsidRPr="003E7CF4">
        <w:rPr>
          <w:rFonts w:cs="Times New Roman"/>
          <w:noProof/>
          <w:lang w:val="en-GB"/>
        </w:rPr>
        <w:t xml:space="preserve">share of </w:t>
      </w:r>
      <w:r w:rsidR="7F602F60" w:rsidRPr="004466B4">
        <w:rPr>
          <w:rFonts w:cs="Times New Roman"/>
          <w:noProof/>
          <w:lang w:val="en-GB"/>
        </w:rPr>
        <w:t>areas under</w:t>
      </w:r>
      <w:r w:rsidRPr="3C7958FC">
        <w:rPr>
          <w:rFonts w:cs="Times New Roman"/>
          <w:noProof/>
          <w:lang w:val="en-GB"/>
        </w:rPr>
        <w:t xml:space="preserve"> </w:t>
      </w:r>
      <w:r w:rsidRPr="003E7CF4">
        <w:rPr>
          <w:rFonts w:cs="Times New Roman"/>
          <w:noProof/>
          <w:lang w:val="en-GB"/>
        </w:rPr>
        <w:t>these</w:t>
      </w:r>
      <w:r w:rsidRPr="3C7958FC">
        <w:rPr>
          <w:rFonts w:cs="Times New Roman"/>
          <w:noProof/>
          <w:lang w:val="en-GB"/>
        </w:rPr>
        <w:t xml:space="preserve"> </w:t>
      </w:r>
      <w:r w:rsidR="00082ECE" w:rsidRPr="3C7958FC">
        <w:rPr>
          <w:rFonts w:cs="Times New Roman"/>
          <w:noProof/>
          <w:lang w:val="en-GB"/>
        </w:rPr>
        <w:t xml:space="preserve">commitments </w:t>
      </w:r>
      <w:r w:rsidRPr="3C7958FC">
        <w:rPr>
          <w:rFonts w:cs="Times New Roman"/>
          <w:noProof/>
          <w:lang w:val="en-GB"/>
        </w:rPr>
        <w:t xml:space="preserve">(such as R.31 Preserving habitats and species and R.34 Preserving landscape features) </w:t>
      </w:r>
      <w:r w:rsidR="00AC406B" w:rsidRPr="3C7958FC">
        <w:rPr>
          <w:rFonts w:cs="Times New Roman"/>
          <w:b/>
          <w:bCs/>
          <w:noProof/>
          <w:lang w:val="en-GB"/>
        </w:rPr>
        <w:t xml:space="preserve">would normally </w:t>
      </w:r>
      <w:r w:rsidR="00DF6F88" w:rsidRPr="3C7958FC">
        <w:rPr>
          <w:rFonts w:cs="Times New Roman"/>
          <w:b/>
          <w:bCs/>
          <w:noProof/>
          <w:lang w:val="en-GB"/>
        </w:rPr>
        <w:t xml:space="preserve">be </w:t>
      </w:r>
      <w:r w:rsidR="00AC406B" w:rsidRPr="3C7958FC">
        <w:rPr>
          <w:rFonts w:cs="Times New Roman"/>
          <w:b/>
          <w:bCs/>
          <w:noProof/>
          <w:lang w:val="en-GB"/>
        </w:rPr>
        <w:t>higher</w:t>
      </w:r>
      <w:r w:rsidR="002E1E26" w:rsidRPr="3C7958FC">
        <w:rPr>
          <w:rFonts w:cs="Times New Roman"/>
          <w:b/>
          <w:bCs/>
          <w:noProof/>
          <w:lang w:val="en-GB"/>
        </w:rPr>
        <w:t xml:space="preserve"> </w:t>
      </w:r>
      <w:r w:rsidR="002E1E26" w:rsidRPr="3C7958FC">
        <w:rPr>
          <w:rFonts w:cs="Times New Roman"/>
          <w:noProof/>
          <w:lang w:val="en-GB"/>
        </w:rPr>
        <w:t>(</w:t>
      </w:r>
      <w:r w:rsidR="004F7F76" w:rsidRPr="3C7958FC">
        <w:rPr>
          <w:rFonts w:cs="Times New Roman"/>
          <w:noProof/>
          <w:lang w:val="en-GB"/>
        </w:rPr>
        <w:t>since</w:t>
      </w:r>
      <w:r w:rsidR="002E1E26" w:rsidRPr="3C7958FC">
        <w:rPr>
          <w:rFonts w:cs="Times New Roman"/>
          <w:noProof/>
          <w:lang w:val="en-GB"/>
        </w:rPr>
        <w:t xml:space="preserve"> </w:t>
      </w:r>
      <w:r w:rsidR="005D1BE1" w:rsidRPr="3C7958FC">
        <w:rPr>
          <w:rFonts w:cs="Times New Roman"/>
          <w:noProof/>
          <w:lang w:val="en-GB"/>
        </w:rPr>
        <w:t xml:space="preserve">areas under </w:t>
      </w:r>
      <w:r w:rsidR="004F7F76" w:rsidRPr="3C7958FC">
        <w:rPr>
          <w:rFonts w:cs="Times New Roman"/>
          <w:noProof/>
          <w:lang w:val="en-GB"/>
        </w:rPr>
        <w:t xml:space="preserve">the </w:t>
      </w:r>
      <w:r w:rsidR="002E1E26" w:rsidRPr="3C7958FC">
        <w:rPr>
          <w:rFonts w:cs="Times New Roman"/>
          <w:noProof/>
          <w:lang w:val="en-GB"/>
        </w:rPr>
        <w:t xml:space="preserve">GAEC 8 </w:t>
      </w:r>
      <w:r w:rsidR="0066332B" w:rsidRPr="3C7958FC">
        <w:rPr>
          <w:rFonts w:cs="Times New Roman"/>
          <w:noProof/>
          <w:lang w:val="en-GB"/>
        </w:rPr>
        <w:t xml:space="preserve">first requirement </w:t>
      </w:r>
      <w:r w:rsidR="002E1E26" w:rsidRPr="3C7958FC">
        <w:rPr>
          <w:rFonts w:cs="Times New Roman"/>
          <w:noProof/>
          <w:lang w:val="en-GB"/>
        </w:rPr>
        <w:t>were not considered in these indicators)</w:t>
      </w:r>
      <w:r w:rsidR="00082ECE" w:rsidRPr="3C7958FC">
        <w:rPr>
          <w:rFonts w:cs="Times New Roman"/>
          <w:noProof/>
          <w:lang w:val="en-GB"/>
        </w:rPr>
        <w:t>,</w:t>
      </w:r>
      <w:r w:rsidR="002E1E26" w:rsidRPr="3C7958FC">
        <w:rPr>
          <w:rFonts w:cs="Times New Roman"/>
          <w:noProof/>
          <w:lang w:val="en-GB"/>
        </w:rPr>
        <w:t xml:space="preserve"> </w:t>
      </w:r>
      <w:r w:rsidR="004B2E2C" w:rsidRPr="3C7958FC">
        <w:rPr>
          <w:rFonts w:cs="Times New Roman"/>
          <w:noProof/>
          <w:lang w:val="en-GB"/>
        </w:rPr>
        <w:t>though</w:t>
      </w:r>
      <w:r w:rsidR="002E1E26" w:rsidRPr="3C7958FC">
        <w:rPr>
          <w:rFonts w:cs="Times New Roman"/>
          <w:noProof/>
          <w:lang w:val="en-GB"/>
        </w:rPr>
        <w:t xml:space="preserve"> </w:t>
      </w:r>
      <w:r w:rsidR="00082ECE" w:rsidRPr="3C7958FC">
        <w:rPr>
          <w:rFonts w:cs="Times New Roman"/>
          <w:noProof/>
          <w:lang w:val="en-GB"/>
        </w:rPr>
        <w:t xml:space="preserve">this </w:t>
      </w:r>
      <w:r w:rsidR="004B2E2C" w:rsidRPr="3C7958FC">
        <w:rPr>
          <w:rFonts w:cs="Times New Roman"/>
          <w:noProof/>
          <w:lang w:val="en-GB"/>
        </w:rPr>
        <w:t xml:space="preserve">does </w:t>
      </w:r>
      <w:r w:rsidR="002E1E26" w:rsidRPr="3C7958FC">
        <w:rPr>
          <w:rFonts w:cs="Times New Roman"/>
          <w:noProof/>
          <w:lang w:val="en-GB"/>
        </w:rPr>
        <w:t xml:space="preserve">not necessarily </w:t>
      </w:r>
      <w:r w:rsidR="004F7F76" w:rsidRPr="3C7958FC">
        <w:rPr>
          <w:rFonts w:cs="Times New Roman"/>
          <w:noProof/>
          <w:lang w:val="en-GB"/>
        </w:rPr>
        <w:t>lead to greater</w:t>
      </w:r>
      <w:r w:rsidR="002E1E26" w:rsidRPr="3C7958FC">
        <w:rPr>
          <w:rFonts w:cs="Times New Roman"/>
          <w:noProof/>
          <w:lang w:val="en-GB"/>
        </w:rPr>
        <w:t xml:space="preserve"> impacts. </w:t>
      </w:r>
    </w:p>
    <w:p w14:paraId="1A3BAC18" w14:textId="35BF59A2" w:rsidR="006D4A24" w:rsidRPr="00724676" w:rsidRDefault="00E32D37" w:rsidP="008805EE">
      <w:pPr>
        <w:spacing w:after="120"/>
        <w:jc w:val="both"/>
        <w:rPr>
          <w:rFonts w:cs="Times New Roman"/>
          <w:noProof/>
          <w:lang w:val="en-GB"/>
        </w:rPr>
      </w:pPr>
      <w:r w:rsidRPr="5B7F1876">
        <w:rPr>
          <w:rFonts w:cs="Times New Roman"/>
          <w:noProof/>
          <w:lang w:val="en-GB"/>
        </w:rPr>
        <w:t>S</w:t>
      </w:r>
      <w:r w:rsidR="006D4A24" w:rsidRPr="5B7F1876">
        <w:rPr>
          <w:rFonts w:cs="Times New Roman"/>
          <w:noProof/>
          <w:lang w:val="en-GB"/>
        </w:rPr>
        <w:t xml:space="preserve">everal interventions (mainly eco-schemes and agri-environment-climate commitments) </w:t>
      </w:r>
      <w:r w:rsidR="0061152F" w:rsidRPr="5B7F1876">
        <w:rPr>
          <w:rFonts w:cs="Times New Roman"/>
          <w:noProof/>
          <w:lang w:val="en-GB"/>
        </w:rPr>
        <w:t xml:space="preserve">that </w:t>
      </w:r>
      <w:r w:rsidR="006D4A24" w:rsidRPr="5B7F1876">
        <w:rPr>
          <w:rFonts w:cs="Times New Roman"/>
          <w:noProof/>
          <w:lang w:val="en-GB"/>
        </w:rPr>
        <w:t xml:space="preserve">build on </w:t>
      </w:r>
      <w:r w:rsidR="004F7F76" w:rsidRPr="5B7F1876">
        <w:rPr>
          <w:rFonts w:cs="Times New Roman"/>
          <w:noProof/>
          <w:lang w:val="en-GB"/>
        </w:rPr>
        <w:t xml:space="preserve">the </w:t>
      </w:r>
      <w:r w:rsidR="006D4A24" w:rsidRPr="003E7CF4">
        <w:rPr>
          <w:rFonts w:cs="Times New Roman"/>
          <w:noProof/>
          <w:lang w:val="en-GB"/>
        </w:rPr>
        <w:t>GAEC 8</w:t>
      </w:r>
      <w:r w:rsidR="0066332B" w:rsidRPr="003E7CF4">
        <w:rPr>
          <w:rFonts w:cs="Times New Roman"/>
          <w:noProof/>
          <w:lang w:val="en-GB"/>
        </w:rPr>
        <w:t xml:space="preserve"> first requirement</w:t>
      </w:r>
      <w:r w:rsidR="006D4A24" w:rsidRPr="5B7F1876">
        <w:rPr>
          <w:rStyle w:val="FootnoteReference"/>
          <w:rFonts w:cs="Times New Roman"/>
          <w:noProof/>
          <w:lang w:val="en-GB"/>
        </w:rPr>
        <w:footnoteReference w:id="65"/>
      </w:r>
      <w:r w:rsidR="006D4A24" w:rsidRPr="5B7F1876">
        <w:rPr>
          <w:rFonts w:cs="Times New Roman"/>
          <w:noProof/>
          <w:lang w:val="en-GB"/>
        </w:rPr>
        <w:t xml:space="preserve"> are </w:t>
      </w:r>
      <w:r w:rsidR="005203FB" w:rsidRPr="5B7F1876">
        <w:rPr>
          <w:rFonts w:cs="Times New Roman"/>
          <w:noProof/>
          <w:lang w:val="en-GB"/>
        </w:rPr>
        <w:t xml:space="preserve">also </w:t>
      </w:r>
      <w:r w:rsidR="006D4A24" w:rsidRPr="5B7F1876">
        <w:rPr>
          <w:rFonts w:cs="Times New Roman"/>
          <w:noProof/>
          <w:lang w:val="en-GB"/>
        </w:rPr>
        <w:t xml:space="preserve">impacted. When designing these interventions, Member States could not </w:t>
      </w:r>
      <w:r w:rsidR="3D327B9F" w:rsidRPr="5B7F1876">
        <w:rPr>
          <w:rFonts w:cs="Times New Roman"/>
          <w:noProof/>
          <w:lang w:val="en-GB"/>
        </w:rPr>
        <w:t xml:space="preserve">take into </w:t>
      </w:r>
      <w:r w:rsidR="006D4A24" w:rsidRPr="5B7F1876">
        <w:rPr>
          <w:rFonts w:cs="Times New Roman"/>
          <w:noProof/>
          <w:lang w:val="en-GB"/>
        </w:rPr>
        <w:t xml:space="preserve">account the </w:t>
      </w:r>
      <w:r w:rsidR="009D6E8D" w:rsidRPr="5B7F1876">
        <w:rPr>
          <w:rFonts w:cs="Times New Roman"/>
          <w:noProof/>
          <w:lang w:val="en-GB"/>
        </w:rPr>
        <w:t>hectares</w:t>
      </w:r>
      <w:r w:rsidR="006D4A24" w:rsidRPr="5B7F1876">
        <w:rPr>
          <w:rFonts w:cs="Times New Roman"/>
          <w:noProof/>
          <w:lang w:val="en-GB"/>
        </w:rPr>
        <w:t xml:space="preserve"> </w:t>
      </w:r>
      <w:r w:rsidR="00F54C04" w:rsidRPr="5B7F1876">
        <w:rPr>
          <w:rFonts w:cs="Times New Roman"/>
          <w:noProof/>
          <w:lang w:val="en-GB"/>
        </w:rPr>
        <w:t xml:space="preserve">needed </w:t>
      </w:r>
      <w:r w:rsidR="004F7F76" w:rsidRPr="5B7F1876">
        <w:rPr>
          <w:rFonts w:cs="Times New Roman"/>
          <w:noProof/>
          <w:lang w:val="en-GB"/>
        </w:rPr>
        <w:t>to</w:t>
      </w:r>
      <w:r w:rsidR="00F54C04" w:rsidRPr="5B7F1876">
        <w:rPr>
          <w:rFonts w:cs="Times New Roman"/>
          <w:noProof/>
          <w:lang w:val="en-GB"/>
        </w:rPr>
        <w:t xml:space="preserve"> </w:t>
      </w:r>
      <w:r w:rsidR="0066332B" w:rsidRPr="5B7F1876">
        <w:rPr>
          <w:rFonts w:cs="Times New Roman"/>
          <w:noProof/>
          <w:lang w:val="en-GB"/>
        </w:rPr>
        <w:t>comply</w:t>
      </w:r>
      <w:r w:rsidR="00312A02" w:rsidRPr="5B7F1876">
        <w:rPr>
          <w:rFonts w:cs="Times New Roman"/>
          <w:noProof/>
          <w:lang w:val="en-GB"/>
        </w:rPr>
        <w:t xml:space="preserve"> </w:t>
      </w:r>
      <w:r w:rsidR="0066332B" w:rsidRPr="5B7F1876">
        <w:rPr>
          <w:rFonts w:cs="Times New Roman"/>
          <w:noProof/>
          <w:lang w:val="en-GB"/>
        </w:rPr>
        <w:t xml:space="preserve">with the </w:t>
      </w:r>
      <w:r w:rsidR="006D4A24" w:rsidRPr="003E7CF4">
        <w:rPr>
          <w:rFonts w:cs="Times New Roman"/>
          <w:noProof/>
          <w:lang w:val="en-GB"/>
        </w:rPr>
        <w:t>GAEC 8</w:t>
      </w:r>
      <w:r w:rsidR="00A85D1E" w:rsidRPr="003E7CF4">
        <w:rPr>
          <w:rFonts w:cs="Times New Roman"/>
          <w:noProof/>
          <w:lang w:val="en-GB"/>
        </w:rPr>
        <w:t xml:space="preserve"> first requirement</w:t>
      </w:r>
      <w:r w:rsidR="006D4A24" w:rsidRPr="5B7F1876">
        <w:rPr>
          <w:rFonts w:cs="Times New Roman"/>
          <w:noProof/>
          <w:lang w:val="en-GB"/>
        </w:rPr>
        <w:t xml:space="preserve">. Following the removal of </w:t>
      </w:r>
      <w:r w:rsidR="00A85D1E" w:rsidRPr="5B7F1876">
        <w:rPr>
          <w:rFonts w:cs="Times New Roman"/>
          <w:noProof/>
          <w:lang w:val="en-GB"/>
        </w:rPr>
        <w:t>this</w:t>
      </w:r>
      <w:r w:rsidR="00797D9D" w:rsidRPr="5B7F1876">
        <w:rPr>
          <w:rFonts w:cs="Times New Roman"/>
          <w:noProof/>
          <w:lang w:val="en-GB"/>
        </w:rPr>
        <w:t xml:space="preserve"> </w:t>
      </w:r>
      <w:r w:rsidR="00687CB2" w:rsidRPr="5B7F1876">
        <w:rPr>
          <w:rFonts w:cs="Times New Roman"/>
          <w:noProof/>
          <w:lang w:val="en-GB"/>
        </w:rPr>
        <w:t>requirement</w:t>
      </w:r>
      <w:r w:rsidR="006D4A24" w:rsidRPr="5B7F1876">
        <w:rPr>
          <w:rFonts w:cs="Times New Roman"/>
          <w:noProof/>
          <w:lang w:val="en-GB"/>
        </w:rPr>
        <w:t xml:space="preserve">, Member States will have </w:t>
      </w:r>
      <w:r w:rsidR="005056A1">
        <w:rPr>
          <w:rFonts w:cs="Times New Roman"/>
          <w:noProof/>
          <w:lang w:val="en-GB"/>
        </w:rPr>
        <w:br/>
      </w:r>
      <w:r w:rsidR="006D4A24" w:rsidRPr="5B7F1876">
        <w:rPr>
          <w:rFonts w:cs="Times New Roman"/>
          <w:noProof/>
          <w:lang w:val="en-GB"/>
        </w:rPr>
        <w:t xml:space="preserve">the </w:t>
      </w:r>
      <w:r w:rsidR="006D4A24" w:rsidRPr="5B7F1876">
        <w:rPr>
          <w:rFonts w:cs="Times New Roman"/>
          <w:b/>
          <w:bCs/>
          <w:noProof/>
          <w:lang w:val="en-GB"/>
        </w:rPr>
        <w:t xml:space="preserve">possibility to </w:t>
      </w:r>
      <w:r w:rsidR="0095179A" w:rsidRPr="5B7F1876">
        <w:rPr>
          <w:rFonts w:cs="Times New Roman"/>
          <w:b/>
          <w:bCs/>
          <w:noProof/>
          <w:lang w:val="en-GB"/>
        </w:rPr>
        <w:t xml:space="preserve">take </w:t>
      </w:r>
      <w:r w:rsidR="004F7F76" w:rsidRPr="5B7F1876">
        <w:rPr>
          <w:rFonts w:cs="Times New Roman"/>
          <w:b/>
          <w:bCs/>
          <w:noProof/>
          <w:lang w:val="en-GB"/>
        </w:rPr>
        <w:t xml:space="preserve">these hectares </w:t>
      </w:r>
      <w:r w:rsidR="0095179A" w:rsidRPr="5B7F1876">
        <w:rPr>
          <w:rFonts w:cs="Times New Roman"/>
          <w:b/>
          <w:bCs/>
          <w:noProof/>
          <w:lang w:val="en-GB"/>
        </w:rPr>
        <w:t xml:space="preserve">into account </w:t>
      </w:r>
      <w:r w:rsidR="00F54C04" w:rsidRPr="5B7F1876">
        <w:rPr>
          <w:rFonts w:cs="Times New Roman"/>
          <w:noProof/>
          <w:lang w:val="en-GB"/>
        </w:rPr>
        <w:t>in the payments</w:t>
      </w:r>
      <w:r w:rsidR="00993106" w:rsidRPr="5B7F1876">
        <w:rPr>
          <w:rFonts w:cs="Times New Roman"/>
          <w:noProof/>
          <w:lang w:val="en-GB"/>
        </w:rPr>
        <w:t xml:space="preserve"> </w:t>
      </w:r>
      <w:r w:rsidR="006D4A24" w:rsidRPr="5B7F1876">
        <w:rPr>
          <w:rFonts w:cs="Times New Roman"/>
          <w:noProof/>
          <w:lang w:val="en-GB"/>
        </w:rPr>
        <w:t xml:space="preserve">of the interventions </w:t>
      </w:r>
      <w:r w:rsidR="005056A1">
        <w:rPr>
          <w:rFonts w:cs="Times New Roman"/>
          <w:noProof/>
          <w:lang w:val="en-GB"/>
        </w:rPr>
        <w:br/>
      </w:r>
      <w:r w:rsidR="006D4A24" w:rsidRPr="5B7F1876">
        <w:rPr>
          <w:rFonts w:cs="Times New Roman"/>
          <w:noProof/>
          <w:lang w:val="en-GB"/>
        </w:rPr>
        <w:lastRenderedPageBreak/>
        <w:t xml:space="preserve">to </w:t>
      </w:r>
      <w:r w:rsidR="00EB7E55" w:rsidRPr="5B7F1876">
        <w:rPr>
          <w:rFonts w:cs="Times New Roman"/>
          <w:noProof/>
          <w:lang w:val="en-GB"/>
        </w:rPr>
        <w:t xml:space="preserve">cover </w:t>
      </w:r>
      <w:r w:rsidR="006D4A24" w:rsidRPr="5B7F1876">
        <w:rPr>
          <w:rFonts w:cs="Times New Roman"/>
          <w:noProof/>
          <w:lang w:val="en-GB"/>
        </w:rPr>
        <w:t xml:space="preserve">the related costs. </w:t>
      </w:r>
      <w:r w:rsidR="001B15D2" w:rsidRPr="5B7F1876">
        <w:rPr>
          <w:rFonts w:cs="Times New Roman"/>
          <w:noProof/>
          <w:lang w:val="en-GB"/>
        </w:rPr>
        <w:t>This</w:t>
      </w:r>
      <w:r w:rsidR="006D4A24" w:rsidRPr="5B7F1876">
        <w:rPr>
          <w:rFonts w:cs="Times New Roman"/>
          <w:noProof/>
          <w:lang w:val="en-GB"/>
        </w:rPr>
        <w:t xml:space="preserve"> could lead to </w:t>
      </w:r>
      <w:r w:rsidR="0066332B" w:rsidRPr="5B7F1876">
        <w:rPr>
          <w:rFonts w:cs="Times New Roman"/>
          <w:noProof/>
          <w:lang w:val="en-GB"/>
        </w:rPr>
        <w:t xml:space="preserve">a </w:t>
      </w:r>
      <w:r w:rsidR="006D4A24" w:rsidRPr="5B7F1876">
        <w:rPr>
          <w:rFonts w:cs="Times New Roman"/>
          <w:noProof/>
          <w:lang w:val="en-GB"/>
        </w:rPr>
        <w:t>higher uptake</w:t>
      </w:r>
      <w:r w:rsidR="004064E5" w:rsidRPr="5B7F1876">
        <w:rPr>
          <w:rFonts w:cs="Times New Roman"/>
          <w:noProof/>
          <w:lang w:val="en-GB"/>
        </w:rPr>
        <w:t xml:space="preserve"> and,</w:t>
      </w:r>
      <w:r w:rsidR="006D4A24" w:rsidRPr="5B7F1876">
        <w:rPr>
          <w:rFonts w:cs="Times New Roman"/>
          <w:noProof/>
          <w:lang w:val="en-GB"/>
        </w:rPr>
        <w:t xml:space="preserve"> therefore</w:t>
      </w:r>
      <w:r w:rsidR="004064E5" w:rsidRPr="5B7F1876">
        <w:rPr>
          <w:rFonts w:cs="Times New Roman"/>
          <w:noProof/>
          <w:lang w:val="en-GB"/>
        </w:rPr>
        <w:t>,</w:t>
      </w:r>
      <w:r w:rsidR="006D4A24" w:rsidRPr="5B7F1876">
        <w:rPr>
          <w:rFonts w:cs="Times New Roman"/>
          <w:noProof/>
          <w:lang w:val="en-GB"/>
        </w:rPr>
        <w:t xml:space="preserve"> to higher outputs and </w:t>
      </w:r>
      <w:r w:rsidR="00936FEA" w:rsidRPr="5B7F1876">
        <w:rPr>
          <w:rFonts w:cs="Times New Roman"/>
          <w:noProof/>
          <w:lang w:val="en-GB"/>
        </w:rPr>
        <w:t xml:space="preserve">higher </w:t>
      </w:r>
      <w:r w:rsidR="00DB67AA" w:rsidRPr="5B7F1876">
        <w:rPr>
          <w:rFonts w:cs="Times New Roman"/>
          <w:noProof/>
          <w:lang w:val="en-GB"/>
        </w:rPr>
        <w:t xml:space="preserve">values </w:t>
      </w:r>
      <w:r w:rsidR="00936FEA" w:rsidRPr="5B7F1876">
        <w:rPr>
          <w:rFonts w:cs="Times New Roman"/>
          <w:noProof/>
          <w:lang w:val="en-GB"/>
        </w:rPr>
        <w:t xml:space="preserve">under the </w:t>
      </w:r>
      <w:r w:rsidR="006D4A24" w:rsidRPr="5B7F1876">
        <w:rPr>
          <w:rFonts w:cs="Times New Roman"/>
          <w:noProof/>
          <w:lang w:val="en-GB"/>
        </w:rPr>
        <w:t>relevant result indicators.</w:t>
      </w:r>
    </w:p>
    <w:p w14:paraId="7E45D4C7" w14:textId="6AD47D61" w:rsidR="006D4A24" w:rsidRPr="00724676" w:rsidRDefault="006D4A24" w:rsidP="008805EE">
      <w:pPr>
        <w:spacing w:after="120"/>
        <w:jc w:val="both"/>
        <w:rPr>
          <w:rFonts w:cs="Times New Roman"/>
          <w:noProof/>
          <w:szCs w:val="24"/>
          <w:lang w:val="en-GB"/>
        </w:rPr>
      </w:pPr>
      <w:r w:rsidRPr="00724676">
        <w:rPr>
          <w:rFonts w:cs="Times New Roman"/>
          <w:noProof/>
          <w:szCs w:val="24"/>
          <w:lang w:val="en-GB"/>
        </w:rPr>
        <w:t xml:space="preserve">Finally, to incorporate new eco-schemes in their </w:t>
      </w:r>
      <w:r w:rsidR="00523AA0">
        <w:rPr>
          <w:rFonts w:cs="Times New Roman"/>
          <w:noProof/>
          <w:szCs w:val="24"/>
          <w:lang w:val="en-GB"/>
        </w:rPr>
        <w:t>CAP Plans</w:t>
      </w:r>
      <w:r w:rsidRPr="00724676">
        <w:rPr>
          <w:rFonts w:cs="Times New Roman"/>
          <w:noProof/>
          <w:szCs w:val="24"/>
          <w:lang w:val="en-GB"/>
        </w:rPr>
        <w:t xml:space="preserve"> or to increase the unit amounts of eco-schemes or other interventions</w:t>
      </w:r>
      <w:r w:rsidR="004064E5">
        <w:rPr>
          <w:rFonts w:cs="Times New Roman"/>
          <w:noProof/>
          <w:szCs w:val="24"/>
          <w:lang w:val="en-GB"/>
        </w:rPr>
        <w:t>,</w:t>
      </w:r>
      <w:r w:rsidRPr="00724676">
        <w:rPr>
          <w:rFonts w:cs="Times New Roman"/>
          <w:noProof/>
          <w:szCs w:val="24"/>
          <w:lang w:val="en-GB"/>
        </w:rPr>
        <w:t xml:space="preserve"> Member States will need to </w:t>
      </w:r>
      <w:r w:rsidR="001A51AE" w:rsidRPr="00724676">
        <w:rPr>
          <w:rFonts w:cs="Times New Roman"/>
          <w:noProof/>
          <w:szCs w:val="24"/>
          <w:lang w:val="en-GB"/>
        </w:rPr>
        <w:t>revise</w:t>
      </w:r>
      <w:r w:rsidRPr="00724676">
        <w:rPr>
          <w:rFonts w:cs="Times New Roman"/>
          <w:noProof/>
          <w:szCs w:val="24"/>
          <w:lang w:val="en-GB"/>
        </w:rPr>
        <w:t xml:space="preserve"> their </w:t>
      </w:r>
      <w:r w:rsidR="00523AA0">
        <w:rPr>
          <w:rFonts w:cs="Times New Roman"/>
          <w:noProof/>
          <w:szCs w:val="24"/>
          <w:lang w:val="en-GB"/>
        </w:rPr>
        <w:t>CAP Plans</w:t>
      </w:r>
      <w:r w:rsidR="004B2AF9" w:rsidRPr="00724676">
        <w:rPr>
          <w:rFonts w:cs="Times New Roman"/>
          <w:noProof/>
          <w:szCs w:val="24"/>
          <w:lang w:val="en-GB"/>
        </w:rPr>
        <w:t>,</w:t>
      </w:r>
      <w:r w:rsidR="004F705E" w:rsidRPr="00724676">
        <w:rPr>
          <w:rFonts w:cs="Times New Roman"/>
          <w:noProof/>
          <w:szCs w:val="24"/>
          <w:lang w:val="en-GB"/>
        </w:rPr>
        <w:t xml:space="preserve"> which may require</w:t>
      </w:r>
      <w:r w:rsidR="00215875" w:rsidRPr="00724676">
        <w:rPr>
          <w:rFonts w:cs="Times New Roman"/>
          <w:noProof/>
          <w:szCs w:val="24"/>
          <w:lang w:val="en-GB"/>
        </w:rPr>
        <w:t xml:space="preserve"> them to</w:t>
      </w:r>
      <w:r w:rsidRPr="00724676">
        <w:rPr>
          <w:rFonts w:cs="Times New Roman"/>
          <w:noProof/>
          <w:szCs w:val="24"/>
          <w:lang w:val="en-GB"/>
        </w:rPr>
        <w:t xml:space="preserve"> reassess priorities and </w:t>
      </w:r>
      <w:r w:rsidRPr="00724676">
        <w:rPr>
          <w:rFonts w:cs="Times New Roman"/>
          <w:b/>
          <w:noProof/>
          <w:szCs w:val="24"/>
          <w:lang w:val="en-GB"/>
        </w:rPr>
        <w:t xml:space="preserve">reallocate the current financial </w:t>
      </w:r>
      <w:r w:rsidRPr="003E7CF4">
        <w:rPr>
          <w:rFonts w:cs="Times New Roman"/>
          <w:b/>
          <w:noProof/>
          <w:szCs w:val="24"/>
          <w:lang w:val="en-GB"/>
        </w:rPr>
        <w:t>allocations</w:t>
      </w:r>
      <w:r w:rsidRPr="00724676">
        <w:rPr>
          <w:rFonts w:cs="Times New Roman"/>
          <w:noProof/>
          <w:szCs w:val="24"/>
          <w:lang w:val="en-GB"/>
        </w:rPr>
        <w:t xml:space="preserve">, leading potentially to </w:t>
      </w:r>
      <w:r w:rsidR="004064E5">
        <w:rPr>
          <w:rFonts w:cs="Times New Roman"/>
          <w:noProof/>
          <w:szCs w:val="24"/>
          <w:lang w:val="en-GB"/>
        </w:rPr>
        <w:t>a</w:t>
      </w:r>
      <w:r w:rsidRPr="00724676">
        <w:rPr>
          <w:rFonts w:cs="Times New Roman"/>
          <w:noProof/>
          <w:szCs w:val="24"/>
          <w:lang w:val="en-GB"/>
        </w:rPr>
        <w:t xml:space="preserve"> reduction </w:t>
      </w:r>
      <w:r w:rsidR="004064E5">
        <w:rPr>
          <w:rFonts w:cs="Times New Roman"/>
          <w:noProof/>
          <w:szCs w:val="24"/>
          <w:lang w:val="en-GB"/>
        </w:rPr>
        <w:t>in the</w:t>
      </w:r>
      <w:r w:rsidRPr="00724676">
        <w:rPr>
          <w:rFonts w:cs="Times New Roman"/>
          <w:noProof/>
          <w:szCs w:val="24"/>
          <w:lang w:val="en-GB"/>
        </w:rPr>
        <w:t xml:space="preserve"> planned outputs for other interventions and </w:t>
      </w:r>
      <w:r w:rsidR="004D4AD6">
        <w:rPr>
          <w:rFonts w:cs="Times New Roman"/>
          <w:noProof/>
          <w:szCs w:val="24"/>
          <w:lang w:val="en-GB"/>
        </w:rPr>
        <w:br/>
      </w:r>
      <w:r w:rsidR="004064E5">
        <w:rPr>
          <w:rFonts w:cs="Times New Roman"/>
          <w:noProof/>
          <w:szCs w:val="24"/>
          <w:lang w:val="en-GB"/>
        </w:rPr>
        <w:t>in the</w:t>
      </w:r>
      <w:r w:rsidRPr="00724676">
        <w:rPr>
          <w:rFonts w:cs="Times New Roman"/>
          <w:noProof/>
          <w:szCs w:val="24"/>
          <w:lang w:val="en-GB"/>
        </w:rPr>
        <w:t xml:space="preserve"> relevant result indicators. </w:t>
      </w:r>
    </w:p>
    <w:p w14:paraId="34EF23EA" w14:textId="74DACF72" w:rsidR="00C06F1F" w:rsidRPr="00724676" w:rsidRDefault="00C06F1F" w:rsidP="008805EE">
      <w:pPr>
        <w:spacing w:after="120"/>
        <w:jc w:val="both"/>
        <w:rPr>
          <w:rFonts w:cs="Times New Roman"/>
          <w:noProof/>
          <w:lang w:val="en-GB"/>
        </w:rPr>
      </w:pPr>
      <w:r w:rsidRPr="6FE283EC">
        <w:rPr>
          <w:rFonts w:cs="Times New Roman"/>
          <w:noProof/>
          <w:lang w:val="en-GB"/>
        </w:rPr>
        <w:t xml:space="preserve">All these changes will require </w:t>
      </w:r>
      <w:r w:rsidR="707A0867" w:rsidRPr="6FE283EC">
        <w:rPr>
          <w:rFonts w:cs="Times New Roman"/>
          <w:noProof/>
          <w:lang w:val="en-GB"/>
        </w:rPr>
        <w:t>C</w:t>
      </w:r>
      <w:r w:rsidR="72A93B0C" w:rsidRPr="6FE283EC">
        <w:rPr>
          <w:rFonts w:cs="Times New Roman"/>
          <w:noProof/>
          <w:lang w:val="en-GB"/>
        </w:rPr>
        <w:t>AP Plan</w:t>
      </w:r>
      <w:r w:rsidR="12818161" w:rsidRPr="6FE283EC">
        <w:rPr>
          <w:rFonts w:cs="Times New Roman"/>
          <w:noProof/>
          <w:lang w:val="en-GB"/>
        </w:rPr>
        <w:t xml:space="preserve"> </w:t>
      </w:r>
      <w:r w:rsidRPr="6FE283EC">
        <w:rPr>
          <w:rFonts w:cs="Times New Roman"/>
          <w:noProof/>
          <w:lang w:val="en-GB"/>
        </w:rPr>
        <w:t xml:space="preserve">amendments before the start of the 2025 </w:t>
      </w:r>
      <w:r w:rsidR="005A6361" w:rsidRPr="6FE283EC">
        <w:rPr>
          <w:rFonts w:cs="Times New Roman"/>
          <w:noProof/>
          <w:lang w:val="en-GB"/>
        </w:rPr>
        <w:t>claim</w:t>
      </w:r>
      <w:r w:rsidRPr="6FE283EC">
        <w:rPr>
          <w:rFonts w:cs="Times New Roman"/>
          <w:noProof/>
          <w:lang w:val="en-GB"/>
        </w:rPr>
        <w:t xml:space="preserve"> year.</w:t>
      </w:r>
    </w:p>
    <w:p w14:paraId="6F00A82C" w14:textId="07EE6913" w:rsidR="00C06F1F" w:rsidRPr="003E7CF4" w:rsidRDefault="00C06F1F" w:rsidP="008805EE">
      <w:pPr>
        <w:spacing w:after="120"/>
        <w:jc w:val="both"/>
        <w:rPr>
          <w:rFonts w:cs="Times New Roman"/>
          <w:b/>
          <w:bCs/>
          <w:iCs/>
          <w:noProof/>
          <w:szCs w:val="24"/>
          <w:lang w:val="en-GB"/>
        </w:rPr>
      </w:pPr>
      <w:r w:rsidRPr="003E7CF4">
        <w:rPr>
          <w:rFonts w:cs="Times New Roman"/>
          <w:b/>
          <w:bCs/>
          <w:iCs/>
          <w:noProof/>
          <w:szCs w:val="24"/>
          <w:lang w:val="en-GB"/>
        </w:rPr>
        <w:t>Monitoring</w:t>
      </w:r>
    </w:p>
    <w:p w14:paraId="07408C56" w14:textId="4ECD8666" w:rsidR="00C06F1F" w:rsidRPr="003E7CF4" w:rsidRDefault="00C06F1F" w:rsidP="10339F63">
      <w:pPr>
        <w:spacing w:after="120"/>
        <w:jc w:val="both"/>
        <w:rPr>
          <w:rFonts w:cs="Times New Roman"/>
          <w:noProof/>
          <w:highlight w:val="yellow"/>
          <w:lang w:val="en-GB"/>
        </w:rPr>
      </w:pPr>
      <w:r w:rsidRPr="003E7CF4">
        <w:rPr>
          <w:rFonts w:cs="Times New Roman"/>
          <w:noProof/>
          <w:lang w:val="en-GB"/>
        </w:rPr>
        <w:t>The need to collect information on</w:t>
      </w:r>
      <w:r w:rsidRPr="5B7F1876">
        <w:rPr>
          <w:rFonts w:cs="Times New Roman"/>
          <w:noProof/>
          <w:lang w:val="en-GB"/>
        </w:rPr>
        <w:t xml:space="preserve"> the temporary derogations from GAECs and the </w:t>
      </w:r>
      <w:r w:rsidR="001F5B27" w:rsidRPr="5B7F1876">
        <w:rPr>
          <w:rFonts w:cs="Times New Roman"/>
          <w:noProof/>
          <w:lang w:val="en-GB"/>
        </w:rPr>
        <w:t xml:space="preserve">eco-schemes </w:t>
      </w:r>
      <w:r w:rsidRPr="5B7F1876">
        <w:rPr>
          <w:rFonts w:cs="Times New Roman"/>
          <w:noProof/>
          <w:lang w:val="en-GB"/>
        </w:rPr>
        <w:t xml:space="preserve">introduced </w:t>
      </w:r>
      <w:r w:rsidR="001F5B27" w:rsidRPr="5B7F1876">
        <w:rPr>
          <w:rFonts w:cs="Times New Roman"/>
          <w:noProof/>
          <w:lang w:val="en-GB"/>
        </w:rPr>
        <w:t xml:space="preserve">in connection with </w:t>
      </w:r>
      <w:r w:rsidRPr="5B7F1876">
        <w:rPr>
          <w:rFonts w:cs="Times New Roman"/>
          <w:noProof/>
          <w:lang w:val="en-GB"/>
        </w:rPr>
        <w:t xml:space="preserve">deleting the GAEC 8 </w:t>
      </w:r>
      <w:r w:rsidR="007C74AF" w:rsidRPr="5B7F1876">
        <w:rPr>
          <w:rFonts w:cs="Times New Roman"/>
          <w:noProof/>
          <w:lang w:val="en-GB"/>
        </w:rPr>
        <w:t>first requirement</w:t>
      </w:r>
      <w:r w:rsidR="047A28FD" w:rsidRPr="5B7F1876">
        <w:rPr>
          <w:rFonts w:cs="Times New Roman"/>
          <w:noProof/>
          <w:lang w:val="en-GB"/>
        </w:rPr>
        <w:t xml:space="preserve"> (measure B.1 in Annex 1)</w:t>
      </w:r>
      <w:r w:rsidRPr="5B7F1876">
        <w:rPr>
          <w:rFonts w:cs="Times New Roman"/>
          <w:noProof/>
          <w:lang w:val="en-GB"/>
        </w:rPr>
        <w:t xml:space="preserve"> require</w:t>
      </w:r>
      <w:r w:rsidR="55328975" w:rsidRPr="5B7F1876">
        <w:rPr>
          <w:rFonts w:cs="Times New Roman"/>
          <w:noProof/>
          <w:lang w:val="en-GB"/>
        </w:rPr>
        <w:t>d</w:t>
      </w:r>
      <w:r w:rsidRPr="5B7F1876">
        <w:rPr>
          <w:rFonts w:cs="Times New Roman"/>
          <w:noProof/>
          <w:lang w:val="en-GB"/>
        </w:rPr>
        <w:t xml:space="preserve"> </w:t>
      </w:r>
      <w:r w:rsidRPr="5B7F1876">
        <w:rPr>
          <w:rFonts w:cs="Times New Roman"/>
          <w:b/>
          <w:bCs/>
          <w:noProof/>
          <w:lang w:val="en-GB"/>
        </w:rPr>
        <w:t xml:space="preserve">changes in the related secondary </w:t>
      </w:r>
      <w:r w:rsidR="00AF7B1A" w:rsidRPr="10339F63">
        <w:rPr>
          <w:rFonts w:cs="Times New Roman"/>
          <w:b/>
          <w:bCs/>
          <w:noProof/>
          <w:lang w:val="en-GB"/>
        </w:rPr>
        <w:t xml:space="preserve">EU </w:t>
      </w:r>
      <w:r w:rsidRPr="5B7F1876">
        <w:rPr>
          <w:rFonts w:cs="Times New Roman"/>
          <w:b/>
          <w:bCs/>
          <w:noProof/>
          <w:lang w:val="en-GB"/>
        </w:rPr>
        <w:t>legislation</w:t>
      </w:r>
      <w:r w:rsidR="00FB464F" w:rsidRPr="4876B268">
        <w:rPr>
          <w:rStyle w:val="FootnoteReference"/>
          <w:rFonts w:cs="Times New Roman"/>
          <w:noProof/>
          <w:lang w:val="en-GB"/>
        </w:rPr>
        <w:footnoteReference w:id="66"/>
      </w:r>
      <w:r w:rsidRPr="5B7F1876">
        <w:rPr>
          <w:rFonts w:cs="Times New Roman"/>
          <w:noProof/>
          <w:lang w:val="en-GB"/>
        </w:rPr>
        <w:t xml:space="preserve"> as regards the </w:t>
      </w:r>
      <w:r w:rsidRPr="5B7F1876">
        <w:rPr>
          <w:rFonts w:cs="Times New Roman"/>
          <w:b/>
          <w:bCs/>
          <w:noProof/>
          <w:lang w:val="en-GB"/>
        </w:rPr>
        <w:t xml:space="preserve">evaluation of the </w:t>
      </w:r>
      <w:r w:rsidR="00523AA0" w:rsidRPr="10339F63">
        <w:rPr>
          <w:rFonts w:cs="Times New Roman"/>
          <w:b/>
          <w:bCs/>
          <w:noProof/>
          <w:lang w:val="en-GB"/>
        </w:rPr>
        <w:t>CAP Plans</w:t>
      </w:r>
      <w:r w:rsidRPr="5B7F1876">
        <w:rPr>
          <w:rFonts w:cs="Times New Roman"/>
          <w:noProof/>
          <w:lang w:val="en-GB"/>
        </w:rPr>
        <w:t xml:space="preserve"> and the provision of </w:t>
      </w:r>
      <w:r w:rsidRPr="5B7F1876">
        <w:rPr>
          <w:rFonts w:cs="Times New Roman"/>
          <w:b/>
          <w:bCs/>
          <w:noProof/>
          <w:lang w:val="en-GB"/>
        </w:rPr>
        <w:t>information for monitoring and evaluation</w:t>
      </w:r>
      <w:r w:rsidRPr="5B7F1876">
        <w:rPr>
          <w:rFonts w:cs="Times New Roman"/>
          <w:noProof/>
          <w:lang w:val="en-GB"/>
        </w:rPr>
        <w:t>.</w:t>
      </w:r>
      <w:r w:rsidR="009C30FC" w:rsidRPr="5B7F1876">
        <w:rPr>
          <w:rFonts w:cs="Times New Roman"/>
          <w:noProof/>
          <w:lang w:val="en-GB"/>
        </w:rPr>
        <w:t xml:space="preserve"> </w:t>
      </w:r>
      <w:r w:rsidR="0019096E" w:rsidRPr="10339F63">
        <w:rPr>
          <w:rFonts w:cs="Times New Roman"/>
          <w:noProof/>
          <w:lang w:val="en-GB"/>
        </w:rPr>
        <w:t>The amend</w:t>
      </w:r>
      <w:r w:rsidR="00510223" w:rsidRPr="10339F63">
        <w:rPr>
          <w:rFonts w:cs="Times New Roman"/>
          <w:noProof/>
          <w:lang w:val="en-GB"/>
        </w:rPr>
        <w:t>ment to th</w:t>
      </w:r>
      <w:r w:rsidR="6BF71597" w:rsidRPr="10339F63">
        <w:rPr>
          <w:rFonts w:cs="Times New Roman"/>
          <w:noProof/>
          <w:lang w:val="en-GB"/>
        </w:rPr>
        <w:t>is</w:t>
      </w:r>
      <w:r w:rsidR="00510223" w:rsidRPr="10339F63">
        <w:rPr>
          <w:rFonts w:cs="Times New Roman"/>
          <w:noProof/>
          <w:lang w:val="en-GB"/>
        </w:rPr>
        <w:t xml:space="preserve"> </w:t>
      </w:r>
      <w:r w:rsidR="00FB464F">
        <w:rPr>
          <w:rFonts w:cs="Times New Roman"/>
          <w:noProof/>
          <w:lang w:val="en-GB"/>
        </w:rPr>
        <w:t xml:space="preserve">legislation </w:t>
      </w:r>
      <w:r w:rsidR="009A3AD1" w:rsidRPr="10339F63">
        <w:rPr>
          <w:rFonts w:cs="Times New Roman"/>
          <w:noProof/>
          <w:lang w:val="en-GB"/>
        </w:rPr>
        <w:t xml:space="preserve">was supported by </w:t>
      </w:r>
      <w:r w:rsidR="00A85D1E" w:rsidRPr="10339F63">
        <w:rPr>
          <w:rFonts w:cs="Times New Roman"/>
          <w:noProof/>
          <w:lang w:val="en-GB"/>
        </w:rPr>
        <w:t xml:space="preserve">a </w:t>
      </w:r>
      <w:r w:rsidR="009A3AD1" w:rsidRPr="10339F63">
        <w:rPr>
          <w:rFonts w:cs="Times New Roman"/>
          <w:noProof/>
          <w:lang w:val="en-GB"/>
        </w:rPr>
        <w:t>la</w:t>
      </w:r>
      <w:r w:rsidR="00BC6AA9" w:rsidRPr="10339F63">
        <w:rPr>
          <w:rFonts w:cs="Times New Roman"/>
          <w:noProof/>
          <w:lang w:val="en-GB"/>
        </w:rPr>
        <w:t>rge majority of Member States</w:t>
      </w:r>
      <w:r w:rsidR="00016855" w:rsidRPr="003E7CF4">
        <w:rPr>
          <w:rStyle w:val="FootnoteReference"/>
          <w:rFonts w:cs="Times New Roman"/>
          <w:noProof/>
          <w:lang w:val="en-GB"/>
        </w:rPr>
        <w:footnoteReference w:id="67"/>
      </w:r>
      <w:r w:rsidR="5DA84218" w:rsidRPr="003E7CF4">
        <w:rPr>
          <w:rFonts w:cs="Times New Roman"/>
          <w:noProof/>
          <w:lang w:val="en-GB"/>
        </w:rPr>
        <w:t xml:space="preserve"> </w:t>
      </w:r>
      <w:r w:rsidR="0464999C" w:rsidRPr="003E7CF4">
        <w:rPr>
          <w:rFonts w:cs="Times New Roman"/>
          <w:noProof/>
          <w:lang w:val="en-GB"/>
        </w:rPr>
        <w:t>and t</w:t>
      </w:r>
      <w:r w:rsidR="5DA84218" w:rsidRPr="003E7CF4">
        <w:rPr>
          <w:rFonts w:cs="Times New Roman"/>
          <w:noProof/>
          <w:lang w:val="en-GB"/>
        </w:rPr>
        <w:t>he Commi</w:t>
      </w:r>
      <w:r w:rsidR="7DFDB930" w:rsidRPr="003E7CF4">
        <w:rPr>
          <w:rFonts w:cs="Times New Roman"/>
          <w:noProof/>
          <w:lang w:val="en-GB"/>
        </w:rPr>
        <w:t>ssion adopted it on 18 July 2024</w:t>
      </w:r>
      <w:r w:rsidRPr="10339F63">
        <w:rPr>
          <w:rStyle w:val="FootnoteReference"/>
          <w:rFonts w:cs="Times New Roman"/>
          <w:noProof/>
          <w:lang w:val="en-GB"/>
        </w:rPr>
        <w:footnoteReference w:id="68"/>
      </w:r>
      <w:r w:rsidR="7DFDB930" w:rsidRPr="003E7CF4">
        <w:rPr>
          <w:rFonts w:cs="Times New Roman"/>
          <w:noProof/>
          <w:lang w:val="en-GB"/>
        </w:rPr>
        <w:t>.</w:t>
      </w:r>
      <w:r w:rsidR="5DA84218" w:rsidRPr="003E7CF4">
        <w:rPr>
          <w:rFonts w:cs="Times New Roman"/>
          <w:noProof/>
          <w:lang w:val="en-GB"/>
        </w:rPr>
        <w:t xml:space="preserve"> </w:t>
      </w:r>
    </w:p>
    <w:p w14:paraId="3FEFE874" w14:textId="54884C99" w:rsidR="0077353F" w:rsidRPr="00724676" w:rsidRDefault="0077353F" w:rsidP="008805EE">
      <w:pPr>
        <w:spacing w:after="120"/>
        <w:jc w:val="both"/>
        <w:rPr>
          <w:rFonts w:cs="Times New Roman"/>
          <w:noProof/>
          <w:lang w:val="en-GB"/>
        </w:rPr>
      </w:pPr>
      <w:r w:rsidRPr="6FE283EC">
        <w:rPr>
          <w:rFonts w:cs="Times New Roman"/>
          <w:noProof/>
          <w:lang w:val="en-GB"/>
        </w:rPr>
        <w:t xml:space="preserve">For the </w:t>
      </w:r>
      <w:r w:rsidRPr="6FE283EC">
        <w:rPr>
          <w:rFonts w:cs="Times New Roman"/>
          <w:b/>
          <w:noProof/>
          <w:lang w:val="en-GB"/>
        </w:rPr>
        <w:t>eco-schemes</w:t>
      </w:r>
      <w:r w:rsidRPr="6FE283EC">
        <w:rPr>
          <w:rFonts w:cs="Times New Roman"/>
          <w:noProof/>
          <w:lang w:val="en-GB"/>
        </w:rPr>
        <w:t xml:space="preserve">, </w:t>
      </w:r>
      <w:r w:rsidR="00082ECE" w:rsidRPr="6FE283EC">
        <w:rPr>
          <w:rFonts w:cs="Times New Roman"/>
          <w:noProof/>
          <w:lang w:val="en-GB"/>
        </w:rPr>
        <w:t xml:space="preserve">two </w:t>
      </w:r>
      <w:r w:rsidRPr="6FE283EC">
        <w:rPr>
          <w:rFonts w:cs="Times New Roman"/>
          <w:b/>
          <w:noProof/>
          <w:lang w:val="en-GB"/>
        </w:rPr>
        <w:t>additional variable</w:t>
      </w:r>
      <w:r w:rsidR="00082ECE" w:rsidRPr="6FE283EC">
        <w:rPr>
          <w:rFonts w:cs="Times New Roman"/>
          <w:b/>
          <w:noProof/>
          <w:lang w:val="en-GB"/>
        </w:rPr>
        <w:t>s</w:t>
      </w:r>
      <w:r w:rsidRPr="6FE283EC">
        <w:rPr>
          <w:rFonts w:cs="Times New Roman"/>
          <w:noProof/>
          <w:lang w:val="en-GB"/>
        </w:rPr>
        <w:t xml:space="preserve"> for the area of arable land supported (for non-productive areas and for the establishment of new landscape features) will </w:t>
      </w:r>
      <w:r w:rsidRPr="6FE283EC">
        <w:rPr>
          <w:rFonts w:cs="Times New Roman"/>
          <w:b/>
          <w:noProof/>
          <w:lang w:val="en-GB"/>
        </w:rPr>
        <w:t>need to be reported by Member States,</w:t>
      </w:r>
      <w:r w:rsidRPr="6FE283EC">
        <w:rPr>
          <w:rFonts w:cs="Times New Roman"/>
          <w:noProof/>
          <w:lang w:val="en-GB"/>
        </w:rPr>
        <w:t xml:space="preserve"> as the current system provides </w:t>
      </w:r>
      <w:r w:rsidR="00A85D1E" w:rsidRPr="6FE283EC">
        <w:rPr>
          <w:rFonts w:cs="Times New Roman"/>
          <w:noProof/>
          <w:lang w:val="en-GB"/>
        </w:rPr>
        <w:t xml:space="preserve">only </w:t>
      </w:r>
      <w:r w:rsidRPr="6FE283EC">
        <w:rPr>
          <w:rFonts w:cs="Times New Roman"/>
          <w:noProof/>
          <w:lang w:val="en-GB"/>
        </w:rPr>
        <w:t xml:space="preserve">for reporting </w:t>
      </w:r>
      <w:r w:rsidR="00A85D1E" w:rsidRPr="6FE283EC">
        <w:rPr>
          <w:rFonts w:cs="Times New Roman"/>
          <w:noProof/>
          <w:lang w:val="en-GB"/>
        </w:rPr>
        <w:t xml:space="preserve">on </w:t>
      </w:r>
      <w:r w:rsidRPr="6FE283EC">
        <w:rPr>
          <w:rFonts w:cs="Times New Roman"/>
          <w:noProof/>
          <w:lang w:val="en-GB"/>
        </w:rPr>
        <w:t xml:space="preserve">the total area supported (including permanent grassland and permanent crops potentially eligible </w:t>
      </w:r>
      <w:r w:rsidR="00A85D1E" w:rsidRPr="6FE283EC">
        <w:rPr>
          <w:rFonts w:cs="Times New Roman"/>
          <w:noProof/>
          <w:lang w:val="en-GB"/>
        </w:rPr>
        <w:t xml:space="preserve">for </w:t>
      </w:r>
      <w:r w:rsidRPr="6FE283EC">
        <w:rPr>
          <w:rFonts w:cs="Times New Roman"/>
          <w:noProof/>
          <w:lang w:val="en-GB"/>
        </w:rPr>
        <w:t>the eco-scheme).</w:t>
      </w:r>
      <w:r w:rsidR="00B41558" w:rsidRPr="6FE283EC">
        <w:rPr>
          <w:rFonts w:cs="Times New Roman"/>
          <w:noProof/>
          <w:lang w:val="en-GB"/>
        </w:rPr>
        <w:t xml:space="preserve"> The data collection is already in place, as Member States had implemented it to monitor </w:t>
      </w:r>
      <w:r w:rsidR="00A85D1E" w:rsidRPr="6FE283EC">
        <w:rPr>
          <w:rFonts w:cs="Times New Roman"/>
          <w:noProof/>
          <w:lang w:val="en-GB"/>
        </w:rPr>
        <w:t xml:space="preserve">the </w:t>
      </w:r>
      <w:r w:rsidR="00B41558" w:rsidRPr="6FE283EC">
        <w:rPr>
          <w:rFonts w:cs="Times New Roman"/>
          <w:noProof/>
          <w:lang w:val="en-GB"/>
        </w:rPr>
        <w:t>GAEC 8</w:t>
      </w:r>
      <w:r w:rsidR="0066332B" w:rsidRPr="6FE283EC">
        <w:rPr>
          <w:rFonts w:cs="Times New Roman"/>
          <w:noProof/>
          <w:lang w:val="en-GB"/>
        </w:rPr>
        <w:t xml:space="preserve"> first requirement</w:t>
      </w:r>
      <w:r w:rsidR="00B41558" w:rsidRPr="6FE283EC">
        <w:rPr>
          <w:rFonts w:cs="Times New Roman"/>
          <w:noProof/>
          <w:lang w:val="en-GB"/>
        </w:rPr>
        <w:t>.</w:t>
      </w:r>
      <w:r w:rsidRPr="00724676">
        <w:rPr>
          <w:rFonts w:ascii="Open Sans" w:hAnsi="Open Sans" w:cs="Open Sans"/>
          <w:noProof/>
          <w:color w:val="003F59"/>
          <w:sz w:val="21"/>
          <w:szCs w:val="21"/>
          <w:shd w:val="clear" w:color="auto" w:fill="FFFFFF"/>
          <w:lang w:val="en-GB"/>
        </w:rPr>
        <w:t xml:space="preserve"> </w:t>
      </w:r>
      <w:r w:rsidRPr="6FE283EC">
        <w:rPr>
          <w:rFonts w:cs="Times New Roman"/>
          <w:noProof/>
          <w:lang w:val="en-GB"/>
        </w:rPr>
        <w:t xml:space="preserve">The changes are limited to ensure consistency with the basic </w:t>
      </w:r>
      <w:r w:rsidR="3E1C6542" w:rsidRPr="6FE283EC">
        <w:rPr>
          <w:rFonts w:cs="Times New Roman"/>
          <w:noProof/>
          <w:lang w:val="en-GB"/>
        </w:rPr>
        <w:t xml:space="preserve">CAP </w:t>
      </w:r>
      <w:r w:rsidR="7C658069" w:rsidRPr="6FE283EC">
        <w:rPr>
          <w:rFonts w:cs="Times New Roman"/>
          <w:noProof/>
          <w:lang w:val="en-GB"/>
        </w:rPr>
        <w:t>legislation</w:t>
      </w:r>
      <w:r w:rsidRPr="6FE283EC">
        <w:rPr>
          <w:rFonts w:cs="Times New Roman"/>
          <w:noProof/>
          <w:lang w:val="en-GB"/>
        </w:rPr>
        <w:t xml:space="preserve"> and to follow the implementation of the </w:t>
      </w:r>
      <w:r w:rsidRPr="23BCC735">
        <w:rPr>
          <w:rFonts w:cs="Times New Roman"/>
          <w:noProof/>
          <w:lang w:val="en-GB"/>
        </w:rPr>
        <w:t xml:space="preserve">simplification </w:t>
      </w:r>
      <w:r w:rsidR="004B24AE" w:rsidRPr="23BCC735">
        <w:rPr>
          <w:rFonts w:cs="Times New Roman"/>
          <w:noProof/>
          <w:lang w:val="en-GB"/>
        </w:rPr>
        <w:t>measures</w:t>
      </w:r>
      <w:r w:rsidR="004B24AE" w:rsidRPr="6FE283EC">
        <w:rPr>
          <w:rFonts w:cs="Times New Roman"/>
          <w:noProof/>
          <w:lang w:val="en-GB"/>
        </w:rPr>
        <w:t xml:space="preserve"> </w:t>
      </w:r>
      <w:r w:rsidRPr="6FE283EC">
        <w:rPr>
          <w:rFonts w:cs="Times New Roman"/>
          <w:noProof/>
          <w:lang w:val="en-GB"/>
        </w:rPr>
        <w:t>in 2024.</w:t>
      </w:r>
      <w:r w:rsidRPr="00724676">
        <w:rPr>
          <w:rFonts w:ascii="Open Sans" w:hAnsi="Open Sans" w:cs="Open Sans"/>
          <w:noProof/>
          <w:color w:val="003F59"/>
          <w:sz w:val="21"/>
          <w:szCs w:val="21"/>
          <w:shd w:val="clear" w:color="auto" w:fill="FFFFFF"/>
          <w:lang w:val="en-GB"/>
        </w:rPr>
        <w:t xml:space="preserve"> </w:t>
      </w:r>
      <w:r w:rsidRPr="6FE283EC">
        <w:rPr>
          <w:rFonts w:cs="Times New Roman"/>
          <w:noProof/>
          <w:lang w:val="en-GB"/>
        </w:rPr>
        <w:t> </w:t>
      </w:r>
      <w:r w:rsidR="00191BFE" w:rsidRPr="6FE283EC">
        <w:rPr>
          <w:rFonts w:cs="Times New Roman"/>
          <w:noProof/>
          <w:lang w:val="en-GB"/>
        </w:rPr>
        <w:t>In addition</w:t>
      </w:r>
      <w:r w:rsidRPr="6FE283EC">
        <w:rPr>
          <w:rFonts w:cs="Times New Roman"/>
          <w:noProof/>
          <w:lang w:val="en-GB"/>
        </w:rPr>
        <w:t xml:space="preserve">, due to the deletion of the first requirement of GAEC 8 </w:t>
      </w:r>
      <w:r w:rsidRPr="6FE283EC">
        <w:rPr>
          <w:rFonts w:cs="Times New Roman"/>
          <w:b/>
          <w:noProof/>
          <w:lang w:val="en-GB"/>
        </w:rPr>
        <w:t>certain beneficiary variables will become redundant</w:t>
      </w:r>
      <w:r w:rsidRPr="6FE283EC">
        <w:rPr>
          <w:rFonts w:cs="Times New Roman"/>
          <w:noProof/>
          <w:lang w:val="en-GB"/>
        </w:rPr>
        <w:t xml:space="preserve"> and</w:t>
      </w:r>
      <w:r w:rsidR="00A85D1E" w:rsidRPr="6FE283EC">
        <w:rPr>
          <w:rFonts w:cs="Times New Roman"/>
          <w:noProof/>
          <w:lang w:val="en-GB"/>
        </w:rPr>
        <w:t>,</w:t>
      </w:r>
      <w:r w:rsidRPr="6FE283EC">
        <w:rPr>
          <w:rFonts w:cs="Times New Roman"/>
          <w:noProof/>
          <w:lang w:val="en-GB"/>
        </w:rPr>
        <w:t xml:space="preserve"> therefore</w:t>
      </w:r>
      <w:r w:rsidR="00A85D1E" w:rsidRPr="6FE283EC">
        <w:rPr>
          <w:rFonts w:cs="Times New Roman"/>
          <w:noProof/>
          <w:lang w:val="en-GB"/>
        </w:rPr>
        <w:t>,</w:t>
      </w:r>
      <w:r w:rsidRPr="6FE283EC">
        <w:rPr>
          <w:rFonts w:cs="Times New Roman"/>
          <w:noProof/>
          <w:lang w:val="en-GB"/>
        </w:rPr>
        <w:t xml:space="preserve"> </w:t>
      </w:r>
      <w:r w:rsidR="0066332B" w:rsidRPr="6FE283EC">
        <w:rPr>
          <w:rFonts w:cs="Times New Roman"/>
          <w:noProof/>
          <w:lang w:val="en-GB"/>
        </w:rPr>
        <w:t xml:space="preserve">will be deleted </w:t>
      </w:r>
      <w:r w:rsidRPr="6FE283EC">
        <w:rPr>
          <w:rFonts w:cs="Times New Roman"/>
          <w:noProof/>
          <w:lang w:val="en-GB"/>
        </w:rPr>
        <w:t>from claim year 2025 onwards.</w:t>
      </w:r>
    </w:p>
    <w:p w14:paraId="0AC7E548" w14:textId="73829086" w:rsidR="00C06F1F" w:rsidRPr="00724676" w:rsidRDefault="00C06F1F" w:rsidP="008805EE">
      <w:pPr>
        <w:spacing w:after="120"/>
        <w:jc w:val="both"/>
        <w:rPr>
          <w:rFonts w:cs="Times New Roman"/>
          <w:noProof/>
          <w:szCs w:val="24"/>
          <w:lang w:val="en-GB"/>
        </w:rPr>
      </w:pPr>
      <w:r w:rsidRPr="5B7F1876">
        <w:rPr>
          <w:rFonts w:cs="Times New Roman"/>
          <w:noProof/>
          <w:lang w:val="en-GB"/>
        </w:rPr>
        <w:t xml:space="preserve">In addition, the </w:t>
      </w:r>
      <w:r w:rsidRPr="5B7F1876">
        <w:rPr>
          <w:rFonts w:cs="Times New Roman"/>
          <w:b/>
          <w:bCs/>
          <w:noProof/>
          <w:lang w:val="en-GB"/>
        </w:rPr>
        <w:t>application of the temporary derogations</w:t>
      </w:r>
      <w:r w:rsidRPr="5B7F1876">
        <w:rPr>
          <w:rFonts w:cs="Times New Roman"/>
          <w:noProof/>
          <w:lang w:val="en-GB"/>
        </w:rPr>
        <w:t xml:space="preserve"> from GAECs should be </w:t>
      </w:r>
      <w:r w:rsidRPr="5B7F1876">
        <w:rPr>
          <w:rFonts w:cs="Times New Roman"/>
          <w:b/>
          <w:bCs/>
          <w:noProof/>
          <w:lang w:val="en-GB"/>
        </w:rPr>
        <w:t>reported by Member States</w:t>
      </w:r>
      <w:r w:rsidRPr="5B7F1876">
        <w:rPr>
          <w:rStyle w:val="FootnoteReference"/>
          <w:rFonts w:cs="Times New Roman"/>
          <w:noProof/>
          <w:lang w:val="en-GB"/>
        </w:rPr>
        <w:footnoteReference w:id="69"/>
      </w:r>
      <w:r w:rsidRPr="5B7F1876">
        <w:rPr>
          <w:rFonts w:cs="Times New Roman"/>
          <w:noProof/>
          <w:lang w:val="en-GB"/>
        </w:rPr>
        <w:t xml:space="preserve">. This is important for the Commission to be </w:t>
      </w:r>
      <w:r w:rsidR="00EC6AE7" w:rsidRPr="5B7F1876">
        <w:rPr>
          <w:rFonts w:cs="Times New Roman"/>
          <w:noProof/>
          <w:lang w:val="en-GB"/>
        </w:rPr>
        <w:t>aware of</w:t>
      </w:r>
      <w:r w:rsidRPr="5B7F1876">
        <w:rPr>
          <w:rFonts w:cs="Times New Roman"/>
          <w:noProof/>
          <w:lang w:val="en-GB"/>
        </w:rPr>
        <w:t xml:space="preserve"> the frequency or extent of these derogations</w:t>
      </w:r>
      <w:r w:rsidR="00EC6AE7" w:rsidRPr="5B7F1876">
        <w:rPr>
          <w:rFonts w:cs="Times New Roman"/>
          <w:noProof/>
          <w:lang w:val="en-GB"/>
        </w:rPr>
        <w:t>, given their potential impact on the objectives of the CAP</w:t>
      </w:r>
      <w:r w:rsidR="005D21C5" w:rsidRPr="5B7F1876">
        <w:rPr>
          <w:rFonts w:cs="Times New Roman"/>
          <w:noProof/>
          <w:lang w:val="en-GB"/>
        </w:rPr>
        <w:t xml:space="preserve"> </w:t>
      </w:r>
      <w:r w:rsidR="00BD0455" w:rsidRPr="5B7F1876">
        <w:rPr>
          <w:rFonts w:cs="Times New Roman"/>
          <w:noProof/>
          <w:lang w:val="en-GB"/>
        </w:rPr>
        <w:t>and to ensure the integrity of the policy</w:t>
      </w:r>
      <w:r w:rsidR="00221342" w:rsidRPr="5B7F1876">
        <w:rPr>
          <w:rFonts w:cs="Times New Roman"/>
          <w:noProof/>
          <w:lang w:val="en-GB"/>
        </w:rPr>
        <w:t>.</w:t>
      </w:r>
      <w:r w:rsidR="00312A02" w:rsidRPr="00724676">
        <w:rPr>
          <w:rFonts w:cs="Times New Roman"/>
          <w:noProof/>
          <w:lang w:val="en-GB"/>
        </w:rPr>
        <w:t xml:space="preserve"> </w:t>
      </w:r>
      <w:r w:rsidR="00A85D1E" w:rsidRPr="5B7F1876">
        <w:rPr>
          <w:rFonts w:cs="Times New Roman"/>
          <w:noProof/>
          <w:lang w:val="en-GB"/>
        </w:rPr>
        <w:t>However</w:t>
      </w:r>
      <w:r w:rsidR="00312A02" w:rsidRPr="00724676">
        <w:rPr>
          <w:rFonts w:cs="Times New Roman"/>
          <w:noProof/>
          <w:lang w:val="en-GB"/>
        </w:rPr>
        <w:t xml:space="preserve">, this does not entail </w:t>
      </w:r>
      <w:r w:rsidR="00A85D1E" w:rsidRPr="5B7F1876">
        <w:rPr>
          <w:rFonts w:cs="Times New Roman"/>
          <w:noProof/>
          <w:lang w:val="en-GB"/>
        </w:rPr>
        <w:t xml:space="preserve">an </w:t>
      </w:r>
      <w:r w:rsidR="00312A02" w:rsidRPr="00724676">
        <w:rPr>
          <w:rFonts w:cs="Times New Roman"/>
          <w:noProof/>
          <w:lang w:val="en-GB"/>
        </w:rPr>
        <w:t>additional burden for farmers, as Member States will report the content, duration and scope of the derogations, and not which farmers applied the derogation and on how many hectares.</w:t>
      </w:r>
    </w:p>
    <w:p w14:paraId="31B3AA96" w14:textId="62CD7CFD" w:rsidR="00C06F1F" w:rsidRPr="00724676" w:rsidRDefault="00C06F1F" w:rsidP="008805EE">
      <w:pPr>
        <w:spacing w:after="120"/>
        <w:jc w:val="both"/>
        <w:rPr>
          <w:rFonts w:cs="Times New Roman"/>
          <w:noProof/>
          <w:szCs w:val="24"/>
          <w:lang w:val="en-GB"/>
        </w:rPr>
      </w:pPr>
      <w:r w:rsidRPr="5B7F1876">
        <w:rPr>
          <w:rFonts w:cs="Times New Roman"/>
          <w:noProof/>
          <w:lang w:val="en-GB"/>
        </w:rPr>
        <w:t>Changes to the other GAECs do not require any further modification of the</w:t>
      </w:r>
      <w:r w:rsidR="00B23147" w:rsidRPr="5B7F1876">
        <w:rPr>
          <w:rFonts w:cs="Times New Roman"/>
          <w:noProof/>
          <w:lang w:val="en-GB"/>
        </w:rPr>
        <w:t xml:space="preserve"> </w:t>
      </w:r>
      <w:r w:rsidR="00AF7B1A" w:rsidRPr="5B7F1876">
        <w:rPr>
          <w:rFonts w:cs="Times New Roman"/>
          <w:noProof/>
          <w:lang w:val="en-GB"/>
        </w:rPr>
        <w:t xml:space="preserve">EU </w:t>
      </w:r>
      <w:r w:rsidRPr="5B7F1876">
        <w:rPr>
          <w:rFonts w:cs="Times New Roman"/>
          <w:noProof/>
          <w:lang w:val="en-GB"/>
        </w:rPr>
        <w:t xml:space="preserve">implementing </w:t>
      </w:r>
      <w:r w:rsidR="00BD0928" w:rsidRPr="5B7F1876">
        <w:rPr>
          <w:rFonts w:cs="Times New Roman"/>
          <w:noProof/>
          <w:lang w:val="en-GB"/>
        </w:rPr>
        <w:t xml:space="preserve">legislation </w:t>
      </w:r>
      <w:r w:rsidR="00FC49BB" w:rsidRPr="5B7F1876">
        <w:rPr>
          <w:rFonts w:cs="Times New Roman"/>
          <w:noProof/>
          <w:lang w:val="en-GB"/>
        </w:rPr>
        <w:t xml:space="preserve">for </w:t>
      </w:r>
      <w:r w:rsidR="007A6514" w:rsidRPr="5B7F1876">
        <w:rPr>
          <w:rFonts w:cs="Times New Roman"/>
          <w:noProof/>
          <w:lang w:val="en-GB"/>
        </w:rPr>
        <w:t xml:space="preserve">data </w:t>
      </w:r>
      <w:r w:rsidRPr="5B7F1876">
        <w:rPr>
          <w:rFonts w:cs="Times New Roman"/>
          <w:noProof/>
          <w:lang w:val="en-GB"/>
        </w:rPr>
        <w:t>on interventions and beneficiaries</w:t>
      </w:r>
      <w:r w:rsidR="00BD0928" w:rsidRPr="5B7F1876">
        <w:rPr>
          <w:rStyle w:val="FootnoteReference"/>
          <w:rFonts w:cs="Times New Roman"/>
          <w:noProof/>
          <w:lang w:val="en-GB"/>
        </w:rPr>
        <w:footnoteReference w:id="70"/>
      </w:r>
      <w:r w:rsidR="00FC49BB" w:rsidRPr="5B7F1876">
        <w:rPr>
          <w:rFonts w:cs="Times New Roman"/>
          <w:noProof/>
          <w:lang w:val="en-GB"/>
        </w:rPr>
        <w:t>.</w:t>
      </w:r>
    </w:p>
    <w:p w14:paraId="07952DA4" w14:textId="1BDD65C5" w:rsidR="00BD3D9E" w:rsidRPr="00724676" w:rsidRDefault="00BD3D9E" w:rsidP="008805EE">
      <w:pPr>
        <w:spacing w:after="120"/>
        <w:rPr>
          <w:rFonts w:cs="Times New Roman"/>
          <w:b/>
          <w:bCs/>
          <w:iCs/>
          <w:noProof/>
          <w:szCs w:val="24"/>
          <w:lang w:val="en-GB"/>
        </w:rPr>
      </w:pPr>
      <w:r w:rsidRPr="00724676">
        <w:rPr>
          <w:rFonts w:cs="Times New Roman"/>
          <w:b/>
          <w:bCs/>
          <w:iCs/>
          <w:noProof/>
          <w:szCs w:val="24"/>
          <w:lang w:val="en-GB"/>
        </w:rPr>
        <w:t>Evaluation</w:t>
      </w:r>
    </w:p>
    <w:p w14:paraId="278A1A88" w14:textId="204EDBA8" w:rsidR="009F3FF6" w:rsidRPr="00724676" w:rsidRDefault="7A8572AB" w:rsidP="6F217AB4">
      <w:pPr>
        <w:spacing w:after="120"/>
        <w:jc w:val="both"/>
        <w:rPr>
          <w:rFonts w:eastAsiaTheme="majorEastAsia" w:cstheme="majorBidi"/>
          <w:b/>
          <w:bCs/>
          <w:noProof/>
          <w:lang w:val="en-GB"/>
        </w:rPr>
      </w:pPr>
      <w:r w:rsidRPr="5B7F1876">
        <w:rPr>
          <w:rFonts w:cs="Times New Roman"/>
          <w:noProof/>
          <w:lang w:val="en-GB"/>
        </w:rPr>
        <w:t xml:space="preserve">The </w:t>
      </w:r>
      <w:r w:rsidRPr="002346E2">
        <w:rPr>
          <w:rFonts w:cs="Times New Roman"/>
          <w:noProof/>
          <w:lang w:val="en-GB"/>
        </w:rPr>
        <w:t>evaluation of the CAP is not influenced. While the adjustments in the</w:t>
      </w:r>
      <w:r w:rsidR="0051534E" w:rsidRPr="002346E2">
        <w:rPr>
          <w:rFonts w:cs="Times New Roman"/>
          <w:noProof/>
          <w:lang w:val="en-GB"/>
        </w:rPr>
        <w:t xml:space="preserve"> implementation of the</w:t>
      </w:r>
      <w:r w:rsidRPr="002346E2">
        <w:rPr>
          <w:rFonts w:cs="Times New Roman"/>
          <w:noProof/>
          <w:lang w:val="en-GB"/>
        </w:rPr>
        <w:t xml:space="preserve"> policy will be taken into account, </w:t>
      </w:r>
      <w:r w:rsidR="4651821C" w:rsidRPr="002346E2">
        <w:rPr>
          <w:rFonts w:cs="Times New Roman"/>
          <w:noProof/>
          <w:lang w:val="en-GB"/>
        </w:rPr>
        <w:t>including derogations and exemptions</w:t>
      </w:r>
      <w:r w:rsidR="0051534E" w:rsidRPr="003E7CF4">
        <w:rPr>
          <w:rFonts w:cs="Times New Roman"/>
          <w:noProof/>
          <w:lang w:val="en-GB"/>
        </w:rPr>
        <w:t xml:space="preserve"> to certain GAECs</w:t>
      </w:r>
      <w:r w:rsidR="4651821C" w:rsidRPr="002346E2">
        <w:rPr>
          <w:rFonts w:cs="Times New Roman"/>
          <w:noProof/>
          <w:lang w:val="en-GB"/>
        </w:rPr>
        <w:t xml:space="preserve">, </w:t>
      </w:r>
      <w:r w:rsidRPr="002346E2">
        <w:rPr>
          <w:rFonts w:cs="Times New Roman"/>
          <w:noProof/>
          <w:lang w:val="en-GB"/>
        </w:rPr>
        <w:t xml:space="preserve">the overall content and approach will not be affected. The timing of </w:t>
      </w:r>
      <w:r w:rsidR="11175AD6" w:rsidRPr="002346E2">
        <w:rPr>
          <w:rFonts w:cs="Times New Roman"/>
          <w:noProof/>
          <w:lang w:val="en-GB"/>
        </w:rPr>
        <w:t xml:space="preserve">the </w:t>
      </w:r>
      <w:r w:rsidRPr="002346E2">
        <w:rPr>
          <w:rFonts w:cs="Times New Roman"/>
          <w:noProof/>
          <w:lang w:val="en-GB"/>
        </w:rPr>
        <w:t>delivery of the evaluation reports, be it the interim evaluation or the</w:t>
      </w:r>
      <w:r w:rsidRPr="5B7F1876">
        <w:rPr>
          <w:rFonts w:cs="Times New Roman"/>
          <w:noProof/>
          <w:lang w:val="en-GB"/>
        </w:rPr>
        <w:t xml:space="preserve"> </w:t>
      </w:r>
      <w:r w:rsidR="00E05337" w:rsidRPr="5B7F1876">
        <w:rPr>
          <w:rFonts w:cs="Times New Roman"/>
          <w:noProof/>
          <w:lang w:val="en-GB"/>
        </w:rPr>
        <w:t>ex</w:t>
      </w:r>
      <w:r w:rsidR="00E05337" w:rsidRPr="6F217AB4">
        <w:rPr>
          <w:rFonts w:cs="Times New Roman"/>
          <w:noProof/>
          <w:lang w:val="en-GB"/>
        </w:rPr>
        <w:t>-post</w:t>
      </w:r>
      <w:r w:rsidRPr="5B7F1876">
        <w:rPr>
          <w:rFonts w:cs="Times New Roman"/>
          <w:noProof/>
          <w:lang w:val="en-GB"/>
        </w:rPr>
        <w:t xml:space="preserve"> evaluation</w:t>
      </w:r>
      <w:r w:rsidR="006F3F52" w:rsidRPr="5B7F1876">
        <w:rPr>
          <w:rStyle w:val="FootnoteReference"/>
          <w:rFonts w:cs="Times New Roman"/>
          <w:noProof/>
          <w:lang w:val="en-GB"/>
        </w:rPr>
        <w:footnoteReference w:id="71"/>
      </w:r>
      <w:r w:rsidRPr="5B7F1876">
        <w:rPr>
          <w:rFonts w:cs="Times New Roman"/>
          <w:noProof/>
          <w:lang w:val="en-GB"/>
        </w:rPr>
        <w:t xml:space="preserve"> is not </w:t>
      </w:r>
      <w:r w:rsidR="0051534E">
        <w:rPr>
          <w:rFonts w:cs="Times New Roman"/>
          <w:noProof/>
          <w:lang w:val="en-GB"/>
        </w:rPr>
        <w:t xml:space="preserve">concerned </w:t>
      </w:r>
      <w:r w:rsidRPr="5B7F1876">
        <w:rPr>
          <w:rFonts w:cs="Times New Roman"/>
          <w:noProof/>
          <w:lang w:val="en-GB"/>
        </w:rPr>
        <w:t>by the proposed actions.</w:t>
      </w:r>
    </w:p>
    <w:p w14:paraId="2F2BE7E7" w14:textId="12D59A38" w:rsidR="00F10588" w:rsidRPr="00724676" w:rsidRDefault="001A0A4A" w:rsidP="00261DD7">
      <w:pPr>
        <w:pStyle w:val="Heading1"/>
        <w:spacing w:after="240"/>
        <w:rPr>
          <w:noProof/>
          <w:highlight w:val="cyan"/>
          <w:lang w:val="en-GB"/>
        </w:rPr>
      </w:pPr>
      <w:bookmarkStart w:id="142" w:name="_Toc172125139"/>
      <w:r w:rsidRPr="00724676">
        <w:rPr>
          <w:noProof/>
          <w:lang w:val="en-GB"/>
        </w:rPr>
        <w:lastRenderedPageBreak/>
        <w:t xml:space="preserve">7. </w:t>
      </w:r>
      <w:r w:rsidR="00D47651" w:rsidRPr="00724676">
        <w:rPr>
          <w:noProof/>
          <w:lang w:val="en-GB"/>
        </w:rPr>
        <w:t>CONCLUSIONS</w:t>
      </w:r>
      <w:bookmarkEnd w:id="142"/>
    </w:p>
    <w:p w14:paraId="05D7C3ED" w14:textId="627454C5" w:rsidR="00606DEA" w:rsidRPr="00724676" w:rsidRDefault="007D2E78" w:rsidP="60015AE2">
      <w:pPr>
        <w:pStyle w:val="P68B1DB1-Normal3"/>
        <w:spacing w:after="120"/>
        <w:rPr>
          <w:rFonts w:eastAsia="Calibri" w:cs="Times New Roman"/>
          <w:i w:val="0"/>
          <w:iCs w:val="0"/>
          <w:noProof/>
          <w:lang w:val="en-GB"/>
        </w:rPr>
      </w:pPr>
      <w:r w:rsidRPr="00724676">
        <w:rPr>
          <w:rFonts w:eastAsia="Calibri" w:cs="Times New Roman"/>
          <w:i w:val="0"/>
          <w:iCs w:val="0"/>
          <w:noProof/>
          <w:lang w:val="en-GB"/>
        </w:rPr>
        <w:t xml:space="preserve">The </w:t>
      </w:r>
      <w:r w:rsidR="000B68AB" w:rsidRPr="00724676">
        <w:rPr>
          <w:rFonts w:eastAsia="Calibri" w:cs="Times New Roman"/>
          <w:i w:val="0"/>
          <w:iCs w:val="0"/>
          <w:noProof/>
          <w:lang w:val="en-GB"/>
        </w:rPr>
        <w:t>co-legislators</w:t>
      </w:r>
      <w:r w:rsidRPr="00724676">
        <w:rPr>
          <w:rFonts w:eastAsia="Calibri" w:cs="Times New Roman"/>
          <w:i w:val="0"/>
          <w:iCs w:val="0"/>
          <w:noProof/>
          <w:lang w:val="en-GB"/>
        </w:rPr>
        <w:t xml:space="preserve"> </w:t>
      </w:r>
      <w:r w:rsidR="0093522D" w:rsidRPr="00724676">
        <w:rPr>
          <w:rFonts w:eastAsia="Calibri" w:cs="Times New Roman"/>
          <w:b/>
          <w:bCs/>
          <w:i w:val="0"/>
          <w:iCs w:val="0"/>
          <w:noProof/>
          <w:lang w:val="en-GB"/>
        </w:rPr>
        <w:t>modernised</w:t>
      </w:r>
      <w:r w:rsidRPr="00724676">
        <w:rPr>
          <w:rFonts w:eastAsia="Calibri" w:cs="Times New Roman"/>
          <w:b/>
          <w:bCs/>
          <w:i w:val="0"/>
          <w:iCs w:val="0"/>
          <w:noProof/>
          <w:lang w:val="en-GB"/>
        </w:rPr>
        <w:t xml:space="preserve"> the CAP</w:t>
      </w:r>
      <w:r w:rsidR="0093522D" w:rsidRPr="00724676">
        <w:rPr>
          <w:rFonts w:eastAsia="Calibri" w:cs="Times New Roman"/>
          <w:i w:val="0"/>
          <w:iCs w:val="0"/>
          <w:noProof/>
          <w:lang w:val="en-GB"/>
        </w:rPr>
        <w:t xml:space="preserve"> </w:t>
      </w:r>
      <w:r w:rsidR="00B8430F" w:rsidRPr="00724676">
        <w:rPr>
          <w:rFonts w:eastAsia="Calibri" w:cs="Times New Roman"/>
          <w:i w:val="0"/>
          <w:iCs w:val="0"/>
          <w:noProof/>
          <w:lang w:val="en-GB"/>
        </w:rPr>
        <w:t xml:space="preserve">for the </w:t>
      </w:r>
      <w:r w:rsidR="000B68AB" w:rsidRPr="00724676">
        <w:rPr>
          <w:rFonts w:eastAsia="Calibri" w:cs="Times New Roman"/>
          <w:b/>
          <w:bCs/>
          <w:i w:val="0"/>
          <w:iCs w:val="0"/>
          <w:noProof/>
          <w:lang w:val="en-GB"/>
        </w:rPr>
        <w:t>2023-2027</w:t>
      </w:r>
      <w:r w:rsidR="00175DDC" w:rsidRPr="00724676">
        <w:rPr>
          <w:rFonts w:eastAsia="Calibri" w:cs="Times New Roman"/>
          <w:i w:val="0"/>
          <w:iCs w:val="0"/>
          <w:noProof/>
          <w:lang w:val="en-GB"/>
        </w:rPr>
        <w:t xml:space="preserve"> </w:t>
      </w:r>
      <w:r w:rsidR="00B8430F" w:rsidRPr="00724676">
        <w:rPr>
          <w:rFonts w:eastAsia="Calibri" w:cs="Times New Roman"/>
          <w:i w:val="0"/>
          <w:iCs w:val="0"/>
          <w:noProof/>
          <w:lang w:val="en-GB"/>
        </w:rPr>
        <w:t xml:space="preserve">period, </w:t>
      </w:r>
      <w:r w:rsidR="004E1145" w:rsidRPr="00724676">
        <w:rPr>
          <w:rFonts w:eastAsia="Calibri" w:cs="Times New Roman"/>
          <w:i w:val="0"/>
          <w:iCs w:val="0"/>
          <w:noProof/>
          <w:lang w:val="en-GB"/>
        </w:rPr>
        <w:t xml:space="preserve">to </w:t>
      </w:r>
      <w:r w:rsidR="00A9562D" w:rsidRPr="00724676">
        <w:rPr>
          <w:rFonts w:eastAsia="Calibri" w:cs="Times New Roman"/>
          <w:i w:val="0"/>
          <w:iCs w:val="0"/>
          <w:noProof/>
          <w:lang w:val="en-GB"/>
        </w:rPr>
        <w:t xml:space="preserve">better </w:t>
      </w:r>
      <w:r w:rsidR="004E1145" w:rsidRPr="00724676">
        <w:rPr>
          <w:rFonts w:eastAsia="Calibri" w:cs="Times New Roman"/>
          <w:i w:val="0"/>
          <w:iCs w:val="0"/>
          <w:noProof/>
          <w:lang w:val="en-GB"/>
        </w:rPr>
        <w:t>address</w:t>
      </w:r>
      <w:r w:rsidR="00175DDC" w:rsidRPr="00724676">
        <w:rPr>
          <w:rFonts w:eastAsia="Calibri" w:cs="Times New Roman"/>
          <w:i w:val="0"/>
          <w:iCs w:val="0"/>
          <w:noProof/>
          <w:lang w:val="en-GB"/>
        </w:rPr>
        <w:t xml:space="preserve"> </w:t>
      </w:r>
      <w:r w:rsidR="0093522D" w:rsidRPr="00724676">
        <w:rPr>
          <w:rFonts w:eastAsia="Calibri" w:cs="Times New Roman"/>
          <w:i w:val="0"/>
          <w:iCs w:val="0"/>
          <w:noProof/>
          <w:lang w:val="en-GB"/>
        </w:rPr>
        <w:t>societal</w:t>
      </w:r>
      <w:r w:rsidR="00F975D8" w:rsidRPr="00724676">
        <w:rPr>
          <w:rFonts w:eastAsia="Calibri" w:cs="Times New Roman"/>
          <w:i w:val="0"/>
          <w:iCs w:val="0"/>
          <w:noProof/>
          <w:lang w:val="en-GB"/>
        </w:rPr>
        <w:t xml:space="preserve"> concerns</w:t>
      </w:r>
      <w:r w:rsidR="0093522D" w:rsidRPr="00724676">
        <w:rPr>
          <w:rFonts w:eastAsia="Calibri" w:cs="Times New Roman"/>
          <w:i w:val="0"/>
          <w:iCs w:val="0"/>
          <w:noProof/>
          <w:lang w:val="en-GB"/>
        </w:rPr>
        <w:t xml:space="preserve"> </w:t>
      </w:r>
      <w:r w:rsidR="00A85D1E">
        <w:rPr>
          <w:rFonts w:eastAsia="Calibri" w:cs="Times New Roman"/>
          <w:i w:val="0"/>
          <w:iCs w:val="0"/>
          <w:noProof/>
          <w:lang w:val="en-GB"/>
        </w:rPr>
        <w:t>about</w:t>
      </w:r>
      <w:r w:rsidR="00A85D1E" w:rsidRPr="00724676">
        <w:rPr>
          <w:rFonts w:eastAsia="Calibri" w:cs="Times New Roman"/>
          <w:i w:val="0"/>
          <w:iCs w:val="0"/>
          <w:noProof/>
          <w:lang w:val="en-GB"/>
        </w:rPr>
        <w:t xml:space="preserve"> </w:t>
      </w:r>
      <w:r w:rsidR="00281FDC" w:rsidRPr="00724676">
        <w:rPr>
          <w:rFonts w:eastAsia="Calibri" w:cs="Times New Roman"/>
          <w:b/>
          <w:bCs/>
          <w:i w:val="0"/>
          <w:iCs w:val="0"/>
          <w:noProof/>
          <w:lang w:val="en-GB"/>
        </w:rPr>
        <w:t>sustainable farming</w:t>
      </w:r>
      <w:r w:rsidR="00175DDC" w:rsidRPr="00724676">
        <w:rPr>
          <w:rFonts w:eastAsia="Calibri" w:cs="Times New Roman"/>
          <w:i w:val="0"/>
          <w:iCs w:val="0"/>
          <w:noProof/>
          <w:lang w:val="en-GB"/>
        </w:rPr>
        <w:t xml:space="preserve"> a</w:t>
      </w:r>
      <w:r w:rsidR="00F3398B" w:rsidRPr="00724676">
        <w:rPr>
          <w:rFonts w:eastAsia="Calibri" w:cs="Times New Roman"/>
          <w:i w:val="0"/>
          <w:iCs w:val="0"/>
          <w:noProof/>
          <w:lang w:val="en-GB"/>
        </w:rPr>
        <w:t>s well as</w:t>
      </w:r>
      <w:r w:rsidR="00175DDC" w:rsidRPr="00724676">
        <w:rPr>
          <w:rFonts w:eastAsia="Calibri" w:cs="Times New Roman"/>
          <w:i w:val="0"/>
          <w:iCs w:val="0"/>
          <w:noProof/>
          <w:lang w:val="en-GB"/>
        </w:rPr>
        <w:t xml:space="preserve"> </w:t>
      </w:r>
      <w:r w:rsidR="00AF14DB" w:rsidRPr="00724676">
        <w:rPr>
          <w:rFonts w:eastAsia="Calibri" w:cs="Times New Roman"/>
          <w:i w:val="0"/>
          <w:iCs w:val="0"/>
          <w:noProof/>
          <w:lang w:val="en-GB"/>
        </w:rPr>
        <w:t xml:space="preserve">to </w:t>
      </w:r>
      <w:r w:rsidR="00977E0B" w:rsidRPr="00724676">
        <w:rPr>
          <w:rFonts w:eastAsia="Calibri" w:cs="Times New Roman"/>
          <w:i w:val="0"/>
          <w:iCs w:val="0"/>
          <w:noProof/>
          <w:lang w:val="en-GB"/>
        </w:rPr>
        <w:t xml:space="preserve">increase </w:t>
      </w:r>
      <w:r w:rsidR="00A85D1E">
        <w:rPr>
          <w:rFonts w:eastAsia="Calibri" w:cs="Times New Roman"/>
          <w:i w:val="0"/>
          <w:iCs w:val="0"/>
          <w:noProof/>
          <w:lang w:val="en-GB"/>
        </w:rPr>
        <w:t xml:space="preserve">the </w:t>
      </w:r>
      <w:r w:rsidR="00A85D1E" w:rsidRPr="003E7CF4">
        <w:rPr>
          <w:rFonts w:eastAsia="Calibri" w:cs="Times New Roman"/>
          <w:b/>
          <w:bCs/>
          <w:i w:val="0"/>
          <w:iCs w:val="0"/>
          <w:noProof/>
          <w:lang w:val="en-GB"/>
        </w:rPr>
        <w:t>efficiency</w:t>
      </w:r>
      <w:r w:rsidR="00A85D1E">
        <w:rPr>
          <w:rFonts w:eastAsia="Calibri" w:cs="Times New Roman"/>
          <w:i w:val="0"/>
          <w:iCs w:val="0"/>
          <w:noProof/>
          <w:lang w:val="en-GB"/>
        </w:rPr>
        <w:t xml:space="preserve"> of the </w:t>
      </w:r>
      <w:r w:rsidR="00375711" w:rsidRPr="00724676">
        <w:rPr>
          <w:rFonts w:eastAsia="Calibri" w:cs="Times New Roman"/>
          <w:i w:val="0"/>
          <w:iCs w:val="0"/>
          <w:noProof/>
          <w:lang w:val="en-GB"/>
        </w:rPr>
        <w:t xml:space="preserve">policy </w:t>
      </w:r>
      <w:r w:rsidR="00375711" w:rsidRPr="00724676">
        <w:rPr>
          <w:rFonts w:eastAsia="Calibri" w:cs="Times New Roman"/>
          <w:b/>
          <w:bCs/>
          <w:i w:val="0"/>
          <w:iCs w:val="0"/>
          <w:noProof/>
          <w:lang w:val="en-GB"/>
        </w:rPr>
        <w:t xml:space="preserve">through a new </w:t>
      </w:r>
      <w:r w:rsidR="00F230F8" w:rsidRPr="00724676">
        <w:rPr>
          <w:rFonts w:eastAsia="Calibri" w:cs="Times New Roman"/>
          <w:b/>
          <w:bCs/>
          <w:i w:val="0"/>
          <w:iCs w:val="0"/>
          <w:noProof/>
          <w:lang w:val="en-GB"/>
        </w:rPr>
        <w:t>delivery</w:t>
      </w:r>
      <w:r w:rsidR="00375711" w:rsidRPr="00724676">
        <w:rPr>
          <w:rFonts w:eastAsia="Calibri" w:cs="Times New Roman"/>
          <w:b/>
          <w:bCs/>
          <w:i w:val="0"/>
          <w:iCs w:val="0"/>
          <w:noProof/>
          <w:lang w:val="en-GB"/>
        </w:rPr>
        <w:t xml:space="preserve"> model</w:t>
      </w:r>
      <w:r w:rsidR="00112000" w:rsidRPr="00724676">
        <w:rPr>
          <w:rFonts w:eastAsia="Calibri" w:cs="Times New Roman"/>
          <w:i w:val="0"/>
          <w:iCs w:val="0"/>
          <w:noProof/>
          <w:lang w:val="en-GB"/>
        </w:rPr>
        <w:t xml:space="preserve">. </w:t>
      </w:r>
    </w:p>
    <w:p w14:paraId="4C443D06" w14:textId="1049CCAC" w:rsidR="000568ED" w:rsidRPr="00724676" w:rsidRDefault="006F17A0" w:rsidP="60015AE2">
      <w:pPr>
        <w:pStyle w:val="P68B1DB1-Normal3"/>
        <w:spacing w:after="120"/>
        <w:rPr>
          <w:rFonts w:eastAsia="Calibri" w:cs="Times New Roman"/>
          <w:i w:val="0"/>
          <w:iCs w:val="0"/>
          <w:noProof/>
          <w:lang w:val="en-GB"/>
        </w:rPr>
      </w:pPr>
      <w:r w:rsidRPr="00724676">
        <w:rPr>
          <w:rFonts w:eastAsia="Calibri" w:cs="Times New Roman"/>
          <w:i w:val="0"/>
          <w:iCs w:val="0"/>
          <w:noProof/>
          <w:lang w:val="en-GB"/>
        </w:rPr>
        <w:t>The</w:t>
      </w:r>
      <w:r w:rsidR="00112000" w:rsidRPr="00724676">
        <w:rPr>
          <w:rFonts w:eastAsia="Calibri" w:cs="Times New Roman"/>
          <w:i w:val="0"/>
          <w:iCs w:val="0"/>
          <w:noProof/>
          <w:lang w:val="en-GB"/>
        </w:rPr>
        <w:t xml:space="preserve"> policy’s</w:t>
      </w:r>
      <w:r w:rsidRPr="00724676">
        <w:rPr>
          <w:rFonts w:eastAsia="Calibri" w:cs="Times New Roman"/>
          <w:i w:val="0"/>
          <w:iCs w:val="0"/>
          <w:noProof/>
          <w:lang w:val="en-GB"/>
        </w:rPr>
        <w:t xml:space="preserve"> novel </w:t>
      </w:r>
      <w:r w:rsidR="006F5CE8" w:rsidRPr="00724676">
        <w:rPr>
          <w:rFonts w:eastAsia="Calibri" w:cs="Times New Roman"/>
          <w:i w:val="0"/>
          <w:iCs w:val="0"/>
          <w:noProof/>
          <w:lang w:val="en-GB"/>
        </w:rPr>
        <w:t>approach</w:t>
      </w:r>
      <w:r w:rsidR="00A85D1E">
        <w:rPr>
          <w:rFonts w:eastAsia="Calibri" w:cs="Times New Roman"/>
          <w:i w:val="0"/>
          <w:iCs w:val="0"/>
          <w:noProof/>
          <w:lang w:val="en-GB"/>
        </w:rPr>
        <w:t>,</w:t>
      </w:r>
      <w:r w:rsidR="006F5CE8" w:rsidRPr="00724676">
        <w:rPr>
          <w:rFonts w:eastAsia="Calibri" w:cs="Times New Roman"/>
          <w:i w:val="0"/>
          <w:iCs w:val="0"/>
          <w:noProof/>
          <w:lang w:val="en-GB"/>
        </w:rPr>
        <w:t xml:space="preserve"> </w:t>
      </w:r>
      <w:r w:rsidR="00B8430F" w:rsidRPr="00724676">
        <w:rPr>
          <w:rFonts w:eastAsia="Calibri" w:cs="Times New Roman"/>
          <w:i w:val="0"/>
          <w:iCs w:val="0"/>
          <w:noProof/>
          <w:lang w:val="en-GB"/>
        </w:rPr>
        <w:t xml:space="preserve">with performance-oriented CAP </w:t>
      </w:r>
      <w:r w:rsidR="478979BB" w:rsidRPr="6FE283EC">
        <w:rPr>
          <w:rFonts w:eastAsia="Calibri" w:cs="Times New Roman"/>
          <w:i w:val="0"/>
          <w:iCs w:val="0"/>
          <w:noProof/>
          <w:lang w:val="en-GB"/>
        </w:rPr>
        <w:t>P</w:t>
      </w:r>
      <w:r w:rsidR="2DF9D990" w:rsidRPr="6FE283EC">
        <w:rPr>
          <w:rFonts w:eastAsia="Calibri" w:cs="Times New Roman"/>
          <w:i w:val="0"/>
          <w:iCs w:val="0"/>
          <w:noProof/>
          <w:lang w:val="en-GB"/>
        </w:rPr>
        <w:t>lans</w:t>
      </w:r>
      <w:r w:rsidR="00B8430F" w:rsidRPr="00724676">
        <w:rPr>
          <w:rFonts w:eastAsia="Calibri" w:cs="Times New Roman"/>
          <w:i w:val="0"/>
          <w:iCs w:val="0"/>
          <w:noProof/>
          <w:lang w:val="en-GB"/>
        </w:rPr>
        <w:t xml:space="preserve"> </w:t>
      </w:r>
      <w:r w:rsidR="006F5CE8" w:rsidRPr="00724676">
        <w:rPr>
          <w:rFonts w:eastAsia="Calibri" w:cs="Times New Roman"/>
          <w:i w:val="0"/>
          <w:iCs w:val="0"/>
          <w:noProof/>
          <w:lang w:val="en-GB"/>
        </w:rPr>
        <w:t>and the increased level</w:t>
      </w:r>
      <w:r w:rsidR="00A85D1E">
        <w:rPr>
          <w:rFonts w:eastAsia="Calibri" w:cs="Times New Roman"/>
          <w:i w:val="0"/>
          <w:iCs w:val="0"/>
          <w:noProof/>
          <w:lang w:val="en-GB"/>
        </w:rPr>
        <w:t xml:space="preserve"> of</w:t>
      </w:r>
      <w:r w:rsidR="006F5CE8" w:rsidRPr="00724676">
        <w:rPr>
          <w:rFonts w:eastAsia="Calibri" w:cs="Times New Roman"/>
          <w:i w:val="0"/>
          <w:iCs w:val="0"/>
          <w:noProof/>
          <w:lang w:val="en-GB"/>
        </w:rPr>
        <w:t xml:space="preserve"> </w:t>
      </w:r>
      <w:r w:rsidR="00A85D1E" w:rsidRPr="00724676">
        <w:rPr>
          <w:rFonts w:eastAsia="Calibri" w:cs="Times New Roman"/>
          <w:i w:val="0"/>
          <w:iCs w:val="0"/>
          <w:noProof/>
          <w:lang w:val="en-GB"/>
        </w:rPr>
        <w:t>ambition</w:t>
      </w:r>
      <w:r w:rsidR="00A85D1E">
        <w:rPr>
          <w:rFonts w:eastAsia="Calibri" w:cs="Times New Roman"/>
          <w:i w:val="0"/>
          <w:iCs w:val="0"/>
          <w:noProof/>
          <w:lang w:val="en-GB"/>
        </w:rPr>
        <w:t>,</w:t>
      </w:r>
      <w:r w:rsidR="00A85D1E" w:rsidRPr="00724676">
        <w:rPr>
          <w:rFonts w:eastAsia="Calibri" w:cs="Times New Roman"/>
          <w:i w:val="0"/>
          <w:iCs w:val="0"/>
          <w:noProof/>
          <w:lang w:val="en-GB"/>
        </w:rPr>
        <w:t xml:space="preserve"> </w:t>
      </w:r>
      <w:r w:rsidR="00A03E86" w:rsidRPr="00724676">
        <w:rPr>
          <w:rFonts w:eastAsia="Calibri" w:cs="Times New Roman"/>
          <w:i w:val="0"/>
          <w:iCs w:val="0"/>
          <w:noProof/>
          <w:lang w:val="en-GB"/>
        </w:rPr>
        <w:t>demanded</w:t>
      </w:r>
      <w:r w:rsidR="003375F1" w:rsidRPr="00724676">
        <w:rPr>
          <w:rFonts w:eastAsia="Calibri" w:cs="Times New Roman"/>
          <w:i w:val="0"/>
          <w:iCs w:val="0"/>
          <w:noProof/>
          <w:lang w:val="en-GB"/>
        </w:rPr>
        <w:t xml:space="preserve"> </w:t>
      </w:r>
      <w:r w:rsidR="00D50164" w:rsidRPr="00724676">
        <w:rPr>
          <w:rFonts w:eastAsia="Calibri" w:cs="Times New Roman"/>
          <w:b/>
          <w:bCs/>
          <w:i w:val="0"/>
          <w:iCs w:val="0"/>
          <w:noProof/>
          <w:lang w:val="en-GB"/>
        </w:rPr>
        <w:t>greater effort</w:t>
      </w:r>
      <w:r w:rsidR="00B8430F" w:rsidRPr="00724676">
        <w:rPr>
          <w:rFonts w:eastAsia="Calibri" w:cs="Times New Roman"/>
          <w:b/>
          <w:bCs/>
          <w:i w:val="0"/>
          <w:iCs w:val="0"/>
          <w:noProof/>
          <w:lang w:val="en-GB"/>
        </w:rPr>
        <w:t>s</w:t>
      </w:r>
      <w:r w:rsidR="00D50164" w:rsidRPr="00724676">
        <w:rPr>
          <w:rFonts w:eastAsia="Calibri" w:cs="Times New Roman"/>
          <w:i w:val="0"/>
          <w:iCs w:val="0"/>
          <w:noProof/>
          <w:lang w:val="en-GB"/>
        </w:rPr>
        <w:t xml:space="preserve"> and </w:t>
      </w:r>
      <w:r w:rsidR="00B8430F" w:rsidRPr="00724676">
        <w:rPr>
          <w:rFonts w:eastAsia="Calibri" w:cs="Times New Roman"/>
          <w:i w:val="0"/>
          <w:iCs w:val="0"/>
          <w:noProof/>
          <w:lang w:val="en-GB"/>
        </w:rPr>
        <w:t xml:space="preserve">resulted in </w:t>
      </w:r>
      <w:r w:rsidR="00D50164" w:rsidRPr="00724676">
        <w:rPr>
          <w:rFonts w:eastAsia="Calibri" w:cs="Times New Roman"/>
          <w:b/>
          <w:bCs/>
          <w:i w:val="0"/>
          <w:iCs w:val="0"/>
          <w:noProof/>
          <w:lang w:val="en-GB"/>
        </w:rPr>
        <w:t xml:space="preserve">a </w:t>
      </w:r>
      <w:r w:rsidR="003375F1" w:rsidRPr="00724676">
        <w:rPr>
          <w:rFonts w:eastAsia="Calibri" w:cs="Times New Roman"/>
          <w:b/>
          <w:bCs/>
          <w:i w:val="0"/>
          <w:iCs w:val="0"/>
          <w:noProof/>
          <w:lang w:val="en-GB"/>
        </w:rPr>
        <w:t>steep learning curve</w:t>
      </w:r>
      <w:r w:rsidR="003375F1" w:rsidRPr="00724676">
        <w:rPr>
          <w:rFonts w:eastAsia="Calibri" w:cs="Times New Roman"/>
          <w:i w:val="0"/>
          <w:iCs w:val="0"/>
          <w:noProof/>
          <w:lang w:val="en-GB"/>
        </w:rPr>
        <w:t xml:space="preserve"> </w:t>
      </w:r>
      <w:r w:rsidR="00B8430F" w:rsidRPr="00724676">
        <w:rPr>
          <w:rFonts w:eastAsia="Calibri" w:cs="Times New Roman"/>
          <w:i w:val="0"/>
          <w:iCs w:val="0"/>
          <w:noProof/>
          <w:lang w:val="en-GB"/>
        </w:rPr>
        <w:t xml:space="preserve">for </w:t>
      </w:r>
      <w:r w:rsidR="00B052FD" w:rsidRPr="00724676">
        <w:rPr>
          <w:rFonts w:eastAsia="Calibri" w:cs="Times New Roman"/>
          <w:i w:val="0"/>
          <w:iCs w:val="0"/>
          <w:noProof/>
          <w:lang w:val="en-GB"/>
        </w:rPr>
        <w:t xml:space="preserve">both </w:t>
      </w:r>
      <w:r w:rsidR="003375F1" w:rsidRPr="00724676">
        <w:rPr>
          <w:rFonts w:eastAsia="Calibri" w:cs="Times New Roman"/>
          <w:i w:val="0"/>
          <w:iCs w:val="0"/>
          <w:noProof/>
          <w:lang w:val="en-GB"/>
        </w:rPr>
        <w:t>farmers and national administration</w:t>
      </w:r>
      <w:r w:rsidR="00B8430F" w:rsidRPr="00724676">
        <w:rPr>
          <w:rFonts w:eastAsia="Calibri" w:cs="Times New Roman"/>
          <w:i w:val="0"/>
          <w:iCs w:val="0"/>
          <w:noProof/>
          <w:lang w:val="en-GB"/>
        </w:rPr>
        <w:t>s</w:t>
      </w:r>
      <w:r w:rsidR="00F534E2" w:rsidRPr="00724676">
        <w:rPr>
          <w:rFonts w:eastAsia="Calibri" w:cs="Times New Roman"/>
          <w:i w:val="0"/>
          <w:iCs w:val="0"/>
          <w:noProof/>
          <w:lang w:val="en-GB"/>
        </w:rPr>
        <w:t xml:space="preserve">. </w:t>
      </w:r>
      <w:r w:rsidR="002A32FE" w:rsidRPr="00724676">
        <w:rPr>
          <w:rFonts w:eastAsia="Calibri" w:cs="Times New Roman"/>
          <w:i w:val="0"/>
          <w:iCs w:val="0"/>
          <w:noProof/>
          <w:lang w:val="en-GB"/>
        </w:rPr>
        <w:t>Th</w:t>
      </w:r>
      <w:r w:rsidR="00CA1929" w:rsidRPr="00724676">
        <w:rPr>
          <w:rFonts w:eastAsia="Calibri" w:cs="Times New Roman"/>
          <w:i w:val="0"/>
          <w:iCs w:val="0"/>
          <w:noProof/>
          <w:lang w:val="en-GB"/>
        </w:rPr>
        <w:t>is</w:t>
      </w:r>
      <w:r w:rsidR="002A32FE" w:rsidRPr="00724676">
        <w:rPr>
          <w:rFonts w:eastAsia="Calibri" w:cs="Times New Roman"/>
          <w:i w:val="0"/>
          <w:iCs w:val="0"/>
          <w:noProof/>
          <w:lang w:val="en-GB"/>
        </w:rPr>
        <w:t xml:space="preserve"> policy</w:t>
      </w:r>
      <w:r w:rsidR="00D033CF" w:rsidRPr="00724676">
        <w:rPr>
          <w:rFonts w:eastAsia="Calibri" w:cs="Times New Roman"/>
          <w:i w:val="0"/>
          <w:iCs w:val="0"/>
          <w:noProof/>
          <w:lang w:val="en-GB"/>
        </w:rPr>
        <w:t xml:space="preserve"> shift</w:t>
      </w:r>
      <w:r w:rsidR="002A32FE" w:rsidRPr="00724676">
        <w:rPr>
          <w:rFonts w:eastAsia="Calibri" w:cs="Times New Roman"/>
          <w:i w:val="0"/>
          <w:iCs w:val="0"/>
          <w:noProof/>
          <w:lang w:val="en-GB"/>
        </w:rPr>
        <w:t xml:space="preserve"> </w:t>
      </w:r>
      <w:r w:rsidR="00843668" w:rsidRPr="00724676">
        <w:rPr>
          <w:rFonts w:eastAsia="Calibri" w:cs="Times New Roman"/>
          <w:i w:val="0"/>
          <w:iCs w:val="0"/>
          <w:noProof/>
          <w:lang w:val="en-GB"/>
        </w:rPr>
        <w:t xml:space="preserve">took place in the context </w:t>
      </w:r>
      <w:r w:rsidR="003A61B4" w:rsidRPr="00724676">
        <w:rPr>
          <w:rFonts w:eastAsia="Calibri" w:cs="Times New Roman"/>
          <w:i w:val="0"/>
          <w:iCs w:val="0"/>
          <w:noProof/>
          <w:lang w:val="en-GB"/>
        </w:rPr>
        <w:t>of the Commission’s ambitious Green Deal agenda</w:t>
      </w:r>
      <w:r w:rsidR="0048397F" w:rsidRPr="00724676">
        <w:rPr>
          <w:rFonts w:eastAsia="Calibri" w:cs="Times New Roman"/>
          <w:i w:val="0"/>
          <w:iCs w:val="0"/>
          <w:noProof/>
          <w:lang w:val="en-GB"/>
        </w:rPr>
        <w:t xml:space="preserve"> and</w:t>
      </w:r>
      <w:r w:rsidR="00CC45D1" w:rsidRPr="00724676">
        <w:rPr>
          <w:rFonts w:eastAsia="Calibri" w:cs="Times New Roman"/>
          <w:i w:val="0"/>
          <w:iCs w:val="0"/>
          <w:noProof/>
          <w:lang w:val="en-GB"/>
        </w:rPr>
        <w:t xml:space="preserve"> </w:t>
      </w:r>
      <w:r w:rsidR="00BF67E5" w:rsidRPr="00724676">
        <w:rPr>
          <w:rFonts w:eastAsia="Calibri" w:cs="Times New Roman"/>
          <w:i w:val="0"/>
          <w:iCs w:val="0"/>
          <w:noProof/>
          <w:lang w:val="en-GB"/>
        </w:rPr>
        <w:t>Green Deal legislative proposals</w:t>
      </w:r>
      <w:r w:rsidR="00A85D1E">
        <w:rPr>
          <w:rFonts w:eastAsia="Calibri" w:cs="Times New Roman"/>
          <w:i w:val="0"/>
          <w:iCs w:val="0"/>
          <w:noProof/>
          <w:lang w:val="en-GB"/>
        </w:rPr>
        <w:t>,</w:t>
      </w:r>
      <w:r w:rsidR="0017421F" w:rsidRPr="00724676">
        <w:rPr>
          <w:rFonts w:eastAsia="Calibri" w:cs="Times New Roman"/>
          <w:i w:val="0"/>
          <w:iCs w:val="0"/>
          <w:noProof/>
          <w:lang w:val="en-GB"/>
        </w:rPr>
        <w:t xml:space="preserve"> </w:t>
      </w:r>
      <w:r w:rsidR="00BF67E5" w:rsidRPr="00724676">
        <w:rPr>
          <w:rFonts w:eastAsia="Calibri" w:cs="Times New Roman"/>
          <w:i w:val="0"/>
          <w:iCs w:val="0"/>
          <w:noProof/>
          <w:lang w:val="en-GB"/>
        </w:rPr>
        <w:t xml:space="preserve">which will or may </w:t>
      </w:r>
      <w:r w:rsidR="00BF67E5" w:rsidRPr="002874FC">
        <w:rPr>
          <w:rFonts w:eastAsia="Calibri" w:cs="Times New Roman"/>
          <w:i w:val="0"/>
          <w:iCs w:val="0"/>
          <w:noProof/>
          <w:lang w:val="en-GB"/>
        </w:rPr>
        <w:t xml:space="preserve">affect farmers </w:t>
      </w:r>
      <w:r w:rsidR="00797D9D" w:rsidRPr="003E7CF4">
        <w:rPr>
          <w:rFonts w:eastAsia="Calibri" w:cs="Times New Roman"/>
          <w:i w:val="0"/>
          <w:iCs w:val="0"/>
          <w:noProof/>
          <w:lang w:val="en-GB"/>
        </w:rPr>
        <w:t xml:space="preserve">both </w:t>
      </w:r>
      <w:r w:rsidR="00BF67E5" w:rsidRPr="002874FC">
        <w:rPr>
          <w:rFonts w:eastAsia="Calibri" w:cs="Times New Roman"/>
          <w:i w:val="0"/>
          <w:iCs w:val="0"/>
          <w:noProof/>
          <w:lang w:val="en-GB"/>
        </w:rPr>
        <w:t xml:space="preserve">directly and </w:t>
      </w:r>
      <w:r w:rsidR="00797D9D" w:rsidRPr="003E7CF4">
        <w:rPr>
          <w:rFonts w:eastAsia="Calibri" w:cs="Times New Roman"/>
          <w:i w:val="0"/>
          <w:iCs w:val="0"/>
          <w:noProof/>
          <w:lang w:val="en-GB"/>
        </w:rPr>
        <w:t>through</w:t>
      </w:r>
      <w:r w:rsidR="00797D9D" w:rsidRPr="002874FC">
        <w:rPr>
          <w:rFonts w:eastAsia="Calibri" w:cs="Times New Roman"/>
          <w:i w:val="0"/>
          <w:iCs w:val="0"/>
          <w:noProof/>
          <w:lang w:val="en-GB"/>
        </w:rPr>
        <w:t xml:space="preserve"> </w:t>
      </w:r>
      <w:r w:rsidR="00BF67E5" w:rsidRPr="002874FC">
        <w:rPr>
          <w:rFonts w:eastAsia="Calibri" w:cs="Times New Roman"/>
          <w:i w:val="0"/>
          <w:iCs w:val="0"/>
          <w:noProof/>
          <w:lang w:val="en-GB"/>
        </w:rPr>
        <w:t xml:space="preserve">the requirements </w:t>
      </w:r>
      <w:r w:rsidR="00797D9D">
        <w:rPr>
          <w:rFonts w:eastAsia="Calibri" w:cs="Times New Roman"/>
          <w:i w:val="0"/>
          <w:iCs w:val="0"/>
          <w:noProof/>
          <w:lang w:val="en-GB"/>
        </w:rPr>
        <w:t xml:space="preserve">set out </w:t>
      </w:r>
      <w:r w:rsidR="00BF67E5" w:rsidRPr="002874FC">
        <w:rPr>
          <w:rFonts w:eastAsia="Calibri" w:cs="Times New Roman"/>
          <w:i w:val="0"/>
          <w:iCs w:val="0"/>
          <w:noProof/>
          <w:lang w:val="en-GB"/>
        </w:rPr>
        <w:t xml:space="preserve">in the </w:t>
      </w:r>
      <w:r w:rsidR="35893890" w:rsidRPr="6FE283EC">
        <w:rPr>
          <w:rFonts w:eastAsia="Calibri" w:cs="Times New Roman"/>
          <w:i w:val="0"/>
          <w:iCs w:val="0"/>
          <w:noProof/>
          <w:lang w:val="en-GB"/>
        </w:rPr>
        <w:t>CAP P</w:t>
      </w:r>
      <w:r w:rsidR="00BF67E5" w:rsidRPr="002874FC">
        <w:rPr>
          <w:rFonts w:eastAsia="Calibri" w:cs="Times New Roman"/>
          <w:i w:val="0"/>
          <w:iCs w:val="0"/>
          <w:noProof/>
          <w:lang w:val="en-GB"/>
        </w:rPr>
        <w:t>lan</w:t>
      </w:r>
      <w:r w:rsidR="00B41558" w:rsidRPr="002874FC">
        <w:rPr>
          <w:rFonts w:eastAsia="Calibri" w:cs="Times New Roman"/>
          <w:i w:val="0"/>
          <w:iCs w:val="0"/>
          <w:noProof/>
          <w:lang w:val="en-GB"/>
        </w:rPr>
        <w:t>s</w:t>
      </w:r>
      <w:r w:rsidR="00797D9D" w:rsidRPr="003E7CF4">
        <w:rPr>
          <w:rFonts w:eastAsia="Calibri" w:cs="Times New Roman"/>
          <w:i w:val="0"/>
          <w:iCs w:val="0"/>
          <w:noProof/>
          <w:lang w:val="en-GB"/>
        </w:rPr>
        <w:t xml:space="preserve">. Other </w:t>
      </w:r>
      <w:r w:rsidR="00797D9D">
        <w:rPr>
          <w:rFonts w:eastAsia="Calibri" w:cs="Times New Roman"/>
          <w:i w:val="0"/>
          <w:iCs w:val="0"/>
          <w:noProof/>
          <w:lang w:val="en-GB"/>
        </w:rPr>
        <w:t>significant</w:t>
      </w:r>
      <w:r w:rsidR="00797D9D" w:rsidRPr="003E7CF4">
        <w:rPr>
          <w:rFonts w:eastAsia="Calibri" w:cs="Times New Roman"/>
          <w:i w:val="0"/>
          <w:iCs w:val="0"/>
          <w:noProof/>
          <w:lang w:val="en-GB"/>
        </w:rPr>
        <w:t xml:space="preserve"> factors </w:t>
      </w:r>
      <w:r w:rsidR="00797D9D">
        <w:rPr>
          <w:rFonts w:eastAsia="Calibri" w:cs="Times New Roman"/>
          <w:i w:val="0"/>
          <w:iCs w:val="0"/>
          <w:noProof/>
          <w:lang w:val="en-GB"/>
        </w:rPr>
        <w:t>were</w:t>
      </w:r>
      <w:r w:rsidR="00797D9D" w:rsidRPr="003E7CF4">
        <w:rPr>
          <w:rFonts w:eastAsia="Calibri" w:cs="Times New Roman"/>
          <w:i w:val="0"/>
          <w:iCs w:val="0"/>
          <w:noProof/>
          <w:lang w:val="en-GB"/>
        </w:rPr>
        <w:t xml:space="preserve"> the </w:t>
      </w:r>
      <w:r w:rsidR="00AE1240" w:rsidRPr="002874FC">
        <w:rPr>
          <w:rFonts w:eastAsia="Calibri" w:cs="Times New Roman"/>
          <w:i w:val="0"/>
          <w:iCs w:val="0"/>
          <w:noProof/>
          <w:lang w:val="en-GB"/>
        </w:rPr>
        <w:t>considerable</w:t>
      </w:r>
      <w:r w:rsidR="00A57D97" w:rsidRPr="002874FC">
        <w:rPr>
          <w:rFonts w:eastAsia="Calibri" w:cs="Times New Roman"/>
          <w:i w:val="0"/>
          <w:iCs w:val="0"/>
          <w:noProof/>
          <w:lang w:val="en-GB"/>
        </w:rPr>
        <w:t xml:space="preserve"> </w:t>
      </w:r>
      <w:r w:rsidR="002A32FE" w:rsidRPr="002874FC">
        <w:rPr>
          <w:rFonts w:eastAsia="Calibri" w:cs="Times New Roman"/>
          <w:i w:val="0"/>
          <w:iCs w:val="0"/>
          <w:noProof/>
          <w:lang w:val="en-GB"/>
        </w:rPr>
        <w:t>m</w:t>
      </w:r>
      <w:r w:rsidR="0083099D" w:rsidRPr="002874FC">
        <w:rPr>
          <w:rFonts w:eastAsia="Calibri" w:cs="Times New Roman"/>
          <w:i w:val="0"/>
          <w:iCs w:val="0"/>
          <w:noProof/>
          <w:lang w:val="en-GB"/>
        </w:rPr>
        <w:t>arket disturbances</w:t>
      </w:r>
      <w:r w:rsidR="00794576" w:rsidRPr="002874FC">
        <w:rPr>
          <w:rFonts w:eastAsia="Calibri" w:cs="Times New Roman"/>
          <w:i w:val="0"/>
          <w:iCs w:val="0"/>
          <w:noProof/>
          <w:lang w:val="en-GB"/>
        </w:rPr>
        <w:t xml:space="preserve"> </w:t>
      </w:r>
      <w:r w:rsidR="6D5A9392" w:rsidRPr="002874FC">
        <w:rPr>
          <w:rFonts w:cs="Times New Roman"/>
          <w:i w:val="0"/>
          <w:iCs w:val="0"/>
          <w:noProof/>
          <w:lang w:val="en-GB"/>
        </w:rPr>
        <w:t>due to the COVID-19 pandemic</w:t>
      </w:r>
      <w:r w:rsidR="00797D9D">
        <w:rPr>
          <w:rFonts w:cs="Times New Roman"/>
          <w:i w:val="0"/>
          <w:iCs w:val="0"/>
          <w:noProof/>
          <w:lang w:val="en-GB"/>
        </w:rPr>
        <w:t>,</w:t>
      </w:r>
      <w:r w:rsidR="6D5A9392" w:rsidRPr="002874FC">
        <w:rPr>
          <w:rFonts w:cs="Times New Roman"/>
          <w:i w:val="0"/>
          <w:iCs w:val="0"/>
          <w:noProof/>
          <w:lang w:val="en-GB"/>
        </w:rPr>
        <w:t xml:space="preserve"> and </w:t>
      </w:r>
      <w:r w:rsidR="009278F6" w:rsidRPr="002874FC">
        <w:rPr>
          <w:rFonts w:cs="Times New Roman"/>
          <w:i w:val="0"/>
          <w:iCs w:val="0"/>
          <w:noProof/>
          <w:lang w:val="en-GB"/>
        </w:rPr>
        <w:t>Russia</w:t>
      </w:r>
      <w:r w:rsidR="00A85D1E" w:rsidRPr="002874FC">
        <w:rPr>
          <w:rFonts w:cs="Times New Roman"/>
          <w:i w:val="0"/>
          <w:iCs w:val="0"/>
          <w:noProof/>
          <w:lang w:val="en-GB"/>
        </w:rPr>
        <w:t>’s</w:t>
      </w:r>
      <w:r w:rsidR="009278F6" w:rsidRPr="002874FC">
        <w:rPr>
          <w:rFonts w:cs="Times New Roman"/>
          <w:i w:val="0"/>
          <w:iCs w:val="0"/>
          <w:noProof/>
          <w:lang w:val="en-GB"/>
        </w:rPr>
        <w:t xml:space="preserve"> </w:t>
      </w:r>
      <w:r w:rsidR="00B8430F" w:rsidRPr="002874FC">
        <w:rPr>
          <w:rFonts w:cs="Times New Roman"/>
          <w:i w:val="0"/>
          <w:iCs w:val="0"/>
          <w:noProof/>
          <w:lang w:val="en-GB"/>
        </w:rPr>
        <w:t xml:space="preserve">war of </w:t>
      </w:r>
      <w:r w:rsidR="6D5A9392" w:rsidRPr="002874FC">
        <w:rPr>
          <w:rFonts w:cs="Times New Roman"/>
          <w:i w:val="0"/>
          <w:iCs w:val="0"/>
          <w:noProof/>
          <w:lang w:val="en-GB"/>
        </w:rPr>
        <w:t xml:space="preserve">aggression </w:t>
      </w:r>
      <w:r w:rsidR="00A85D1E" w:rsidRPr="002874FC">
        <w:rPr>
          <w:rFonts w:cs="Times New Roman"/>
          <w:i w:val="0"/>
          <w:iCs w:val="0"/>
          <w:noProof/>
          <w:lang w:val="en-GB"/>
        </w:rPr>
        <w:t xml:space="preserve">against </w:t>
      </w:r>
      <w:r w:rsidR="6D5A9392" w:rsidRPr="002874FC">
        <w:rPr>
          <w:rFonts w:cs="Times New Roman"/>
          <w:i w:val="0"/>
          <w:iCs w:val="0"/>
          <w:noProof/>
          <w:lang w:val="en-GB"/>
        </w:rPr>
        <w:t>Ukraine</w:t>
      </w:r>
      <w:r w:rsidR="00A85D1E" w:rsidRPr="002874FC">
        <w:rPr>
          <w:rFonts w:cs="Times New Roman"/>
          <w:i w:val="0"/>
          <w:iCs w:val="0"/>
          <w:noProof/>
          <w:lang w:val="en-GB"/>
        </w:rPr>
        <w:t xml:space="preserve">, </w:t>
      </w:r>
      <w:r w:rsidR="00A85D1E" w:rsidRPr="00391AC3">
        <w:rPr>
          <w:rFonts w:cs="Times New Roman"/>
          <w:i w:val="0"/>
          <w:iCs w:val="0"/>
          <w:noProof/>
          <w:lang w:val="en-GB"/>
        </w:rPr>
        <w:t>which</w:t>
      </w:r>
      <w:r w:rsidR="6D5A9392" w:rsidRPr="00391AC3">
        <w:rPr>
          <w:rFonts w:eastAsia="Calibri" w:cs="Times New Roman"/>
          <w:i w:val="0"/>
          <w:iCs w:val="0"/>
          <w:noProof/>
          <w:lang w:val="en-GB"/>
        </w:rPr>
        <w:t xml:space="preserve"> </w:t>
      </w:r>
      <w:r w:rsidR="0050172D" w:rsidRPr="00391AC3">
        <w:rPr>
          <w:rFonts w:eastAsia="Calibri" w:cs="Times New Roman"/>
          <w:i w:val="0"/>
          <w:iCs w:val="0"/>
          <w:noProof/>
          <w:lang w:val="en-GB"/>
        </w:rPr>
        <w:t xml:space="preserve">led to a significant increase of </w:t>
      </w:r>
      <w:r w:rsidR="00F15530" w:rsidRPr="00391AC3">
        <w:rPr>
          <w:rFonts w:eastAsia="Calibri" w:cs="Times New Roman"/>
          <w:i w:val="0"/>
          <w:iCs w:val="0"/>
          <w:noProof/>
          <w:lang w:val="en-GB"/>
        </w:rPr>
        <w:t>farmers’ costs</w:t>
      </w:r>
      <w:r w:rsidR="00B8430F" w:rsidRPr="00391AC3">
        <w:rPr>
          <w:rFonts w:eastAsia="Calibri" w:cs="Times New Roman"/>
          <w:i w:val="0"/>
          <w:iCs w:val="0"/>
          <w:noProof/>
          <w:lang w:val="en-GB"/>
        </w:rPr>
        <w:t xml:space="preserve"> </w:t>
      </w:r>
      <w:r w:rsidR="00CD337C" w:rsidRPr="00391AC3">
        <w:rPr>
          <w:rFonts w:eastAsia="Calibri" w:cs="Times New Roman"/>
          <w:i w:val="0"/>
          <w:iCs w:val="0"/>
          <w:noProof/>
          <w:lang w:val="en-GB"/>
        </w:rPr>
        <w:t>and</w:t>
      </w:r>
      <w:r w:rsidR="00697083" w:rsidRPr="00724676">
        <w:rPr>
          <w:rFonts w:eastAsia="Calibri" w:cs="Times New Roman"/>
          <w:i w:val="0"/>
          <w:iCs w:val="0"/>
          <w:noProof/>
          <w:lang w:val="en-GB"/>
        </w:rPr>
        <w:t xml:space="preserve"> </w:t>
      </w:r>
      <w:r w:rsidR="00B8430F" w:rsidRPr="00724676">
        <w:rPr>
          <w:rFonts w:eastAsia="Calibri" w:cs="Times New Roman"/>
          <w:i w:val="0"/>
          <w:iCs w:val="0"/>
          <w:noProof/>
          <w:lang w:val="en-GB"/>
        </w:rPr>
        <w:t xml:space="preserve">caused </w:t>
      </w:r>
      <w:r w:rsidR="00A85D1E">
        <w:rPr>
          <w:rFonts w:eastAsia="Calibri" w:cs="Times New Roman"/>
          <w:i w:val="0"/>
          <w:iCs w:val="0"/>
          <w:noProof/>
          <w:lang w:val="en-GB"/>
        </w:rPr>
        <w:t xml:space="preserve">some farming families </w:t>
      </w:r>
      <w:r w:rsidR="00B8430F" w:rsidRPr="00724676">
        <w:rPr>
          <w:rFonts w:eastAsia="Calibri" w:cs="Times New Roman"/>
          <w:i w:val="0"/>
          <w:iCs w:val="0"/>
          <w:noProof/>
          <w:lang w:val="en-GB"/>
        </w:rPr>
        <w:t xml:space="preserve">anxiety about </w:t>
      </w:r>
      <w:r w:rsidR="00A85D1E">
        <w:rPr>
          <w:rFonts w:eastAsia="Calibri" w:cs="Times New Roman"/>
          <w:i w:val="0"/>
          <w:iCs w:val="0"/>
          <w:noProof/>
          <w:lang w:val="en-GB"/>
        </w:rPr>
        <w:t xml:space="preserve">their </w:t>
      </w:r>
      <w:r w:rsidR="00CD337C" w:rsidRPr="00724676">
        <w:rPr>
          <w:rFonts w:eastAsia="Calibri" w:cs="Times New Roman"/>
          <w:i w:val="0"/>
          <w:iCs w:val="0"/>
          <w:noProof/>
          <w:lang w:val="en-GB"/>
        </w:rPr>
        <w:t>livelihoods</w:t>
      </w:r>
      <w:r w:rsidR="00470CB6" w:rsidRPr="00724676">
        <w:rPr>
          <w:rFonts w:eastAsia="Calibri" w:cs="Times New Roman"/>
          <w:i w:val="0"/>
          <w:iCs w:val="0"/>
          <w:noProof/>
          <w:lang w:val="en-GB"/>
        </w:rPr>
        <w:t xml:space="preserve">. </w:t>
      </w:r>
      <w:r w:rsidR="00272454" w:rsidRPr="00724676">
        <w:rPr>
          <w:rFonts w:eastAsia="Calibri" w:cs="Times New Roman"/>
          <w:i w:val="0"/>
          <w:iCs w:val="0"/>
          <w:noProof/>
          <w:lang w:val="en-GB"/>
        </w:rPr>
        <w:t xml:space="preserve">As the </w:t>
      </w:r>
      <w:r w:rsidR="00B8430F" w:rsidRPr="00724676">
        <w:rPr>
          <w:rFonts w:eastAsia="Calibri" w:cs="Times New Roman"/>
          <w:i w:val="0"/>
          <w:iCs w:val="0"/>
          <w:noProof/>
          <w:lang w:val="en-GB"/>
        </w:rPr>
        <w:t xml:space="preserve">new </w:t>
      </w:r>
      <w:r w:rsidR="00272454" w:rsidRPr="00724676">
        <w:rPr>
          <w:rFonts w:eastAsia="Calibri" w:cs="Times New Roman"/>
          <w:i w:val="0"/>
          <w:iCs w:val="0"/>
          <w:noProof/>
          <w:lang w:val="en-GB"/>
        </w:rPr>
        <w:t xml:space="preserve">policy was </w:t>
      </w:r>
      <w:r w:rsidR="002459FD" w:rsidRPr="00724676">
        <w:rPr>
          <w:rFonts w:eastAsia="Calibri" w:cs="Times New Roman"/>
          <w:i w:val="0"/>
          <w:iCs w:val="0"/>
          <w:noProof/>
          <w:lang w:val="en-GB"/>
        </w:rPr>
        <w:t>rolled out</w:t>
      </w:r>
      <w:r w:rsidR="00B8430F" w:rsidRPr="00724676">
        <w:rPr>
          <w:rFonts w:eastAsia="Calibri" w:cs="Times New Roman"/>
          <w:i w:val="0"/>
          <w:iCs w:val="0"/>
          <w:noProof/>
          <w:lang w:val="en-GB"/>
        </w:rPr>
        <w:t xml:space="preserve"> in 2023</w:t>
      </w:r>
      <w:r w:rsidR="00272454" w:rsidRPr="00724676">
        <w:rPr>
          <w:rFonts w:eastAsia="Calibri" w:cs="Times New Roman"/>
          <w:i w:val="0"/>
          <w:iCs w:val="0"/>
          <w:noProof/>
          <w:lang w:val="en-GB"/>
        </w:rPr>
        <w:t>, t</w:t>
      </w:r>
      <w:r w:rsidR="00470CB6" w:rsidRPr="00724676">
        <w:rPr>
          <w:rFonts w:eastAsia="Calibri" w:cs="Times New Roman"/>
          <w:i w:val="0"/>
          <w:iCs w:val="0"/>
          <w:noProof/>
          <w:lang w:val="en-GB"/>
        </w:rPr>
        <w:t>hese</w:t>
      </w:r>
      <w:r w:rsidR="00B3660A" w:rsidRPr="00724676">
        <w:rPr>
          <w:rFonts w:eastAsia="Calibri" w:cs="Times New Roman"/>
          <w:i w:val="0"/>
          <w:iCs w:val="0"/>
          <w:noProof/>
          <w:lang w:val="en-GB"/>
        </w:rPr>
        <w:t xml:space="preserve"> </w:t>
      </w:r>
      <w:r w:rsidR="004824BD" w:rsidRPr="00724676">
        <w:rPr>
          <w:rFonts w:eastAsia="Calibri" w:cs="Times New Roman"/>
          <w:i w:val="0"/>
          <w:iCs w:val="0"/>
          <w:noProof/>
          <w:lang w:val="en-GB"/>
        </w:rPr>
        <w:t>concerns</w:t>
      </w:r>
      <w:r w:rsidR="00470CB6" w:rsidRPr="00724676">
        <w:rPr>
          <w:rFonts w:eastAsia="Calibri" w:cs="Times New Roman"/>
          <w:i w:val="0"/>
          <w:iCs w:val="0"/>
          <w:noProof/>
          <w:lang w:val="en-GB"/>
        </w:rPr>
        <w:t xml:space="preserve"> </w:t>
      </w:r>
      <w:r w:rsidR="00934DD5" w:rsidRPr="00724676">
        <w:rPr>
          <w:rFonts w:eastAsia="Calibri" w:cs="Times New Roman"/>
          <w:i w:val="0"/>
          <w:iCs w:val="0"/>
          <w:noProof/>
          <w:lang w:val="en-GB"/>
        </w:rPr>
        <w:t xml:space="preserve">found </w:t>
      </w:r>
      <w:r w:rsidR="00A85D1E">
        <w:rPr>
          <w:rFonts w:eastAsia="Calibri" w:cs="Times New Roman"/>
          <w:i w:val="0"/>
          <w:iCs w:val="0"/>
          <w:noProof/>
          <w:lang w:val="en-GB"/>
        </w:rPr>
        <w:t>an</w:t>
      </w:r>
      <w:r w:rsidR="00A85D1E" w:rsidRPr="00724676">
        <w:rPr>
          <w:rFonts w:eastAsia="Calibri" w:cs="Times New Roman"/>
          <w:i w:val="0"/>
          <w:iCs w:val="0"/>
          <w:noProof/>
          <w:lang w:val="en-GB"/>
        </w:rPr>
        <w:t xml:space="preserve"> </w:t>
      </w:r>
      <w:r w:rsidR="00934DD5" w:rsidRPr="00724676">
        <w:rPr>
          <w:rFonts w:eastAsia="Calibri" w:cs="Times New Roman"/>
          <w:i w:val="0"/>
          <w:iCs w:val="0"/>
          <w:noProof/>
          <w:lang w:val="en-GB"/>
        </w:rPr>
        <w:t>outlet in</w:t>
      </w:r>
      <w:r w:rsidR="00A85D1E">
        <w:rPr>
          <w:rFonts w:eastAsia="Calibri" w:cs="Times New Roman"/>
          <w:i w:val="0"/>
          <w:iCs w:val="0"/>
          <w:noProof/>
          <w:lang w:val="en-GB"/>
        </w:rPr>
        <w:t xml:space="preserve"> the</w:t>
      </w:r>
      <w:r w:rsidR="00934DD5" w:rsidRPr="00724676">
        <w:rPr>
          <w:rFonts w:eastAsia="Calibri" w:cs="Times New Roman"/>
          <w:i w:val="0"/>
          <w:iCs w:val="0"/>
          <w:noProof/>
          <w:lang w:val="en-GB"/>
        </w:rPr>
        <w:t xml:space="preserve"> </w:t>
      </w:r>
      <w:r w:rsidR="00FA077B" w:rsidRPr="00724676">
        <w:rPr>
          <w:rFonts w:eastAsia="Calibri" w:cs="Times New Roman"/>
          <w:b/>
          <w:bCs/>
          <w:i w:val="0"/>
          <w:iCs w:val="0"/>
          <w:noProof/>
          <w:lang w:val="en-GB"/>
        </w:rPr>
        <w:t xml:space="preserve">farmers’ </w:t>
      </w:r>
      <w:r w:rsidR="00622055" w:rsidRPr="00724676">
        <w:rPr>
          <w:rFonts w:eastAsia="Calibri" w:cs="Times New Roman"/>
          <w:b/>
          <w:bCs/>
          <w:i w:val="0"/>
          <w:iCs w:val="0"/>
          <w:noProof/>
          <w:lang w:val="en-GB"/>
        </w:rPr>
        <w:t>wide-scale protests</w:t>
      </w:r>
      <w:r w:rsidR="00622055" w:rsidRPr="00724676">
        <w:rPr>
          <w:rFonts w:eastAsia="Calibri" w:cs="Times New Roman"/>
          <w:i w:val="0"/>
          <w:iCs w:val="0"/>
          <w:noProof/>
          <w:lang w:val="en-GB"/>
        </w:rPr>
        <w:t xml:space="preserve"> of early 2024</w:t>
      </w:r>
      <w:r w:rsidR="00B41558" w:rsidRPr="00724676">
        <w:rPr>
          <w:rFonts w:eastAsia="Calibri" w:cs="Times New Roman"/>
          <w:i w:val="0"/>
          <w:iCs w:val="0"/>
          <w:noProof/>
          <w:lang w:val="en-GB"/>
        </w:rPr>
        <w:t>,</w:t>
      </w:r>
      <w:r w:rsidR="009D0B53" w:rsidRPr="00724676">
        <w:rPr>
          <w:rFonts w:eastAsia="Calibri" w:cs="Times New Roman"/>
          <w:i w:val="0"/>
          <w:iCs w:val="0"/>
          <w:noProof/>
          <w:lang w:val="en-GB"/>
        </w:rPr>
        <w:t xml:space="preserve"> </w:t>
      </w:r>
      <w:r w:rsidR="0017215A" w:rsidRPr="00724676">
        <w:rPr>
          <w:rFonts w:eastAsia="Calibri" w:cs="Times New Roman"/>
          <w:i w:val="0"/>
          <w:iCs w:val="0"/>
          <w:noProof/>
          <w:lang w:val="en-GB"/>
        </w:rPr>
        <w:t>highlight</w:t>
      </w:r>
      <w:r w:rsidR="00B41558" w:rsidRPr="00724676">
        <w:rPr>
          <w:rFonts w:eastAsia="Calibri" w:cs="Times New Roman"/>
          <w:i w:val="0"/>
          <w:iCs w:val="0"/>
          <w:noProof/>
          <w:lang w:val="en-GB"/>
        </w:rPr>
        <w:t>ing</w:t>
      </w:r>
      <w:r w:rsidR="0017215A" w:rsidRPr="00724676">
        <w:rPr>
          <w:rFonts w:eastAsia="Calibri" w:cs="Times New Roman"/>
          <w:i w:val="0"/>
          <w:iCs w:val="0"/>
          <w:noProof/>
          <w:lang w:val="en-GB"/>
        </w:rPr>
        <w:t xml:space="preserve"> their </w:t>
      </w:r>
      <w:r w:rsidR="00B8430F" w:rsidRPr="00724676">
        <w:rPr>
          <w:rFonts w:eastAsia="Calibri" w:cs="Times New Roman"/>
          <w:i w:val="0"/>
          <w:iCs w:val="0"/>
          <w:noProof/>
          <w:lang w:val="en-GB"/>
        </w:rPr>
        <w:t xml:space="preserve">concerns </w:t>
      </w:r>
      <w:r w:rsidR="0017215A" w:rsidRPr="00724676">
        <w:rPr>
          <w:rFonts w:eastAsia="Calibri" w:cs="Times New Roman"/>
          <w:i w:val="0"/>
          <w:iCs w:val="0"/>
          <w:noProof/>
          <w:lang w:val="en-GB"/>
        </w:rPr>
        <w:t>about</w:t>
      </w:r>
      <w:r w:rsidR="0024656E" w:rsidRPr="00724676">
        <w:rPr>
          <w:rFonts w:eastAsia="Calibri" w:cs="Times New Roman"/>
          <w:i w:val="0"/>
          <w:iCs w:val="0"/>
          <w:noProof/>
          <w:lang w:val="en-GB"/>
        </w:rPr>
        <w:t xml:space="preserve"> EU policies</w:t>
      </w:r>
      <w:r w:rsidR="009F3D11" w:rsidRPr="00724676">
        <w:rPr>
          <w:rFonts w:eastAsia="Calibri" w:cs="Times New Roman"/>
          <w:i w:val="0"/>
          <w:iCs w:val="0"/>
          <w:noProof/>
          <w:lang w:val="en-GB"/>
        </w:rPr>
        <w:t>.</w:t>
      </w:r>
    </w:p>
    <w:p w14:paraId="7608C412" w14:textId="7F22FD89" w:rsidR="00C24981" w:rsidRPr="00724676" w:rsidRDefault="00375711" w:rsidP="256CFF57">
      <w:pPr>
        <w:pStyle w:val="P68B1DB1-Normal3"/>
        <w:spacing w:after="120"/>
        <w:rPr>
          <w:rFonts w:eastAsia="Calibri" w:cs="Times New Roman"/>
          <w:i w:val="0"/>
          <w:iCs w:val="0"/>
          <w:noProof/>
          <w:lang w:val="en-GB"/>
        </w:rPr>
      </w:pPr>
      <w:r w:rsidRPr="00724676">
        <w:rPr>
          <w:rFonts w:eastAsia="Calibri" w:cs="Times New Roman"/>
          <w:i w:val="0"/>
          <w:iCs w:val="0"/>
          <w:noProof/>
          <w:lang w:val="en-GB"/>
        </w:rPr>
        <w:t xml:space="preserve">For this reason, the Commission decided to act immediately. </w:t>
      </w:r>
      <w:r w:rsidR="4B31DBE2" w:rsidRPr="00724676">
        <w:rPr>
          <w:rFonts w:eastAsia="Calibri" w:cs="Times New Roman"/>
          <w:i w:val="0"/>
          <w:iCs w:val="0"/>
          <w:noProof/>
          <w:lang w:val="en-GB"/>
        </w:rPr>
        <w:t xml:space="preserve">In its </w:t>
      </w:r>
      <w:r w:rsidRPr="00724676">
        <w:rPr>
          <w:rFonts w:eastAsia="Calibri" w:cs="Times New Roman"/>
          <w:i w:val="0"/>
          <w:iCs w:val="0"/>
          <w:noProof/>
          <w:lang w:val="en-GB"/>
        </w:rPr>
        <w:t xml:space="preserve">brief </w:t>
      </w:r>
      <w:r w:rsidR="4B31DBE2" w:rsidRPr="00724676">
        <w:rPr>
          <w:rFonts w:eastAsia="Calibri" w:cs="Times New Roman"/>
          <w:i w:val="0"/>
          <w:iCs w:val="0"/>
          <w:noProof/>
          <w:lang w:val="en-GB"/>
        </w:rPr>
        <w:t>consultation</w:t>
      </w:r>
      <w:r w:rsidRPr="00724676">
        <w:rPr>
          <w:rFonts w:eastAsia="Calibri" w:cs="Times New Roman"/>
          <w:i w:val="0"/>
          <w:iCs w:val="0"/>
          <w:noProof/>
          <w:lang w:val="en-GB"/>
        </w:rPr>
        <w:t xml:space="preserve"> linked to this process</w:t>
      </w:r>
      <w:r w:rsidR="4B31DBE2" w:rsidRPr="00724676">
        <w:rPr>
          <w:rFonts w:eastAsia="Calibri" w:cs="Times New Roman"/>
          <w:i w:val="0"/>
          <w:iCs w:val="0"/>
          <w:noProof/>
          <w:lang w:val="en-GB"/>
        </w:rPr>
        <w:t>, t</w:t>
      </w:r>
      <w:r w:rsidR="00401ECF" w:rsidRPr="00724676">
        <w:rPr>
          <w:rFonts w:eastAsia="Calibri" w:cs="Times New Roman"/>
          <w:i w:val="0"/>
          <w:iCs w:val="0"/>
          <w:noProof/>
          <w:lang w:val="en-GB"/>
        </w:rPr>
        <w:t>he Commission received o</w:t>
      </w:r>
      <w:r w:rsidR="00A761FF" w:rsidRPr="00724676">
        <w:rPr>
          <w:rFonts w:eastAsia="Calibri" w:cs="Times New Roman"/>
          <w:i w:val="0"/>
          <w:iCs w:val="0"/>
          <w:noProof/>
          <w:lang w:val="en-GB"/>
        </w:rPr>
        <w:t xml:space="preserve">ver </w:t>
      </w:r>
      <w:r w:rsidR="004E78F8" w:rsidRPr="00724676">
        <w:rPr>
          <w:rFonts w:eastAsia="Calibri" w:cs="Times New Roman"/>
          <w:b/>
          <w:bCs/>
          <w:i w:val="0"/>
          <w:iCs w:val="0"/>
          <w:noProof/>
          <w:lang w:val="en-GB"/>
        </w:rPr>
        <w:t xml:space="preserve">three hundred </w:t>
      </w:r>
      <w:r w:rsidR="006D56C2" w:rsidRPr="00724676">
        <w:rPr>
          <w:rFonts w:eastAsia="Calibri" w:cs="Times New Roman"/>
          <w:b/>
          <w:bCs/>
          <w:i w:val="0"/>
          <w:iCs w:val="0"/>
          <w:noProof/>
          <w:lang w:val="en-GB"/>
        </w:rPr>
        <w:t>different</w:t>
      </w:r>
      <w:r w:rsidR="00A761FF" w:rsidRPr="00724676">
        <w:rPr>
          <w:rFonts w:eastAsia="Calibri" w:cs="Times New Roman"/>
          <w:b/>
          <w:bCs/>
          <w:i w:val="0"/>
          <w:iCs w:val="0"/>
          <w:noProof/>
          <w:lang w:val="en-GB"/>
        </w:rPr>
        <w:t xml:space="preserve"> simplification </w:t>
      </w:r>
      <w:r w:rsidR="00632B07" w:rsidRPr="00724676">
        <w:rPr>
          <w:rFonts w:eastAsia="Calibri" w:cs="Times New Roman"/>
          <w:b/>
          <w:bCs/>
          <w:i w:val="0"/>
          <w:iCs w:val="0"/>
          <w:noProof/>
          <w:lang w:val="en-GB"/>
        </w:rPr>
        <w:t>suggestions</w:t>
      </w:r>
      <w:r w:rsidR="00632B07" w:rsidRPr="00724676">
        <w:rPr>
          <w:rFonts w:eastAsia="Calibri" w:cs="Times New Roman"/>
          <w:i w:val="0"/>
          <w:noProof/>
          <w:lang w:val="en-GB"/>
        </w:rPr>
        <w:t xml:space="preserve"> </w:t>
      </w:r>
      <w:r w:rsidR="611187B3" w:rsidRPr="00724676">
        <w:rPr>
          <w:rFonts w:eastAsia="Calibri" w:cs="Times New Roman"/>
          <w:i w:val="0"/>
          <w:iCs w:val="0"/>
          <w:noProof/>
          <w:lang w:val="en-GB"/>
        </w:rPr>
        <w:t>from</w:t>
      </w:r>
      <w:r w:rsidRPr="00724676">
        <w:rPr>
          <w:rFonts w:eastAsia="Calibri" w:cs="Times New Roman"/>
          <w:i w:val="0"/>
          <w:iCs w:val="0"/>
          <w:noProof/>
          <w:lang w:val="en-GB"/>
        </w:rPr>
        <w:t xml:space="preserve"> EU farming organisations, </w:t>
      </w:r>
      <w:r w:rsidR="454AC839" w:rsidRPr="00724676">
        <w:rPr>
          <w:rFonts w:cs="Times New Roman"/>
          <w:i w:val="0"/>
          <w:iCs w:val="0"/>
          <w:noProof/>
          <w:lang w:val="en-GB"/>
        </w:rPr>
        <w:t>Member States</w:t>
      </w:r>
      <w:r w:rsidRPr="00724676">
        <w:rPr>
          <w:rFonts w:cs="Times New Roman"/>
          <w:i w:val="0"/>
          <w:iCs w:val="0"/>
          <w:noProof/>
          <w:lang w:val="en-GB"/>
        </w:rPr>
        <w:t xml:space="preserve"> and</w:t>
      </w:r>
      <w:r w:rsidR="454AC839" w:rsidRPr="00724676">
        <w:rPr>
          <w:rFonts w:cs="Times New Roman"/>
          <w:i w:val="0"/>
          <w:iCs w:val="0"/>
          <w:noProof/>
          <w:lang w:val="en-GB"/>
        </w:rPr>
        <w:t xml:space="preserve"> the </w:t>
      </w:r>
      <w:r w:rsidR="00F37450" w:rsidRPr="00724676">
        <w:rPr>
          <w:rFonts w:cs="Times New Roman"/>
          <w:i w:val="0"/>
          <w:iCs w:val="0"/>
          <w:noProof/>
          <w:lang w:val="en-GB"/>
        </w:rPr>
        <w:t>Committee</w:t>
      </w:r>
      <w:r w:rsidR="454AC839" w:rsidRPr="00724676">
        <w:rPr>
          <w:rFonts w:cs="Times New Roman"/>
          <w:i w:val="0"/>
          <w:iCs w:val="0"/>
          <w:noProof/>
          <w:lang w:val="en-GB"/>
        </w:rPr>
        <w:t xml:space="preserve"> on Agriculture and Rural Development of the European Parliament</w:t>
      </w:r>
      <w:r w:rsidR="007B3A02" w:rsidRPr="00724676">
        <w:rPr>
          <w:rFonts w:eastAsia="Calibri" w:cs="Times New Roman"/>
          <w:i w:val="0"/>
          <w:iCs w:val="0"/>
          <w:noProof/>
          <w:lang w:val="en-GB"/>
        </w:rPr>
        <w:t xml:space="preserve">. They </w:t>
      </w:r>
      <w:r w:rsidR="00272454" w:rsidRPr="00724676">
        <w:rPr>
          <w:rFonts w:eastAsia="Calibri" w:cs="Times New Roman"/>
          <w:i w:val="0"/>
          <w:iCs w:val="0"/>
          <w:noProof/>
          <w:lang w:val="en-GB"/>
        </w:rPr>
        <w:t xml:space="preserve">cover a </w:t>
      </w:r>
      <w:r w:rsidR="00C01C35" w:rsidRPr="00724676">
        <w:rPr>
          <w:rFonts w:eastAsia="Calibri" w:cs="Times New Roman"/>
          <w:i w:val="0"/>
          <w:iCs w:val="0"/>
          <w:noProof/>
          <w:lang w:val="en-GB"/>
        </w:rPr>
        <w:t>broad range</w:t>
      </w:r>
      <w:r w:rsidR="00272454" w:rsidRPr="00724676">
        <w:rPr>
          <w:rFonts w:eastAsia="Calibri" w:cs="Times New Roman"/>
          <w:i w:val="0"/>
          <w:iCs w:val="0"/>
          <w:noProof/>
          <w:lang w:val="en-GB"/>
        </w:rPr>
        <w:t xml:space="preserve"> of </w:t>
      </w:r>
      <w:r w:rsidR="00D6601A" w:rsidRPr="00724676">
        <w:rPr>
          <w:rFonts w:eastAsia="Calibri" w:cs="Times New Roman"/>
          <w:i w:val="0"/>
          <w:iCs w:val="0"/>
          <w:noProof/>
          <w:lang w:val="en-GB"/>
        </w:rPr>
        <w:t>policy, implementation</w:t>
      </w:r>
      <w:r w:rsidR="009E3FBA" w:rsidRPr="00724676">
        <w:rPr>
          <w:rFonts w:eastAsia="Calibri" w:cs="Times New Roman"/>
          <w:i w:val="0"/>
          <w:iCs w:val="0"/>
          <w:noProof/>
          <w:lang w:val="en-GB"/>
        </w:rPr>
        <w:t>,</w:t>
      </w:r>
      <w:r w:rsidR="00D6601A" w:rsidRPr="00724676">
        <w:rPr>
          <w:rFonts w:eastAsia="Calibri" w:cs="Times New Roman"/>
          <w:i w:val="0"/>
          <w:iCs w:val="0"/>
          <w:noProof/>
          <w:lang w:val="en-GB"/>
        </w:rPr>
        <w:t xml:space="preserve"> </w:t>
      </w:r>
      <w:r w:rsidR="0028111C" w:rsidRPr="00724676">
        <w:rPr>
          <w:rFonts w:eastAsia="Calibri" w:cs="Times New Roman"/>
          <w:i w:val="0"/>
          <w:iCs w:val="0"/>
          <w:noProof/>
          <w:lang w:val="en-GB"/>
        </w:rPr>
        <w:t>organisation</w:t>
      </w:r>
      <w:r w:rsidR="00906FF7" w:rsidRPr="00724676">
        <w:rPr>
          <w:rFonts w:eastAsia="Calibri" w:cs="Times New Roman"/>
          <w:i w:val="0"/>
          <w:iCs w:val="0"/>
          <w:noProof/>
          <w:lang w:val="en-GB"/>
        </w:rPr>
        <w:t>, and economic issues</w:t>
      </w:r>
      <w:r w:rsidR="00763DDC">
        <w:rPr>
          <w:rFonts w:eastAsia="Calibri" w:cs="Times New Roman"/>
          <w:i w:val="0"/>
          <w:iCs w:val="0"/>
          <w:noProof/>
          <w:lang w:val="en-GB"/>
        </w:rPr>
        <w:t>,</w:t>
      </w:r>
      <w:r w:rsidR="00D6601A" w:rsidRPr="00724676">
        <w:rPr>
          <w:rFonts w:eastAsia="Calibri" w:cs="Times New Roman"/>
          <w:i w:val="0"/>
          <w:iCs w:val="0"/>
          <w:noProof/>
          <w:lang w:val="en-GB"/>
        </w:rPr>
        <w:t xml:space="preserve"> </w:t>
      </w:r>
      <w:r w:rsidR="00763DDC">
        <w:rPr>
          <w:rFonts w:eastAsia="Calibri" w:cs="Times New Roman"/>
          <w:i w:val="0"/>
          <w:iCs w:val="0"/>
          <w:noProof/>
          <w:lang w:val="en-GB"/>
        </w:rPr>
        <w:t>and</w:t>
      </w:r>
      <w:r w:rsidR="00885207" w:rsidRPr="00724676">
        <w:rPr>
          <w:rFonts w:eastAsia="Calibri" w:cs="Times New Roman"/>
          <w:i w:val="0"/>
          <w:iCs w:val="0"/>
          <w:noProof/>
          <w:lang w:val="en-GB"/>
        </w:rPr>
        <w:t xml:space="preserve"> </w:t>
      </w:r>
      <w:r w:rsidR="00B47964" w:rsidRPr="00724676">
        <w:rPr>
          <w:rFonts w:eastAsia="Calibri" w:cs="Times New Roman"/>
          <w:i w:val="0"/>
          <w:iCs w:val="0"/>
          <w:noProof/>
          <w:lang w:val="en-GB"/>
        </w:rPr>
        <w:t>demonstrate</w:t>
      </w:r>
      <w:r w:rsidR="00885207" w:rsidRPr="00724676">
        <w:rPr>
          <w:rFonts w:eastAsia="Calibri" w:cs="Times New Roman"/>
          <w:i w:val="0"/>
          <w:iCs w:val="0"/>
          <w:noProof/>
          <w:lang w:val="en-GB"/>
        </w:rPr>
        <w:t xml:space="preserve"> the need to clarify the existing rules</w:t>
      </w:r>
      <w:r w:rsidR="00272454" w:rsidRPr="00724676">
        <w:rPr>
          <w:rFonts w:eastAsia="Calibri" w:cs="Times New Roman"/>
          <w:i w:val="0"/>
          <w:iCs w:val="0"/>
          <w:noProof/>
          <w:lang w:val="en-GB"/>
        </w:rPr>
        <w:t>.</w:t>
      </w:r>
      <w:r w:rsidR="00B9560C" w:rsidRPr="00724676">
        <w:rPr>
          <w:rFonts w:eastAsia="Calibri" w:cs="Times New Roman"/>
          <w:i w:val="0"/>
          <w:iCs w:val="0"/>
          <w:noProof/>
          <w:lang w:val="en-GB"/>
        </w:rPr>
        <w:t xml:space="preserve"> </w:t>
      </w:r>
    </w:p>
    <w:p w14:paraId="73C72161" w14:textId="6966E96E" w:rsidR="00BE0090" w:rsidRPr="00724676" w:rsidRDefault="00231CCA" w:rsidP="6F217AB4">
      <w:pPr>
        <w:pStyle w:val="P68B1DB1-Normal3"/>
        <w:spacing w:after="120"/>
        <w:rPr>
          <w:rFonts w:eastAsia="Calibri" w:cs="Times New Roman"/>
          <w:i w:val="0"/>
          <w:iCs w:val="0"/>
          <w:noProof/>
          <w:lang w:val="en-GB"/>
        </w:rPr>
      </w:pPr>
      <w:r w:rsidRPr="6F217AB4">
        <w:rPr>
          <w:rFonts w:eastAsia="Calibri" w:cs="Times New Roman"/>
          <w:i w:val="0"/>
          <w:iCs w:val="0"/>
          <w:noProof/>
          <w:lang w:val="en-GB"/>
        </w:rPr>
        <w:t xml:space="preserve">The Commission </w:t>
      </w:r>
      <w:r w:rsidR="00E33065" w:rsidRPr="6F217AB4">
        <w:rPr>
          <w:rFonts w:eastAsia="Calibri" w:cs="Times New Roman"/>
          <w:i w:val="0"/>
          <w:iCs w:val="0"/>
          <w:noProof/>
          <w:lang w:val="en-GB"/>
        </w:rPr>
        <w:t xml:space="preserve">carefully </w:t>
      </w:r>
      <w:r w:rsidR="003640AC" w:rsidRPr="6F217AB4">
        <w:rPr>
          <w:rFonts w:eastAsia="Calibri" w:cs="Times New Roman"/>
          <w:i w:val="0"/>
          <w:iCs w:val="0"/>
          <w:noProof/>
          <w:lang w:val="en-GB"/>
        </w:rPr>
        <w:t>examined</w:t>
      </w:r>
      <w:r w:rsidR="00101467" w:rsidRPr="6F217AB4">
        <w:rPr>
          <w:rFonts w:eastAsia="Calibri" w:cs="Times New Roman"/>
          <w:i w:val="0"/>
          <w:iCs w:val="0"/>
          <w:noProof/>
          <w:lang w:val="en-GB"/>
        </w:rPr>
        <w:t xml:space="preserve"> </w:t>
      </w:r>
      <w:r w:rsidR="00E8675A" w:rsidRPr="6F217AB4">
        <w:rPr>
          <w:rFonts w:eastAsia="Calibri" w:cs="Times New Roman"/>
          <w:i w:val="0"/>
          <w:iCs w:val="0"/>
          <w:noProof/>
          <w:lang w:val="en-GB"/>
        </w:rPr>
        <w:t>th</w:t>
      </w:r>
      <w:r w:rsidR="004E3167" w:rsidRPr="6F217AB4">
        <w:rPr>
          <w:rFonts w:eastAsia="Calibri" w:cs="Times New Roman"/>
          <w:i w:val="0"/>
          <w:iCs w:val="0"/>
          <w:noProof/>
          <w:lang w:val="en-GB"/>
        </w:rPr>
        <w:t xml:space="preserve">ese </w:t>
      </w:r>
      <w:r w:rsidR="002C6F7E" w:rsidRPr="6F217AB4">
        <w:rPr>
          <w:rFonts w:eastAsia="Calibri" w:cs="Times New Roman"/>
          <w:i w:val="0"/>
          <w:iCs w:val="0"/>
          <w:noProof/>
          <w:lang w:val="en-GB"/>
        </w:rPr>
        <w:t>suggestions</w:t>
      </w:r>
      <w:r w:rsidR="000344FA" w:rsidRPr="6F217AB4">
        <w:rPr>
          <w:rFonts w:eastAsia="Calibri" w:cs="Times New Roman"/>
          <w:i w:val="0"/>
          <w:iCs w:val="0"/>
          <w:noProof/>
          <w:lang w:val="en-GB"/>
        </w:rPr>
        <w:t>, the</w:t>
      </w:r>
      <w:r w:rsidR="00793B59" w:rsidRPr="6F217AB4">
        <w:rPr>
          <w:rFonts w:eastAsia="Calibri" w:cs="Times New Roman"/>
          <w:i w:val="0"/>
          <w:iCs w:val="0"/>
          <w:noProof/>
          <w:lang w:val="en-GB"/>
        </w:rPr>
        <w:t xml:space="preserve"> </w:t>
      </w:r>
      <w:r w:rsidR="00711F7A" w:rsidRPr="6F217AB4">
        <w:rPr>
          <w:rFonts w:eastAsia="Calibri" w:cs="Times New Roman"/>
          <w:i w:val="0"/>
          <w:iCs w:val="0"/>
          <w:noProof/>
          <w:lang w:val="en-GB"/>
        </w:rPr>
        <w:t xml:space="preserve">provided </w:t>
      </w:r>
      <w:r w:rsidR="00E33065" w:rsidRPr="6F217AB4">
        <w:rPr>
          <w:rFonts w:eastAsia="Calibri" w:cs="Times New Roman"/>
          <w:i w:val="0"/>
          <w:iCs w:val="0"/>
          <w:noProof/>
          <w:lang w:val="en-GB"/>
        </w:rPr>
        <w:t>explanations</w:t>
      </w:r>
      <w:r w:rsidR="00340849" w:rsidRPr="6F217AB4">
        <w:rPr>
          <w:rFonts w:eastAsia="Calibri" w:cs="Times New Roman"/>
          <w:i w:val="0"/>
          <w:iCs w:val="0"/>
          <w:noProof/>
          <w:lang w:val="en-GB"/>
        </w:rPr>
        <w:t>,</w:t>
      </w:r>
      <w:r w:rsidR="00793B59" w:rsidRPr="6F217AB4">
        <w:rPr>
          <w:rFonts w:eastAsia="Calibri" w:cs="Times New Roman"/>
          <w:i w:val="0"/>
          <w:iCs w:val="0"/>
          <w:noProof/>
          <w:lang w:val="en-GB"/>
        </w:rPr>
        <w:t xml:space="preserve"> </w:t>
      </w:r>
      <w:r w:rsidR="00B923E3" w:rsidRPr="6F217AB4">
        <w:rPr>
          <w:rFonts w:eastAsia="Calibri" w:cs="Times New Roman"/>
          <w:i w:val="0"/>
          <w:iCs w:val="0"/>
          <w:noProof/>
          <w:lang w:val="en-GB"/>
        </w:rPr>
        <w:t>and</w:t>
      </w:r>
      <w:r w:rsidR="00793B59" w:rsidRPr="6F217AB4">
        <w:rPr>
          <w:rFonts w:eastAsia="Calibri" w:cs="Times New Roman"/>
          <w:i w:val="0"/>
          <w:iCs w:val="0"/>
          <w:noProof/>
          <w:lang w:val="en-GB"/>
        </w:rPr>
        <w:t xml:space="preserve"> </w:t>
      </w:r>
      <w:r w:rsidR="004E3167" w:rsidRPr="6F217AB4">
        <w:rPr>
          <w:rFonts w:eastAsia="Calibri" w:cs="Times New Roman"/>
          <w:i w:val="0"/>
          <w:iCs w:val="0"/>
          <w:noProof/>
          <w:lang w:val="en-GB"/>
        </w:rPr>
        <w:t xml:space="preserve">other </w:t>
      </w:r>
      <w:r w:rsidR="00101467" w:rsidRPr="6F217AB4">
        <w:rPr>
          <w:rFonts w:eastAsia="Calibri" w:cs="Times New Roman"/>
          <w:i w:val="0"/>
          <w:iCs w:val="0"/>
          <w:noProof/>
          <w:lang w:val="en-GB"/>
        </w:rPr>
        <w:t>feedback</w:t>
      </w:r>
      <w:r w:rsidR="003640AC" w:rsidRPr="6F217AB4">
        <w:rPr>
          <w:rFonts w:eastAsia="Calibri" w:cs="Times New Roman"/>
          <w:i w:val="0"/>
          <w:iCs w:val="0"/>
          <w:noProof/>
          <w:lang w:val="en-GB"/>
        </w:rPr>
        <w:t xml:space="preserve"> </w:t>
      </w:r>
      <w:r w:rsidR="00891CE7" w:rsidRPr="6F217AB4">
        <w:rPr>
          <w:rFonts w:eastAsia="Calibri" w:cs="Times New Roman"/>
          <w:i w:val="0"/>
          <w:iCs w:val="0"/>
          <w:noProof/>
          <w:lang w:val="en-GB"/>
        </w:rPr>
        <w:t xml:space="preserve">when </w:t>
      </w:r>
      <w:r w:rsidR="00E8675A" w:rsidRPr="6F217AB4">
        <w:rPr>
          <w:rFonts w:eastAsia="Calibri" w:cs="Times New Roman"/>
          <w:i w:val="0"/>
          <w:iCs w:val="0"/>
          <w:noProof/>
          <w:lang w:val="en-GB"/>
        </w:rPr>
        <w:t xml:space="preserve">proposing </w:t>
      </w:r>
      <w:r w:rsidR="000F0AA8" w:rsidRPr="6F217AB4">
        <w:rPr>
          <w:rFonts w:eastAsia="Calibri" w:cs="Times New Roman"/>
          <w:i w:val="0"/>
          <w:iCs w:val="0"/>
          <w:noProof/>
          <w:lang w:val="en-GB"/>
        </w:rPr>
        <w:t xml:space="preserve">its simplification package of </w:t>
      </w:r>
      <w:r w:rsidR="2BDCEC07" w:rsidRPr="6F217AB4">
        <w:rPr>
          <w:rFonts w:eastAsia="Calibri" w:cs="Times New Roman"/>
          <w:i w:val="0"/>
          <w:iCs w:val="0"/>
          <w:noProof/>
          <w:lang w:val="en-GB"/>
        </w:rPr>
        <w:t xml:space="preserve">22 </w:t>
      </w:r>
      <w:r w:rsidR="000F0AA8" w:rsidRPr="6F217AB4">
        <w:rPr>
          <w:rFonts w:eastAsia="Calibri" w:cs="Times New Roman"/>
          <w:i w:val="0"/>
          <w:iCs w:val="0"/>
          <w:noProof/>
          <w:lang w:val="en-GB"/>
        </w:rPr>
        <w:t>February 2</w:t>
      </w:r>
      <w:r w:rsidR="4931822A" w:rsidRPr="6F217AB4">
        <w:rPr>
          <w:rFonts w:eastAsia="Calibri" w:cs="Times New Roman"/>
          <w:i w:val="0"/>
          <w:iCs w:val="0"/>
          <w:noProof/>
          <w:lang w:val="en-GB"/>
        </w:rPr>
        <w:t>024</w:t>
      </w:r>
      <w:r w:rsidR="00D067DE" w:rsidRPr="6F217AB4">
        <w:rPr>
          <w:rFonts w:eastAsia="Calibri" w:cs="Times New Roman"/>
          <w:i w:val="0"/>
          <w:iCs w:val="0"/>
          <w:noProof/>
          <w:lang w:val="en-GB"/>
        </w:rPr>
        <w:t xml:space="preserve">, having </w:t>
      </w:r>
      <w:r w:rsidR="0008063D" w:rsidRPr="6F217AB4">
        <w:rPr>
          <w:rFonts w:eastAsia="Calibri" w:cs="Times New Roman"/>
          <w:i w:val="0"/>
          <w:iCs w:val="0"/>
          <w:noProof/>
          <w:lang w:val="en-GB"/>
        </w:rPr>
        <w:t>weighed</w:t>
      </w:r>
      <w:r w:rsidR="00763DDC" w:rsidRPr="6F217AB4">
        <w:rPr>
          <w:rFonts w:eastAsia="Calibri" w:cs="Times New Roman"/>
          <w:i w:val="0"/>
          <w:iCs w:val="0"/>
          <w:noProof/>
          <w:lang w:val="en-GB"/>
        </w:rPr>
        <w:t xml:space="preserve"> up</w:t>
      </w:r>
      <w:r w:rsidR="0008063D" w:rsidRPr="6F217AB4">
        <w:rPr>
          <w:rFonts w:eastAsia="Calibri" w:cs="Times New Roman"/>
          <w:i w:val="0"/>
          <w:iCs w:val="0"/>
          <w:noProof/>
          <w:lang w:val="en-GB"/>
        </w:rPr>
        <w:t xml:space="preserve"> </w:t>
      </w:r>
      <w:r w:rsidR="0008063D" w:rsidRPr="6F217AB4">
        <w:rPr>
          <w:rFonts w:eastAsia="Calibri" w:cs="Times New Roman"/>
          <w:b/>
          <w:bCs/>
          <w:i w:val="0"/>
          <w:iCs w:val="0"/>
          <w:noProof/>
          <w:lang w:val="en-GB"/>
        </w:rPr>
        <w:t xml:space="preserve">the </w:t>
      </w:r>
      <w:r w:rsidR="009954FF" w:rsidRPr="6F217AB4">
        <w:rPr>
          <w:rFonts w:eastAsia="Calibri" w:cs="Times New Roman"/>
          <w:b/>
          <w:bCs/>
          <w:i w:val="0"/>
          <w:iCs w:val="0"/>
          <w:noProof/>
          <w:lang w:val="en-GB"/>
        </w:rPr>
        <w:t xml:space="preserve">advantages </w:t>
      </w:r>
      <w:r w:rsidR="0008063D" w:rsidRPr="6F217AB4">
        <w:rPr>
          <w:rFonts w:eastAsia="Calibri" w:cs="Times New Roman"/>
          <w:b/>
          <w:bCs/>
          <w:i w:val="0"/>
          <w:iCs w:val="0"/>
          <w:noProof/>
          <w:lang w:val="en-GB"/>
        </w:rPr>
        <w:t xml:space="preserve">and </w:t>
      </w:r>
      <w:r w:rsidR="009954FF" w:rsidRPr="6F217AB4">
        <w:rPr>
          <w:rFonts w:eastAsia="Calibri" w:cs="Times New Roman"/>
          <w:b/>
          <w:bCs/>
          <w:i w:val="0"/>
          <w:iCs w:val="0"/>
          <w:noProof/>
          <w:lang w:val="en-GB"/>
        </w:rPr>
        <w:t>disadvantages</w:t>
      </w:r>
      <w:r w:rsidR="0008063D" w:rsidRPr="6F217AB4">
        <w:rPr>
          <w:rFonts w:eastAsia="Calibri" w:cs="Times New Roman"/>
          <w:i w:val="0"/>
          <w:iCs w:val="0"/>
          <w:noProof/>
          <w:lang w:val="en-GB"/>
        </w:rPr>
        <w:t xml:space="preserve"> </w:t>
      </w:r>
      <w:r w:rsidR="0008063D" w:rsidRPr="6F217AB4">
        <w:rPr>
          <w:rFonts w:eastAsia="Calibri" w:cs="Times New Roman"/>
          <w:b/>
          <w:bCs/>
          <w:i w:val="0"/>
          <w:iCs w:val="0"/>
          <w:noProof/>
          <w:lang w:val="en-GB"/>
        </w:rPr>
        <w:t>of various options</w:t>
      </w:r>
      <w:r w:rsidR="0068666E" w:rsidRPr="6F217AB4">
        <w:rPr>
          <w:rFonts w:eastAsia="Calibri" w:cs="Times New Roman"/>
          <w:i w:val="0"/>
          <w:iCs w:val="0"/>
          <w:noProof/>
          <w:lang w:val="en-GB"/>
        </w:rPr>
        <w:t>.</w:t>
      </w:r>
      <w:r w:rsidR="00ED457D" w:rsidRPr="6F217AB4">
        <w:rPr>
          <w:rFonts w:eastAsia="Calibri" w:cs="Times New Roman"/>
          <w:i w:val="0"/>
          <w:iCs w:val="0"/>
          <w:noProof/>
          <w:lang w:val="en-GB"/>
        </w:rPr>
        <w:t xml:space="preserve"> </w:t>
      </w:r>
      <w:r w:rsidR="00EF7742" w:rsidRPr="6F217AB4">
        <w:rPr>
          <w:rFonts w:eastAsia="Calibri" w:cs="Times New Roman"/>
          <w:i w:val="0"/>
          <w:iCs w:val="0"/>
          <w:noProof/>
          <w:lang w:val="en-GB"/>
        </w:rPr>
        <w:t xml:space="preserve">The Commission </w:t>
      </w:r>
      <w:r w:rsidR="00AB52B9" w:rsidRPr="6F217AB4">
        <w:rPr>
          <w:rFonts w:eastAsia="Calibri" w:cs="Times New Roman"/>
          <w:i w:val="0"/>
          <w:iCs w:val="0"/>
          <w:noProof/>
          <w:lang w:val="en-GB"/>
        </w:rPr>
        <w:t xml:space="preserve">maintained </w:t>
      </w:r>
      <w:r w:rsidR="00814C79" w:rsidRPr="6F217AB4">
        <w:rPr>
          <w:rFonts w:eastAsia="Calibri" w:cs="Times New Roman"/>
          <w:i w:val="0"/>
          <w:iCs w:val="0"/>
          <w:noProof/>
          <w:lang w:val="en-GB"/>
        </w:rPr>
        <w:t>the overall orientation and ambition of the 2023-2027 CAP to s</w:t>
      </w:r>
      <w:r w:rsidR="00EB3563" w:rsidRPr="6F217AB4">
        <w:rPr>
          <w:rFonts w:cs="Times New Roman"/>
          <w:i w:val="0"/>
          <w:iCs w:val="0"/>
          <w:noProof/>
          <w:lang w:val="en-GB"/>
        </w:rPr>
        <w:t xml:space="preserve">teer </w:t>
      </w:r>
      <w:r w:rsidR="00E73459" w:rsidRPr="6F217AB4">
        <w:rPr>
          <w:rFonts w:cs="Times New Roman"/>
          <w:i w:val="0"/>
          <w:iCs w:val="0"/>
          <w:noProof/>
          <w:lang w:val="en-GB"/>
        </w:rPr>
        <w:t>the transition to sustainable and resilient farming</w:t>
      </w:r>
      <w:r w:rsidR="008429D8" w:rsidRPr="6F217AB4">
        <w:rPr>
          <w:rFonts w:cs="Times New Roman"/>
          <w:i w:val="0"/>
          <w:iCs w:val="0"/>
          <w:noProof/>
          <w:lang w:val="en-GB"/>
        </w:rPr>
        <w:t>,</w:t>
      </w:r>
      <w:r w:rsidR="00E73459" w:rsidRPr="6F217AB4">
        <w:rPr>
          <w:rFonts w:cs="Times New Roman"/>
          <w:i w:val="0"/>
          <w:iCs w:val="0"/>
          <w:noProof/>
          <w:lang w:val="en-GB"/>
        </w:rPr>
        <w:t xml:space="preserve"> </w:t>
      </w:r>
      <w:r w:rsidR="00C41763" w:rsidRPr="6F217AB4">
        <w:rPr>
          <w:rFonts w:cs="Times New Roman"/>
          <w:i w:val="0"/>
          <w:iCs w:val="0"/>
          <w:noProof/>
          <w:lang w:val="en-GB"/>
        </w:rPr>
        <w:t xml:space="preserve">without generating </w:t>
      </w:r>
      <w:r w:rsidR="00E73459" w:rsidRPr="6F217AB4">
        <w:rPr>
          <w:rFonts w:cs="Times New Roman"/>
          <w:i w:val="0"/>
          <w:iCs w:val="0"/>
          <w:noProof/>
          <w:lang w:val="en-GB"/>
        </w:rPr>
        <w:t>unnecessary</w:t>
      </w:r>
      <w:r w:rsidR="00C41763" w:rsidRPr="6F217AB4">
        <w:rPr>
          <w:rFonts w:cs="Times New Roman"/>
          <w:i w:val="0"/>
          <w:iCs w:val="0"/>
          <w:noProof/>
          <w:lang w:val="en-GB"/>
        </w:rPr>
        <w:t xml:space="preserve"> and disproportionate</w:t>
      </w:r>
      <w:r w:rsidR="00E73459" w:rsidRPr="6F217AB4">
        <w:rPr>
          <w:rFonts w:cs="Times New Roman"/>
          <w:i w:val="0"/>
          <w:iCs w:val="0"/>
          <w:noProof/>
          <w:lang w:val="en-GB"/>
        </w:rPr>
        <w:t xml:space="preserve"> burden</w:t>
      </w:r>
      <w:r w:rsidR="00763DDC" w:rsidRPr="6F217AB4">
        <w:rPr>
          <w:rFonts w:cs="Times New Roman"/>
          <w:i w:val="0"/>
          <w:iCs w:val="0"/>
          <w:noProof/>
          <w:lang w:val="en-GB"/>
        </w:rPr>
        <w:t>s</w:t>
      </w:r>
      <w:r w:rsidR="00E73459" w:rsidRPr="6F217AB4">
        <w:rPr>
          <w:rFonts w:cs="Times New Roman"/>
          <w:i w:val="0"/>
          <w:iCs w:val="0"/>
          <w:noProof/>
          <w:lang w:val="en-GB"/>
        </w:rPr>
        <w:t xml:space="preserve"> </w:t>
      </w:r>
      <w:r w:rsidR="00763DDC" w:rsidRPr="6F217AB4">
        <w:rPr>
          <w:rFonts w:cs="Times New Roman"/>
          <w:i w:val="0"/>
          <w:iCs w:val="0"/>
          <w:noProof/>
          <w:lang w:val="en-GB"/>
        </w:rPr>
        <w:t xml:space="preserve">on </w:t>
      </w:r>
      <w:r w:rsidR="0043507B" w:rsidRPr="6F217AB4">
        <w:rPr>
          <w:rFonts w:cs="Times New Roman"/>
          <w:i w:val="0"/>
          <w:iCs w:val="0"/>
          <w:noProof/>
          <w:lang w:val="en-GB"/>
        </w:rPr>
        <w:t>farmers and</w:t>
      </w:r>
      <w:r w:rsidR="00E72557" w:rsidRPr="6F217AB4">
        <w:rPr>
          <w:rFonts w:cs="Times New Roman"/>
          <w:i w:val="0"/>
          <w:iCs w:val="0"/>
          <w:noProof/>
          <w:lang w:val="en-GB"/>
        </w:rPr>
        <w:t xml:space="preserve"> </w:t>
      </w:r>
      <w:r w:rsidR="006E44D0" w:rsidRPr="6F217AB4">
        <w:rPr>
          <w:rFonts w:cs="Times New Roman"/>
          <w:i w:val="0"/>
          <w:iCs w:val="0"/>
          <w:noProof/>
          <w:lang w:val="en-GB"/>
        </w:rPr>
        <w:t xml:space="preserve">taking account of the sector’s </w:t>
      </w:r>
      <w:r w:rsidR="00727EE4" w:rsidRPr="6F217AB4">
        <w:rPr>
          <w:rFonts w:cs="Times New Roman"/>
          <w:i w:val="0"/>
          <w:iCs w:val="0"/>
          <w:noProof/>
          <w:lang w:val="en-GB"/>
        </w:rPr>
        <w:t xml:space="preserve">recent </w:t>
      </w:r>
      <w:r w:rsidR="008D565C" w:rsidRPr="6F217AB4">
        <w:rPr>
          <w:rFonts w:cs="Times New Roman"/>
          <w:i w:val="0"/>
          <w:iCs w:val="0"/>
          <w:noProof/>
          <w:lang w:val="en-GB"/>
        </w:rPr>
        <w:t xml:space="preserve">experience </w:t>
      </w:r>
      <w:r w:rsidR="00727EE4" w:rsidRPr="6F217AB4">
        <w:rPr>
          <w:rFonts w:cs="Times New Roman"/>
          <w:i w:val="0"/>
          <w:iCs w:val="0"/>
          <w:noProof/>
          <w:lang w:val="en-GB"/>
        </w:rPr>
        <w:t>with</w:t>
      </w:r>
      <w:r w:rsidR="00F01EA0" w:rsidRPr="6F217AB4">
        <w:rPr>
          <w:rFonts w:cs="Times New Roman"/>
          <w:i w:val="0"/>
          <w:iCs w:val="0"/>
          <w:noProof/>
          <w:lang w:val="en-GB"/>
        </w:rPr>
        <w:t xml:space="preserve"> </w:t>
      </w:r>
      <w:r w:rsidR="00763DDC" w:rsidRPr="6F217AB4">
        <w:rPr>
          <w:rFonts w:cs="Times New Roman"/>
          <w:i w:val="0"/>
          <w:iCs w:val="0"/>
          <w:noProof/>
          <w:lang w:val="en-GB"/>
        </w:rPr>
        <w:t xml:space="preserve">implementing the </w:t>
      </w:r>
      <w:r w:rsidR="00F01EA0" w:rsidRPr="6F217AB4">
        <w:rPr>
          <w:rFonts w:cs="Times New Roman"/>
          <w:i w:val="0"/>
          <w:iCs w:val="0"/>
          <w:noProof/>
          <w:lang w:val="en-GB"/>
        </w:rPr>
        <w:t>CAP</w:t>
      </w:r>
      <w:r w:rsidR="00E73459" w:rsidRPr="6F217AB4">
        <w:rPr>
          <w:rFonts w:cs="Times New Roman"/>
          <w:i w:val="0"/>
          <w:iCs w:val="0"/>
          <w:noProof/>
          <w:lang w:val="en-GB"/>
        </w:rPr>
        <w:t xml:space="preserve">. </w:t>
      </w:r>
      <w:r w:rsidR="0068666E" w:rsidRPr="6F217AB4">
        <w:rPr>
          <w:rFonts w:eastAsia="Calibri" w:cs="Times New Roman"/>
          <w:i w:val="0"/>
          <w:iCs w:val="0"/>
          <w:noProof/>
          <w:lang w:val="en-GB"/>
        </w:rPr>
        <w:t>This</w:t>
      </w:r>
      <w:r w:rsidR="007D017A" w:rsidRPr="6F217AB4">
        <w:rPr>
          <w:rFonts w:eastAsia="Calibri" w:cs="Times New Roman"/>
          <w:i w:val="0"/>
          <w:iCs w:val="0"/>
          <w:noProof/>
          <w:lang w:val="en-GB"/>
        </w:rPr>
        <w:t xml:space="preserve"> approach</w:t>
      </w:r>
      <w:r w:rsidR="0068666E" w:rsidRPr="6F217AB4">
        <w:rPr>
          <w:rFonts w:eastAsia="Calibri" w:cs="Times New Roman"/>
          <w:i w:val="0"/>
          <w:iCs w:val="0"/>
          <w:noProof/>
          <w:lang w:val="en-GB"/>
        </w:rPr>
        <w:t xml:space="preserve"> </w:t>
      </w:r>
      <w:r w:rsidR="00A46942" w:rsidRPr="6F217AB4">
        <w:rPr>
          <w:rFonts w:eastAsia="Calibri" w:cs="Times New Roman"/>
          <w:i w:val="0"/>
          <w:iCs w:val="0"/>
          <w:noProof/>
          <w:lang w:val="en-GB"/>
        </w:rPr>
        <w:t>focus</w:t>
      </w:r>
      <w:r w:rsidR="0068666E" w:rsidRPr="6F217AB4">
        <w:rPr>
          <w:rFonts w:eastAsia="Calibri" w:cs="Times New Roman"/>
          <w:i w:val="0"/>
          <w:iCs w:val="0"/>
          <w:noProof/>
          <w:lang w:val="en-GB"/>
        </w:rPr>
        <w:t>ed</w:t>
      </w:r>
      <w:r w:rsidR="00A46942" w:rsidRPr="6F217AB4">
        <w:rPr>
          <w:rFonts w:eastAsia="Calibri" w:cs="Times New Roman"/>
          <w:i w:val="0"/>
          <w:iCs w:val="0"/>
          <w:noProof/>
          <w:lang w:val="en-GB"/>
        </w:rPr>
        <w:t xml:space="preserve"> on </w:t>
      </w:r>
      <w:r w:rsidR="007875C7" w:rsidRPr="6F217AB4">
        <w:rPr>
          <w:rFonts w:eastAsia="Calibri" w:cs="Times New Roman"/>
          <w:i w:val="0"/>
          <w:iCs w:val="0"/>
          <w:noProof/>
          <w:lang w:val="en-GB"/>
        </w:rPr>
        <w:t xml:space="preserve">solutions that </w:t>
      </w:r>
      <w:r w:rsidR="008166C0" w:rsidRPr="6F217AB4">
        <w:rPr>
          <w:rFonts w:eastAsia="Calibri" w:cs="Times New Roman"/>
          <w:b/>
          <w:bCs/>
          <w:i w:val="0"/>
          <w:iCs w:val="0"/>
          <w:noProof/>
          <w:lang w:val="en-GB"/>
        </w:rPr>
        <w:t xml:space="preserve">immediately </w:t>
      </w:r>
      <w:r w:rsidR="00403AC4" w:rsidRPr="6F217AB4">
        <w:rPr>
          <w:rFonts w:eastAsia="Calibri" w:cs="Times New Roman"/>
          <w:b/>
          <w:bCs/>
          <w:i w:val="0"/>
          <w:iCs w:val="0"/>
          <w:noProof/>
          <w:lang w:val="en-GB"/>
        </w:rPr>
        <w:t>tackle</w:t>
      </w:r>
      <w:r w:rsidR="008166C0" w:rsidRPr="6F217AB4">
        <w:rPr>
          <w:rFonts w:eastAsia="Calibri" w:cs="Times New Roman"/>
          <w:b/>
          <w:bCs/>
          <w:i w:val="0"/>
          <w:iCs w:val="0"/>
          <w:noProof/>
          <w:lang w:val="en-GB"/>
        </w:rPr>
        <w:t xml:space="preserve"> </w:t>
      </w:r>
      <w:r w:rsidR="0008063D" w:rsidRPr="6F217AB4">
        <w:rPr>
          <w:rFonts w:eastAsia="Calibri" w:cs="Times New Roman"/>
          <w:b/>
          <w:bCs/>
          <w:i w:val="0"/>
          <w:iCs w:val="0"/>
          <w:noProof/>
          <w:lang w:val="en-GB"/>
        </w:rPr>
        <w:t xml:space="preserve">farmers’ </w:t>
      </w:r>
      <w:r w:rsidR="0009442F" w:rsidRPr="6F217AB4">
        <w:rPr>
          <w:rFonts w:eastAsia="Calibri" w:cs="Times New Roman"/>
          <w:b/>
          <w:bCs/>
          <w:i w:val="0"/>
          <w:iCs w:val="0"/>
          <w:noProof/>
          <w:lang w:val="en-GB"/>
        </w:rPr>
        <w:t>concerns</w:t>
      </w:r>
      <w:r w:rsidR="0065406B" w:rsidRPr="6F217AB4">
        <w:rPr>
          <w:rFonts w:eastAsia="Calibri" w:cs="Times New Roman"/>
          <w:i w:val="0"/>
          <w:iCs w:val="0"/>
          <w:noProof/>
          <w:lang w:val="en-GB"/>
        </w:rPr>
        <w:t>,</w:t>
      </w:r>
      <w:r w:rsidR="008166C0" w:rsidRPr="6F217AB4">
        <w:rPr>
          <w:rFonts w:eastAsia="Calibri" w:cs="Times New Roman"/>
          <w:i w:val="0"/>
          <w:iCs w:val="0"/>
          <w:noProof/>
          <w:lang w:val="en-GB"/>
        </w:rPr>
        <w:t xml:space="preserve"> </w:t>
      </w:r>
      <w:r w:rsidR="00763DDC" w:rsidRPr="6F217AB4">
        <w:rPr>
          <w:rFonts w:eastAsia="Calibri" w:cs="Times New Roman"/>
          <w:i w:val="0"/>
          <w:iCs w:val="0"/>
          <w:noProof/>
          <w:lang w:val="en-GB"/>
        </w:rPr>
        <w:t xml:space="preserve">that better </w:t>
      </w:r>
      <w:r w:rsidR="0008063D" w:rsidRPr="6F217AB4">
        <w:rPr>
          <w:rFonts w:eastAsia="Calibri" w:cs="Times New Roman"/>
          <w:i w:val="0"/>
          <w:iCs w:val="0"/>
          <w:noProof/>
          <w:lang w:val="en-GB"/>
        </w:rPr>
        <w:t xml:space="preserve">equip national administrations to </w:t>
      </w:r>
      <w:r w:rsidR="00903095" w:rsidRPr="6F217AB4">
        <w:rPr>
          <w:rFonts w:eastAsia="Calibri" w:cs="Times New Roman"/>
          <w:i w:val="0"/>
          <w:iCs w:val="0"/>
          <w:noProof/>
          <w:lang w:val="en-GB"/>
        </w:rPr>
        <w:t xml:space="preserve">support and guide </w:t>
      </w:r>
      <w:r w:rsidR="00763DDC" w:rsidRPr="6F217AB4">
        <w:rPr>
          <w:rFonts w:eastAsia="Calibri" w:cs="Times New Roman"/>
          <w:i w:val="0"/>
          <w:iCs w:val="0"/>
          <w:noProof/>
          <w:lang w:val="en-GB"/>
        </w:rPr>
        <w:t xml:space="preserve">farmers </w:t>
      </w:r>
      <w:r w:rsidR="00903095" w:rsidRPr="6F217AB4">
        <w:rPr>
          <w:rFonts w:eastAsia="Calibri" w:cs="Times New Roman"/>
          <w:i w:val="0"/>
          <w:iCs w:val="0"/>
          <w:noProof/>
          <w:lang w:val="en-GB"/>
        </w:rPr>
        <w:t>in th</w:t>
      </w:r>
      <w:r w:rsidR="008F318A" w:rsidRPr="6F217AB4">
        <w:rPr>
          <w:rFonts w:eastAsia="Calibri" w:cs="Times New Roman"/>
          <w:i w:val="0"/>
          <w:iCs w:val="0"/>
          <w:noProof/>
          <w:lang w:val="en-GB"/>
        </w:rPr>
        <w:t>e necessary</w:t>
      </w:r>
      <w:r w:rsidR="00903095" w:rsidRPr="6F217AB4">
        <w:rPr>
          <w:rFonts w:eastAsia="Calibri" w:cs="Times New Roman"/>
          <w:i w:val="0"/>
          <w:iCs w:val="0"/>
          <w:noProof/>
          <w:lang w:val="en-GB"/>
        </w:rPr>
        <w:t xml:space="preserve"> transition</w:t>
      </w:r>
      <w:r w:rsidR="0065406B" w:rsidRPr="6F217AB4">
        <w:rPr>
          <w:rFonts w:eastAsia="Calibri" w:cs="Times New Roman"/>
          <w:i w:val="0"/>
          <w:iCs w:val="0"/>
          <w:noProof/>
          <w:lang w:val="en-GB"/>
        </w:rPr>
        <w:t>,</w:t>
      </w:r>
      <w:r w:rsidR="001C10B3" w:rsidRPr="6F217AB4">
        <w:rPr>
          <w:rFonts w:eastAsia="Calibri" w:cs="Times New Roman"/>
          <w:i w:val="0"/>
          <w:iCs w:val="0"/>
          <w:noProof/>
          <w:lang w:val="en-GB"/>
        </w:rPr>
        <w:t xml:space="preserve"> and </w:t>
      </w:r>
      <w:r w:rsidR="00763DDC" w:rsidRPr="6F217AB4">
        <w:rPr>
          <w:rFonts w:eastAsia="Calibri" w:cs="Times New Roman"/>
          <w:i w:val="0"/>
          <w:iCs w:val="0"/>
          <w:noProof/>
          <w:lang w:val="en-GB"/>
        </w:rPr>
        <w:t xml:space="preserve">that </w:t>
      </w:r>
      <w:r w:rsidR="001C10B3" w:rsidRPr="6F217AB4">
        <w:rPr>
          <w:rFonts w:eastAsia="Calibri" w:cs="Times New Roman"/>
          <w:b/>
          <w:bCs/>
          <w:i w:val="0"/>
          <w:iCs w:val="0"/>
          <w:noProof/>
          <w:lang w:val="en-GB"/>
        </w:rPr>
        <w:t xml:space="preserve">help regain </w:t>
      </w:r>
      <w:r w:rsidR="00763DDC" w:rsidRPr="6F217AB4">
        <w:rPr>
          <w:rFonts w:eastAsia="Calibri" w:cs="Times New Roman"/>
          <w:b/>
          <w:bCs/>
          <w:i w:val="0"/>
          <w:iCs w:val="0"/>
          <w:noProof/>
          <w:lang w:val="en-GB"/>
        </w:rPr>
        <w:t xml:space="preserve">farmers’ </w:t>
      </w:r>
      <w:r w:rsidR="001C10B3" w:rsidRPr="6F217AB4">
        <w:rPr>
          <w:rFonts w:eastAsia="Calibri" w:cs="Times New Roman"/>
          <w:b/>
          <w:bCs/>
          <w:i w:val="0"/>
          <w:iCs w:val="0"/>
          <w:noProof/>
          <w:lang w:val="en-GB"/>
        </w:rPr>
        <w:t>trust</w:t>
      </w:r>
      <w:r w:rsidR="00436BBA" w:rsidRPr="6F217AB4">
        <w:rPr>
          <w:rFonts w:eastAsia="Calibri" w:cs="Times New Roman"/>
          <w:i w:val="0"/>
          <w:iCs w:val="0"/>
          <w:noProof/>
          <w:lang w:val="en-GB"/>
        </w:rPr>
        <w:t xml:space="preserve">. </w:t>
      </w:r>
    </w:p>
    <w:p w14:paraId="73C5F696" w14:textId="56C9356F" w:rsidR="005C1F02" w:rsidRPr="00724676" w:rsidRDefault="009F74FE" w:rsidP="60015AE2">
      <w:pPr>
        <w:pStyle w:val="P68B1DB1-Normal3"/>
        <w:spacing w:after="120"/>
        <w:rPr>
          <w:rFonts w:eastAsia="Calibri" w:cs="Times New Roman"/>
          <w:i w:val="0"/>
          <w:iCs w:val="0"/>
          <w:noProof/>
          <w:lang w:val="en-GB"/>
        </w:rPr>
      </w:pPr>
      <w:r w:rsidRPr="00724676">
        <w:rPr>
          <w:rFonts w:eastAsia="Calibri" w:cs="Times New Roman"/>
          <w:i w:val="0"/>
          <w:iCs w:val="0"/>
          <w:noProof/>
          <w:lang w:val="en-GB"/>
        </w:rPr>
        <w:t xml:space="preserve">The </w:t>
      </w:r>
      <w:r w:rsidR="001476F1" w:rsidRPr="00724676">
        <w:rPr>
          <w:rFonts w:eastAsia="Calibri" w:cs="Times New Roman"/>
          <w:i w:val="0"/>
          <w:iCs w:val="0"/>
          <w:noProof/>
          <w:lang w:val="en-GB"/>
        </w:rPr>
        <w:t xml:space="preserve">resulting </w:t>
      </w:r>
      <w:r w:rsidRPr="00724676">
        <w:rPr>
          <w:rFonts w:eastAsia="Calibri" w:cs="Times New Roman"/>
          <w:i w:val="0"/>
          <w:iCs w:val="0"/>
          <w:noProof/>
          <w:lang w:val="en-GB"/>
        </w:rPr>
        <w:t xml:space="preserve">initiative consists of various </w:t>
      </w:r>
      <w:r w:rsidR="00AF7B1A">
        <w:rPr>
          <w:rFonts w:eastAsia="Calibri" w:cs="Times New Roman"/>
          <w:i w:val="0"/>
          <w:iCs w:val="0"/>
          <w:noProof/>
          <w:lang w:val="en-GB"/>
        </w:rPr>
        <w:t>EU</w:t>
      </w:r>
      <w:r w:rsidR="00AF7B1A" w:rsidRPr="00724676">
        <w:rPr>
          <w:rFonts w:eastAsia="Calibri" w:cs="Times New Roman"/>
          <w:i w:val="0"/>
          <w:iCs w:val="0"/>
          <w:noProof/>
          <w:lang w:val="en-GB"/>
        </w:rPr>
        <w:t xml:space="preserve"> </w:t>
      </w:r>
      <w:r w:rsidR="004706D9" w:rsidRPr="00724676">
        <w:rPr>
          <w:rFonts w:eastAsia="Calibri" w:cs="Times New Roman"/>
          <w:i w:val="0"/>
          <w:iCs w:val="0"/>
          <w:noProof/>
          <w:lang w:val="en-GB"/>
        </w:rPr>
        <w:t>legislative and non-legislativ</w:t>
      </w:r>
      <w:r w:rsidR="00360A58" w:rsidRPr="00724676">
        <w:rPr>
          <w:rFonts w:eastAsia="Calibri" w:cs="Times New Roman"/>
          <w:i w:val="0"/>
          <w:iCs w:val="0"/>
          <w:noProof/>
          <w:lang w:val="en-GB"/>
        </w:rPr>
        <w:t>e</w:t>
      </w:r>
      <w:r w:rsidR="004706D9" w:rsidRPr="00724676">
        <w:rPr>
          <w:rFonts w:eastAsia="Calibri" w:cs="Times New Roman"/>
          <w:i w:val="0"/>
          <w:iCs w:val="0"/>
          <w:noProof/>
          <w:lang w:val="en-GB"/>
        </w:rPr>
        <w:t xml:space="preserve"> </w:t>
      </w:r>
      <w:r w:rsidR="004157F4" w:rsidRPr="00724676">
        <w:rPr>
          <w:rFonts w:eastAsia="Calibri" w:cs="Times New Roman"/>
          <w:i w:val="0"/>
          <w:iCs w:val="0"/>
          <w:noProof/>
          <w:lang w:val="en-GB"/>
        </w:rPr>
        <w:t>measures</w:t>
      </w:r>
      <w:r w:rsidR="000C553C" w:rsidRPr="00724676">
        <w:rPr>
          <w:rFonts w:eastAsia="Calibri" w:cs="Times New Roman"/>
          <w:i w:val="0"/>
          <w:iCs w:val="0"/>
          <w:noProof/>
          <w:lang w:val="en-GB"/>
        </w:rPr>
        <w:t xml:space="preserve"> </w:t>
      </w:r>
      <w:r w:rsidR="00101A58" w:rsidRPr="00724676">
        <w:rPr>
          <w:rFonts w:eastAsia="Calibri" w:cs="Times New Roman"/>
          <w:i w:val="0"/>
          <w:iCs w:val="0"/>
          <w:noProof/>
          <w:lang w:val="en-GB"/>
        </w:rPr>
        <w:t xml:space="preserve">aiming to </w:t>
      </w:r>
      <w:r w:rsidR="000C553C" w:rsidRPr="00724676">
        <w:rPr>
          <w:rFonts w:eastAsia="Calibri" w:cs="Times New Roman"/>
          <w:i w:val="0"/>
          <w:iCs w:val="0"/>
          <w:noProof/>
          <w:lang w:val="en-GB"/>
        </w:rPr>
        <w:t>tackl</w:t>
      </w:r>
      <w:r w:rsidR="00101A58" w:rsidRPr="00724676">
        <w:rPr>
          <w:rFonts w:eastAsia="Calibri" w:cs="Times New Roman"/>
          <w:i w:val="0"/>
          <w:iCs w:val="0"/>
          <w:noProof/>
          <w:lang w:val="en-GB"/>
        </w:rPr>
        <w:t>e</w:t>
      </w:r>
      <w:r w:rsidR="000C553C" w:rsidRPr="00724676">
        <w:rPr>
          <w:rFonts w:eastAsia="Calibri" w:cs="Times New Roman"/>
          <w:i w:val="0"/>
          <w:iCs w:val="0"/>
          <w:noProof/>
          <w:lang w:val="en-GB"/>
        </w:rPr>
        <w:t xml:space="preserve"> the</w:t>
      </w:r>
      <w:r w:rsidR="00763DDC">
        <w:rPr>
          <w:rFonts w:eastAsia="Calibri" w:cs="Times New Roman"/>
          <w:i w:val="0"/>
          <w:iCs w:val="0"/>
          <w:noProof/>
          <w:lang w:val="en-GB"/>
        </w:rPr>
        <w:t>se</w:t>
      </w:r>
      <w:r w:rsidR="00A95F70" w:rsidRPr="00724676">
        <w:rPr>
          <w:rFonts w:eastAsia="Calibri" w:cs="Times New Roman"/>
          <w:i w:val="0"/>
          <w:iCs w:val="0"/>
          <w:noProof/>
          <w:lang w:val="en-GB"/>
        </w:rPr>
        <w:t xml:space="preserve"> </w:t>
      </w:r>
      <w:r w:rsidR="00763DDC">
        <w:rPr>
          <w:rFonts w:eastAsia="Calibri" w:cs="Times New Roman"/>
          <w:i w:val="0"/>
          <w:iCs w:val="0"/>
          <w:noProof/>
          <w:lang w:val="en-GB"/>
        </w:rPr>
        <w:t xml:space="preserve">complex </w:t>
      </w:r>
      <w:r w:rsidR="000C553C" w:rsidRPr="00724676">
        <w:rPr>
          <w:rFonts w:eastAsia="Calibri" w:cs="Times New Roman"/>
          <w:i w:val="0"/>
          <w:iCs w:val="0"/>
          <w:noProof/>
          <w:lang w:val="en-GB"/>
        </w:rPr>
        <w:t>issues</w:t>
      </w:r>
      <w:r w:rsidR="00763DDC">
        <w:rPr>
          <w:rFonts w:eastAsia="Calibri" w:cs="Times New Roman"/>
          <w:i w:val="0"/>
          <w:iCs w:val="0"/>
          <w:noProof/>
          <w:lang w:val="en-GB"/>
        </w:rPr>
        <w:t>,</w:t>
      </w:r>
      <w:r w:rsidR="00BC03E8" w:rsidRPr="00724676">
        <w:rPr>
          <w:rFonts w:eastAsia="Calibri" w:cs="Times New Roman"/>
          <w:i w:val="0"/>
          <w:iCs w:val="0"/>
          <w:noProof/>
          <w:lang w:val="en-GB"/>
        </w:rPr>
        <w:t xml:space="preserve"> </w:t>
      </w:r>
      <w:r w:rsidR="008106A3" w:rsidRPr="00724676">
        <w:rPr>
          <w:rFonts w:eastAsia="Calibri" w:cs="Times New Roman"/>
          <w:i w:val="0"/>
          <w:iCs w:val="0"/>
          <w:noProof/>
          <w:lang w:val="en-GB"/>
        </w:rPr>
        <w:t xml:space="preserve">and </w:t>
      </w:r>
      <w:r w:rsidR="00EB329F" w:rsidRPr="00724676">
        <w:rPr>
          <w:rFonts w:eastAsia="Calibri" w:cs="Times New Roman"/>
          <w:i w:val="0"/>
          <w:iCs w:val="0"/>
          <w:noProof/>
          <w:lang w:val="en-GB"/>
        </w:rPr>
        <w:t>with</w:t>
      </w:r>
      <w:r w:rsidR="00770297" w:rsidRPr="00724676">
        <w:rPr>
          <w:rFonts w:eastAsia="Calibri" w:cs="Times New Roman"/>
          <w:i w:val="0"/>
          <w:iCs w:val="0"/>
          <w:noProof/>
          <w:lang w:val="en-GB"/>
        </w:rPr>
        <w:t xml:space="preserve"> </w:t>
      </w:r>
      <w:r w:rsidR="00946D84" w:rsidRPr="00724676">
        <w:rPr>
          <w:rFonts w:eastAsia="Calibri" w:cs="Times New Roman"/>
          <w:i w:val="0"/>
          <w:iCs w:val="0"/>
          <w:noProof/>
          <w:lang w:val="en-GB"/>
        </w:rPr>
        <w:t xml:space="preserve">only </w:t>
      </w:r>
      <w:r w:rsidR="00EB329F" w:rsidRPr="00724676">
        <w:rPr>
          <w:rFonts w:eastAsia="Calibri" w:cs="Times New Roman"/>
          <w:i w:val="0"/>
          <w:iCs w:val="0"/>
          <w:noProof/>
          <w:lang w:val="en-GB"/>
        </w:rPr>
        <w:t>targeted</w:t>
      </w:r>
      <w:r w:rsidR="00F70A33" w:rsidRPr="00724676">
        <w:rPr>
          <w:rFonts w:eastAsia="Calibri" w:cs="Times New Roman"/>
          <w:i w:val="0"/>
          <w:iCs w:val="0"/>
          <w:noProof/>
          <w:lang w:val="en-GB"/>
        </w:rPr>
        <w:t xml:space="preserve"> changes to the policy framework</w:t>
      </w:r>
      <w:r w:rsidR="00946D84" w:rsidRPr="00724676">
        <w:rPr>
          <w:rFonts w:eastAsia="Calibri" w:cs="Times New Roman"/>
          <w:i w:val="0"/>
          <w:iCs w:val="0"/>
          <w:noProof/>
          <w:lang w:val="en-GB"/>
        </w:rPr>
        <w:t xml:space="preserve"> </w:t>
      </w:r>
      <w:r w:rsidR="00F70A33" w:rsidRPr="00724676">
        <w:rPr>
          <w:rFonts w:eastAsia="Calibri" w:cs="Times New Roman"/>
          <w:i w:val="0"/>
          <w:iCs w:val="0"/>
          <w:noProof/>
          <w:lang w:val="en-GB"/>
        </w:rPr>
        <w:t xml:space="preserve">to preserve </w:t>
      </w:r>
      <w:r w:rsidR="001E3B43" w:rsidRPr="00724676">
        <w:rPr>
          <w:rFonts w:eastAsia="Calibri" w:cs="Times New Roman"/>
          <w:i w:val="0"/>
          <w:iCs w:val="0"/>
          <w:noProof/>
          <w:lang w:val="en-GB"/>
        </w:rPr>
        <w:t>its</w:t>
      </w:r>
      <w:r w:rsidR="00F70A33" w:rsidRPr="00724676">
        <w:rPr>
          <w:rFonts w:eastAsia="Calibri" w:cs="Times New Roman"/>
          <w:i w:val="0"/>
          <w:iCs w:val="0"/>
          <w:noProof/>
          <w:lang w:val="en-GB"/>
        </w:rPr>
        <w:t xml:space="preserve"> </w:t>
      </w:r>
      <w:r w:rsidR="7316AF9A" w:rsidRPr="00724676">
        <w:rPr>
          <w:rFonts w:eastAsia="Calibri" w:cs="Times New Roman"/>
          <w:i w:val="0"/>
          <w:iCs w:val="0"/>
          <w:noProof/>
          <w:lang w:val="en-GB"/>
        </w:rPr>
        <w:t>level of ambition</w:t>
      </w:r>
      <w:r w:rsidR="006022A1" w:rsidRPr="00724676">
        <w:rPr>
          <w:rFonts w:eastAsia="Calibri" w:cs="Times New Roman"/>
          <w:i w:val="0"/>
          <w:iCs w:val="0"/>
          <w:noProof/>
          <w:lang w:val="en-GB"/>
        </w:rPr>
        <w:t xml:space="preserve"> </w:t>
      </w:r>
      <w:r w:rsidR="00746DB9" w:rsidRPr="00724676">
        <w:rPr>
          <w:rFonts w:eastAsia="Calibri" w:cs="Times New Roman"/>
          <w:i w:val="0"/>
          <w:iCs w:val="0"/>
          <w:noProof/>
          <w:lang w:val="en-GB"/>
        </w:rPr>
        <w:t>but</w:t>
      </w:r>
      <w:r w:rsidR="006022A1" w:rsidRPr="00724676">
        <w:rPr>
          <w:rFonts w:eastAsia="Calibri" w:cs="Times New Roman"/>
          <w:i w:val="0"/>
          <w:iCs w:val="0"/>
          <w:noProof/>
          <w:lang w:val="en-GB"/>
        </w:rPr>
        <w:t xml:space="preserve"> </w:t>
      </w:r>
      <w:r w:rsidR="00763DDC">
        <w:rPr>
          <w:rFonts w:eastAsia="Calibri" w:cs="Times New Roman"/>
          <w:i w:val="0"/>
          <w:iCs w:val="0"/>
          <w:noProof/>
          <w:lang w:val="en-GB"/>
        </w:rPr>
        <w:t>provide greater</w:t>
      </w:r>
      <w:r w:rsidR="00763DDC" w:rsidRPr="00724676">
        <w:rPr>
          <w:rFonts w:eastAsia="Calibri" w:cs="Times New Roman"/>
          <w:i w:val="0"/>
          <w:iCs w:val="0"/>
          <w:noProof/>
          <w:lang w:val="en-GB"/>
        </w:rPr>
        <w:t xml:space="preserve"> </w:t>
      </w:r>
      <w:r w:rsidR="00EE6277" w:rsidRPr="00724676">
        <w:rPr>
          <w:rFonts w:eastAsia="Calibri" w:cs="Times New Roman"/>
          <w:i w:val="0"/>
          <w:iCs w:val="0"/>
          <w:noProof/>
          <w:lang w:val="en-GB"/>
        </w:rPr>
        <w:t>flexibilit</w:t>
      </w:r>
      <w:r w:rsidR="00763DDC">
        <w:rPr>
          <w:rFonts w:eastAsia="Calibri" w:cs="Times New Roman"/>
          <w:i w:val="0"/>
          <w:iCs w:val="0"/>
          <w:noProof/>
          <w:lang w:val="en-GB"/>
        </w:rPr>
        <w:t>y</w:t>
      </w:r>
      <w:r w:rsidR="00964950" w:rsidRPr="00724676">
        <w:rPr>
          <w:rFonts w:eastAsia="Calibri" w:cs="Times New Roman"/>
          <w:i w:val="0"/>
          <w:iCs w:val="0"/>
          <w:noProof/>
          <w:lang w:val="en-GB"/>
        </w:rPr>
        <w:t>.</w:t>
      </w:r>
      <w:r w:rsidR="00CE5396" w:rsidRPr="00724676">
        <w:rPr>
          <w:rFonts w:eastAsia="Calibri" w:cs="Times New Roman"/>
          <w:i w:val="0"/>
          <w:iCs w:val="0"/>
          <w:noProof/>
          <w:lang w:val="en-GB"/>
        </w:rPr>
        <w:t xml:space="preserve"> </w:t>
      </w:r>
      <w:r w:rsidR="00964950" w:rsidRPr="00724676">
        <w:rPr>
          <w:rFonts w:eastAsia="Calibri" w:cs="Times New Roman"/>
          <w:i w:val="0"/>
          <w:iCs w:val="0"/>
          <w:noProof/>
          <w:lang w:val="en-GB"/>
        </w:rPr>
        <w:t xml:space="preserve">The Commission also promotes </w:t>
      </w:r>
      <w:r w:rsidR="00825DC0" w:rsidRPr="00724676">
        <w:rPr>
          <w:rFonts w:eastAsia="Calibri" w:cs="Times New Roman"/>
          <w:i w:val="0"/>
          <w:iCs w:val="0"/>
          <w:noProof/>
          <w:lang w:val="en-GB"/>
        </w:rPr>
        <w:t xml:space="preserve">better communication, </w:t>
      </w:r>
      <w:r w:rsidR="006022A1" w:rsidRPr="00724676">
        <w:rPr>
          <w:rFonts w:eastAsia="Calibri" w:cs="Times New Roman"/>
          <w:i w:val="0"/>
          <w:iCs w:val="0"/>
          <w:noProof/>
          <w:lang w:val="en-GB"/>
        </w:rPr>
        <w:t>peer exchange</w:t>
      </w:r>
      <w:r w:rsidR="00825DC0" w:rsidRPr="00724676">
        <w:rPr>
          <w:rFonts w:eastAsia="Calibri" w:cs="Times New Roman"/>
          <w:i w:val="0"/>
          <w:iCs w:val="0"/>
          <w:noProof/>
          <w:lang w:val="en-GB"/>
        </w:rPr>
        <w:t xml:space="preserve"> and</w:t>
      </w:r>
      <w:r w:rsidR="006022A1" w:rsidRPr="00724676">
        <w:rPr>
          <w:rFonts w:eastAsia="Calibri" w:cs="Times New Roman"/>
          <w:i w:val="0"/>
          <w:iCs w:val="0"/>
          <w:noProof/>
          <w:lang w:val="en-GB"/>
        </w:rPr>
        <w:t xml:space="preserve"> guidance</w:t>
      </w:r>
      <w:r w:rsidR="00946D84" w:rsidRPr="00724676">
        <w:rPr>
          <w:rFonts w:eastAsia="Calibri" w:cs="Times New Roman"/>
          <w:i w:val="0"/>
          <w:iCs w:val="0"/>
          <w:noProof/>
          <w:lang w:val="en-GB"/>
        </w:rPr>
        <w:t>.</w:t>
      </w:r>
    </w:p>
    <w:p w14:paraId="5F16027A" w14:textId="45920E91" w:rsidR="00560203" w:rsidRPr="003E7CF4" w:rsidRDefault="0045247E" w:rsidP="60015AE2">
      <w:pPr>
        <w:pStyle w:val="P68B1DB1-Normal3"/>
        <w:spacing w:after="120"/>
        <w:rPr>
          <w:rFonts w:eastAsia="Calibri" w:cs="Times New Roman"/>
          <w:b/>
          <w:i w:val="0"/>
          <w:noProof/>
          <w:lang w:val="en-GB"/>
        </w:rPr>
      </w:pPr>
      <w:r w:rsidRPr="00724676">
        <w:rPr>
          <w:rFonts w:eastAsia="Calibri" w:cs="Times New Roman"/>
          <w:i w:val="0"/>
          <w:iCs w:val="0"/>
          <w:noProof/>
          <w:lang w:val="en-GB"/>
        </w:rPr>
        <w:t>It is expected that</w:t>
      </w:r>
      <w:r w:rsidR="008B230B" w:rsidRPr="00724676">
        <w:rPr>
          <w:rFonts w:eastAsia="Calibri" w:cs="Times New Roman"/>
          <w:i w:val="0"/>
          <w:iCs w:val="0"/>
          <w:noProof/>
          <w:lang w:val="en-GB"/>
        </w:rPr>
        <w:t xml:space="preserve"> the </w:t>
      </w:r>
      <w:r w:rsidR="005A6DEA" w:rsidRPr="00724676">
        <w:rPr>
          <w:rFonts w:eastAsia="Calibri" w:cs="Times New Roman"/>
          <w:i w:val="0"/>
          <w:iCs w:val="0"/>
          <w:noProof/>
          <w:lang w:val="en-GB"/>
        </w:rPr>
        <w:t xml:space="preserve">simplification </w:t>
      </w:r>
      <w:r w:rsidR="008B230B" w:rsidRPr="00724676">
        <w:rPr>
          <w:rFonts w:eastAsia="Calibri" w:cs="Times New Roman"/>
          <w:i w:val="0"/>
          <w:iCs w:val="0"/>
          <w:noProof/>
          <w:lang w:val="en-GB"/>
        </w:rPr>
        <w:t xml:space="preserve">package should </w:t>
      </w:r>
      <w:r w:rsidR="00CB53E4" w:rsidRPr="00724676">
        <w:rPr>
          <w:rFonts w:eastAsia="Calibri" w:cs="Times New Roman"/>
          <w:i w:val="0"/>
          <w:iCs w:val="0"/>
          <w:noProof/>
          <w:lang w:val="en-GB"/>
        </w:rPr>
        <w:t xml:space="preserve">help </w:t>
      </w:r>
      <w:r w:rsidR="00817CDB" w:rsidRPr="002874FC">
        <w:rPr>
          <w:rFonts w:eastAsia="Calibri" w:cs="Times New Roman"/>
          <w:i w:val="0"/>
          <w:iCs w:val="0"/>
          <w:noProof/>
          <w:lang w:val="en-GB"/>
        </w:rPr>
        <w:t>reduce</w:t>
      </w:r>
      <w:r w:rsidRPr="002874FC">
        <w:rPr>
          <w:rFonts w:eastAsia="Calibri" w:cs="Times New Roman"/>
          <w:i w:val="0"/>
          <w:iCs w:val="0"/>
          <w:noProof/>
          <w:lang w:val="en-GB"/>
        </w:rPr>
        <w:t xml:space="preserve"> paperwork</w:t>
      </w:r>
      <w:r w:rsidR="00817CDB" w:rsidRPr="002874FC">
        <w:rPr>
          <w:rFonts w:eastAsia="Calibri" w:cs="Times New Roman"/>
          <w:i w:val="0"/>
          <w:iCs w:val="0"/>
          <w:noProof/>
          <w:lang w:val="en-GB"/>
        </w:rPr>
        <w:t xml:space="preserve">, </w:t>
      </w:r>
      <w:r w:rsidR="009C5B34" w:rsidRPr="002874FC">
        <w:rPr>
          <w:rFonts w:eastAsia="Calibri" w:cs="Times New Roman"/>
          <w:i w:val="0"/>
          <w:iCs w:val="0"/>
          <w:noProof/>
          <w:lang w:val="en-GB"/>
        </w:rPr>
        <w:t>gain</w:t>
      </w:r>
      <w:r w:rsidR="00817CDB" w:rsidRPr="002874FC">
        <w:rPr>
          <w:rFonts w:eastAsia="Calibri" w:cs="Times New Roman"/>
          <w:i w:val="0"/>
          <w:iCs w:val="0"/>
          <w:noProof/>
          <w:lang w:val="en-GB"/>
        </w:rPr>
        <w:t xml:space="preserve"> time,</w:t>
      </w:r>
      <w:r w:rsidR="000D541B" w:rsidRPr="002874FC">
        <w:rPr>
          <w:rFonts w:eastAsia="Calibri" w:cs="Times New Roman"/>
          <w:i w:val="0"/>
          <w:iCs w:val="0"/>
          <w:noProof/>
          <w:lang w:val="en-GB"/>
        </w:rPr>
        <w:t xml:space="preserve"> </w:t>
      </w:r>
      <w:r w:rsidRPr="002874FC">
        <w:rPr>
          <w:rFonts w:eastAsia="Calibri" w:cs="Times New Roman"/>
          <w:i w:val="0"/>
          <w:iCs w:val="0"/>
          <w:noProof/>
          <w:lang w:val="en-GB"/>
        </w:rPr>
        <w:t>and</w:t>
      </w:r>
      <w:r w:rsidRPr="00724676">
        <w:rPr>
          <w:rFonts w:eastAsia="Calibri" w:cs="Times New Roman"/>
          <w:i w:val="0"/>
          <w:iCs w:val="0"/>
          <w:noProof/>
          <w:lang w:val="en-GB"/>
        </w:rPr>
        <w:t xml:space="preserve"> increase </w:t>
      </w:r>
      <w:r w:rsidR="00763DDC">
        <w:rPr>
          <w:rFonts w:eastAsia="Calibri" w:cs="Times New Roman"/>
          <w:i w:val="0"/>
          <w:iCs w:val="0"/>
          <w:noProof/>
          <w:lang w:val="en-GB"/>
        </w:rPr>
        <w:t xml:space="preserve">flexibility in how </w:t>
      </w:r>
      <w:r w:rsidRPr="00724676">
        <w:rPr>
          <w:rFonts w:eastAsia="Calibri" w:cs="Times New Roman"/>
          <w:i w:val="0"/>
          <w:iCs w:val="0"/>
          <w:noProof/>
          <w:lang w:val="en-GB"/>
        </w:rPr>
        <w:t>farm</w:t>
      </w:r>
      <w:r w:rsidR="00763DDC">
        <w:rPr>
          <w:rFonts w:eastAsia="Calibri" w:cs="Times New Roman"/>
          <w:i w:val="0"/>
          <w:iCs w:val="0"/>
          <w:noProof/>
          <w:lang w:val="en-GB"/>
        </w:rPr>
        <w:t>s</w:t>
      </w:r>
      <w:r w:rsidRPr="00724676">
        <w:rPr>
          <w:rFonts w:eastAsia="Calibri" w:cs="Times New Roman"/>
          <w:i w:val="0"/>
          <w:iCs w:val="0"/>
          <w:noProof/>
          <w:lang w:val="en-GB"/>
        </w:rPr>
        <w:t xml:space="preserve"> </w:t>
      </w:r>
      <w:r w:rsidR="00763DDC">
        <w:rPr>
          <w:rFonts w:eastAsia="Calibri" w:cs="Times New Roman"/>
          <w:i w:val="0"/>
          <w:iCs w:val="0"/>
          <w:noProof/>
          <w:lang w:val="en-GB"/>
        </w:rPr>
        <w:t>are managed</w:t>
      </w:r>
      <w:r w:rsidR="00B075F6" w:rsidRPr="00724676">
        <w:rPr>
          <w:rFonts w:eastAsia="Calibri" w:cs="Times New Roman"/>
          <w:i w:val="0"/>
          <w:iCs w:val="0"/>
          <w:noProof/>
          <w:lang w:val="en-GB"/>
        </w:rPr>
        <w:t>. This should</w:t>
      </w:r>
      <w:r w:rsidR="003C6EFA" w:rsidRPr="00724676">
        <w:rPr>
          <w:rFonts w:eastAsia="Calibri" w:cs="Times New Roman"/>
          <w:i w:val="0"/>
          <w:iCs w:val="0"/>
          <w:noProof/>
          <w:lang w:val="en-GB"/>
        </w:rPr>
        <w:t xml:space="preserve"> </w:t>
      </w:r>
      <w:r w:rsidR="00B80AD0" w:rsidRPr="00724676">
        <w:rPr>
          <w:rFonts w:eastAsia="Calibri" w:cs="Times New Roman"/>
          <w:i w:val="0"/>
          <w:iCs w:val="0"/>
          <w:noProof/>
          <w:lang w:val="en-GB"/>
        </w:rPr>
        <w:t xml:space="preserve">lead to positive </w:t>
      </w:r>
      <w:r w:rsidR="00B80AD0" w:rsidRPr="00724676">
        <w:rPr>
          <w:rFonts w:eastAsia="Calibri" w:cs="Times New Roman"/>
          <w:b/>
          <w:bCs/>
          <w:i w:val="0"/>
          <w:iCs w:val="0"/>
          <w:noProof/>
          <w:lang w:val="en-GB"/>
        </w:rPr>
        <w:t>effects</w:t>
      </w:r>
      <w:r w:rsidR="008B230B" w:rsidRPr="00724676">
        <w:rPr>
          <w:rFonts w:eastAsia="Calibri" w:cs="Times New Roman"/>
          <w:b/>
          <w:i w:val="0"/>
          <w:noProof/>
          <w:lang w:val="en-GB"/>
        </w:rPr>
        <w:t xml:space="preserve"> not only</w:t>
      </w:r>
      <w:r w:rsidR="00AE1B03" w:rsidRPr="00724676">
        <w:rPr>
          <w:rFonts w:eastAsia="Calibri" w:cs="Times New Roman"/>
          <w:b/>
          <w:i w:val="0"/>
          <w:noProof/>
          <w:lang w:val="en-GB"/>
        </w:rPr>
        <w:t xml:space="preserve"> </w:t>
      </w:r>
      <w:r w:rsidR="00763DDC">
        <w:rPr>
          <w:rFonts w:eastAsia="Calibri" w:cs="Times New Roman"/>
          <w:b/>
          <w:i w:val="0"/>
          <w:noProof/>
          <w:lang w:val="en-GB"/>
        </w:rPr>
        <w:t>on</w:t>
      </w:r>
      <w:r w:rsidR="00763DDC" w:rsidRPr="00724676">
        <w:rPr>
          <w:rFonts w:eastAsia="Calibri" w:cs="Times New Roman"/>
          <w:b/>
          <w:i w:val="0"/>
          <w:noProof/>
          <w:lang w:val="en-GB"/>
        </w:rPr>
        <w:t xml:space="preserve"> </w:t>
      </w:r>
      <w:r w:rsidR="00DB1224" w:rsidRPr="00797D9D">
        <w:rPr>
          <w:rFonts w:eastAsia="Calibri" w:cs="Times New Roman"/>
          <w:b/>
          <w:i w:val="0"/>
          <w:noProof/>
          <w:lang w:val="en-GB"/>
        </w:rPr>
        <w:t>farmers</w:t>
      </w:r>
      <w:r w:rsidR="00272FA7" w:rsidRPr="002874FC">
        <w:rPr>
          <w:rFonts w:eastAsia="Calibri" w:cs="Times New Roman"/>
          <w:b/>
          <w:i w:val="0"/>
          <w:noProof/>
          <w:lang w:val="en-GB"/>
        </w:rPr>
        <w:t>’</w:t>
      </w:r>
      <w:r w:rsidR="003C6EFA" w:rsidRPr="002874FC">
        <w:rPr>
          <w:rFonts w:eastAsia="Calibri" w:cs="Times New Roman"/>
          <w:b/>
          <w:i w:val="0"/>
          <w:noProof/>
          <w:lang w:val="en-GB"/>
        </w:rPr>
        <w:t xml:space="preserve"> </w:t>
      </w:r>
      <w:r w:rsidR="00763DDC" w:rsidRPr="002874FC">
        <w:rPr>
          <w:rFonts w:eastAsia="Calibri" w:cs="Times New Roman"/>
          <w:b/>
          <w:i w:val="0"/>
          <w:noProof/>
          <w:lang w:val="en-GB"/>
        </w:rPr>
        <w:t>finances</w:t>
      </w:r>
      <w:r w:rsidR="008500A7" w:rsidRPr="002874FC">
        <w:rPr>
          <w:rFonts w:eastAsia="Calibri" w:cs="Times New Roman"/>
          <w:i w:val="0"/>
          <w:iCs w:val="0"/>
          <w:noProof/>
          <w:lang w:val="en-GB"/>
        </w:rPr>
        <w:t xml:space="preserve"> but also </w:t>
      </w:r>
      <w:r w:rsidR="00763DDC" w:rsidRPr="002874FC">
        <w:rPr>
          <w:rFonts w:eastAsia="Calibri" w:cs="Times New Roman"/>
          <w:i w:val="0"/>
          <w:iCs w:val="0"/>
          <w:noProof/>
          <w:lang w:val="en-GB"/>
        </w:rPr>
        <w:t xml:space="preserve">on </w:t>
      </w:r>
      <w:r w:rsidR="0022511B" w:rsidRPr="002874FC">
        <w:rPr>
          <w:rFonts w:eastAsia="Calibri" w:cs="Times New Roman"/>
          <w:i w:val="0"/>
          <w:iCs w:val="0"/>
          <w:noProof/>
          <w:lang w:val="en-GB"/>
        </w:rPr>
        <w:t xml:space="preserve">their </w:t>
      </w:r>
      <w:r w:rsidR="002C1715" w:rsidRPr="002874FC">
        <w:rPr>
          <w:rFonts w:eastAsia="Calibri" w:cs="Times New Roman"/>
          <w:b/>
          <w:i w:val="0"/>
          <w:noProof/>
          <w:lang w:val="en-GB"/>
        </w:rPr>
        <w:t>well</w:t>
      </w:r>
      <w:r w:rsidR="00763DDC" w:rsidRPr="002874FC">
        <w:rPr>
          <w:rFonts w:eastAsia="Calibri" w:cs="Times New Roman"/>
          <w:b/>
          <w:i w:val="0"/>
          <w:noProof/>
          <w:lang w:val="en-GB"/>
        </w:rPr>
        <w:t>-</w:t>
      </w:r>
      <w:r w:rsidR="002C1715" w:rsidRPr="002874FC">
        <w:rPr>
          <w:rFonts w:eastAsia="Calibri" w:cs="Times New Roman"/>
          <w:b/>
          <w:i w:val="0"/>
          <w:noProof/>
          <w:lang w:val="en-GB"/>
        </w:rPr>
        <w:t xml:space="preserve">being </w:t>
      </w:r>
      <w:r w:rsidR="002C1715" w:rsidRPr="002874FC">
        <w:rPr>
          <w:rFonts w:eastAsia="Calibri" w:cs="Times New Roman"/>
          <w:i w:val="0"/>
          <w:iCs w:val="0"/>
          <w:noProof/>
          <w:lang w:val="en-GB"/>
        </w:rPr>
        <w:t xml:space="preserve">with </w:t>
      </w:r>
      <w:r w:rsidR="002C1715" w:rsidRPr="002874FC">
        <w:rPr>
          <w:rFonts w:eastAsia="Calibri" w:cs="Times New Roman"/>
          <w:b/>
          <w:i w:val="0"/>
          <w:noProof/>
          <w:lang w:val="en-GB"/>
        </w:rPr>
        <w:t>fewer</w:t>
      </w:r>
      <w:r w:rsidR="008B230B" w:rsidRPr="002874FC">
        <w:rPr>
          <w:rFonts w:eastAsia="Calibri" w:cs="Times New Roman"/>
          <w:b/>
          <w:i w:val="0"/>
          <w:noProof/>
          <w:lang w:val="en-GB"/>
        </w:rPr>
        <w:t xml:space="preserve"> </w:t>
      </w:r>
      <w:r w:rsidR="003C6EFA" w:rsidRPr="002874FC">
        <w:rPr>
          <w:rFonts w:eastAsia="Calibri" w:cs="Times New Roman"/>
          <w:b/>
          <w:i w:val="0"/>
          <w:noProof/>
          <w:lang w:val="en-GB"/>
        </w:rPr>
        <w:t>stress factors</w:t>
      </w:r>
      <w:r w:rsidR="003C6EFA" w:rsidRPr="002874FC">
        <w:rPr>
          <w:rFonts w:eastAsia="Calibri" w:cs="Times New Roman"/>
          <w:i w:val="0"/>
          <w:iCs w:val="0"/>
          <w:noProof/>
          <w:lang w:val="en-GB"/>
        </w:rPr>
        <w:t xml:space="preserve"> linked to </w:t>
      </w:r>
      <w:r w:rsidR="0044616D" w:rsidRPr="002874FC">
        <w:rPr>
          <w:rFonts w:eastAsia="Calibri" w:cs="Times New Roman"/>
          <w:i w:val="0"/>
          <w:iCs w:val="0"/>
          <w:noProof/>
          <w:lang w:val="en-GB"/>
        </w:rPr>
        <w:t xml:space="preserve">the </w:t>
      </w:r>
      <w:r w:rsidR="003C6EFA" w:rsidRPr="002874FC">
        <w:rPr>
          <w:rFonts w:eastAsia="Calibri" w:cs="Times New Roman"/>
          <w:i w:val="0"/>
          <w:iCs w:val="0"/>
          <w:noProof/>
          <w:lang w:val="en-GB"/>
        </w:rPr>
        <w:t>complexity of the rules</w:t>
      </w:r>
      <w:r w:rsidR="00797D9D" w:rsidRPr="003E7CF4">
        <w:rPr>
          <w:rFonts w:eastAsia="Calibri" w:cs="Times New Roman"/>
          <w:i w:val="0"/>
          <w:iCs w:val="0"/>
          <w:noProof/>
          <w:lang w:val="en-GB"/>
        </w:rPr>
        <w:t>,</w:t>
      </w:r>
      <w:r w:rsidR="007E228A" w:rsidRPr="002874FC">
        <w:rPr>
          <w:rFonts w:eastAsia="Calibri" w:cs="Times New Roman"/>
          <w:i w:val="0"/>
          <w:iCs w:val="0"/>
          <w:noProof/>
          <w:lang w:val="en-GB"/>
        </w:rPr>
        <w:t xml:space="preserve"> </w:t>
      </w:r>
      <w:r w:rsidR="00797D9D" w:rsidRPr="003E7CF4">
        <w:rPr>
          <w:rFonts w:eastAsia="Calibri" w:cs="Times New Roman"/>
          <w:i w:val="0"/>
          <w:iCs w:val="0"/>
          <w:noProof/>
          <w:lang w:val="en-GB"/>
        </w:rPr>
        <w:t>set against</w:t>
      </w:r>
      <w:r w:rsidR="007E228A" w:rsidRPr="002874FC">
        <w:rPr>
          <w:rFonts w:eastAsia="Calibri" w:cs="Times New Roman"/>
          <w:i w:val="0"/>
          <w:iCs w:val="0"/>
          <w:noProof/>
          <w:lang w:val="en-GB"/>
        </w:rPr>
        <w:t xml:space="preserve"> </w:t>
      </w:r>
      <w:r w:rsidR="005D70AC" w:rsidRPr="002874FC">
        <w:rPr>
          <w:rFonts w:eastAsia="Calibri" w:cs="Times New Roman"/>
          <w:i w:val="0"/>
          <w:iCs w:val="0"/>
          <w:noProof/>
          <w:lang w:val="en-GB"/>
        </w:rPr>
        <w:t xml:space="preserve">the </w:t>
      </w:r>
      <w:r w:rsidR="00CD4748" w:rsidRPr="002874FC">
        <w:rPr>
          <w:rFonts w:eastAsia="Calibri" w:cs="Times New Roman"/>
          <w:i w:val="0"/>
          <w:iCs w:val="0"/>
          <w:noProof/>
          <w:lang w:val="en-GB"/>
        </w:rPr>
        <w:t xml:space="preserve">day-to-day </w:t>
      </w:r>
      <w:r w:rsidR="005D70AC" w:rsidRPr="002874FC">
        <w:rPr>
          <w:rFonts w:eastAsia="Calibri" w:cs="Times New Roman"/>
          <w:i w:val="0"/>
          <w:iCs w:val="0"/>
          <w:noProof/>
          <w:lang w:val="en-GB"/>
        </w:rPr>
        <w:t>reality of farming</w:t>
      </w:r>
      <w:r w:rsidR="006A4F23" w:rsidRPr="002874FC">
        <w:rPr>
          <w:rFonts w:eastAsia="Calibri" w:cs="Times New Roman"/>
          <w:i w:val="0"/>
          <w:iCs w:val="0"/>
          <w:noProof/>
          <w:lang w:val="en-GB"/>
        </w:rPr>
        <w:t>.</w:t>
      </w:r>
      <w:r w:rsidR="008F4C85" w:rsidRPr="002874FC">
        <w:rPr>
          <w:rFonts w:eastAsia="Calibri" w:cs="Times New Roman"/>
          <w:i w:val="0"/>
          <w:iCs w:val="0"/>
          <w:noProof/>
          <w:lang w:val="en-GB"/>
        </w:rPr>
        <w:t xml:space="preserve"> </w:t>
      </w:r>
      <w:r w:rsidRPr="002874FC">
        <w:rPr>
          <w:rFonts w:eastAsia="Calibri" w:cs="Times New Roman"/>
          <w:i w:val="0"/>
          <w:iCs w:val="0"/>
          <w:noProof/>
          <w:lang w:val="en-GB"/>
        </w:rPr>
        <w:t xml:space="preserve">Better feedback on fulfilling </w:t>
      </w:r>
      <w:r w:rsidR="00763DDC" w:rsidRPr="002874FC">
        <w:rPr>
          <w:rFonts w:eastAsia="Calibri" w:cs="Times New Roman"/>
          <w:i w:val="0"/>
          <w:iCs w:val="0"/>
          <w:noProof/>
          <w:lang w:val="en-GB"/>
        </w:rPr>
        <w:t xml:space="preserve">the conditions for </w:t>
      </w:r>
      <w:r w:rsidRPr="002874FC">
        <w:rPr>
          <w:rFonts w:eastAsia="Calibri" w:cs="Times New Roman"/>
          <w:i w:val="0"/>
          <w:iCs w:val="0"/>
          <w:noProof/>
          <w:lang w:val="en-GB"/>
        </w:rPr>
        <w:t xml:space="preserve">CAP </w:t>
      </w:r>
      <w:r w:rsidR="595ACEAF" w:rsidRPr="6FE283EC">
        <w:rPr>
          <w:rFonts w:eastAsia="Calibri" w:cs="Times New Roman"/>
          <w:i w:val="0"/>
          <w:iCs w:val="0"/>
          <w:noProof/>
          <w:lang w:val="en-GB"/>
        </w:rPr>
        <w:t>support</w:t>
      </w:r>
      <w:r w:rsidRPr="002874FC">
        <w:rPr>
          <w:rFonts w:eastAsia="Calibri" w:cs="Times New Roman"/>
          <w:i w:val="0"/>
          <w:iCs w:val="0"/>
          <w:noProof/>
          <w:lang w:val="en-GB"/>
        </w:rPr>
        <w:t xml:space="preserve">, </w:t>
      </w:r>
      <w:r w:rsidR="00763DDC" w:rsidRPr="002874FC">
        <w:rPr>
          <w:rFonts w:eastAsia="Calibri" w:cs="Times New Roman"/>
          <w:i w:val="0"/>
          <w:iCs w:val="0"/>
          <w:noProof/>
          <w:lang w:val="en-GB"/>
        </w:rPr>
        <w:t xml:space="preserve">and </w:t>
      </w:r>
      <w:r w:rsidRPr="002874FC">
        <w:rPr>
          <w:rFonts w:eastAsia="Calibri" w:cs="Times New Roman"/>
          <w:i w:val="0"/>
          <w:iCs w:val="0"/>
          <w:noProof/>
          <w:lang w:val="en-GB"/>
        </w:rPr>
        <w:t>more workable monitoring</w:t>
      </w:r>
      <w:r w:rsidRPr="00724676">
        <w:rPr>
          <w:rFonts w:eastAsia="Calibri" w:cs="Times New Roman"/>
          <w:i w:val="0"/>
          <w:iCs w:val="0"/>
          <w:noProof/>
          <w:lang w:val="en-GB"/>
        </w:rPr>
        <w:t xml:space="preserve"> and controls</w:t>
      </w:r>
      <w:r w:rsidR="00560203" w:rsidRPr="00724676">
        <w:rPr>
          <w:rFonts w:eastAsia="Calibri" w:cs="Times New Roman"/>
          <w:i w:val="0"/>
          <w:iCs w:val="0"/>
          <w:noProof/>
          <w:lang w:val="en-GB"/>
        </w:rPr>
        <w:t xml:space="preserve"> should </w:t>
      </w:r>
      <w:r w:rsidR="002A72CC" w:rsidRPr="00724676">
        <w:rPr>
          <w:rFonts w:eastAsia="Calibri" w:cs="Times New Roman"/>
          <w:i w:val="0"/>
          <w:iCs w:val="0"/>
          <w:noProof/>
          <w:lang w:val="en-GB"/>
        </w:rPr>
        <w:t xml:space="preserve">further </w:t>
      </w:r>
      <w:r w:rsidR="00560203" w:rsidRPr="00724676">
        <w:rPr>
          <w:rFonts w:eastAsia="Calibri" w:cs="Times New Roman"/>
          <w:i w:val="0"/>
          <w:iCs w:val="0"/>
          <w:noProof/>
          <w:lang w:val="en-GB"/>
        </w:rPr>
        <w:t xml:space="preserve">help in rebuilding trust and </w:t>
      </w:r>
      <w:r w:rsidR="00560203" w:rsidRPr="00724676">
        <w:rPr>
          <w:rFonts w:eastAsia="Calibri" w:cs="Times New Roman"/>
          <w:b/>
          <w:i w:val="0"/>
          <w:noProof/>
          <w:lang w:val="en-GB"/>
        </w:rPr>
        <w:t>accept</w:t>
      </w:r>
      <w:r w:rsidR="00CD4748" w:rsidRPr="00724676">
        <w:rPr>
          <w:rFonts w:eastAsia="Calibri" w:cs="Times New Roman"/>
          <w:b/>
          <w:i w:val="0"/>
          <w:noProof/>
          <w:lang w:val="en-GB"/>
        </w:rPr>
        <w:t>ance</w:t>
      </w:r>
      <w:r w:rsidR="00560203" w:rsidRPr="00724676">
        <w:rPr>
          <w:rFonts w:eastAsia="Calibri" w:cs="Times New Roman"/>
          <w:i w:val="0"/>
          <w:iCs w:val="0"/>
          <w:noProof/>
          <w:lang w:val="en-GB"/>
        </w:rPr>
        <w:t xml:space="preserve"> of the CAP requirements.</w:t>
      </w:r>
      <w:r w:rsidRPr="00724676">
        <w:rPr>
          <w:rFonts w:eastAsia="Calibri" w:cs="Times New Roman"/>
          <w:i w:val="0"/>
          <w:iCs w:val="0"/>
          <w:noProof/>
          <w:lang w:val="en-GB"/>
        </w:rPr>
        <w:t xml:space="preserve"> </w:t>
      </w:r>
      <w:r w:rsidR="00B97404" w:rsidRPr="00724676">
        <w:rPr>
          <w:rFonts w:eastAsia="Calibri" w:cs="Times New Roman"/>
          <w:i w:val="0"/>
          <w:iCs w:val="0"/>
          <w:noProof/>
          <w:lang w:val="en-GB"/>
        </w:rPr>
        <w:t>C</w:t>
      </w:r>
      <w:r w:rsidR="007E0830" w:rsidRPr="00724676">
        <w:rPr>
          <w:rFonts w:eastAsia="Calibri" w:cs="Times New Roman"/>
          <w:i w:val="0"/>
          <w:iCs w:val="0"/>
          <w:noProof/>
          <w:lang w:val="en-GB"/>
        </w:rPr>
        <w:t xml:space="preserve">hanges in </w:t>
      </w:r>
      <w:r w:rsidR="00B97404" w:rsidRPr="00724676">
        <w:rPr>
          <w:rFonts w:eastAsia="Calibri" w:cs="Times New Roman"/>
          <w:i w:val="0"/>
          <w:iCs w:val="0"/>
          <w:noProof/>
          <w:lang w:val="en-GB"/>
        </w:rPr>
        <w:t xml:space="preserve">the </w:t>
      </w:r>
      <w:r w:rsidR="007E0830" w:rsidRPr="00724676">
        <w:rPr>
          <w:rFonts w:eastAsia="Calibri" w:cs="Times New Roman"/>
          <w:i w:val="0"/>
          <w:iCs w:val="0"/>
          <w:noProof/>
          <w:lang w:val="en-GB"/>
        </w:rPr>
        <w:t xml:space="preserve">control approach </w:t>
      </w:r>
      <w:r w:rsidR="00B97404" w:rsidRPr="00724676">
        <w:rPr>
          <w:rFonts w:eastAsia="Calibri" w:cs="Times New Roman"/>
          <w:i w:val="0"/>
          <w:iCs w:val="0"/>
          <w:noProof/>
          <w:lang w:val="en-GB"/>
        </w:rPr>
        <w:t xml:space="preserve">alone </w:t>
      </w:r>
      <w:r w:rsidR="007E0830" w:rsidRPr="00724676">
        <w:rPr>
          <w:rFonts w:eastAsia="Calibri" w:cs="Times New Roman"/>
          <w:i w:val="0"/>
          <w:iCs w:val="0"/>
          <w:noProof/>
          <w:lang w:val="en-GB"/>
        </w:rPr>
        <w:t xml:space="preserve">are expected to bring at least EUR 164 million </w:t>
      </w:r>
      <w:r w:rsidR="00F97C4E" w:rsidRPr="00724676">
        <w:rPr>
          <w:rFonts w:eastAsia="Calibri" w:cs="Times New Roman"/>
          <w:i w:val="0"/>
          <w:iCs w:val="0"/>
          <w:noProof/>
          <w:lang w:val="en-GB"/>
        </w:rPr>
        <w:t xml:space="preserve">worth </w:t>
      </w:r>
      <w:r w:rsidR="00763DDC">
        <w:rPr>
          <w:rFonts w:eastAsia="Calibri" w:cs="Times New Roman"/>
          <w:i w:val="0"/>
          <w:iCs w:val="0"/>
          <w:noProof/>
          <w:lang w:val="en-GB"/>
        </w:rPr>
        <w:t xml:space="preserve">of </w:t>
      </w:r>
      <w:r w:rsidR="00F97C4E" w:rsidRPr="00724676">
        <w:rPr>
          <w:rFonts w:eastAsia="Calibri" w:cs="Times New Roman"/>
          <w:i w:val="0"/>
          <w:iCs w:val="0"/>
          <w:noProof/>
          <w:lang w:val="en-GB"/>
        </w:rPr>
        <w:t xml:space="preserve">savings </w:t>
      </w:r>
      <w:r w:rsidR="00763DDC">
        <w:rPr>
          <w:rFonts w:eastAsia="Calibri" w:cs="Times New Roman"/>
          <w:i w:val="0"/>
          <w:iCs w:val="0"/>
          <w:noProof/>
          <w:lang w:val="en-GB"/>
        </w:rPr>
        <w:t>linked to the</w:t>
      </w:r>
      <w:r w:rsidR="00763DDC" w:rsidRPr="00724676">
        <w:rPr>
          <w:rFonts w:eastAsia="Calibri" w:cs="Times New Roman"/>
          <w:i w:val="0"/>
          <w:iCs w:val="0"/>
          <w:noProof/>
          <w:lang w:val="en-GB"/>
        </w:rPr>
        <w:t xml:space="preserve"> </w:t>
      </w:r>
      <w:r w:rsidR="00763DDC">
        <w:rPr>
          <w:rFonts w:eastAsia="Calibri" w:cs="Times New Roman"/>
          <w:i w:val="0"/>
          <w:iCs w:val="0"/>
          <w:noProof/>
          <w:lang w:val="en-GB"/>
        </w:rPr>
        <w:t xml:space="preserve">reduced </w:t>
      </w:r>
      <w:r w:rsidR="00F97C4E" w:rsidRPr="00724676">
        <w:rPr>
          <w:rFonts w:eastAsia="Calibri" w:cs="Times New Roman"/>
          <w:i w:val="0"/>
          <w:iCs w:val="0"/>
          <w:noProof/>
          <w:lang w:val="en-GB"/>
        </w:rPr>
        <w:t>time and effort</w:t>
      </w:r>
      <w:r w:rsidR="00896102" w:rsidRPr="00724676">
        <w:rPr>
          <w:rFonts w:eastAsia="Calibri" w:cs="Times New Roman"/>
          <w:i w:val="0"/>
          <w:iCs w:val="0"/>
          <w:noProof/>
          <w:lang w:val="en-GB"/>
        </w:rPr>
        <w:t xml:space="preserve"> </w:t>
      </w:r>
      <w:r w:rsidR="00763DDC">
        <w:rPr>
          <w:rFonts w:eastAsia="Calibri" w:cs="Times New Roman"/>
          <w:i w:val="0"/>
          <w:iCs w:val="0"/>
          <w:noProof/>
          <w:lang w:val="en-GB"/>
        </w:rPr>
        <w:t>expended by</w:t>
      </w:r>
      <w:r w:rsidR="00763DDC" w:rsidRPr="00724676">
        <w:rPr>
          <w:rFonts w:eastAsia="Calibri" w:cs="Times New Roman"/>
          <w:i w:val="0"/>
          <w:iCs w:val="0"/>
          <w:noProof/>
          <w:lang w:val="en-GB"/>
        </w:rPr>
        <w:t xml:space="preserve"> </w:t>
      </w:r>
      <w:r w:rsidR="00896102" w:rsidRPr="00724676">
        <w:rPr>
          <w:rFonts w:eastAsia="Calibri" w:cs="Times New Roman"/>
          <w:i w:val="0"/>
          <w:iCs w:val="0"/>
          <w:noProof/>
          <w:lang w:val="en-GB"/>
        </w:rPr>
        <w:t>farmers and national administrations</w:t>
      </w:r>
      <w:r w:rsidR="00763DDC">
        <w:rPr>
          <w:rFonts w:eastAsia="Calibri" w:cs="Times New Roman"/>
          <w:i w:val="0"/>
          <w:iCs w:val="0"/>
          <w:noProof/>
          <w:lang w:val="en-GB"/>
        </w:rPr>
        <w:t>. T</w:t>
      </w:r>
      <w:r w:rsidR="006D7D1E" w:rsidRPr="00724676">
        <w:rPr>
          <w:rFonts w:eastAsia="Calibri" w:cs="Times New Roman"/>
          <w:i w:val="0"/>
          <w:iCs w:val="0"/>
          <w:noProof/>
          <w:lang w:val="en-GB"/>
        </w:rPr>
        <w:t>he</w:t>
      </w:r>
      <w:r w:rsidR="0011407F" w:rsidRPr="00724676">
        <w:rPr>
          <w:rFonts w:eastAsia="Calibri" w:cs="Times New Roman"/>
          <w:i w:val="0"/>
          <w:iCs w:val="0"/>
          <w:noProof/>
          <w:lang w:val="en-GB"/>
        </w:rPr>
        <w:t>se</w:t>
      </w:r>
      <w:r w:rsidR="006D7D1E" w:rsidRPr="00724676">
        <w:rPr>
          <w:rFonts w:eastAsia="Calibri" w:cs="Times New Roman"/>
          <w:i w:val="0"/>
          <w:iCs w:val="0"/>
          <w:noProof/>
          <w:lang w:val="en-GB"/>
        </w:rPr>
        <w:t xml:space="preserve"> resources</w:t>
      </w:r>
      <w:r w:rsidR="0011407F" w:rsidRPr="00724676">
        <w:rPr>
          <w:rFonts w:eastAsia="Calibri" w:cs="Times New Roman"/>
          <w:i w:val="0"/>
          <w:iCs w:val="0"/>
          <w:noProof/>
          <w:lang w:val="en-GB"/>
        </w:rPr>
        <w:t xml:space="preserve"> could be dedicated</w:t>
      </w:r>
      <w:r w:rsidR="00763DDC">
        <w:rPr>
          <w:rFonts w:eastAsia="Calibri" w:cs="Times New Roman"/>
          <w:i w:val="0"/>
          <w:iCs w:val="0"/>
          <w:noProof/>
          <w:lang w:val="en-GB"/>
        </w:rPr>
        <w:t>,</w:t>
      </w:r>
      <w:r w:rsidR="001A429D" w:rsidRPr="00724676">
        <w:rPr>
          <w:rFonts w:eastAsia="Calibri" w:cs="Times New Roman"/>
          <w:i w:val="0"/>
          <w:iCs w:val="0"/>
          <w:noProof/>
          <w:lang w:val="en-GB"/>
        </w:rPr>
        <w:t xml:space="preserve"> for example</w:t>
      </w:r>
      <w:r w:rsidR="00763DDC">
        <w:rPr>
          <w:rFonts w:eastAsia="Calibri" w:cs="Times New Roman"/>
          <w:i w:val="0"/>
          <w:iCs w:val="0"/>
          <w:noProof/>
          <w:lang w:val="en-GB"/>
        </w:rPr>
        <w:t>,</w:t>
      </w:r>
      <w:r w:rsidR="0011407F" w:rsidRPr="00724676">
        <w:rPr>
          <w:rFonts w:eastAsia="Calibri" w:cs="Times New Roman"/>
          <w:i w:val="0"/>
          <w:iCs w:val="0"/>
          <w:noProof/>
          <w:lang w:val="en-GB"/>
        </w:rPr>
        <w:t xml:space="preserve"> to </w:t>
      </w:r>
      <w:r w:rsidR="00763DDC">
        <w:rPr>
          <w:rFonts w:eastAsia="Calibri" w:cs="Times New Roman"/>
          <w:i w:val="0"/>
          <w:iCs w:val="0"/>
          <w:noProof/>
          <w:lang w:val="en-GB"/>
        </w:rPr>
        <w:t xml:space="preserve">improving </w:t>
      </w:r>
      <w:r w:rsidR="0011407F" w:rsidRPr="00724676">
        <w:rPr>
          <w:rFonts w:eastAsia="Calibri" w:cs="Times New Roman"/>
          <w:i w:val="0"/>
          <w:iCs w:val="0"/>
          <w:noProof/>
          <w:lang w:val="en-GB"/>
        </w:rPr>
        <w:t>communication,</w:t>
      </w:r>
      <w:r w:rsidR="001A429D" w:rsidRPr="00724676">
        <w:rPr>
          <w:rFonts w:eastAsia="Calibri" w:cs="Times New Roman"/>
          <w:i w:val="0"/>
          <w:iCs w:val="0"/>
          <w:noProof/>
          <w:lang w:val="en-GB"/>
        </w:rPr>
        <w:t xml:space="preserve"> </w:t>
      </w:r>
      <w:r w:rsidR="00B54A39" w:rsidRPr="00724676">
        <w:rPr>
          <w:rFonts w:eastAsia="Calibri" w:cs="Times New Roman"/>
          <w:i w:val="0"/>
          <w:iCs w:val="0"/>
          <w:noProof/>
          <w:lang w:val="en-GB"/>
        </w:rPr>
        <w:t>knowledge</w:t>
      </w:r>
      <w:r w:rsidR="001A429D" w:rsidRPr="00724676">
        <w:rPr>
          <w:rFonts w:eastAsia="Calibri" w:cs="Times New Roman"/>
          <w:i w:val="0"/>
          <w:iCs w:val="0"/>
          <w:noProof/>
          <w:lang w:val="en-GB"/>
        </w:rPr>
        <w:t xml:space="preserve"> and advice</w:t>
      </w:r>
      <w:r w:rsidR="004230A0" w:rsidRPr="00724676">
        <w:rPr>
          <w:rFonts w:eastAsia="Calibri" w:cs="Times New Roman"/>
          <w:i w:val="0"/>
          <w:iCs w:val="0"/>
          <w:noProof/>
          <w:lang w:val="en-GB"/>
        </w:rPr>
        <w:t>.</w:t>
      </w:r>
    </w:p>
    <w:p w14:paraId="0CD45076" w14:textId="2AE400DC" w:rsidR="00FD627F" w:rsidRPr="00724676" w:rsidRDefault="00B6044F">
      <w:pPr>
        <w:pStyle w:val="P68B1DB1-Normal3"/>
        <w:spacing w:after="120"/>
        <w:rPr>
          <w:rFonts w:eastAsia="Calibri" w:cs="Times New Roman"/>
          <w:i w:val="0"/>
          <w:iCs w:val="0"/>
          <w:noProof/>
          <w:lang w:val="en-GB"/>
        </w:rPr>
      </w:pPr>
      <w:r w:rsidRPr="00724676">
        <w:rPr>
          <w:rFonts w:eastAsia="Calibri" w:cs="Times New Roman"/>
          <w:i w:val="0"/>
          <w:iCs w:val="0"/>
          <w:noProof/>
          <w:lang w:val="en-GB"/>
        </w:rPr>
        <w:t>The</w:t>
      </w:r>
      <w:r w:rsidR="00DD4EC1" w:rsidRPr="00724676">
        <w:rPr>
          <w:rFonts w:eastAsia="Calibri" w:cs="Times New Roman"/>
          <w:i w:val="0"/>
          <w:iCs w:val="0"/>
          <w:noProof/>
          <w:lang w:val="en-GB"/>
        </w:rPr>
        <w:t>se</w:t>
      </w:r>
      <w:r w:rsidRPr="00724676">
        <w:rPr>
          <w:rFonts w:eastAsia="Calibri" w:cs="Times New Roman"/>
          <w:i w:val="0"/>
          <w:noProof/>
          <w:lang w:val="en-GB"/>
        </w:rPr>
        <w:t xml:space="preserve"> changes </w:t>
      </w:r>
      <w:r w:rsidR="00940BDB" w:rsidRPr="00724676">
        <w:rPr>
          <w:rFonts w:eastAsia="Calibri" w:cs="Times New Roman"/>
          <w:i w:val="0"/>
          <w:iCs w:val="0"/>
          <w:noProof/>
          <w:lang w:val="en-GB"/>
        </w:rPr>
        <w:t xml:space="preserve">also </w:t>
      </w:r>
      <w:r w:rsidR="009F7F97" w:rsidRPr="00724676">
        <w:rPr>
          <w:rFonts w:eastAsia="Calibri" w:cs="Times New Roman"/>
          <w:i w:val="0"/>
          <w:iCs w:val="0"/>
          <w:noProof/>
          <w:lang w:val="en-GB"/>
        </w:rPr>
        <w:t>reflect the fact</w:t>
      </w:r>
      <w:r w:rsidR="00940BDB" w:rsidRPr="00724676">
        <w:rPr>
          <w:rFonts w:eastAsia="Calibri" w:cs="Times New Roman"/>
          <w:i w:val="0"/>
          <w:iCs w:val="0"/>
          <w:noProof/>
          <w:lang w:val="en-GB"/>
        </w:rPr>
        <w:t xml:space="preserve"> that the </w:t>
      </w:r>
      <w:r w:rsidR="00940BDB" w:rsidRPr="00724676">
        <w:rPr>
          <w:rFonts w:eastAsia="Calibri" w:cs="Times New Roman"/>
          <w:b/>
          <w:bCs/>
          <w:i w:val="0"/>
          <w:iCs w:val="0"/>
          <w:noProof/>
          <w:lang w:val="en-GB"/>
        </w:rPr>
        <w:t xml:space="preserve">cost </w:t>
      </w:r>
      <w:r w:rsidR="00763DDC">
        <w:rPr>
          <w:rFonts w:eastAsia="Calibri" w:cs="Times New Roman"/>
          <w:b/>
          <w:bCs/>
          <w:i w:val="0"/>
          <w:iCs w:val="0"/>
          <w:noProof/>
          <w:lang w:val="en-GB"/>
        </w:rPr>
        <w:t>of</w:t>
      </w:r>
      <w:r w:rsidR="00763DDC" w:rsidRPr="00724676">
        <w:rPr>
          <w:rFonts w:eastAsia="Calibri" w:cs="Times New Roman"/>
          <w:b/>
          <w:bCs/>
          <w:i w:val="0"/>
          <w:iCs w:val="0"/>
          <w:noProof/>
          <w:lang w:val="en-GB"/>
        </w:rPr>
        <w:t xml:space="preserve"> </w:t>
      </w:r>
      <w:r w:rsidR="002A247A" w:rsidRPr="00724676">
        <w:rPr>
          <w:rFonts w:eastAsia="Calibri" w:cs="Times New Roman"/>
          <w:b/>
          <w:bCs/>
          <w:i w:val="0"/>
          <w:iCs w:val="0"/>
          <w:noProof/>
          <w:lang w:val="en-GB"/>
        </w:rPr>
        <w:t>the</w:t>
      </w:r>
      <w:r w:rsidR="00940BDB" w:rsidRPr="00724676">
        <w:rPr>
          <w:rFonts w:eastAsia="Calibri" w:cs="Times New Roman"/>
          <w:b/>
          <w:bCs/>
          <w:i w:val="0"/>
          <w:iCs w:val="0"/>
          <w:noProof/>
          <w:lang w:val="en-GB"/>
        </w:rPr>
        <w:t xml:space="preserve"> transition </w:t>
      </w:r>
      <w:r w:rsidR="001D6AC5" w:rsidRPr="00724676">
        <w:rPr>
          <w:rFonts w:eastAsia="Calibri" w:cs="Times New Roman"/>
          <w:b/>
          <w:bCs/>
          <w:i w:val="0"/>
          <w:iCs w:val="0"/>
          <w:noProof/>
          <w:lang w:val="en-GB"/>
        </w:rPr>
        <w:t>is significant</w:t>
      </w:r>
      <w:r w:rsidR="001D6AC5" w:rsidRPr="00724676">
        <w:rPr>
          <w:rFonts w:eastAsia="Calibri" w:cs="Times New Roman"/>
          <w:i w:val="0"/>
          <w:iCs w:val="0"/>
          <w:noProof/>
          <w:lang w:val="en-GB"/>
        </w:rPr>
        <w:t xml:space="preserve"> and </w:t>
      </w:r>
      <w:r w:rsidR="002A247A" w:rsidRPr="00724676">
        <w:rPr>
          <w:rFonts w:eastAsia="Calibri" w:cs="Times New Roman"/>
          <w:i w:val="0"/>
          <w:iCs w:val="0"/>
          <w:noProof/>
          <w:lang w:val="en-GB"/>
        </w:rPr>
        <w:t>requires</w:t>
      </w:r>
      <w:r w:rsidR="001D6AC5" w:rsidRPr="00724676">
        <w:rPr>
          <w:rFonts w:eastAsia="Calibri" w:cs="Times New Roman"/>
          <w:i w:val="0"/>
          <w:iCs w:val="0"/>
          <w:noProof/>
          <w:lang w:val="en-GB"/>
        </w:rPr>
        <w:t xml:space="preserve"> support.</w:t>
      </w:r>
      <w:r w:rsidR="00940BDB" w:rsidRPr="00724676">
        <w:rPr>
          <w:rFonts w:eastAsia="Calibri" w:cs="Times New Roman"/>
          <w:i w:val="0"/>
          <w:iCs w:val="0"/>
          <w:noProof/>
          <w:lang w:val="en-GB"/>
        </w:rPr>
        <w:t xml:space="preserve"> </w:t>
      </w:r>
      <w:r w:rsidR="00D9538E" w:rsidRPr="00724676">
        <w:rPr>
          <w:rFonts w:eastAsia="Calibri" w:cs="Times New Roman"/>
          <w:i w:val="0"/>
          <w:iCs w:val="0"/>
          <w:noProof/>
          <w:lang w:val="en-GB"/>
        </w:rPr>
        <w:t>The economic impact o</w:t>
      </w:r>
      <w:r w:rsidR="00755E9E" w:rsidRPr="00724676">
        <w:rPr>
          <w:rFonts w:eastAsia="Calibri" w:cs="Times New Roman"/>
          <w:i w:val="0"/>
          <w:iCs w:val="0"/>
          <w:noProof/>
          <w:lang w:val="en-GB"/>
        </w:rPr>
        <w:t>f</w:t>
      </w:r>
      <w:r w:rsidR="00D9538E" w:rsidRPr="00724676">
        <w:rPr>
          <w:rFonts w:eastAsia="Calibri" w:cs="Times New Roman"/>
          <w:i w:val="0"/>
          <w:iCs w:val="0"/>
          <w:noProof/>
          <w:lang w:val="en-GB"/>
        </w:rPr>
        <w:t xml:space="preserve"> complying </w:t>
      </w:r>
      <w:r w:rsidR="00526E40" w:rsidRPr="00724676">
        <w:rPr>
          <w:rFonts w:eastAsia="Calibri" w:cs="Times New Roman"/>
          <w:i w:val="0"/>
          <w:iCs w:val="0"/>
          <w:noProof/>
          <w:lang w:val="en-GB"/>
        </w:rPr>
        <w:t xml:space="preserve">with </w:t>
      </w:r>
      <w:r w:rsidR="002A247A" w:rsidRPr="00724676">
        <w:rPr>
          <w:rFonts w:eastAsia="Calibri" w:cs="Times New Roman"/>
          <w:i w:val="0"/>
          <w:iCs w:val="0"/>
          <w:noProof/>
          <w:lang w:val="en-GB"/>
        </w:rPr>
        <w:t>the</w:t>
      </w:r>
      <w:r w:rsidR="00526E40" w:rsidRPr="00724676">
        <w:rPr>
          <w:rFonts w:eastAsia="Calibri" w:cs="Times New Roman"/>
          <w:i w:val="0"/>
          <w:iCs w:val="0"/>
          <w:noProof/>
          <w:lang w:val="en-GB"/>
        </w:rPr>
        <w:t xml:space="preserve"> </w:t>
      </w:r>
      <w:r w:rsidR="004B4756" w:rsidRPr="00724676">
        <w:rPr>
          <w:rFonts w:eastAsia="Calibri" w:cs="Times New Roman"/>
          <w:i w:val="0"/>
          <w:iCs w:val="0"/>
          <w:noProof/>
          <w:lang w:val="en-GB"/>
        </w:rPr>
        <w:t>first requirement of</w:t>
      </w:r>
      <w:r w:rsidR="00526E40" w:rsidRPr="00724676">
        <w:rPr>
          <w:rFonts w:eastAsia="Calibri" w:cs="Times New Roman"/>
          <w:i w:val="0"/>
          <w:iCs w:val="0"/>
          <w:noProof/>
          <w:lang w:val="en-GB"/>
        </w:rPr>
        <w:t xml:space="preserve"> </w:t>
      </w:r>
      <w:r w:rsidR="00B47D24" w:rsidRPr="00724676">
        <w:rPr>
          <w:rFonts w:eastAsia="Calibri" w:cs="Times New Roman"/>
          <w:i w:val="0"/>
          <w:iCs w:val="0"/>
          <w:noProof/>
          <w:lang w:val="en-GB"/>
        </w:rPr>
        <w:t xml:space="preserve">GAEC 8 </w:t>
      </w:r>
      <w:r w:rsidR="00F52417" w:rsidRPr="00724676">
        <w:rPr>
          <w:rFonts w:eastAsia="Calibri" w:cs="Times New Roman"/>
          <w:i w:val="0"/>
          <w:iCs w:val="0"/>
          <w:noProof/>
          <w:lang w:val="en-GB"/>
        </w:rPr>
        <w:t xml:space="preserve">alone </w:t>
      </w:r>
      <w:r w:rsidR="00B47D24" w:rsidRPr="00724676">
        <w:rPr>
          <w:rFonts w:eastAsia="Calibri" w:cs="Times New Roman"/>
          <w:i w:val="0"/>
          <w:iCs w:val="0"/>
          <w:noProof/>
          <w:lang w:val="en-GB"/>
        </w:rPr>
        <w:t xml:space="preserve">is estimated to </w:t>
      </w:r>
      <w:r w:rsidR="00526E40" w:rsidRPr="00724676">
        <w:rPr>
          <w:rFonts w:eastAsia="Calibri" w:cs="Times New Roman"/>
          <w:i w:val="0"/>
          <w:iCs w:val="0"/>
          <w:noProof/>
          <w:lang w:val="en-GB"/>
        </w:rPr>
        <w:t xml:space="preserve">be </w:t>
      </w:r>
      <w:r w:rsidR="67C90278" w:rsidRPr="00724676">
        <w:rPr>
          <w:rFonts w:eastAsia="Calibri" w:cs="Times New Roman"/>
          <w:i w:val="0"/>
          <w:iCs w:val="0"/>
          <w:noProof/>
          <w:lang w:val="en-GB"/>
        </w:rPr>
        <w:t xml:space="preserve">around </w:t>
      </w:r>
      <w:r w:rsidR="00B54A39" w:rsidRPr="00724676">
        <w:rPr>
          <w:rFonts w:eastAsia="Calibri" w:cs="Times New Roman"/>
          <w:i w:val="0"/>
          <w:iCs w:val="0"/>
          <w:noProof/>
          <w:lang w:val="en-GB"/>
        </w:rPr>
        <w:t xml:space="preserve">EUR </w:t>
      </w:r>
      <w:r w:rsidR="00B47D24" w:rsidRPr="00724676">
        <w:rPr>
          <w:rFonts w:eastAsia="Calibri" w:cs="Times New Roman"/>
          <w:i w:val="0"/>
          <w:iCs w:val="0"/>
          <w:noProof/>
          <w:lang w:val="en-GB"/>
        </w:rPr>
        <w:t>930 million annually.</w:t>
      </w:r>
      <w:r w:rsidR="4B370187" w:rsidRPr="00724676">
        <w:rPr>
          <w:rFonts w:eastAsia="Calibri" w:cs="Times New Roman"/>
          <w:i w:val="0"/>
          <w:iCs w:val="0"/>
          <w:noProof/>
          <w:lang w:val="en-GB"/>
        </w:rPr>
        <w:t xml:space="preserve"> The policy mix was </w:t>
      </w:r>
      <w:r w:rsidR="00451EE1" w:rsidRPr="00724676">
        <w:rPr>
          <w:rFonts w:eastAsia="Calibri" w:cs="Times New Roman"/>
          <w:i w:val="0"/>
          <w:iCs w:val="0"/>
          <w:noProof/>
          <w:lang w:val="en-GB"/>
        </w:rPr>
        <w:t xml:space="preserve">thus </w:t>
      </w:r>
      <w:r w:rsidR="4B370187" w:rsidRPr="00724676">
        <w:rPr>
          <w:rFonts w:eastAsia="Calibri" w:cs="Times New Roman"/>
          <w:i w:val="0"/>
          <w:iCs w:val="0"/>
          <w:noProof/>
          <w:lang w:val="en-GB"/>
        </w:rPr>
        <w:t xml:space="preserve">rebalanced and </w:t>
      </w:r>
      <w:r w:rsidR="4B370187" w:rsidRPr="00724676">
        <w:rPr>
          <w:rFonts w:eastAsia="Calibri" w:cs="Times New Roman"/>
          <w:i w:val="0"/>
          <w:iCs w:val="0"/>
          <w:noProof/>
          <w:lang w:val="en-GB"/>
        </w:rPr>
        <w:lastRenderedPageBreak/>
        <w:t xml:space="preserve">moved away from obligations </w:t>
      </w:r>
      <w:r w:rsidR="00B30BE0" w:rsidRPr="00724676">
        <w:rPr>
          <w:rFonts w:eastAsia="Calibri" w:cs="Times New Roman"/>
          <w:i w:val="0"/>
          <w:iCs w:val="0"/>
          <w:noProof/>
          <w:lang w:val="en-GB"/>
        </w:rPr>
        <w:t>towards</w:t>
      </w:r>
      <w:r w:rsidR="4B370187" w:rsidRPr="00724676">
        <w:rPr>
          <w:rFonts w:eastAsia="Calibri" w:cs="Times New Roman"/>
          <w:i w:val="0"/>
          <w:iCs w:val="0"/>
          <w:noProof/>
          <w:lang w:val="en-GB"/>
        </w:rPr>
        <w:t xml:space="preserve"> incentives. </w:t>
      </w:r>
      <w:r w:rsidR="56CB21F7" w:rsidRPr="6FE283EC">
        <w:rPr>
          <w:rFonts w:eastAsia="Calibri" w:cs="Times New Roman"/>
          <w:i w:val="0"/>
          <w:iCs w:val="0"/>
          <w:noProof/>
          <w:lang w:val="en-GB"/>
        </w:rPr>
        <w:t>This</w:t>
      </w:r>
      <w:r w:rsidR="09A4F217" w:rsidRPr="6FE283EC">
        <w:rPr>
          <w:rFonts w:eastAsia="Calibri" w:cs="Times New Roman"/>
          <w:i w:val="0"/>
          <w:iCs w:val="0"/>
          <w:noProof/>
          <w:lang w:val="en-GB"/>
        </w:rPr>
        <w:t xml:space="preserve"> replacement </w:t>
      </w:r>
      <w:r w:rsidR="3145B922" w:rsidRPr="6FE283EC">
        <w:rPr>
          <w:rFonts w:eastAsia="Calibri" w:cs="Times New Roman"/>
          <w:i w:val="0"/>
          <w:iCs w:val="0"/>
          <w:noProof/>
          <w:lang w:val="en-GB"/>
        </w:rPr>
        <w:t xml:space="preserve">of GAEC 8 first requirement </w:t>
      </w:r>
      <w:r w:rsidR="00526E40" w:rsidRPr="00724676">
        <w:rPr>
          <w:rFonts w:eastAsia="Calibri" w:cs="Times New Roman"/>
          <w:i w:val="0"/>
          <w:iCs w:val="0"/>
          <w:noProof/>
          <w:lang w:val="en-GB"/>
        </w:rPr>
        <w:t>with</w:t>
      </w:r>
      <w:r w:rsidR="00F17B93" w:rsidRPr="00724676">
        <w:rPr>
          <w:rFonts w:eastAsia="Calibri" w:cs="Times New Roman"/>
          <w:i w:val="0"/>
          <w:iCs w:val="0"/>
          <w:noProof/>
          <w:lang w:val="en-GB"/>
        </w:rPr>
        <w:t xml:space="preserve"> </w:t>
      </w:r>
      <w:r w:rsidR="002846F9" w:rsidRPr="00724676">
        <w:rPr>
          <w:rFonts w:eastAsia="Calibri" w:cs="Times New Roman"/>
          <w:i w:val="0"/>
          <w:iCs w:val="0"/>
          <w:noProof/>
          <w:lang w:val="en-GB"/>
        </w:rPr>
        <w:t xml:space="preserve">a </w:t>
      </w:r>
      <w:r w:rsidR="00526E40" w:rsidRPr="00724676">
        <w:rPr>
          <w:rFonts w:eastAsia="Calibri" w:cs="Times New Roman"/>
          <w:i w:val="0"/>
          <w:iCs w:val="0"/>
          <w:noProof/>
          <w:lang w:val="en-GB"/>
        </w:rPr>
        <w:t xml:space="preserve">voluntary </w:t>
      </w:r>
      <w:r w:rsidR="00F17B93" w:rsidRPr="00724676">
        <w:rPr>
          <w:rFonts w:eastAsia="Calibri" w:cs="Times New Roman"/>
          <w:i w:val="0"/>
          <w:iCs w:val="0"/>
          <w:noProof/>
          <w:lang w:val="en-GB"/>
        </w:rPr>
        <w:t xml:space="preserve">eco-scheme aims to </w:t>
      </w:r>
      <w:r w:rsidR="00E5267E" w:rsidRPr="00724676">
        <w:rPr>
          <w:rFonts w:eastAsia="Calibri" w:cs="Times New Roman"/>
          <w:i w:val="0"/>
          <w:iCs w:val="0"/>
          <w:noProof/>
          <w:lang w:val="en-GB"/>
        </w:rPr>
        <w:t>creat</w:t>
      </w:r>
      <w:r w:rsidR="000400FC" w:rsidRPr="00724676">
        <w:rPr>
          <w:rFonts w:eastAsia="Calibri" w:cs="Times New Roman"/>
          <w:i w:val="0"/>
          <w:iCs w:val="0"/>
          <w:noProof/>
          <w:lang w:val="en-GB"/>
        </w:rPr>
        <w:t>e</w:t>
      </w:r>
      <w:r w:rsidR="001D50B5" w:rsidRPr="00724676">
        <w:rPr>
          <w:rFonts w:eastAsia="Calibri" w:cs="Times New Roman"/>
          <w:i w:val="0"/>
          <w:iCs w:val="0"/>
          <w:noProof/>
          <w:lang w:val="en-GB"/>
        </w:rPr>
        <w:t xml:space="preserve"> areas for </w:t>
      </w:r>
      <w:r w:rsidR="00362DC8" w:rsidRPr="00724676">
        <w:rPr>
          <w:rFonts w:eastAsia="Calibri" w:cs="Times New Roman"/>
          <w:i w:val="0"/>
          <w:iCs w:val="0"/>
          <w:noProof/>
          <w:lang w:val="en-GB"/>
        </w:rPr>
        <w:t xml:space="preserve">biodiversity </w:t>
      </w:r>
      <w:r w:rsidR="00F77113" w:rsidRPr="00724676">
        <w:rPr>
          <w:rFonts w:eastAsia="Calibri" w:cs="Times New Roman"/>
          <w:i w:val="0"/>
          <w:iCs w:val="0"/>
          <w:noProof/>
          <w:lang w:val="en-GB"/>
        </w:rPr>
        <w:t xml:space="preserve">in a way that takes account of farmers’ </w:t>
      </w:r>
      <w:r w:rsidR="00FD627F" w:rsidRPr="00724676">
        <w:rPr>
          <w:rFonts w:eastAsia="Calibri" w:cs="Times New Roman"/>
          <w:i w:val="0"/>
          <w:iCs w:val="0"/>
          <w:noProof/>
          <w:lang w:val="en-GB"/>
        </w:rPr>
        <w:t>concerns</w:t>
      </w:r>
      <w:r w:rsidR="0049499D" w:rsidRPr="00724676">
        <w:rPr>
          <w:rFonts w:eastAsia="Calibri" w:cs="Times New Roman"/>
          <w:i w:val="0"/>
          <w:iCs w:val="0"/>
          <w:noProof/>
          <w:lang w:val="en-GB"/>
        </w:rPr>
        <w:t xml:space="preserve"> and</w:t>
      </w:r>
      <w:r w:rsidR="004B4756" w:rsidRPr="00724676">
        <w:rPr>
          <w:rFonts w:eastAsia="Calibri" w:cs="Times New Roman"/>
          <w:i w:val="0"/>
          <w:iCs w:val="0"/>
          <w:noProof/>
          <w:lang w:val="en-GB"/>
        </w:rPr>
        <w:t xml:space="preserve"> compensate</w:t>
      </w:r>
      <w:r w:rsidR="0049499D" w:rsidRPr="00724676">
        <w:rPr>
          <w:rFonts w:eastAsia="Calibri" w:cs="Times New Roman"/>
          <w:i w:val="0"/>
          <w:iCs w:val="0"/>
          <w:noProof/>
          <w:lang w:val="en-GB"/>
        </w:rPr>
        <w:t>s</w:t>
      </w:r>
      <w:r w:rsidR="004B4756" w:rsidRPr="00724676">
        <w:rPr>
          <w:rFonts w:eastAsia="Calibri" w:cs="Times New Roman"/>
          <w:i w:val="0"/>
          <w:iCs w:val="0"/>
          <w:noProof/>
          <w:lang w:val="en-GB"/>
        </w:rPr>
        <w:t xml:space="preserve"> the</w:t>
      </w:r>
      <w:r w:rsidR="00763DDC">
        <w:rPr>
          <w:rFonts w:eastAsia="Calibri" w:cs="Times New Roman"/>
          <w:i w:val="0"/>
          <w:iCs w:val="0"/>
          <w:noProof/>
          <w:lang w:val="en-GB"/>
        </w:rPr>
        <w:t>m for the</w:t>
      </w:r>
      <w:r w:rsidR="004B4756" w:rsidRPr="00724676">
        <w:rPr>
          <w:rFonts w:eastAsia="Calibri" w:cs="Times New Roman"/>
          <w:i w:val="0"/>
          <w:iCs w:val="0"/>
          <w:noProof/>
          <w:lang w:val="en-GB"/>
        </w:rPr>
        <w:t xml:space="preserve"> </w:t>
      </w:r>
      <w:r w:rsidR="00DD179C" w:rsidRPr="00724676">
        <w:rPr>
          <w:rFonts w:eastAsia="Calibri" w:cs="Times New Roman"/>
          <w:i w:val="0"/>
          <w:iCs w:val="0"/>
          <w:noProof/>
          <w:lang w:val="en-GB"/>
        </w:rPr>
        <w:t>ef</w:t>
      </w:r>
      <w:r w:rsidR="004B4756" w:rsidRPr="00724676">
        <w:rPr>
          <w:rFonts w:eastAsia="Calibri" w:cs="Times New Roman"/>
          <w:i w:val="0"/>
          <w:iCs w:val="0"/>
          <w:noProof/>
          <w:lang w:val="en-GB"/>
        </w:rPr>
        <w:t>fort</w:t>
      </w:r>
      <w:r w:rsidR="000E36DD" w:rsidRPr="00724676">
        <w:rPr>
          <w:rFonts w:eastAsia="Calibri" w:cs="Times New Roman"/>
          <w:i w:val="0"/>
          <w:iCs w:val="0"/>
          <w:noProof/>
          <w:lang w:val="en-GB"/>
        </w:rPr>
        <w:t>s</w:t>
      </w:r>
      <w:r w:rsidR="004B4756" w:rsidRPr="00724676">
        <w:rPr>
          <w:rFonts w:eastAsia="Calibri" w:cs="Times New Roman"/>
          <w:i w:val="0"/>
          <w:iCs w:val="0"/>
          <w:noProof/>
          <w:lang w:val="en-GB"/>
        </w:rPr>
        <w:t xml:space="preserve"> </w:t>
      </w:r>
      <w:r w:rsidR="01F2310A" w:rsidRPr="6FE283EC">
        <w:rPr>
          <w:rFonts w:eastAsia="Calibri" w:cs="Times New Roman"/>
          <w:i w:val="0"/>
          <w:iCs w:val="0"/>
          <w:noProof/>
          <w:lang w:val="en-GB"/>
        </w:rPr>
        <w:t>they</w:t>
      </w:r>
      <w:r w:rsidR="00763DDC">
        <w:rPr>
          <w:rFonts w:eastAsia="Calibri" w:cs="Times New Roman"/>
          <w:i w:val="0"/>
          <w:iCs w:val="0"/>
          <w:noProof/>
          <w:lang w:val="en-GB"/>
        </w:rPr>
        <w:t xml:space="preserve"> make</w:t>
      </w:r>
      <w:r w:rsidR="00A619B5" w:rsidRPr="00724676">
        <w:rPr>
          <w:rFonts w:eastAsia="Calibri" w:cs="Times New Roman"/>
          <w:i w:val="0"/>
          <w:iCs w:val="0"/>
          <w:noProof/>
          <w:lang w:val="en-GB"/>
        </w:rPr>
        <w:t xml:space="preserve">, mitigating the negative </w:t>
      </w:r>
      <w:r w:rsidR="0024581B" w:rsidRPr="00724676">
        <w:rPr>
          <w:rFonts w:eastAsia="Calibri" w:cs="Times New Roman"/>
          <w:i w:val="0"/>
          <w:iCs w:val="0"/>
          <w:noProof/>
          <w:lang w:val="en-GB"/>
        </w:rPr>
        <w:t>impact of ending the obligation</w:t>
      </w:r>
      <w:r w:rsidR="0096113C" w:rsidRPr="00724676">
        <w:rPr>
          <w:rFonts w:eastAsia="Calibri" w:cs="Times New Roman"/>
          <w:i w:val="0"/>
          <w:iCs w:val="0"/>
          <w:noProof/>
          <w:lang w:val="en-GB"/>
        </w:rPr>
        <w:t xml:space="preserve">. </w:t>
      </w:r>
      <w:r w:rsidR="006A5D3D">
        <w:rPr>
          <w:rFonts w:eastAsia="Calibri" w:cs="Times New Roman"/>
          <w:i w:val="0"/>
          <w:iCs w:val="0"/>
          <w:noProof/>
          <w:lang w:val="en-GB"/>
        </w:rPr>
        <w:t>Providing a</w:t>
      </w:r>
      <w:r w:rsidR="00024A36" w:rsidRPr="00724676">
        <w:rPr>
          <w:rFonts w:eastAsia="Calibri" w:cs="Times New Roman"/>
          <w:i w:val="0"/>
          <w:iCs w:val="0"/>
          <w:noProof/>
          <w:lang w:val="en-GB"/>
        </w:rPr>
        <w:t>dvice</w:t>
      </w:r>
      <w:r w:rsidR="006A5D3D">
        <w:rPr>
          <w:rFonts w:eastAsia="Calibri" w:cs="Times New Roman"/>
          <w:i w:val="0"/>
          <w:iCs w:val="0"/>
          <w:noProof/>
          <w:lang w:val="en-GB"/>
        </w:rPr>
        <w:t>,</w:t>
      </w:r>
      <w:r w:rsidR="00E40F68" w:rsidRPr="00724676">
        <w:rPr>
          <w:rFonts w:eastAsia="Calibri" w:cs="Times New Roman"/>
          <w:i w:val="0"/>
          <w:iCs w:val="0"/>
          <w:noProof/>
          <w:lang w:val="en-GB"/>
        </w:rPr>
        <w:t xml:space="preserve"> and </w:t>
      </w:r>
      <w:r w:rsidR="000F1135" w:rsidRPr="00724676">
        <w:rPr>
          <w:rFonts w:eastAsia="Calibri" w:cs="Times New Roman"/>
          <w:i w:val="0"/>
          <w:iCs w:val="0"/>
          <w:noProof/>
          <w:lang w:val="en-GB"/>
        </w:rPr>
        <w:t xml:space="preserve">a </w:t>
      </w:r>
      <w:r w:rsidR="00FB345D" w:rsidRPr="00724676">
        <w:rPr>
          <w:rFonts w:eastAsia="Calibri" w:cs="Times New Roman"/>
          <w:i w:val="0"/>
          <w:iCs w:val="0"/>
          <w:noProof/>
          <w:lang w:val="en-GB"/>
        </w:rPr>
        <w:t>customised policy approach</w:t>
      </w:r>
      <w:r w:rsidR="006A5D3D">
        <w:rPr>
          <w:rFonts w:eastAsia="Calibri" w:cs="Times New Roman"/>
          <w:i w:val="0"/>
          <w:iCs w:val="0"/>
          <w:noProof/>
          <w:lang w:val="en-GB"/>
        </w:rPr>
        <w:t>,</w:t>
      </w:r>
      <w:r w:rsidR="000F1135" w:rsidRPr="00724676">
        <w:rPr>
          <w:rFonts w:eastAsia="Calibri" w:cs="Times New Roman"/>
          <w:i w:val="0"/>
          <w:iCs w:val="0"/>
          <w:noProof/>
          <w:lang w:val="en-GB"/>
        </w:rPr>
        <w:t xml:space="preserve"> </w:t>
      </w:r>
      <w:r w:rsidR="00FE599C" w:rsidRPr="00724676">
        <w:rPr>
          <w:rFonts w:eastAsia="Calibri" w:cs="Times New Roman"/>
          <w:i w:val="0"/>
          <w:iCs w:val="0"/>
          <w:noProof/>
          <w:lang w:val="en-GB"/>
        </w:rPr>
        <w:t>remain of utmost importance</w:t>
      </w:r>
      <w:r w:rsidR="00024A36" w:rsidRPr="00724676">
        <w:rPr>
          <w:rFonts w:eastAsia="Calibri" w:cs="Times New Roman"/>
          <w:i w:val="0"/>
          <w:iCs w:val="0"/>
          <w:noProof/>
          <w:lang w:val="en-GB"/>
        </w:rPr>
        <w:t>.</w:t>
      </w:r>
      <w:r w:rsidR="0025047C" w:rsidRPr="00724676">
        <w:rPr>
          <w:rFonts w:eastAsia="Calibri" w:cs="Times New Roman"/>
          <w:i w:val="0"/>
          <w:iCs w:val="0"/>
          <w:noProof/>
          <w:lang w:val="en-GB"/>
        </w:rPr>
        <w:t xml:space="preserve"> </w:t>
      </w:r>
      <w:r w:rsidR="00AF544E" w:rsidRPr="00724676">
        <w:rPr>
          <w:rFonts w:eastAsia="Calibri" w:cs="Times New Roman"/>
          <w:i w:val="0"/>
          <w:iCs w:val="0"/>
          <w:noProof/>
          <w:lang w:val="en-GB"/>
        </w:rPr>
        <w:t>M</w:t>
      </w:r>
      <w:r w:rsidR="00FB345D" w:rsidRPr="00724676">
        <w:rPr>
          <w:rFonts w:eastAsia="Calibri" w:cs="Times New Roman"/>
          <w:i w:val="0"/>
          <w:iCs w:val="0"/>
          <w:noProof/>
          <w:lang w:val="en-GB"/>
        </w:rPr>
        <w:t xml:space="preserve">aking </w:t>
      </w:r>
      <w:r w:rsidR="00F70904" w:rsidRPr="00724676">
        <w:rPr>
          <w:rFonts w:eastAsia="Calibri" w:cs="Times New Roman"/>
          <w:b/>
          <w:bCs/>
          <w:i w:val="0"/>
          <w:iCs w:val="0"/>
          <w:noProof/>
          <w:lang w:val="en-GB"/>
        </w:rPr>
        <w:t xml:space="preserve">requirements </w:t>
      </w:r>
      <w:r w:rsidR="006A5D3D">
        <w:rPr>
          <w:rFonts w:eastAsia="Calibri" w:cs="Times New Roman"/>
          <w:b/>
          <w:bCs/>
          <w:i w:val="0"/>
          <w:iCs w:val="0"/>
          <w:noProof/>
          <w:lang w:val="en-GB"/>
        </w:rPr>
        <w:t>better adapted to specific sites</w:t>
      </w:r>
      <w:r w:rsidR="00F70904" w:rsidRPr="00724676">
        <w:rPr>
          <w:rFonts w:eastAsia="Calibri" w:cs="Times New Roman"/>
          <w:b/>
          <w:bCs/>
          <w:i w:val="0"/>
          <w:iCs w:val="0"/>
          <w:noProof/>
          <w:lang w:val="en-GB"/>
        </w:rPr>
        <w:t xml:space="preserve"> </w:t>
      </w:r>
      <w:r w:rsidR="00FB345D" w:rsidRPr="00724676">
        <w:rPr>
          <w:rFonts w:eastAsia="Calibri" w:cs="Times New Roman"/>
          <w:i w:val="0"/>
          <w:iCs w:val="0"/>
          <w:noProof/>
          <w:lang w:val="en-GB"/>
        </w:rPr>
        <w:t>should</w:t>
      </w:r>
      <w:r w:rsidR="00AF544E" w:rsidRPr="00724676">
        <w:rPr>
          <w:rFonts w:eastAsia="Calibri" w:cs="Times New Roman"/>
          <w:i w:val="0"/>
          <w:iCs w:val="0"/>
          <w:noProof/>
          <w:lang w:val="en-GB"/>
        </w:rPr>
        <w:t xml:space="preserve"> </w:t>
      </w:r>
      <w:r w:rsidR="000272B6" w:rsidRPr="00724676">
        <w:rPr>
          <w:rFonts w:eastAsia="Calibri" w:cs="Times New Roman"/>
          <w:i w:val="0"/>
          <w:iCs w:val="0"/>
          <w:noProof/>
          <w:lang w:val="en-GB"/>
        </w:rPr>
        <w:t xml:space="preserve">improve </w:t>
      </w:r>
      <w:r w:rsidR="006A5D3D">
        <w:rPr>
          <w:rFonts w:eastAsia="Calibri" w:cs="Times New Roman"/>
          <w:i w:val="0"/>
          <w:iCs w:val="0"/>
          <w:noProof/>
          <w:lang w:val="en-GB"/>
        </w:rPr>
        <w:t>farmers’</w:t>
      </w:r>
      <w:r w:rsidR="006A5D3D" w:rsidRPr="00724676">
        <w:rPr>
          <w:rFonts w:eastAsia="Calibri" w:cs="Times New Roman"/>
          <w:i w:val="0"/>
          <w:iCs w:val="0"/>
          <w:noProof/>
          <w:lang w:val="en-GB"/>
        </w:rPr>
        <w:t xml:space="preserve"> </w:t>
      </w:r>
      <w:r w:rsidR="000272B6" w:rsidRPr="00724676">
        <w:rPr>
          <w:rFonts w:eastAsia="Calibri" w:cs="Times New Roman"/>
          <w:i w:val="0"/>
          <w:iCs w:val="0"/>
          <w:noProof/>
          <w:lang w:val="en-GB"/>
        </w:rPr>
        <w:t xml:space="preserve">understanding and </w:t>
      </w:r>
      <w:r w:rsidR="00FB345D" w:rsidRPr="00724676">
        <w:rPr>
          <w:rFonts w:eastAsia="Calibri" w:cs="Times New Roman"/>
          <w:b/>
          <w:bCs/>
          <w:i w:val="0"/>
          <w:iCs w:val="0"/>
          <w:noProof/>
          <w:lang w:val="en-GB"/>
        </w:rPr>
        <w:t>acceptance</w:t>
      </w:r>
      <w:r w:rsidR="00F70904" w:rsidRPr="00724676">
        <w:rPr>
          <w:rFonts w:eastAsia="Calibri" w:cs="Times New Roman"/>
          <w:b/>
          <w:bCs/>
          <w:i w:val="0"/>
          <w:iCs w:val="0"/>
          <w:noProof/>
          <w:lang w:val="en-GB"/>
        </w:rPr>
        <w:t xml:space="preserve"> </w:t>
      </w:r>
      <w:r w:rsidR="00276825" w:rsidRPr="00724676">
        <w:rPr>
          <w:rFonts w:eastAsia="Calibri" w:cs="Times New Roman"/>
          <w:b/>
          <w:bCs/>
          <w:i w:val="0"/>
          <w:iCs w:val="0"/>
          <w:noProof/>
          <w:lang w:val="en-GB"/>
        </w:rPr>
        <w:t xml:space="preserve">of the environmental </w:t>
      </w:r>
      <w:r w:rsidR="000272B6" w:rsidRPr="00724676">
        <w:rPr>
          <w:rFonts w:eastAsia="Calibri" w:cs="Times New Roman"/>
          <w:b/>
          <w:bCs/>
          <w:i w:val="0"/>
          <w:iCs w:val="0"/>
          <w:noProof/>
          <w:lang w:val="en-GB"/>
        </w:rPr>
        <w:t>objectives</w:t>
      </w:r>
      <w:r w:rsidR="00276825" w:rsidRPr="00724676">
        <w:rPr>
          <w:rFonts w:eastAsia="Calibri" w:cs="Times New Roman"/>
          <w:i w:val="0"/>
          <w:iCs w:val="0"/>
          <w:noProof/>
          <w:lang w:val="en-GB"/>
        </w:rPr>
        <w:t xml:space="preserve"> </w:t>
      </w:r>
      <w:r w:rsidR="008C2112" w:rsidRPr="00724676">
        <w:rPr>
          <w:rFonts w:eastAsia="Calibri" w:cs="Times New Roman"/>
          <w:i w:val="0"/>
          <w:iCs w:val="0"/>
          <w:noProof/>
          <w:lang w:val="en-GB"/>
        </w:rPr>
        <w:t xml:space="preserve">of the policy </w:t>
      </w:r>
      <w:r w:rsidR="00B912E5" w:rsidRPr="00724676">
        <w:rPr>
          <w:rFonts w:eastAsia="Calibri" w:cs="Times New Roman"/>
          <w:i w:val="0"/>
          <w:iCs w:val="0"/>
          <w:noProof/>
          <w:lang w:val="en-GB"/>
        </w:rPr>
        <w:t>and</w:t>
      </w:r>
      <w:r w:rsidR="00570C28" w:rsidRPr="00724676">
        <w:rPr>
          <w:rFonts w:eastAsia="Calibri" w:cs="Times New Roman"/>
          <w:i w:val="0"/>
          <w:iCs w:val="0"/>
          <w:noProof/>
          <w:lang w:val="en-GB"/>
        </w:rPr>
        <w:t xml:space="preserve"> </w:t>
      </w:r>
      <w:r w:rsidR="00247E78" w:rsidRPr="00724676">
        <w:rPr>
          <w:rFonts w:eastAsia="Calibri" w:cs="Times New Roman"/>
          <w:i w:val="0"/>
          <w:iCs w:val="0"/>
          <w:noProof/>
          <w:lang w:val="en-GB"/>
        </w:rPr>
        <w:t>improve</w:t>
      </w:r>
      <w:r w:rsidR="00F70904" w:rsidRPr="00724676">
        <w:rPr>
          <w:rFonts w:eastAsia="Calibri" w:cs="Times New Roman"/>
          <w:i w:val="0"/>
          <w:iCs w:val="0"/>
          <w:noProof/>
          <w:lang w:val="en-GB"/>
        </w:rPr>
        <w:t xml:space="preserve"> </w:t>
      </w:r>
      <w:r w:rsidR="006A5D3D">
        <w:rPr>
          <w:rFonts w:eastAsia="Calibri" w:cs="Times New Roman"/>
          <w:i w:val="0"/>
          <w:iCs w:val="0"/>
          <w:noProof/>
          <w:lang w:val="en-GB"/>
        </w:rPr>
        <w:t xml:space="preserve">the </w:t>
      </w:r>
      <w:r w:rsidR="00F70904" w:rsidRPr="00724676">
        <w:rPr>
          <w:rFonts w:eastAsia="Calibri" w:cs="Times New Roman"/>
          <w:i w:val="0"/>
          <w:iCs w:val="0"/>
          <w:noProof/>
          <w:lang w:val="en-GB"/>
        </w:rPr>
        <w:t xml:space="preserve">environmental outcomes by </w:t>
      </w:r>
      <w:r w:rsidR="06E9D4C3" w:rsidRPr="6FE283EC">
        <w:rPr>
          <w:rFonts w:eastAsia="Calibri" w:cs="Times New Roman"/>
          <w:i w:val="0"/>
          <w:iCs w:val="0"/>
          <w:noProof/>
          <w:lang w:val="en-GB"/>
        </w:rPr>
        <w:t>avoid</w:t>
      </w:r>
      <w:r w:rsidR="4D452991" w:rsidRPr="6FE283EC">
        <w:rPr>
          <w:rFonts w:eastAsia="Calibri" w:cs="Times New Roman"/>
          <w:i w:val="0"/>
          <w:iCs w:val="0"/>
          <w:noProof/>
          <w:lang w:val="en-GB"/>
        </w:rPr>
        <w:t>ing</w:t>
      </w:r>
      <w:r w:rsidR="1CC800AB" w:rsidRPr="6FE283EC">
        <w:rPr>
          <w:rFonts w:eastAsia="Calibri" w:cs="Times New Roman"/>
          <w:i w:val="0"/>
          <w:iCs w:val="0"/>
          <w:noProof/>
          <w:lang w:val="en-GB"/>
        </w:rPr>
        <w:t xml:space="preserve"> </w:t>
      </w:r>
      <w:r w:rsidR="00F70904" w:rsidRPr="00724676">
        <w:rPr>
          <w:rFonts w:eastAsia="Calibri" w:cs="Times New Roman"/>
          <w:i w:val="0"/>
          <w:iCs w:val="0"/>
          <w:noProof/>
          <w:lang w:val="en-GB"/>
        </w:rPr>
        <w:t>counter</w:t>
      </w:r>
      <w:r w:rsidR="00640CA7" w:rsidRPr="00724676">
        <w:rPr>
          <w:rFonts w:eastAsia="Calibri" w:cs="Times New Roman"/>
          <w:i w:val="0"/>
          <w:iCs w:val="0"/>
          <w:noProof/>
          <w:lang w:val="en-GB"/>
        </w:rPr>
        <w:t>productive</w:t>
      </w:r>
      <w:r w:rsidR="00F70904" w:rsidRPr="00724676">
        <w:rPr>
          <w:rFonts w:eastAsia="Calibri" w:cs="Times New Roman"/>
          <w:i w:val="0"/>
          <w:iCs w:val="0"/>
          <w:noProof/>
          <w:lang w:val="en-GB"/>
        </w:rPr>
        <w:t xml:space="preserve"> practices.</w:t>
      </w:r>
    </w:p>
    <w:p w14:paraId="30932B3E" w14:textId="3FEEC5D7" w:rsidR="00A77F15" w:rsidRPr="00724676" w:rsidRDefault="005E77CC" w:rsidP="10339F63">
      <w:pPr>
        <w:pStyle w:val="P68B1DB1-Normal3"/>
        <w:spacing w:after="120"/>
        <w:rPr>
          <w:rFonts w:eastAsia="Calibri"/>
          <w:i w:val="0"/>
          <w:iCs w:val="0"/>
          <w:noProof/>
          <w:lang w:val="en-GB"/>
        </w:rPr>
      </w:pPr>
      <w:r w:rsidRPr="10339F63">
        <w:rPr>
          <w:rFonts w:eastAsia="Calibri" w:cs="Times New Roman"/>
          <w:i w:val="0"/>
          <w:iCs w:val="0"/>
          <w:noProof/>
          <w:lang w:val="en-GB"/>
        </w:rPr>
        <w:t xml:space="preserve">A variety of </w:t>
      </w:r>
      <w:r w:rsidRPr="10339F63">
        <w:rPr>
          <w:rFonts w:eastAsia="Calibri" w:cs="Times New Roman"/>
          <w:b/>
          <w:bCs/>
          <w:i w:val="0"/>
          <w:iCs w:val="0"/>
          <w:noProof/>
          <w:lang w:val="en-GB"/>
        </w:rPr>
        <w:t>suggestions</w:t>
      </w:r>
      <w:r w:rsidRPr="10339F63">
        <w:rPr>
          <w:rFonts w:eastAsia="Calibri" w:cs="Times New Roman"/>
          <w:i w:val="0"/>
          <w:iCs w:val="0"/>
          <w:noProof/>
          <w:lang w:val="en-GB"/>
        </w:rPr>
        <w:t xml:space="preserve"> raised in </w:t>
      </w:r>
      <w:r w:rsidR="137B49C0" w:rsidRPr="10339F63">
        <w:rPr>
          <w:rFonts w:eastAsia="Calibri" w:cs="Times New Roman"/>
          <w:i w:val="0"/>
          <w:iCs w:val="0"/>
          <w:noProof/>
          <w:lang w:val="en-GB"/>
        </w:rPr>
        <w:t xml:space="preserve">consultation </w:t>
      </w:r>
      <w:r w:rsidR="00AA5AEF" w:rsidRPr="10339F63">
        <w:rPr>
          <w:rFonts w:eastAsia="Calibri" w:cs="Times New Roman"/>
          <w:i w:val="0"/>
          <w:iCs w:val="0"/>
          <w:noProof/>
          <w:lang w:val="en-GB"/>
        </w:rPr>
        <w:t xml:space="preserve">submissions can already be addressed </w:t>
      </w:r>
      <w:r w:rsidR="00CB27D7" w:rsidRPr="10339F63">
        <w:rPr>
          <w:rFonts w:eastAsia="Calibri" w:cs="Times New Roman"/>
          <w:i w:val="0"/>
          <w:iCs w:val="0"/>
          <w:noProof/>
          <w:lang w:val="en-GB"/>
        </w:rPr>
        <w:t xml:space="preserve">under the </w:t>
      </w:r>
      <w:r w:rsidR="00CB27D7" w:rsidRPr="10339F63">
        <w:rPr>
          <w:rFonts w:eastAsia="Calibri" w:cs="Times New Roman"/>
          <w:b/>
          <w:bCs/>
          <w:i w:val="0"/>
          <w:iCs w:val="0"/>
          <w:noProof/>
          <w:lang w:val="en-GB"/>
        </w:rPr>
        <w:t>current CAP framework</w:t>
      </w:r>
      <w:r w:rsidR="00481891" w:rsidRPr="10339F63">
        <w:rPr>
          <w:rFonts w:eastAsia="Calibri" w:cs="Times New Roman"/>
          <w:i w:val="0"/>
          <w:iCs w:val="0"/>
          <w:noProof/>
          <w:lang w:val="en-GB"/>
        </w:rPr>
        <w:t xml:space="preserve">. Member States </w:t>
      </w:r>
      <w:r w:rsidR="00DE3E56" w:rsidRPr="10339F63">
        <w:rPr>
          <w:rFonts w:eastAsia="Calibri" w:cs="Times New Roman"/>
          <w:i w:val="0"/>
          <w:iCs w:val="0"/>
          <w:noProof/>
          <w:lang w:val="en-GB"/>
        </w:rPr>
        <w:t xml:space="preserve">play a key role </w:t>
      </w:r>
      <w:r w:rsidR="008E032B" w:rsidRPr="10339F63">
        <w:rPr>
          <w:rFonts w:eastAsia="Calibri" w:cs="Times New Roman"/>
          <w:i w:val="0"/>
          <w:iCs w:val="0"/>
          <w:noProof/>
          <w:lang w:val="en-GB"/>
        </w:rPr>
        <w:t>in re</w:t>
      </w:r>
      <w:r w:rsidR="003904C3" w:rsidRPr="10339F63">
        <w:rPr>
          <w:rFonts w:eastAsia="Calibri" w:cs="Times New Roman"/>
          <w:i w:val="0"/>
          <w:iCs w:val="0"/>
          <w:noProof/>
          <w:lang w:val="en-GB"/>
        </w:rPr>
        <w:t>ducing administrative burden</w:t>
      </w:r>
      <w:r w:rsidR="006A5D3D" w:rsidRPr="10339F63">
        <w:rPr>
          <w:rFonts w:eastAsia="Calibri" w:cs="Times New Roman"/>
          <w:i w:val="0"/>
          <w:iCs w:val="0"/>
          <w:noProof/>
          <w:lang w:val="en-GB"/>
        </w:rPr>
        <w:t>s</w:t>
      </w:r>
      <w:r w:rsidR="003904C3" w:rsidRPr="10339F63">
        <w:rPr>
          <w:rFonts w:eastAsia="Calibri" w:cs="Times New Roman"/>
          <w:i w:val="0"/>
          <w:iCs w:val="0"/>
          <w:noProof/>
          <w:lang w:val="en-GB"/>
        </w:rPr>
        <w:t xml:space="preserve"> and</w:t>
      </w:r>
      <w:r w:rsidR="00481891" w:rsidRPr="10339F63">
        <w:rPr>
          <w:rFonts w:eastAsia="Calibri" w:cs="Times New Roman"/>
          <w:i w:val="0"/>
          <w:iCs w:val="0"/>
          <w:noProof/>
          <w:lang w:val="en-GB"/>
        </w:rPr>
        <w:t xml:space="preserve"> are encouraged to </w:t>
      </w:r>
      <w:r w:rsidR="00CB27D7" w:rsidRPr="10339F63">
        <w:rPr>
          <w:rFonts w:eastAsia="Calibri" w:cs="Times New Roman"/>
          <w:i w:val="0"/>
          <w:iCs w:val="0"/>
          <w:noProof/>
          <w:lang w:val="en-GB"/>
        </w:rPr>
        <w:t>tak</w:t>
      </w:r>
      <w:r w:rsidR="00FF57B3" w:rsidRPr="10339F63">
        <w:rPr>
          <w:rFonts w:eastAsia="Calibri" w:cs="Times New Roman"/>
          <w:i w:val="0"/>
          <w:iCs w:val="0"/>
          <w:noProof/>
          <w:lang w:val="en-GB"/>
        </w:rPr>
        <w:t>e</w:t>
      </w:r>
      <w:r w:rsidR="00CB27D7" w:rsidRPr="10339F63">
        <w:rPr>
          <w:rFonts w:eastAsia="Calibri" w:cs="Times New Roman"/>
          <w:i w:val="0"/>
          <w:iCs w:val="0"/>
          <w:noProof/>
          <w:lang w:val="en-GB"/>
        </w:rPr>
        <w:t xml:space="preserve"> advantage of </w:t>
      </w:r>
      <w:r w:rsidR="00DC5AF4" w:rsidRPr="10339F63">
        <w:rPr>
          <w:rFonts w:eastAsia="Calibri" w:cs="Times New Roman"/>
          <w:i w:val="0"/>
          <w:iCs w:val="0"/>
          <w:noProof/>
          <w:lang w:val="en-GB"/>
        </w:rPr>
        <w:t>th</w:t>
      </w:r>
      <w:r w:rsidR="006A5D3D" w:rsidRPr="10339F63">
        <w:rPr>
          <w:rFonts w:eastAsia="Calibri" w:cs="Times New Roman"/>
          <w:i w:val="0"/>
          <w:iCs w:val="0"/>
          <w:noProof/>
          <w:lang w:val="en-GB"/>
        </w:rPr>
        <w:t>e</w:t>
      </w:r>
      <w:r w:rsidR="00FF57B3" w:rsidRPr="10339F63">
        <w:rPr>
          <w:rFonts w:eastAsia="Calibri" w:cs="Times New Roman"/>
          <w:i w:val="0"/>
          <w:iCs w:val="0"/>
          <w:noProof/>
          <w:lang w:val="en-GB"/>
        </w:rPr>
        <w:t xml:space="preserve"> increased</w:t>
      </w:r>
      <w:r w:rsidR="00F2513E" w:rsidRPr="10339F63">
        <w:rPr>
          <w:rFonts w:eastAsia="Calibri" w:cs="Times New Roman"/>
          <w:i w:val="0"/>
          <w:iCs w:val="0"/>
          <w:noProof/>
          <w:lang w:val="en-GB"/>
        </w:rPr>
        <w:t xml:space="preserve"> </w:t>
      </w:r>
      <w:r w:rsidR="00CB27D7" w:rsidRPr="10339F63">
        <w:rPr>
          <w:rFonts w:eastAsia="Calibri" w:cs="Times New Roman"/>
          <w:i w:val="0"/>
          <w:iCs w:val="0"/>
          <w:noProof/>
          <w:lang w:val="en-GB"/>
        </w:rPr>
        <w:t>flexibilit</w:t>
      </w:r>
      <w:r w:rsidR="00AA0EFB" w:rsidRPr="10339F63">
        <w:rPr>
          <w:rFonts w:eastAsia="Calibri" w:cs="Times New Roman"/>
          <w:i w:val="0"/>
          <w:iCs w:val="0"/>
          <w:noProof/>
          <w:lang w:val="en-GB"/>
        </w:rPr>
        <w:t>y</w:t>
      </w:r>
      <w:r w:rsidR="006A5D3D" w:rsidRPr="10339F63">
        <w:rPr>
          <w:rFonts w:eastAsia="Calibri" w:cs="Times New Roman"/>
          <w:i w:val="0"/>
          <w:iCs w:val="0"/>
          <w:noProof/>
          <w:lang w:val="en-GB"/>
        </w:rPr>
        <w:t xml:space="preserve"> they now have</w:t>
      </w:r>
      <w:r w:rsidR="00663C4A" w:rsidRPr="10339F63">
        <w:rPr>
          <w:rFonts w:eastAsia="Calibri" w:cs="Times New Roman"/>
          <w:i w:val="0"/>
          <w:iCs w:val="0"/>
          <w:noProof/>
          <w:lang w:val="en-GB"/>
        </w:rPr>
        <w:t xml:space="preserve">. </w:t>
      </w:r>
      <w:r w:rsidR="00AE22BF">
        <w:rPr>
          <w:rFonts w:eastAsia="Calibri" w:cs="Times New Roman"/>
          <w:i w:val="0"/>
          <w:iCs w:val="0"/>
          <w:noProof/>
          <w:lang w:val="en-GB"/>
        </w:rPr>
        <w:br/>
      </w:r>
      <w:r w:rsidR="006A5D3D" w:rsidRPr="10339F63">
        <w:rPr>
          <w:rFonts w:eastAsia="Calibri" w:cs="Times New Roman"/>
          <w:i w:val="0"/>
          <w:iCs w:val="0"/>
          <w:noProof/>
          <w:lang w:val="en-GB"/>
        </w:rPr>
        <w:t xml:space="preserve">The </w:t>
      </w:r>
      <w:r w:rsidR="00FF57B3" w:rsidRPr="10339F63">
        <w:rPr>
          <w:rFonts w:eastAsia="Calibri" w:cs="Times New Roman"/>
          <w:i w:val="0"/>
          <w:iCs w:val="0"/>
          <w:noProof/>
          <w:lang w:val="en-GB"/>
        </w:rPr>
        <w:t>Commission will continue to assist them</w:t>
      </w:r>
      <w:r w:rsidR="00C327C2" w:rsidRPr="10339F63">
        <w:rPr>
          <w:rFonts w:eastAsia="Calibri" w:cs="Times New Roman"/>
          <w:i w:val="0"/>
          <w:iCs w:val="0"/>
          <w:noProof/>
          <w:lang w:val="en-GB"/>
        </w:rPr>
        <w:t xml:space="preserve"> and help </w:t>
      </w:r>
      <w:r w:rsidR="00A7478B" w:rsidRPr="10339F63">
        <w:rPr>
          <w:rFonts w:eastAsia="Calibri" w:cs="Times New Roman"/>
          <w:i w:val="0"/>
          <w:iCs w:val="0"/>
          <w:noProof/>
          <w:lang w:val="en-GB"/>
        </w:rPr>
        <w:t xml:space="preserve">them </w:t>
      </w:r>
      <w:r w:rsidR="00C327C2" w:rsidRPr="10339F63">
        <w:rPr>
          <w:rFonts w:eastAsia="Calibri" w:cs="Times New Roman"/>
          <w:i w:val="0"/>
          <w:iCs w:val="0"/>
          <w:noProof/>
          <w:lang w:val="en-GB"/>
        </w:rPr>
        <w:t xml:space="preserve">to learn </w:t>
      </w:r>
      <w:r w:rsidR="00597835" w:rsidRPr="10339F63">
        <w:rPr>
          <w:rFonts w:eastAsia="Calibri" w:cs="Times New Roman"/>
          <w:i w:val="0"/>
          <w:iCs w:val="0"/>
          <w:noProof/>
          <w:lang w:val="en-GB"/>
        </w:rPr>
        <w:t>from each other</w:t>
      </w:r>
      <w:r w:rsidR="00CC2B16" w:rsidRPr="10339F63">
        <w:rPr>
          <w:rFonts w:eastAsia="Calibri" w:cs="Times New Roman"/>
          <w:i w:val="0"/>
          <w:iCs w:val="0"/>
          <w:noProof/>
          <w:lang w:val="en-GB"/>
        </w:rPr>
        <w:t xml:space="preserve"> to build confidence</w:t>
      </w:r>
      <w:r w:rsidR="000675D0" w:rsidRPr="10339F63">
        <w:rPr>
          <w:rFonts w:eastAsia="Calibri" w:cs="Times New Roman"/>
          <w:i w:val="0"/>
          <w:iCs w:val="0"/>
          <w:noProof/>
          <w:lang w:val="en-GB"/>
        </w:rPr>
        <w:t xml:space="preserve"> and avoid situations </w:t>
      </w:r>
      <w:r w:rsidR="00F51C2C" w:rsidRPr="10339F63">
        <w:rPr>
          <w:rFonts w:eastAsia="Calibri" w:cs="Times New Roman"/>
          <w:i w:val="0"/>
          <w:iCs w:val="0"/>
          <w:noProof/>
          <w:lang w:val="en-GB"/>
        </w:rPr>
        <w:t>where</w:t>
      </w:r>
      <w:r w:rsidR="000675D0" w:rsidRPr="10339F63">
        <w:rPr>
          <w:rFonts w:eastAsia="Calibri" w:cs="Times New Roman"/>
          <w:i w:val="0"/>
          <w:iCs w:val="0"/>
          <w:noProof/>
          <w:lang w:val="en-GB"/>
        </w:rPr>
        <w:t xml:space="preserve"> fear of </w:t>
      </w:r>
      <w:r w:rsidR="006A5D3D" w:rsidRPr="10339F63">
        <w:rPr>
          <w:rFonts w:eastAsia="Calibri" w:cs="Times New Roman"/>
          <w:i w:val="0"/>
          <w:iCs w:val="0"/>
          <w:noProof/>
          <w:lang w:val="en-GB"/>
        </w:rPr>
        <w:t xml:space="preserve">the </w:t>
      </w:r>
      <w:r w:rsidR="000675D0" w:rsidRPr="10339F63">
        <w:rPr>
          <w:rFonts w:eastAsia="Calibri" w:cs="Times New Roman"/>
          <w:i w:val="0"/>
          <w:iCs w:val="0"/>
          <w:noProof/>
          <w:lang w:val="en-GB"/>
        </w:rPr>
        <w:t>consequences</w:t>
      </w:r>
      <w:r w:rsidR="00911E0F" w:rsidRPr="10339F63">
        <w:rPr>
          <w:rFonts w:eastAsia="Calibri" w:cs="Times New Roman"/>
          <w:i w:val="0"/>
          <w:iCs w:val="0"/>
          <w:noProof/>
          <w:lang w:val="en-GB"/>
        </w:rPr>
        <w:t xml:space="preserve"> of misappl</w:t>
      </w:r>
      <w:r w:rsidR="0036130D" w:rsidRPr="10339F63">
        <w:rPr>
          <w:rFonts w:eastAsia="Calibri" w:cs="Times New Roman"/>
          <w:i w:val="0"/>
          <w:iCs w:val="0"/>
          <w:noProof/>
          <w:lang w:val="en-GB"/>
        </w:rPr>
        <w:t>ying</w:t>
      </w:r>
      <w:r w:rsidR="00911E0F" w:rsidRPr="10339F63">
        <w:rPr>
          <w:rFonts w:eastAsia="Calibri" w:cs="Times New Roman"/>
          <w:i w:val="0"/>
          <w:iCs w:val="0"/>
          <w:noProof/>
          <w:lang w:val="en-GB"/>
        </w:rPr>
        <w:t xml:space="preserve"> the rules</w:t>
      </w:r>
      <w:r w:rsidR="000675D0" w:rsidRPr="10339F63">
        <w:rPr>
          <w:rFonts w:eastAsia="Calibri" w:cs="Times New Roman"/>
          <w:i w:val="0"/>
          <w:iCs w:val="0"/>
          <w:noProof/>
          <w:lang w:val="en-GB"/>
        </w:rPr>
        <w:t xml:space="preserve"> </w:t>
      </w:r>
      <w:r w:rsidR="12773B11" w:rsidRPr="10339F63">
        <w:rPr>
          <w:rFonts w:eastAsia="Calibri" w:cs="Times New Roman"/>
          <w:i w:val="0"/>
          <w:iCs w:val="0"/>
          <w:noProof/>
          <w:lang w:val="en-GB"/>
        </w:rPr>
        <w:t>lower</w:t>
      </w:r>
      <w:r w:rsidR="1D057A8F" w:rsidRPr="10339F63">
        <w:rPr>
          <w:rFonts w:eastAsia="Calibri" w:cs="Times New Roman"/>
          <w:i w:val="0"/>
          <w:iCs w:val="0"/>
          <w:noProof/>
          <w:lang w:val="en-GB"/>
        </w:rPr>
        <w:t>s</w:t>
      </w:r>
      <w:r w:rsidR="000675D0" w:rsidRPr="10339F63">
        <w:rPr>
          <w:rFonts w:eastAsia="Calibri" w:cs="Times New Roman"/>
          <w:i w:val="0"/>
          <w:iCs w:val="0"/>
          <w:noProof/>
          <w:lang w:val="en-GB"/>
        </w:rPr>
        <w:t xml:space="preserve"> the ambition of the</w:t>
      </w:r>
      <w:r w:rsidR="0036130D" w:rsidRPr="10339F63">
        <w:rPr>
          <w:rFonts w:eastAsia="Calibri" w:cs="Times New Roman"/>
          <w:i w:val="0"/>
          <w:iCs w:val="0"/>
          <w:noProof/>
          <w:lang w:val="en-GB"/>
        </w:rPr>
        <w:t>ir</w:t>
      </w:r>
      <w:r w:rsidR="000675D0" w:rsidRPr="10339F63">
        <w:rPr>
          <w:rFonts w:eastAsia="Calibri" w:cs="Times New Roman"/>
          <w:i w:val="0"/>
          <w:iCs w:val="0"/>
          <w:noProof/>
          <w:lang w:val="en-GB"/>
        </w:rPr>
        <w:t xml:space="preserve"> CAP </w:t>
      </w:r>
      <w:r w:rsidR="6142E76E" w:rsidRPr="10339F63">
        <w:rPr>
          <w:rFonts w:eastAsia="Calibri" w:cs="Times New Roman"/>
          <w:i w:val="0"/>
          <w:iCs w:val="0"/>
          <w:noProof/>
          <w:lang w:val="en-GB"/>
        </w:rPr>
        <w:t>P</w:t>
      </w:r>
      <w:r w:rsidR="000675D0" w:rsidRPr="10339F63">
        <w:rPr>
          <w:rFonts w:eastAsia="Calibri" w:cs="Times New Roman"/>
          <w:i w:val="0"/>
          <w:iCs w:val="0"/>
          <w:noProof/>
          <w:lang w:val="en-GB"/>
        </w:rPr>
        <w:t>lans</w:t>
      </w:r>
      <w:r w:rsidR="00CC2B16" w:rsidRPr="10339F63">
        <w:rPr>
          <w:rFonts w:eastAsia="Calibri" w:cs="Times New Roman"/>
          <w:i w:val="0"/>
          <w:iCs w:val="0"/>
          <w:noProof/>
          <w:lang w:val="en-GB"/>
        </w:rPr>
        <w:t>.</w:t>
      </w:r>
      <w:r w:rsidR="008E145A" w:rsidRPr="10339F63">
        <w:rPr>
          <w:rFonts w:eastAsia="Calibri" w:cs="Times New Roman"/>
          <w:i w:val="0"/>
          <w:iCs w:val="0"/>
          <w:noProof/>
          <w:lang w:val="en-GB"/>
        </w:rPr>
        <w:t xml:space="preserve"> </w:t>
      </w:r>
      <w:r w:rsidR="00663C4A" w:rsidRPr="10339F63">
        <w:rPr>
          <w:rFonts w:eastAsia="Calibri" w:cs="Times New Roman"/>
          <w:i w:val="0"/>
          <w:iCs w:val="0"/>
          <w:noProof/>
          <w:lang w:val="en-GB"/>
        </w:rPr>
        <w:t>This should also help them</w:t>
      </w:r>
      <w:r w:rsidR="00352055" w:rsidRPr="10339F63">
        <w:rPr>
          <w:rFonts w:eastAsia="Calibri" w:cs="Times New Roman"/>
          <w:i w:val="0"/>
          <w:iCs w:val="0"/>
          <w:noProof/>
          <w:lang w:val="en-GB"/>
        </w:rPr>
        <w:t xml:space="preserve"> </w:t>
      </w:r>
      <w:r w:rsidR="006A5D3D" w:rsidRPr="10339F63">
        <w:rPr>
          <w:rFonts w:eastAsia="Calibri" w:cs="Times New Roman"/>
          <w:i w:val="0"/>
          <w:iCs w:val="0"/>
          <w:noProof/>
          <w:lang w:val="en-GB"/>
        </w:rPr>
        <w:t xml:space="preserve">to </w:t>
      </w:r>
      <w:r w:rsidR="00913314" w:rsidRPr="10339F63">
        <w:rPr>
          <w:rFonts w:eastAsia="Calibri" w:cs="Times New Roman"/>
          <w:i w:val="0"/>
          <w:iCs w:val="0"/>
          <w:noProof/>
          <w:lang w:val="en-GB"/>
        </w:rPr>
        <w:t>better</w:t>
      </w:r>
      <w:r w:rsidR="00352055" w:rsidRPr="10339F63">
        <w:rPr>
          <w:rFonts w:eastAsia="Calibri" w:cs="Times New Roman"/>
          <w:i w:val="0"/>
          <w:iCs w:val="0"/>
          <w:noProof/>
          <w:lang w:val="en-GB"/>
        </w:rPr>
        <w:t xml:space="preserve"> accommodate </w:t>
      </w:r>
      <w:r w:rsidR="00313D9F" w:rsidRPr="10339F63">
        <w:rPr>
          <w:rFonts w:eastAsia="Calibri"/>
          <w:i w:val="0"/>
          <w:iCs w:val="0"/>
          <w:noProof/>
          <w:lang w:val="en-GB"/>
        </w:rPr>
        <w:t>increasing</w:t>
      </w:r>
      <w:r w:rsidR="00D625DF" w:rsidRPr="10339F63">
        <w:rPr>
          <w:rFonts w:eastAsia="Calibri"/>
          <w:i w:val="0"/>
          <w:iCs w:val="0"/>
          <w:noProof/>
          <w:lang w:val="en-GB"/>
        </w:rPr>
        <w:t>ly</w:t>
      </w:r>
      <w:r w:rsidR="00313D9F" w:rsidRPr="10339F63">
        <w:rPr>
          <w:rFonts w:eastAsia="Calibri"/>
          <w:i w:val="0"/>
          <w:iCs w:val="0"/>
          <w:noProof/>
          <w:lang w:val="en-GB"/>
        </w:rPr>
        <w:t xml:space="preserve"> </w:t>
      </w:r>
      <w:r w:rsidR="00313D9F" w:rsidRPr="10339F63">
        <w:rPr>
          <w:rFonts w:eastAsia="Calibri"/>
          <w:b/>
          <w:bCs/>
          <w:i w:val="0"/>
          <w:iCs w:val="0"/>
          <w:noProof/>
          <w:lang w:val="en-GB"/>
        </w:rPr>
        <w:t>unpredictab</w:t>
      </w:r>
      <w:r w:rsidR="00D625DF" w:rsidRPr="10339F63">
        <w:rPr>
          <w:rFonts w:eastAsia="Calibri"/>
          <w:b/>
          <w:bCs/>
          <w:i w:val="0"/>
          <w:iCs w:val="0"/>
          <w:noProof/>
          <w:lang w:val="en-GB"/>
        </w:rPr>
        <w:t>le</w:t>
      </w:r>
      <w:r w:rsidR="00313D9F" w:rsidRPr="10339F63">
        <w:rPr>
          <w:rFonts w:eastAsia="Calibri"/>
          <w:b/>
          <w:bCs/>
          <w:i w:val="0"/>
          <w:iCs w:val="0"/>
          <w:noProof/>
          <w:lang w:val="en-GB"/>
        </w:rPr>
        <w:t xml:space="preserve"> weather conditions</w:t>
      </w:r>
      <w:r w:rsidR="005D083A" w:rsidRPr="10339F63">
        <w:rPr>
          <w:rFonts w:eastAsia="Calibri"/>
          <w:i w:val="0"/>
          <w:iCs w:val="0"/>
          <w:noProof/>
          <w:lang w:val="en-GB"/>
        </w:rPr>
        <w:t xml:space="preserve"> and </w:t>
      </w:r>
      <w:r w:rsidR="006A5D3D" w:rsidRPr="10339F63">
        <w:rPr>
          <w:rFonts w:eastAsia="Calibri"/>
          <w:i w:val="0"/>
          <w:iCs w:val="0"/>
          <w:noProof/>
          <w:lang w:val="en-GB"/>
        </w:rPr>
        <w:t xml:space="preserve">capitalise on the </w:t>
      </w:r>
      <w:r w:rsidR="00FF7515" w:rsidRPr="10339F63">
        <w:rPr>
          <w:rFonts w:eastAsia="Calibri"/>
          <w:i w:val="0"/>
          <w:iCs w:val="0"/>
          <w:noProof/>
          <w:lang w:val="en-GB"/>
        </w:rPr>
        <w:t xml:space="preserve">benefits of </w:t>
      </w:r>
      <w:r w:rsidR="00A77F15" w:rsidRPr="10339F63">
        <w:rPr>
          <w:rFonts w:eastAsia="Calibri"/>
          <w:b/>
          <w:bCs/>
          <w:i w:val="0"/>
          <w:iCs w:val="0"/>
          <w:noProof/>
          <w:lang w:val="en-GB"/>
        </w:rPr>
        <w:t>digital technology</w:t>
      </w:r>
      <w:r w:rsidR="00A77F15" w:rsidRPr="10339F63">
        <w:rPr>
          <w:rFonts w:eastAsia="Calibri"/>
          <w:i w:val="0"/>
          <w:iCs w:val="0"/>
          <w:noProof/>
          <w:lang w:val="en-GB"/>
        </w:rPr>
        <w:t xml:space="preserve"> for policy</w:t>
      </w:r>
      <w:r w:rsidR="005D083A" w:rsidRPr="10339F63">
        <w:rPr>
          <w:rFonts w:eastAsia="Calibri"/>
          <w:i w:val="0"/>
          <w:iCs w:val="0"/>
          <w:noProof/>
          <w:lang w:val="en-GB"/>
        </w:rPr>
        <w:t xml:space="preserve"> </w:t>
      </w:r>
      <w:r w:rsidR="00A77F15" w:rsidRPr="10339F63">
        <w:rPr>
          <w:rFonts w:eastAsia="Calibri"/>
          <w:i w:val="0"/>
          <w:iCs w:val="0"/>
          <w:noProof/>
          <w:lang w:val="en-GB"/>
        </w:rPr>
        <w:t>monitoring and improvement</w:t>
      </w:r>
      <w:r w:rsidR="003C0343" w:rsidRPr="10339F63">
        <w:rPr>
          <w:rFonts w:eastAsia="Calibri"/>
          <w:i w:val="0"/>
          <w:iCs w:val="0"/>
          <w:noProof/>
          <w:lang w:val="en-GB"/>
        </w:rPr>
        <w:t>.</w:t>
      </w:r>
      <w:r w:rsidR="00847CCD" w:rsidRPr="10339F63">
        <w:rPr>
          <w:rFonts w:eastAsia="Calibri"/>
          <w:i w:val="0"/>
          <w:iCs w:val="0"/>
          <w:noProof/>
          <w:lang w:val="en-GB"/>
        </w:rPr>
        <w:t xml:space="preserve"> </w:t>
      </w:r>
    </w:p>
    <w:p w14:paraId="427C9C5C" w14:textId="654A62E7" w:rsidR="00E90DEC" w:rsidRPr="00724676" w:rsidDel="008C28A8" w:rsidRDefault="00997D8C" w:rsidP="60015AE2">
      <w:pPr>
        <w:pStyle w:val="P68B1DB1-Normal3"/>
        <w:spacing w:after="120"/>
        <w:rPr>
          <w:rFonts w:eastAsia="Calibri"/>
          <w:i w:val="0"/>
          <w:iCs w:val="0"/>
          <w:noProof/>
          <w:lang w:val="en-GB"/>
        </w:rPr>
      </w:pPr>
      <w:r w:rsidRPr="005E2B93">
        <w:rPr>
          <w:rFonts w:eastAsia="Calibri"/>
          <w:i w:val="0"/>
          <w:iCs w:val="0"/>
          <w:noProof/>
          <w:lang w:val="en-GB"/>
        </w:rPr>
        <w:t>In the immediate ter</w:t>
      </w:r>
      <w:r w:rsidR="00AB5F8D" w:rsidRPr="005E2B93">
        <w:rPr>
          <w:rFonts w:eastAsia="Calibri"/>
          <w:i w:val="0"/>
          <w:iCs w:val="0"/>
          <w:noProof/>
          <w:lang w:val="en-GB"/>
        </w:rPr>
        <w:t xml:space="preserve">m, </w:t>
      </w:r>
      <w:r w:rsidR="00AB5F8D" w:rsidRPr="005E2B93">
        <w:rPr>
          <w:rFonts w:eastAsia="Calibri"/>
          <w:b/>
          <w:i w:val="0"/>
          <w:noProof/>
          <w:lang w:val="en-GB"/>
        </w:rPr>
        <w:t>certain reprioritisation and/or financial adjustments of their CAP Plans</w:t>
      </w:r>
      <w:r w:rsidR="00AB5F8D" w:rsidRPr="005E2B93">
        <w:rPr>
          <w:rFonts w:eastAsia="Calibri"/>
          <w:i w:val="0"/>
          <w:iCs w:val="0"/>
          <w:noProof/>
          <w:lang w:val="en-GB"/>
        </w:rPr>
        <w:t xml:space="preserve"> will </w:t>
      </w:r>
      <w:r w:rsidR="00CA5DC8" w:rsidRPr="005E2B93">
        <w:rPr>
          <w:rFonts w:eastAsia="Calibri"/>
          <w:i w:val="0"/>
          <w:iCs w:val="0"/>
          <w:noProof/>
          <w:lang w:val="en-GB"/>
        </w:rPr>
        <w:t>be</w:t>
      </w:r>
      <w:r w:rsidR="00AB5F8D" w:rsidRPr="005E2B93">
        <w:rPr>
          <w:rFonts w:eastAsia="Calibri"/>
          <w:i w:val="0"/>
          <w:iCs w:val="0"/>
          <w:noProof/>
          <w:lang w:val="en-GB"/>
        </w:rPr>
        <w:t xml:space="preserve"> n</w:t>
      </w:r>
      <w:r w:rsidR="00CA5DC8" w:rsidRPr="005E2B93">
        <w:rPr>
          <w:rFonts w:eastAsia="Calibri"/>
          <w:i w:val="0"/>
          <w:iCs w:val="0"/>
          <w:noProof/>
          <w:lang w:val="en-GB"/>
        </w:rPr>
        <w:t>ecessary</w:t>
      </w:r>
      <w:r w:rsidR="00AB5F8D" w:rsidRPr="005E2B93">
        <w:rPr>
          <w:rFonts w:eastAsia="Calibri"/>
          <w:i w:val="0"/>
          <w:iCs w:val="0"/>
          <w:noProof/>
          <w:lang w:val="en-GB"/>
        </w:rPr>
        <w:t xml:space="preserve"> to back up the</w:t>
      </w:r>
      <w:r w:rsidR="00CA5DC8" w:rsidRPr="005E2B93">
        <w:rPr>
          <w:rFonts w:eastAsia="Calibri"/>
          <w:i w:val="0"/>
          <w:iCs w:val="0"/>
          <w:noProof/>
          <w:lang w:val="en-GB"/>
        </w:rPr>
        <w:t xml:space="preserve"> </w:t>
      </w:r>
      <w:r w:rsidR="007C0877" w:rsidRPr="005E2B93">
        <w:rPr>
          <w:rFonts w:eastAsia="Calibri"/>
          <w:i w:val="0"/>
          <w:iCs w:val="0"/>
          <w:noProof/>
          <w:lang w:val="en-GB"/>
        </w:rPr>
        <w:t>flexibilities in the green architecture.</w:t>
      </w:r>
    </w:p>
    <w:p w14:paraId="46538A7B" w14:textId="2D3FA62E" w:rsidR="00674D78" w:rsidRPr="00724676" w:rsidRDefault="006A5D3D" w:rsidP="5B7F1876">
      <w:pPr>
        <w:pStyle w:val="P68B1DB1-Normal3"/>
        <w:spacing w:after="120"/>
        <w:rPr>
          <w:rFonts w:cs="Times New Roman"/>
          <w:i w:val="0"/>
          <w:iCs w:val="0"/>
          <w:noProof/>
          <w:lang w:val="en-GB"/>
        </w:rPr>
      </w:pPr>
      <w:r w:rsidRPr="5B7F1876">
        <w:rPr>
          <w:rFonts w:cs="Times New Roman"/>
          <w:i w:val="0"/>
          <w:iCs w:val="0"/>
          <w:noProof/>
          <w:lang w:val="en-GB"/>
        </w:rPr>
        <w:t xml:space="preserve">The </w:t>
      </w:r>
      <w:r w:rsidR="00FF02E4" w:rsidRPr="5B7F1876">
        <w:rPr>
          <w:rFonts w:cs="Times New Roman"/>
          <w:i w:val="0"/>
          <w:iCs w:val="0"/>
          <w:noProof/>
          <w:lang w:val="en-GB"/>
        </w:rPr>
        <w:t xml:space="preserve">Commission </w:t>
      </w:r>
      <w:r w:rsidR="00EE73F6" w:rsidRPr="5B7F1876">
        <w:rPr>
          <w:rFonts w:cs="Times New Roman"/>
          <w:i w:val="0"/>
          <w:iCs w:val="0"/>
          <w:noProof/>
          <w:lang w:val="en-GB"/>
        </w:rPr>
        <w:t xml:space="preserve">will work on completing the implementation of the simplification measures. </w:t>
      </w:r>
      <w:r w:rsidR="00E25A71" w:rsidRPr="004C4B73">
        <w:rPr>
          <w:rFonts w:cs="Times New Roman"/>
          <w:i w:val="0"/>
          <w:iCs w:val="0"/>
          <w:noProof/>
          <w:lang w:val="en-GB"/>
        </w:rPr>
        <w:t>Other</w:t>
      </w:r>
      <w:r w:rsidR="00C0326C" w:rsidRPr="004C4B73">
        <w:rPr>
          <w:rFonts w:cs="Times New Roman"/>
          <w:i w:val="0"/>
          <w:iCs w:val="0"/>
          <w:noProof/>
          <w:lang w:val="en-GB"/>
        </w:rPr>
        <w:t xml:space="preserve"> actions to reduce the administrative burden are under way for 2024 and beyond</w:t>
      </w:r>
      <w:r w:rsidR="008117A8" w:rsidRPr="004C4B73">
        <w:rPr>
          <w:rFonts w:cs="Times New Roman"/>
          <w:i w:val="0"/>
          <w:iCs w:val="0"/>
          <w:noProof/>
          <w:lang w:val="en-GB"/>
        </w:rPr>
        <w:t xml:space="preserve"> and</w:t>
      </w:r>
      <w:r w:rsidR="00C0326C" w:rsidRPr="5B7F1876">
        <w:rPr>
          <w:rFonts w:cs="Times New Roman"/>
          <w:i w:val="0"/>
          <w:iCs w:val="0"/>
          <w:noProof/>
          <w:lang w:val="en-GB"/>
        </w:rPr>
        <w:t xml:space="preserve"> </w:t>
      </w:r>
      <w:r w:rsidR="003F5439" w:rsidRPr="5B7F1876">
        <w:rPr>
          <w:rFonts w:cs="Times New Roman"/>
          <w:i w:val="0"/>
          <w:iCs w:val="0"/>
          <w:noProof/>
          <w:lang w:val="en-GB"/>
        </w:rPr>
        <w:t>include reduc</w:t>
      </w:r>
      <w:r w:rsidR="00DC62BB" w:rsidRPr="5B7F1876">
        <w:rPr>
          <w:rFonts w:cs="Times New Roman"/>
          <w:i w:val="0"/>
          <w:iCs w:val="0"/>
          <w:noProof/>
          <w:lang w:val="en-GB"/>
        </w:rPr>
        <w:t>ing</w:t>
      </w:r>
      <w:r w:rsidR="003F5439" w:rsidRPr="5B7F1876">
        <w:rPr>
          <w:rFonts w:cs="Times New Roman"/>
          <w:i w:val="0"/>
          <w:iCs w:val="0"/>
          <w:noProof/>
          <w:lang w:val="en-GB"/>
        </w:rPr>
        <w:t xml:space="preserve"> </w:t>
      </w:r>
      <w:r w:rsidR="00537DCF" w:rsidRPr="5B7F1876">
        <w:rPr>
          <w:rFonts w:cs="Times New Roman"/>
          <w:i w:val="0"/>
          <w:iCs w:val="0"/>
          <w:noProof/>
          <w:lang w:val="en-GB"/>
        </w:rPr>
        <w:t xml:space="preserve">reporting </w:t>
      </w:r>
      <w:r w:rsidR="00537DCF" w:rsidRPr="003B3759">
        <w:rPr>
          <w:rFonts w:cs="Times New Roman"/>
          <w:i w:val="0"/>
          <w:iCs w:val="0"/>
          <w:noProof/>
          <w:lang w:val="en-GB"/>
        </w:rPr>
        <w:t>obligations</w:t>
      </w:r>
      <w:r w:rsidR="001E7264" w:rsidRPr="003B3759">
        <w:rPr>
          <w:rFonts w:cs="Times New Roman"/>
          <w:i w:val="0"/>
          <w:iCs w:val="0"/>
          <w:noProof/>
          <w:lang w:val="en-GB"/>
        </w:rPr>
        <w:t>,</w:t>
      </w:r>
      <w:r w:rsidR="00537DCF" w:rsidRPr="003B3759">
        <w:rPr>
          <w:rFonts w:cs="Times New Roman"/>
          <w:i w:val="0"/>
          <w:iCs w:val="0"/>
          <w:noProof/>
          <w:lang w:val="en-GB"/>
        </w:rPr>
        <w:t xml:space="preserve"> </w:t>
      </w:r>
      <w:r w:rsidR="00DC62BB" w:rsidRPr="003B3759">
        <w:rPr>
          <w:rFonts w:cs="Times New Roman"/>
          <w:i w:val="0"/>
          <w:iCs w:val="0"/>
          <w:noProof/>
          <w:lang w:val="en-GB"/>
        </w:rPr>
        <w:t>while the</w:t>
      </w:r>
      <w:r w:rsidR="003227C5" w:rsidRPr="003B3759">
        <w:rPr>
          <w:rFonts w:cs="Times New Roman"/>
          <w:i w:val="0"/>
          <w:iCs w:val="0"/>
          <w:noProof/>
          <w:lang w:val="en-GB"/>
        </w:rPr>
        <w:t xml:space="preserve"> </w:t>
      </w:r>
      <w:r w:rsidR="005B28BC" w:rsidRPr="003B3759">
        <w:rPr>
          <w:rFonts w:cs="Times New Roman"/>
          <w:i w:val="0"/>
          <w:iCs w:val="0"/>
          <w:noProof/>
          <w:lang w:val="en-GB"/>
        </w:rPr>
        <w:t>outcome</w:t>
      </w:r>
      <w:r w:rsidR="000D3E59" w:rsidRPr="003B3759">
        <w:rPr>
          <w:rFonts w:cs="Times New Roman"/>
          <w:i w:val="0"/>
          <w:iCs w:val="0"/>
          <w:noProof/>
          <w:lang w:val="en-GB"/>
        </w:rPr>
        <w:t>s</w:t>
      </w:r>
      <w:r w:rsidR="005B28BC" w:rsidRPr="003B3759">
        <w:rPr>
          <w:rFonts w:cs="Times New Roman"/>
          <w:i w:val="0"/>
          <w:iCs w:val="0"/>
          <w:noProof/>
          <w:lang w:val="en-GB"/>
        </w:rPr>
        <w:t xml:space="preserve"> of </w:t>
      </w:r>
      <w:r w:rsidR="00674D78" w:rsidRPr="003B3759">
        <w:rPr>
          <w:rFonts w:cs="Times New Roman"/>
          <w:i w:val="0"/>
          <w:iCs w:val="0"/>
          <w:noProof/>
          <w:lang w:val="en-GB"/>
        </w:rPr>
        <w:t xml:space="preserve">studies on </w:t>
      </w:r>
      <w:r w:rsidRPr="003B3759">
        <w:rPr>
          <w:rFonts w:cs="Times New Roman"/>
          <w:i w:val="0"/>
          <w:iCs w:val="0"/>
          <w:noProof/>
          <w:lang w:val="en-GB"/>
        </w:rPr>
        <w:t xml:space="preserve">the </w:t>
      </w:r>
      <w:r w:rsidR="00674D78" w:rsidRPr="003B3759">
        <w:rPr>
          <w:rFonts w:cs="Times New Roman"/>
          <w:i w:val="0"/>
          <w:iCs w:val="0"/>
          <w:noProof/>
          <w:lang w:val="en-GB"/>
        </w:rPr>
        <w:t xml:space="preserve">administrative burden and </w:t>
      </w:r>
      <w:r w:rsidR="00F076E7" w:rsidRPr="003B3759">
        <w:rPr>
          <w:rFonts w:cs="Times New Roman"/>
          <w:i w:val="0"/>
          <w:iCs w:val="0"/>
          <w:noProof/>
          <w:lang w:val="en-GB"/>
        </w:rPr>
        <w:t xml:space="preserve">the </w:t>
      </w:r>
      <w:r w:rsidRPr="003B3759">
        <w:rPr>
          <w:rFonts w:cs="Times New Roman"/>
          <w:i w:val="0"/>
          <w:iCs w:val="0"/>
          <w:noProof/>
          <w:lang w:val="en-GB"/>
        </w:rPr>
        <w:t>n</w:t>
      </w:r>
      <w:r w:rsidR="00674D78" w:rsidRPr="003B3759">
        <w:rPr>
          <w:rFonts w:cs="Times New Roman"/>
          <w:i w:val="0"/>
          <w:iCs w:val="0"/>
          <w:noProof/>
          <w:lang w:val="en-GB"/>
        </w:rPr>
        <w:t xml:space="preserve">ew </w:t>
      </w:r>
      <w:r w:rsidRPr="003B3759">
        <w:rPr>
          <w:rFonts w:cs="Times New Roman"/>
          <w:i w:val="0"/>
          <w:iCs w:val="0"/>
          <w:noProof/>
          <w:lang w:val="en-GB"/>
        </w:rPr>
        <w:t>d</w:t>
      </w:r>
      <w:r w:rsidR="00674D78" w:rsidRPr="003B3759">
        <w:rPr>
          <w:rFonts w:cs="Times New Roman"/>
          <w:i w:val="0"/>
          <w:iCs w:val="0"/>
          <w:noProof/>
          <w:lang w:val="en-GB"/>
        </w:rPr>
        <w:t xml:space="preserve">elivery </w:t>
      </w:r>
      <w:r w:rsidRPr="003B3759">
        <w:rPr>
          <w:rFonts w:cs="Times New Roman"/>
          <w:i w:val="0"/>
          <w:iCs w:val="0"/>
          <w:noProof/>
          <w:lang w:val="en-GB"/>
        </w:rPr>
        <w:t>m</w:t>
      </w:r>
      <w:r w:rsidR="00674D78" w:rsidRPr="003B3759">
        <w:rPr>
          <w:rFonts w:cs="Times New Roman"/>
          <w:i w:val="0"/>
          <w:iCs w:val="0"/>
          <w:noProof/>
          <w:lang w:val="en-GB"/>
        </w:rPr>
        <w:t xml:space="preserve">odel </w:t>
      </w:r>
      <w:r w:rsidR="000D3E59" w:rsidRPr="003B3759">
        <w:rPr>
          <w:rFonts w:cs="Times New Roman"/>
          <w:i w:val="0"/>
          <w:iCs w:val="0"/>
          <w:noProof/>
          <w:lang w:val="en-GB"/>
        </w:rPr>
        <w:t xml:space="preserve">will </w:t>
      </w:r>
      <w:r w:rsidR="001B5BBB" w:rsidRPr="003B3759">
        <w:rPr>
          <w:rFonts w:cs="Times New Roman"/>
          <w:i w:val="0"/>
          <w:iCs w:val="0"/>
          <w:noProof/>
          <w:lang w:val="en-GB"/>
        </w:rPr>
        <w:t xml:space="preserve">help </w:t>
      </w:r>
      <w:r w:rsidR="00674D78" w:rsidRPr="003B3759">
        <w:rPr>
          <w:rFonts w:cs="Times New Roman"/>
          <w:i w:val="0"/>
          <w:iCs w:val="0"/>
          <w:noProof/>
          <w:lang w:val="en-GB"/>
        </w:rPr>
        <w:t xml:space="preserve">identify </w:t>
      </w:r>
      <w:r w:rsidR="00E25A71" w:rsidRPr="003B3759">
        <w:rPr>
          <w:rFonts w:cs="Times New Roman"/>
          <w:i w:val="0"/>
          <w:iCs w:val="0"/>
          <w:noProof/>
          <w:lang w:val="en-GB"/>
        </w:rPr>
        <w:t xml:space="preserve">further </w:t>
      </w:r>
      <w:r w:rsidR="00674D78" w:rsidRPr="003B3759">
        <w:rPr>
          <w:rFonts w:cs="Times New Roman"/>
          <w:i w:val="0"/>
          <w:iCs w:val="0"/>
          <w:noProof/>
          <w:lang w:val="en-GB"/>
        </w:rPr>
        <w:t xml:space="preserve">actions </w:t>
      </w:r>
      <w:r w:rsidR="00F076E7" w:rsidRPr="003B3759">
        <w:rPr>
          <w:rFonts w:cs="Times New Roman"/>
          <w:i w:val="0"/>
          <w:iCs w:val="0"/>
          <w:noProof/>
          <w:lang w:val="en-GB"/>
        </w:rPr>
        <w:t>to</w:t>
      </w:r>
      <w:r w:rsidR="00674D78" w:rsidRPr="003B3759">
        <w:rPr>
          <w:rFonts w:cs="Times New Roman"/>
          <w:i w:val="0"/>
          <w:iCs w:val="0"/>
          <w:noProof/>
          <w:lang w:val="en-GB"/>
        </w:rPr>
        <w:t xml:space="preserve"> </w:t>
      </w:r>
      <w:r w:rsidR="00674D78" w:rsidRPr="00D458D9">
        <w:rPr>
          <w:rFonts w:cs="Times New Roman"/>
          <w:i w:val="0"/>
          <w:noProof/>
          <w:lang w:val="en-GB"/>
        </w:rPr>
        <w:t>simplify policies for farmers.</w:t>
      </w:r>
      <w:r w:rsidR="00F076E7" w:rsidRPr="003B3759">
        <w:rPr>
          <w:rFonts w:cs="Times New Roman"/>
          <w:i w:val="0"/>
          <w:iCs w:val="0"/>
          <w:noProof/>
          <w:lang w:val="en-GB"/>
        </w:rPr>
        <w:t xml:space="preserve"> The parallel workstream </w:t>
      </w:r>
      <w:r w:rsidR="00930836" w:rsidRPr="003B3759">
        <w:rPr>
          <w:rFonts w:cs="Times New Roman"/>
          <w:i w:val="0"/>
          <w:iCs w:val="0"/>
          <w:noProof/>
          <w:lang w:val="en-GB"/>
        </w:rPr>
        <w:t>to improve</w:t>
      </w:r>
      <w:r w:rsidR="00930836" w:rsidRPr="5B7F1876">
        <w:rPr>
          <w:rFonts w:cs="Times New Roman"/>
          <w:i w:val="0"/>
          <w:iCs w:val="0"/>
          <w:noProof/>
          <w:lang w:val="en-GB"/>
        </w:rPr>
        <w:t xml:space="preserve"> the position of farmers in the </w:t>
      </w:r>
      <w:r w:rsidR="00330491" w:rsidRPr="5B7F1876">
        <w:rPr>
          <w:rFonts w:cs="Times New Roman"/>
          <w:i w:val="0"/>
          <w:iCs w:val="0"/>
          <w:noProof/>
          <w:lang w:val="en-GB"/>
        </w:rPr>
        <w:t>agri</w:t>
      </w:r>
      <w:r w:rsidR="0527FFC7" w:rsidRPr="5B7F1876">
        <w:rPr>
          <w:rFonts w:cs="Times New Roman"/>
          <w:i w:val="0"/>
          <w:iCs w:val="0"/>
          <w:noProof/>
          <w:lang w:val="en-GB"/>
        </w:rPr>
        <w:t>-food</w:t>
      </w:r>
      <w:r w:rsidR="0106008C" w:rsidRPr="6FE283EC">
        <w:rPr>
          <w:rFonts w:cs="Times New Roman"/>
          <w:i w:val="0"/>
          <w:iCs w:val="0"/>
          <w:noProof/>
          <w:lang w:val="en-GB"/>
        </w:rPr>
        <w:t xml:space="preserve"> </w:t>
      </w:r>
      <w:r w:rsidR="3551B833" w:rsidRPr="06E2D374">
        <w:rPr>
          <w:rFonts w:cs="Times New Roman"/>
          <w:i w:val="0"/>
          <w:iCs w:val="0"/>
          <w:noProof/>
          <w:lang w:val="en-GB"/>
        </w:rPr>
        <w:t>supply</w:t>
      </w:r>
      <w:r w:rsidR="58BEE837" w:rsidRPr="6FE283EC">
        <w:rPr>
          <w:rFonts w:cs="Times New Roman"/>
          <w:i w:val="0"/>
          <w:iCs w:val="0"/>
          <w:noProof/>
          <w:lang w:val="en-GB"/>
        </w:rPr>
        <w:t xml:space="preserve"> chain</w:t>
      </w:r>
      <w:r w:rsidR="00930836" w:rsidRPr="5B7F1876">
        <w:rPr>
          <w:rFonts w:cs="Times New Roman"/>
          <w:i w:val="0"/>
          <w:iCs w:val="0"/>
          <w:noProof/>
          <w:lang w:val="en-GB"/>
        </w:rPr>
        <w:t xml:space="preserve"> is also ongoing</w:t>
      </w:r>
      <w:r w:rsidR="00187D68" w:rsidRPr="5B7F1876">
        <w:rPr>
          <w:rFonts w:cs="Times New Roman"/>
          <w:i w:val="0"/>
          <w:iCs w:val="0"/>
          <w:noProof/>
          <w:lang w:val="en-GB"/>
        </w:rPr>
        <w:t>,</w:t>
      </w:r>
      <w:r w:rsidR="00930836" w:rsidRPr="5B7F1876">
        <w:rPr>
          <w:rFonts w:cs="Times New Roman"/>
          <w:i w:val="0"/>
          <w:iCs w:val="0"/>
          <w:noProof/>
          <w:lang w:val="en-GB"/>
        </w:rPr>
        <w:t xml:space="preserve"> to address</w:t>
      </w:r>
      <w:r w:rsidR="00E43A4A" w:rsidRPr="5B7F1876">
        <w:rPr>
          <w:rFonts w:cs="Times New Roman"/>
          <w:i w:val="0"/>
          <w:iCs w:val="0"/>
          <w:noProof/>
          <w:lang w:val="en-GB"/>
        </w:rPr>
        <w:t xml:space="preserve"> the</w:t>
      </w:r>
      <w:r w:rsidR="00930836" w:rsidRPr="5B7F1876">
        <w:rPr>
          <w:rFonts w:cs="Times New Roman"/>
          <w:i w:val="0"/>
          <w:iCs w:val="0"/>
          <w:noProof/>
          <w:lang w:val="en-GB"/>
        </w:rPr>
        <w:t xml:space="preserve"> broader issues of farmers’</w:t>
      </w:r>
      <w:r w:rsidR="00E43A4A" w:rsidRPr="5B7F1876">
        <w:rPr>
          <w:rFonts w:cs="Times New Roman"/>
          <w:i w:val="0"/>
          <w:iCs w:val="0"/>
          <w:noProof/>
          <w:lang w:val="en-GB"/>
        </w:rPr>
        <w:t xml:space="preserve"> remuneration.</w:t>
      </w:r>
    </w:p>
    <w:p w14:paraId="4A372781" w14:textId="77777777" w:rsidR="002B144B" w:rsidRPr="00724676" w:rsidRDefault="00DC1E72" w:rsidP="00BD0E24">
      <w:pPr>
        <w:spacing w:after="120"/>
        <w:jc w:val="both"/>
        <w:rPr>
          <w:rFonts w:eastAsiaTheme="majorEastAsia" w:cstheme="majorBidi"/>
          <w:b/>
          <w:noProof/>
          <w:szCs w:val="32"/>
          <w:lang w:val="en-GB"/>
        </w:rPr>
      </w:pPr>
      <w:r w:rsidRPr="00724676">
        <w:rPr>
          <w:rFonts w:cs="Times New Roman"/>
          <w:noProof/>
          <w:lang w:val="en-GB"/>
        </w:rPr>
        <w:t xml:space="preserve">Numerous </w:t>
      </w:r>
      <w:r w:rsidR="00E43A4A" w:rsidRPr="00724676">
        <w:rPr>
          <w:rFonts w:cs="Times New Roman"/>
          <w:b/>
          <w:bCs/>
          <w:noProof/>
          <w:lang w:val="en-GB"/>
        </w:rPr>
        <w:t>other</w:t>
      </w:r>
      <w:r w:rsidR="00E652A7" w:rsidRPr="00724676">
        <w:rPr>
          <w:rFonts w:cs="Times New Roman"/>
          <w:b/>
          <w:bCs/>
          <w:noProof/>
          <w:lang w:val="en-GB"/>
        </w:rPr>
        <w:t xml:space="preserve"> suggestions</w:t>
      </w:r>
      <w:r w:rsidR="00E652A7" w:rsidRPr="00724676">
        <w:rPr>
          <w:rFonts w:cs="Times New Roman"/>
          <w:noProof/>
          <w:lang w:val="en-GB"/>
        </w:rPr>
        <w:t xml:space="preserve"> </w:t>
      </w:r>
      <w:r w:rsidR="695980D1" w:rsidRPr="00724676">
        <w:rPr>
          <w:rFonts w:cs="Times New Roman"/>
          <w:noProof/>
          <w:lang w:val="en-GB"/>
        </w:rPr>
        <w:t>from</w:t>
      </w:r>
      <w:r w:rsidR="00E652A7" w:rsidRPr="00724676">
        <w:rPr>
          <w:rFonts w:cs="Times New Roman"/>
          <w:noProof/>
          <w:lang w:val="en-GB"/>
        </w:rPr>
        <w:t xml:space="preserve"> </w:t>
      </w:r>
      <w:r w:rsidR="4DA265DB" w:rsidRPr="00724676">
        <w:rPr>
          <w:rFonts w:cs="Times New Roman"/>
          <w:noProof/>
          <w:lang w:val="en-GB"/>
        </w:rPr>
        <w:t xml:space="preserve">the consultation </w:t>
      </w:r>
      <w:r w:rsidR="00E652A7" w:rsidRPr="00724676">
        <w:rPr>
          <w:rFonts w:cs="Times New Roman"/>
          <w:noProof/>
          <w:lang w:val="en-GB"/>
        </w:rPr>
        <w:t xml:space="preserve">were </w:t>
      </w:r>
      <w:r w:rsidR="00E652A7" w:rsidRPr="00724676">
        <w:rPr>
          <w:rFonts w:cs="Times New Roman"/>
          <w:b/>
          <w:bCs/>
          <w:noProof/>
          <w:lang w:val="en-GB"/>
        </w:rPr>
        <w:t xml:space="preserve">not </w:t>
      </w:r>
      <w:r w:rsidR="2F0CB5CF" w:rsidRPr="00724676">
        <w:rPr>
          <w:rFonts w:cs="Times New Roman"/>
          <w:b/>
          <w:bCs/>
          <w:noProof/>
          <w:lang w:val="en-GB"/>
        </w:rPr>
        <w:t>taken up</w:t>
      </w:r>
      <w:r w:rsidR="00D40D23" w:rsidRPr="00724676">
        <w:rPr>
          <w:rFonts w:cs="Times New Roman"/>
          <w:noProof/>
          <w:lang w:val="en-GB"/>
        </w:rPr>
        <w:t xml:space="preserve">, so as not to </w:t>
      </w:r>
      <w:r w:rsidR="00E43A4A" w:rsidRPr="00724676">
        <w:rPr>
          <w:rFonts w:cs="Times New Roman"/>
          <w:noProof/>
          <w:lang w:val="en-GB"/>
        </w:rPr>
        <w:t>change</w:t>
      </w:r>
      <w:r w:rsidR="00D40D23" w:rsidRPr="00724676">
        <w:rPr>
          <w:rFonts w:cs="Times New Roman"/>
          <w:noProof/>
          <w:lang w:val="en-GB"/>
        </w:rPr>
        <w:t xml:space="preserve"> the fundamental</w:t>
      </w:r>
      <w:r w:rsidR="00C25035" w:rsidRPr="00724676">
        <w:rPr>
          <w:rFonts w:cs="Times New Roman"/>
          <w:noProof/>
          <w:lang w:val="en-GB"/>
        </w:rPr>
        <w:t xml:space="preserve"> elements</w:t>
      </w:r>
      <w:r w:rsidR="00D40D23" w:rsidRPr="00724676">
        <w:rPr>
          <w:rFonts w:cs="Times New Roman"/>
          <w:noProof/>
          <w:lang w:val="en-GB"/>
        </w:rPr>
        <w:t xml:space="preserve"> of the 2023-2027</w:t>
      </w:r>
      <w:r w:rsidR="00187D68" w:rsidRPr="00187D68">
        <w:rPr>
          <w:rFonts w:cs="Times New Roman"/>
          <w:noProof/>
          <w:lang w:val="en-GB"/>
        </w:rPr>
        <w:t xml:space="preserve"> </w:t>
      </w:r>
      <w:r w:rsidR="00187D68" w:rsidRPr="00724676">
        <w:rPr>
          <w:rFonts w:cs="Times New Roman"/>
          <w:noProof/>
          <w:lang w:val="en-GB"/>
        </w:rPr>
        <w:t>CAP</w:t>
      </w:r>
      <w:r w:rsidR="007D489F" w:rsidRPr="00724676">
        <w:rPr>
          <w:rFonts w:cs="Times New Roman"/>
          <w:noProof/>
          <w:lang w:val="en-GB"/>
        </w:rPr>
        <w:t>.</w:t>
      </w:r>
      <w:r w:rsidR="00F77065" w:rsidRPr="00724676">
        <w:rPr>
          <w:rFonts w:cs="Times New Roman"/>
          <w:noProof/>
          <w:lang w:val="en-GB"/>
        </w:rPr>
        <w:t> </w:t>
      </w:r>
      <w:r w:rsidR="007B2681" w:rsidRPr="00724676">
        <w:rPr>
          <w:rFonts w:cs="Times New Roman"/>
          <w:noProof/>
          <w:lang w:val="en-GB"/>
        </w:rPr>
        <w:t>The</w:t>
      </w:r>
      <w:r w:rsidR="5D1A939D" w:rsidRPr="00724676">
        <w:rPr>
          <w:rFonts w:cs="Times New Roman"/>
          <w:noProof/>
          <w:lang w:val="en-GB"/>
        </w:rPr>
        <w:t>se ideas</w:t>
      </w:r>
      <w:r w:rsidR="00AA0FD0">
        <w:rPr>
          <w:rFonts w:cs="Times New Roman"/>
          <w:noProof/>
          <w:lang w:val="en-GB"/>
        </w:rPr>
        <w:t>,</w:t>
      </w:r>
      <w:r w:rsidR="5D1A939D" w:rsidRPr="00724676">
        <w:rPr>
          <w:rFonts w:cs="Times New Roman"/>
          <w:noProof/>
          <w:lang w:val="en-GB"/>
        </w:rPr>
        <w:t xml:space="preserve"> as well as</w:t>
      </w:r>
      <w:r w:rsidR="0056270C" w:rsidRPr="00724676">
        <w:rPr>
          <w:rFonts w:cs="Times New Roman"/>
          <w:noProof/>
          <w:lang w:val="en-GB"/>
        </w:rPr>
        <w:t xml:space="preserve"> lessons learn</w:t>
      </w:r>
      <w:r w:rsidR="33566F77" w:rsidRPr="00724676">
        <w:rPr>
          <w:rFonts w:cs="Times New Roman"/>
          <w:noProof/>
          <w:lang w:val="en-GB"/>
        </w:rPr>
        <w:t>ed</w:t>
      </w:r>
      <w:r w:rsidR="0056270C" w:rsidRPr="00724676">
        <w:rPr>
          <w:rFonts w:cs="Times New Roman"/>
          <w:noProof/>
          <w:lang w:val="en-GB"/>
        </w:rPr>
        <w:t xml:space="preserve"> </w:t>
      </w:r>
      <w:r w:rsidR="003A3B92" w:rsidRPr="00724676">
        <w:rPr>
          <w:rFonts w:cs="Times New Roman"/>
          <w:noProof/>
          <w:lang w:val="en-GB"/>
        </w:rPr>
        <w:t>from</w:t>
      </w:r>
      <w:r w:rsidR="0056270C" w:rsidRPr="00724676">
        <w:rPr>
          <w:rFonts w:cs="Times New Roman"/>
          <w:noProof/>
          <w:lang w:val="en-GB"/>
        </w:rPr>
        <w:t xml:space="preserve"> </w:t>
      </w:r>
      <w:r w:rsidR="629B1B9B" w:rsidRPr="00724676">
        <w:rPr>
          <w:rFonts w:cs="Times New Roman"/>
          <w:noProof/>
          <w:lang w:val="en-GB"/>
        </w:rPr>
        <w:t xml:space="preserve">the </w:t>
      </w:r>
      <w:r w:rsidR="0056270C" w:rsidRPr="00724676">
        <w:rPr>
          <w:rFonts w:cs="Times New Roman"/>
          <w:noProof/>
          <w:lang w:val="en-GB"/>
        </w:rPr>
        <w:t>implementation</w:t>
      </w:r>
      <w:r w:rsidR="55B65794" w:rsidRPr="00724676">
        <w:rPr>
          <w:rFonts w:cs="Times New Roman"/>
          <w:noProof/>
          <w:lang w:val="en-GB"/>
        </w:rPr>
        <w:t xml:space="preserve"> of the policy</w:t>
      </w:r>
      <w:r w:rsidR="00AA0FD0">
        <w:rPr>
          <w:rFonts w:cs="Times New Roman"/>
          <w:noProof/>
          <w:lang w:val="en-GB"/>
        </w:rPr>
        <w:t>,</w:t>
      </w:r>
      <w:r w:rsidRPr="00724676">
        <w:rPr>
          <w:rFonts w:cs="Times New Roman"/>
          <w:b/>
          <w:bCs/>
          <w:noProof/>
          <w:lang w:val="en-GB"/>
        </w:rPr>
        <w:t xml:space="preserve"> </w:t>
      </w:r>
      <w:r w:rsidR="007B2681" w:rsidRPr="00724676">
        <w:rPr>
          <w:rFonts w:cs="Times New Roman"/>
          <w:noProof/>
          <w:lang w:val="en-GB"/>
        </w:rPr>
        <w:t xml:space="preserve">will feed </w:t>
      </w:r>
      <w:r w:rsidR="00AA0FD0">
        <w:rPr>
          <w:rFonts w:cs="Times New Roman"/>
          <w:noProof/>
          <w:lang w:val="en-GB"/>
        </w:rPr>
        <w:t xml:space="preserve">into </w:t>
      </w:r>
      <w:r w:rsidR="007B2681" w:rsidRPr="00724676">
        <w:rPr>
          <w:rFonts w:cs="Times New Roman"/>
          <w:noProof/>
          <w:lang w:val="en-GB"/>
        </w:rPr>
        <w:t xml:space="preserve">the </w:t>
      </w:r>
      <w:r w:rsidR="00092FB5" w:rsidRPr="00724676">
        <w:rPr>
          <w:rFonts w:cs="Times New Roman"/>
          <w:noProof/>
          <w:lang w:val="en-GB"/>
        </w:rPr>
        <w:t xml:space="preserve">reflection on </w:t>
      </w:r>
      <w:r w:rsidR="00187D68">
        <w:rPr>
          <w:rFonts w:cs="Times New Roman"/>
          <w:noProof/>
          <w:lang w:val="en-GB"/>
        </w:rPr>
        <w:t xml:space="preserve">a </w:t>
      </w:r>
      <w:r w:rsidR="004703EA" w:rsidRPr="00724676">
        <w:rPr>
          <w:rFonts w:cs="Times New Roman"/>
          <w:noProof/>
          <w:lang w:val="en-GB"/>
        </w:rPr>
        <w:t xml:space="preserve">wider policy </w:t>
      </w:r>
      <w:r w:rsidR="0078418F" w:rsidRPr="00724676">
        <w:rPr>
          <w:rFonts w:cs="Times New Roman"/>
          <w:noProof/>
          <w:lang w:val="en-GB"/>
        </w:rPr>
        <w:t>review for the post</w:t>
      </w:r>
      <w:r w:rsidR="0056270C" w:rsidRPr="00724676">
        <w:rPr>
          <w:rFonts w:cs="Times New Roman"/>
          <w:noProof/>
          <w:lang w:val="en-GB"/>
        </w:rPr>
        <w:t>-2027</w:t>
      </w:r>
      <w:r w:rsidR="00545947" w:rsidRPr="00724676">
        <w:rPr>
          <w:rFonts w:cs="Times New Roman"/>
          <w:noProof/>
          <w:lang w:val="en-GB"/>
        </w:rPr>
        <w:t xml:space="preserve"> </w:t>
      </w:r>
      <w:r w:rsidR="00B64ED6" w:rsidRPr="00724676">
        <w:rPr>
          <w:rFonts w:cs="Times New Roman"/>
          <w:noProof/>
          <w:lang w:val="en-GB"/>
        </w:rPr>
        <w:t>period</w:t>
      </w:r>
      <w:r w:rsidR="00187D68">
        <w:rPr>
          <w:rFonts w:cs="Times New Roman"/>
          <w:noProof/>
          <w:lang w:val="en-GB"/>
        </w:rPr>
        <w:t>,</w:t>
      </w:r>
      <w:r w:rsidR="00B64ED6" w:rsidRPr="00724676">
        <w:rPr>
          <w:rFonts w:cs="Times New Roman"/>
          <w:noProof/>
          <w:lang w:val="en-GB"/>
        </w:rPr>
        <w:t xml:space="preserve"> </w:t>
      </w:r>
      <w:r w:rsidR="00545947" w:rsidRPr="00724676">
        <w:rPr>
          <w:rFonts w:cs="Times New Roman"/>
          <w:noProof/>
          <w:lang w:val="en-GB"/>
        </w:rPr>
        <w:t>as will the outcome of the Strategic Dialogue on the Future of EU farming.</w:t>
      </w:r>
      <w:r w:rsidR="00F142F1" w:rsidRPr="00724676">
        <w:rPr>
          <w:rFonts w:cs="Times New Roman"/>
          <w:noProof/>
          <w:lang w:val="en-GB"/>
        </w:rPr>
        <w:t xml:space="preserve"> </w:t>
      </w:r>
    </w:p>
    <w:p w14:paraId="40F35BBA" w14:textId="77777777" w:rsidR="002B144B" w:rsidRPr="00724676" w:rsidRDefault="002B144B" w:rsidP="002B144B">
      <w:pPr>
        <w:rPr>
          <w:rFonts w:eastAsiaTheme="majorEastAsia" w:cstheme="majorBidi"/>
          <w:b/>
          <w:i/>
          <w:iCs/>
          <w:noProof/>
          <w:szCs w:val="32"/>
          <w:lang w:val="en-GB"/>
        </w:rPr>
        <w:sectPr w:rsidR="002B144B" w:rsidRPr="00724676" w:rsidSect="00CE71D4">
          <w:headerReference w:type="even" r:id="rId21"/>
          <w:headerReference w:type="default" r:id="rId22"/>
          <w:footerReference w:type="even" r:id="rId23"/>
          <w:footerReference w:type="default" r:id="rId24"/>
          <w:headerReference w:type="first" r:id="rId25"/>
          <w:footerReference w:type="first" r:id="rId26"/>
          <w:pgSz w:w="11906" w:h="16838"/>
          <w:pgMar w:top="1134" w:right="1417" w:bottom="1134" w:left="1417" w:header="709" w:footer="709" w:gutter="0"/>
          <w:pgNumType w:start="1"/>
          <w:cols w:space="720"/>
          <w:docGrid w:linePitch="360"/>
        </w:sectPr>
      </w:pPr>
    </w:p>
    <w:p w14:paraId="61E10E3E" w14:textId="701C4610" w:rsidR="00BC5244" w:rsidRPr="00406DFD" w:rsidRDefault="00BC5244" w:rsidP="005326C3">
      <w:pPr>
        <w:jc w:val="center"/>
        <w:rPr>
          <w:noProof/>
          <w:lang w:val="en-GB"/>
        </w:rPr>
      </w:pPr>
      <w:bookmarkStart w:id="143" w:name="_ANNEXES"/>
      <w:bookmarkStart w:id="144" w:name="_Toc172125140"/>
      <w:bookmarkStart w:id="145" w:name="_Toc171106340"/>
      <w:bookmarkEnd w:id="143"/>
      <w:r w:rsidRPr="005326C3">
        <w:rPr>
          <w:b/>
          <w:bCs/>
          <w:noProof/>
          <w:lang w:val="en-GB"/>
        </w:rPr>
        <w:lastRenderedPageBreak/>
        <w:t>ANNEX</w:t>
      </w:r>
      <w:r w:rsidR="00232A5E" w:rsidRPr="005326C3">
        <w:rPr>
          <w:b/>
          <w:bCs/>
          <w:noProof/>
          <w:lang w:val="en-GB"/>
        </w:rPr>
        <w:t>ES</w:t>
      </w:r>
      <w:bookmarkEnd w:id="144"/>
    </w:p>
    <w:p w14:paraId="21CDF011" w14:textId="07FCE50F" w:rsidR="00510A5F" w:rsidRPr="00724676" w:rsidRDefault="00510A5F" w:rsidP="00F74AF9">
      <w:pPr>
        <w:pStyle w:val="Heading3"/>
        <w:rPr>
          <w:noProof/>
        </w:rPr>
      </w:pPr>
      <w:bookmarkStart w:id="146" w:name="_Toc172125141"/>
      <w:r w:rsidRPr="00724676">
        <w:rPr>
          <w:noProof/>
        </w:rPr>
        <w:t>Annex 1</w:t>
      </w:r>
      <w:r w:rsidR="00E93456">
        <w:rPr>
          <w:noProof/>
        </w:rPr>
        <w:t>:</w:t>
      </w:r>
      <w:r w:rsidR="0098189C">
        <w:rPr>
          <w:noProof/>
        </w:rPr>
        <w:t xml:space="preserve"> </w:t>
      </w:r>
      <w:r w:rsidRPr="00724676">
        <w:rPr>
          <w:noProof/>
        </w:rPr>
        <w:t>Actions announced by the Commission on 22 February</w:t>
      </w:r>
      <w:r w:rsidR="00AA0FD0">
        <w:rPr>
          <w:noProof/>
        </w:rPr>
        <w:t xml:space="preserve"> </w:t>
      </w:r>
      <w:r w:rsidR="00305D2E">
        <w:rPr>
          <w:noProof/>
        </w:rPr>
        <w:t>2024</w:t>
      </w:r>
      <w:r w:rsidRPr="00724676">
        <w:rPr>
          <w:noProof/>
        </w:rPr>
        <w:t xml:space="preserve"> </w:t>
      </w:r>
      <w:r w:rsidR="00305D2E">
        <w:rPr>
          <w:noProof/>
        </w:rPr>
        <w:t xml:space="preserve">(the simplification package) </w:t>
      </w:r>
      <w:r w:rsidRPr="00724676">
        <w:rPr>
          <w:noProof/>
        </w:rPr>
        <w:t xml:space="preserve">and their </w:t>
      </w:r>
      <w:bookmarkEnd w:id="145"/>
      <w:bookmarkEnd w:id="146"/>
      <w:r w:rsidR="00F74AF9" w:rsidRPr="00724676">
        <w:rPr>
          <w:noProof/>
        </w:rPr>
        <w:t>delivery.</w:t>
      </w:r>
    </w:p>
    <w:tbl>
      <w:tblPr>
        <w:tblW w:w="8982" w:type="dxa"/>
        <w:tblInd w:w="8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CellMar>
          <w:left w:w="0" w:type="dxa"/>
          <w:right w:w="0" w:type="dxa"/>
        </w:tblCellMar>
        <w:tblLook w:val="0000" w:firstRow="0" w:lastRow="0" w:firstColumn="0" w:lastColumn="0" w:noHBand="0" w:noVBand="0"/>
      </w:tblPr>
      <w:tblGrid>
        <w:gridCol w:w="760"/>
        <w:gridCol w:w="3920"/>
        <w:gridCol w:w="4302"/>
      </w:tblGrid>
      <w:tr w:rsidR="000735A1" w:rsidRPr="00807559" w14:paraId="5EFBDF2B" w14:textId="77777777" w:rsidTr="4538020F">
        <w:trPr>
          <w:trHeight w:val="652"/>
        </w:trPr>
        <w:tc>
          <w:tcPr>
            <w:tcW w:w="4680" w:type="dxa"/>
            <w:gridSpan w:val="2"/>
            <w:vAlign w:val="center"/>
          </w:tcPr>
          <w:p w14:paraId="57C8ACE4" w14:textId="77777777" w:rsidR="000735A1" w:rsidRPr="00724676" w:rsidRDefault="000735A1" w:rsidP="0098189C">
            <w:pPr>
              <w:kinsoku w:val="0"/>
              <w:overflowPunct w:val="0"/>
              <w:autoSpaceDE w:val="0"/>
              <w:autoSpaceDN w:val="0"/>
              <w:adjustRightInd w:val="0"/>
              <w:spacing w:after="120" w:line="240" w:lineRule="auto"/>
              <w:ind w:left="110"/>
              <w:jc w:val="center"/>
              <w:rPr>
                <w:rFonts w:cs="Times New Roman"/>
                <w:b/>
                <w:bCs/>
                <w:noProof/>
                <w:spacing w:val="-2"/>
                <w:kern w:val="0"/>
                <w:szCs w:val="24"/>
                <w:lang w:val="en-GB"/>
              </w:rPr>
            </w:pPr>
            <w:r w:rsidRPr="00724676">
              <w:rPr>
                <w:rFonts w:cs="Times New Roman"/>
                <w:b/>
                <w:bCs/>
                <w:noProof/>
                <w:spacing w:val="-2"/>
                <w:kern w:val="0"/>
                <w:szCs w:val="24"/>
                <w:lang w:val="en-GB"/>
              </w:rPr>
              <w:t>Action</w:t>
            </w:r>
          </w:p>
        </w:tc>
        <w:tc>
          <w:tcPr>
            <w:tcW w:w="4302" w:type="dxa"/>
            <w:vAlign w:val="center"/>
          </w:tcPr>
          <w:p w14:paraId="489D8B75" w14:textId="77777777" w:rsidR="000735A1" w:rsidRPr="00724676" w:rsidRDefault="000735A1" w:rsidP="0098189C">
            <w:pPr>
              <w:kinsoku w:val="0"/>
              <w:overflowPunct w:val="0"/>
              <w:autoSpaceDE w:val="0"/>
              <w:autoSpaceDN w:val="0"/>
              <w:adjustRightInd w:val="0"/>
              <w:spacing w:after="120" w:line="240" w:lineRule="auto"/>
              <w:ind w:left="111"/>
              <w:jc w:val="center"/>
              <w:rPr>
                <w:rFonts w:cs="Times New Roman"/>
                <w:b/>
                <w:noProof/>
                <w:spacing w:val="-2"/>
                <w:kern w:val="0"/>
                <w:szCs w:val="24"/>
                <w:highlight w:val="yellow"/>
                <w:lang w:val="en-GB"/>
              </w:rPr>
            </w:pPr>
            <w:r w:rsidRPr="00724676">
              <w:rPr>
                <w:rFonts w:cs="Times New Roman"/>
                <w:b/>
                <w:noProof/>
                <w:spacing w:val="-2"/>
                <w:kern w:val="0"/>
                <w:szCs w:val="24"/>
                <w:lang w:val="en-GB"/>
              </w:rPr>
              <w:t>Delivery</w:t>
            </w:r>
          </w:p>
        </w:tc>
      </w:tr>
      <w:tr w:rsidR="00510A5F" w:rsidRPr="00807559" w14:paraId="39A47424" w14:textId="77777777" w:rsidTr="4538020F">
        <w:trPr>
          <w:trHeight w:val="390"/>
        </w:trPr>
        <w:tc>
          <w:tcPr>
            <w:tcW w:w="8982" w:type="dxa"/>
            <w:gridSpan w:val="3"/>
            <w:shd w:val="clear" w:color="auto" w:fill="DEEAF6" w:themeFill="accent5" w:themeFillTint="33"/>
          </w:tcPr>
          <w:p w14:paraId="7FAD6263" w14:textId="77777777" w:rsidR="00510A5F" w:rsidRPr="00724676" w:rsidRDefault="00510A5F" w:rsidP="0098189C">
            <w:pPr>
              <w:kinsoku w:val="0"/>
              <w:overflowPunct w:val="0"/>
              <w:autoSpaceDE w:val="0"/>
              <w:autoSpaceDN w:val="0"/>
              <w:adjustRightInd w:val="0"/>
              <w:spacing w:before="120" w:after="120" w:line="240" w:lineRule="auto"/>
              <w:ind w:left="465" w:hanging="286"/>
              <w:rPr>
                <w:rFonts w:cs="Times New Roman"/>
                <w:b/>
                <w:bCs/>
                <w:noProof/>
                <w:kern w:val="0"/>
                <w:szCs w:val="24"/>
                <w:lang w:val="en-GB"/>
              </w:rPr>
            </w:pPr>
            <w:r w:rsidRPr="00724676">
              <w:rPr>
                <w:rFonts w:cs="Times New Roman"/>
                <w:b/>
                <w:bCs/>
                <w:noProof/>
                <w:kern w:val="0"/>
                <w:szCs w:val="24"/>
                <w:lang w:val="en-GB"/>
              </w:rPr>
              <w:t>A.</w:t>
            </w:r>
            <w:r w:rsidRPr="00724676">
              <w:rPr>
                <w:rFonts w:cs="Times New Roman"/>
                <w:b/>
                <w:bCs/>
                <w:noProof/>
                <w:spacing w:val="40"/>
                <w:kern w:val="0"/>
                <w:szCs w:val="24"/>
                <w:lang w:val="en-GB"/>
              </w:rPr>
              <w:t xml:space="preserve"> </w:t>
            </w:r>
            <w:r w:rsidRPr="00724676">
              <w:rPr>
                <w:rFonts w:cs="Times New Roman"/>
                <w:b/>
                <w:bCs/>
                <w:noProof/>
                <w:kern w:val="0"/>
                <w:szCs w:val="24"/>
                <w:lang w:val="en-GB"/>
              </w:rPr>
              <w:t>Short term measures</w:t>
            </w:r>
          </w:p>
        </w:tc>
      </w:tr>
      <w:tr w:rsidR="00510A5F" w:rsidRPr="00807559" w14:paraId="5AE7851A" w14:textId="77777777" w:rsidTr="4538020F">
        <w:trPr>
          <w:trHeight w:val="749"/>
        </w:trPr>
        <w:tc>
          <w:tcPr>
            <w:tcW w:w="760" w:type="dxa"/>
            <w:shd w:val="clear" w:color="auto" w:fill="DEEAF6" w:themeFill="accent5" w:themeFillTint="33"/>
            <w:vAlign w:val="center"/>
          </w:tcPr>
          <w:p w14:paraId="75084C70" w14:textId="77777777" w:rsidR="00510A5F" w:rsidRPr="00D314D7" w:rsidRDefault="00510A5F" w:rsidP="0098189C">
            <w:pPr>
              <w:kinsoku w:val="0"/>
              <w:overflowPunct w:val="0"/>
              <w:autoSpaceDE w:val="0"/>
              <w:autoSpaceDN w:val="0"/>
              <w:adjustRightInd w:val="0"/>
              <w:spacing w:after="120" w:line="240" w:lineRule="auto"/>
              <w:ind w:left="103"/>
              <w:rPr>
                <w:rFonts w:cs="Times New Roman"/>
                <w:b/>
                <w:bCs/>
                <w:noProof/>
                <w:spacing w:val="-4"/>
                <w:kern w:val="0"/>
                <w:szCs w:val="24"/>
                <w:lang w:val="en-GB"/>
              </w:rPr>
            </w:pPr>
            <w:r w:rsidRPr="00D314D7">
              <w:rPr>
                <w:rFonts w:cs="Times New Roman"/>
                <w:b/>
                <w:bCs/>
                <w:noProof/>
                <w:spacing w:val="-4"/>
                <w:kern w:val="0"/>
                <w:szCs w:val="24"/>
                <w:lang w:val="en-GB"/>
              </w:rPr>
              <w:t>A.1</w:t>
            </w:r>
          </w:p>
        </w:tc>
        <w:tc>
          <w:tcPr>
            <w:tcW w:w="3920" w:type="dxa"/>
            <w:vAlign w:val="center"/>
          </w:tcPr>
          <w:p w14:paraId="5A6949D7" w14:textId="1EEADB38" w:rsidR="00510A5F" w:rsidRPr="00724676" w:rsidRDefault="00510A5F" w:rsidP="0098189C">
            <w:pPr>
              <w:kinsoku w:val="0"/>
              <w:overflowPunct w:val="0"/>
              <w:autoSpaceDE w:val="0"/>
              <w:autoSpaceDN w:val="0"/>
              <w:adjustRightInd w:val="0"/>
              <w:spacing w:after="120" w:line="240" w:lineRule="auto"/>
              <w:ind w:left="110"/>
              <w:rPr>
                <w:rFonts w:cs="Times New Roman"/>
                <w:noProof/>
                <w:kern w:val="0"/>
                <w:szCs w:val="24"/>
                <w:lang w:val="en-GB"/>
              </w:rPr>
            </w:pPr>
            <w:r w:rsidRPr="00724676">
              <w:rPr>
                <w:rFonts w:cs="Times New Roman"/>
                <w:noProof/>
                <w:kern w:val="0"/>
                <w:szCs w:val="24"/>
                <w:lang w:val="en-GB"/>
              </w:rPr>
              <w:t>Revision</w:t>
            </w:r>
            <w:r w:rsidRPr="00724676">
              <w:rPr>
                <w:rFonts w:cs="Times New Roman"/>
                <w:noProof/>
                <w:spacing w:val="-6"/>
                <w:kern w:val="0"/>
                <w:szCs w:val="24"/>
                <w:lang w:val="en-GB"/>
              </w:rPr>
              <w:t xml:space="preserve"> </w:t>
            </w:r>
            <w:r w:rsidRPr="00724676">
              <w:rPr>
                <w:rFonts w:cs="Times New Roman"/>
                <w:noProof/>
                <w:kern w:val="0"/>
                <w:szCs w:val="24"/>
                <w:lang w:val="en-GB"/>
              </w:rPr>
              <w:t>of</w:t>
            </w:r>
            <w:r w:rsidRPr="00724676">
              <w:rPr>
                <w:rFonts w:cs="Times New Roman"/>
                <w:noProof/>
                <w:spacing w:val="-7"/>
                <w:kern w:val="0"/>
                <w:szCs w:val="24"/>
                <w:lang w:val="en-GB"/>
              </w:rPr>
              <w:t xml:space="preserve"> </w:t>
            </w:r>
            <w:r w:rsidRPr="00724676">
              <w:rPr>
                <w:rFonts w:cs="Times New Roman"/>
                <w:noProof/>
                <w:kern w:val="0"/>
                <w:szCs w:val="24"/>
                <w:lang w:val="en-GB"/>
              </w:rPr>
              <w:t>GAEC</w:t>
            </w:r>
            <w:r w:rsidRPr="00724676">
              <w:rPr>
                <w:rFonts w:cs="Times New Roman"/>
                <w:noProof/>
                <w:spacing w:val="-6"/>
                <w:kern w:val="0"/>
                <w:szCs w:val="24"/>
                <w:lang w:val="en-GB"/>
              </w:rPr>
              <w:t xml:space="preserve"> </w:t>
            </w:r>
            <w:r w:rsidRPr="00724676">
              <w:rPr>
                <w:rFonts w:cs="Times New Roman"/>
                <w:noProof/>
                <w:kern w:val="0"/>
                <w:szCs w:val="24"/>
                <w:lang w:val="en-GB"/>
              </w:rPr>
              <w:t>1</w:t>
            </w:r>
            <w:r w:rsidRPr="00724676">
              <w:rPr>
                <w:rFonts w:cs="Times New Roman"/>
                <w:noProof/>
                <w:spacing w:val="-6"/>
                <w:kern w:val="0"/>
                <w:szCs w:val="24"/>
                <w:lang w:val="en-GB"/>
              </w:rPr>
              <w:t xml:space="preserve"> </w:t>
            </w:r>
            <w:r w:rsidRPr="00724676">
              <w:rPr>
                <w:rFonts w:cs="Times New Roman"/>
                <w:noProof/>
                <w:kern w:val="0"/>
                <w:szCs w:val="24"/>
                <w:lang w:val="en-GB"/>
              </w:rPr>
              <w:t>rules</w:t>
            </w:r>
            <w:r w:rsidRPr="00724676">
              <w:rPr>
                <w:rFonts w:cs="Times New Roman"/>
                <w:noProof/>
                <w:spacing w:val="-7"/>
                <w:kern w:val="0"/>
                <w:szCs w:val="24"/>
                <w:lang w:val="en-GB"/>
              </w:rPr>
              <w:t xml:space="preserve"> </w:t>
            </w:r>
            <w:r w:rsidRPr="00724676">
              <w:rPr>
                <w:rFonts w:cs="Times New Roman"/>
                <w:noProof/>
                <w:kern w:val="0"/>
                <w:szCs w:val="24"/>
                <w:lang w:val="en-GB"/>
              </w:rPr>
              <w:t>on</w:t>
            </w:r>
            <w:r w:rsidRPr="00724676">
              <w:rPr>
                <w:rFonts w:cs="Times New Roman"/>
                <w:noProof/>
                <w:spacing w:val="-6"/>
                <w:kern w:val="0"/>
                <w:szCs w:val="24"/>
                <w:lang w:val="en-GB"/>
              </w:rPr>
              <w:t xml:space="preserve"> </w:t>
            </w:r>
            <w:r w:rsidRPr="00724676">
              <w:rPr>
                <w:rFonts w:cs="Times New Roman"/>
                <w:noProof/>
                <w:kern w:val="0"/>
                <w:szCs w:val="24"/>
                <w:lang w:val="en-GB"/>
              </w:rPr>
              <w:t>the permanent grassland ratio</w:t>
            </w:r>
            <w:r w:rsidR="009A31D9">
              <w:rPr>
                <w:rFonts w:cs="Times New Roman"/>
                <w:noProof/>
                <w:kern w:val="0"/>
                <w:szCs w:val="24"/>
                <w:lang w:val="en-GB"/>
              </w:rPr>
              <w:t>.</w:t>
            </w:r>
          </w:p>
        </w:tc>
        <w:tc>
          <w:tcPr>
            <w:tcW w:w="4302" w:type="dxa"/>
            <w:vAlign w:val="center"/>
          </w:tcPr>
          <w:p w14:paraId="14429F57" w14:textId="57032560" w:rsidR="00510A5F" w:rsidRPr="00724676" w:rsidRDefault="00510A5F" w:rsidP="0098189C">
            <w:pPr>
              <w:kinsoku w:val="0"/>
              <w:overflowPunct w:val="0"/>
              <w:autoSpaceDE w:val="0"/>
              <w:autoSpaceDN w:val="0"/>
              <w:adjustRightInd w:val="0"/>
              <w:spacing w:after="120" w:line="240" w:lineRule="auto"/>
              <w:ind w:left="111" w:right="250"/>
              <w:jc w:val="both"/>
              <w:rPr>
                <w:rFonts w:cs="Times New Roman"/>
                <w:noProof/>
                <w:kern w:val="0"/>
                <w:szCs w:val="24"/>
                <w:lang w:val="en-GB"/>
              </w:rPr>
            </w:pPr>
            <w:r w:rsidRPr="5B7F1876">
              <w:rPr>
                <w:rFonts w:cs="Times New Roman"/>
                <w:noProof/>
                <w:kern w:val="0"/>
                <w:lang w:val="en-GB"/>
              </w:rPr>
              <w:t xml:space="preserve">Amendment of the </w:t>
            </w:r>
            <w:r w:rsidR="0077652F">
              <w:rPr>
                <w:rFonts w:cs="Times New Roman"/>
                <w:noProof/>
                <w:kern w:val="0"/>
                <w:lang w:val="en-GB"/>
              </w:rPr>
              <w:t xml:space="preserve">Commission </w:t>
            </w:r>
            <w:r w:rsidRPr="5B7F1876">
              <w:rPr>
                <w:rFonts w:cs="Times New Roman"/>
                <w:noProof/>
                <w:kern w:val="0"/>
                <w:lang w:val="en-GB"/>
              </w:rPr>
              <w:t>Delegated Regulation (EU) 2022/126 adopted on 12 March 2024</w:t>
            </w:r>
            <w:r w:rsidR="007613B0">
              <w:rPr>
                <w:rFonts w:cs="Times New Roman"/>
                <w:noProof/>
                <w:kern w:val="0"/>
                <w:lang w:val="en-GB"/>
              </w:rPr>
              <w:t xml:space="preserve"> (</w:t>
            </w:r>
            <w:r w:rsidR="007613B0" w:rsidRPr="007613B0">
              <w:rPr>
                <w:rFonts w:cs="Times New Roman"/>
                <w:noProof/>
                <w:kern w:val="0"/>
                <w:lang w:val="en-GB"/>
              </w:rPr>
              <w:t>Commission Delegated Regulation (EU) 2024/1235</w:t>
            </w:r>
            <w:r w:rsidR="007613B0">
              <w:rPr>
                <w:rFonts w:cs="Times New Roman"/>
                <w:noProof/>
                <w:kern w:val="0"/>
                <w:lang w:val="en-GB"/>
              </w:rPr>
              <w:t>)</w:t>
            </w:r>
          </w:p>
        </w:tc>
      </w:tr>
      <w:tr w:rsidR="00510A5F" w:rsidRPr="00807559" w14:paraId="3D14B0A4" w14:textId="77777777" w:rsidTr="4538020F">
        <w:trPr>
          <w:trHeight w:val="652"/>
        </w:trPr>
        <w:tc>
          <w:tcPr>
            <w:tcW w:w="760" w:type="dxa"/>
            <w:shd w:val="clear" w:color="auto" w:fill="DEEAF6" w:themeFill="accent5" w:themeFillTint="33"/>
            <w:vAlign w:val="center"/>
          </w:tcPr>
          <w:p w14:paraId="7EEA0EA2" w14:textId="77777777" w:rsidR="00510A5F" w:rsidRPr="00D314D7" w:rsidRDefault="00510A5F" w:rsidP="0098189C">
            <w:pPr>
              <w:kinsoku w:val="0"/>
              <w:overflowPunct w:val="0"/>
              <w:autoSpaceDE w:val="0"/>
              <w:autoSpaceDN w:val="0"/>
              <w:adjustRightInd w:val="0"/>
              <w:spacing w:after="120" w:line="240" w:lineRule="auto"/>
              <w:ind w:left="103"/>
              <w:rPr>
                <w:rFonts w:cs="Times New Roman"/>
                <w:b/>
                <w:bCs/>
                <w:noProof/>
                <w:spacing w:val="-4"/>
                <w:kern w:val="0"/>
                <w:szCs w:val="24"/>
                <w:lang w:val="en-GB"/>
              </w:rPr>
            </w:pPr>
            <w:r w:rsidRPr="00D314D7">
              <w:rPr>
                <w:rFonts w:cs="Times New Roman"/>
                <w:b/>
                <w:bCs/>
                <w:noProof/>
                <w:spacing w:val="-4"/>
                <w:kern w:val="0"/>
                <w:szCs w:val="24"/>
                <w:lang w:val="en-GB"/>
              </w:rPr>
              <w:t>A.2</w:t>
            </w:r>
          </w:p>
        </w:tc>
        <w:tc>
          <w:tcPr>
            <w:tcW w:w="3920" w:type="dxa"/>
            <w:vAlign w:val="center"/>
          </w:tcPr>
          <w:p w14:paraId="74405509" w14:textId="06E405C4" w:rsidR="00510A5F" w:rsidRPr="00724676" w:rsidRDefault="00510A5F" w:rsidP="0098189C">
            <w:pPr>
              <w:kinsoku w:val="0"/>
              <w:overflowPunct w:val="0"/>
              <w:autoSpaceDE w:val="0"/>
              <w:autoSpaceDN w:val="0"/>
              <w:adjustRightInd w:val="0"/>
              <w:spacing w:after="120" w:line="240" w:lineRule="auto"/>
              <w:ind w:left="110"/>
              <w:rPr>
                <w:rFonts w:cs="Times New Roman"/>
                <w:noProof/>
                <w:kern w:val="0"/>
                <w:szCs w:val="24"/>
                <w:lang w:val="en-GB"/>
              </w:rPr>
            </w:pPr>
            <w:r w:rsidRPr="00724676">
              <w:rPr>
                <w:rFonts w:cs="Times New Roman"/>
                <w:noProof/>
                <w:kern w:val="0"/>
                <w:szCs w:val="24"/>
                <w:lang w:val="en-GB"/>
              </w:rPr>
              <w:t>Review of guidelines for GAEC</w:t>
            </w:r>
            <w:r w:rsidR="00305D2E">
              <w:rPr>
                <w:rFonts w:cs="Times New Roman"/>
                <w:noProof/>
                <w:kern w:val="0"/>
                <w:szCs w:val="24"/>
                <w:lang w:val="en-GB"/>
              </w:rPr>
              <w:t xml:space="preserve"> </w:t>
            </w:r>
            <w:r w:rsidRPr="00724676">
              <w:rPr>
                <w:rFonts w:cs="Times New Roman"/>
                <w:noProof/>
                <w:kern w:val="0"/>
                <w:szCs w:val="24"/>
                <w:lang w:val="en-GB"/>
              </w:rPr>
              <w:t>6</w:t>
            </w:r>
            <w:r w:rsidR="009A31D9">
              <w:rPr>
                <w:rFonts w:cs="Times New Roman"/>
                <w:noProof/>
                <w:kern w:val="0"/>
                <w:szCs w:val="24"/>
                <w:lang w:val="en-GB"/>
              </w:rPr>
              <w:t>.</w:t>
            </w:r>
          </w:p>
        </w:tc>
        <w:tc>
          <w:tcPr>
            <w:tcW w:w="4302" w:type="dxa"/>
            <w:vAlign w:val="center"/>
          </w:tcPr>
          <w:p w14:paraId="630B2198" w14:textId="4224E475" w:rsidR="00510A5F" w:rsidRPr="00724676" w:rsidRDefault="00510A5F" w:rsidP="0098189C">
            <w:pPr>
              <w:kinsoku w:val="0"/>
              <w:overflowPunct w:val="0"/>
              <w:autoSpaceDE w:val="0"/>
              <w:autoSpaceDN w:val="0"/>
              <w:adjustRightInd w:val="0"/>
              <w:spacing w:after="120" w:line="240" w:lineRule="auto"/>
              <w:ind w:left="110" w:right="148"/>
              <w:jc w:val="both"/>
              <w:rPr>
                <w:rFonts w:cs="Times New Roman"/>
                <w:noProof/>
                <w:kern w:val="0"/>
                <w:lang w:val="en-GB"/>
              </w:rPr>
            </w:pPr>
            <w:r w:rsidRPr="0695E527">
              <w:rPr>
                <w:rFonts w:cs="Times New Roman"/>
                <w:noProof/>
                <w:kern w:val="0"/>
                <w:lang w:val="en-GB"/>
              </w:rPr>
              <w:t xml:space="preserve">Obsolete in light of the </w:t>
            </w:r>
            <w:r w:rsidRPr="0695E527" w:rsidDel="00E86F3B">
              <w:rPr>
                <w:rFonts w:cs="Times New Roman"/>
                <w:noProof/>
                <w:kern w:val="0"/>
                <w:lang w:val="en-GB"/>
              </w:rPr>
              <w:t xml:space="preserve">Commission proposal </w:t>
            </w:r>
            <w:r w:rsidR="00437614">
              <w:rPr>
                <w:rFonts w:cs="Times New Roman"/>
                <w:noProof/>
                <w:kern w:val="0"/>
                <w:lang w:val="en-GB"/>
              </w:rPr>
              <w:t xml:space="preserve">of 15 March 2024 </w:t>
            </w:r>
            <w:r w:rsidR="60CDCD37" w:rsidRPr="0695E527" w:rsidDel="00E86F3B">
              <w:rPr>
                <w:rFonts w:cs="Times New Roman"/>
                <w:noProof/>
                <w:kern w:val="0"/>
                <w:lang w:val="en-GB"/>
              </w:rPr>
              <w:t>to amend the CSP and the Horizontal Regulations</w:t>
            </w:r>
            <w:r w:rsidR="0FDF3784" w:rsidRPr="0695E527">
              <w:rPr>
                <w:rFonts w:cs="Times New Roman"/>
                <w:noProof/>
                <w:kern w:val="0"/>
                <w:lang w:val="en-GB"/>
              </w:rPr>
              <w:t>.</w:t>
            </w:r>
            <w:r w:rsidR="2656C965" w:rsidRPr="10339F63">
              <w:rPr>
                <w:rFonts w:cs="Times New Roman"/>
                <w:noProof/>
                <w:lang w:val="en-GB"/>
              </w:rPr>
              <w:t xml:space="preserve"> </w:t>
            </w:r>
            <w:r w:rsidR="16294554" w:rsidRPr="10339F63">
              <w:rPr>
                <w:rFonts w:cs="Times New Roman"/>
                <w:noProof/>
                <w:lang w:val="en-GB"/>
              </w:rPr>
              <w:t>(measure B.1)</w:t>
            </w:r>
          </w:p>
        </w:tc>
      </w:tr>
      <w:tr w:rsidR="00510A5F" w:rsidRPr="00807559" w14:paraId="66F20574" w14:textId="77777777" w:rsidTr="4538020F">
        <w:trPr>
          <w:trHeight w:val="703"/>
        </w:trPr>
        <w:tc>
          <w:tcPr>
            <w:tcW w:w="760" w:type="dxa"/>
            <w:shd w:val="clear" w:color="auto" w:fill="DEEAF6" w:themeFill="accent5" w:themeFillTint="33"/>
            <w:vAlign w:val="center"/>
          </w:tcPr>
          <w:p w14:paraId="5DC9570C" w14:textId="77777777" w:rsidR="00510A5F" w:rsidRPr="00D314D7" w:rsidRDefault="00510A5F" w:rsidP="0098189C">
            <w:pPr>
              <w:kinsoku w:val="0"/>
              <w:overflowPunct w:val="0"/>
              <w:autoSpaceDE w:val="0"/>
              <w:autoSpaceDN w:val="0"/>
              <w:adjustRightInd w:val="0"/>
              <w:spacing w:after="120" w:line="240" w:lineRule="auto"/>
              <w:ind w:left="103"/>
              <w:rPr>
                <w:rFonts w:cs="Times New Roman"/>
                <w:b/>
                <w:bCs/>
                <w:noProof/>
                <w:spacing w:val="-4"/>
                <w:kern w:val="0"/>
                <w:szCs w:val="24"/>
                <w:lang w:val="en-GB"/>
              </w:rPr>
            </w:pPr>
            <w:r w:rsidRPr="00D314D7">
              <w:rPr>
                <w:rFonts w:cs="Times New Roman"/>
                <w:b/>
                <w:bCs/>
                <w:noProof/>
                <w:spacing w:val="-4"/>
                <w:kern w:val="0"/>
                <w:szCs w:val="24"/>
                <w:lang w:val="en-GB"/>
              </w:rPr>
              <w:t>A.3</w:t>
            </w:r>
          </w:p>
        </w:tc>
        <w:tc>
          <w:tcPr>
            <w:tcW w:w="3920" w:type="dxa"/>
            <w:vAlign w:val="center"/>
          </w:tcPr>
          <w:p w14:paraId="101D4E8A" w14:textId="2BA259B1" w:rsidR="00510A5F" w:rsidRPr="00724676" w:rsidRDefault="00510A5F" w:rsidP="0098189C">
            <w:pPr>
              <w:kinsoku w:val="0"/>
              <w:overflowPunct w:val="0"/>
              <w:autoSpaceDE w:val="0"/>
              <w:autoSpaceDN w:val="0"/>
              <w:adjustRightInd w:val="0"/>
              <w:spacing w:after="120" w:line="240" w:lineRule="auto"/>
              <w:ind w:left="110"/>
              <w:jc w:val="both"/>
              <w:rPr>
                <w:rFonts w:cs="Times New Roman"/>
                <w:noProof/>
                <w:kern w:val="0"/>
                <w:lang w:val="en-GB"/>
              </w:rPr>
            </w:pPr>
            <w:r w:rsidRPr="06E2D374">
              <w:rPr>
                <w:rFonts w:cs="Times New Roman"/>
                <w:noProof/>
                <w:kern w:val="0"/>
                <w:lang w:val="en-GB"/>
              </w:rPr>
              <w:t>Revision</w:t>
            </w:r>
            <w:r w:rsidRPr="06E2D374">
              <w:rPr>
                <w:rFonts w:cs="Times New Roman"/>
                <w:noProof/>
                <w:spacing w:val="-9"/>
                <w:kern w:val="0"/>
                <w:lang w:val="en-GB"/>
              </w:rPr>
              <w:t xml:space="preserve"> </w:t>
            </w:r>
            <w:r w:rsidRPr="06E2D374">
              <w:rPr>
                <w:rFonts w:cs="Times New Roman"/>
                <w:noProof/>
                <w:kern w:val="0"/>
                <w:lang w:val="en-GB"/>
              </w:rPr>
              <w:t>of</w:t>
            </w:r>
            <w:r w:rsidRPr="06E2D374">
              <w:rPr>
                <w:rFonts w:cs="Times New Roman"/>
                <w:noProof/>
                <w:spacing w:val="-10"/>
                <w:kern w:val="0"/>
                <w:lang w:val="en-GB"/>
              </w:rPr>
              <w:t xml:space="preserve"> </w:t>
            </w:r>
            <w:r w:rsidRPr="06E2D374">
              <w:rPr>
                <w:rFonts w:cs="Times New Roman"/>
                <w:noProof/>
                <w:kern w:val="0"/>
                <w:lang w:val="en-GB"/>
              </w:rPr>
              <w:t>the</w:t>
            </w:r>
            <w:r w:rsidRPr="06E2D374">
              <w:rPr>
                <w:rFonts w:cs="Times New Roman"/>
                <w:noProof/>
                <w:spacing w:val="-9"/>
                <w:kern w:val="0"/>
                <w:lang w:val="en-GB"/>
              </w:rPr>
              <w:t xml:space="preserve"> </w:t>
            </w:r>
            <w:r w:rsidRPr="06E2D374">
              <w:rPr>
                <w:rFonts w:cs="Times New Roman"/>
                <w:noProof/>
                <w:kern w:val="0"/>
                <w:lang w:val="en-GB"/>
              </w:rPr>
              <w:t>EU</w:t>
            </w:r>
            <w:r w:rsidRPr="06E2D374">
              <w:rPr>
                <w:rFonts w:cs="Times New Roman"/>
                <w:noProof/>
                <w:spacing w:val="-9"/>
                <w:kern w:val="0"/>
                <w:lang w:val="en-GB"/>
              </w:rPr>
              <w:t xml:space="preserve"> </w:t>
            </w:r>
            <w:r w:rsidRPr="06E2D374">
              <w:rPr>
                <w:rFonts w:cs="Times New Roman"/>
                <w:noProof/>
                <w:kern w:val="0"/>
                <w:lang w:val="en-GB"/>
              </w:rPr>
              <w:t>methodology for</w:t>
            </w:r>
            <w:r w:rsidR="00305D2E" w:rsidRPr="06E2D374">
              <w:rPr>
                <w:rFonts w:cs="Times New Roman"/>
                <w:noProof/>
                <w:lang w:val="en-GB"/>
              </w:rPr>
              <w:t xml:space="preserve"> </w:t>
            </w:r>
            <w:r w:rsidR="73C88F39" w:rsidRPr="06E2D374">
              <w:rPr>
                <w:rFonts w:cs="Times New Roman"/>
                <w:noProof/>
                <w:kern w:val="0"/>
                <w:lang w:val="en-GB"/>
              </w:rPr>
              <w:t xml:space="preserve">the </w:t>
            </w:r>
            <w:r w:rsidR="00305D2E" w:rsidRPr="06E2D374">
              <w:rPr>
                <w:rFonts w:cs="Times New Roman"/>
                <w:noProof/>
                <w:lang w:val="en-GB"/>
              </w:rPr>
              <w:t>a</w:t>
            </w:r>
            <w:r w:rsidRPr="06E2D374">
              <w:rPr>
                <w:rFonts w:cs="Times New Roman"/>
                <w:noProof/>
                <w:kern w:val="0"/>
                <w:lang w:val="en-GB"/>
              </w:rPr>
              <w:t xml:space="preserve">rea </w:t>
            </w:r>
            <w:r w:rsidR="00305D2E" w:rsidRPr="06E2D374">
              <w:rPr>
                <w:rFonts w:cs="Times New Roman"/>
                <w:noProof/>
                <w:lang w:val="en-GB"/>
              </w:rPr>
              <w:t>m</w:t>
            </w:r>
            <w:r w:rsidRPr="06E2D374">
              <w:rPr>
                <w:rFonts w:cs="Times New Roman"/>
                <w:noProof/>
                <w:kern w:val="0"/>
                <w:lang w:val="en-GB"/>
              </w:rPr>
              <w:t xml:space="preserve">onitoring </w:t>
            </w:r>
            <w:r w:rsidR="00305D2E" w:rsidRPr="06E2D374">
              <w:rPr>
                <w:rFonts w:cs="Times New Roman"/>
                <w:noProof/>
                <w:lang w:val="en-GB"/>
              </w:rPr>
              <w:t>s</w:t>
            </w:r>
            <w:r w:rsidRPr="06E2D374">
              <w:rPr>
                <w:rFonts w:cs="Times New Roman"/>
                <w:noProof/>
                <w:kern w:val="0"/>
                <w:lang w:val="en-GB"/>
              </w:rPr>
              <w:t>ystem</w:t>
            </w:r>
            <w:r w:rsidR="00A7443A">
              <w:rPr>
                <w:rFonts w:cs="Times New Roman"/>
                <w:noProof/>
                <w:kern w:val="0"/>
                <w:lang w:val="en-GB"/>
              </w:rPr>
              <w:t xml:space="preserve"> </w:t>
            </w:r>
            <w:r w:rsidR="30138E94" w:rsidRPr="06E2D374">
              <w:rPr>
                <w:rFonts w:cs="Times New Roman"/>
                <w:noProof/>
                <w:lang w:val="en-GB"/>
              </w:rPr>
              <w:t>quality assessment</w:t>
            </w:r>
            <w:r w:rsidR="009A31D9" w:rsidRPr="06E2D374">
              <w:rPr>
                <w:rFonts w:cs="Times New Roman"/>
                <w:noProof/>
                <w:lang w:val="en-GB"/>
              </w:rPr>
              <w:t>.</w:t>
            </w:r>
          </w:p>
        </w:tc>
        <w:tc>
          <w:tcPr>
            <w:tcW w:w="4302" w:type="dxa"/>
            <w:vAlign w:val="center"/>
          </w:tcPr>
          <w:p w14:paraId="4F5ABC2E" w14:textId="2A73A1A8" w:rsidR="00510A5F" w:rsidRPr="00724676" w:rsidRDefault="00510A5F" w:rsidP="0098189C">
            <w:pPr>
              <w:kinsoku w:val="0"/>
              <w:overflowPunct w:val="0"/>
              <w:autoSpaceDE w:val="0"/>
              <w:autoSpaceDN w:val="0"/>
              <w:adjustRightInd w:val="0"/>
              <w:spacing w:after="120" w:line="240" w:lineRule="auto"/>
              <w:ind w:left="110" w:right="148"/>
              <w:jc w:val="both"/>
              <w:rPr>
                <w:rFonts w:cs="Times New Roman"/>
                <w:noProof/>
                <w:kern w:val="0"/>
                <w:szCs w:val="24"/>
                <w:lang w:val="en-GB"/>
              </w:rPr>
            </w:pPr>
            <w:r w:rsidRPr="00724676">
              <w:rPr>
                <w:rFonts w:cs="Times New Roman"/>
                <w:noProof/>
                <w:kern w:val="0"/>
                <w:szCs w:val="24"/>
                <w:lang w:val="en-GB"/>
              </w:rPr>
              <w:t>Revised methodology published on 21 March 2024</w:t>
            </w:r>
            <w:r w:rsidR="009A31D9">
              <w:rPr>
                <w:rFonts w:cs="Times New Roman"/>
                <w:noProof/>
                <w:kern w:val="0"/>
                <w:szCs w:val="24"/>
                <w:lang w:val="en-GB"/>
              </w:rPr>
              <w:t>.</w:t>
            </w:r>
          </w:p>
        </w:tc>
      </w:tr>
      <w:tr w:rsidR="00510A5F" w:rsidRPr="00807559" w14:paraId="1B975198" w14:textId="77777777" w:rsidTr="4538020F">
        <w:trPr>
          <w:trHeight w:val="1566"/>
        </w:trPr>
        <w:tc>
          <w:tcPr>
            <w:tcW w:w="760" w:type="dxa"/>
            <w:shd w:val="clear" w:color="auto" w:fill="DEEAF6" w:themeFill="accent5" w:themeFillTint="33"/>
            <w:vAlign w:val="center"/>
          </w:tcPr>
          <w:p w14:paraId="6DC81DB0" w14:textId="77777777" w:rsidR="00510A5F" w:rsidRPr="00D314D7" w:rsidRDefault="00510A5F" w:rsidP="0098189C">
            <w:pPr>
              <w:kinsoku w:val="0"/>
              <w:overflowPunct w:val="0"/>
              <w:autoSpaceDE w:val="0"/>
              <w:autoSpaceDN w:val="0"/>
              <w:adjustRightInd w:val="0"/>
              <w:spacing w:after="120" w:line="240" w:lineRule="auto"/>
              <w:ind w:left="103"/>
              <w:rPr>
                <w:rFonts w:cs="Times New Roman"/>
                <w:b/>
                <w:bCs/>
                <w:noProof/>
                <w:spacing w:val="-4"/>
                <w:kern w:val="0"/>
                <w:szCs w:val="24"/>
                <w:lang w:val="en-GB"/>
              </w:rPr>
            </w:pPr>
            <w:r w:rsidRPr="00D314D7">
              <w:rPr>
                <w:rFonts w:cs="Times New Roman"/>
                <w:b/>
                <w:bCs/>
                <w:noProof/>
                <w:spacing w:val="-4"/>
                <w:kern w:val="0"/>
                <w:szCs w:val="24"/>
                <w:lang w:val="en-GB"/>
              </w:rPr>
              <w:t>A.4</w:t>
            </w:r>
          </w:p>
        </w:tc>
        <w:tc>
          <w:tcPr>
            <w:tcW w:w="3920" w:type="dxa"/>
            <w:vAlign w:val="center"/>
          </w:tcPr>
          <w:p w14:paraId="3127CE04" w14:textId="1D6E0EDC" w:rsidR="00510A5F" w:rsidRPr="00724676" w:rsidRDefault="00510A5F" w:rsidP="0098189C">
            <w:pPr>
              <w:kinsoku w:val="0"/>
              <w:overflowPunct w:val="0"/>
              <w:autoSpaceDE w:val="0"/>
              <w:autoSpaceDN w:val="0"/>
              <w:adjustRightInd w:val="0"/>
              <w:spacing w:after="120" w:line="240" w:lineRule="auto"/>
              <w:ind w:left="110" w:right="148"/>
              <w:jc w:val="both"/>
              <w:rPr>
                <w:rFonts w:cs="Times New Roman"/>
                <w:noProof/>
                <w:kern w:val="0"/>
                <w:szCs w:val="24"/>
                <w:lang w:val="en-GB"/>
              </w:rPr>
            </w:pPr>
            <w:r w:rsidRPr="00724676">
              <w:rPr>
                <w:rFonts w:cs="Times New Roman"/>
                <w:noProof/>
                <w:kern w:val="0"/>
                <w:szCs w:val="24"/>
                <w:lang w:val="en-GB"/>
              </w:rPr>
              <w:t xml:space="preserve">Clarify the possibilities of using </w:t>
            </w:r>
            <w:r w:rsidR="0093411D">
              <w:rPr>
                <w:rFonts w:cs="Times New Roman"/>
                <w:noProof/>
                <w:kern w:val="0"/>
                <w:szCs w:val="24"/>
                <w:lang w:val="en-GB"/>
              </w:rPr>
              <w:t>geotagged</w:t>
            </w:r>
            <w:r w:rsidRPr="00724676">
              <w:rPr>
                <w:rFonts w:cs="Times New Roman"/>
                <w:noProof/>
                <w:spacing w:val="-12"/>
                <w:kern w:val="0"/>
                <w:szCs w:val="24"/>
                <w:lang w:val="en-GB"/>
              </w:rPr>
              <w:t xml:space="preserve"> </w:t>
            </w:r>
            <w:r w:rsidRPr="00724676">
              <w:rPr>
                <w:rFonts w:cs="Times New Roman"/>
                <w:noProof/>
                <w:kern w:val="0"/>
                <w:szCs w:val="24"/>
                <w:lang w:val="en-GB"/>
              </w:rPr>
              <w:t>photos</w:t>
            </w:r>
            <w:r w:rsidRPr="00724676">
              <w:rPr>
                <w:rFonts w:cs="Times New Roman"/>
                <w:noProof/>
                <w:spacing w:val="-12"/>
                <w:kern w:val="0"/>
                <w:szCs w:val="24"/>
                <w:lang w:val="en-GB"/>
              </w:rPr>
              <w:t xml:space="preserve"> </w:t>
            </w:r>
            <w:r w:rsidRPr="00724676">
              <w:rPr>
                <w:rFonts w:cs="Times New Roman"/>
                <w:noProof/>
                <w:kern w:val="0"/>
                <w:szCs w:val="24"/>
                <w:lang w:val="en-GB"/>
              </w:rPr>
              <w:t>under</w:t>
            </w:r>
            <w:r w:rsidRPr="00724676">
              <w:rPr>
                <w:rFonts w:cs="Times New Roman"/>
                <w:noProof/>
                <w:spacing w:val="-12"/>
                <w:kern w:val="0"/>
                <w:szCs w:val="24"/>
                <w:lang w:val="en-GB"/>
              </w:rPr>
              <w:t xml:space="preserve"> </w:t>
            </w:r>
            <w:r w:rsidRPr="00724676">
              <w:rPr>
                <w:rFonts w:cs="Times New Roman"/>
                <w:noProof/>
                <w:kern w:val="0"/>
                <w:szCs w:val="24"/>
                <w:lang w:val="en-GB"/>
              </w:rPr>
              <w:t>existing legislation and review the requirements linked to geo- tagged photos in the implementing regulation.</w:t>
            </w:r>
          </w:p>
        </w:tc>
        <w:tc>
          <w:tcPr>
            <w:tcW w:w="4302" w:type="dxa"/>
            <w:vAlign w:val="center"/>
          </w:tcPr>
          <w:p w14:paraId="3488F61B" w14:textId="3EAFE797" w:rsidR="00F8431F" w:rsidRDefault="5B3B381E" w:rsidP="0098189C">
            <w:pPr>
              <w:kinsoku w:val="0"/>
              <w:overflowPunct w:val="0"/>
              <w:autoSpaceDE w:val="0"/>
              <w:autoSpaceDN w:val="0"/>
              <w:adjustRightInd w:val="0"/>
              <w:spacing w:after="0" w:line="240" w:lineRule="auto"/>
              <w:ind w:left="108" w:right="147"/>
              <w:jc w:val="both"/>
              <w:rPr>
                <w:rFonts w:cs="Times New Roman"/>
                <w:noProof/>
                <w:lang w:val="en-GB"/>
              </w:rPr>
            </w:pPr>
            <w:r w:rsidRPr="6FE283EC">
              <w:rPr>
                <w:rFonts w:cs="Times New Roman"/>
                <w:noProof/>
                <w:kern w:val="0"/>
                <w:lang w:val="en-GB"/>
              </w:rPr>
              <w:t xml:space="preserve">A clarification note was discussed with Member States on 15 May 2024. Presentation </w:t>
            </w:r>
            <w:r w:rsidR="4B27C92C" w:rsidRPr="10339F63">
              <w:rPr>
                <w:rFonts w:cs="Times New Roman"/>
                <w:noProof/>
                <w:lang w:val="en-GB"/>
              </w:rPr>
              <w:t xml:space="preserve">and discussion </w:t>
            </w:r>
            <w:r w:rsidRPr="6FE283EC">
              <w:rPr>
                <w:rFonts w:cs="Times New Roman"/>
                <w:noProof/>
                <w:kern w:val="0"/>
                <w:lang w:val="en-GB"/>
              </w:rPr>
              <w:t xml:space="preserve">of the draft amendment of the implementing regulation in the Committee on CAP Strategic Plans on 5 June 2024. </w:t>
            </w:r>
            <w:r w:rsidR="4B27C92C" w:rsidRPr="10339F63">
              <w:rPr>
                <w:rFonts w:cs="Times New Roman"/>
                <w:noProof/>
                <w:lang w:val="en-GB"/>
              </w:rPr>
              <w:t>The o</w:t>
            </w:r>
            <w:r w:rsidRPr="10339F63">
              <w:rPr>
                <w:rFonts w:cs="Times New Roman"/>
                <w:noProof/>
                <w:kern w:val="0"/>
                <w:lang w:val="en-GB"/>
              </w:rPr>
              <w:t xml:space="preserve">pinion of the Committee </w:t>
            </w:r>
            <w:r w:rsidR="0623D50B" w:rsidRPr="10339F63">
              <w:rPr>
                <w:rFonts w:cs="Times New Roman"/>
                <w:noProof/>
                <w:lang w:val="en-GB"/>
              </w:rPr>
              <w:t>was obtained</w:t>
            </w:r>
            <w:r w:rsidRPr="10339F63">
              <w:rPr>
                <w:rFonts w:cs="Times New Roman"/>
                <w:noProof/>
                <w:kern w:val="0"/>
                <w:lang w:val="en-GB"/>
              </w:rPr>
              <w:t xml:space="preserve"> on 11 July.</w:t>
            </w:r>
            <w:r w:rsidRPr="6FE283EC">
              <w:rPr>
                <w:rFonts w:cs="Times New Roman"/>
                <w:noProof/>
                <w:kern w:val="0"/>
                <w:lang w:val="en-GB"/>
              </w:rPr>
              <w:t xml:space="preserve"> </w:t>
            </w:r>
            <w:r w:rsidR="7210AF04" w:rsidRPr="10339F63">
              <w:rPr>
                <w:rFonts w:cs="Times New Roman"/>
                <w:noProof/>
                <w:lang w:val="en-GB"/>
              </w:rPr>
              <w:t>The act was adopted on 4 September 2024</w:t>
            </w:r>
          </w:p>
          <w:p w14:paraId="5F174AA4" w14:textId="731731B3" w:rsidR="00510A5F" w:rsidRPr="009A31D9" w:rsidRDefault="7210AF04" w:rsidP="0098189C">
            <w:pPr>
              <w:kinsoku w:val="0"/>
              <w:overflowPunct w:val="0"/>
              <w:autoSpaceDE w:val="0"/>
              <w:autoSpaceDN w:val="0"/>
              <w:adjustRightInd w:val="0"/>
              <w:spacing w:after="0" w:line="240" w:lineRule="auto"/>
              <w:ind w:left="108" w:right="147"/>
              <w:rPr>
                <w:rFonts w:cs="Times New Roman"/>
                <w:noProof/>
                <w:kern w:val="0"/>
                <w:lang w:val="en-GB"/>
              </w:rPr>
            </w:pPr>
            <w:r w:rsidRPr="10339F63">
              <w:rPr>
                <w:rFonts w:cs="Times New Roman"/>
                <w:noProof/>
                <w:lang w:val="en-GB"/>
              </w:rPr>
              <w:t>(</w:t>
            </w:r>
            <w:r w:rsidR="006B5A41">
              <w:rPr>
                <w:rFonts w:cs="Times New Roman"/>
                <w:noProof/>
                <w:lang w:val="en-GB"/>
              </w:rPr>
              <w:t xml:space="preserve">Commission Implementing Regulation (EU), </w:t>
            </w:r>
            <w:r w:rsidRPr="10339F63">
              <w:rPr>
                <w:rFonts w:cs="Times New Roman"/>
                <w:noProof/>
                <w:lang w:val="en-GB"/>
              </w:rPr>
              <w:t>C(2024)6069</w:t>
            </w:r>
            <w:r w:rsidR="00F8431F">
              <w:rPr>
                <w:rFonts w:cs="Times New Roman"/>
                <w:noProof/>
                <w:lang w:val="en-GB"/>
              </w:rPr>
              <w:t xml:space="preserve"> </w:t>
            </w:r>
            <w:r w:rsidRPr="10339F63">
              <w:rPr>
                <w:rFonts w:cs="Times New Roman"/>
                <w:noProof/>
                <w:lang w:val="en-GB"/>
              </w:rPr>
              <w:t xml:space="preserve">final) </w:t>
            </w:r>
          </w:p>
        </w:tc>
      </w:tr>
      <w:tr w:rsidR="00510A5F" w:rsidRPr="00807559" w14:paraId="72E897C0" w14:textId="77777777" w:rsidTr="4538020F">
        <w:trPr>
          <w:trHeight w:val="1106"/>
        </w:trPr>
        <w:tc>
          <w:tcPr>
            <w:tcW w:w="760" w:type="dxa"/>
            <w:shd w:val="clear" w:color="auto" w:fill="DEEAF6" w:themeFill="accent5" w:themeFillTint="33"/>
            <w:vAlign w:val="center"/>
          </w:tcPr>
          <w:p w14:paraId="1721E9CC" w14:textId="77777777" w:rsidR="00510A5F" w:rsidRPr="00D314D7" w:rsidRDefault="00510A5F" w:rsidP="0098189C">
            <w:pPr>
              <w:kinsoku w:val="0"/>
              <w:overflowPunct w:val="0"/>
              <w:autoSpaceDE w:val="0"/>
              <w:autoSpaceDN w:val="0"/>
              <w:adjustRightInd w:val="0"/>
              <w:spacing w:after="120" w:line="240" w:lineRule="auto"/>
              <w:ind w:left="103"/>
              <w:rPr>
                <w:rFonts w:cs="Times New Roman"/>
                <w:b/>
                <w:bCs/>
                <w:noProof/>
                <w:spacing w:val="-4"/>
                <w:kern w:val="0"/>
                <w:szCs w:val="24"/>
                <w:lang w:val="en-GB"/>
              </w:rPr>
            </w:pPr>
            <w:r w:rsidRPr="00D314D7">
              <w:rPr>
                <w:rFonts w:cs="Times New Roman"/>
                <w:b/>
                <w:bCs/>
                <w:noProof/>
                <w:spacing w:val="-4"/>
                <w:kern w:val="0"/>
                <w:szCs w:val="24"/>
                <w:lang w:val="en-GB"/>
              </w:rPr>
              <w:t>A.5</w:t>
            </w:r>
          </w:p>
        </w:tc>
        <w:tc>
          <w:tcPr>
            <w:tcW w:w="3920" w:type="dxa"/>
            <w:vAlign w:val="center"/>
          </w:tcPr>
          <w:p w14:paraId="0B12E5B8" w14:textId="46BC7200" w:rsidR="00510A5F" w:rsidRPr="00724676" w:rsidRDefault="00510A5F" w:rsidP="0098189C">
            <w:pPr>
              <w:kinsoku w:val="0"/>
              <w:overflowPunct w:val="0"/>
              <w:autoSpaceDE w:val="0"/>
              <w:autoSpaceDN w:val="0"/>
              <w:adjustRightInd w:val="0"/>
              <w:spacing w:after="120" w:line="240" w:lineRule="auto"/>
              <w:ind w:left="110" w:right="405"/>
              <w:jc w:val="both"/>
              <w:rPr>
                <w:rFonts w:cs="Times New Roman"/>
                <w:noProof/>
                <w:kern w:val="0"/>
                <w:lang w:val="en-GB"/>
              </w:rPr>
            </w:pPr>
            <w:r w:rsidRPr="06E2D374">
              <w:rPr>
                <w:rFonts w:cs="Times New Roman"/>
                <w:noProof/>
                <w:kern w:val="0"/>
                <w:lang w:val="en-GB"/>
              </w:rPr>
              <w:t>Explanatory</w:t>
            </w:r>
            <w:r w:rsidRPr="06E2D374">
              <w:rPr>
                <w:rFonts w:cs="Times New Roman"/>
                <w:noProof/>
                <w:spacing w:val="-12"/>
                <w:kern w:val="0"/>
                <w:lang w:val="en-GB"/>
              </w:rPr>
              <w:t xml:space="preserve"> </w:t>
            </w:r>
            <w:r w:rsidRPr="06E2D374">
              <w:rPr>
                <w:rFonts w:cs="Times New Roman"/>
                <w:noProof/>
                <w:kern w:val="0"/>
                <w:lang w:val="en-GB"/>
              </w:rPr>
              <w:t>note</w:t>
            </w:r>
            <w:r w:rsidRPr="06E2D374">
              <w:rPr>
                <w:rFonts w:cs="Times New Roman"/>
                <w:noProof/>
                <w:spacing w:val="-7"/>
                <w:kern w:val="0"/>
                <w:lang w:val="en-GB"/>
              </w:rPr>
              <w:t xml:space="preserve"> </w:t>
            </w:r>
            <w:r w:rsidRPr="06E2D374">
              <w:rPr>
                <w:rFonts w:cs="Times New Roman"/>
                <w:noProof/>
                <w:kern w:val="0"/>
                <w:lang w:val="en-GB"/>
              </w:rPr>
              <w:t>on</w:t>
            </w:r>
            <w:r w:rsidRPr="06E2D374">
              <w:rPr>
                <w:rFonts w:cs="Times New Roman"/>
                <w:noProof/>
                <w:spacing w:val="-7"/>
                <w:kern w:val="0"/>
                <w:lang w:val="en-GB"/>
              </w:rPr>
              <w:t xml:space="preserve"> </w:t>
            </w:r>
            <w:r w:rsidRPr="06E2D374">
              <w:rPr>
                <w:rFonts w:cs="Times New Roman"/>
                <w:noProof/>
                <w:kern w:val="0"/>
                <w:lang w:val="en-GB"/>
              </w:rPr>
              <w:t>the</w:t>
            </w:r>
            <w:r w:rsidRPr="06E2D374">
              <w:rPr>
                <w:rFonts w:cs="Times New Roman"/>
                <w:noProof/>
                <w:spacing w:val="-6"/>
                <w:kern w:val="0"/>
                <w:lang w:val="en-GB"/>
              </w:rPr>
              <w:t xml:space="preserve"> </w:t>
            </w:r>
            <w:r w:rsidRPr="06E2D374">
              <w:rPr>
                <w:rFonts w:cs="Times New Roman"/>
                <w:noProof/>
                <w:kern w:val="0"/>
                <w:lang w:val="en-GB"/>
              </w:rPr>
              <w:t>use</w:t>
            </w:r>
            <w:r w:rsidRPr="06E2D374">
              <w:rPr>
                <w:rFonts w:cs="Times New Roman"/>
                <w:noProof/>
                <w:spacing w:val="-8"/>
                <w:kern w:val="0"/>
                <w:lang w:val="en-GB"/>
              </w:rPr>
              <w:t xml:space="preserve"> </w:t>
            </w:r>
            <w:r w:rsidRPr="06E2D374">
              <w:rPr>
                <w:rFonts w:cs="Times New Roman"/>
                <w:noProof/>
                <w:kern w:val="0"/>
                <w:lang w:val="en-GB"/>
              </w:rPr>
              <w:t xml:space="preserve">of </w:t>
            </w:r>
            <w:r w:rsidR="001E173F" w:rsidRPr="06E2D374">
              <w:rPr>
                <w:rFonts w:cs="Times New Roman"/>
                <w:noProof/>
                <w:lang w:val="en-GB"/>
              </w:rPr>
              <w:t xml:space="preserve">the </w:t>
            </w:r>
            <w:r w:rsidRPr="06E2D374">
              <w:rPr>
                <w:rFonts w:cs="Times New Roman"/>
                <w:noProof/>
                <w:kern w:val="0"/>
                <w:lang w:val="en-GB"/>
              </w:rPr>
              <w:t>f</w:t>
            </w:r>
            <w:r w:rsidRPr="003E7CF4">
              <w:rPr>
                <w:rFonts w:cs="Times New Roman"/>
                <w:i/>
                <w:noProof/>
                <w:kern w:val="0"/>
                <w:lang w:val="en-GB"/>
              </w:rPr>
              <w:t>orce</w:t>
            </w:r>
            <w:r w:rsidRPr="003E7CF4">
              <w:rPr>
                <w:rFonts w:cs="Times New Roman"/>
                <w:i/>
                <w:noProof/>
                <w:spacing w:val="-1"/>
                <w:kern w:val="0"/>
                <w:lang w:val="en-GB"/>
              </w:rPr>
              <w:t xml:space="preserve"> </w:t>
            </w:r>
            <w:r w:rsidRPr="003E7CF4">
              <w:rPr>
                <w:rFonts w:cs="Times New Roman"/>
                <w:i/>
                <w:noProof/>
                <w:kern w:val="0"/>
                <w:lang w:val="en-GB"/>
              </w:rPr>
              <w:t>majeure</w:t>
            </w:r>
            <w:r w:rsidRPr="06E2D374">
              <w:rPr>
                <w:rFonts w:cs="Times New Roman"/>
                <w:noProof/>
                <w:kern w:val="0"/>
                <w:lang w:val="en-GB"/>
              </w:rPr>
              <w:t xml:space="preserve"> and exceptional circumstances clause</w:t>
            </w:r>
            <w:r w:rsidR="009A31D9" w:rsidRPr="06E2D374">
              <w:rPr>
                <w:rFonts w:cs="Times New Roman"/>
                <w:noProof/>
                <w:kern w:val="0"/>
                <w:lang w:val="en-GB"/>
              </w:rPr>
              <w:t>.</w:t>
            </w:r>
          </w:p>
        </w:tc>
        <w:tc>
          <w:tcPr>
            <w:tcW w:w="4302" w:type="dxa"/>
            <w:vAlign w:val="center"/>
          </w:tcPr>
          <w:p w14:paraId="6F037691" w14:textId="5BDAA493" w:rsidR="00510A5F" w:rsidRPr="00724676" w:rsidRDefault="00510A5F" w:rsidP="0098189C">
            <w:pPr>
              <w:kinsoku w:val="0"/>
              <w:overflowPunct w:val="0"/>
              <w:autoSpaceDE w:val="0"/>
              <w:autoSpaceDN w:val="0"/>
              <w:adjustRightInd w:val="0"/>
              <w:spacing w:after="120" w:line="240" w:lineRule="auto"/>
              <w:ind w:left="110" w:right="148"/>
              <w:jc w:val="both"/>
              <w:rPr>
                <w:rFonts w:cs="Times New Roman"/>
                <w:noProof/>
                <w:kern w:val="0"/>
                <w:szCs w:val="24"/>
                <w:lang w:val="en-GB"/>
              </w:rPr>
            </w:pPr>
            <w:r w:rsidRPr="00724676">
              <w:rPr>
                <w:rFonts w:cs="Times New Roman"/>
                <w:noProof/>
                <w:kern w:val="0"/>
                <w:szCs w:val="24"/>
                <w:lang w:val="en-GB"/>
              </w:rPr>
              <w:t>Communication of 30 May 2024 from the Commission to the Council on force majeure and exceptional circumstances</w:t>
            </w:r>
            <w:r w:rsidR="008456CA">
              <w:rPr>
                <w:rFonts w:cs="Times New Roman"/>
                <w:noProof/>
                <w:kern w:val="0"/>
                <w:szCs w:val="24"/>
                <w:lang w:val="en-GB"/>
              </w:rPr>
              <w:t xml:space="preserve"> </w:t>
            </w:r>
            <w:r w:rsidR="00C304A4">
              <w:rPr>
                <w:rFonts w:cs="Times New Roman"/>
                <w:noProof/>
                <w:kern w:val="0"/>
                <w:szCs w:val="24"/>
                <w:lang w:val="en-GB"/>
              </w:rPr>
              <w:t>(</w:t>
            </w:r>
            <w:r w:rsidR="00C304A4" w:rsidRPr="00C304A4">
              <w:rPr>
                <w:rFonts w:cs="Times New Roman"/>
                <w:noProof/>
                <w:kern w:val="0"/>
                <w:szCs w:val="24"/>
                <w:lang w:val="en-GB"/>
              </w:rPr>
              <w:t>COM(2024)225 final</w:t>
            </w:r>
            <w:r w:rsidR="00C304A4">
              <w:rPr>
                <w:rFonts w:cs="Times New Roman"/>
                <w:noProof/>
                <w:kern w:val="0"/>
                <w:szCs w:val="24"/>
                <w:lang w:val="en-GB"/>
              </w:rPr>
              <w:t>)</w:t>
            </w:r>
          </w:p>
        </w:tc>
      </w:tr>
      <w:tr w:rsidR="00510A5F" w:rsidRPr="00807559" w14:paraId="353570BF" w14:textId="77777777" w:rsidTr="4538020F">
        <w:trPr>
          <w:trHeight w:val="742"/>
        </w:trPr>
        <w:tc>
          <w:tcPr>
            <w:tcW w:w="760" w:type="dxa"/>
            <w:shd w:val="clear" w:color="auto" w:fill="DEEAF6" w:themeFill="accent5" w:themeFillTint="33"/>
            <w:vAlign w:val="center"/>
          </w:tcPr>
          <w:p w14:paraId="6012A359" w14:textId="77777777" w:rsidR="00510A5F" w:rsidRPr="00D314D7" w:rsidRDefault="00510A5F" w:rsidP="0098189C">
            <w:pPr>
              <w:kinsoku w:val="0"/>
              <w:overflowPunct w:val="0"/>
              <w:autoSpaceDE w:val="0"/>
              <w:autoSpaceDN w:val="0"/>
              <w:adjustRightInd w:val="0"/>
              <w:spacing w:after="120" w:line="240" w:lineRule="auto"/>
              <w:ind w:left="103"/>
              <w:rPr>
                <w:rFonts w:cs="Times New Roman"/>
                <w:b/>
                <w:bCs/>
                <w:noProof/>
                <w:spacing w:val="-4"/>
                <w:kern w:val="0"/>
                <w:szCs w:val="24"/>
                <w:lang w:val="en-GB"/>
              </w:rPr>
            </w:pPr>
            <w:r w:rsidRPr="00D314D7">
              <w:rPr>
                <w:rFonts w:cs="Times New Roman"/>
                <w:b/>
                <w:bCs/>
                <w:noProof/>
                <w:spacing w:val="-4"/>
                <w:kern w:val="0"/>
                <w:szCs w:val="24"/>
                <w:lang w:val="en-GB"/>
              </w:rPr>
              <w:t>A.6</w:t>
            </w:r>
          </w:p>
        </w:tc>
        <w:tc>
          <w:tcPr>
            <w:tcW w:w="3920" w:type="dxa"/>
            <w:vAlign w:val="center"/>
          </w:tcPr>
          <w:p w14:paraId="46117E40" w14:textId="0DEBAEE6" w:rsidR="00510A5F" w:rsidRPr="00724676" w:rsidRDefault="00510A5F" w:rsidP="0098189C">
            <w:pPr>
              <w:kinsoku w:val="0"/>
              <w:overflowPunct w:val="0"/>
              <w:autoSpaceDE w:val="0"/>
              <w:autoSpaceDN w:val="0"/>
              <w:adjustRightInd w:val="0"/>
              <w:spacing w:after="120" w:line="240" w:lineRule="auto"/>
              <w:ind w:left="110" w:right="148"/>
              <w:jc w:val="both"/>
              <w:rPr>
                <w:rFonts w:cs="Times New Roman"/>
                <w:noProof/>
                <w:kern w:val="0"/>
                <w:lang w:val="en-GB"/>
              </w:rPr>
            </w:pPr>
            <w:r w:rsidRPr="6FE283EC">
              <w:rPr>
                <w:rFonts w:cs="Times New Roman"/>
                <w:noProof/>
                <w:kern w:val="0"/>
                <w:lang w:val="en-GB"/>
              </w:rPr>
              <w:t xml:space="preserve">Rationalising controls, including the right </w:t>
            </w:r>
            <w:r w:rsidR="03E1E246" w:rsidRPr="6FE283EC">
              <w:rPr>
                <w:rFonts w:cs="Times New Roman"/>
                <w:noProof/>
                <w:lang w:val="en-GB"/>
              </w:rPr>
              <w:t xml:space="preserve">of </w:t>
            </w:r>
            <w:r w:rsidR="00111237" w:rsidRPr="6FE283EC">
              <w:rPr>
                <w:rFonts w:cs="Times New Roman"/>
                <w:noProof/>
                <w:lang w:val="en-GB"/>
              </w:rPr>
              <w:t xml:space="preserve"> </w:t>
            </w:r>
            <w:r w:rsidRPr="6FE283EC">
              <w:rPr>
                <w:rFonts w:cs="Times New Roman"/>
                <w:noProof/>
                <w:kern w:val="0"/>
                <w:lang w:val="en-GB"/>
              </w:rPr>
              <w:t>error</w:t>
            </w:r>
            <w:r w:rsidR="009A31D9" w:rsidRPr="6FE283EC">
              <w:rPr>
                <w:rFonts w:cs="Times New Roman"/>
                <w:noProof/>
                <w:kern w:val="0"/>
                <w:lang w:val="en-GB"/>
              </w:rPr>
              <w:t>.</w:t>
            </w:r>
          </w:p>
        </w:tc>
        <w:tc>
          <w:tcPr>
            <w:tcW w:w="4302" w:type="dxa"/>
            <w:vAlign w:val="center"/>
          </w:tcPr>
          <w:p w14:paraId="28252CD3" w14:textId="74388F1D" w:rsidR="00510A5F" w:rsidRPr="00724676" w:rsidRDefault="00510A5F" w:rsidP="0098189C">
            <w:pPr>
              <w:kinsoku w:val="0"/>
              <w:overflowPunct w:val="0"/>
              <w:autoSpaceDE w:val="0"/>
              <w:autoSpaceDN w:val="0"/>
              <w:adjustRightInd w:val="0"/>
              <w:spacing w:after="120" w:line="240" w:lineRule="auto"/>
              <w:ind w:left="110" w:right="148"/>
              <w:jc w:val="both"/>
              <w:rPr>
                <w:rFonts w:cs="Times New Roman"/>
                <w:noProof/>
                <w:kern w:val="0"/>
                <w:lang w:val="en-GB"/>
              </w:rPr>
            </w:pPr>
            <w:r w:rsidRPr="3A504A08">
              <w:rPr>
                <w:rFonts w:cs="Times New Roman"/>
                <w:noProof/>
                <w:kern w:val="0"/>
                <w:lang w:val="en-GB"/>
              </w:rPr>
              <w:t>Discussed with Member States in the expert group meeting on 26 April 2024</w:t>
            </w:r>
            <w:r w:rsidR="009A31D9" w:rsidRPr="3A504A08">
              <w:rPr>
                <w:rFonts w:cs="Times New Roman"/>
                <w:noProof/>
                <w:kern w:val="0"/>
                <w:lang w:val="en-GB"/>
              </w:rPr>
              <w:t>.</w:t>
            </w:r>
          </w:p>
        </w:tc>
      </w:tr>
      <w:tr w:rsidR="00510A5F" w:rsidRPr="00807559" w14:paraId="69104454" w14:textId="77777777" w:rsidTr="4538020F">
        <w:trPr>
          <w:trHeight w:val="554"/>
        </w:trPr>
        <w:tc>
          <w:tcPr>
            <w:tcW w:w="760" w:type="dxa"/>
            <w:shd w:val="clear" w:color="auto" w:fill="DEEAF6" w:themeFill="accent5" w:themeFillTint="33"/>
            <w:vAlign w:val="center"/>
          </w:tcPr>
          <w:p w14:paraId="5E331DE9" w14:textId="77777777" w:rsidR="00510A5F" w:rsidRPr="00D314D7" w:rsidRDefault="00510A5F" w:rsidP="0098189C">
            <w:pPr>
              <w:kinsoku w:val="0"/>
              <w:overflowPunct w:val="0"/>
              <w:autoSpaceDE w:val="0"/>
              <w:autoSpaceDN w:val="0"/>
              <w:adjustRightInd w:val="0"/>
              <w:spacing w:after="120" w:line="240" w:lineRule="auto"/>
              <w:ind w:left="103"/>
              <w:rPr>
                <w:rFonts w:cs="Times New Roman"/>
                <w:b/>
                <w:bCs/>
                <w:noProof/>
                <w:spacing w:val="-4"/>
                <w:kern w:val="0"/>
                <w:szCs w:val="24"/>
                <w:lang w:val="en-GB"/>
              </w:rPr>
            </w:pPr>
            <w:r w:rsidRPr="00D314D7">
              <w:rPr>
                <w:rFonts w:cs="Times New Roman"/>
                <w:b/>
                <w:bCs/>
                <w:noProof/>
                <w:spacing w:val="-4"/>
                <w:kern w:val="0"/>
                <w:szCs w:val="24"/>
                <w:lang w:val="en-GB"/>
              </w:rPr>
              <w:t>A.7</w:t>
            </w:r>
          </w:p>
        </w:tc>
        <w:tc>
          <w:tcPr>
            <w:tcW w:w="3920" w:type="dxa"/>
            <w:vAlign w:val="center"/>
          </w:tcPr>
          <w:p w14:paraId="6A0F5B45" w14:textId="6AB865C8" w:rsidR="00510A5F" w:rsidRPr="00724676" w:rsidRDefault="00510A5F" w:rsidP="0098189C">
            <w:pPr>
              <w:kinsoku w:val="0"/>
              <w:overflowPunct w:val="0"/>
              <w:autoSpaceDE w:val="0"/>
              <w:autoSpaceDN w:val="0"/>
              <w:adjustRightInd w:val="0"/>
              <w:spacing w:after="120" w:line="240" w:lineRule="auto"/>
              <w:ind w:left="110" w:right="148"/>
              <w:jc w:val="both"/>
              <w:rPr>
                <w:rFonts w:cs="Times New Roman"/>
                <w:noProof/>
                <w:kern w:val="0"/>
                <w:szCs w:val="24"/>
                <w:lang w:val="en-GB"/>
              </w:rPr>
            </w:pPr>
            <w:r w:rsidRPr="00724676">
              <w:rPr>
                <w:rFonts w:cs="Times New Roman"/>
                <w:noProof/>
                <w:kern w:val="0"/>
                <w:szCs w:val="24"/>
                <w:lang w:val="en-GB"/>
              </w:rPr>
              <w:t xml:space="preserve">Organise </w:t>
            </w:r>
            <w:r w:rsidR="001E173F">
              <w:rPr>
                <w:rFonts w:cs="Times New Roman"/>
                <w:noProof/>
                <w:kern w:val="0"/>
                <w:szCs w:val="24"/>
                <w:lang w:val="en-GB"/>
              </w:rPr>
              <w:t xml:space="preserve">the </w:t>
            </w:r>
            <w:r w:rsidRPr="00724676">
              <w:rPr>
                <w:rFonts w:cs="Times New Roman"/>
                <w:noProof/>
                <w:kern w:val="0"/>
                <w:szCs w:val="24"/>
                <w:lang w:val="en-GB"/>
              </w:rPr>
              <w:t>exchange of best practices</w:t>
            </w:r>
            <w:r w:rsidRPr="009A31D9">
              <w:rPr>
                <w:rFonts w:cs="Times New Roman"/>
                <w:noProof/>
                <w:kern w:val="0"/>
                <w:szCs w:val="24"/>
                <w:lang w:val="en-GB"/>
              </w:rPr>
              <w:t xml:space="preserve"> </w:t>
            </w:r>
            <w:r w:rsidRPr="00724676">
              <w:rPr>
                <w:rFonts w:cs="Times New Roman"/>
                <w:noProof/>
                <w:kern w:val="0"/>
                <w:szCs w:val="24"/>
                <w:lang w:val="en-GB"/>
              </w:rPr>
              <w:t>with</w:t>
            </w:r>
            <w:r w:rsidRPr="009A31D9">
              <w:rPr>
                <w:rFonts w:cs="Times New Roman"/>
                <w:noProof/>
                <w:kern w:val="0"/>
                <w:szCs w:val="24"/>
                <w:lang w:val="en-GB"/>
              </w:rPr>
              <w:t xml:space="preserve"> </w:t>
            </w:r>
            <w:r w:rsidRPr="00724676">
              <w:rPr>
                <w:rFonts w:cs="Times New Roman"/>
                <w:noProof/>
                <w:kern w:val="0"/>
                <w:szCs w:val="24"/>
                <w:lang w:val="en-GB"/>
              </w:rPr>
              <w:t>Member</w:t>
            </w:r>
            <w:r w:rsidRPr="009A31D9">
              <w:rPr>
                <w:rFonts w:cs="Times New Roman"/>
                <w:noProof/>
                <w:kern w:val="0"/>
                <w:szCs w:val="24"/>
                <w:lang w:val="en-GB"/>
              </w:rPr>
              <w:t xml:space="preserve"> </w:t>
            </w:r>
            <w:r w:rsidRPr="00724676">
              <w:rPr>
                <w:rFonts w:cs="Times New Roman"/>
                <w:noProof/>
                <w:kern w:val="0"/>
                <w:szCs w:val="24"/>
                <w:lang w:val="en-GB"/>
              </w:rPr>
              <w:t>States</w:t>
            </w:r>
            <w:r w:rsidRPr="009A31D9">
              <w:rPr>
                <w:rFonts w:cs="Times New Roman"/>
                <w:noProof/>
                <w:kern w:val="0"/>
                <w:szCs w:val="24"/>
                <w:lang w:val="en-GB"/>
              </w:rPr>
              <w:t xml:space="preserve"> </w:t>
            </w:r>
            <w:r w:rsidRPr="00724676">
              <w:rPr>
                <w:rFonts w:cs="Times New Roman"/>
                <w:noProof/>
                <w:kern w:val="0"/>
                <w:szCs w:val="24"/>
                <w:lang w:val="en-GB"/>
              </w:rPr>
              <w:t xml:space="preserve">to simplify interventions and minimise </w:t>
            </w:r>
            <w:r w:rsidR="001E173F">
              <w:rPr>
                <w:rFonts w:cs="Times New Roman"/>
                <w:noProof/>
                <w:kern w:val="0"/>
                <w:szCs w:val="24"/>
                <w:lang w:val="en-GB"/>
              </w:rPr>
              <w:t xml:space="preserve">the </w:t>
            </w:r>
            <w:r w:rsidRPr="00724676">
              <w:rPr>
                <w:rFonts w:cs="Times New Roman"/>
                <w:noProof/>
                <w:kern w:val="0"/>
                <w:szCs w:val="24"/>
                <w:lang w:val="en-GB"/>
              </w:rPr>
              <w:t>administrative</w:t>
            </w:r>
            <w:r w:rsidRPr="009A31D9">
              <w:rPr>
                <w:rFonts w:cs="Times New Roman"/>
                <w:noProof/>
                <w:kern w:val="0"/>
                <w:szCs w:val="24"/>
                <w:lang w:val="en-GB"/>
              </w:rPr>
              <w:t xml:space="preserve"> </w:t>
            </w:r>
            <w:r w:rsidRPr="00724676">
              <w:rPr>
                <w:rFonts w:cs="Times New Roman"/>
                <w:noProof/>
                <w:kern w:val="0"/>
                <w:szCs w:val="24"/>
                <w:lang w:val="en-GB"/>
              </w:rPr>
              <w:t xml:space="preserve">burden of conditionality, eco-schemes and rural development </w:t>
            </w:r>
            <w:r w:rsidRPr="009A31D9">
              <w:rPr>
                <w:rFonts w:cs="Times New Roman"/>
                <w:noProof/>
                <w:kern w:val="0"/>
                <w:szCs w:val="24"/>
                <w:lang w:val="en-GB"/>
              </w:rPr>
              <w:t>interventions.</w:t>
            </w:r>
          </w:p>
        </w:tc>
        <w:tc>
          <w:tcPr>
            <w:tcW w:w="4302" w:type="dxa"/>
            <w:vAlign w:val="center"/>
          </w:tcPr>
          <w:p w14:paraId="662D0B1D" w14:textId="38D7467E" w:rsidR="00510A5F" w:rsidRPr="00724676" w:rsidRDefault="00510A5F" w:rsidP="0098189C">
            <w:pPr>
              <w:kinsoku w:val="0"/>
              <w:overflowPunct w:val="0"/>
              <w:autoSpaceDE w:val="0"/>
              <w:autoSpaceDN w:val="0"/>
              <w:adjustRightInd w:val="0"/>
              <w:spacing w:after="120" w:line="240" w:lineRule="auto"/>
              <w:ind w:left="110" w:right="148"/>
              <w:jc w:val="both"/>
              <w:rPr>
                <w:rFonts w:cs="Times New Roman"/>
                <w:noProof/>
                <w:kern w:val="0"/>
                <w:szCs w:val="24"/>
                <w:lang w:val="en-GB"/>
              </w:rPr>
            </w:pPr>
            <w:r w:rsidRPr="00724676">
              <w:rPr>
                <w:rFonts w:cs="Times New Roman"/>
                <w:noProof/>
                <w:kern w:val="0"/>
                <w:szCs w:val="24"/>
                <w:lang w:val="en-GB"/>
              </w:rPr>
              <w:t xml:space="preserve">Exchange of best practices in the Thematic Group on Green Strategies </w:t>
            </w:r>
            <w:r w:rsidRPr="00C95D1E">
              <w:rPr>
                <w:rFonts w:cs="Times New Roman"/>
                <w:noProof/>
                <w:kern w:val="0"/>
                <w:szCs w:val="24"/>
                <w:lang w:val="en-GB"/>
              </w:rPr>
              <w:t>organised by the CAP Network on 11 April and 4 June 2024</w:t>
            </w:r>
            <w:r w:rsidR="009A31D9" w:rsidRPr="00C95D1E">
              <w:rPr>
                <w:rFonts w:cs="Times New Roman"/>
                <w:noProof/>
                <w:kern w:val="0"/>
                <w:szCs w:val="24"/>
                <w:lang w:val="en-GB"/>
              </w:rPr>
              <w:t>.</w:t>
            </w:r>
          </w:p>
        </w:tc>
      </w:tr>
      <w:tr w:rsidR="00176AD7" w:rsidRPr="00807559" w14:paraId="01EF2A29" w14:textId="77777777" w:rsidTr="4538020F">
        <w:trPr>
          <w:trHeight w:val="1616"/>
        </w:trPr>
        <w:tc>
          <w:tcPr>
            <w:tcW w:w="760" w:type="dxa"/>
            <w:shd w:val="clear" w:color="auto" w:fill="DEEAF6" w:themeFill="accent5" w:themeFillTint="33"/>
            <w:vAlign w:val="center"/>
          </w:tcPr>
          <w:p w14:paraId="301A40D4"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lastRenderedPageBreak/>
              <w:t>A.8</w:t>
            </w:r>
          </w:p>
        </w:tc>
        <w:tc>
          <w:tcPr>
            <w:tcW w:w="3920" w:type="dxa"/>
            <w:vAlign w:val="center"/>
          </w:tcPr>
          <w:p w14:paraId="7A35D795" w14:textId="1F1BBFF7" w:rsidR="00510A5F" w:rsidRPr="009A31D9" w:rsidRDefault="00510A5F" w:rsidP="0098189C">
            <w:pPr>
              <w:kinsoku w:val="0"/>
              <w:overflowPunct w:val="0"/>
              <w:autoSpaceDE w:val="0"/>
              <w:autoSpaceDN w:val="0"/>
              <w:adjustRightInd w:val="0"/>
              <w:spacing w:after="120" w:line="240" w:lineRule="auto"/>
              <w:ind w:left="110" w:right="148"/>
              <w:jc w:val="both"/>
              <w:rPr>
                <w:rFonts w:cs="Times New Roman"/>
                <w:noProof/>
                <w:kern w:val="0"/>
                <w:lang w:val="en-GB"/>
              </w:rPr>
            </w:pPr>
            <w:r w:rsidRPr="06E2D374">
              <w:rPr>
                <w:rFonts w:cs="Times New Roman"/>
                <w:noProof/>
                <w:kern w:val="0"/>
                <w:lang w:val="en-GB"/>
              </w:rPr>
              <w:t xml:space="preserve">Encourage Member States to </w:t>
            </w:r>
            <w:r w:rsidR="5FF64ECF" w:rsidRPr="06E2D374">
              <w:rPr>
                <w:rFonts w:cs="Times New Roman"/>
                <w:noProof/>
                <w:lang w:val="en-GB"/>
              </w:rPr>
              <w:t xml:space="preserve">reinforce </w:t>
            </w:r>
            <w:r w:rsidRPr="06E2D374">
              <w:rPr>
                <w:rFonts w:cs="Times New Roman"/>
                <w:noProof/>
                <w:kern w:val="0"/>
                <w:lang w:val="en-GB"/>
              </w:rPr>
              <w:t>the role of, and budgetary support for, advisory services to assist farmers in complying with obligations and</w:t>
            </w:r>
            <w:r w:rsidR="001E173F" w:rsidRPr="06E2D374">
              <w:rPr>
                <w:rFonts w:cs="Times New Roman"/>
                <w:noProof/>
                <w:lang w:val="en-GB"/>
              </w:rPr>
              <w:t xml:space="preserve"> </w:t>
            </w:r>
            <w:r w:rsidRPr="06E2D374">
              <w:rPr>
                <w:rFonts w:cs="Times New Roman"/>
                <w:noProof/>
                <w:kern w:val="0"/>
                <w:lang w:val="en-GB"/>
              </w:rPr>
              <w:t>accessing CAP support.</w:t>
            </w:r>
          </w:p>
        </w:tc>
        <w:tc>
          <w:tcPr>
            <w:tcW w:w="4302" w:type="dxa"/>
            <w:vAlign w:val="center"/>
          </w:tcPr>
          <w:p w14:paraId="535F1681" w14:textId="72862F7B" w:rsidR="00510A5F" w:rsidRPr="00724676" w:rsidRDefault="00510A5F" w:rsidP="0098189C">
            <w:pPr>
              <w:spacing w:after="120" w:line="240" w:lineRule="auto"/>
              <w:ind w:left="110" w:right="148"/>
              <w:jc w:val="both"/>
              <w:textAlignment w:val="baseline"/>
              <w:rPr>
                <w:rFonts w:cs="Times New Roman"/>
                <w:noProof/>
                <w:kern w:val="0"/>
                <w:szCs w:val="24"/>
                <w:lang w:val="en-GB"/>
              </w:rPr>
            </w:pPr>
            <w:r w:rsidRPr="0041086F">
              <w:rPr>
                <w:rFonts w:cs="Times New Roman"/>
                <w:noProof/>
                <w:kern w:val="0"/>
                <w:szCs w:val="24"/>
                <w:lang w:val="en-GB"/>
              </w:rPr>
              <w:t>Note sent to Member States on 12 April 2024</w:t>
            </w:r>
            <w:r w:rsidR="009A31D9" w:rsidRPr="0041086F">
              <w:rPr>
                <w:rFonts w:cs="Times New Roman"/>
                <w:noProof/>
                <w:kern w:val="0"/>
                <w:szCs w:val="24"/>
                <w:lang w:val="en-GB"/>
              </w:rPr>
              <w:t>.</w:t>
            </w:r>
          </w:p>
        </w:tc>
      </w:tr>
      <w:tr w:rsidR="003E7CF4" w:rsidRPr="00807559" w14:paraId="622A1766" w14:textId="77777777" w:rsidTr="4538020F">
        <w:trPr>
          <w:trHeight w:val="1260"/>
        </w:trPr>
        <w:tc>
          <w:tcPr>
            <w:tcW w:w="760" w:type="dxa"/>
            <w:shd w:val="clear" w:color="auto" w:fill="DEEAF6" w:themeFill="accent5" w:themeFillTint="33"/>
            <w:vAlign w:val="center"/>
          </w:tcPr>
          <w:p w14:paraId="4F310B75"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A.9</w:t>
            </w:r>
          </w:p>
        </w:tc>
        <w:tc>
          <w:tcPr>
            <w:tcW w:w="3920" w:type="dxa"/>
            <w:vAlign w:val="center"/>
          </w:tcPr>
          <w:p w14:paraId="279179EC" w14:textId="40F8FCBD" w:rsidR="00510A5F" w:rsidRPr="009A31D9" w:rsidRDefault="00510A5F" w:rsidP="0098189C">
            <w:pPr>
              <w:kinsoku w:val="0"/>
              <w:overflowPunct w:val="0"/>
              <w:autoSpaceDE w:val="0"/>
              <w:autoSpaceDN w:val="0"/>
              <w:adjustRightInd w:val="0"/>
              <w:spacing w:after="120" w:line="240" w:lineRule="auto"/>
              <w:ind w:left="110" w:right="148"/>
              <w:jc w:val="both"/>
              <w:rPr>
                <w:rFonts w:cs="Times New Roman"/>
                <w:noProof/>
                <w:kern w:val="0"/>
                <w:lang w:val="en-GB"/>
              </w:rPr>
            </w:pPr>
            <w:r w:rsidRPr="06E2D374">
              <w:rPr>
                <w:rFonts w:cs="Times New Roman"/>
                <w:noProof/>
                <w:kern w:val="0"/>
                <w:lang w:val="en-GB"/>
              </w:rPr>
              <w:t>Improve</w:t>
            </w:r>
            <w:r w:rsidR="001E173F" w:rsidRPr="06E2D374">
              <w:rPr>
                <w:rFonts w:cs="Times New Roman"/>
                <w:noProof/>
                <w:lang w:val="en-GB"/>
              </w:rPr>
              <w:t xml:space="preserve"> </w:t>
            </w:r>
            <w:r w:rsidRPr="06E2D374">
              <w:rPr>
                <w:rFonts w:cs="Times New Roman"/>
                <w:noProof/>
                <w:kern w:val="0"/>
                <w:lang w:val="en-GB"/>
              </w:rPr>
              <w:t>CAP Plan</w:t>
            </w:r>
            <w:r w:rsidR="001E173F" w:rsidRPr="06E2D374">
              <w:rPr>
                <w:rFonts w:cs="Times New Roman"/>
                <w:noProof/>
                <w:lang w:val="en-GB"/>
              </w:rPr>
              <w:t>s</w:t>
            </w:r>
            <w:r w:rsidRPr="06E2D374" w:rsidDel="001E173F">
              <w:rPr>
                <w:rFonts w:cs="Times New Roman"/>
                <w:noProof/>
                <w:lang w:val="en-GB"/>
              </w:rPr>
              <w:t xml:space="preserve"> amendment procedure</w:t>
            </w:r>
            <w:r w:rsidR="009A31D9" w:rsidRPr="06E2D374">
              <w:rPr>
                <w:rFonts w:cs="Times New Roman"/>
                <w:noProof/>
                <w:kern w:val="0"/>
                <w:lang w:val="en-GB"/>
              </w:rPr>
              <w:t>.</w:t>
            </w:r>
          </w:p>
        </w:tc>
        <w:tc>
          <w:tcPr>
            <w:tcW w:w="4302" w:type="dxa"/>
            <w:vAlign w:val="center"/>
          </w:tcPr>
          <w:p w14:paraId="12FF2B3A" w14:textId="2B04A5EB" w:rsidR="00510A5F" w:rsidRPr="009A31D9" w:rsidRDefault="00510A5F" w:rsidP="0098189C">
            <w:pPr>
              <w:spacing w:after="120" w:line="240" w:lineRule="auto"/>
              <w:ind w:left="110" w:right="148"/>
              <w:jc w:val="both"/>
              <w:textAlignment w:val="baseline"/>
              <w:rPr>
                <w:rFonts w:cs="Times New Roman"/>
                <w:noProof/>
                <w:kern w:val="0"/>
                <w:szCs w:val="24"/>
                <w:lang w:val="en-GB"/>
              </w:rPr>
            </w:pPr>
            <w:r w:rsidRPr="00724676">
              <w:rPr>
                <w:rFonts w:cs="Times New Roman"/>
                <w:noProof/>
                <w:kern w:val="0"/>
                <w:szCs w:val="24"/>
                <w:lang w:val="en-GB"/>
              </w:rPr>
              <w:t>Note</w:t>
            </w:r>
            <w:r w:rsidRPr="009A31D9">
              <w:rPr>
                <w:rFonts w:cs="Times New Roman"/>
                <w:noProof/>
                <w:kern w:val="0"/>
                <w:szCs w:val="24"/>
                <w:lang w:val="en-GB"/>
              </w:rPr>
              <w:t xml:space="preserve"> </w:t>
            </w:r>
            <w:r w:rsidRPr="00724676">
              <w:rPr>
                <w:rFonts w:cs="Times New Roman"/>
                <w:noProof/>
                <w:kern w:val="0"/>
                <w:szCs w:val="24"/>
                <w:lang w:val="en-GB"/>
              </w:rPr>
              <w:t>to</w:t>
            </w:r>
            <w:r w:rsidRPr="009A31D9">
              <w:rPr>
                <w:rFonts w:cs="Times New Roman"/>
                <w:noProof/>
                <w:kern w:val="0"/>
                <w:szCs w:val="24"/>
                <w:lang w:val="en-GB"/>
              </w:rPr>
              <w:t xml:space="preserve"> </w:t>
            </w:r>
            <w:r w:rsidRPr="00724676">
              <w:rPr>
                <w:rFonts w:cs="Times New Roman"/>
                <w:noProof/>
                <w:kern w:val="0"/>
                <w:szCs w:val="24"/>
                <w:lang w:val="en-GB"/>
              </w:rPr>
              <w:t>Member</w:t>
            </w:r>
            <w:r w:rsidRPr="009A31D9">
              <w:rPr>
                <w:rFonts w:cs="Times New Roman"/>
                <w:noProof/>
                <w:kern w:val="0"/>
                <w:szCs w:val="24"/>
                <w:lang w:val="en-GB"/>
              </w:rPr>
              <w:t xml:space="preserve"> </w:t>
            </w:r>
            <w:r w:rsidRPr="00724676">
              <w:rPr>
                <w:rFonts w:cs="Times New Roman"/>
                <w:noProof/>
                <w:kern w:val="0"/>
                <w:szCs w:val="24"/>
                <w:lang w:val="en-GB"/>
              </w:rPr>
              <w:t xml:space="preserve">State </w:t>
            </w:r>
            <w:r w:rsidRPr="009A31D9">
              <w:rPr>
                <w:rFonts w:cs="Times New Roman"/>
                <w:noProof/>
                <w:kern w:val="0"/>
                <w:szCs w:val="24"/>
                <w:lang w:val="en-GB"/>
              </w:rPr>
              <w:t>experts presented in the Expert Group on the CAP Strategic Plans on 9 April 2024</w:t>
            </w:r>
            <w:r w:rsidR="009A31D9">
              <w:rPr>
                <w:rFonts w:cs="Times New Roman"/>
                <w:noProof/>
                <w:kern w:val="0"/>
                <w:szCs w:val="24"/>
                <w:lang w:val="en-GB"/>
              </w:rPr>
              <w:t>.</w:t>
            </w:r>
          </w:p>
        </w:tc>
      </w:tr>
      <w:tr w:rsidR="00176AD7" w:rsidRPr="00807559" w14:paraId="7FE22FC3" w14:textId="77777777" w:rsidTr="4538020F">
        <w:trPr>
          <w:trHeight w:val="1453"/>
        </w:trPr>
        <w:tc>
          <w:tcPr>
            <w:tcW w:w="760" w:type="dxa"/>
            <w:shd w:val="clear" w:color="auto" w:fill="DEEAF6" w:themeFill="accent5" w:themeFillTint="33"/>
            <w:vAlign w:val="center"/>
          </w:tcPr>
          <w:p w14:paraId="03D0A144"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A.10</w:t>
            </w:r>
          </w:p>
        </w:tc>
        <w:tc>
          <w:tcPr>
            <w:tcW w:w="3920" w:type="dxa"/>
            <w:vAlign w:val="center"/>
          </w:tcPr>
          <w:p w14:paraId="75C74ED2" w14:textId="18A2EA3D" w:rsidR="00510A5F" w:rsidRPr="009A31D9" w:rsidRDefault="00510A5F" w:rsidP="0098189C">
            <w:pPr>
              <w:spacing w:after="120" w:line="240" w:lineRule="auto"/>
              <w:ind w:left="110" w:right="148"/>
              <w:jc w:val="both"/>
              <w:textAlignment w:val="baseline"/>
              <w:rPr>
                <w:rFonts w:cs="Times New Roman"/>
                <w:noProof/>
                <w:kern w:val="0"/>
                <w:lang w:val="en-GB"/>
              </w:rPr>
            </w:pPr>
            <w:r w:rsidRPr="6FE283EC">
              <w:rPr>
                <w:rFonts w:cs="Times New Roman"/>
                <w:noProof/>
                <w:kern w:val="0"/>
                <w:lang w:val="en-GB"/>
              </w:rPr>
              <w:t>Encourage stakeholders to submit views on the administrati</w:t>
            </w:r>
            <w:r w:rsidRPr="06E2D374">
              <w:rPr>
                <w:rFonts w:cs="Times New Roman"/>
                <w:noProof/>
                <w:kern w:val="0"/>
                <w:lang w:val="en-GB"/>
              </w:rPr>
              <w:t>ve burden of the Nitrates Directive</w:t>
            </w:r>
            <w:r w:rsidR="001E173F" w:rsidRPr="06E2D374">
              <w:rPr>
                <w:rFonts w:cs="Times New Roman"/>
                <w:noProof/>
                <w:lang w:val="en-GB"/>
              </w:rPr>
              <w:t>,</w:t>
            </w:r>
            <w:r w:rsidRPr="06E2D374">
              <w:rPr>
                <w:rFonts w:cs="Times New Roman"/>
                <w:noProof/>
                <w:kern w:val="0"/>
                <w:lang w:val="en-GB"/>
              </w:rPr>
              <w:t xml:space="preserve"> in consultation</w:t>
            </w:r>
            <w:r w:rsidR="001E173F" w:rsidRPr="06E2D374">
              <w:rPr>
                <w:rFonts w:cs="Times New Roman"/>
                <w:noProof/>
                <w:lang w:val="en-GB"/>
              </w:rPr>
              <w:t>,</w:t>
            </w:r>
            <w:r w:rsidRPr="06E2D374">
              <w:rPr>
                <w:rFonts w:cs="Times New Roman"/>
                <w:noProof/>
                <w:kern w:val="0"/>
                <w:lang w:val="en-GB"/>
              </w:rPr>
              <w:t xml:space="preserve"> for the purposes of </w:t>
            </w:r>
            <w:r w:rsidR="68CEF8F1" w:rsidRPr="003E7CF4">
              <w:rPr>
                <w:rFonts w:cs="Times New Roman"/>
                <w:noProof/>
                <w:lang w:val="en-GB"/>
              </w:rPr>
              <w:t xml:space="preserve"> </w:t>
            </w:r>
            <w:r w:rsidR="68CEF8F1" w:rsidRPr="06E2D374">
              <w:rPr>
                <w:rFonts w:cs="Times New Roman"/>
                <w:noProof/>
                <w:lang w:val="en-GB"/>
              </w:rPr>
              <w:t xml:space="preserve">the </w:t>
            </w:r>
            <w:r w:rsidR="68CEF8F1" w:rsidRPr="003E7CF4">
              <w:rPr>
                <w:rFonts w:cs="Times New Roman"/>
                <w:noProof/>
                <w:lang w:val="en-GB"/>
              </w:rPr>
              <w:t>e</w:t>
            </w:r>
            <w:r w:rsidR="68CEF8F1" w:rsidRPr="06E2D374">
              <w:rPr>
                <w:rFonts w:cs="Times New Roman"/>
                <w:noProof/>
                <w:lang w:val="en-GB"/>
              </w:rPr>
              <w:t xml:space="preserve">valuation of </w:t>
            </w:r>
            <w:r w:rsidRPr="6FE283EC">
              <w:rPr>
                <w:rFonts w:cs="Times New Roman"/>
                <w:noProof/>
                <w:kern w:val="0"/>
                <w:lang w:val="en-GB"/>
              </w:rPr>
              <w:t>the directive.</w:t>
            </w:r>
          </w:p>
        </w:tc>
        <w:tc>
          <w:tcPr>
            <w:tcW w:w="4302" w:type="dxa"/>
            <w:vAlign w:val="center"/>
          </w:tcPr>
          <w:p w14:paraId="600D78DA" w14:textId="55E89DB8" w:rsidR="00510A5F" w:rsidRPr="003E7CF4" w:rsidRDefault="00510A5F" w:rsidP="0098189C">
            <w:pPr>
              <w:spacing w:after="120" w:line="240" w:lineRule="auto"/>
              <w:ind w:left="110" w:right="148"/>
              <w:jc w:val="both"/>
              <w:textAlignment w:val="baseline"/>
              <w:rPr>
                <w:rFonts w:cs="Times New Roman"/>
                <w:noProof/>
                <w:kern w:val="0"/>
                <w:highlight w:val="yellow"/>
                <w:lang w:val="en-GB"/>
              </w:rPr>
            </w:pPr>
            <w:r w:rsidRPr="06E2D374">
              <w:rPr>
                <w:rFonts w:cs="Times New Roman"/>
                <w:noProof/>
                <w:kern w:val="0"/>
                <w:lang w:val="en-GB"/>
              </w:rPr>
              <w:t>Public consultation closed on 8 March 2024</w:t>
            </w:r>
            <w:r w:rsidRPr="00E86F3B">
              <w:rPr>
                <w:rStyle w:val="FootnoteReference"/>
                <w:rFonts w:cs="Times New Roman"/>
                <w:noProof/>
                <w:lang w:val="en-GB"/>
              </w:rPr>
              <w:footnoteReference w:id="72"/>
            </w:r>
            <w:r w:rsidR="121A98EE" w:rsidRPr="06E2D374">
              <w:rPr>
                <w:rFonts w:cs="Times New Roman"/>
                <w:noProof/>
                <w:kern w:val="0"/>
                <w:lang w:val="en-GB"/>
              </w:rPr>
              <w:t>.</w:t>
            </w:r>
          </w:p>
        </w:tc>
      </w:tr>
      <w:tr w:rsidR="00510A5F" w:rsidRPr="00807559" w14:paraId="3547669B" w14:textId="77777777" w:rsidTr="4538020F">
        <w:trPr>
          <w:trHeight w:val="393"/>
        </w:trPr>
        <w:tc>
          <w:tcPr>
            <w:tcW w:w="8982" w:type="dxa"/>
            <w:gridSpan w:val="3"/>
            <w:shd w:val="clear" w:color="auto" w:fill="DEEAF6" w:themeFill="accent5" w:themeFillTint="33"/>
          </w:tcPr>
          <w:p w14:paraId="234F539D" w14:textId="77777777" w:rsidR="00510A5F" w:rsidRPr="00724676" w:rsidRDefault="00510A5F" w:rsidP="0098189C">
            <w:pPr>
              <w:kinsoku w:val="0"/>
              <w:overflowPunct w:val="0"/>
              <w:autoSpaceDE w:val="0"/>
              <w:autoSpaceDN w:val="0"/>
              <w:adjustRightInd w:val="0"/>
              <w:spacing w:before="120" w:after="120" w:line="240" w:lineRule="auto"/>
              <w:ind w:left="465" w:hanging="286"/>
              <w:rPr>
                <w:rFonts w:cs="Times New Roman"/>
                <w:b/>
                <w:bCs/>
                <w:noProof/>
                <w:kern w:val="0"/>
                <w:szCs w:val="24"/>
                <w:lang w:val="en-GB"/>
              </w:rPr>
            </w:pPr>
            <w:r w:rsidRPr="00724676">
              <w:rPr>
                <w:rFonts w:cs="Times New Roman"/>
                <w:b/>
                <w:bCs/>
                <w:noProof/>
                <w:kern w:val="0"/>
                <w:szCs w:val="24"/>
                <w:lang w:val="en-GB"/>
              </w:rPr>
              <w:t>B.</w:t>
            </w:r>
            <w:r w:rsidRPr="009A31D9">
              <w:rPr>
                <w:rFonts w:cs="Times New Roman"/>
                <w:b/>
                <w:bCs/>
                <w:noProof/>
                <w:kern w:val="0"/>
                <w:szCs w:val="24"/>
                <w:lang w:val="en-GB"/>
              </w:rPr>
              <w:t xml:space="preserve"> </w:t>
            </w:r>
            <w:r w:rsidRPr="00724676">
              <w:rPr>
                <w:rFonts w:cs="Times New Roman"/>
                <w:b/>
                <w:bCs/>
                <w:noProof/>
                <w:kern w:val="0"/>
                <w:szCs w:val="24"/>
                <w:lang w:val="en-GB"/>
              </w:rPr>
              <w:t>Mid-term/long term measures</w:t>
            </w:r>
          </w:p>
        </w:tc>
      </w:tr>
      <w:tr w:rsidR="00176AD7" w:rsidRPr="00807559" w14:paraId="546FD4BD" w14:textId="77777777" w:rsidTr="4538020F">
        <w:trPr>
          <w:trHeight w:val="1668"/>
        </w:trPr>
        <w:tc>
          <w:tcPr>
            <w:tcW w:w="760" w:type="dxa"/>
            <w:shd w:val="clear" w:color="auto" w:fill="DEEAF6" w:themeFill="accent5" w:themeFillTint="33"/>
            <w:vAlign w:val="center"/>
          </w:tcPr>
          <w:p w14:paraId="0F382779"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B.1</w:t>
            </w:r>
          </w:p>
        </w:tc>
        <w:tc>
          <w:tcPr>
            <w:tcW w:w="3920" w:type="dxa"/>
            <w:vAlign w:val="center"/>
          </w:tcPr>
          <w:p w14:paraId="784EF44B" w14:textId="0F731099" w:rsidR="00510A5F" w:rsidRPr="00724676" w:rsidRDefault="00510A5F" w:rsidP="0098189C">
            <w:pPr>
              <w:kinsoku w:val="0"/>
              <w:overflowPunct w:val="0"/>
              <w:autoSpaceDE w:val="0"/>
              <w:autoSpaceDN w:val="0"/>
              <w:adjustRightInd w:val="0"/>
              <w:spacing w:after="120" w:line="240" w:lineRule="auto"/>
              <w:ind w:left="109" w:right="127"/>
              <w:jc w:val="both"/>
              <w:rPr>
                <w:rFonts w:cs="Times New Roman"/>
                <w:noProof/>
                <w:kern w:val="0"/>
                <w:lang w:val="en-GB"/>
              </w:rPr>
            </w:pPr>
            <w:r w:rsidRPr="06E2D374">
              <w:rPr>
                <w:rFonts w:cs="Times New Roman"/>
                <w:noProof/>
                <w:kern w:val="0"/>
                <w:lang w:val="en-GB"/>
              </w:rPr>
              <w:t>Review</w:t>
            </w:r>
            <w:r w:rsidRPr="06E2D374">
              <w:rPr>
                <w:rFonts w:cs="Times New Roman"/>
                <w:noProof/>
                <w:spacing w:val="-9"/>
                <w:kern w:val="0"/>
                <w:lang w:val="en-GB"/>
              </w:rPr>
              <w:t xml:space="preserve"> </w:t>
            </w:r>
            <w:r w:rsidRPr="06E2D374">
              <w:rPr>
                <w:rFonts w:cs="Times New Roman"/>
                <w:noProof/>
                <w:kern w:val="0"/>
                <w:lang w:val="en-GB"/>
              </w:rPr>
              <w:t>of</w:t>
            </w:r>
            <w:r w:rsidRPr="06E2D374">
              <w:rPr>
                <w:rFonts w:cs="Times New Roman"/>
                <w:noProof/>
                <w:spacing w:val="-8"/>
                <w:kern w:val="0"/>
                <w:lang w:val="en-GB"/>
              </w:rPr>
              <w:t xml:space="preserve"> </w:t>
            </w:r>
            <w:r w:rsidRPr="06E2D374">
              <w:rPr>
                <w:rFonts w:cs="Times New Roman"/>
                <w:noProof/>
                <w:kern w:val="0"/>
                <w:lang w:val="en-GB"/>
              </w:rPr>
              <w:t>GAEC</w:t>
            </w:r>
            <w:r w:rsidRPr="06E2D374">
              <w:rPr>
                <w:rFonts w:cs="Times New Roman"/>
                <w:noProof/>
                <w:spacing w:val="-8"/>
                <w:kern w:val="0"/>
                <w:lang w:val="en-GB"/>
              </w:rPr>
              <w:t xml:space="preserve"> </w:t>
            </w:r>
            <w:r w:rsidRPr="06E2D374">
              <w:rPr>
                <w:rFonts w:cs="Times New Roman"/>
                <w:noProof/>
                <w:kern w:val="0"/>
                <w:lang w:val="en-GB"/>
              </w:rPr>
              <w:t>8</w:t>
            </w:r>
            <w:r w:rsidRPr="06E2D374">
              <w:rPr>
                <w:rFonts w:cs="Times New Roman"/>
                <w:noProof/>
                <w:spacing w:val="-8"/>
                <w:kern w:val="0"/>
                <w:lang w:val="en-GB"/>
              </w:rPr>
              <w:t xml:space="preserve"> </w:t>
            </w:r>
            <w:r w:rsidRPr="06E2D374">
              <w:rPr>
                <w:rFonts w:cs="Times New Roman"/>
                <w:noProof/>
                <w:kern w:val="0"/>
                <w:lang w:val="en-GB"/>
              </w:rPr>
              <w:t>and</w:t>
            </w:r>
            <w:r w:rsidRPr="06E2D374">
              <w:rPr>
                <w:rFonts w:cs="Times New Roman"/>
                <w:noProof/>
                <w:spacing w:val="-6"/>
                <w:kern w:val="0"/>
                <w:lang w:val="en-GB"/>
              </w:rPr>
              <w:t xml:space="preserve"> </w:t>
            </w:r>
            <w:r w:rsidRPr="06E2D374">
              <w:rPr>
                <w:rFonts w:cs="Times New Roman"/>
                <w:noProof/>
                <w:kern w:val="0"/>
                <w:lang w:val="en-GB"/>
              </w:rPr>
              <w:t>possible extension of the review to other GAECs,</w:t>
            </w:r>
            <w:r w:rsidRPr="06E2D374">
              <w:rPr>
                <w:rFonts w:cs="Times New Roman"/>
                <w:noProof/>
                <w:spacing w:val="-4"/>
                <w:kern w:val="0"/>
                <w:lang w:val="en-GB"/>
              </w:rPr>
              <w:t xml:space="preserve"> notably </w:t>
            </w:r>
            <w:r w:rsidRPr="06E2D374">
              <w:rPr>
                <w:rFonts w:cs="Times New Roman"/>
                <w:noProof/>
                <w:lang w:val="en-GB"/>
              </w:rPr>
              <w:t>GAEC</w:t>
            </w:r>
            <w:r w:rsidRPr="06E2D374">
              <w:rPr>
                <w:rFonts w:cs="Times New Roman"/>
                <w:noProof/>
                <w:spacing w:val="-4"/>
                <w:kern w:val="0"/>
                <w:lang w:val="en-GB"/>
              </w:rPr>
              <w:t xml:space="preserve"> </w:t>
            </w:r>
            <w:r w:rsidRPr="06E2D374">
              <w:rPr>
                <w:rFonts w:cs="Times New Roman"/>
                <w:noProof/>
                <w:kern w:val="0"/>
                <w:lang w:val="en-GB"/>
              </w:rPr>
              <w:t>6</w:t>
            </w:r>
            <w:r w:rsidRPr="06E2D374">
              <w:rPr>
                <w:rFonts w:cs="Times New Roman"/>
                <w:noProof/>
                <w:spacing w:val="-4"/>
                <w:kern w:val="0"/>
                <w:lang w:val="en-GB"/>
              </w:rPr>
              <w:t xml:space="preserve"> </w:t>
            </w:r>
            <w:r w:rsidRPr="06E2D374">
              <w:rPr>
                <w:rFonts w:cs="Times New Roman"/>
                <w:noProof/>
                <w:kern w:val="0"/>
                <w:lang w:val="en-GB"/>
              </w:rPr>
              <w:t>and</w:t>
            </w:r>
            <w:r w:rsidRPr="06E2D374">
              <w:rPr>
                <w:rFonts w:cs="Times New Roman"/>
                <w:noProof/>
                <w:spacing w:val="-4"/>
                <w:kern w:val="0"/>
                <w:lang w:val="en-GB"/>
              </w:rPr>
              <w:t xml:space="preserve"> </w:t>
            </w:r>
            <w:r w:rsidRPr="06E2D374">
              <w:rPr>
                <w:rFonts w:cs="Times New Roman"/>
                <w:noProof/>
                <w:kern w:val="0"/>
                <w:lang w:val="en-GB"/>
              </w:rPr>
              <w:t>7</w:t>
            </w:r>
            <w:r w:rsidR="001E173F" w:rsidRPr="06E2D374">
              <w:rPr>
                <w:rFonts w:cs="Times New Roman"/>
                <w:noProof/>
                <w:lang w:val="en-GB"/>
              </w:rPr>
              <w:t>,</w:t>
            </w:r>
            <w:r w:rsidRPr="06E2D374">
              <w:rPr>
                <w:rFonts w:cs="Times New Roman"/>
                <w:noProof/>
                <w:kern w:val="0"/>
                <w:lang w:val="en-GB"/>
              </w:rPr>
              <w:t xml:space="preserve"> for 2025-2027.</w:t>
            </w:r>
          </w:p>
        </w:tc>
        <w:tc>
          <w:tcPr>
            <w:tcW w:w="4302" w:type="dxa"/>
            <w:vAlign w:val="center"/>
          </w:tcPr>
          <w:p w14:paraId="07FEC8F3" w14:textId="29C6B268" w:rsidR="00510A5F" w:rsidRPr="00724676" w:rsidRDefault="00510A5F" w:rsidP="0098189C">
            <w:pPr>
              <w:kinsoku w:val="0"/>
              <w:overflowPunct w:val="0"/>
              <w:autoSpaceDE w:val="0"/>
              <w:autoSpaceDN w:val="0"/>
              <w:adjustRightInd w:val="0"/>
              <w:spacing w:after="120" w:line="240" w:lineRule="auto"/>
              <w:ind w:left="110" w:right="203"/>
              <w:jc w:val="both"/>
              <w:rPr>
                <w:rFonts w:cs="Times New Roman"/>
                <w:noProof/>
                <w:kern w:val="0"/>
                <w:lang w:val="en-GB"/>
              </w:rPr>
            </w:pPr>
            <w:r w:rsidRPr="6FE283EC">
              <w:rPr>
                <w:rFonts w:cs="Times New Roman"/>
                <w:noProof/>
                <w:kern w:val="0"/>
                <w:lang w:val="en-GB"/>
              </w:rPr>
              <w:t xml:space="preserve">Addressed via </w:t>
            </w:r>
            <w:r w:rsidR="6FFF0645" w:rsidRPr="10339F63">
              <w:rPr>
                <w:rFonts w:cs="Times New Roman"/>
                <w:noProof/>
                <w:lang w:val="en-GB"/>
              </w:rPr>
              <w:t xml:space="preserve">the </w:t>
            </w:r>
            <w:r w:rsidR="00C71927">
              <w:rPr>
                <w:rFonts w:cs="Times New Roman"/>
                <w:noProof/>
                <w:lang w:val="en-GB"/>
              </w:rPr>
              <w:t xml:space="preserve">Commission proposal of </w:t>
            </w:r>
            <w:r w:rsidR="009F2CB3">
              <w:rPr>
                <w:rFonts w:cs="Times New Roman"/>
                <w:noProof/>
                <w:lang w:val="en-GB"/>
              </w:rPr>
              <w:t xml:space="preserve">15 March 2024 </w:t>
            </w:r>
            <w:r w:rsidR="6FFF0645" w:rsidRPr="10339F63">
              <w:rPr>
                <w:rFonts w:cs="Times New Roman"/>
                <w:noProof/>
                <w:lang w:val="en-GB"/>
              </w:rPr>
              <w:t xml:space="preserve">to amend </w:t>
            </w:r>
            <w:r w:rsidR="035D914A" w:rsidRPr="10339F63">
              <w:rPr>
                <w:rFonts w:cs="Times New Roman"/>
                <w:noProof/>
                <w:lang w:val="en-GB"/>
              </w:rPr>
              <w:t xml:space="preserve">the CSP and </w:t>
            </w:r>
            <w:r w:rsidR="6F8668E0" w:rsidRPr="10339F63">
              <w:rPr>
                <w:rFonts w:cs="Times New Roman"/>
                <w:noProof/>
                <w:lang w:val="en-GB"/>
              </w:rPr>
              <w:t xml:space="preserve">the </w:t>
            </w:r>
            <w:r w:rsidR="035D914A" w:rsidRPr="10339F63">
              <w:rPr>
                <w:rFonts w:cs="Times New Roman"/>
                <w:noProof/>
                <w:lang w:val="en-GB"/>
              </w:rPr>
              <w:t>Horizontal Regulation</w:t>
            </w:r>
            <w:r w:rsidR="001F4F3E">
              <w:rPr>
                <w:rFonts w:cs="Times New Roman"/>
                <w:noProof/>
                <w:lang w:val="en-GB"/>
              </w:rPr>
              <w:t>s</w:t>
            </w:r>
            <w:r w:rsidRPr="6FE283EC">
              <w:rPr>
                <w:rFonts w:cs="Times New Roman"/>
                <w:noProof/>
                <w:kern w:val="0"/>
                <w:lang w:val="en-GB"/>
              </w:rPr>
              <w:t xml:space="preserve">. </w:t>
            </w:r>
            <w:r w:rsidRPr="6FE283EC">
              <w:rPr>
                <w:rFonts w:cs="Times New Roman"/>
                <w:noProof/>
                <w:lang w:val="en-GB"/>
              </w:rPr>
              <w:t xml:space="preserve">Adopted </w:t>
            </w:r>
            <w:r w:rsidRPr="6FE283EC">
              <w:rPr>
                <w:rFonts w:cs="Times New Roman"/>
                <w:noProof/>
                <w:kern w:val="0"/>
                <w:lang w:val="en-GB"/>
              </w:rPr>
              <w:t xml:space="preserve">by </w:t>
            </w:r>
            <w:r w:rsidR="6FFF0645" w:rsidRPr="10339F63">
              <w:rPr>
                <w:rFonts w:cs="Times New Roman"/>
                <w:noProof/>
                <w:lang w:val="en-GB"/>
              </w:rPr>
              <w:t xml:space="preserve">the </w:t>
            </w:r>
            <w:r w:rsidRPr="6FE283EC">
              <w:rPr>
                <w:rFonts w:cs="Times New Roman"/>
                <w:noProof/>
                <w:kern w:val="0"/>
                <w:lang w:val="en-GB"/>
              </w:rPr>
              <w:t>co-legislators</w:t>
            </w:r>
            <w:r w:rsidRPr="6FE283EC">
              <w:rPr>
                <w:rFonts w:cs="Times New Roman"/>
                <w:noProof/>
                <w:lang w:val="en-GB"/>
              </w:rPr>
              <w:t xml:space="preserve"> and</w:t>
            </w:r>
            <w:r w:rsidRPr="6FE283EC">
              <w:rPr>
                <w:rFonts w:cs="Times New Roman"/>
                <w:noProof/>
                <w:kern w:val="0"/>
                <w:lang w:val="en-GB"/>
              </w:rPr>
              <w:t xml:space="preserve"> </w:t>
            </w:r>
            <w:r w:rsidRPr="6FE283EC">
              <w:rPr>
                <w:rFonts w:cs="Times New Roman"/>
                <w:noProof/>
                <w:lang w:val="en-GB"/>
              </w:rPr>
              <w:t>p</w:t>
            </w:r>
            <w:r w:rsidRPr="6FE283EC">
              <w:rPr>
                <w:rFonts w:cs="Times New Roman"/>
                <w:noProof/>
                <w:kern w:val="0"/>
                <w:lang w:val="en-GB"/>
              </w:rPr>
              <w:t>ublished on 24 May 2024</w:t>
            </w:r>
            <w:r w:rsidR="00C71927">
              <w:rPr>
                <w:rFonts w:cs="Times New Roman"/>
                <w:noProof/>
                <w:kern w:val="0"/>
                <w:lang w:val="en-GB"/>
              </w:rPr>
              <w:t>. It</w:t>
            </w:r>
            <w:r w:rsidRPr="6FE283EC">
              <w:rPr>
                <w:rFonts w:cs="Times New Roman"/>
                <w:noProof/>
                <w:kern w:val="0"/>
                <w:lang w:val="en-GB"/>
              </w:rPr>
              <w:t xml:space="preserve"> entered into force on 25 May 2024 (Regulation (EU) 2024/1468</w:t>
            </w:r>
            <w:r w:rsidR="474E0E3F" w:rsidRPr="10339F63">
              <w:rPr>
                <w:rFonts w:cs="Times New Roman"/>
                <w:noProof/>
                <w:lang w:val="en-GB"/>
              </w:rPr>
              <w:t>, the Simplification Regulation</w:t>
            </w:r>
            <w:r w:rsidRPr="6FE283EC">
              <w:rPr>
                <w:rFonts w:cs="Times New Roman"/>
                <w:noProof/>
                <w:kern w:val="0"/>
                <w:lang w:val="en-GB"/>
              </w:rPr>
              <w:t>).</w:t>
            </w:r>
          </w:p>
        </w:tc>
      </w:tr>
      <w:tr w:rsidR="00176AD7" w:rsidRPr="00807559" w14:paraId="666DAA10" w14:textId="77777777" w:rsidTr="4538020F">
        <w:trPr>
          <w:trHeight w:val="842"/>
        </w:trPr>
        <w:tc>
          <w:tcPr>
            <w:tcW w:w="760" w:type="dxa"/>
            <w:shd w:val="clear" w:color="auto" w:fill="DEEAF6" w:themeFill="accent5" w:themeFillTint="33"/>
            <w:vAlign w:val="center"/>
          </w:tcPr>
          <w:p w14:paraId="614134EB"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B.2</w:t>
            </w:r>
          </w:p>
        </w:tc>
        <w:tc>
          <w:tcPr>
            <w:tcW w:w="3920" w:type="dxa"/>
            <w:vAlign w:val="center"/>
          </w:tcPr>
          <w:p w14:paraId="1D98088B" w14:textId="7ED9DF94" w:rsidR="00510A5F" w:rsidRPr="00724676" w:rsidRDefault="00510A5F" w:rsidP="0098189C">
            <w:pPr>
              <w:kinsoku w:val="0"/>
              <w:overflowPunct w:val="0"/>
              <w:autoSpaceDE w:val="0"/>
              <w:autoSpaceDN w:val="0"/>
              <w:adjustRightInd w:val="0"/>
              <w:spacing w:after="120" w:line="240" w:lineRule="auto"/>
              <w:ind w:left="109" w:right="127"/>
              <w:jc w:val="both"/>
              <w:rPr>
                <w:rFonts w:cs="Times New Roman"/>
                <w:noProof/>
                <w:spacing w:val="-2"/>
                <w:kern w:val="0"/>
                <w:szCs w:val="24"/>
                <w:lang w:val="en-GB"/>
              </w:rPr>
            </w:pPr>
            <w:r w:rsidRPr="00724676">
              <w:rPr>
                <w:rFonts w:cs="Times New Roman"/>
                <w:noProof/>
                <w:kern w:val="0"/>
                <w:szCs w:val="24"/>
                <w:lang w:val="en-GB"/>
              </w:rPr>
              <w:t>Exemption</w:t>
            </w:r>
            <w:r w:rsidRPr="00724676">
              <w:rPr>
                <w:rFonts w:cs="Times New Roman"/>
                <w:noProof/>
                <w:spacing w:val="-10"/>
                <w:kern w:val="0"/>
                <w:szCs w:val="24"/>
                <w:lang w:val="en-GB"/>
              </w:rPr>
              <w:t xml:space="preserve"> </w:t>
            </w:r>
            <w:r w:rsidRPr="00724676">
              <w:rPr>
                <w:rFonts w:cs="Times New Roman"/>
                <w:noProof/>
                <w:kern w:val="0"/>
                <w:szCs w:val="24"/>
                <w:lang w:val="en-GB"/>
              </w:rPr>
              <w:t>of</w:t>
            </w:r>
            <w:r w:rsidRPr="00724676">
              <w:rPr>
                <w:rFonts w:cs="Times New Roman"/>
                <w:noProof/>
                <w:spacing w:val="-10"/>
                <w:kern w:val="0"/>
                <w:szCs w:val="24"/>
                <w:lang w:val="en-GB"/>
              </w:rPr>
              <w:t xml:space="preserve"> </w:t>
            </w:r>
            <w:r w:rsidRPr="00724676">
              <w:rPr>
                <w:rFonts w:cs="Times New Roman"/>
                <w:noProof/>
                <w:kern w:val="0"/>
                <w:szCs w:val="24"/>
                <w:lang w:val="en-GB"/>
              </w:rPr>
              <w:t>small</w:t>
            </w:r>
            <w:r w:rsidRPr="00724676">
              <w:rPr>
                <w:rFonts w:cs="Times New Roman"/>
                <w:noProof/>
                <w:spacing w:val="-10"/>
                <w:kern w:val="0"/>
                <w:szCs w:val="24"/>
                <w:lang w:val="en-GB"/>
              </w:rPr>
              <w:t xml:space="preserve"> </w:t>
            </w:r>
            <w:r w:rsidRPr="00724676">
              <w:rPr>
                <w:rFonts w:cs="Times New Roman"/>
                <w:noProof/>
                <w:kern w:val="0"/>
                <w:szCs w:val="24"/>
                <w:lang w:val="en-GB"/>
              </w:rPr>
              <w:t>farms</w:t>
            </w:r>
            <w:r w:rsidRPr="00724676">
              <w:rPr>
                <w:rFonts w:cs="Times New Roman"/>
                <w:noProof/>
                <w:spacing w:val="-10"/>
                <w:kern w:val="0"/>
                <w:szCs w:val="24"/>
                <w:lang w:val="en-GB"/>
              </w:rPr>
              <w:t xml:space="preserve"> </w:t>
            </w:r>
            <w:r w:rsidRPr="00724676">
              <w:rPr>
                <w:rFonts w:cs="Times New Roman"/>
                <w:noProof/>
                <w:kern w:val="0"/>
                <w:szCs w:val="24"/>
                <w:lang w:val="en-GB"/>
              </w:rPr>
              <w:t xml:space="preserve">(under 10 ha) from conditionality </w:t>
            </w:r>
            <w:r w:rsidRPr="00724676">
              <w:rPr>
                <w:rFonts w:cs="Times New Roman"/>
                <w:noProof/>
                <w:spacing w:val="-2"/>
                <w:kern w:val="0"/>
                <w:szCs w:val="24"/>
                <w:lang w:val="en-GB"/>
              </w:rPr>
              <w:t>controls</w:t>
            </w:r>
            <w:r w:rsidR="009A31D9">
              <w:rPr>
                <w:rFonts w:cs="Times New Roman"/>
                <w:noProof/>
                <w:spacing w:val="-2"/>
                <w:kern w:val="0"/>
                <w:szCs w:val="24"/>
                <w:lang w:val="en-GB"/>
              </w:rPr>
              <w:t>.</w:t>
            </w:r>
          </w:p>
        </w:tc>
        <w:tc>
          <w:tcPr>
            <w:tcW w:w="4302" w:type="dxa"/>
            <w:vAlign w:val="center"/>
          </w:tcPr>
          <w:p w14:paraId="6C8C88EC" w14:textId="00694DBA" w:rsidR="00510A5F" w:rsidRPr="00724676" w:rsidRDefault="00510A5F" w:rsidP="0098189C">
            <w:pPr>
              <w:kinsoku w:val="0"/>
              <w:overflowPunct w:val="0"/>
              <w:autoSpaceDE w:val="0"/>
              <w:autoSpaceDN w:val="0"/>
              <w:adjustRightInd w:val="0"/>
              <w:spacing w:after="120" w:line="240" w:lineRule="auto"/>
              <w:ind w:left="110" w:right="203"/>
              <w:jc w:val="both"/>
              <w:rPr>
                <w:rFonts w:cs="Times New Roman"/>
                <w:noProof/>
                <w:kern w:val="0"/>
                <w:szCs w:val="24"/>
                <w:lang w:val="en-GB"/>
              </w:rPr>
            </w:pPr>
            <w:r w:rsidRPr="00724676">
              <w:rPr>
                <w:rFonts w:cs="Times New Roman"/>
                <w:noProof/>
                <w:kern w:val="0"/>
                <w:szCs w:val="24"/>
                <w:lang w:val="en-GB"/>
              </w:rPr>
              <w:t>As above</w:t>
            </w:r>
            <w:r w:rsidR="009A31D9">
              <w:rPr>
                <w:rFonts w:cs="Times New Roman"/>
                <w:noProof/>
                <w:kern w:val="0"/>
                <w:szCs w:val="24"/>
                <w:lang w:val="en-GB"/>
              </w:rPr>
              <w:t>.</w:t>
            </w:r>
          </w:p>
        </w:tc>
      </w:tr>
      <w:tr w:rsidR="00176AD7" w:rsidRPr="00807559" w14:paraId="1982F23D" w14:textId="77777777" w:rsidTr="4538020F">
        <w:trPr>
          <w:trHeight w:val="654"/>
        </w:trPr>
        <w:tc>
          <w:tcPr>
            <w:tcW w:w="760" w:type="dxa"/>
            <w:shd w:val="clear" w:color="auto" w:fill="DEEAF6" w:themeFill="accent5" w:themeFillTint="33"/>
            <w:vAlign w:val="center"/>
          </w:tcPr>
          <w:p w14:paraId="18220A0C"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B.3</w:t>
            </w:r>
          </w:p>
        </w:tc>
        <w:tc>
          <w:tcPr>
            <w:tcW w:w="3920" w:type="dxa"/>
            <w:vAlign w:val="center"/>
          </w:tcPr>
          <w:p w14:paraId="6CE826DA" w14:textId="62D7981C" w:rsidR="00510A5F" w:rsidRPr="00724676" w:rsidRDefault="00510A5F" w:rsidP="0098189C">
            <w:pPr>
              <w:spacing w:after="120" w:line="240" w:lineRule="auto"/>
              <w:ind w:left="110" w:right="148"/>
              <w:jc w:val="both"/>
              <w:textAlignment w:val="baseline"/>
              <w:rPr>
                <w:rFonts w:cs="Times New Roman"/>
                <w:noProof/>
                <w:kern w:val="0"/>
                <w:szCs w:val="24"/>
                <w:lang w:val="en-GB"/>
              </w:rPr>
            </w:pPr>
            <w:r w:rsidRPr="00724676">
              <w:rPr>
                <w:rFonts w:cs="Times New Roman"/>
                <w:noProof/>
                <w:kern w:val="0"/>
                <w:szCs w:val="24"/>
                <w:lang w:val="en-GB"/>
              </w:rPr>
              <w:t>Exemption for organic farmers from GAEC 7 and GAEC 8 requirements</w:t>
            </w:r>
            <w:r w:rsidR="009A31D9">
              <w:rPr>
                <w:rFonts w:cs="Times New Roman"/>
                <w:noProof/>
                <w:kern w:val="0"/>
                <w:szCs w:val="24"/>
                <w:lang w:val="en-GB"/>
              </w:rPr>
              <w:t>.</w:t>
            </w:r>
          </w:p>
        </w:tc>
        <w:tc>
          <w:tcPr>
            <w:tcW w:w="4302" w:type="dxa"/>
            <w:vAlign w:val="center"/>
          </w:tcPr>
          <w:p w14:paraId="0229D2A7" w14:textId="245BBAE9" w:rsidR="00510A5F" w:rsidRPr="00724676" w:rsidRDefault="00510A5F" w:rsidP="0098189C">
            <w:pPr>
              <w:spacing w:after="120" w:line="240" w:lineRule="auto"/>
              <w:ind w:left="110" w:right="148"/>
              <w:jc w:val="both"/>
              <w:textAlignment w:val="baseline"/>
              <w:rPr>
                <w:rFonts w:cs="Times New Roman"/>
                <w:noProof/>
                <w:kern w:val="0"/>
                <w:szCs w:val="24"/>
                <w:lang w:val="en-GB"/>
              </w:rPr>
            </w:pPr>
            <w:r w:rsidRPr="00724676">
              <w:rPr>
                <w:rFonts w:cs="Times New Roman"/>
                <w:noProof/>
                <w:kern w:val="0"/>
                <w:szCs w:val="24"/>
                <w:lang w:val="en-GB"/>
              </w:rPr>
              <w:t>Obsolete with the deletion of the first requirement of GAEC 8</w:t>
            </w:r>
            <w:r w:rsidR="008A10FE">
              <w:rPr>
                <w:rFonts w:cs="Times New Roman"/>
                <w:noProof/>
                <w:kern w:val="0"/>
                <w:szCs w:val="24"/>
                <w:lang w:val="en-GB"/>
              </w:rPr>
              <w:t xml:space="preserve"> (measure B1)</w:t>
            </w:r>
            <w:r w:rsidRPr="00724676">
              <w:rPr>
                <w:rFonts w:cs="Times New Roman"/>
                <w:noProof/>
                <w:kern w:val="0"/>
                <w:szCs w:val="24"/>
                <w:lang w:val="en-GB"/>
              </w:rPr>
              <w:t>. Organic farmers are already deemed to be compliant with GAEC 7.</w:t>
            </w:r>
          </w:p>
        </w:tc>
      </w:tr>
      <w:tr w:rsidR="00176AD7" w:rsidRPr="00807559" w14:paraId="485D7F26" w14:textId="77777777" w:rsidTr="4538020F">
        <w:trPr>
          <w:trHeight w:val="654"/>
        </w:trPr>
        <w:tc>
          <w:tcPr>
            <w:tcW w:w="760" w:type="dxa"/>
            <w:shd w:val="clear" w:color="auto" w:fill="DEEAF6" w:themeFill="accent5" w:themeFillTint="33"/>
            <w:vAlign w:val="center"/>
          </w:tcPr>
          <w:p w14:paraId="4F93D006"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B.4</w:t>
            </w:r>
          </w:p>
        </w:tc>
        <w:tc>
          <w:tcPr>
            <w:tcW w:w="3920" w:type="dxa"/>
            <w:vAlign w:val="center"/>
          </w:tcPr>
          <w:p w14:paraId="74A05A0E" w14:textId="6E1E33F0" w:rsidR="00510A5F" w:rsidRPr="00724676" w:rsidRDefault="00510A5F" w:rsidP="0098189C">
            <w:pPr>
              <w:spacing w:after="120" w:line="240" w:lineRule="auto"/>
              <w:ind w:left="110" w:right="148"/>
              <w:jc w:val="both"/>
              <w:textAlignment w:val="baseline"/>
              <w:rPr>
                <w:rFonts w:cs="Times New Roman"/>
                <w:noProof/>
                <w:kern w:val="0"/>
                <w:szCs w:val="24"/>
                <w:lang w:val="en-GB"/>
              </w:rPr>
            </w:pPr>
            <w:r w:rsidRPr="00724676">
              <w:rPr>
                <w:rFonts w:cs="Times New Roman"/>
                <w:noProof/>
                <w:kern w:val="0"/>
                <w:szCs w:val="24"/>
                <w:lang w:val="en-GB"/>
              </w:rPr>
              <w:t>Exemption of farmers subject to conditionality from cross</w:t>
            </w:r>
            <w:r w:rsidR="00EA18E1">
              <w:rPr>
                <w:rFonts w:cs="Times New Roman"/>
                <w:noProof/>
                <w:kern w:val="0"/>
                <w:szCs w:val="24"/>
                <w:lang w:val="en-GB"/>
              </w:rPr>
              <w:t>-</w:t>
            </w:r>
            <w:r w:rsidRPr="00724676">
              <w:rPr>
                <w:rFonts w:cs="Times New Roman"/>
                <w:noProof/>
                <w:kern w:val="0"/>
                <w:szCs w:val="24"/>
                <w:lang w:val="en-GB"/>
              </w:rPr>
              <w:t>compliance controls</w:t>
            </w:r>
            <w:r w:rsidR="009A31D9">
              <w:rPr>
                <w:rFonts w:cs="Times New Roman"/>
                <w:noProof/>
                <w:kern w:val="0"/>
                <w:szCs w:val="24"/>
                <w:lang w:val="en-GB"/>
              </w:rPr>
              <w:t>.</w:t>
            </w:r>
          </w:p>
        </w:tc>
        <w:tc>
          <w:tcPr>
            <w:tcW w:w="4302" w:type="dxa"/>
            <w:vAlign w:val="center"/>
          </w:tcPr>
          <w:p w14:paraId="46ABD029" w14:textId="790197A2" w:rsidR="00510A5F" w:rsidRPr="00724676" w:rsidRDefault="00510A5F" w:rsidP="0098189C">
            <w:pPr>
              <w:spacing w:after="120" w:line="240" w:lineRule="auto"/>
              <w:ind w:left="110" w:right="148"/>
              <w:jc w:val="both"/>
              <w:textAlignment w:val="baseline"/>
              <w:rPr>
                <w:rFonts w:cs="Times New Roman"/>
                <w:noProof/>
                <w:kern w:val="0"/>
                <w:lang w:val="en-GB"/>
              </w:rPr>
            </w:pPr>
            <w:r w:rsidRPr="6FE283EC">
              <w:rPr>
                <w:rFonts w:cs="Times New Roman"/>
                <w:noProof/>
                <w:kern w:val="0"/>
                <w:lang w:val="en-GB"/>
              </w:rPr>
              <w:t>Addressed via</w:t>
            </w:r>
            <w:r w:rsidR="001E173F" w:rsidRPr="6FE283EC">
              <w:rPr>
                <w:rFonts w:cs="Times New Roman"/>
                <w:noProof/>
                <w:lang w:val="en-GB"/>
              </w:rPr>
              <w:t xml:space="preserve"> the</w:t>
            </w:r>
            <w:r w:rsidRPr="6FE283EC">
              <w:rPr>
                <w:rFonts w:cs="Times New Roman"/>
                <w:noProof/>
                <w:kern w:val="0"/>
                <w:lang w:val="en-GB"/>
              </w:rPr>
              <w:t xml:space="preserve"> Commission proposal </w:t>
            </w:r>
            <w:r w:rsidR="001702A6">
              <w:rPr>
                <w:rFonts w:cs="Times New Roman"/>
                <w:noProof/>
                <w:kern w:val="0"/>
                <w:lang w:val="en-GB"/>
              </w:rPr>
              <w:t xml:space="preserve">of 15 March 2024 </w:t>
            </w:r>
            <w:r w:rsidR="001E173F" w:rsidRPr="6FE283EC">
              <w:rPr>
                <w:rFonts w:cs="Times New Roman"/>
                <w:noProof/>
                <w:lang w:val="en-GB"/>
              </w:rPr>
              <w:t>to amend</w:t>
            </w:r>
            <w:r w:rsidRPr="6FE283EC">
              <w:rPr>
                <w:rFonts w:cs="Times New Roman"/>
                <w:noProof/>
                <w:kern w:val="0"/>
                <w:lang w:val="en-GB"/>
              </w:rPr>
              <w:t xml:space="preserve"> </w:t>
            </w:r>
            <w:r w:rsidR="1B5C567F" w:rsidRPr="6FE283EC">
              <w:rPr>
                <w:rFonts w:cs="Times New Roman"/>
                <w:noProof/>
                <w:kern w:val="0"/>
                <w:lang w:val="en-GB"/>
              </w:rPr>
              <w:t xml:space="preserve">the CSP and </w:t>
            </w:r>
            <w:r w:rsidR="001702A6">
              <w:rPr>
                <w:rFonts w:cs="Times New Roman"/>
                <w:noProof/>
                <w:kern w:val="0"/>
                <w:lang w:val="en-GB"/>
              </w:rPr>
              <w:t xml:space="preserve">the </w:t>
            </w:r>
            <w:r w:rsidR="1B5C567F" w:rsidRPr="6FE283EC">
              <w:rPr>
                <w:rFonts w:cs="Times New Roman"/>
                <w:noProof/>
                <w:kern w:val="0"/>
                <w:lang w:val="en-GB"/>
              </w:rPr>
              <w:t>Horizontal Regulations</w:t>
            </w:r>
            <w:r w:rsidRPr="6FE283EC">
              <w:rPr>
                <w:rFonts w:cs="Times New Roman"/>
                <w:noProof/>
                <w:kern w:val="0"/>
                <w:lang w:val="en-GB"/>
              </w:rPr>
              <w:t>. Adopted by</w:t>
            </w:r>
            <w:r w:rsidR="001E173F" w:rsidRPr="6FE283EC">
              <w:rPr>
                <w:rFonts w:cs="Times New Roman"/>
                <w:noProof/>
                <w:lang w:val="en-GB"/>
              </w:rPr>
              <w:t xml:space="preserve"> the</w:t>
            </w:r>
            <w:r w:rsidRPr="6FE283EC">
              <w:rPr>
                <w:rFonts w:cs="Times New Roman"/>
                <w:noProof/>
                <w:kern w:val="0"/>
                <w:lang w:val="en-GB"/>
              </w:rPr>
              <w:t xml:space="preserve"> co-legislators and published on 24 May 2024</w:t>
            </w:r>
            <w:r w:rsidR="001702A6">
              <w:rPr>
                <w:rFonts w:cs="Times New Roman"/>
                <w:noProof/>
                <w:kern w:val="0"/>
                <w:lang w:val="en-GB"/>
              </w:rPr>
              <w:t xml:space="preserve">. It </w:t>
            </w:r>
            <w:r w:rsidR="50CBD7BB" w:rsidRPr="6FE283EC">
              <w:rPr>
                <w:rFonts w:cs="Times New Roman"/>
                <w:noProof/>
                <w:lang w:val="en-GB"/>
              </w:rPr>
              <w:t>entered into force on 25 May 2024</w:t>
            </w:r>
            <w:r w:rsidR="372AAB37" w:rsidRPr="6FE283EC">
              <w:rPr>
                <w:rFonts w:cs="Times New Roman"/>
                <w:noProof/>
                <w:kern w:val="0"/>
                <w:lang w:val="en-GB"/>
              </w:rPr>
              <w:t xml:space="preserve"> </w:t>
            </w:r>
            <w:r w:rsidRPr="6FE283EC">
              <w:rPr>
                <w:rFonts w:cs="Times New Roman"/>
                <w:noProof/>
                <w:kern w:val="0"/>
                <w:lang w:val="en-GB"/>
              </w:rPr>
              <w:t>(Regulation (EU) 2024/1468</w:t>
            </w:r>
            <w:r w:rsidR="6801D071" w:rsidRPr="6FE283EC">
              <w:rPr>
                <w:rFonts w:cs="Times New Roman"/>
                <w:noProof/>
                <w:kern w:val="0"/>
                <w:lang w:val="en-GB"/>
              </w:rPr>
              <w:t>, the Simplification Regulation</w:t>
            </w:r>
            <w:r w:rsidRPr="6FE283EC">
              <w:rPr>
                <w:rFonts w:cs="Times New Roman"/>
                <w:noProof/>
                <w:kern w:val="0"/>
                <w:lang w:val="en-GB"/>
              </w:rPr>
              <w:t>).</w:t>
            </w:r>
          </w:p>
        </w:tc>
      </w:tr>
      <w:tr w:rsidR="00176AD7" w:rsidRPr="00807559" w14:paraId="4BF47D6E" w14:textId="77777777" w:rsidTr="4538020F">
        <w:trPr>
          <w:trHeight w:val="654"/>
        </w:trPr>
        <w:tc>
          <w:tcPr>
            <w:tcW w:w="760" w:type="dxa"/>
            <w:shd w:val="clear" w:color="auto" w:fill="DEEAF6" w:themeFill="accent5" w:themeFillTint="33"/>
            <w:vAlign w:val="center"/>
          </w:tcPr>
          <w:p w14:paraId="45E3AEDE"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B.5</w:t>
            </w:r>
          </w:p>
        </w:tc>
        <w:tc>
          <w:tcPr>
            <w:tcW w:w="3920" w:type="dxa"/>
            <w:vAlign w:val="center"/>
          </w:tcPr>
          <w:p w14:paraId="4AB8613A" w14:textId="4D230EDF" w:rsidR="00510A5F" w:rsidRPr="00724676" w:rsidRDefault="00510A5F" w:rsidP="0098189C">
            <w:pPr>
              <w:spacing w:after="120" w:line="240" w:lineRule="auto"/>
              <w:ind w:left="110" w:right="148"/>
              <w:jc w:val="both"/>
              <w:textAlignment w:val="baseline"/>
              <w:rPr>
                <w:rFonts w:cs="Times New Roman"/>
                <w:noProof/>
                <w:kern w:val="0"/>
                <w:lang w:val="en-GB"/>
              </w:rPr>
            </w:pPr>
            <w:r w:rsidRPr="6FE283EC">
              <w:rPr>
                <w:rFonts w:cs="Times New Roman"/>
                <w:noProof/>
                <w:kern w:val="0"/>
                <w:lang w:val="en-GB"/>
              </w:rPr>
              <w:t xml:space="preserve">Review the number of possible amendments of the </w:t>
            </w:r>
            <w:r w:rsidR="00523AA0" w:rsidRPr="6FE283EC">
              <w:rPr>
                <w:rFonts w:cs="Times New Roman"/>
                <w:noProof/>
                <w:lang w:val="en-GB"/>
              </w:rPr>
              <w:t>CAP Plans</w:t>
            </w:r>
            <w:r w:rsidR="009A31D9" w:rsidRPr="6FE283EC">
              <w:rPr>
                <w:rFonts w:cs="Times New Roman"/>
                <w:noProof/>
                <w:kern w:val="0"/>
                <w:lang w:val="en-GB"/>
              </w:rPr>
              <w:t>.</w:t>
            </w:r>
          </w:p>
        </w:tc>
        <w:tc>
          <w:tcPr>
            <w:tcW w:w="4302" w:type="dxa"/>
            <w:vAlign w:val="center"/>
          </w:tcPr>
          <w:p w14:paraId="1E76BB19" w14:textId="5F842C33" w:rsidR="00510A5F" w:rsidRPr="00724676" w:rsidRDefault="00510A5F" w:rsidP="0098189C">
            <w:pPr>
              <w:kinsoku w:val="0"/>
              <w:overflowPunct w:val="0"/>
              <w:autoSpaceDE w:val="0"/>
              <w:autoSpaceDN w:val="0"/>
              <w:adjustRightInd w:val="0"/>
              <w:spacing w:after="120" w:line="240" w:lineRule="auto"/>
              <w:ind w:left="110"/>
              <w:rPr>
                <w:rFonts w:cs="Times New Roman"/>
                <w:noProof/>
                <w:kern w:val="0"/>
                <w:szCs w:val="24"/>
                <w:lang w:val="en-GB"/>
              </w:rPr>
            </w:pPr>
            <w:r w:rsidRPr="00724676">
              <w:rPr>
                <w:rFonts w:cs="Times New Roman"/>
                <w:noProof/>
                <w:kern w:val="0"/>
                <w:szCs w:val="24"/>
                <w:lang w:val="en-GB"/>
              </w:rPr>
              <w:t>As above</w:t>
            </w:r>
            <w:r w:rsidR="009A31D9">
              <w:rPr>
                <w:rFonts w:cs="Times New Roman"/>
                <w:noProof/>
                <w:kern w:val="0"/>
                <w:szCs w:val="24"/>
                <w:lang w:val="en-GB"/>
              </w:rPr>
              <w:t>.</w:t>
            </w:r>
          </w:p>
        </w:tc>
      </w:tr>
      <w:tr w:rsidR="00176AD7" w:rsidRPr="00807559" w14:paraId="6750ED7A" w14:textId="77777777" w:rsidTr="4538020F">
        <w:trPr>
          <w:trHeight w:val="654"/>
        </w:trPr>
        <w:tc>
          <w:tcPr>
            <w:tcW w:w="760" w:type="dxa"/>
            <w:shd w:val="clear" w:color="auto" w:fill="DEEAF6" w:themeFill="accent5" w:themeFillTint="33"/>
            <w:vAlign w:val="center"/>
          </w:tcPr>
          <w:p w14:paraId="7D7CCC82"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B.6</w:t>
            </w:r>
          </w:p>
        </w:tc>
        <w:tc>
          <w:tcPr>
            <w:tcW w:w="3920" w:type="dxa"/>
            <w:vAlign w:val="center"/>
          </w:tcPr>
          <w:p w14:paraId="37BE987B" w14:textId="00B0215B" w:rsidR="00510A5F" w:rsidRPr="00FF77A3" w:rsidRDefault="00510A5F" w:rsidP="4538020F">
            <w:pPr>
              <w:spacing w:after="120" w:line="240" w:lineRule="auto"/>
              <w:ind w:left="110" w:right="148"/>
              <w:jc w:val="both"/>
              <w:textAlignment w:val="baseline"/>
              <w:rPr>
                <w:rFonts w:cs="Times New Roman"/>
                <w:noProof/>
                <w:kern w:val="0"/>
                <w:lang w:val="en-GB"/>
              </w:rPr>
            </w:pPr>
            <w:r w:rsidRPr="00FF77A3">
              <w:rPr>
                <w:rFonts w:cs="Times New Roman"/>
                <w:noProof/>
                <w:kern w:val="0"/>
                <w:lang w:val="en-GB"/>
              </w:rPr>
              <w:t xml:space="preserve">Exchange of best practice to better coordinate </w:t>
            </w:r>
            <w:r w:rsidR="4512ABFE" w:rsidRPr="005F6C38">
              <w:rPr>
                <w:rFonts w:cs="Times New Roman"/>
                <w:noProof/>
                <w:lang w:val="en-GB"/>
              </w:rPr>
              <w:t xml:space="preserve">the </w:t>
            </w:r>
            <w:r w:rsidRPr="00FF77A3">
              <w:rPr>
                <w:rFonts w:cs="Times New Roman"/>
                <w:noProof/>
                <w:kern w:val="0"/>
                <w:lang w:val="en-GB"/>
              </w:rPr>
              <w:t xml:space="preserve">control systems of climate, environmental and animal welfare legislation with CAP </w:t>
            </w:r>
            <w:r w:rsidRPr="00FF77A3">
              <w:rPr>
                <w:rFonts w:cs="Times New Roman"/>
                <w:noProof/>
                <w:kern w:val="0"/>
                <w:lang w:val="en-GB"/>
              </w:rPr>
              <w:lastRenderedPageBreak/>
              <w:t>conditionality controls</w:t>
            </w:r>
            <w:r w:rsidR="4512ABFE" w:rsidRPr="005F6C38">
              <w:rPr>
                <w:rFonts w:cs="Times New Roman"/>
                <w:noProof/>
                <w:lang w:val="en-GB"/>
              </w:rPr>
              <w:t xml:space="preserve">, </w:t>
            </w:r>
            <w:r w:rsidR="4512ABFE" w:rsidRPr="00FF77A3">
              <w:rPr>
                <w:rFonts w:cs="Times New Roman"/>
                <w:noProof/>
                <w:kern w:val="0"/>
                <w:lang w:val="en-GB"/>
              </w:rPr>
              <w:t>i</w:t>
            </w:r>
            <w:r w:rsidRPr="00FF77A3">
              <w:rPr>
                <w:rFonts w:cs="Times New Roman"/>
                <w:noProof/>
                <w:kern w:val="0"/>
                <w:lang w:val="en-GB"/>
              </w:rPr>
              <w:t xml:space="preserve">ncluding through </w:t>
            </w:r>
            <w:r w:rsidR="4512ABFE" w:rsidRPr="005F6C38">
              <w:rPr>
                <w:rFonts w:cs="Times New Roman"/>
                <w:noProof/>
                <w:lang w:val="en-GB"/>
              </w:rPr>
              <w:t xml:space="preserve">meetings of </w:t>
            </w:r>
            <w:r w:rsidRPr="00FF77A3">
              <w:rPr>
                <w:rFonts w:cs="Times New Roman"/>
                <w:noProof/>
                <w:kern w:val="0"/>
                <w:lang w:val="en-GB"/>
              </w:rPr>
              <w:t>expert groups</w:t>
            </w:r>
            <w:r w:rsidR="6E298FA1" w:rsidRPr="00FF77A3">
              <w:rPr>
                <w:rFonts w:cs="Times New Roman"/>
                <w:noProof/>
                <w:kern w:val="0"/>
                <w:lang w:val="en-GB"/>
              </w:rPr>
              <w:t>.</w:t>
            </w:r>
          </w:p>
        </w:tc>
        <w:tc>
          <w:tcPr>
            <w:tcW w:w="4302" w:type="dxa"/>
            <w:vAlign w:val="center"/>
          </w:tcPr>
          <w:p w14:paraId="79345294" w14:textId="496BBB36" w:rsidR="00510A5F" w:rsidRPr="00FF77A3" w:rsidRDefault="07C413A0" w:rsidP="4538020F">
            <w:pPr>
              <w:spacing w:after="120" w:line="240" w:lineRule="auto"/>
              <w:ind w:left="110" w:right="148"/>
              <w:jc w:val="both"/>
              <w:textAlignment w:val="baseline"/>
              <w:rPr>
                <w:rFonts w:cs="Times New Roman"/>
                <w:noProof/>
                <w:kern w:val="0"/>
                <w:lang w:val="en-GB"/>
              </w:rPr>
            </w:pPr>
            <w:r w:rsidRPr="00FF77A3">
              <w:rPr>
                <w:rFonts w:cs="Times New Roman"/>
                <w:noProof/>
                <w:kern w:val="0"/>
                <w:lang w:val="en-GB"/>
              </w:rPr>
              <w:lastRenderedPageBreak/>
              <w:t>A first discussion with Member States took place in the expert group meeting on 26 April 2024.</w:t>
            </w:r>
          </w:p>
        </w:tc>
      </w:tr>
      <w:tr w:rsidR="00176AD7" w:rsidRPr="00807559" w14:paraId="2B8A10B6" w14:textId="77777777" w:rsidTr="4538020F">
        <w:trPr>
          <w:trHeight w:val="654"/>
        </w:trPr>
        <w:tc>
          <w:tcPr>
            <w:tcW w:w="760" w:type="dxa"/>
            <w:shd w:val="clear" w:color="auto" w:fill="DEEAF6" w:themeFill="accent5" w:themeFillTint="33"/>
            <w:vAlign w:val="center"/>
          </w:tcPr>
          <w:p w14:paraId="26B348F3"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B.7</w:t>
            </w:r>
          </w:p>
        </w:tc>
        <w:tc>
          <w:tcPr>
            <w:tcW w:w="3920" w:type="dxa"/>
            <w:vAlign w:val="center"/>
          </w:tcPr>
          <w:p w14:paraId="47024DC5" w14:textId="67C6B349" w:rsidR="00510A5F" w:rsidRPr="00724676" w:rsidRDefault="00510A5F" w:rsidP="0098189C">
            <w:pPr>
              <w:spacing w:after="120" w:line="240" w:lineRule="auto"/>
              <w:ind w:left="110" w:right="148"/>
              <w:jc w:val="both"/>
              <w:textAlignment w:val="baseline"/>
              <w:rPr>
                <w:rFonts w:cs="Times New Roman"/>
                <w:noProof/>
                <w:kern w:val="0"/>
                <w:lang w:val="en-GB"/>
              </w:rPr>
            </w:pPr>
            <w:r w:rsidRPr="06E2D374">
              <w:rPr>
                <w:rFonts w:cs="Times New Roman"/>
                <w:noProof/>
                <w:kern w:val="0"/>
                <w:lang w:val="en-GB"/>
              </w:rPr>
              <w:t xml:space="preserve">Use remote sensing services </w:t>
            </w:r>
            <w:r w:rsidR="00100E1E" w:rsidRPr="06E2D374">
              <w:rPr>
                <w:rFonts w:cs="Times New Roman"/>
                <w:noProof/>
                <w:lang w:val="en-GB"/>
              </w:rPr>
              <w:t xml:space="preserve">as provided for </w:t>
            </w:r>
            <w:r w:rsidRPr="06E2D374">
              <w:rPr>
                <w:rFonts w:cs="Times New Roman"/>
                <w:noProof/>
                <w:kern w:val="0"/>
                <w:lang w:val="en-GB"/>
              </w:rPr>
              <w:t xml:space="preserve">in </w:t>
            </w:r>
            <w:r w:rsidR="00100E1E" w:rsidRPr="06E2D374">
              <w:rPr>
                <w:rFonts w:cs="Times New Roman"/>
                <w:noProof/>
                <w:lang w:val="en-GB"/>
              </w:rPr>
              <w:t xml:space="preserve">the </w:t>
            </w:r>
            <w:r w:rsidRPr="06E2D374">
              <w:rPr>
                <w:rFonts w:cs="Times New Roman"/>
                <w:noProof/>
                <w:kern w:val="0"/>
                <w:lang w:val="en-GB"/>
              </w:rPr>
              <w:t>proposed Soil Monitoring Law and proposed Forest Monitoring Law for assessing soil health and for forest monitoring.</w:t>
            </w:r>
          </w:p>
        </w:tc>
        <w:tc>
          <w:tcPr>
            <w:tcW w:w="4302" w:type="dxa"/>
            <w:vAlign w:val="center"/>
          </w:tcPr>
          <w:p w14:paraId="3E6E60F3" w14:textId="3AC659AB" w:rsidR="00510A5F" w:rsidRPr="00724676" w:rsidRDefault="00510A5F" w:rsidP="0098189C">
            <w:pPr>
              <w:kinsoku w:val="0"/>
              <w:overflowPunct w:val="0"/>
              <w:autoSpaceDE w:val="0"/>
              <w:autoSpaceDN w:val="0"/>
              <w:adjustRightInd w:val="0"/>
              <w:spacing w:after="120" w:line="240" w:lineRule="auto"/>
              <w:ind w:left="110"/>
              <w:rPr>
                <w:rFonts w:cs="Times New Roman"/>
                <w:noProof/>
                <w:kern w:val="0"/>
                <w:szCs w:val="24"/>
                <w:lang w:val="en-GB"/>
              </w:rPr>
            </w:pPr>
            <w:r w:rsidRPr="00724676">
              <w:rPr>
                <w:rFonts w:cs="Times New Roman"/>
                <w:noProof/>
                <w:kern w:val="0"/>
                <w:szCs w:val="24"/>
                <w:lang w:val="en-GB"/>
              </w:rPr>
              <w:t>After adoption of the legal texts</w:t>
            </w:r>
            <w:r w:rsidR="009A31D9">
              <w:rPr>
                <w:rFonts w:cs="Times New Roman"/>
                <w:noProof/>
                <w:kern w:val="0"/>
                <w:szCs w:val="24"/>
                <w:lang w:val="en-GB"/>
              </w:rPr>
              <w:t>.</w:t>
            </w:r>
          </w:p>
        </w:tc>
      </w:tr>
      <w:tr w:rsidR="00176AD7" w:rsidRPr="00807559" w14:paraId="6EA9F8B1" w14:textId="77777777" w:rsidTr="4538020F">
        <w:trPr>
          <w:trHeight w:val="654"/>
        </w:trPr>
        <w:tc>
          <w:tcPr>
            <w:tcW w:w="760" w:type="dxa"/>
            <w:shd w:val="clear" w:color="auto" w:fill="DEEAF6" w:themeFill="accent5" w:themeFillTint="33"/>
            <w:vAlign w:val="center"/>
          </w:tcPr>
          <w:p w14:paraId="6AAFE610"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B.8</w:t>
            </w:r>
          </w:p>
        </w:tc>
        <w:tc>
          <w:tcPr>
            <w:tcW w:w="3920" w:type="dxa"/>
            <w:vAlign w:val="center"/>
          </w:tcPr>
          <w:p w14:paraId="7919ECBE" w14:textId="57339CC8" w:rsidR="00510A5F" w:rsidRPr="00724676" w:rsidRDefault="00510A5F" w:rsidP="0098189C">
            <w:pPr>
              <w:spacing w:after="120" w:line="240" w:lineRule="auto"/>
              <w:ind w:left="110" w:right="148"/>
              <w:jc w:val="both"/>
              <w:textAlignment w:val="baseline"/>
              <w:rPr>
                <w:rFonts w:cs="Times New Roman"/>
                <w:noProof/>
                <w:kern w:val="0"/>
                <w:lang w:val="en-GB"/>
              </w:rPr>
            </w:pPr>
            <w:r w:rsidRPr="06E2D374">
              <w:rPr>
                <w:rFonts w:cs="Times New Roman"/>
                <w:noProof/>
                <w:kern w:val="0"/>
                <w:lang w:val="en-GB"/>
              </w:rPr>
              <w:t xml:space="preserve">Exempt plant protection products containing only biological active substances from </w:t>
            </w:r>
            <w:r w:rsidR="13DBFADD" w:rsidRPr="06E2D374">
              <w:rPr>
                <w:rFonts w:cs="Times New Roman"/>
                <w:noProof/>
                <w:lang w:val="en-GB"/>
              </w:rPr>
              <w:t>record</w:t>
            </w:r>
            <w:r w:rsidR="2195EFEB" w:rsidRPr="06E2D374">
              <w:rPr>
                <w:rFonts w:cs="Times New Roman"/>
                <w:noProof/>
                <w:kern w:val="0"/>
                <w:lang w:val="en-GB"/>
              </w:rPr>
              <w:t xml:space="preserve"> keeping obligations</w:t>
            </w:r>
            <w:r w:rsidRPr="06E2D374">
              <w:rPr>
                <w:rFonts w:cs="Times New Roman"/>
                <w:noProof/>
                <w:kern w:val="0"/>
                <w:lang w:val="en-GB"/>
              </w:rPr>
              <w:t>.</w:t>
            </w:r>
          </w:p>
        </w:tc>
        <w:tc>
          <w:tcPr>
            <w:tcW w:w="4302" w:type="dxa"/>
            <w:vAlign w:val="center"/>
          </w:tcPr>
          <w:p w14:paraId="729C3BAB" w14:textId="3DD78154" w:rsidR="00510A5F" w:rsidRPr="00C24C1C" w:rsidRDefault="00E05337" w:rsidP="0098189C">
            <w:pPr>
              <w:spacing w:after="120" w:line="240" w:lineRule="auto"/>
              <w:ind w:left="110" w:right="148"/>
              <w:jc w:val="both"/>
              <w:textAlignment w:val="baseline"/>
              <w:rPr>
                <w:rFonts w:cs="Times New Roman"/>
                <w:noProof/>
                <w:kern w:val="0"/>
                <w:szCs w:val="24"/>
                <w:lang w:val="en-GB"/>
              </w:rPr>
            </w:pPr>
            <w:r w:rsidRPr="00C24C1C">
              <w:rPr>
                <w:noProof/>
                <w:color w:val="000000" w:themeColor="text1"/>
                <w:lang w:val="en-GB"/>
                <w14:ligatures w14:val="none"/>
              </w:rPr>
              <w:t xml:space="preserve">Consideration of a </w:t>
            </w:r>
            <w:r w:rsidRPr="00C24C1C">
              <w:rPr>
                <w:rFonts w:cs="Times New Roman"/>
                <w:noProof/>
                <w:kern w:val="0"/>
                <w:szCs w:val="24"/>
                <w:lang w:val="en-GB"/>
              </w:rPr>
              <w:t>p</w:t>
            </w:r>
            <w:r w:rsidR="00510A5F" w:rsidRPr="00C24C1C">
              <w:rPr>
                <w:rFonts w:cs="Times New Roman"/>
                <w:noProof/>
                <w:kern w:val="0"/>
                <w:szCs w:val="24"/>
                <w:lang w:val="en-GB"/>
              </w:rPr>
              <w:t xml:space="preserve">roposal </w:t>
            </w:r>
            <w:r w:rsidR="00AD37DA" w:rsidRPr="00C24C1C">
              <w:rPr>
                <w:rFonts w:cs="Times New Roman"/>
                <w:noProof/>
                <w:kern w:val="0"/>
                <w:szCs w:val="24"/>
                <w:lang w:val="en-GB"/>
              </w:rPr>
              <w:t>to amend</w:t>
            </w:r>
            <w:r w:rsidR="00510A5F" w:rsidRPr="00C24C1C">
              <w:rPr>
                <w:rFonts w:cs="Times New Roman"/>
                <w:noProof/>
                <w:kern w:val="0"/>
                <w:szCs w:val="24"/>
                <w:lang w:val="en-GB"/>
              </w:rPr>
              <w:t xml:space="preserve"> Article 67(1) of Regulation (EC) No 1107/2009</w:t>
            </w:r>
            <w:r w:rsidR="009A31D9" w:rsidRPr="00C24C1C">
              <w:rPr>
                <w:rFonts w:cs="Times New Roman"/>
                <w:noProof/>
                <w:kern w:val="0"/>
                <w:szCs w:val="24"/>
                <w:lang w:val="en-GB"/>
              </w:rPr>
              <w:t>.</w:t>
            </w:r>
          </w:p>
        </w:tc>
      </w:tr>
      <w:tr w:rsidR="00176AD7" w:rsidRPr="00807559" w14:paraId="6109DF1D" w14:textId="77777777" w:rsidTr="4538020F">
        <w:trPr>
          <w:trHeight w:val="654"/>
        </w:trPr>
        <w:tc>
          <w:tcPr>
            <w:tcW w:w="760" w:type="dxa"/>
            <w:shd w:val="clear" w:color="auto" w:fill="DEEAF6" w:themeFill="accent5" w:themeFillTint="33"/>
            <w:vAlign w:val="center"/>
          </w:tcPr>
          <w:p w14:paraId="09B69BF6"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B.9</w:t>
            </w:r>
          </w:p>
        </w:tc>
        <w:tc>
          <w:tcPr>
            <w:tcW w:w="3920" w:type="dxa"/>
            <w:vAlign w:val="center"/>
          </w:tcPr>
          <w:p w14:paraId="3D89D102" w14:textId="0432577C" w:rsidR="00510A5F" w:rsidRPr="00724676" w:rsidRDefault="72CBC4D2" w:rsidP="0098189C">
            <w:pPr>
              <w:spacing w:after="120" w:line="240" w:lineRule="auto"/>
              <w:ind w:left="110" w:right="148"/>
              <w:jc w:val="both"/>
              <w:textAlignment w:val="baseline"/>
              <w:rPr>
                <w:rFonts w:cs="Times New Roman"/>
                <w:noProof/>
                <w:kern w:val="0"/>
                <w:lang w:val="en-GB"/>
              </w:rPr>
            </w:pPr>
            <w:r w:rsidRPr="02BE03D9">
              <w:rPr>
                <w:rFonts w:cs="Times New Roman"/>
                <w:noProof/>
                <w:kern w:val="0"/>
                <w:lang w:val="en-GB"/>
              </w:rPr>
              <w:t xml:space="preserve">Eliminate </w:t>
            </w:r>
            <w:r w:rsidR="2E62E132" w:rsidRPr="02BE03D9">
              <w:rPr>
                <w:rFonts w:cs="Times New Roman"/>
                <w:noProof/>
                <w:lang w:val="en-GB"/>
              </w:rPr>
              <w:t xml:space="preserve">the </w:t>
            </w:r>
            <w:r w:rsidRPr="02BE03D9">
              <w:rPr>
                <w:rFonts w:cs="Times New Roman"/>
                <w:noProof/>
                <w:kern w:val="0"/>
                <w:lang w:val="en-GB"/>
              </w:rPr>
              <w:t xml:space="preserve">requirement that farmers must submit individual applications for aerial </w:t>
            </w:r>
            <w:r w:rsidRPr="008456CA">
              <w:rPr>
                <w:rFonts w:cs="Times New Roman"/>
                <w:noProof/>
                <w:kern w:val="0"/>
                <w:lang w:val="en-GB"/>
              </w:rPr>
              <w:t xml:space="preserve">spraying of </w:t>
            </w:r>
            <w:r w:rsidR="7E5A7314" w:rsidRPr="003E7CF4">
              <w:rPr>
                <w:rFonts w:cs="Times New Roman"/>
                <w:noProof/>
                <w:kern w:val="0"/>
                <w:lang w:val="en-GB"/>
              </w:rPr>
              <w:t>plant protection products</w:t>
            </w:r>
            <w:r w:rsidR="7E5A7314" w:rsidRPr="008456CA">
              <w:rPr>
                <w:rFonts w:cs="Times New Roman"/>
                <w:noProof/>
                <w:kern w:val="0"/>
                <w:lang w:val="en-GB"/>
              </w:rPr>
              <w:t xml:space="preserve"> </w:t>
            </w:r>
            <w:r w:rsidRPr="008456CA">
              <w:rPr>
                <w:rFonts w:cs="Times New Roman"/>
                <w:noProof/>
                <w:kern w:val="0"/>
                <w:lang w:val="en-GB"/>
              </w:rPr>
              <w:t>once relevant conditions are met.</w:t>
            </w:r>
          </w:p>
        </w:tc>
        <w:tc>
          <w:tcPr>
            <w:tcW w:w="4302" w:type="dxa"/>
            <w:vAlign w:val="center"/>
          </w:tcPr>
          <w:p w14:paraId="6B240CBF" w14:textId="7B780C96" w:rsidR="00510A5F" w:rsidRPr="00C24C1C" w:rsidRDefault="00E05337" w:rsidP="0098189C">
            <w:pPr>
              <w:spacing w:after="120" w:line="240" w:lineRule="auto"/>
              <w:ind w:left="110" w:right="148"/>
              <w:jc w:val="both"/>
              <w:textAlignment w:val="baseline"/>
              <w:rPr>
                <w:rFonts w:cs="Times New Roman"/>
                <w:noProof/>
                <w:kern w:val="0"/>
                <w:lang w:val="en-GB"/>
              </w:rPr>
            </w:pPr>
            <w:r w:rsidRPr="00C24C1C">
              <w:rPr>
                <w:noProof/>
                <w:color w:val="000000" w:themeColor="text1"/>
                <w:lang w:val="en-GB"/>
                <w14:ligatures w14:val="none"/>
              </w:rPr>
              <w:t xml:space="preserve">Consideration of a </w:t>
            </w:r>
            <w:r w:rsidRPr="00C24C1C">
              <w:rPr>
                <w:rFonts w:cs="Times New Roman"/>
                <w:noProof/>
                <w:kern w:val="0"/>
                <w:szCs w:val="24"/>
                <w:lang w:val="en-GB"/>
              </w:rPr>
              <w:t>p</w:t>
            </w:r>
            <w:r w:rsidR="72CBC4D2" w:rsidRPr="00C24C1C">
              <w:rPr>
                <w:rFonts w:cs="Times New Roman"/>
                <w:noProof/>
                <w:kern w:val="0"/>
                <w:lang w:val="en-GB"/>
              </w:rPr>
              <w:t xml:space="preserve">roposal </w:t>
            </w:r>
            <w:r w:rsidR="2E62E132" w:rsidRPr="00C24C1C">
              <w:rPr>
                <w:rFonts w:cs="Times New Roman"/>
                <w:noProof/>
                <w:lang w:val="en-GB"/>
              </w:rPr>
              <w:t>to amend</w:t>
            </w:r>
            <w:r w:rsidR="72CBC4D2" w:rsidRPr="00C24C1C">
              <w:rPr>
                <w:rFonts w:cs="Times New Roman"/>
                <w:noProof/>
                <w:kern w:val="0"/>
                <w:lang w:val="en-GB"/>
              </w:rPr>
              <w:t xml:space="preserve"> Article 9(4) of Directive 2009/128/EC</w:t>
            </w:r>
            <w:r w:rsidR="49B21228" w:rsidRPr="00C24C1C">
              <w:rPr>
                <w:rFonts w:cs="Times New Roman"/>
                <w:noProof/>
                <w:kern w:val="0"/>
                <w:lang w:val="en-GB"/>
              </w:rPr>
              <w:t>.</w:t>
            </w:r>
          </w:p>
        </w:tc>
      </w:tr>
      <w:tr w:rsidR="00176AD7" w:rsidRPr="00807559" w14:paraId="6ED44AB8" w14:textId="77777777" w:rsidTr="4538020F">
        <w:trPr>
          <w:trHeight w:val="654"/>
        </w:trPr>
        <w:tc>
          <w:tcPr>
            <w:tcW w:w="760" w:type="dxa"/>
            <w:shd w:val="clear" w:color="auto" w:fill="DEEAF6" w:themeFill="accent5" w:themeFillTint="33"/>
            <w:vAlign w:val="center"/>
          </w:tcPr>
          <w:p w14:paraId="52C152BF" w14:textId="77777777" w:rsidR="00510A5F" w:rsidRPr="00D314D7"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314D7">
              <w:rPr>
                <w:rFonts w:cs="Times New Roman"/>
                <w:b/>
                <w:bCs/>
                <w:noProof/>
                <w:spacing w:val="-4"/>
                <w:kern w:val="0"/>
                <w:szCs w:val="24"/>
                <w:lang w:val="en-GB"/>
              </w:rPr>
              <w:t>B.10</w:t>
            </w:r>
          </w:p>
        </w:tc>
        <w:tc>
          <w:tcPr>
            <w:tcW w:w="3920" w:type="dxa"/>
            <w:vAlign w:val="center"/>
          </w:tcPr>
          <w:p w14:paraId="5D9042DA" w14:textId="77777777" w:rsidR="00510A5F" w:rsidRPr="00724676" w:rsidRDefault="00510A5F" w:rsidP="0098189C">
            <w:pPr>
              <w:spacing w:after="120" w:line="240" w:lineRule="auto"/>
              <w:ind w:left="110" w:right="148"/>
              <w:jc w:val="both"/>
              <w:textAlignment w:val="baseline"/>
              <w:rPr>
                <w:rFonts w:cs="Times New Roman"/>
                <w:noProof/>
                <w:kern w:val="0"/>
                <w:szCs w:val="24"/>
                <w:lang w:val="en-GB"/>
              </w:rPr>
            </w:pPr>
            <w:r w:rsidRPr="00724676">
              <w:rPr>
                <w:rFonts w:cs="Times New Roman"/>
                <w:noProof/>
                <w:kern w:val="0"/>
                <w:szCs w:val="24"/>
                <w:lang w:val="en-GB"/>
              </w:rPr>
              <w:t>Eliminate the requirement for farmers to keep records of treatment of animals with medicinal products under Directive 98/58/EC.</w:t>
            </w:r>
          </w:p>
        </w:tc>
        <w:tc>
          <w:tcPr>
            <w:tcW w:w="4302" w:type="dxa"/>
            <w:vAlign w:val="center"/>
          </w:tcPr>
          <w:p w14:paraId="02617A65" w14:textId="406CA609" w:rsidR="00510A5F" w:rsidRPr="00C24C1C" w:rsidRDefault="00E05337" w:rsidP="0098189C">
            <w:pPr>
              <w:spacing w:after="120" w:line="240" w:lineRule="auto"/>
              <w:ind w:left="110" w:right="148"/>
              <w:jc w:val="both"/>
              <w:textAlignment w:val="baseline"/>
              <w:rPr>
                <w:rFonts w:cs="Times New Roman"/>
                <w:noProof/>
                <w:kern w:val="0"/>
                <w:lang w:val="en-GB"/>
              </w:rPr>
            </w:pPr>
            <w:r w:rsidRPr="00C24C1C">
              <w:rPr>
                <w:noProof/>
                <w:color w:val="000000" w:themeColor="text1"/>
                <w:lang w:val="en-GB"/>
                <w14:ligatures w14:val="none"/>
              </w:rPr>
              <w:t xml:space="preserve">Consideration of a </w:t>
            </w:r>
            <w:r w:rsidRPr="00C24C1C">
              <w:rPr>
                <w:rFonts w:cs="Times New Roman"/>
                <w:noProof/>
                <w:kern w:val="0"/>
                <w:szCs w:val="24"/>
                <w:lang w:val="en-GB"/>
              </w:rPr>
              <w:t>p</w:t>
            </w:r>
            <w:r w:rsidR="72CBC4D2" w:rsidRPr="00C24C1C">
              <w:rPr>
                <w:rFonts w:cs="Times New Roman"/>
                <w:noProof/>
                <w:kern w:val="0"/>
                <w:lang w:val="en-GB"/>
              </w:rPr>
              <w:t xml:space="preserve">roposal </w:t>
            </w:r>
            <w:r w:rsidR="2E62E132" w:rsidRPr="00C24C1C">
              <w:rPr>
                <w:rFonts w:cs="Times New Roman"/>
                <w:noProof/>
                <w:lang w:val="en-GB"/>
              </w:rPr>
              <w:t>to amend</w:t>
            </w:r>
            <w:r w:rsidR="72CBC4D2" w:rsidRPr="00C24C1C">
              <w:rPr>
                <w:rFonts w:cs="Times New Roman"/>
                <w:noProof/>
                <w:kern w:val="0"/>
                <w:lang w:val="en-GB"/>
              </w:rPr>
              <w:t xml:space="preserve"> Directive 98/58/EC</w:t>
            </w:r>
            <w:r w:rsidR="49B21228" w:rsidRPr="00C24C1C">
              <w:rPr>
                <w:rFonts w:cs="Times New Roman"/>
                <w:noProof/>
                <w:kern w:val="0"/>
                <w:lang w:val="en-GB"/>
              </w:rPr>
              <w:t>.</w:t>
            </w:r>
          </w:p>
          <w:p w14:paraId="70A115F5" w14:textId="35CBB081" w:rsidR="00510A5F" w:rsidRPr="00C24C1C" w:rsidRDefault="00510A5F" w:rsidP="0098189C">
            <w:pPr>
              <w:kinsoku w:val="0"/>
              <w:overflowPunct w:val="0"/>
              <w:autoSpaceDE w:val="0"/>
              <w:autoSpaceDN w:val="0"/>
              <w:adjustRightInd w:val="0"/>
              <w:spacing w:after="120" w:line="240" w:lineRule="auto"/>
              <w:ind w:left="110"/>
              <w:rPr>
                <w:rFonts w:cs="Times New Roman"/>
                <w:noProof/>
                <w:kern w:val="0"/>
                <w:szCs w:val="24"/>
                <w:lang w:val="en-GB"/>
              </w:rPr>
            </w:pPr>
          </w:p>
        </w:tc>
      </w:tr>
      <w:tr w:rsidR="00510A5F" w:rsidRPr="00807559" w14:paraId="7227F389" w14:textId="77777777" w:rsidTr="4538020F">
        <w:trPr>
          <w:trHeight w:val="446"/>
        </w:trPr>
        <w:tc>
          <w:tcPr>
            <w:tcW w:w="8982" w:type="dxa"/>
            <w:gridSpan w:val="3"/>
            <w:shd w:val="clear" w:color="auto" w:fill="DEEAF6" w:themeFill="accent5" w:themeFillTint="33"/>
          </w:tcPr>
          <w:p w14:paraId="61436935" w14:textId="77777777" w:rsidR="00510A5F" w:rsidRPr="00724676" w:rsidRDefault="00510A5F" w:rsidP="0098189C">
            <w:pPr>
              <w:kinsoku w:val="0"/>
              <w:overflowPunct w:val="0"/>
              <w:autoSpaceDE w:val="0"/>
              <w:autoSpaceDN w:val="0"/>
              <w:adjustRightInd w:val="0"/>
              <w:spacing w:before="120" w:after="120" w:line="240" w:lineRule="auto"/>
              <w:ind w:left="471" w:hanging="382"/>
              <w:rPr>
                <w:rFonts w:cs="Times New Roman"/>
                <w:b/>
                <w:bCs/>
                <w:noProof/>
                <w:kern w:val="0"/>
                <w:szCs w:val="24"/>
                <w:lang w:val="en-GB"/>
              </w:rPr>
            </w:pPr>
            <w:r w:rsidRPr="00724676">
              <w:rPr>
                <w:rFonts w:cs="Times New Roman"/>
                <w:b/>
                <w:bCs/>
                <w:noProof/>
                <w:kern w:val="0"/>
                <w:szCs w:val="24"/>
                <w:lang w:val="en-GB"/>
              </w:rPr>
              <w:t>C.</w:t>
            </w:r>
            <w:r w:rsidRPr="00724676">
              <w:rPr>
                <w:rFonts w:cs="Times New Roman"/>
                <w:b/>
                <w:bCs/>
                <w:noProof/>
                <w:spacing w:val="40"/>
                <w:kern w:val="0"/>
                <w:szCs w:val="24"/>
                <w:lang w:val="en-GB"/>
              </w:rPr>
              <w:t xml:space="preserve"> </w:t>
            </w:r>
            <w:r w:rsidRPr="00724676">
              <w:rPr>
                <w:rFonts w:cs="Times New Roman"/>
                <w:b/>
                <w:bCs/>
                <w:noProof/>
                <w:kern w:val="0"/>
                <w:szCs w:val="24"/>
                <w:lang w:val="en-GB"/>
              </w:rPr>
              <w:t>Evidence gathering</w:t>
            </w:r>
          </w:p>
        </w:tc>
      </w:tr>
      <w:tr w:rsidR="00510A5F" w:rsidRPr="00807559" w14:paraId="1FA89494" w14:textId="77777777" w:rsidTr="4538020F">
        <w:trPr>
          <w:trHeight w:val="2569"/>
        </w:trPr>
        <w:tc>
          <w:tcPr>
            <w:tcW w:w="760" w:type="dxa"/>
            <w:shd w:val="clear" w:color="auto" w:fill="DEEAF6" w:themeFill="accent5" w:themeFillTint="33"/>
            <w:vAlign w:val="center"/>
          </w:tcPr>
          <w:p w14:paraId="01B6D472" w14:textId="77777777" w:rsidR="00510A5F" w:rsidRPr="00D919C1"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919C1">
              <w:rPr>
                <w:rFonts w:cs="Times New Roman"/>
                <w:b/>
                <w:bCs/>
                <w:noProof/>
                <w:spacing w:val="-4"/>
                <w:kern w:val="0"/>
                <w:szCs w:val="24"/>
                <w:lang w:val="en-GB"/>
              </w:rPr>
              <w:t>C.1</w:t>
            </w:r>
          </w:p>
        </w:tc>
        <w:tc>
          <w:tcPr>
            <w:tcW w:w="3920" w:type="dxa"/>
            <w:vAlign w:val="center"/>
          </w:tcPr>
          <w:p w14:paraId="5E00CEB0" w14:textId="370B08B8" w:rsidR="00510A5F" w:rsidRPr="00724676" w:rsidRDefault="00510A5F" w:rsidP="0098189C">
            <w:pPr>
              <w:kinsoku w:val="0"/>
              <w:overflowPunct w:val="0"/>
              <w:autoSpaceDE w:val="0"/>
              <w:autoSpaceDN w:val="0"/>
              <w:adjustRightInd w:val="0"/>
              <w:spacing w:after="120" w:line="240" w:lineRule="auto"/>
              <w:ind w:left="110" w:right="93"/>
              <w:rPr>
                <w:rFonts w:cs="Times New Roman"/>
                <w:noProof/>
                <w:spacing w:val="-2"/>
                <w:kern w:val="0"/>
                <w:szCs w:val="24"/>
                <w:lang w:val="en-GB"/>
              </w:rPr>
            </w:pPr>
            <w:r w:rsidRPr="00724676">
              <w:rPr>
                <w:rFonts w:cs="Times New Roman"/>
                <w:noProof/>
                <w:kern w:val="0"/>
                <w:szCs w:val="24"/>
                <w:lang w:val="en-GB"/>
              </w:rPr>
              <w:t>Study</w:t>
            </w:r>
            <w:r w:rsidRPr="00724676">
              <w:rPr>
                <w:rFonts w:cs="Times New Roman"/>
                <w:noProof/>
                <w:spacing w:val="-15"/>
                <w:kern w:val="0"/>
                <w:szCs w:val="24"/>
                <w:lang w:val="en-GB"/>
              </w:rPr>
              <w:t xml:space="preserve"> </w:t>
            </w:r>
            <w:r w:rsidRPr="00724676">
              <w:rPr>
                <w:rFonts w:cs="Times New Roman"/>
                <w:noProof/>
                <w:kern w:val="0"/>
                <w:szCs w:val="24"/>
                <w:lang w:val="en-GB"/>
              </w:rPr>
              <w:t>on</w:t>
            </w:r>
            <w:r w:rsidRPr="00724676">
              <w:rPr>
                <w:rFonts w:cs="Times New Roman"/>
                <w:noProof/>
                <w:spacing w:val="-14"/>
                <w:kern w:val="0"/>
                <w:szCs w:val="24"/>
                <w:lang w:val="en-GB"/>
              </w:rPr>
              <w:t xml:space="preserve"> </w:t>
            </w:r>
            <w:r w:rsidRPr="00724676">
              <w:rPr>
                <w:rFonts w:cs="Times New Roman"/>
                <w:noProof/>
                <w:kern w:val="0"/>
                <w:szCs w:val="24"/>
                <w:lang w:val="en-GB"/>
              </w:rPr>
              <w:t xml:space="preserve">simplification and </w:t>
            </w:r>
            <w:r w:rsidR="00EA18E1">
              <w:rPr>
                <w:rFonts w:cs="Times New Roman"/>
                <w:noProof/>
                <w:kern w:val="0"/>
                <w:szCs w:val="24"/>
                <w:lang w:val="en-GB"/>
              </w:rPr>
              <w:t xml:space="preserve">the </w:t>
            </w:r>
            <w:r w:rsidRPr="00724676">
              <w:rPr>
                <w:rFonts w:cs="Times New Roman"/>
                <w:noProof/>
                <w:kern w:val="0"/>
                <w:szCs w:val="24"/>
                <w:lang w:val="en-GB"/>
              </w:rPr>
              <w:t>administrative burden</w:t>
            </w:r>
            <w:r w:rsidRPr="00724676">
              <w:rPr>
                <w:rFonts w:cs="Times New Roman"/>
                <w:noProof/>
                <w:spacing w:val="-11"/>
                <w:kern w:val="0"/>
                <w:szCs w:val="24"/>
                <w:lang w:val="en-GB"/>
              </w:rPr>
              <w:t xml:space="preserve"> </w:t>
            </w:r>
            <w:r w:rsidR="00EA18E1">
              <w:rPr>
                <w:rFonts w:cs="Times New Roman"/>
                <w:noProof/>
                <w:kern w:val="0"/>
                <w:szCs w:val="24"/>
                <w:lang w:val="en-GB"/>
              </w:rPr>
              <w:t>on</w:t>
            </w:r>
            <w:r w:rsidR="00EA18E1" w:rsidRPr="00724676">
              <w:rPr>
                <w:rFonts w:cs="Times New Roman"/>
                <w:noProof/>
                <w:kern w:val="0"/>
                <w:szCs w:val="24"/>
                <w:lang w:val="en-GB"/>
              </w:rPr>
              <w:t xml:space="preserve"> </w:t>
            </w:r>
            <w:r w:rsidRPr="00724676">
              <w:rPr>
                <w:rFonts w:cs="Times New Roman"/>
                <w:noProof/>
                <w:spacing w:val="-2"/>
                <w:kern w:val="0"/>
                <w:szCs w:val="24"/>
                <w:lang w:val="en-GB"/>
              </w:rPr>
              <w:t>farmers</w:t>
            </w:r>
            <w:r w:rsidR="00EA18E1">
              <w:rPr>
                <w:rFonts w:cs="Times New Roman"/>
                <w:noProof/>
                <w:kern w:val="0"/>
                <w:szCs w:val="24"/>
                <w:lang w:val="en-GB"/>
              </w:rPr>
              <w:t xml:space="preserve"> </w:t>
            </w:r>
            <w:r w:rsidRPr="00724676">
              <w:rPr>
                <w:rFonts w:cs="Times New Roman"/>
                <w:noProof/>
                <w:kern w:val="0"/>
                <w:szCs w:val="24"/>
                <w:lang w:val="en-GB"/>
              </w:rPr>
              <w:t>under the CAP</w:t>
            </w:r>
            <w:r w:rsidR="009A31D9">
              <w:rPr>
                <w:rFonts w:cs="Times New Roman"/>
                <w:noProof/>
                <w:kern w:val="0"/>
                <w:szCs w:val="24"/>
                <w:lang w:val="en-GB"/>
              </w:rPr>
              <w:t>.</w:t>
            </w:r>
          </w:p>
        </w:tc>
        <w:tc>
          <w:tcPr>
            <w:tcW w:w="4302" w:type="dxa"/>
            <w:vAlign w:val="center"/>
          </w:tcPr>
          <w:p w14:paraId="60061566" w14:textId="7B56DA97" w:rsidR="00510A5F" w:rsidRPr="009A31D9" w:rsidRDefault="00510A5F" w:rsidP="0098189C">
            <w:pPr>
              <w:spacing w:after="120" w:line="240" w:lineRule="auto"/>
              <w:ind w:left="110" w:right="148"/>
              <w:jc w:val="both"/>
              <w:textAlignment w:val="baseline"/>
              <w:rPr>
                <w:rFonts w:cs="Times New Roman"/>
                <w:noProof/>
                <w:kern w:val="0"/>
                <w:szCs w:val="24"/>
                <w:lang w:val="en-GB"/>
              </w:rPr>
            </w:pPr>
            <w:r w:rsidRPr="009A31D9">
              <w:rPr>
                <w:rFonts w:cs="Times New Roman"/>
                <w:noProof/>
                <w:kern w:val="0"/>
                <w:szCs w:val="24"/>
                <w:lang w:val="en-GB"/>
              </w:rPr>
              <w:t>Survey addressed to farmers launched on 7 March and closed on 8 April 2024</w:t>
            </w:r>
            <w:r w:rsidR="009A31D9">
              <w:rPr>
                <w:rFonts w:cs="Times New Roman"/>
                <w:noProof/>
                <w:kern w:val="0"/>
                <w:szCs w:val="24"/>
                <w:lang w:val="en-GB"/>
              </w:rPr>
              <w:t>.</w:t>
            </w:r>
          </w:p>
          <w:p w14:paraId="646FC444" w14:textId="4FBF438B" w:rsidR="00510A5F" w:rsidRPr="009A31D9" w:rsidRDefault="00510A5F" w:rsidP="0098189C">
            <w:pPr>
              <w:spacing w:after="120" w:line="240" w:lineRule="auto"/>
              <w:ind w:left="110" w:right="148"/>
              <w:jc w:val="both"/>
              <w:textAlignment w:val="baseline"/>
              <w:rPr>
                <w:rFonts w:cs="Times New Roman"/>
                <w:noProof/>
                <w:kern w:val="0"/>
                <w:lang w:val="en-GB"/>
              </w:rPr>
            </w:pPr>
            <w:r w:rsidRPr="1AEA1EB2">
              <w:rPr>
                <w:rFonts w:cs="Times New Roman"/>
                <w:noProof/>
                <w:kern w:val="0"/>
                <w:lang w:val="en-GB"/>
              </w:rPr>
              <w:t>First results published on Europa on 12 April 2024</w:t>
            </w:r>
            <w:r w:rsidR="002647A9" w:rsidRPr="1AEA1EB2">
              <w:rPr>
                <w:rFonts w:cs="Times New Roman"/>
                <w:noProof/>
                <w:lang w:val="en-GB"/>
              </w:rPr>
              <w:t xml:space="preserve"> </w:t>
            </w:r>
            <w:r w:rsidR="1D92A218" w:rsidRPr="1AEA1EB2">
              <w:rPr>
                <w:rFonts w:cs="Times New Roman"/>
                <w:noProof/>
                <w:lang w:val="en-GB"/>
              </w:rPr>
              <w:t>(</w:t>
            </w:r>
            <w:r w:rsidR="1D92A218" w:rsidRPr="1D161CB3">
              <w:rPr>
                <w:rFonts w:cs="Times New Roman"/>
                <w:noProof/>
                <w:lang w:val="en-GB"/>
              </w:rPr>
              <w:t>with update of</w:t>
            </w:r>
            <w:r w:rsidR="002647A9" w:rsidRPr="1D161CB3">
              <w:rPr>
                <w:rFonts w:cs="Times New Roman"/>
                <w:noProof/>
                <w:lang w:val="en-GB"/>
              </w:rPr>
              <w:t xml:space="preserve"> </w:t>
            </w:r>
            <w:r w:rsidR="002647A9" w:rsidRPr="3AD01D76">
              <w:rPr>
                <w:rFonts w:cs="Times New Roman"/>
                <w:noProof/>
                <w:lang w:val="en-GB"/>
              </w:rPr>
              <w:t>7 October 2024</w:t>
            </w:r>
            <w:r w:rsidR="003D3B3D">
              <w:rPr>
                <w:rFonts w:cs="Times New Roman"/>
                <w:noProof/>
                <w:lang w:val="en-GB"/>
              </w:rPr>
              <w:t>)</w:t>
            </w:r>
            <w:r w:rsidR="009A31D9" w:rsidRPr="3AD01D76">
              <w:rPr>
                <w:rFonts w:cs="Times New Roman"/>
                <w:noProof/>
                <w:lang w:val="en-GB"/>
              </w:rPr>
              <w:t>.</w:t>
            </w:r>
          </w:p>
          <w:p w14:paraId="2EC95938" w14:textId="77777777" w:rsidR="00510A5F" w:rsidRPr="009A31D9" w:rsidRDefault="00510A5F" w:rsidP="0098189C">
            <w:pPr>
              <w:spacing w:after="120" w:line="240" w:lineRule="auto"/>
              <w:ind w:left="110" w:right="148"/>
              <w:jc w:val="both"/>
              <w:textAlignment w:val="baseline"/>
              <w:rPr>
                <w:rFonts w:cs="Times New Roman"/>
                <w:noProof/>
                <w:kern w:val="0"/>
                <w:szCs w:val="24"/>
                <w:lang w:val="en-GB"/>
              </w:rPr>
            </w:pPr>
            <w:r w:rsidRPr="009A31D9">
              <w:rPr>
                <w:rFonts w:cs="Times New Roman"/>
                <w:noProof/>
                <w:kern w:val="0"/>
                <w:szCs w:val="24"/>
                <w:lang w:val="en-GB"/>
              </w:rPr>
              <w:t>In-depth follow-up interviews with selected respondents in spring 2024.</w:t>
            </w:r>
          </w:p>
          <w:p w14:paraId="5FA38816" w14:textId="7A3DAE9C" w:rsidR="00510A5F" w:rsidRPr="00724676" w:rsidRDefault="00510A5F" w:rsidP="00BD0E24">
            <w:pPr>
              <w:spacing w:after="120" w:line="240" w:lineRule="auto"/>
              <w:ind w:left="110" w:right="148"/>
              <w:jc w:val="both"/>
              <w:textAlignment w:val="baseline"/>
              <w:rPr>
                <w:rFonts w:cs="Times New Roman"/>
                <w:noProof/>
                <w:kern w:val="0"/>
                <w:lang w:val="en-GB"/>
              </w:rPr>
            </w:pPr>
            <w:r w:rsidRPr="3AD01D76">
              <w:rPr>
                <w:rFonts w:cs="Times New Roman"/>
                <w:noProof/>
                <w:kern w:val="0"/>
                <w:lang w:val="en-GB"/>
              </w:rPr>
              <w:t>Study to be completed by beginning 2025</w:t>
            </w:r>
            <w:r w:rsidR="009A31D9" w:rsidRPr="3AD01D76">
              <w:rPr>
                <w:rFonts w:cs="Times New Roman"/>
                <w:noProof/>
                <w:kern w:val="0"/>
                <w:lang w:val="en-GB"/>
              </w:rPr>
              <w:t>.</w:t>
            </w:r>
          </w:p>
        </w:tc>
      </w:tr>
      <w:tr w:rsidR="00510A5F" w:rsidRPr="00807559" w14:paraId="3BAC83CD" w14:textId="77777777" w:rsidTr="4538020F">
        <w:trPr>
          <w:trHeight w:val="561"/>
        </w:trPr>
        <w:tc>
          <w:tcPr>
            <w:tcW w:w="760" w:type="dxa"/>
            <w:shd w:val="clear" w:color="auto" w:fill="DEEAF6" w:themeFill="accent5" w:themeFillTint="33"/>
            <w:vAlign w:val="center"/>
          </w:tcPr>
          <w:p w14:paraId="2158AA6A" w14:textId="77777777" w:rsidR="00510A5F" w:rsidRPr="00D919C1" w:rsidRDefault="00510A5F" w:rsidP="0098189C">
            <w:pPr>
              <w:kinsoku w:val="0"/>
              <w:overflowPunct w:val="0"/>
              <w:autoSpaceDE w:val="0"/>
              <w:autoSpaceDN w:val="0"/>
              <w:adjustRightInd w:val="0"/>
              <w:spacing w:after="120" w:line="240" w:lineRule="auto"/>
              <w:ind w:left="107"/>
              <w:rPr>
                <w:rFonts w:cs="Times New Roman"/>
                <w:b/>
                <w:bCs/>
                <w:noProof/>
                <w:spacing w:val="-4"/>
                <w:kern w:val="0"/>
                <w:szCs w:val="24"/>
                <w:lang w:val="en-GB"/>
              </w:rPr>
            </w:pPr>
            <w:r w:rsidRPr="00D919C1">
              <w:rPr>
                <w:rFonts w:cs="Times New Roman"/>
                <w:b/>
                <w:bCs/>
                <w:noProof/>
                <w:spacing w:val="-4"/>
                <w:kern w:val="0"/>
                <w:szCs w:val="24"/>
                <w:lang w:val="en-GB"/>
              </w:rPr>
              <w:t>C.2</w:t>
            </w:r>
          </w:p>
        </w:tc>
        <w:tc>
          <w:tcPr>
            <w:tcW w:w="3920" w:type="dxa"/>
            <w:vAlign w:val="center"/>
          </w:tcPr>
          <w:p w14:paraId="618E6445" w14:textId="500E940A" w:rsidR="00510A5F" w:rsidRPr="00724676" w:rsidRDefault="00510A5F" w:rsidP="0098189C">
            <w:pPr>
              <w:kinsoku w:val="0"/>
              <w:overflowPunct w:val="0"/>
              <w:autoSpaceDE w:val="0"/>
              <w:autoSpaceDN w:val="0"/>
              <w:adjustRightInd w:val="0"/>
              <w:spacing w:after="120" w:line="240" w:lineRule="auto"/>
              <w:ind w:left="110" w:right="93"/>
              <w:jc w:val="both"/>
              <w:rPr>
                <w:rFonts w:cs="Times New Roman"/>
                <w:noProof/>
                <w:kern w:val="0"/>
                <w:szCs w:val="24"/>
                <w:lang w:val="en-GB"/>
              </w:rPr>
            </w:pPr>
            <w:r w:rsidRPr="00724676">
              <w:rPr>
                <w:rFonts w:cs="Times New Roman"/>
                <w:noProof/>
                <w:kern w:val="0"/>
                <w:szCs w:val="24"/>
                <w:lang w:val="en-GB"/>
              </w:rPr>
              <w:t xml:space="preserve">Study on </w:t>
            </w:r>
            <w:r w:rsidR="00EA18E1">
              <w:rPr>
                <w:rFonts w:cs="Times New Roman"/>
                <w:noProof/>
                <w:kern w:val="0"/>
                <w:szCs w:val="24"/>
                <w:lang w:val="en-GB"/>
              </w:rPr>
              <w:t xml:space="preserve">the </w:t>
            </w:r>
            <w:r w:rsidRPr="00724676">
              <w:rPr>
                <w:rFonts w:cs="Times New Roman"/>
                <w:noProof/>
                <w:kern w:val="0"/>
                <w:szCs w:val="24"/>
                <w:lang w:val="en-GB"/>
              </w:rPr>
              <w:t>administrative burden and</w:t>
            </w:r>
            <w:r w:rsidRPr="00724676">
              <w:rPr>
                <w:rFonts w:cs="Times New Roman"/>
                <w:noProof/>
                <w:spacing w:val="-8"/>
                <w:kern w:val="0"/>
                <w:szCs w:val="24"/>
                <w:lang w:val="en-GB"/>
              </w:rPr>
              <w:t xml:space="preserve"> </w:t>
            </w:r>
            <w:r w:rsidRPr="00724676">
              <w:rPr>
                <w:rFonts w:cs="Times New Roman"/>
                <w:noProof/>
                <w:kern w:val="0"/>
                <w:szCs w:val="24"/>
                <w:lang w:val="en-GB"/>
              </w:rPr>
              <w:t>the</w:t>
            </w:r>
            <w:r w:rsidRPr="00724676">
              <w:rPr>
                <w:rFonts w:cs="Times New Roman"/>
                <w:noProof/>
                <w:spacing w:val="-8"/>
                <w:kern w:val="0"/>
                <w:szCs w:val="24"/>
                <w:lang w:val="en-GB"/>
              </w:rPr>
              <w:t xml:space="preserve"> </w:t>
            </w:r>
            <w:r w:rsidR="006A5D3D">
              <w:rPr>
                <w:rFonts w:cs="Times New Roman"/>
                <w:noProof/>
                <w:kern w:val="0"/>
                <w:szCs w:val="24"/>
                <w:lang w:val="en-GB"/>
              </w:rPr>
              <w:t>n</w:t>
            </w:r>
            <w:r w:rsidRPr="00724676">
              <w:rPr>
                <w:rFonts w:cs="Times New Roman"/>
                <w:noProof/>
                <w:kern w:val="0"/>
                <w:szCs w:val="24"/>
                <w:lang w:val="en-GB"/>
              </w:rPr>
              <w:t>ew</w:t>
            </w:r>
            <w:r w:rsidRPr="00724676">
              <w:rPr>
                <w:rFonts w:cs="Times New Roman"/>
                <w:noProof/>
                <w:spacing w:val="-9"/>
                <w:kern w:val="0"/>
                <w:szCs w:val="24"/>
                <w:lang w:val="en-GB"/>
              </w:rPr>
              <w:t xml:space="preserve"> </w:t>
            </w:r>
            <w:r w:rsidR="006A5D3D">
              <w:rPr>
                <w:rFonts w:cs="Times New Roman"/>
                <w:noProof/>
                <w:kern w:val="0"/>
                <w:szCs w:val="24"/>
                <w:lang w:val="en-GB"/>
              </w:rPr>
              <w:t>d</w:t>
            </w:r>
            <w:r w:rsidRPr="00724676">
              <w:rPr>
                <w:rFonts w:cs="Times New Roman"/>
                <w:noProof/>
                <w:kern w:val="0"/>
                <w:szCs w:val="24"/>
                <w:lang w:val="en-GB"/>
              </w:rPr>
              <w:t>eliver</w:t>
            </w:r>
            <w:r w:rsidR="00EA18E1">
              <w:rPr>
                <w:rFonts w:cs="Times New Roman"/>
                <w:noProof/>
                <w:kern w:val="0"/>
                <w:szCs w:val="24"/>
                <w:lang w:val="en-GB"/>
              </w:rPr>
              <w:t>y</w:t>
            </w:r>
            <w:r w:rsidRPr="00724676">
              <w:rPr>
                <w:rFonts w:cs="Times New Roman"/>
                <w:noProof/>
                <w:spacing w:val="-8"/>
                <w:kern w:val="0"/>
                <w:szCs w:val="24"/>
                <w:lang w:val="en-GB"/>
              </w:rPr>
              <w:t xml:space="preserve"> </w:t>
            </w:r>
            <w:r w:rsidR="006A5D3D">
              <w:rPr>
                <w:rFonts w:cs="Times New Roman"/>
                <w:noProof/>
                <w:kern w:val="0"/>
                <w:szCs w:val="24"/>
                <w:lang w:val="en-GB"/>
              </w:rPr>
              <w:t>m</w:t>
            </w:r>
            <w:r w:rsidRPr="00724676">
              <w:rPr>
                <w:rFonts w:cs="Times New Roman"/>
                <w:noProof/>
                <w:kern w:val="0"/>
                <w:szCs w:val="24"/>
                <w:lang w:val="en-GB"/>
              </w:rPr>
              <w:t>odel</w:t>
            </w:r>
            <w:r w:rsidRPr="00724676">
              <w:rPr>
                <w:rFonts w:cs="Times New Roman"/>
                <w:noProof/>
                <w:spacing w:val="-8"/>
                <w:kern w:val="0"/>
                <w:szCs w:val="24"/>
                <w:lang w:val="en-GB"/>
              </w:rPr>
              <w:t xml:space="preserve"> </w:t>
            </w:r>
            <w:r w:rsidRPr="00724676">
              <w:rPr>
                <w:rFonts w:cs="Times New Roman"/>
                <w:noProof/>
                <w:kern w:val="0"/>
                <w:szCs w:val="24"/>
                <w:lang w:val="en-GB"/>
              </w:rPr>
              <w:t>of the CAP</w:t>
            </w:r>
            <w:r w:rsidR="009A31D9">
              <w:rPr>
                <w:rFonts w:cs="Times New Roman"/>
                <w:noProof/>
                <w:kern w:val="0"/>
                <w:szCs w:val="24"/>
                <w:lang w:val="en-GB"/>
              </w:rPr>
              <w:t>.</w:t>
            </w:r>
          </w:p>
        </w:tc>
        <w:tc>
          <w:tcPr>
            <w:tcW w:w="4302" w:type="dxa"/>
            <w:vAlign w:val="center"/>
          </w:tcPr>
          <w:p w14:paraId="2EA99B03" w14:textId="1B14506C" w:rsidR="00510A5F" w:rsidRPr="00724676" w:rsidRDefault="00510A5F" w:rsidP="0098189C">
            <w:pPr>
              <w:kinsoku w:val="0"/>
              <w:overflowPunct w:val="0"/>
              <w:autoSpaceDE w:val="0"/>
              <w:autoSpaceDN w:val="0"/>
              <w:adjustRightInd w:val="0"/>
              <w:spacing w:after="120" w:line="240" w:lineRule="auto"/>
              <w:ind w:left="110" w:right="234"/>
              <w:jc w:val="both"/>
              <w:rPr>
                <w:rFonts w:cs="Times New Roman"/>
                <w:noProof/>
                <w:spacing w:val="-4"/>
                <w:kern w:val="0"/>
                <w:szCs w:val="24"/>
                <w:lang w:val="en-GB"/>
              </w:rPr>
            </w:pPr>
            <w:r w:rsidRPr="00724676">
              <w:rPr>
                <w:rFonts w:cs="Times New Roman"/>
                <w:noProof/>
                <w:spacing w:val="-4"/>
                <w:kern w:val="0"/>
                <w:szCs w:val="24"/>
                <w:lang w:val="en-GB"/>
              </w:rPr>
              <w:t>Study launched and to be concluded in Q</w:t>
            </w:r>
            <w:r w:rsidR="001C42A3">
              <w:rPr>
                <w:rFonts w:cs="Times New Roman"/>
                <w:noProof/>
                <w:spacing w:val="-4"/>
                <w:kern w:val="0"/>
                <w:szCs w:val="24"/>
                <w:lang w:val="en-GB"/>
              </w:rPr>
              <w:t>4</w:t>
            </w:r>
            <w:r w:rsidRPr="00724676">
              <w:rPr>
                <w:rFonts w:cs="Times New Roman"/>
                <w:noProof/>
                <w:spacing w:val="-4"/>
                <w:kern w:val="0"/>
                <w:szCs w:val="24"/>
                <w:lang w:val="en-GB"/>
              </w:rPr>
              <w:t xml:space="preserve"> 2025</w:t>
            </w:r>
            <w:r w:rsidR="009A31D9">
              <w:rPr>
                <w:rFonts w:cs="Times New Roman"/>
                <w:noProof/>
                <w:spacing w:val="-4"/>
                <w:kern w:val="0"/>
                <w:szCs w:val="24"/>
                <w:lang w:val="en-GB"/>
              </w:rPr>
              <w:t>.</w:t>
            </w:r>
          </w:p>
        </w:tc>
      </w:tr>
    </w:tbl>
    <w:p w14:paraId="55443403" w14:textId="77777777" w:rsidR="00510A5F" w:rsidRPr="00724676" w:rsidRDefault="00510A5F" w:rsidP="00510A5F">
      <w:pPr>
        <w:spacing w:after="120"/>
        <w:rPr>
          <w:rFonts w:eastAsiaTheme="majorEastAsia" w:cstheme="majorBidi"/>
          <w:b/>
          <w:noProof/>
          <w:szCs w:val="32"/>
          <w:lang w:val="en-GB"/>
        </w:rPr>
      </w:pPr>
    </w:p>
    <w:p w14:paraId="79C8D199" w14:textId="77777777" w:rsidR="00872C68" w:rsidRPr="00724676" w:rsidRDefault="00872C68" w:rsidP="003E7CF4">
      <w:pPr>
        <w:rPr>
          <w:rFonts w:eastAsiaTheme="majorEastAsia" w:cstheme="majorBidi"/>
          <w:b/>
          <w:i/>
          <w:iCs/>
          <w:noProof/>
          <w:szCs w:val="32"/>
          <w:lang w:val="en-GB"/>
        </w:rPr>
        <w:sectPr w:rsidR="00872C68" w:rsidRPr="00724676" w:rsidSect="002B144B">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20" w:footer="720" w:gutter="0"/>
          <w:cols w:space="720"/>
          <w:titlePg/>
          <w:docGrid w:linePitch="360"/>
        </w:sectPr>
      </w:pPr>
      <w:bookmarkStart w:id="147" w:name="_Toc171106341"/>
    </w:p>
    <w:p w14:paraId="0A90DB0F" w14:textId="0F990E3A" w:rsidR="00872C68" w:rsidRPr="00724676" w:rsidRDefault="00872C68" w:rsidP="007B4A95">
      <w:pPr>
        <w:pStyle w:val="Heading3"/>
        <w:rPr>
          <w:noProof/>
        </w:rPr>
      </w:pPr>
      <w:bookmarkStart w:id="148" w:name="_Toc172125142"/>
      <w:r w:rsidRPr="00724676">
        <w:rPr>
          <w:noProof/>
        </w:rPr>
        <w:lastRenderedPageBreak/>
        <w:t>Annex 2. Overview of the simplification suggestions</w:t>
      </w:r>
      <w:bookmarkEnd w:id="147"/>
      <w:bookmarkEnd w:id="148"/>
      <w:r w:rsidR="00201390">
        <w:rPr>
          <w:noProof/>
        </w:rPr>
        <w:t xml:space="preserve"> received</w:t>
      </w:r>
      <w:r w:rsidRPr="00724676">
        <w:rPr>
          <w:noProof/>
        </w:rPr>
        <w:t xml:space="preserve"> </w:t>
      </w:r>
    </w:p>
    <w:p w14:paraId="45DB0BBA" w14:textId="76C3C377" w:rsidR="00095FEA" w:rsidRPr="00724676" w:rsidRDefault="00095FEA" w:rsidP="00095FEA">
      <w:pPr>
        <w:jc w:val="both"/>
        <w:rPr>
          <w:i/>
          <w:iCs/>
          <w:noProof/>
          <w:lang w:val="en-GB"/>
        </w:rPr>
      </w:pPr>
      <w:r w:rsidRPr="00724676">
        <w:rPr>
          <w:i/>
          <w:iCs/>
          <w:noProof/>
          <w:lang w:val="en-GB"/>
        </w:rPr>
        <w:t xml:space="preserve">This is not a legally binding document. It was prepared by </w:t>
      </w:r>
      <w:r w:rsidR="00201390">
        <w:rPr>
          <w:i/>
          <w:iCs/>
          <w:noProof/>
          <w:lang w:val="en-GB"/>
        </w:rPr>
        <w:t xml:space="preserve">the departments of the </w:t>
      </w:r>
      <w:r w:rsidRPr="00724676">
        <w:rPr>
          <w:i/>
          <w:iCs/>
          <w:noProof/>
          <w:lang w:val="en-GB"/>
        </w:rPr>
        <w:t xml:space="preserve">Commission and does not commit the European Commission. </w:t>
      </w:r>
      <w:r w:rsidRPr="6FE283EC">
        <w:rPr>
          <w:rFonts w:eastAsia="Calibri" w:cs="Times New Roman"/>
          <w:i/>
          <w:noProof/>
          <w:kern w:val="0"/>
          <w:lang w:val="en-GB"/>
          <w14:ligatures w14:val="none"/>
        </w:rPr>
        <w:t>The explanations</w:t>
      </w:r>
      <w:r w:rsidR="00201390" w:rsidRPr="6FE283EC">
        <w:rPr>
          <w:rFonts w:eastAsia="Calibri" w:cs="Times New Roman"/>
          <w:i/>
          <w:noProof/>
          <w:lang w:val="en-GB"/>
        </w:rPr>
        <w:t>,</w:t>
      </w:r>
      <w:r w:rsidRPr="6FE283EC">
        <w:rPr>
          <w:rFonts w:eastAsia="Calibri" w:cs="Times New Roman"/>
          <w:i/>
          <w:noProof/>
          <w:kern w:val="0"/>
          <w:lang w:val="en-GB"/>
          <w14:ligatures w14:val="none"/>
        </w:rPr>
        <w:t xml:space="preserve"> which are part of the assessments of the simplification suggestions submitted by Member States and stakeholders </w:t>
      </w:r>
      <w:r w:rsidRPr="00724676">
        <w:rPr>
          <w:i/>
          <w:iCs/>
          <w:noProof/>
          <w:lang w:val="en-GB"/>
        </w:rPr>
        <w:t xml:space="preserve">in respect </w:t>
      </w:r>
      <w:r w:rsidR="00201390">
        <w:rPr>
          <w:i/>
          <w:iCs/>
          <w:noProof/>
          <w:lang w:val="en-GB"/>
        </w:rPr>
        <w:t>of</w:t>
      </w:r>
      <w:r w:rsidR="00201390" w:rsidRPr="00724676">
        <w:rPr>
          <w:i/>
          <w:iCs/>
          <w:noProof/>
          <w:lang w:val="en-GB"/>
        </w:rPr>
        <w:t xml:space="preserve"> </w:t>
      </w:r>
      <w:r w:rsidRPr="00724676">
        <w:rPr>
          <w:i/>
          <w:iCs/>
          <w:noProof/>
          <w:lang w:val="en-GB"/>
        </w:rPr>
        <w:t xml:space="preserve">certain </w:t>
      </w:r>
      <w:r w:rsidR="00201390">
        <w:rPr>
          <w:i/>
          <w:iCs/>
          <w:noProof/>
          <w:lang w:val="en-GB"/>
        </w:rPr>
        <w:t>EU</w:t>
      </w:r>
      <w:r w:rsidR="00201390" w:rsidRPr="00724676">
        <w:rPr>
          <w:i/>
          <w:iCs/>
          <w:noProof/>
          <w:lang w:val="en-GB"/>
        </w:rPr>
        <w:t xml:space="preserve"> </w:t>
      </w:r>
      <w:r w:rsidRPr="00724676">
        <w:rPr>
          <w:i/>
          <w:iCs/>
          <w:noProof/>
          <w:lang w:val="en-GB"/>
        </w:rPr>
        <w:t>legal acts</w:t>
      </w:r>
      <w:r w:rsidR="00DA13F9">
        <w:rPr>
          <w:i/>
          <w:iCs/>
          <w:noProof/>
          <w:lang w:val="en-GB"/>
        </w:rPr>
        <w:t xml:space="preserve"> </w:t>
      </w:r>
      <w:r w:rsidRPr="00724676">
        <w:rPr>
          <w:i/>
          <w:iCs/>
          <w:noProof/>
          <w:lang w:val="en-GB"/>
        </w:rPr>
        <w:t xml:space="preserve">are provided for information purposes only. In the event of a dispute involving </w:t>
      </w:r>
      <w:r w:rsidR="00201390">
        <w:rPr>
          <w:i/>
          <w:iCs/>
          <w:noProof/>
          <w:lang w:val="en-GB"/>
        </w:rPr>
        <w:t>EU</w:t>
      </w:r>
      <w:r w:rsidR="00201390" w:rsidRPr="00724676">
        <w:rPr>
          <w:i/>
          <w:iCs/>
          <w:noProof/>
          <w:lang w:val="en-GB"/>
        </w:rPr>
        <w:t xml:space="preserve"> </w:t>
      </w:r>
      <w:r w:rsidRPr="00724676">
        <w:rPr>
          <w:i/>
          <w:iCs/>
          <w:noProof/>
          <w:lang w:val="en-GB"/>
        </w:rPr>
        <w:t xml:space="preserve">law, under the Treaty on the Functioning of the European Union, it is ultimately for the Court of Justice of the European Union to provide a definitive interpretation of the applicable </w:t>
      </w:r>
      <w:r w:rsidR="00201390">
        <w:rPr>
          <w:i/>
          <w:iCs/>
          <w:noProof/>
          <w:lang w:val="en-GB"/>
        </w:rPr>
        <w:t>EU</w:t>
      </w:r>
      <w:r w:rsidR="00201390" w:rsidRPr="00724676">
        <w:rPr>
          <w:i/>
          <w:iCs/>
          <w:noProof/>
          <w:lang w:val="en-GB"/>
        </w:rPr>
        <w:t xml:space="preserve"> </w:t>
      </w:r>
      <w:r w:rsidRPr="00724676">
        <w:rPr>
          <w:i/>
          <w:iCs/>
          <w:noProof/>
          <w:lang w:val="en-GB"/>
        </w:rPr>
        <w:t>law.</w:t>
      </w:r>
    </w:p>
    <w:p w14:paraId="30FA1910" w14:textId="77777777" w:rsidR="00872C68" w:rsidRPr="00724676" w:rsidRDefault="00872C68" w:rsidP="009162C0">
      <w:pPr>
        <w:pStyle w:val="Heading4"/>
        <w:ind w:left="142"/>
        <w:rPr>
          <w:noProof/>
          <w:lang w:val="en-GB"/>
        </w:rPr>
      </w:pPr>
      <w:r w:rsidRPr="00724676">
        <w:rPr>
          <w:noProof/>
          <w:lang w:val="en-GB"/>
        </w:rPr>
        <w:t>I. CAP STRATEGIC PLANS – MINIMUM REQUIREMENTS, FINANCING, MANAGEMENT, PERFORMANCE</w:t>
      </w:r>
    </w:p>
    <w:p w14:paraId="05A03D81" w14:textId="77777777" w:rsidR="00872C68" w:rsidRPr="00724676" w:rsidRDefault="00872C68" w:rsidP="00872C68">
      <w:pPr>
        <w:shd w:val="clear" w:color="auto" w:fill="FFFFFF"/>
        <w:spacing w:after="200" w:line="240" w:lineRule="auto"/>
        <w:rPr>
          <w:rFonts w:ascii="Calibri" w:eastAsia="Calibri" w:hAnsi="Calibri" w:cs="Calibri"/>
          <w:b/>
          <w:bCs/>
          <w:noProof/>
          <w:kern w:val="0"/>
          <w:lang w:val="en-GB"/>
          <w14:ligatures w14:val="none"/>
        </w:rPr>
      </w:pPr>
    </w:p>
    <w:tbl>
      <w:tblPr>
        <w:tblStyle w:val="TableGrid1"/>
        <w:tblW w:w="14754" w:type="dxa"/>
        <w:tblInd w:w="-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16"/>
        <w:gridCol w:w="6"/>
        <w:gridCol w:w="5808"/>
        <w:gridCol w:w="1562"/>
        <w:gridCol w:w="6662"/>
      </w:tblGrid>
      <w:tr w:rsidR="00F34C75" w:rsidRPr="00BB5286" w14:paraId="5E0B1564" w14:textId="77777777" w:rsidTr="00A27F70">
        <w:trPr>
          <w:trHeight w:val="562"/>
        </w:trPr>
        <w:tc>
          <w:tcPr>
            <w:tcW w:w="6528" w:type="dxa"/>
            <w:gridSpan w:val="3"/>
            <w:vAlign w:val="center"/>
          </w:tcPr>
          <w:p w14:paraId="6FD17EC7" w14:textId="77777777" w:rsidR="00D90410" w:rsidRPr="00BB5286" w:rsidRDefault="00D90410" w:rsidP="003E7CF4">
            <w:pPr>
              <w:spacing w:line="276" w:lineRule="auto"/>
              <w:jc w:val="center"/>
              <w:rPr>
                <w:rFonts w:eastAsia="Calibri" w:cs="Times New Roman"/>
                <w:noProof/>
                <w:sz w:val="22"/>
                <w:lang w:val="en-GB"/>
              </w:rPr>
            </w:pPr>
            <w:r w:rsidRPr="00BB5286">
              <w:rPr>
                <w:rFonts w:eastAsia="Calibri" w:cs="Times New Roman"/>
                <w:b/>
                <w:noProof/>
                <w:sz w:val="22"/>
                <w:lang w:val="en-GB"/>
              </w:rPr>
              <w:t>Suggestions</w:t>
            </w:r>
          </w:p>
        </w:tc>
        <w:tc>
          <w:tcPr>
            <w:tcW w:w="1559" w:type="dxa"/>
            <w:vAlign w:val="center"/>
          </w:tcPr>
          <w:p w14:paraId="52F98C35" w14:textId="77777777" w:rsidR="00D90410" w:rsidRPr="00BB5286" w:rsidRDefault="00D90410" w:rsidP="003E7CF4">
            <w:pPr>
              <w:spacing w:line="276" w:lineRule="auto"/>
              <w:jc w:val="center"/>
              <w:rPr>
                <w:rFonts w:eastAsia="Calibri" w:cs="Times New Roman"/>
                <w:noProof/>
                <w:sz w:val="22"/>
                <w:lang w:val="en-GB"/>
              </w:rPr>
            </w:pPr>
            <w:r w:rsidRPr="00BB5286">
              <w:rPr>
                <w:rFonts w:eastAsia="Calibri" w:cs="Times New Roman"/>
                <w:b/>
                <w:noProof/>
                <w:sz w:val="22"/>
                <w:lang w:val="en-GB"/>
              </w:rPr>
              <w:t>Proponents</w:t>
            </w:r>
          </w:p>
        </w:tc>
        <w:tc>
          <w:tcPr>
            <w:tcW w:w="6662" w:type="dxa"/>
            <w:vAlign w:val="center"/>
          </w:tcPr>
          <w:p w14:paraId="4A84A718" w14:textId="77777777" w:rsidR="00D90410" w:rsidRPr="00BB5286" w:rsidRDefault="00D90410" w:rsidP="003E7CF4">
            <w:pPr>
              <w:spacing w:line="276" w:lineRule="auto"/>
              <w:jc w:val="center"/>
              <w:rPr>
                <w:rFonts w:eastAsia="Calibri" w:cs="Times New Roman"/>
                <w:noProof/>
                <w:sz w:val="22"/>
                <w:lang w:val="en-GB"/>
              </w:rPr>
            </w:pPr>
            <w:r w:rsidRPr="00BB5286">
              <w:rPr>
                <w:rFonts w:eastAsia="Calibri" w:cs="Times New Roman"/>
                <w:b/>
                <w:noProof/>
                <w:sz w:val="22"/>
                <w:lang w:val="en-GB"/>
              </w:rPr>
              <w:t>Assessment</w:t>
            </w:r>
          </w:p>
        </w:tc>
      </w:tr>
      <w:tr w:rsidR="00F34C75" w:rsidRPr="00BB5286" w14:paraId="46173F12" w14:textId="77777777" w:rsidTr="00A27F70">
        <w:trPr>
          <w:trHeight w:val="490"/>
        </w:trPr>
        <w:tc>
          <w:tcPr>
            <w:tcW w:w="14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99"/>
            <w:vAlign w:val="center"/>
          </w:tcPr>
          <w:p w14:paraId="6A4076B7" w14:textId="77777777" w:rsidR="00872C68" w:rsidRPr="00BB5286" w:rsidRDefault="00872C68" w:rsidP="003E7CF4">
            <w:pPr>
              <w:spacing w:before="120" w:after="120" w:line="276" w:lineRule="auto"/>
              <w:jc w:val="center"/>
              <w:rPr>
                <w:rFonts w:eastAsia="Calibri" w:cs="Times New Roman"/>
                <w:noProof/>
                <w:color w:val="FFFFFF"/>
                <w:sz w:val="22"/>
                <w:lang w:val="en-GB"/>
              </w:rPr>
            </w:pPr>
            <w:r w:rsidRPr="00BB5286">
              <w:rPr>
                <w:rFonts w:eastAsia="Calibri" w:cs="Times New Roman"/>
                <w:b/>
                <w:noProof/>
                <w:color w:val="FFFFFF"/>
                <w:sz w:val="22"/>
                <w:lang w:val="en-GB"/>
              </w:rPr>
              <w:t>Definitions and minimum requirements</w:t>
            </w:r>
          </w:p>
        </w:tc>
      </w:tr>
      <w:tr w:rsidR="00F34C75" w:rsidRPr="00BB5286" w14:paraId="37CEFA64" w14:textId="77777777" w:rsidTr="00A27F70">
        <w:trPr>
          <w:trHeight w:val="300"/>
        </w:trPr>
        <w:tc>
          <w:tcPr>
            <w:tcW w:w="716" w:type="dxa"/>
            <w:vAlign w:val="center"/>
          </w:tcPr>
          <w:p w14:paraId="04DB614C"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1</w:t>
            </w:r>
          </w:p>
        </w:tc>
        <w:tc>
          <w:tcPr>
            <w:tcW w:w="5812" w:type="dxa"/>
            <w:gridSpan w:val="2"/>
            <w:vAlign w:val="center"/>
          </w:tcPr>
          <w:p w14:paraId="6F304639" w14:textId="197B8482"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 xml:space="preserve">Permanent </w:t>
            </w:r>
            <w:r w:rsidRPr="00BB5286">
              <w:rPr>
                <w:rFonts w:eastAsia="Calibri" w:cs="Times New Roman"/>
                <w:b/>
                <w:noProof/>
                <w:sz w:val="22"/>
                <w:lang w:val="en-GB"/>
              </w:rPr>
              <w:t>grassland:</w:t>
            </w:r>
            <w:r w:rsidRPr="00BB5286">
              <w:rPr>
                <w:rFonts w:eastAsia="Calibri" w:cs="Times New Roman"/>
                <w:noProof/>
                <w:sz w:val="22"/>
                <w:lang w:val="en-GB"/>
              </w:rPr>
              <w:t xml:space="preserve"> </w:t>
            </w:r>
            <w:r w:rsidR="001A4F78" w:rsidRPr="00BB5286">
              <w:rPr>
                <w:rFonts w:eastAsia="Calibri" w:cs="Times New Roman"/>
                <w:noProof/>
                <w:sz w:val="22"/>
                <w:lang w:val="en-GB"/>
              </w:rPr>
              <w:t>greater</w:t>
            </w:r>
            <w:r w:rsidRPr="00BB5286">
              <w:rPr>
                <w:rFonts w:eastAsia="Calibri" w:cs="Times New Roman"/>
                <w:noProof/>
                <w:sz w:val="22"/>
                <w:lang w:val="en-GB"/>
              </w:rPr>
              <w:t xml:space="preserve"> flexibility </w:t>
            </w:r>
            <w:r w:rsidR="00797D9D" w:rsidRPr="00BB5286">
              <w:rPr>
                <w:rFonts w:eastAsia="Calibri" w:cs="Times New Roman"/>
                <w:noProof/>
                <w:sz w:val="22"/>
                <w:lang w:val="en-GB"/>
              </w:rPr>
              <w:t xml:space="preserve">for </w:t>
            </w:r>
            <w:r w:rsidRPr="00BB5286">
              <w:rPr>
                <w:rFonts w:eastAsia="Calibri" w:cs="Times New Roman"/>
                <w:noProof/>
                <w:sz w:val="22"/>
                <w:lang w:val="en-GB"/>
              </w:rPr>
              <w:t xml:space="preserve">Member States to define </w:t>
            </w:r>
            <w:r w:rsidR="00E7522F" w:rsidRPr="00BB5286">
              <w:rPr>
                <w:rFonts w:eastAsia="Calibri" w:cs="Times New Roman"/>
                <w:noProof/>
                <w:sz w:val="22"/>
                <w:lang w:val="en-GB"/>
              </w:rPr>
              <w:t xml:space="preserve">the </w:t>
            </w:r>
            <w:r w:rsidRPr="00BB5286">
              <w:rPr>
                <w:rFonts w:eastAsia="Calibri" w:cs="Times New Roman"/>
                <w:noProof/>
                <w:sz w:val="22"/>
                <w:lang w:val="en-GB"/>
              </w:rPr>
              <w:t>onset of permanent grassland/pasture incl</w:t>
            </w:r>
            <w:r w:rsidR="00E7522F" w:rsidRPr="00BB5286">
              <w:rPr>
                <w:rFonts w:eastAsia="Calibri" w:cs="Times New Roman"/>
                <w:noProof/>
                <w:sz w:val="22"/>
                <w:lang w:val="en-GB"/>
              </w:rPr>
              <w:t>uding</w:t>
            </w:r>
            <w:r w:rsidRPr="00BB5286">
              <w:rPr>
                <w:rFonts w:eastAsia="Calibri" w:cs="Times New Roman"/>
                <w:noProof/>
                <w:sz w:val="22"/>
                <w:lang w:val="en-GB"/>
              </w:rPr>
              <w:t xml:space="preserve"> reference dates. No mapping of ineligible features on grasslands (e.g. bushes). All species typically found on grasslands belong to permanent grassland.</w:t>
            </w:r>
          </w:p>
        </w:tc>
        <w:tc>
          <w:tcPr>
            <w:tcW w:w="1559" w:type="dxa"/>
            <w:vAlign w:val="center"/>
          </w:tcPr>
          <w:p w14:paraId="2A02D997"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DE</w:t>
            </w:r>
          </w:p>
        </w:tc>
        <w:tc>
          <w:tcPr>
            <w:tcW w:w="6662" w:type="dxa"/>
          </w:tcPr>
          <w:p w14:paraId="4A624A73" w14:textId="67DB21E3" w:rsidR="00872C68" w:rsidRPr="00BB5286" w:rsidRDefault="00872C68" w:rsidP="003E7CF4">
            <w:pPr>
              <w:spacing w:before="20" w:after="20" w:line="259" w:lineRule="auto"/>
              <w:jc w:val="both"/>
              <w:rPr>
                <w:rFonts w:eastAsia="Calibri" w:cs="Times New Roman"/>
                <w:noProof/>
                <w:sz w:val="22"/>
                <w:lang w:val="en-GB"/>
              </w:rPr>
            </w:pPr>
            <w:r w:rsidRPr="00BB5286">
              <w:rPr>
                <w:rFonts w:eastAsia="Calibri" w:cs="Times New Roman"/>
                <w:noProof/>
                <w:sz w:val="22"/>
                <w:lang w:val="en-GB"/>
              </w:rPr>
              <w:t xml:space="preserve">The definition of permanent grasslands, including reference dates, is already very flexible as Member States set the definition of permanent grasslands in their CAP </w:t>
            </w:r>
            <w:r w:rsidR="76ABDF2B" w:rsidRPr="00BB5286">
              <w:rPr>
                <w:rFonts w:eastAsia="Calibri" w:cs="Times New Roman"/>
                <w:noProof/>
                <w:sz w:val="22"/>
                <w:lang w:val="en-GB"/>
              </w:rPr>
              <w:t>P</w:t>
            </w:r>
            <w:r w:rsidRPr="00BB5286">
              <w:rPr>
                <w:rFonts w:eastAsia="Calibri" w:cs="Times New Roman"/>
                <w:noProof/>
                <w:sz w:val="22"/>
                <w:lang w:val="en-GB"/>
              </w:rPr>
              <w:t xml:space="preserve">lans within a framework definition laid down in </w:t>
            </w:r>
            <w:r w:rsidR="307D345E" w:rsidRPr="00BB5286">
              <w:rPr>
                <w:rFonts w:eastAsia="Calibri" w:cs="Times New Roman"/>
                <w:noProof/>
                <w:sz w:val="22"/>
                <w:lang w:val="en-GB"/>
              </w:rPr>
              <w:t xml:space="preserve">the CSP </w:t>
            </w:r>
            <w:r w:rsidRPr="00BB5286">
              <w:rPr>
                <w:rFonts w:eastAsia="Calibri" w:cs="Times New Roman"/>
                <w:noProof/>
                <w:sz w:val="22"/>
                <w:lang w:val="en-GB"/>
              </w:rPr>
              <w:t xml:space="preserve">Regulation. It is for Member States to define the plant species to better reflect local specificities, including bushes when they are not predominant and do not significantly hamper the performance of the agricultural activity (in accordance with </w:t>
            </w:r>
            <w:r w:rsidRPr="00BB5286">
              <w:rPr>
                <w:rFonts w:eastAsia="Calibri" w:cs="Times New Roman"/>
                <w:i/>
                <w:noProof/>
                <w:sz w:val="22"/>
                <w:lang w:val="en-GB"/>
              </w:rPr>
              <w:t xml:space="preserve">Article 4(4)(b) </w:t>
            </w:r>
            <w:r w:rsidRPr="00BB5286">
              <w:rPr>
                <w:rFonts w:eastAsia="Calibri" w:cs="Times New Roman"/>
                <w:noProof/>
                <w:sz w:val="22"/>
                <w:lang w:val="en-GB"/>
              </w:rPr>
              <w:t xml:space="preserve">of </w:t>
            </w:r>
            <w:r w:rsidR="36AA83F7" w:rsidRPr="00BB5286">
              <w:rPr>
                <w:rFonts w:eastAsia="Calibri" w:cs="Times New Roman"/>
                <w:noProof/>
                <w:sz w:val="22"/>
                <w:lang w:val="en-GB"/>
              </w:rPr>
              <w:t xml:space="preserve">the CSP </w:t>
            </w:r>
            <w:r w:rsidRPr="00BB5286">
              <w:rPr>
                <w:rFonts w:eastAsia="Calibri" w:cs="Times New Roman"/>
                <w:noProof/>
                <w:sz w:val="22"/>
                <w:lang w:val="en-GB"/>
              </w:rPr>
              <w:t>Regulation). The mapping is necessary to ensure that ineligible features are not predominant.</w:t>
            </w:r>
          </w:p>
        </w:tc>
      </w:tr>
      <w:tr w:rsidR="002E2306" w:rsidRPr="00BB5286" w14:paraId="67FAE5D0" w14:textId="77777777" w:rsidTr="00A27F70">
        <w:trPr>
          <w:trHeight w:val="1275"/>
        </w:trPr>
        <w:tc>
          <w:tcPr>
            <w:tcW w:w="716" w:type="dxa"/>
            <w:vAlign w:val="center"/>
          </w:tcPr>
          <w:p w14:paraId="1A68954A"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2</w:t>
            </w:r>
          </w:p>
        </w:tc>
        <w:tc>
          <w:tcPr>
            <w:tcW w:w="5812" w:type="dxa"/>
            <w:gridSpan w:val="2"/>
          </w:tcPr>
          <w:p w14:paraId="3933EBE2" w14:textId="5CAFE74A"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Permanent grassland:</w:t>
            </w:r>
            <w:r w:rsidRPr="00BB5286">
              <w:rPr>
                <w:rFonts w:eastAsia="Calibri" w:cs="Times New Roman"/>
                <w:noProof/>
                <w:sz w:val="22"/>
                <w:lang w:val="en-GB"/>
              </w:rPr>
              <w:t xml:space="preserve"> </w:t>
            </w:r>
            <w:r w:rsidR="2BDCBE1C" w:rsidRPr="00BB5286">
              <w:rPr>
                <w:rFonts w:eastAsia="Calibri" w:cs="Times New Roman"/>
                <w:noProof/>
                <w:sz w:val="22"/>
                <w:lang w:val="en-GB"/>
              </w:rPr>
              <w:t>c</w:t>
            </w:r>
            <w:r w:rsidRPr="00BB5286">
              <w:rPr>
                <w:rFonts w:eastAsia="Calibri" w:cs="Times New Roman"/>
                <w:noProof/>
                <w:sz w:val="22"/>
                <w:lang w:val="en-GB"/>
              </w:rPr>
              <w:t>all to introduce a buffer tolerance for small patches of permanent grassland that lie within arable land. They should be classified with the same crop as the surrounding arable land.</w:t>
            </w:r>
          </w:p>
        </w:tc>
        <w:tc>
          <w:tcPr>
            <w:tcW w:w="1559" w:type="dxa"/>
            <w:vAlign w:val="center"/>
          </w:tcPr>
          <w:p w14:paraId="17ED1931"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 FI</w:t>
            </w:r>
          </w:p>
        </w:tc>
        <w:tc>
          <w:tcPr>
            <w:tcW w:w="6662" w:type="dxa"/>
            <w:vAlign w:val="center"/>
          </w:tcPr>
          <w:p w14:paraId="7DEC2957" w14:textId="6E252C3E" w:rsidR="00872C68" w:rsidRPr="00BB5286" w:rsidRDefault="004818D2"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It is already possible to a</w:t>
            </w:r>
            <w:r w:rsidR="00872C68" w:rsidRPr="00BB5286">
              <w:rPr>
                <w:rFonts w:eastAsia="Calibri" w:cs="Times New Roman"/>
                <w:noProof/>
                <w:sz w:val="22"/>
                <w:lang w:val="en-GB"/>
              </w:rPr>
              <w:t xml:space="preserve">ddress this issue within the current </w:t>
            </w:r>
            <w:r w:rsidR="00EE4D42" w:rsidRPr="00BB5286">
              <w:rPr>
                <w:rFonts w:eastAsia="Calibri" w:cs="Times New Roman"/>
                <w:noProof/>
                <w:sz w:val="22"/>
                <w:lang w:val="en-GB"/>
              </w:rPr>
              <w:t xml:space="preserve">EU </w:t>
            </w:r>
            <w:r w:rsidR="00872C68" w:rsidRPr="00BB5286">
              <w:rPr>
                <w:rFonts w:eastAsia="Calibri" w:cs="Times New Roman"/>
                <w:noProof/>
                <w:sz w:val="22"/>
                <w:lang w:val="en-GB"/>
              </w:rPr>
              <w:t xml:space="preserve">CAP framework. Small areas inside arable land may be classified as ‘other landscape feature’ in accordance with </w:t>
            </w:r>
            <w:r w:rsidR="00872C68" w:rsidRPr="00BB5286">
              <w:rPr>
                <w:rFonts w:eastAsia="Calibri" w:cs="Times New Roman"/>
                <w:i/>
                <w:noProof/>
                <w:sz w:val="22"/>
                <w:lang w:val="en-GB"/>
              </w:rPr>
              <w:t xml:space="preserve">Article 4(4)(b) </w:t>
            </w:r>
            <w:r w:rsidR="00872C68" w:rsidRPr="00BB5286">
              <w:rPr>
                <w:rFonts w:eastAsia="Calibri" w:cs="Times New Roman"/>
                <w:noProof/>
                <w:sz w:val="22"/>
                <w:lang w:val="en-GB"/>
              </w:rPr>
              <w:t xml:space="preserve">of </w:t>
            </w:r>
            <w:r w:rsidR="4FFBF1EB" w:rsidRPr="00BB5286">
              <w:rPr>
                <w:rFonts w:eastAsia="Calibri" w:cs="Times New Roman"/>
                <w:noProof/>
                <w:sz w:val="22"/>
                <w:lang w:val="en-GB"/>
              </w:rPr>
              <w:t xml:space="preserve">the CSP </w:t>
            </w:r>
            <w:r w:rsidR="00872C68" w:rsidRPr="00BB5286">
              <w:rPr>
                <w:rFonts w:eastAsia="Calibri" w:cs="Times New Roman"/>
                <w:noProof/>
                <w:sz w:val="22"/>
                <w:lang w:val="en-GB"/>
              </w:rPr>
              <w:t>Regulation.</w:t>
            </w:r>
          </w:p>
        </w:tc>
      </w:tr>
      <w:tr w:rsidR="00F34C75" w:rsidRPr="00BB5286" w14:paraId="5193BAD5" w14:textId="77777777" w:rsidTr="00A27F70">
        <w:trPr>
          <w:trHeight w:val="1692"/>
        </w:trPr>
        <w:tc>
          <w:tcPr>
            <w:tcW w:w="716" w:type="dxa"/>
            <w:vAlign w:val="center"/>
          </w:tcPr>
          <w:p w14:paraId="1F4F5C78"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lastRenderedPageBreak/>
              <w:t>3</w:t>
            </w:r>
          </w:p>
        </w:tc>
        <w:tc>
          <w:tcPr>
            <w:tcW w:w="5812" w:type="dxa"/>
            <w:gridSpan w:val="2"/>
            <w:vAlign w:val="center"/>
          </w:tcPr>
          <w:p w14:paraId="429B1D64" w14:textId="7F63145C"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 xml:space="preserve">Eligible </w:t>
            </w:r>
            <w:r w:rsidRPr="00BB5286">
              <w:rPr>
                <w:rFonts w:eastAsia="Calibri" w:cs="Times New Roman"/>
                <w:b/>
                <w:noProof/>
                <w:sz w:val="22"/>
                <w:lang w:val="en-GB"/>
              </w:rPr>
              <w:t>hectare:</w:t>
            </w:r>
            <w:r w:rsidRPr="00BB5286">
              <w:rPr>
                <w:rFonts w:eastAsia="Calibri" w:cs="Times New Roman"/>
                <w:noProof/>
                <w:sz w:val="22"/>
                <w:lang w:val="en-GB"/>
              </w:rPr>
              <w:t xml:space="preserve"> </w:t>
            </w:r>
            <w:r w:rsidR="5EB11A70" w:rsidRPr="00BB5286">
              <w:rPr>
                <w:rFonts w:eastAsia="Calibri" w:cs="Times New Roman"/>
                <w:noProof/>
                <w:sz w:val="22"/>
                <w:lang w:val="en-GB"/>
              </w:rPr>
              <w:t>c</w:t>
            </w:r>
            <w:r w:rsidRPr="00BB5286">
              <w:rPr>
                <w:rFonts w:eastAsia="Calibri" w:cs="Times New Roman"/>
                <w:noProof/>
                <w:sz w:val="22"/>
                <w:lang w:val="en-GB"/>
              </w:rPr>
              <w:t xml:space="preserve">all to reduce </w:t>
            </w:r>
            <w:r w:rsidR="004818D2" w:rsidRPr="00BB5286">
              <w:rPr>
                <w:rFonts w:eastAsia="Calibri" w:cs="Times New Roman"/>
                <w:noProof/>
                <w:sz w:val="22"/>
                <w:lang w:val="en-GB"/>
              </w:rPr>
              <w:t xml:space="preserve">the </w:t>
            </w:r>
            <w:r w:rsidRPr="00BB5286">
              <w:rPr>
                <w:rFonts w:eastAsia="Calibri" w:cs="Times New Roman"/>
                <w:noProof/>
                <w:sz w:val="22"/>
                <w:lang w:val="en-GB"/>
              </w:rPr>
              <w:t xml:space="preserve">complexity of </w:t>
            </w:r>
            <w:r w:rsidR="004818D2" w:rsidRPr="00BB5286">
              <w:rPr>
                <w:rFonts w:eastAsia="Calibri" w:cs="Times New Roman"/>
                <w:noProof/>
                <w:sz w:val="22"/>
                <w:lang w:val="en-GB"/>
              </w:rPr>
              <w:t xml:space="preserve">the </w:t>
            </w:r>
            <w:r w:rsidRPr="00BB5286">
              <w:rPr>
                <w:rFonts w:eastAsia="Calibri" w:cs="Times New Roman"/>
                <w:noProof/>
                <w:sz w:val="22"/>
                <w:lang w:val="en-GB"/>
              </w:rPr>
              <w:t>eligible hectare definition for areas covered by non-productive areas and landscape features by allowing them to predominate in the area for biodiversity purposes</w:t>
            </w:r>
            <w:r w:rsidR="21393CEE" w:rsidRPr="00BB5286">
              <w:rPr>
                <w:rFonts w:eastAsia="Calibri" w:cs="Times New Roman"/>
                <w:noProof/>
                <w:sz w:val="22"/>
                <w:lang w:val="en-GB"/>
              </w:rPr>
              <w:t>.</w:t>
            </w:r>
            <w:r w:rsidRPr="00BB5286">
              <w:rPr>
                <w:rFonts w:eastAsia="Calibri" w:cs="Times New Roman"/>
                <w:noProof/>
                <w:sz w:val="22"/>
                <w:lang w:val="en-GB"/>
              </w:rPr>
              <w:t xml:space="preserve"> </w:t>
            </w:r>
            <w:r w:rsidRPr="00BB5286">
              <w:rPr>
                <w:rFonts w:eastAsia="Calibri" w:cs="Times New Roman"/>
                <w:i/>
                <w:noProof/>
                <w:sz w:val="22"/>
                <w:lang w:val="en-GB"/>
              </w:rPr>
              <w:t>Article 4(4)(b)</w:t>
            </w:r>
            <w:r w:rsidRPr="00BB5286">
              <w:rPr>
                <w:rFonts w:eastAsia="Calibri" w:cs="Times New Roman"/>
                <w:noProof/>
                <w:sz w:val="22"/>
                <w:lang w:val="en-GB"/>
              </w:rPr>
              <w:t xml:space="preserve"> of </w:t>
            </w:r>
            <w:r w:rsidR="1D066CA1" w:rsidRPr="00BB5286">
              <w:rPr>
                <w:rFonts w:eastAsia="Calibri" w:cs="Times New Roman"/>
                <w:noProof/>
                <w:sz w:val="22"/>
                <w:lang w:val="en-GB"/>
              </w:rPr>
              <w:t>the CSP</w:t>
            </w:r>
            <w:r w:rsidR="1D066CA1" w:rsidRPr="00BB5286">
              <w:rPr>
                <w:rFonts w:eastAsia="Calibri" w:cs="Times New Roman"/>
                <w:i/>
                <w:iCs/>
                <w:noProof/>
                <w:sz w:val="22"/>
                <w:lang w:val="en-GB"/>
              </w:rPr>
              <w:t xml:space="preserve"> </w:t>
            </w:r>
            <w:r w:rsidRPr="00BB5286">
              <w:rPr>
                <w:rFonts w:eastAsia="Calibri" w:cs="Times New Roman"/>
                <w:noProof/>
                <w:sz w:val="22"/>
                <w:lang w:val="en-GB"/>
              </w:rPr>
              <w:t>Regulation.</w:t>
            </w:r>
          </w:p>
        </w:tc>
        <w:tc>
          <w:tcPr>
            <w:tcW w:w="1559" w:type="dxa"/>
            <w:vAlign w:val="center"/>
          </w:tcPr>
          <w:p w14:paraId="53C36F33"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w:t>
            </w:r>
          </w:p>
        </w:tc>
        <w:tc>
          <w:tcPr>
            <w:tcW w:w="6662" w:type="dxa"/>
            <w:vAlign w:val="center"/>
          </w:tcPr>
          <w:p w14:paraId="5E6E893C" w14:textId="2C7D2949"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For permanent grassland, </w:t>
            </w:r>
            <w:r w:rsidR="5F12CFFA" w:rsidRPr="00BB5286">
              <w:rPr>
                <w:rFonts w:eastAsia="Calibri" w:cs="Times New Roman"/>
                <w:noProof/>
                <w:sz w:val="22"/>
                <w:lang w:val="en-GB"/>
              </w:rPr>
              <w:t xml:space="preserve">the CSP </w:t>
            </w:r>
            <w:r w:rsidRPr="00BB5286">
              <w:rPr>
                <w:rFonts w:eastAsia="Calibri" w:cs="Times New Roman"/>
                <w:noProof/>
                <w:sz w:val="22"/>
                <w:lang w:val="en-GB"/>
              </w:rPr>
              <w:t xml:space="preserve">Regulation </w:t>
            </w:r>
            <w:r w:rsidR="004818D2" w:rsidRPr="00BB5286">
              <w:rPr>
                <w:rFonts w:eastAsia="Calibri" w:cs="Times New Roman"/>
                <w:noProof/>
                <w:sz w:val="22"/>
                <w:lang w:val="en-GB"/>
              </w:rPr>
              <w:t xml:space="preserve">makes it possible </w:t>
            </w:r>
            <w:r w:rsidRPr="00BB5286">
              <w:rPr>
                <w:rFonts w:eastAsia="Calibri" w:cs="Times New Roman"/>
                <w:noProof/>
                <w:sz w:val="22"/>
                <w:lang w:val="en-GB"/>
              </w:rPr>
              <w:t>to apply fixed reduction coefficients to determine the area considered eligible, even if the ineligible features are predominant. Lessons learned from the current period will feed</w:t>
            </w:r>
            <w:r w:rsidR="004818D2" w:rsidRPr="00BB5286">
              <w:rPr>
                <w:rFonts w:eastAsia="Calibri" w:cs="Times New Roman"/>
                <w:noProof/>
                <w:sz w:val="22"/>
                <w:lang w:val="en-GB"/>
              </w:rPr>
              <w:t xml:space="preserve"> into</w:t>
            </w:r>
            <w:r w:rsidRPr="00BB5286">
              <w:rPr>
                <w:rFonts w:eastAsia="Calibri" w:cs="Times New Roman"/>
                <w:noProof/>
                <w:sz w:val="22"/>
                <w:lang w:val="en-GB"/>
              </w:rPr>
              <w:t xml:space="preserve"> the reflection on the post-2027 CAP.</w:t>
            </w:r>
          </w:p>
        </w:tc>
      </w:tr>
      <w:tr w:rsidR="00F34C75" w:rsidRPr="00BB5286" w14:paraId="1CD11635" w14:textId="77777777" w:rsidTr="00A27F70">
        <w:trPr>
          <w:trHeight w:val="1685"/>
        </w:trPr>
        <w:tc>
          <w:tcPr>
            <w:tcW w:w="716" w:type="dxa"/>
            <w:vAlign w:val="center"/>
          </w:tcPr>
          <w:p w14:paraId="2B7356C5"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4</w:t>
            </w:r>
          </w:p>
        </w:tc>
        <w:tc>
          <w:tcPr>
            <w:tcW w:w="5812" w:type="dxa"/>
            <w:gridSpan w:val="2"/>
            <w:vAlign w:val="center"/>
          </w:tcPr>
          <w:p w14:paraId="02D491CC" w14:textId="1CEE3600"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Livestock farming:</w:t>
            </w:r>
            <w:r w:rsidRPr="00BB5286">
              <w:rPr>
                <w:rFonts w:eastAsia="Calibri" w:cs="Times New Roman"/>
                <w:noProof/>
                <w:sz w:val="22"/>
                <w:lang w:val="en-GB"/>
              </w:rPr>
              <w:t xml:space="preserve"> </w:t>
            </w:r>
            <w:r w:rsidR="221749D2" w:rsidRPr="00BB5286">
              <w:rPr>
                <w:rFonts w:eastAsia="Calibri" w:cs="Times New Roman"/>
                <w:noProof/>
                <w:sz w:val="22"/>
                <w:lang w:val="en-GB"/>
              </w:rPr>
              <w:t>p</w:t>
            </w:r>
            <w:r w:rsidRPr="00BB5286">
              <w:rPr>
                <w:rFonts w:eastAsia="Calibri" w:cs="Times New Roman"/>
                <w:noProof/>
                <w:sz w:val="22"/>
                <w:lang w:val="en-GB"/>
              </w:rPr>
              <w:t>articular attention must be given to pastoral livestock farming, which must benefit from more flexibility on the eligibility of pastoral areas, in particular authori</w:t>
            </w:r>
            <w:r w:rsidR="004818D2" w:rsidRPr="00BB5286">
              <w:rPr>
                <w:rFonts w:eastAsia="Calibri" w:cs="Times New Roman"/>
                <w:noProof/>
                <w:sz w:val="22"/>
                <w:lang w:val="en-GB"/>
              </w:rPr>
              <w:t>s</w:t>
            </w:r>
            <w:r w:rsidRPr="00BB5286">
              <w:rPr>
                <w:rFonts w:eastAsia="Calibri" w:cs="Times New Roman"/>
                <w:noProof/>
                <w:sz w:val="22"/>
                <w:lang w:val="en-GB"/>
              </w:rPr>
              <w:t>ing those with woody resources.</w:t>
            </w:r>
          </w:p>
        </w:tc>
        <w:tc>
          <w:tcPr>
            <w:tcW w:w="1559" w:type="dxa"/>
            <w:vAlign w:val="center"/>
          </w:tcPr>
          <w:p w14:paraId="2FE9E480"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w:t>
            </w:r>
          </w:p>
        </w:tc>
        <w:tc>
          <w:tcPr>
            <w:tcW w:w="6662" w:type="dxa"/>
            <w:vAlign w:val="center"/>
          </w:tcPr>
          <w:p w14:paraId="3AEFCE7B" w14:textId="126B4B69"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Member States have substantially more flexibility in determining eligibility rules for direct payments</w:t>
            </w:r>
            <w:r w:rsidR="004818D2" w:rsidRPr="00BB5286">
              <w:rPr>
                <w:rFonts w:eastAsia="Calibri" w:cs="Times New Roman"/>
                <w:noProof/>
                <w:sz w:val="22"/>
                <w:lang w:val="en-GB"/>
              </w:rPr>
              <w:t>,</w:t>
            </w:r>
            <w:r w:rsidRPr="00BB5286">
              <w:rPr>
                <w:rFonts w:eastAsia="Calibri" w:cs="Times New Roman"/>
                <w:noProof/>
                <w:sz w:val="22"/>
                <w:lang w:val="en-GB"/>
              </w:rPr>
              <w:t xml:space="preserve"> including for woody pastures</w:t>
            </w:r>
            <w:r w:rsidR="004818D2" w:rsidRPr="00BB5286">
              <w:rPr>
                <w:rFonts w:eastAsia="Calibri" w:cs="Times New Roman"/>
                <w:noProof/>
                <w:sz w:val="22"/>
                <w:lang w:val="en-GB"/>
              </w:rPr>
              <w:t>,</w:t>
            </w:r>
            <w:r w:rsidRPr="00BB5286">
              <w:rPr>
                <w:rFonts w:eastAsia="Calibri" w:cs="Times New Roman"/>
                <w:noProof/>
                <w:sz w:val="22"/>
                <w:lang w:val="en-GB"/>
              </w:rPr>
              <w:t xml:space="preserve"> compared to rules before the 2021 CAP reform. Lessons learnt from the current period will feed </w:t>
            </w:r>
            <w:r w:rsidR="004818D2" w:rsidRPr="00BB5286">
              <w:rPr>
                <w:rFonts w:eastAsia="Calibri" w:cs="Times New Roman"/>
                <w:noProof/>
                <w:sz w:val="22"/>
                <w:lang w:val="en-GB"/>
              </w:rPr>
              <w:t xml:space="preserve">into </w:t>
            </w:r>
            <w:r w:rsidRPr="00BB5286">
              <w:rPr>
                <w:rFonts w:eastAsia="Calibri" w:cs="Times New Roman"/>
                <w:noProof/>
                <w:sz w:val="22"/>
                <w:lang w:val="en-GB"/>
              </w:rPr>
              <w:t>the reflection on the post-2027 CAP.</w:t>
            </w:r>
          </w:p>
        </w:tc>
      </w:tr>
      <w:tr w:rsidR="00F34C75" w:rsidRPr="00BB5286" w14:paraId="7E1F7C50" w14:textId="77777777" w:rsidTr="00A27F70">
        <w:trPr>
          <w:trHeight w:val="1679"/>
        </w:trPr>
        <w:tc>
          <w:tcPr>
            <w:tcW w:w="716" w:type="dxa"/>
            <w:vAlign w:val="center"/>
          </w:tcPr>
          <w:p w14:paraId="1C4DBAB6"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5</w:t>
            </w:r>
          </w:p>
        </w:tc>
        <w:tc>
          <w:tcPr>
            <w:tcW w:w="5812" w:type="dxa"/>
            <w:gridSpan w:val="2"/>
            <w:vAlign w:val="center"/>
          </w:tcPr>
          <w:p w14:paraId="6D008838" w14:textId="740B6360" w:rsidR="00872C68" w:rsidRPr="00BB5286" w:rsidRDefault="00872C68" w:rsidP="001061AF">
            <w:pPr>
              <w:spacing w:after="60" w:line="259" w:lineRule="auto"/>
              <w:jc w:val="both"/>
              <w:rPr>
                <w:rFonts w:eastAsia="Calibri" w:cs="Times New Roman"/>
                <w:noProof/>
                <w:color w:val="0078D4"/>
                <w:sz w:val="22"/>
                <w:lang w:val="en-GB"/>
              </w:rPr>
            </w:pPr>
            <w:r w:rsidRPr="00BB5286">
              <w:rPr>
                <w:rFonts w:eastAsia="Calibri" w:cs="Times New Roman"/>
                <w:b/>
                <w:bCs/>
                <w:noProof/>
                <w:sz w:val="22"/>
                <w:lang w:val="en-GB"/>
              </w:rPr>
              <w:t>Active farmer:</w:t>
            </w:r>
            <w:r w:rsidRPr="00BB5286">
              <w:rPr>
                <w:rFonts w:eastAsia="Calibri" w:cs="Times New Roman"/>
                <w:noProof/>
                <w:sz w:val="22"/>
                <w:lang w:val="en-GB"/>
              </w:rPr>
              <w:t xml:space="preserve"> </w:t>
            </w:r>
            <w:r w:rsidR="68241E7E" w:rsidRPr="00BB5286">
              <w:rPr>
                <w:rFonts w:eastAsia="Calibri" w:cs="Times New Roman"/>
                <w:noProof/>
                <w:sz w:val="22"/>
                <w:lang w:val="en-GB"/>
              </w:rPr>
              <w:t>r</w:t>
            </w:r>
            <w:r w:rsidRPr="00BB5286">
              <w:rPr>
                <w:rFonts w:eastAsia="Calibri" w:cs="Times New Roman"/>
                <w:noProof/>
                <w:sz w:val="22"/>
                <w:lang w:val="en-GB"/>
              </w:rPr>
              <w:t xml:space="preserve">emove active farmer criteria and replace them with criteria for minimum area/number of animals. </w:t>
            </w:r>
            <w:r w:rsidRPr="00BB5286">
              <w:rPr>
                <w:rFonts w:eastAsia="Calibri" w:cs="Times New Roman"/>
                <w:i/>
                <w:noProof/>
                <w:sz w:val="22"/>
                <w:lang w:val="en-GB"/>
              </w:rPr>
              <w:t xml:space="preserve">Article 4(5) </w:t>
            </w:r>
            <w:r w:rsidRPr="00BB5286">
              <w:rPr>
                <w:rFonts w:eastAsia="Calibri" w:cs="Times New Roman"/>
                <w:noProof/>
                <w:sz w:val="22"/>
                <w:lang w:val="en-GB"/>
              </w:rPr>
              <w:t xml:space="preserve">of </w:t>
            </w:r>
            <w:r w:rsidR="2A075E92" w:rsidRPr="00BB5286">
              <w:rPr>
                <w:rFonts w:eastAsia="Calibri" w:cs="Times New Roman"/>
                <w:noProof/>
                <w:sz w:val="22"/>
                <w:lang w:val="en-GB"/>
              </w:rPr>
              <w:t xml:space="preserve">the CSP </w:t>
            </w:r>
            <w:r w:rsidRPr="00BB5286">
              <w:rPr>
                <w:rFonts w:eastAsia="Calibri" w:cs="Times New Roman"/>
                <w:noProof/>
                <w:sz w:val="22"/>
                <w:lang w:val="en-GB"/>
              </w:rPr>
              <w:t>Regulation.</w:t>
            </w:r>
          </w:p>
        </w:tc>
        <w:tc>
          <w:tcPr>
            <w:tcW w:w="1559" w:type="dxa"/>
            <w:vAlign w:val="center"/>
          </w:tcPr>
          <w:p w14:paraId="4876BDB6"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w:t>
            </w:r>
          </w:p>
        </w:tc>
        <w:tc>
          <w:tcPr>
            <w:tcW w:w="6662" w:type="dxa"/>
            <w:vAlign w:val="center"/>
          </w:tcPr>
          <w:p w14:paraId="0E58C237" w14:textId="654F1F5F"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This issue can be addressed within the current </w:t>
            </w:r>
            <w:r w:rsidR="004818D2" w:rsidRPr="00BB5286">
              <w:rPr>
                <w:rFonts w:eastAsia="Calibri" w:cs="Times New Roman"/>
                <w:noProof/>
                <w:sz w:val="22"/>
                <w:lang w:val="en-GB"/>
              </w:rPr>
              <w:t xml:space="preserve">EU </w:t>
            </w:r>
            <w:r w:rsidRPr="00BB5286">
              <w:rPr>
                <w:rFonts w:eastAsia="Calibri" w:cs="Times New Roman"/>
                <w:noProof/>
                <w:sz w:val="22"/>
                <w:lang w:val="en-GB"/>
              </w:rPr>
              <w:t xml:space="preserve">CAP framework. The active farmer definition is one of the tools for targeting CAP support. The current framework definition of ‘active farmer’ laid down in </w:t>
            </w:r>
            <w:r w:rsidRPr="00BB5286">
              <w:rPr>
                <w:rFonts w:eastAsia="Calibri" w:cs="Times New Roman"/>
                <w:i/>
                <w:noProof/>
                <w:sz w:val="22"/>
                <w:lang w:val="en-GB"/>
              </w:rPr>
              <w:t>Article 4(5)</w:t>
            </w:r>
            <w:r w:rsidRPr="00BB5286">
              <w:rPr>
                <w:rFonts w:eastAsia="Calibri" w:cs="Times New Roman"/>
                <w:noProof/>
                <w:sz w:val="22"/>
                <w:lang w:val="en-GB"/>
              </w:rPr>
              <w:t xml:space="preserve"> of </w:t>
            </w:r>
            <w:r w:rsidR="62F53236" w:rsidRPr="00BB5286">
              <w:rPr>
                <w:rFonts w:eastAsia="Calibri" w:cs="Times New Roman"/>
                <w:noProof/>
                <w:sz w:val="22"/>
                <w:lang w:val="en-GB"/>
              </w:rPr>
              <w:t xml:space="preserve">the CSP </w:t>
            </w:r>
            <w:r w:rsidRPr="00BB5286">
              <w:rPr>
                <w:rFonts w:eastAsia="Calibri" w:cs="Times New Roman"/>
                <w:noProof/>
                <w:sz w:val="22"/>
                <w:lang w:val="en-GB"/>
              </w:rPr>
              <w:t xml:space="preserve">Regulation is already flexible enough to accommodate diverse national implementation needs. </w:t>
            </w:r>
          </w:p>
        </w:tc>
      </w:tr>
      <w:tr w:rsidR="00F34C75" w:rsidRPr="00BB5286" w14:paraId="17153A38" w14:textId="77777777" w:rsidTr="00A27F70">
        <w:trPr>
          <w:trHeight w:val="300"/>
        </w:trPr>
        <w:tc>
          <w:tcPr>
            <w:tcW w:w="716" w:type="dxa"/>
            <w:vAlign w:val="center"/>
          </w:tcPr>
          <w:p w14:paraId="18F0FC15"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noProof/>
                <w:color w:val="000000"/>
                <w:sz w:val="22"/>
                <w:lang w:val="en-GB"/>
              </w:rPr>
              <w:t>6</w:t>
            </w:r>
          </w:p>
        </w:tc>
        <w:tc>
          <w:tcPr>
            <w:tcW w:w="5812" w:type="dxa"/>
            <w:gridSpan w:val="2"/>
            <w:vAlign w:val="center"/>
          </w:tcPr>
          <w:p w14:paraId="70035E35" w14:textId="277365DE" w:rsidR="00872C68" w:rsidRPr="00BB5286" w:rsidRDefault="00872C68" w:rsidP="001061AF">
            <w:pPr>
              <w:spacing w:after="60" w:line="259" w:lineRule="auto"/>
              <w:jc w:val="both"/>
              <w:rPr>
                <w:rFonts w:eastAsia="Calibri" w:cs="Times New Roman"/>
                <w:noProof/>
                <w:sz w:val="22"/>
                <w:highlight w:val="yellow"/>
                <w:lang w:val="en-GB"/>
              </w:rPr>
            </w:pPr>
            <w:r w:rsidRPr="00BB5286">
              <w:rPr>
                <w:rFonts w:eastAsia="Calibri" w:cs="Times New Roman"/>
                <w:b/>
                <w:bCs/>
                <w:noProof/>
                <w:sz w:val="22"/>
                <w:lang w:val="en-GB"/>
              </w:rPr>
              <w:t>Non-productive areas:</w:t>
            </w:r>
            <w:r w:rsidRPr="00BB5286">
              <w:rPr>
                <w:rFonts w:eastAsia="Calibri" w:cs="Times New Roman"/>
                <w:noProof/>
                <w:sz w:val="22"/>
                <w:lang w:val="en-GB"/>
              </w:rPr>
              <w:t xml:space="preserve"> </w:t>
            </w:r>
            <w:r w:rsidR="1EC0BAFF" w:rsidRPr="00BB5286">
              <w:rPr>
                <w:rFonts w:eastAsia="Calibri" w:cs="Times New Roman"/>
                <w:noProof/>
                <w:sz w:val="22"/>
                <w:lang w:val="en-GB"/>
              </w:rPr>
              <w:t>a</w:t>
            </w:r>
            <w:r w:rsidRPr="00BB5286">
              <w:rPr>
                <w:rFonts w:eastAsia="Calibri" w:cs="Times New Roman"/>
                <w:noProof/>
                <w:sz w:val="22"/>
                <w:lang w:val="en-GB"/>
              </w:rPr>
              <w:t>llow the presence of sheep and goats (and grazing by them) on non-productive areas required / financed under the CAP (conditionality, eco-schemes, AECC).</w:t>
            </w:r>
          </w:p>
        </w:tc>
        <w:tc>
          <w:tcPr>
            <w:tcW w:w="1559" w:type="dxa"/>
            <w:vAlign w:val="center"/>
          </w:tcPr>
          <w:p w14:paraId="4C421A61"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DE</w:t>
            </w:r>
          </w:p>
        </w:tc>
        <w:tc>
          <w:tcPr>
            <w:tcW w:w="6662" w:type="dxa"/>
            <w:vAlign w:val="center"/>
          </w:tcPr>
          <w:p w14:paraId="1EFAD049" w14:textId="2C3A023F" w:rsidR="00872C68" w:rsidRPr="00BB5286" w:rsidRDefault="00872C68" w:rsidP="001061AF">
            <w:pPr>
              <w:spacing w:after="60" w:line="259" w:lineRule="auto"/>
              <w:jc w:val="both"/>
              <w:rPr>
                <w:rFonts w:eastAsia="Calibri" w:cs="Times New Roman"/>
                <w:noProof/>
                <w:sz w:val="22"/>
                <w:highlight w:val="yellow"/>
                <w:lang w:val="en-GB"/>
              </w:rPr>
            </w:pPr>
            <w:r w:rsidRPr="00BB5286">
              <w:rPr>
                <w:rFonts w:eastAsia="Calibri" w:cs="Times New Roman"/>
                <w:noProof/>
                <w:sz w:val="22"/>
                <w:lang w:val="en-GB"/>
              </w:rPr>
              <w:t xml:space="preserve">This suggestion seems partly linked to the </w:t>
            </w:r>
            <w:r w:rsidR="004818D2" w:rsidRPr="00BB5286">
              <w:rPr>
                <w:rFonts w:eastAsia="Calibri" w:cs="Times New Roman"/>
                <w:noProof/>
                <w:sz w:val="22"/>
                <w:lang w:val="en-GB"/>
              </w:rPr>
              <w:t>‘</w:t>
            </w:r>
            <w:r w:rsidRPr="00BB5286">
              <w:rPr>
                <w:rFonts w:eastAsia="Calibri" w:cs="Times New Roman"/>
                <w:noProof/>
                <w:sz w:val="22"/>
                <w:lang w:val="en-GB"/>
              </w:rPr>
              <w:t>non-productive areas</w:t>
            </w:r>
            <w:r w:rsidR="004818D2" w:rsidRPr="00BB5286">
              <w:rPr>
                <w:rFonts w:eastAsia="Calibri" w:cs="Times New Roman"/>
                <w:noProof/>
                <w:sz w:val="22"/>
                <w:lang w:val="en-GB"/>
              </w:rPr>
              <w:t>’</w:t>
            </w:r>
            <w:r w:rsidRPr="00BB5286">
              <w:rPr>
                <w:rFonts w:eastAsia="Calibri" w:cs="Times New Roman"/>
                <w:noProof/>
                <w:sz w:val="22"/>
                <w:lang w:val="en-GB"/>
              </w:rPr>
              <w:t xml:space="preserve"> under the first requirement of GAEC 8, which has been deleted by</w:t>
            </w:r>
            <w:r w:rsidR="003B3759" w:rsidRPr="00BB5286">
              <w:rPr>
                <w:rFonts w:eastAsia="Calibri" w:cs="Times New Roman"/>
                <w:noProof/>
                <w:sz w:val="22"/>
                <w:lang w:val="en-GB"/>
              </w:rPr>
              <w:t xml:space="preserve"> </w:t>
            </w:r>
            <w:r w:rsidR="4453891A" w:rsidRPr="00BB5286">
              <w:rPr>
                <w:rFonts w:eastAsia="Calibri" w:cs="Times New Roman"/>
                <w:noProof/>
                <w:sz w:val="22"/>
                <w:lang w:val="en-GB"/>
              </w:rPr>
              <w:t xml:space="preserve">the Simplification </w:t>
            </w:r>
            <w:r w:rsidR="4453891A" w:rsidRPr="00DE2BC7">
              <w:rPr>
                <w:rFonts w:eastAsia="Calibri" w:cs="Times New Roman"/>
                <w:noProof/>
                <w:sz w:val="22"/>
                <w:lang w:val="en-GB"/>
              </w:rPr>
              <w:t>Regulation</w:t>
            </w:r>
            <w:r w:rsidR="38C64AB4" w:rsidRPr="00DE2BC7">
              <w:rPr>
                <w:rFonts w:eastAsia="Calibri" w:cs="Times New Roman"/>
                <w:noProof/>
                <w:sz w:val="22"/>
                <w:lang w:val="en-GB"/>
              </w:rPr>
              <w:t>.</w:t>
            </w:r>
            <w:r w:rsidRPr="00DE2BC7">
              <w:rPr>
                <w:rFonts w:eastAsia="Calibri" w:cs="Times New Roman"/>
                <w:noProof/>
                <w:sz w:val="22"/>
                <w:lang w:val="en-GB"/>
              </w:rPr>
              <w:t xml:space="preserve"> As regards interventions, Member States </w:t>
            </w:r>
            <w:r w:rsidR="004818D2" w:rsidRPr="00DE2BC7">
              <w:rPr>
                <w:rFonts w:eastAsia="Calibri" w:cs="Times New Roman"/>
                <w:noProof/>
                <w:sz w:val="22"/>
                <w:lang w:val="en-GB"/>
              </w:rPr>
              <w:t xml:space="preserve">define </w:t>
            </w:r>
            <w:r w:rsidRPr="00DE2BC7">
              <w:rPr>
                <w:rFonts w:eastAsia="Calibri" w:cs="Times New Roman"/>
                <w:noProof/>
                <w:sz w:val="22"/>
                <w:lang w:val="en-GB"/>
              </w:rPr>
              <w:t xml:space="preserve">the eligibility </w:t>
            </w:r>
            <w:r w:rsidR="001F4F3E" w:rsidRPr="00DE2BC7">
              <w:rPr>
                <w:rFonts w:eastAsia="Calibri" w:cs="Times New Roman"/>
                <w:noProof/>
                <w:sz w:val="22"/>
                <w:lang w:val="en-GB"/>
              </w:rPr>
              <w:t xml:space="preserve">conditions </w:t>
            </w:r>
            <w:r w:rsidRPr="00DE2BC7">
              <w:rPr>
                <w:rFonts w:eastAsia="Calibri" w:cs="Times New Roman"/>
                <w:noProof/>
                <w:sz w:val="22"/>
                <w:lang w:val="en-GB"/>
              </w:rPr>
              <w:t xml:space="preserve">and commitments, including elements related to maintenance of areas. With regard to the concept of </w:t>
            </w:r>
            <w:r w:rsidR="004818D2" w:rsidRPr="00DE2BC7">
              <w:rPr>
                <w:rFonts w:eastAsia="Calibri" w:cs="Times New Roman"/>
                <w:noProof/>
                <w:sz w:val="22"/>
                <w:lang w:val="en-GB"/>
              </w:rPr>
              <w:t>‘</w:t>
            </w:r>
            <w:r w:rsidRPr="00DE2BC7">
              <w:rPr>
                <w:rFonts w:eastAsia="Calibri" w:cs="Times New Roman"/>
                <w:noProof/>
                <w:sz w:val="22"/>
                <w:lang w:val="en-GB"/>
              </w:rPr>
              <w:t>non-productive areas</w:t>
            </w:r>
            <w:r w:rsidR="004818D2" w:rsidRPr="00DE2BC7">
              <w:rPr>
                <w:rFonts w:eastAsia="Calibri" w:cs="Times New Roman"/>
                <w:noProof/>
                <w:sz w:val="22"/>
                <w:lang w:val="en-GB"/>
              </w:rPr>
              <w:t>’</w:t>
            </w:r>
            <w:r w:rsidRPr="00DE2BC7">
              <w:rPr>
                <w:rFonts w:eastAsia="Calibri" w:cs="Times New Roman"/>
                <w:noProof/>
                <w:sz w:val="22"/>
                <w:lang w:val="en-GB"/>
              </w:rPr>
              <w:t xml:space="preserve"> </w:t>
            </w:r>
            <w:r w:rsidR="00F00B12" w:rsidRPr="00DE2BC7">
              <w:rPr>
                <w:rFonts w:eastAsia="Calibri" w:cs="Times New Roman"/>
                <w:noProof/>
                <w:sz w:val="22"/>
                <w:lang w:val="en-GB"/>
              </w:rPr>
              <w:t>under GAEC 8, first</w:t>
            </w:r>
            <w:r w:rsidR="00F00B12" w:rsidRPr="00BB5286">
              <w:rPr>
                <w:rFonts w:eastAsia="Calibri" w:cs="Times New Roman"/>
                <w:noProof/>
                <w:sz w:val="22"/>
                <w:lang w:val="en-GB"/>
              </w:rPr>
              <w:t xml:space="preserve"> requirement, </w:t>
            </w:r>
            <w:r w:rsidRPr="00BB5286">
              <w:rPr>
                <w:rFonts w:eastAsia="Calibri" w:cs="Times New Roman"/>
                <w:noProof/>
                <w:sz w:val="22"/>
                <w:lang w:val="en-GB"/>
              </w:rPr>
              <w:t>the Commission</w:t>
            </w:r>
            <w:r w:rsidR="00F00B12" w:rsidRPr="00BB5286">
              <w:rPr>
                <w:rFonts w:eastAsia="Calibri" w:cs="Times New Roman"/>
                <w:noProof/>
                <w:sz w:val="22"/>
                <w:lang w:val="en-GB"/>
              </w:rPr>
              <w:t xml:space="preserve"> </w:t>
            </w:r>
            <w:r w:rsidR="004818D2" w:rsidRPr="00BB5286">
              <w:rPr>
                <w:rFonts w:eastAsia="Calibri" w:cs="Times New Roman"/>
                <w:noProof/>
                <w:sz w:val="22"/>
                <w:lang w:val="en-GB"/>
              </w:rPr>
              <w:t>has already</w:t>
            </w:r>
            <w:r w:rsidR="00F00B12" w:rsidRPr="00BB5286">
              <w:rPr>
                <w:rFonts w:eastAsia="Calibri" w:cs="Times New Roman"/>
                <w:noProof/>
                <w:sz w:val="22"/>
                <w:lang w:val="en-GB"/>
              </w:rPr>
              <w:t xml:space="preserve"> </w:t>
            </w:r>
            <w:r w:rsidRPr="00BB5286">
              <w:rPr>
                <w:rFonts w:eastAsia="Calibri" w:cs="Times New Roman"/>
                <w:noProof/>
                <w:sz w:val="22"/>
                <w:lang w:val="en-GB"/>
              </w:rPr>
              <w:t>clarified that</w:t>
            </w:r>
            <w:r w:rsidR="004818D2" w:rsidRPr="00BB5286">
              <w:rPr>
                <w:rFonts w:eastAsia="Calibri" w:cs="Times New Roman"/>
                <w:noProof/>
                <w:sz w:val="22"/>
                <w:lang w:val="en-GB"/>
              </w:rPr>
              <w:t>,</w:t>
            </w:r>
            <w:r w:rsidR="00F00B12" w:rsidRPr="00BB5286">
              <w:rPr>
                <w:rFonts w:eastAsia="Calibri" w:cs="Times New Roman"/>
                <w:noProof/>
                <w:sz w:val="22"/>
                <w:lang w:val="en-GB"/>
              </w:rPr>
              <w:t xml:space="preserve"> if compatible with the main objective of that GAEC</w:t>
            </w:r>
            <w:r w:rsidR="004818D2" w:rsidRPr="00BB5286">
              <w:rPr>
                <w:rFonts w:eastAsia="Calibri" w:cs="Times New Roman"/>
                <w:noProof/>
                <w:sz w:val="22"/>
                <w:lang w:val="en-GB"/>
              </w:rPr>
              <w:t>,</w:t>
            </w:r>
            <w:r w:rsidR="00F00B12" w:rsidRPr="00BB5286">
              <w:rPr>
                <w:rFonts w:eastAsia="Calibri" w:cs="Times New Roman"/>
                <w:noProof/>
                <w:sz w:val="22"/>
                <w:lang w:val="en-GB"/>
              </w:rPr>
              <w:t xml:space="preserve"> </w:t>
            </w:r>
            <w:r w:rsidRPr="00BB5286">
              <w:rPr>
                <w:rFonts w:eastAsia="Calibri" w:cs="Times New Roman"/>
                <w:noProof/>
                <w:sz w:val="22"/>
                <w:lang w:val="en-GB"/>
              </w:rPr>
              <w:t xml:space="preserve">certain non-productive grazing practices (e.g. </w:t>
            </w:r>
            <w:r w:rsidR="00F00B12" w:rsidRPr="00BB5286">
              <w:rPr>
                <w:rFonts w:eastAsia="Calibri" w:cs="Times New Roman"/>
                <w:noProof/>
                <w:sz w:val="22"/>
                <w:lang w:val="en-GB"/>
              </w:rPr>
              <w:t xml:space="preserve">taking place </w:t>
            </w:r>
            <w:r w:rsidRPr="00BB5286">
              <w:rPr>
                <w:rFonts w:eastAsia="Calibri" w:cs="Times New Roman"/>
                <w:noProof/>
                <w:sz w:val="22"/>
                <w:lang w:val="en-GB"/>
              </w:rPr>
              <w:t>outside the flowering season) could take place</w:t>
            </w:r>
            <w:r w:rsidR="00F00B12" w:rsidRPr="00BB5286">
              <w:rPr>
                <w:rFonts w:eastAsia="Calibri" w:cs="Times New Roman"/>
                <w:noProof/>
                <w:sz w:val="22"/>
                <w:lang w:val="en-GB"/>
              </w:rPr>
              <w:t xml:space="preserve"> on such areas</w:t>
            </w:r>
            <w:r w:rsidRPr="00BB5286">
              <w:rPr>
                <w:rFonts w:eastAsia="Calibri" w:cs="Times New Roman"/>
                <w:noProof/>
                <w:sz w:val="22"/>
                <w:lang w:val="en-GB"/>
              </w:rPr>
              <w:t>.</w:t>
            </w:r>
          </w:p>
        </w:tc>
      </w:tr>
      <w:tr w:rsidR="00F34C75" w:rsidRPr="00BB5286" w14:paraId="5DA60D50" w14:textId="77777777" w:rsidTr="00A27F70">
        <w:trPr>
          <w:trHeight w:val="300"/>
        </w:trPr>
        <w:tc>
          <w:tcPr>
            <w:tcW w:w="716" w:type="dxa"/>
            <w:vAlign w:val="center"/>
          </w:tcPr>
          <w:p w14:paraId="24672494" w14:textId="77777777" w:rsidR="00872C68" w:rsidRPr="00BB5286" w:rsidRDefault="00872C68" w:rsidP="001061AF">
            <w:pPr>
              <w:spacing w:after="60" w:line="259" w:lineRule="auto"/>
              <w:jc w:val="center"/>
              <w:rPr>
                <w:rFonts w:eastAsia="Calibri" w:cs="Times New Roman"/>
                <w:b/>
                <w:bCs/>
                <w:noProof/>
                <w:color w:val="000000"/>
                <w:sz w:val="22"/>
                <w:lang w:val="en-GB"/>
              </w:rPr>
            </w:pPr>
            <w:r w:rsidRPr="00BB5286">
              <w:rPr>
                <w:rFonts w:eastAsia="Calibri" w:cs="Times New Roman"/>
                <w:b/>
                <w:noProof/>
                <w:sz w:val="22"/>
                <w:lang w:val="en-GB"/>
              </w:rPr>
              <w:lastRenderedPageBreak/>
              <w:t>7</w:t>
            </w:r>
          </w:p>
        </w:tc>
        <w:tc>
          <w:tcPr>
            <w:tcW w:w="5812" w:type="dxa"/>
            <w:gridSpan w:val="2"/>
            <w:vAlign w:val="center"/>
          </w:tcPr>
          <w:p w14:paraId="23F2F804" w14:textId="7EB26ED9" w:rsidR="00872C68" w:rsidRPr="00905A56" w:rsidRDefault="00872C68" w:rsidP="001061AF">
            <w:pPr>
              <w:spacing w:after="60" w:line="259" w:lineRule="auto"/>
              <w:jc w:val="both"/>
              <w:rPr>
                <w:rFonts w:eastAsia="Calibri" w:cs="Times New Roman"/>
                <w:b/>
                <w:noProof/>
                <w:sz w:val="22"/>
                <w:lang w:val="en-GB"/>
              </w:rPr>
            </w:pPr>
            <w:r w:rsidRPr="00905A56">
              <w:rPr>
                <w:rFonts w:eastAsia="Calibri" w:cs="Times New Roman"/>
                <w:b/>
                <w:noProof/>
                <w:color w:val="000000" w:themeColor="text1"/>
                <w:sz w:val="22"/>
                <w:lang w:val="en-GB"/>
              </w:rPr>
              <w:t>Non-productive areas:</w:t>
            </w:r>
            <w:r w:rsidRPr="00905A56">
              <w:rPr>
                <w:rFonts w:eastAsia="Calibri" w:cs="Times New Roman"/>
                <w:noProof/>
                <w:color w:val="000000" w:themeColor="text1"/>
                <w:sz w:val="22"/>
                <w:lang w:val="en-GB"/>
              </w:rPr>
              <w:t xml:space="preserve"> </w:t>
            </w:r>
            <w:r w:rsidR="22A40323" w:rsidRPr="00905A56">
              <w:rPr>
                <w:rFonts w:eastAsia="Calibri" w:cs="Times New Roman"/>
                <w:noProof/>
                <w:color w:val="000000" w:themeColor="text1"/>
                <w:sz w:val="22"/>
                <w:lang w:val="en-GB"/>
              </w:rPr>
              <w:t>p</w:t>
            </w:r>
            <w:r w:rsidRPr="00905A56">
              <w:rPr>
                <w:rFonts w:eastAsia="Calibri" w:cs="Times New Roman"/>
                <w:noProof/>
                <w:color w:val="000000" w:themeColor="text1"/>
                <w:sz w:val="22"/>
                <w:lang w:val="en-GB"/>
              </w:rPr>
              <w:t xml:space="preserve">ossibility to use non-productive parcels no matter whether under GAEC 8 standard, </w:t>
            </w:r>
            <w:r w:rsidR="004818D2" w:rsidRPr="00905A56">
              <w:rPr>
                <w:rFonts w:eastAsia="Calibri" w:cs="Times New Roman"/>
                <w:noProof/>
                <w:color w:val="000000" w:themeColor="text1"/>
                <w:sz w:val="22"/>
                <w:lang w:val="en-GB"/>
              </w:rPr>
              <w:t>e</w:t>
            </w:r>
            <w:r w:rsidRPr="00905A56">
              <w:rPr>
                <w:rFonts w:eastAsia="Calibri" w:cs="Times New Roman"/>
                <w:noProof/>
                <w:color w:val="000000" w:themeColor="text1"/>
                <w:sz w:val="22"/>
                <w:lang w:val="en-GB"/>
              </w:rPr>
              <w:t>co-schemes or agri-environmental measures in extraordinar</w:t>
            </w:r>
            <w:r w:rsidR="004818D2" w:rsidRPr="00905A56">
              <w:rPr>
                <w:rFonts w:eastAsia="Calibri" w:cs="Times New Roman"/>
                <w:noProof/>
                <w:color w:val="000000" w:themeColor="text1"/>
                <w:sz w:val="22"/>
                <w:lang w:val="en-GB"/>
              </w:rPr>
              <w:t>il</w:t>
            </w:r>
            <w:r w:rsidRPr="00905A56">
              <w:rPr>
                <w:rFonts w:eastAsia="Calibri" w:cs="Times New Roman"/>
                <w:noProof/>
                <w:color w:val="000000" w:themeColor="text1"/>
                <w:sz w:val="22"/>
                <w:lang w:val="en-GB"/>
              </w:rPr>
              <w:t>y dry or extraordinar</w:t>
            </w:r>
            <w:r w:rsidR="004818D2" w:rsidRPr="00905A56">
              <w:rPr>
                <w:rFonts w:eastAsia="Calibri" w:cs="Times New Roman"/>
                <w:noProof/>
                <w:color w:val="000000" w:themeColor="text1"/>
                <w:sz w:val="22"/>
                <w:lang w:val="en-GB"/>
              </w:rPr>
              <w:t>il</w:t>
            </w:r>
            <w:r w:rsidRPr="00905A56">
              <w:rPr>
                <w:rFonts w:eastAsia="Calibri" w:cs="Times New Roman"/>
                <w:noProof/>
                <w:color w:val="000000" w:themeColor="text1"/>
                <w:sz w:val="22"/>
                <w:lang w:val="en-GB"/>
              </w:rPr>
              <w:t>y wet (with flooded areas) years for grazing or feed use.</w:t>
            </w:r>
          </w:p>
        </w:tc>
        <w:tc>
          <w:tcPr>
            <w:tcW w:w="1559" w:type="dxa"/>
            <w:vAlign w:val="center"/>
          </w:tcPr>
          <w:p w14:paraId="3B217869"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DE</w:t>
            </w:r>
          </w:p>
        </w:tc>
        <w:tc>
          <w:tcPr>
            <w:tcW w:w="6662" w:type="dxa"/>
            <w:vAlign w:val="center"/>
          </w:tcPr>
          <w:p w14:paraId="0E152E83" w14:textId="6D03B36D"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Simplification Regulation deleted from GAEC standard 8 the requirement to maintain non-productive areas and features on arable land. In addition, under </w:t>
            </w:r>
            <w:r w:rsidRPr="00BB5286">
              <w:rPr>
                <w:rFonts w:eastAsia="Calibri" w:cs="Times New Roman"/>
                <w:i/>
                <w:noProof/>
                <w:sz w:val="22"/>
                <w:lang w:val="en-GB"/>
              </w:rPr>
              <w:t>Article 13(2a)</w:t>
            </w:r>
            <w:r w:rsidRPr="00BB5286">
              <w:rPr>
                <w:rFonts w:eastAsia="Calibri" w:cs="Times New Roman"/>
                <w:noProof/>
                <w:sz w:val="22"/>
                <w:lang w:val="en-GB"/>
              </w:rPr>
              <w:t xml:space="preserve"> of </w:t>
            </w:r>
            <w:r w:rsidR="588EF34E" w:rsidRPr="00BB5286">
              <w:rPr>
                <w:rFonts w:eastAsia="Calibri" w:cs="Times New Roman"/>
                <w:noProof/>
                <w:sz w:val="22"/>
                <w:lang w:val="en-GB"/>
              </w:rPr>
              <w:t xml:space="preserve">the amended CSP </w:t>
            </w:r>
            <w:r w:rsidRPr="00BB5286">
              <w:rPr>
                <w:rFonts w:eastAsia="Calibri" w:cs="Times New Roman"/>
                <w:noProof/>
                <w:sz w:val="22"/>
                <w:lang w:val="en-GB"/>
              </w:rPr>
              <w:t xml:space="preserve">Regulation Member States may also grant </w:t>
            </w:r>
            <w:r w:rsidR="004818D2" w:rsidRPr="00BB5286">
              <w:rPr>
                <w:rFonts w:eastAsia="Calibri" w:cs="Times New Roman"/>
                <w:noProof/>
                <w:sz w:val="22"/>
                <w:lang w:val="en-GB"/>
              </w:rPr>
              <w:t xml:space="preserve">new </w:t>
            </w:r>
            <w:r w:rsidRPr="00BB5286">
              <w:rPr>
                <w:rFonts w:eastAsia="Calibri" w:cs="Times New Roman"/>
                <w:noProof/>
                <w:sz w:val="22"/>
                <w:lang w:val="en-GB"/>
              </w:rPr>
              <w:t>temporary derogations from GAEC standards. Blanket exemptions for non-productive areas under eco-schemes and agri-environment-climate commitments would hamper the achievement of the specific objectives of the CAP.</w:t>
            </w:r>
          </w:p>
        </w:tc>
      </w:tr>
      <w:tr w:rsidR="00F34C75" w:rsidRPr="00BB5286" w14:paraId="52C446AD" w14:textId="77777777" w:rsidTr="00A27F70">
        <w:trPr>
          <w:trHeight w:val="300"/>
        </w:trPr>
        <w:tc>
          <w:tcPr>
            <w:tcW w:w="716" w:type="dxa"/>
            <w:vAlign w:val="center"/>
          </w:tcPr>
          <w:p w14:paraId="465998F8"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noProof/>
                <w:sz w:val="22"/>
                <w:lang w:val="en-GB"/>
              </w:rPr>
              <w:t>8</w:t>
            </w:r>
          </w:p>
        </w:tc>
        <w:tc>
          <w:tcPr>
            <w:tcW w:w="5812" w:type="dxa"/>
            <w:gridSpan w:val="2"/>
            <w:vAlign w:val="center"/>
          </w:tcPr>
          <w:p w14:paraId="764E32F0" w14:textId="3F309C68" w:rsidR="00872C68" w:rsidRPr="00905A56" w:rsidRDefault="29CB0D46" w:rsidP="1E228F1A">
            <w:pPr>
              <w:spacing w:after="60" w:line="259" w:lineRule="auto"/>
              <w:jc w:val="both"/>
              <w:rPr>
                <w:rFonts w:eastAsia="Calibri" w:cs="Times New Roman"/>
                <w:noProof/>
                <w:color w:val="0078D4"/>
                <w:sz w:val="22"/>
                <w:lang w:val="en-IE"/>
              </w:rPr>
            </w:pPr>
            <w:r w:rsidRPr="1E228F1A">
              <w:rPr>
                <w:rFonts w:eastAsia="Calibri" w:cs="Times New Roman"/>
                <w:b/>
                <w:bCs/>
                <w:noProof/>
                <w:sz w:val="22"/>
                <w:lang w:val="en-IE"/>
              </w:rPr>
              <w:t>Young farmers:</w:t>
            </w:r>
            <w:r w:rsidRPr="1E228F1A">
              <w:rPr>
                <w:rFonts w:eastAsia="Calibri" w:cs="Times New Roman"/>
                <w:noProof/>
                <w:sz w:val="22"/>
                <w:lang w:val="en-IE"/>
              </w:rPr>
              <w:t xml:space="preserve"> </w:t>
            </w:r>
            <w:r w:rsidR="7595E280" w:rsidRPr="1E228F1A">
              <w:rPr>
                <w:rFonts w:eastAsia="Calibri" w:cs="Times New Roman"/>
                <w:noProof/>
                <w:sz w:val="22"/>
                <w:lang w:val="en-IE"/>
              </w:rPr>
              <w:t>e</w:t>
            </w:r>
            <w:r w:rsidRPr="1E228F1A">
              <w:rPr>
                <w:rFonts w:eastAsia="Calibri" w:cs="Times New Roman"/>
                <w:noProof/>
                <w:sz w:val="22"/>
                <w:lang w:val="en-IE"/>
              </w:rPr>
              <w:t xml:space="preserve">xclude the </w:t>
            </w:r>
            <w:r w:rsidR="6147DE14" w:rsidRPr="1E228F1A">
              <w:rPr>
                <w:rFonts w:eastAsia="Calibri" w:cs="Times New Roman"/>
                <w:i/>
                <w:iCs/>
                <w:noProof/>
                <w:sz w:val="22"/>
                <w:lang w:val="en-IE"/>
              </w:rPr>
              <w:t>‘</w:t>
            </w:r>
            <w:r w:rsidRPr="1E228F1A">
              <w:rPr>
                <w:rFonts w:eastAsia="Calibri" w:cs="Times New Roman"/>
                <w:i/>
                <w:iCs/>
                <w:noProof/>
                <w:sz w:val="22"/>
                <w:lang w:val="en-IE"/>
              </w:rPr>
              <w:t>appropriate training</w:t>
            </w:r>
            <w:r w:rsidR="4614A370" w:rsidRPr="1E228F1A">
              <w:rPr>
                <w:rFonts w:eastAsia="Calibri" w:cs="Times New Roman"/>
                <w:i/>
                <w:iCs/>
                <w:noProof/>
                <w:sz w:val="22"/>
                <w:lang w:val="en-IE"/>
              </w:rPr>
              <w:t xml:space="preserve"> or </w:t>
            </w:r>
            <w:r w:rsidRPr="1E228F1A">
              <w:rPr>
                <w:rFonts w:eastAsia="Calibri" w:cs="Times New Roman"/>
                <w:i/>
                <w:iCs/>
                <w:noProof/>
                <w:sz w:val="22"/>
                <w:lang w:val="en-IE"/>
              </w:rPr>
              <w:t>skills</w:t>
            </w:r>
            <w:r w:rsidR="6147DE14" w:rsidRPr="1E228F1A">
              <w:rPr>
                <w:rFonts w:eastAsia="Calibri" w:cs="Times New Roman"/>
                <w:i/>
                <w:iCs/>
                <w:noProof/>
                <w:sz w:val="22"/>
                <w:lang w:val="en-IE"/>
              </w:rPr>
              <w:t>’</w:t>
            </w:r>
            <w:r w:rsidRPr="1E228F1A">
              <w:rPr>
                <w:rFonts w:eastAsia="Calibri" w:cs="Times New Roman"/>
                <w:noProof/>
                <w:sz w:val="22"/>
                <w:lang w:val="en-IE"/>
              </w:rPr>
              <w:t xml:space="preserve"> requirement under the qualification as a </w:t>
            </w:r>
            <w:r w:rsidR="6147DE14" w:rsidRPr="1E228F1A">
              <w:rPr>
                <w:rFonts w:eastAsia="Calibri" w:cs="Times New Roman"/>
                <w:noProof/>
                <w:sz w:val="22"/>
                <w:lang w:val="en-IE"/>
              </w:rPr>
              <w:t>'</w:t>
            </w:r>
            <w:r w:rsidRPr="1E228F1A">
              <w:rPr>
                <w:rFonts w:eastAsia="Calibri" w:cs="Times New Roman"/>
                <w:noProof/>
                <w:sz w:val="22"/>
                <w:lang w:val="en-IE"/>
              </w:rPr>
              <w:t>young farmer</w:t>
            </w:r>
            <w:r w:rsidR="6147DE14" w:rsidRPr="1E228F1A">
              <w:rPr>
                <w:rFonts w:eastAsia="Calibri" w:cs="Times New Roman"/>
                <w:noProof/>
                <w:sz w:val="22"/>
                <w:lang w:val="en-IE"/>
              </w:rPr>
              <w:t>’</w:t>
            </w:r>
            <w:r w:rsidRPr="1E228F1A">
              <w:rPr>
                <w:rFonts w:eastAsia="Calibri" w:cs="Times New Roman"/>
                <w:noProof/>
                <w:sz w:val="22"/>
                <w:lang w:val="en-IE"/>
              </w:rPr>
              <w:t xml:space="preserve">. </w:t>
            </w:r>
            <w:r w:rsidRPr="1E228F1A">
              <w:rPr>
                <w:rFonts w:eastAsia="Calibri" w:cs="Times New Roman"/>
                <w:i/>
                <w:iCs/>
                <w:noProof/>
                <w:sz w:val="22"/>
                <w:lang w:val="en-IE"/>
              </w:rPr>
              <w:t>Article 4(6)(c)</w:t>
            </w:r>
            <w:r w:rsidRPr="1E228F1A">
              <w:rPr>
                <w:rFonts w:eastAsia="Calibri" w:cs="Times New Roman"/>
                <w:noProof/>
                <w:sz w:val="22"/>
                <w:lang w:val="en-IE"/>
              </w:rPr>
              <w:t xml:space="preserve"> o</w:t>
            </w:r>
            <w:r w:rsidRPr="1E228F1A">
              <w:rPr>
                <w:rFonts w:eastAsia="MS Mincho" w:cs="Times New Roman"/>
                <w:noProof/>
                <w:sz w:val="22"/>
                <w:lang w:val="en-IE"/>
              </w:rPr>
              <w:t xml:space="preserve">f </w:t>
            </w:r>
            <w:r w:rsidR="08F3A848" w:rsidRPr="1E228F1A">
              <w:rPr>
                <w:rFonts w:eastAsia="MS Mincho" w:cs="Times New Roman"/>
                <w:noProof/>
                <w:sz w:val="22"/>
                <w:lang w:val="en-IE"/>
              </w:rPr>
              <w:t>the CSP</w:t>
            </w:r>
            <w:r w:rsidR="35A5757F" w:rsidRPr="1E228F1A">
              <w:rPr>
                <w:rFonts w:eastAsia="MS Mincho" w:cs="Times New Roman"/>
                <w:noProof/>
                <w:sz w:val="22"/>
                <w:lang w:val="en-IE"/>
              </w:rPr>
              <w:t xml:space="preserve"> </w:t>
            </w:r>
            <w:r w:rsidRPr="1E228F1A">
              <w:rPr>
                <w:rFonts w:eastAsia="MS Mincho" w:cs="Times New Roman"/>
                <w:noProof/>
                <w:sz w:val="22"/>
                <w:lang w:val="en-IE"/>
              </w:rPr>
              <w:t>Regulation.</w:t>
            </w:r>
          </w:p>
        </w:tc>
        <w:tc>
          <w:tcPr>
            <w:tcW w:w="1559" w:type="dxa"/>
            <w:vAlign w:val="center"/>
          </w:tcPr>
          <w:p w14:paraId="31052104"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LT</w:t>
            </w:r>
          </w:p>
        </w:tc>
        <w:tc>
          <w:tcPr>
            <w:tcW w:w="6662" w:type="dxa"/>
            <w:vAlign w:val="center"/>
          </w:tcPr>
          <w:p w14:paraId="2CD06BCC" w14:textId="65DC3BAD" w:rsidR="00872C68" w:rsidRPr="00BB5286" w:rsidRDefault="00872C68" w:rsidP="001061AF">
            <w:pPr>
              <w:spacing w:after="60" w:line="259" w:lineRule="auto"/>
              <w:jc w:val="both"/>
              <w:rPr>
                <w:rFonts w:eastAsia="Calibri" w:cs="Times New Roman"/>
                <w:noProof/>
                <w:color w:val="000000"/>
                <w:sz w:val="22"/>
                <w:lang w:val="en-GB"/>
              </w:rPr>
            </w:pPr>
            <w:r w:rsidRPr="00BB5286">
              <w:rPr>
                <w:rFonts w:eastAsia="Calibri" w:cs="Times New Roman"/>
                <w:noProof/>
                <w:color w:val="000000"/>
                <w:sz w:val="22"/>
                <w:lang w:val="en-GB"/>
              </w:rPr>
              <w:t xml:space="preserve">The current </w:t>
            </w:r>
            <w:r w:rsidR="004818D2" w:rsidRPr="00BB5286">
              <w:rPr>
                <w:rFonts w:eastAsia="Calibri" w:cs="Times New Roman"/>
                <w:noProof/>
                <w:color w:val="000000"/>
                <w:sz w:val="22"/>
                <w:lang w:val="en-GB"/>
              </w:rPr>
              <w:t xml:space="preserve">EU </w:t>
            </w:r>
            <w:r w:rsidRPr="00BB5286">
              <w:rPr>
                <w:rFonts w:eastAsia="Calibri" w:cs="Times New Roman"/>
                <w:noProof/>
                <w:color w:val="000000"/>
                <w:sz w:val="22"/>
                <w:lang w:val="en-GB"/>
              </w:rPr>
              <w:t>CAP framework is flexible and can accommodate diverse national needs</w:t>
            </w:r>
            <w:r w:rsidR="007656D0" w:rsidRPr="00BB5286">
              <w:rPr>
                <w:rFonts w:eastAsia="Calibri" w:cs="Times New Roman"/>
                <w:noProof/>
                <w:color w:val="000000"/>
                <w:sz w:val="22"/>
                <w:lang w:val="en-GB"/>
              </w:rPr>
              <w:t>.</w:t>
            </w:r>
            <w:r w:rsidRPr="00BB5286">
              <w:rPr>
                <w:rFonts w:eastAsia="Calibri" w:cs="Times New Roman"/>
                <w:noProof/>
                <w:color w:val="000000"/>
                <w:sz w:val="22"/>
                <w:lang w:val="en-GB"/>
              </w:rPr>
              <w:t xml:space="preserve"> </w:t>
            </w:r>
            <w:r w:rsidR="007656D0" w:rsidRPr="00BB5286">
              <w:rPr>
                <w:rFonts w:eastAsia="Calibri" w:cs="Times New Roman"/>
                <w:noProof/>
                <w:color w:val="000000"/>
                <w:sz w:val="22"/>
                <w:lang w:val="en-GB"/>
              </w:rPr>
              <w:t>I</w:t>
            </w:r>
            <w:r w:rsidRPr="00BB5286">
              <w:rPr>
                <w:rFonts w:eastAsia="Calibri" w:cs="Times New Roman"/>
                <w:noProof/>
                <w:color w:val="000000"/>
                <w:sz w:val="22"/>
                <w:lang w:val="en-GB"/>
              </w:rPr>
              <w:t xml:space="preserve">t is up to the Member States to determine </w:t>
            </w:r>
            <w:r w:rsidR="009A31D9" w:rsidRPr="00BB5286">
              <w:rPr>
                <w:rFonts w:eastAsia="Calibri" w:cs="Times New Roman"/>
                <w:i/>
                <w:iCs/>
                <w:noProof/>
                <w:color w:val="000000"/>
                <w:sz w:val="22"/>
                <w:lang w:val="en-GB"/>
              </w:rPr>
              <w:t>‘</w:t>
            </w:r>
            <w:r w:rsidRPr="00BB5286">
              <w:rPr>
                <w:rFonts w:eastAsia="Calibri" w:cs="Times New Roman"/>
                <w:i/>
                <w:iCs/>
                <w:noProof/>
                <w:color w:val="000000"/>
                <w:sz w:val="22"/>
                <w:lang w:val="en-GB"/>
              </w:rPr>
              <w:t>the appropriate training or skills</w:t>
            </w:r>
            <w:r w:rsidR="009A31D9" w:rsidRPr="00BB5286">
              <w:rPr>
                <w:rFonts w:eastAsia="Calibri" w:cs="Times New Roman"/>
                <w:i/>
                <w:iCs/>
                <w:noProof/>
                <w:color w:val="000000"/>
                <w:sz w:val="22"/>
                <w:lang w:val="en-GB"/>
              </w:rPr>
              <w:t>’</w:t>
            </w:r>
            <w:r w:rsidRPr="00BB5286">
              <w:rPr>
                <w:rFonts w:eastAsia="Calibri" w:cs="Times New Roman"/>
                <w:noProof/>
                <w:color w:val="000000"/>
                <w:sz w:val="22"/>
                <w:lang w:val="en-GB"/>
              </w:rPr>
              <w:t xml:space="preserve"> that are required. </w:t>
            </w:r>
          </w:p>
        </w:tc>
      </w:tr>
      <w:tr w:rsidR="008A0490" w:rsidRPr="00BB5286" w14:paraId="02C15CCC" w14:textId="77777777" w:rsidTr="00A27F70">
        <w:trPr>
          <w:trHeight w:val="300"/>
        </w:trPr>
        <w:tc>
          <w:tcPr>
            <w:tcW w:w="716" w:type="dxa"/>
            <w:tcBorders>
              <w:bottom w:val="single" w:sz="4" w:space="0" w:color="000000" w:themeColor="text1"/>
            </w:tcBorders>
            <w:vAlign w:val="center"/>
          </w:tcPr>
          <w:p w14:paraId="4ED84552" w14:textId="77777777" w:rsidR="00872C68" w:rsidRPr="00BB5286" w:rsidRDefault="00872C68" w:rsidP="001061AF">
            <w:pPr>
              <w:spacing w:after="60" w:line="259" w:lineRule="auto"/>
              <w:jc w:val="center"/>
              <w:rPr>
                <w:rFonts w:eastAsia="Calibri" w:cs="Times New Roman"/>
                <w:b/>
                <w:noProof/>
                <w:sz w:val="22"/>
                <w:lang w:val="en-GB"/>
              </w:rPr>
            </w:pPr>
            <w:r w:rsidRPr="00BB5286">
              <w:rPr>
                <w:rFonts w:eastAsia="Calibri" w:cs="Times New Roman"/>
                <w:b/>
                <w:noProof/>
                <w:sz w:val="22"/>
                <w:lang w:val="en-GB"/>
              </w:rPr>
              <w:t>9</w:t>
            </w:r>
          </w:p>
        </w:tc>
        <w:tc>
          <w:tcPr>
            <w:tcW w:w="5812" w:type="dxa"/>
            <w:gridSpan w:val="2"/>
            <w:tcBorders>
              <w:bottom w:val="single" w:sz="4" w:space="0" w:color="000000" w:themeColor="text1"/>
            </w:tcBorders>
            <w:vAlign w:val="center"/>
          </w:tcPr>
          <w:p w14:paraId="59E838E6" w14:textId="77777777" w:rsidR="00872C68" w:rsidRPr="00905A56" w:rsidRDefault="00872C68" w:rsidP="001061AF">
            <w:pPr>
              <w:spacing w:after="60" w:line="259" w:lineRule="auto"/>
              <w:jc w:val="both"/>
              <w:rPr>
                <w:rFonts w:eastAsia="Calibri" w:cs="Times New Roman"/>
                <w:b/>
                <w:noProof/>
                <w:sz w:val="22"/>
                <w:lang w:val="en-GB"/>
              </w:rPr>
            </w:pPr>
            <w:r w:rsidRPr="00905A56">
              <w:rPr>
                <w:rFonts w:eastAsia="Calibri" w:cs="Times New Roman"/>
                <w:b/>
                <w:noProof/>
                <w:sz w:val="22"/>
                <w:lang w:val="en-GB"/>
              </w:rPr>
              <w:t xml:space="preserve">Changes in and by national administrations: </w:t>
            </w:r>
          </w:p>
          <w:p w14:paraId="3CDBAECA" w14:textId="2A72706B" w:rsidR="00872C68" w:rsidRPr="00905A56" w:rsidRDefault="00872C68" w:rsidP="00905A56">
            <w:pPr>
              <w:numPr>
                <w:ilvl w:val="0"/>
                <w:numId w:val="30"/>
              </w:numPr>
              <w:spacing w:after="20" w:line="259" w:lineRule="auto"/>
              <w:ind w:left="362" w:hanging="181"/>
              <w:jc w:val="both"/>
              <w:rPr>
                <w:rFonts w:eastAsia="Calibri" w:cs="Times New Roman"/>
                <w:noProof/>
                <w:sz w:val="22"/>
                <w:lang w:val="en-GB"/>
              </w:rPr>
            </w:pPr>
            <w:r w:rsidRPr="00905A56">
              <w:rPr>
                <w:rFonts w:eastAsia="Calibri" w:cs="Times New Roman"/>
                <w:noProof/>
                <w:sz w:val="22"/>
                <w:lang w:val="en-GB"/>
              </w:rPr>
              <w:t xml:space="preserve">Ensure effective transfer of information within the national administration and/or control bodies. A document given to one administrative service by the farmer should no longer </w:t>
            </w:r>
            <w:r w:rsidR="004818D2" w:rsidRPr="00905A56">
              <w:rPr>
                <w:rFonts w:eastAsia="Calibri" w:cs="Times New Roman"/>
                <w:noProof/>
                <w:sz w:val="22"/>
                <w:lang w:val="en-GB"/>
              </w:rPr>
              <w:t xml:space="preserve">have to </w:t>
            </w:r>
            <w:r w:rsidRPr="00905A56">
              <w:rPr>
                <w:rFonts w:eastAsia="Calibri" w:cs="Times New Roman"/>
                <w:noProof/>
                <w:sz w:val="22"/>
                <w:lang w:val="en-GB"/>
              </w:rPr>
              <w:t>be given to another service;</w:t>
            </w:r>
          </w:p>
          <w:p w14:paraId="52CD500D" w14:textId="77777777" w:rsidR="00872C68" w:rsidRPr="00905A56" w:rsidRDefault="00872C68" w:rsidP="00905A56">
            <w:pPr>
              <w:numPr>
                <w:ilvl w:val="0"/>
                <w:numId w:val="30"/>
              </w:numPr>
              <w:spacing w:after="20" w:line="259" w:lineRule="auto"/>
              <w:ind w:left="362" w:hanging="181"/>
              <w:jc w:val="both"/>
              <w:rPr>
                <w:rFonts w:eastAsia="Calibri" w:cs="Times New Roman"/>
                <w:noProof/>
                <w:sz w:val="22"/>
                <w:lang w:val="en-GB"/>
              </w:rPr>
            </w:pPr>
            <w:r w:rsidRPr="00905A56">
              <w:rPr>
                <w:rFonts w:eastAsia="Calibri" w:cs="Times New Roman"/>
                <w:noProof/>
                <w:sz w:val="22"/>
                <w:lang w:val="en-GB"/>
              </w:rPr>
              <w:t>Improve the accessibility of letters sent to farmers. Their opaque nature generates questions and stress on the ground;</w:t>
            </w:r>
          </w:p>
          <w:p w14:paraId="2984E64E" w14:textId="77777777" w:rsidR="00872C68" w:rsidRPr="00905A56" w:rsidRDefault="00872C68" w:rsidP="00905A56">
            <w:pPr>
              <w:numPr>
                <w:ilvl w:val="0"/>
                <w:numId w:val="30"/>
              </w:numPr>
              <w:spacing w:after="20" w:line="259" w:lineRule="auto"/>
              <w:ind w:left="362" w:hanging="181"/>
              <w:jc w:val="both"/>
              <w:rPr>
                <w:rFonts w:eastAsia="Calibri" w:cs="Times New Roman"/>
                <w:noProof/>
                <w:sz w:val="22"/>
                <w:lang w:val="en-GB"/>
              </w:rPr>
            </w:pPr>
            <w:r w:rsidRPr="00905A56">
              <w:rPr>
                <w:rFonts w:eastAsia="Calibri" w:cs="Times New Roman"/>
                <w:noProof/>
                <w:sz w:val="22"/>
                <w:lang w:val="en-GB"/>
              </w:rPr>
              <w:t>Allow farmers to operate directly on their farm file in all European countries without the need for intermediaries;</w:t>
            </w:r>
          </w:p>
          <w:p w14:paraId="6A84012B" w14:textId="77777777" w:rsidR="00872C68" w:rsidRPr="00905A56" w:rsidRDefault="00872C68" w:rsidP="00905A56">
            <w:pPr>
              <w:numPr>
                <w:ilvl w:val="0"/>
                <w:numId w:val="30"/>
              </w:numPr>
              <w:spacing w:after="20" w:line="259" w:lineRule="auto"/>
              <w:ind w:left="362" w:hanging="181"/>
              <w:jc w:val="both"/>
              <w:rPr>
                <w:rFonts w:eastAsia="Calibri" w:cs="Times New Roman"/>
                <w:noProof/>
                <w:sz w:val="22"/>
                <w:lang w:val="en-GB"/>
              </w:rPr>
            </w:pPr>
            <w:r w:rsidRPr="00905A56">
              <w:rPr>
                <w:rFonts w:eastAsia="Calibri" w:cs="Times New Roman"/>
                <w:noProof/>
                <w:sz w:val="22"/>
                <w:lang w:val="en-GB"/>
              </w:rPr>
              <w:t>Process appeals within a reasonable time frame. Set a maximum deadline for administrations;</w:t>
            </w:r>
          </w:p>
          <w:p w14:paraId="652DCFB8" w14:textId="51AA00A2" w:rsidR="00872C68" w:rsidRPr="00905A56" w:rsidRDefault="00872C68" w:rsidP="00905A56">
            <w:pPr>
              <w:numPr>
                <w:ilvl w:val="0"/>
                <w:numId w:val="30"/>
              </w:numPr>
              <w:spacing w:after="20" w:line="259" w:lineRule="auto"/>
              <w:ind w:left="362" w:hanging="181"/>
              <w:jc w:val="both"/>
              <w:rPr>
                <w:rFonts w:eastAsia="Calibri" w:cs="Times New Roman"/>
                <w:noProof/>
                <w:sz w:val="22"/>
                <w:lang w:val="en-GB"/>
              </w:rPr>
            </w:pPr>
            <w:r w:rsidRPr="00905A56">
              <w:rPr>
                <w:rFonts w:eastAsia="Calibri" w:cs="Times New Roman"/>
                <w:noProof/>
                <w:sz w:val="22"/>
                <w:lang w:val="en-GB"/>
              </w:rPr>
              <w:t>Do not rely on the hyper technologi</w:t>
            </w:r>
            <w:r w:rsidR="004818D2" w:rsidRPr="00905A56">
              <w:rPr>
                <w:rFonts w:eastAsia="Calibri" w:cs="Times New Roman"/>
                <w:noProof/>
                <w:sz w:val="22"/>
                <w:lang w:val="en-GB"/>
              </w:rPr>
              <w:t>s</w:t>
            </w:r>
            <w:r w:rsidRPr="00905A56">
              <w:rPr>
                <w:rFonts w:eastAsia="Calibri" w:cs="Times New Roman"/>
                <w:noProof/>
                <w:sz w:val="22"/>
                <w:lang w:val="en-GB"/>
              </w:rPr>
              <w:t>ation of processing everything administrative. In addition, the use of data, if it is not truly protected, is a threat;</w:t>
            </w:r>
          </w:p>
          <w:p w14:paraId="2986C4C6" w14:textId="77777777" w:rsidR="00872C68" w:rsidRPr="00905A56" w:rsidRDefault="00872C68" w:rsidP="00905A56">
            <w:pPr>
              <w:numPr>
                <w:ilvl w:val="0"/>
                <w:numId w:val="30"/>
              </w:numPr>
              <w:spacing w:after="20" w:line="259" w:lineRule="auto"/>
              <w:ind w:left="362" w:hanging="181"/>
              <w:jc w:val="both"/>
              <w:rPr>
                <w:rFonts w:eastAsia="Calibri" w:cs="Times New Roman"/>
                <w:noProof/>
                <w:sz w:val="22"/>
                <w:lang w:val="en-GB"/>
              </w:rPr>
            </w:pPr>
            <w:r w:rsidRPr="00905A56">
              <w:rPr>
                <w:rFonts w:eastAsia="Calibri" w:cs="Times New Roman"/>
                <w:noProof/>
                <w:sz w:val="22"/>
                <w:lang w:val="en-GB"/>
              </w:rPr>
              <w:t>Ensure the presence of real people, informed public administration personnel, to help with procedures;</w:t>
            </w:r>
          </w:p>
          <w:p w14:paraId="3237AE3B" w14:textId="77777777" w:rsidR="00872C68" w:rsidRPr="00905A56" w:rsidRDefault="00872C68" w:rsidP="00905A56">
            <w:pPr>
              <w:numPr>
                <w:ilvl w:val="0"/>
                <w:numId w:val="30"/>
              </w:numPr>
              <w:spacing w:after="20" w:line="259" w:lineRule="auto"/>
              <w:ind w:left="362" w:hanging="181"/>
              <w:jc w:val="both"/>
              <w:rPr>
                <w:rFonts w:eastAsia="Calibri" w:cs="Times New Roman"/>
                <w:noProof/>
                <w:sz w:val="22"/>
                <w:lang w:val="en-GB"/>
              </w:rPr>
            </w:pPr>
            <w:r w:rsidRPr="00905A56">
              <w:rPr>
                <w:rFonts w:eastAsia="Calibri" w:cs="Times New Roman"/>
                <w:noProof/>
                <w:sz w:val="22"/>
                <w:lang w:val="en-GB"/>
              </w:rPr>
              <w:t>Limit the number of inspections on farms and their duration;</w:t>
            </w:r>
          </w:p>
          <w:p w14:paraId="1D23E028" w14:textId="77777777" w:rsidR="00872C68" w:rsidRPr="00905A56" w:rsidRDefault="00872C68" w:rsidP="00905A56">
            <w:pPr>
              <w:numPr>
                <w:ilvl w:val="0"/>
                <w:numId w:val="30"/>
              </w:numPr>
              <w:spacing w:after="20" w:line="259" w:lineRule="auto"/>
              <w:ind w:left="362" w:hanging="181"/>
              <w:jc w:val="both"/>
              <w:rPr>
                <w:rFonts w:eastAsia="Calibri" w:cs="Times New Roman"/>
                <w:noProof/>
                <w:sz w:val="22"/>
                <w:lang w:val="en-GB"/>
              </w:rPr>
            </w:pPr>
            <w:r w:rsidRPr="00905A56">
              <w:rPr>
                <w:rFonts w:eastAsia="Calibri" w:cs="Times New Roman"/>
                <w:noProof/>
                <w:sz w:val="22"/>
                <w:lang w:val="en-GB"/>
              </w:rPr>
              <w:lastRenderedPageBreak/>
              <w:t>Review the checklist of controls as it is too broad - in certain cases;</w:t>
            </w:r>
          </w:p>
          <w:p w14:paraId="045B2664" w14:textId="77777777" w:rsidR="00872C68" w:rsidRPr="00905A56" w:rsidRDefault="00872C68" w:rsidP="001061AF">
            <w:pPr>
              <w:numPr>
                <w:ilvl w:val="0"/>
                <w:numId w:val="30"/>
              </w:numPr>
              <w:spacing w:after="60" w:line="259" w:lineRule="auto"/>
              <w:ind w:left="360" w:hanging="180"/>
              <w:jc w:val="both"/>
              <w:rPr>
                <w:rFonts w:eastAsia="Calibri" w:cs="Times New Roman"/>
                <w:noProof/>
                <w:sz w:val="22"/>
                <w:lang w:val="en-GB"/>
              </w:rPr>
            </w:pPr>
            <w:r w:rsidRPr="00905A56">
              <w:rPr>
                <w:rFonts w:eastAsia="Calibri" w:cs="Times New Roman"/>
                <w:noProof/>
                <w:sz w:val="22"/>
                <w:lang w:val="en-GB"/>
              </w:rPr>
              <w:t>Guarantee real simplification of permit applications (rapid processing without administrative complexity).</w:t>
            </w:r>
          </w:p>
        </w:tc>
        <w:tc>
          <w:tcPr>
            <w:tcW w:w="1559" w:type="dxa"/>
            <w:tcBorders>
              <w:bottom w:val="single" w:sz="4" w:space="0" w:color="000000" w:themeColor="text1"/>
            </w:tcBorders>
            <w:vAlign w:val="center"/>
          </w:tcPr>
          <w:p w14:paraId="37DC8539"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lastRenderedPageBreak/>
              <w:t>ECVC</w:t>
            </w:r>
          </w:p>
        </w:tc>
        <w:tc>
          <w:tcPr>
            <w:tcW w:w="6662" w:type="dxa"/>
            <w:tcBorders>
              <w:bottom w:val="single" w:sz="4" w:space="0" w:color="000000" w:themeColor="text1"/>
            </w:tcBorders>
            <w:vAlign w:val="center"/>
          </w:tcPr>
          <w:p w14:paraId="21EFACB5" w14:textId="77777777"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requested simplification and other actions largely fall within the scope of Member States’ responsibilities and thus beyond the remit of the Commission’s role in the shared management of the CAP. </w:t>
            </w:r>
          </w:p>
        </w:tc>
      </w:tr>
      <w:tr w:rsidR="00F34C75" w:rsidRPr="00BB5286" w14:paraId="2459ED21" w14:textId="77777777" w:rsidTr="00A27F70">
        <w:trPr>
          <w:trHeight w:val="391"/>
        </w:trPr>
        <w:tc>
          <w:tcPr>
            <w:tcW w:w="14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99"/>
            <w:vAlign w:val="center"/>
          </w:tcPr>
          <w:p w14:paraId="671178F3" w14:textId="0FEE312A" w:rsidR="003E47C2" w:rsidRPr="00BB5286" w:rsidRDefault="003E47C2" w:rsidP="003E7CF4">
            <w:pPr>
              <w:spacing w:before="120" w:after="120" w:line="276" w:lineRule="auto"/>
              <w:jc w:val="center"/>
              <w:rPr>
                <w:rFonts w:eastAsia="Calibri" w:cs="Times New Roman"/>
                <w:noProof/>
                <w:color w:val="FFFFFF"/>
                <w:sz w:val="22"/>
                <w:lang w:val="en-GB"/>
              </w:rPr>
            </w:pPr>
            <w:r w:rsidRPr="00BB5286">
              <w:rPr>
                <w:rFonts w:eastAsia="Calibri" w:cs="Times New Roman"/>
                <w:b/>
                <w:noProof/>
                <w:color w:val="FFFFFF"/>
                <w:sz w:val="22"/>
                <w:lang w:val="en-GB"/>
              </w:rPr>
              <w:t>CAP Strategic Plan (CSP) management</w:t>
            </w:r>
          </w:p>
        </w:tc>
      </w:tr>
      <w:tr w:rsidR="008A0490" w:rsidRPr="00BB5286" w14:paraId="472D708A"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ABF37"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noProof/>
                <w:sz w:val="22"/>
                <w:lang w:val="en-GB"/>
              </w:rPr>
              <w:t>10</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66B9C" w14:textId="1B31543A"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Level of detail:</w:t>
            </w:r>
            <w:r w:rsidRPr="00BB5286">
              <w:rPr>
                <w:rFonts w:eastAsia="Calibri" w:cs="Times New Roman"/>
                <w:noProof/>
                <w:sz w:val="22"/>
                <w:lang w:val="en-GB"/>
              </w:rPr>
              <w:t xml:space="preserve"> </w:t>
            </w:r>
            <w:r w:rsidR="49823516" w:rsidRPr="00BB5286">
              <w:rPr>
                <w:rFonts w:eastAsia="Calibri" w:cs="Times New Roman"/>
                <w:noProof/>
                <w:sz w:val="22"/>
                <w:lang w:val="en-GB"/>
              </w:rPr>
              <w:t>l</w:t>
            </w:r>
            <w:r w:rsidR="38C64AB4" w:rsidRPr="00BB5286">
              <w:rPr>
                <w:rFonts w:eastAsia="Calibri" w:cs="Times New Roman"/>
                <w:noProof/>
                <w:sz w:val="22"/>
                <w:lang w:val="en-GB"/>
              </w:rPr>
              <w:t>ess</w:t>
            </w:r>
            <w:r w:rsidRPr="00BB5286">
              <w:rPr>
                <w:rFonts w:eastAsia="Calibri" w:cs="Times New Roman"/>
                <w:noProof/>
                <w:sz w:val="22"/>
                <w:lang w:val="en-GB"/>
              </w:rPr>
              <w:t xml:space="preserve"> detailed </w:t>
            </w:r>
            <w:r w:rsidR="38C64AB4" w:rsidRPr="00BB5286">
              <w:rPr>
                <w:rFonts w:eastAsia="Calibri" w:cs="Times New Roman"/>
                <w:noProof/>
                <w:sz w:val="22"/>
                <w:lang w:val="en-GB"/>
              </w:rPr>
              <w:t>C</w:t>
            </w:r>
            <w:r w:rsidR="0F220029" w:rsidRPr="00BB5286">
              <w:rPr>
                <w:rFonts w:eastAsia="Calibri" w:cs="Times New Roman"/>
                <w:noProof/>
                <w:sz w:val="22"/>
                <w:lang w:val="en-GB"/>
              </w:rPr>
              <w:t>AP Plan</w:t>
            </w:r>
            <w:r w:rsidRPr="00BB5286">
              <w:rPr>
                <w:rFonts w:eastAsia="Calibri" w:cs="Times New Roman"/>
                <w:noProof/>
                <w:sz w:val="22"/>
                <w:lang w:val="en-GB"/>
              </w:rPr>
              <w:t xml:space="preserve"> with a more strategic approach. Detailed descriptions of requirements should be left to national authorities. Simplify obligations in terms of monitoring, reporting and other tasks.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B1638" w14:textId="77777777" w:rsidR="00872C68" w:rsidRPr="00BB5286" w:rsidRDefault="00872C68" w:rsidP="00732505">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CZ, EE, EL, HU, LV, MT, SE, SI, DK, CY</w:t>
            </w:r>
          </w:p>
          <w:p w14:paraId="38A00DF4" w14:textId="77777777" w:rsidR="00872C68" w:rsidRPr="00BB5286" w:rsidRDefault="00872C68" w:rsidP="00732505">
            <w:pPr>
              <w:spacing w:after="60" w:line="259" w:lineRule="auto"/>
              <w:jc w:val="center"/>
              <w:rPr>
                <w:rFonts w:eastAsia="MS Gothic" w:cs="Times New Roman"/>
                <w:b/>
                <w:noProof/>
                <w:color w:val="0033CC"/>
                <w:sz w:val="22"/>
                <w:lang w:val="es-CU"/>
              </w:rPr>
            </w:pPr>
          </w:p>
          <w:p w14:paraId="6F44188A" w14:textId="77777777" w:rsidR="00872C68" w:rsidRPr="00BB5286" w:rsidRDefault="00872C68" w:rsidP="00732505">
            <w:pPr>
              <w:spacing w:after="60" w:line="259" w:lineRule="auto"/>
              <w:jc w:val="center"/>
              <w:rPr>
                <w:rFonts w:eastAsia="MS Gothic" w:cs="Times New Roman"/>
                <w:b/>
                <w:noProof/>
                <w:color w:val="0033CC"/>
                <w:sz w:val="22"/>
                <w:lang w:val="fr-BE"/>
              </w:rPr>
            </w:pPr>
            <w:r w:rsidRPr="00BB5286">
              <w:rPr>
                <w:rFonts w:eastAsia="MS Gothic" w:cs="Times New Roman"/>
                <w:b/>
                <w:noProof/>
                <w:color w:val="0033CC"/>
                <w:sz w:val="22"/>
                <w:lang w:val="fr-BE"/>
              </w:rPr>
              <w:t>ECVC, CEJA</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A9FB2" w14:textId="7F533629" w:rsidR="00872C68" w:rsidRPr="00BB5286" w:rsidRDefault="00603781"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d</w:t>
            </w:r>
            <w:r w:rsidR="00872C68" w:rsidRPr="00BB5286">
              <w:rPr>
                <w:rFonts w:eastAsia="Calibri" w:cs="Times New Roman"/>
                <w:noProof/>
                <w:sz w:val="22"/>
                <w:lang w:val="en-GB"/>
              </w:rPr>
              <w:t xml:space="preserve">esign of </w:t>
            </w:r>
            <w:r w:rsidR="00523AA0" w:rsidRPr="00BB5286">
              <w:rPr>
                <w:rFonts w:eastAsia="Calibri" w:cs="Times New Roman"/>
                <w:noProof/>
                <w:sz w:val="22"/>
                <w:lang w:val="en-GB"/>
              </w:rPr>
              <w:t>CAP Plans</w:t>
            </w:r>
            <w:r w:rsidR="00872C68" w:rsidRPr="00BB5286">
              <w:rPr>
                <w:rFonts w:eastAsia="Calibri" w:cs="Times New Roman"/>
                <w:noProof/>
                <w:sz w:val="22"/>
                <w:lang w:val="en-GB"/>
              </w:rPr>
              <w:t xml:space="preserve">, including choices that affect </w:t>
            </w:r>
            <w:r w:rsidR="059CFD83" w:rsidRPr="00BB5286">
              <w:rPr>
                <w:rFonts w:eastAsia="Calibri" w:cs="Times New Roman"/>
                <w:noProof/>
                <w:sz w:val="22"/>
                <w:lang w:val="en-GB"/>
              </w:rPr>
              <w:t>their</w:t>
            </w:r>
            <w:r w:rsidR="00872C68" w:rsidRPr="00BB5286">
              <w:rPr>
                <w:rFonts w:eastAsia="Calibri" w:cs="Times New Roman"/>
                <w:noProof/>
                <w:sz w:val="22"/>
                <w:lang w:val="en-GB"/>
              </w:rPr>
              <w:t xml:space="preserve"> complexity</w:t>
            </w:r>
            <w:r w:rsidRPr="00BB5286">
              <w:rPr>
                <w:rFonts w:eastAsia="Calibri" w:cs="Times New Roman"/>
                <w:noProof/>
                <w:sz w:val="22"/>
                <w:lang w:val="en-GB"/>
              </w:rPr>
              <w:t>,</w:t>
            </w:r>
            <w:r w:rsidR="00872C68" w:rsidRPr="00BB5286">
              <w:rPr>
                <w:rFonts w:eastAsia="Calibri" w:cs="Times New Roman"/>
                <w:noProof/>
                <w:sz w:val="22"/>
                <w:lang w:val="en-GB"/>
              </w:rPr>
              <w:t xml:space="preserve"> as well as implementation are </w:t>
            </w:r>
            <w:r w:rsidRPr="00BB5286">
              <w:rPr>
                <w:rFonts w:eastAsia="Calibri" w:cs="Times New Roman"/>
                <w:noProof/>
                <w:sz w:val="22"/>
                <w:lang w:val="en-GB"/>
              </w:rPr>
              <w:t xml:space="preserve">the responsibility of </w:t>
            </w:r>
            <w:r w:rsidR="00872C68" w:rsidRPr="00BB5286">
              <w:rPr>
                <w:rFonts w:eastAsia="Calibri" w:cs="Times New Roman"/>
                <w:noProof/>
                <w:sz w:val="22"/>
                <w:lang w:val="en-GB"/>
              </w:rPr>
              <w:t xml:space="preserve">Member States. </w:t>
            </w:r>
            <w:r w:rsidR="00872C68" w:rsidRPr="00BB5286">
              <w:rPr>
                <w:rFonts w:eastAsia="MS Mincho" w:cs="Times New Roman"/>
                <w:noProof/>
                <w:sz w:val="22"/>
                <w:lang w:val="en-GB"/>
              </w:rPr>
              <w:t xml:space="preserve">Member States are encouraged to simplify the description of the interventions in their future amendments of the </w:t>
            </w:r>
            <w:r w:rsidR="00523AA0" w:rsidRPr="00BB5286">
              <w:rPr>
                <w:rFonts w:eastAsia="MS Mincho" w:cs="Times New Roman"/>
                <w:noProof/>
                <w:sz w:val="22"/>
                <w:lang w:val="en-GB"/>
              </w:rPr>
              <w:t>CAP Plans</w:t>
            </w:r>
            <w:r w:rsidR="00872C68" w:rsidRPr="00BB5286">
              <w:rPr>
                <w:rFonts w:eastAsia="MS Mincho" w:cs="Times New Roman"/>
                <w:noProof/>
                <w:sz w:val="22"/>
                <w:lang w:val="en-GB"/>
              </w:rPr>
              <w:t>.</w:t>
            </w:r>
            <w:r w:rsidR="00872C68" w:rsidRPr="00BB5286">
              <w:rPr>
                <w:rFonts w:eastAsia="Calibri" w:cs="Times New Roman"/>
                <w:noProof/>
                <w:sz w:val="22"/>
                <w:lang w:val="en-GB"/>
              </w:rPr>
              <w:t xml:space="preserve"> The Commission services are committed to continue implementing a ‘need to know’ approach, by targeting their request on issues relevant for the assessment and approval of the amendments, working with Member States and substantially reducing the level of detail demanded in the </w:t>
            </w:r>
            <w:r w:rsidR="152B9CD0" w:rsidRPr="00BB5286">
              <w:rPr>
                <w:rFonts w:eastAsia="Calibri" w:cs="Times New Roman"/>
                <w:noProof/>
                <w:sz w:val="22"/>
                <w:lang w:val="en-GB"/>
              </w:rPr>
              <w:t>CAP Plan</w:t>
            </w:r>
            <w:r w:rsidR="00872C68" w:rsidRPr="00BB5286">
              <w:rPr>
                <w:rFonts w:eastAsia="Calibri" w:cs="Times New Roman"/>
                <w:noProof/>
                <w:sz w:val="22"/>
                <w:lang w:val="en-GB"/>
              </w:rPr>
              <w:t xml:space="preserve"> approval process, while ensuring a level</w:t>
            </w:r>
            <w:r w:rsidRPr="00BB5286">
              <w:rPr>
                <w:rFonts w:eastAsia="Calibri" w:cs="Times New Roman"/>
                <w:noProof/>
                <w:sz w:val="22"/>
                <w:lang w:val="en-GB"/>
              </w:rPr>
              <w:t xml:space="preserve"> </w:t>
            </w:r>
            <w:r w:rsidR="00872C68" w:rsidRPr="00BB5286">
              <w:rPr>
                <w:rFonts w:eastAsia="Calibri" w:cs="Times New Roman"/>
                <w:noProof/>
                <w:sz w:val="22"/>
                <w:lang w:val="en-GB"/>
              </w:rPr>
              <w:t xml:space="preserve">playing field </w:t>
            </w:r>
            <w:r w:rsidRPr="00BB5286">
              <w:rPr>
                <w:rFonts w:eastAsia="Calibri" w:cs="Times New Roman"/>
                <w:noProof/>
                <w:sz w:val="22"/>
                <w:lang w:val="en-GB"/>
              </w:rPr>
              <w:t xml:space="preserve">between </w:t>
            </w:r>
            <w:r w:rsidR="00872C68" w:rsidRPr="00BB5286">
              <w:rPr>
                <w:rFonts w:eastAsia="Calibri" w:cs="Times New Roman"/>
                <w:noProof/>
                <w:sz w:val="22"/>
                <w:lang w:val="en-GB"/>
              </w:rPr>
              <w:t xml:space="preserve">Member States and a continued focus on the CAP </w:t>
            </w:r>
            <w:r w:rsidR="16463B31" w:rsidRPr="00BB5286">
              <w:rPr>
                <w:rFonts w:eastAsia="Calibri" w:cs="Times New Roman"/>
                <w:noProof/>
                <w:sz w:val="22"/>
                <w:lang w:val="en-GB"/>
              </w:rPr>
              <w:t>P</w:t>
            </w:r>
            <w:r w:rsidR="00872C68" w:rsidRPr="00BB5286">
              <w:rPr>
                <w:rFonts w:eastAsia="Calibri" w:cs="Times New Roman"/>
                <w:noProof/>
                <w:sz w:val="22"/>
                <w:lang w:val="en-GB"/>
              </w:rPr>
              <w:t>lans’ objectives and on performance.</w:t>
            </w:r>
            <w:r w:rsidR="00872C68" w:rsidRPr="00BB5286">
              <w:rPr>
                <w:rFonts w:eastAsia="Times New Roman" w:cs="Times New Roman"/>
                <w:noProof/>
                <w:sz w:val="22"/>
                <w:lang w:val="en-GB"/>
              </w:rPr>
              <w:t xml:space="preserve"> </w:t>
            </w:r>
            <w:r w:rsidR="00872C68" w:rsidRPr="00BB5286">
              <w:rPr>
                <w:rFonts w:eastAsia="MS Mincho" w:cs="Times New Roman"/>
                <w:noProof/>
                <w:sz w:val="22"/>
                <w:lang w:val="en-GB"/>
              </w:rPr>
              <w:t>An open, constructive, and transparent dialogue between the Commission services and national authorities, based on advanced and complete proposals, helps speed up the approval process.</w:t>
            </w:r>
            <w:r w:rsidR="00F8417C" w:rsidRPr="00BB5286">
              <w:rPr>
                <w:rFonts w:eastAsia="Calibri" w:cs="Times New Roman"/>
                <w:noProof/>
                <w:sz w:val="22"/>
                <w:lang w:val="en-GB"/>
              </w:rPr>
              <w:t xml:space="preserve"> </w:t>
            </w:r>
            <w:r w:rsidR="00872C68" w:rsidRPr="00BB5286">
              <w:rPr>
                <w:rFonts w:eastAsia="Calibri" w:cs="Times New Roman"/>
                <w:noProof/>
                <w:sz w:val="22"/>
                <w:lang w:val="en-GB"/>
              </w:rPr>
              <w:t xml:space="preserve">Lessons learned from the current period will feed </w:t>
            </w:r>
            <w:r w:rsidRPr="00BB5286">
              <w:rPr>
                <w:rFonts w:eastAsia="Calibri" w:cs="Times New Roman"/>
                <w:noProof/>
                <w:sz w:val="22"/>
                <w:lang w:val="en-GB"/>
              </w:rPr>
              <w:t xml:space="preserve">into </w:t>
            </w:r>
            <w:r w:rsidR="00872C68" w:rsidRPr="00BB5286">
              <w:rPr>
                <w:rFonts w:eastAsia="Calibri" w:cs="Times New Roman"/>
                <w:noProof/>
                <w:sz w:val="22"/>
                <w:lang w:val="en-GB"/>
              </w:rPr>
              <w:t xml:space="preserve">the reflection on the post-2027 CAP. </w:t>
            </w:r>
          </w:p>
        </w:tc>
      </w:tr>
      <w:tr w:rsidR="008A0490" w:rsidRPr="00BB5286" w14:paraId="782FE260" w14:textId="77777777" w:rsidTr="00A27F70">
        <w:trPr>
          <w:trHeight w:val="257"/>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34828"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11</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340131" w14:textId="1F23DC50"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Amendments:</w:t>
            </w:r>
            <w:r w:rsidR="008E4FC1" w:rsidRPr="00BB5286">
              <w:rPr>
                <w:rFonts w:eastAsia="Calibri" w:cs="Times New Roman"/>
                <w:noProof/>
                <w:sz w:val="22"/>
                <w:lang w:val="en-GB"/>
              </w:rPr>
              <w:t xml:space="preserve"> </w:t>
            </w:r>
            <w:r w:rsidR="36AF405D" w:rsidRPr="00BB5286">
              <w:rPr>
                <w:rFonts w:eastAsia="Calibri" w:cs="Times New Roman"/>
                <w:noProof/>
                <w:sz w:val="22"/>
                <w:lang w:val="en-GB"/>
              </w:rPr>
              <w:t>s</w:t>
            </w:r>
            <w:r w:rsidRPr="00BB5286">
              <w:rPr>
                <w:rFonts w:eastAsia="Calibri" w:cs="Times New Roman"/>
                <w:noProof/>
                <w:sz w:val="22"/>
                <w:lang w:val="en-GB"/>
              </w:rPr>
              <w:t xml:space="preserve">implify </w:t>
            </w:r>
            <w:r w:rsidR="00603781" w:rsidRPr="00BB5286">
              <w:rPr>
                <w:rFonts w:eastAsia="Calibri" w:cs="Times New Roman"/>
                <w:noProof/>
                <w:sz w:val="22"/>
                <w:lang w:val="en-GB"/>
              </w:rPr>
              <w:t xml:space="preserve">the </w:t>
            </w:r>
            <w:r w:rsidR="38C64AB4" w:rsidRPr="00BB5286">
              <w:rPr>
                <w:rFonts w:eastAsia="Calibri" w:cs="Times New Roman"/>
                <w:noProof/>
                <w:sz w:val="22"/>
                <w:lang w:val="en-GB"/>
              </w:rPr>
              <w:t>C</w:t>
            </w:r>
            <w:r w:rsidR="44F40DF1" w:rsidRPr="00BB5286">
              <w:rPr>
                <w:rFonts w:eastAsia="Calibri" w:cs="Times New Roman"/>
                <w:noProof/>
                <w:sz w:val="22"/>
                <w:lang w:val="en-GB"/>
              </w:rPr>
              <w:t>AP Plan</w:t>
            </w:r>
            <w:r w:rsidRPr="00BB5286">
              <w:rPr>
                <w:rFonts w:eastAsia="Calibri" w:cs="Times New Roman"/>
                <w:noProof/>
                <w:sz w:val="22"/>
                <w:lang w:val="en-GB"/>
              </w:rPr>
              <w:t xml:space="preserve"> amendment procedure. Speed up the negotiation of the </w:t>
            </w:r>
            <w:r w:rsidR="05F63A1E" w:rsidRPr="00BB5286">
              <w:rPr>
                <w:rFonts w:eastAsia="Calibri" w:cs="Times New Roman"/>
                <w:noProof/>
                <w:sz w:val="22"/>
                <w:lang w:val="en-GB"/>
              </w:rPr>
              <w:t>CAP Plan</w:t>
            </w:r>
            <w:r w:rsidRPr="00BB5286">
              <w:rPr>
                <w:rFonts w:eastAsia="Calibri" w:cs="Times New Roman"/>
                <w:noProof/>
                <w:sz w:val="22"/>
                <w:lang w:val="en-GB"/>
              </w:rPr>
              <w:t xml:space="preserve"> amendments and amendment procedures</w:t>
            </w:r>
            <w:r w:rsidR="7E1D96C9" w:rsidRPr="00BB5286">
              <w:rPr>
                <w:rFonts w:eastAsia="Calibri" w:cs="Times New Roman"/>
                <w:noProof/>
                <w:sz w:val="22"/>
                <w:lang w:val="en-GB"/>
              </w:rPr>
              <w:t>.</w:t>
            </w:r>
            <w:r w:rsidRPr="00BB5286">
              <w:rPr>
                <w:rFonts w:eastAsia="Calibri" w:cs="Times New Roman"/>
                <w:noProof/>
                <w:sz w:val="22"/>
                <w:lang w:val="en-GB"/>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EACC2"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All Member States (except</w:t>
            </w:r>
          </w:p>
          <w:p w14:paraId="1312C7A2" w14:textId="609A22D2" w:rsidR="00872C68" w:rsidRPr="00BB5286" w:rsidRDefault="00872C68" w:rsidP="009162C0">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DE and ES)</w:t>
            </w:r>
          </w:p>
          <w:p w14:paraId="52816027" w14:textId="14925054" w:rsidR="00872C68" w:rsidRPr="00BB5286" w:rsidRDefault="00872C68" w:rsidP="00732505">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 xml:space="preserve">COPA-COGECA, </w:t>
            </w:r>
          </w:p>
          <w:p w14:paraId="48528AE3" w14:textId="77777777" w:rsidR="00872C68" w:rsidRPr="00BB5286" w:rsidRDefault="00872C68" w:rsidP="00732505">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 xml:space="preserve">CEJA, </w:t>
            </w:r>
          </w:p>
          <w:p w14:paraId="21A714B0" w14:textId="77777777" w:rsidR="00872C68" w:rsidRPr="00BB5286" w:rsidRDefault="00872C68" w:rsidP="00732505">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COM AGRI</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D15ED5" w14:textId="3DC7AF32"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This suggestion is covered by the Simplification Package.</w:t>
            </w:r>
            <w:r w:rsidRPr="00BB5286" w:rsidDel="00FD46E0">
              <w:rPr>
                <w:rFonts w:eastAsia="Calibri" w:cs="Times New Roman"/>
                <w:noProof/>
                <w:sz w:val="22"/>
                <w:lang w:val="en-GB"/>
              </w:rPr>
              <w:t xml:space="preserve"> </w:t>
            </w:r>
            <w:r w:rsidRPr="00BB5286">
              <w:rPr>
                <w:rFonts w:eastAsia="Calibri" w:cs="Times New Roman"/>
                <w:noProof/>
                <w:sz w:val="22"/>
                <w:lang w:val="en-GB"/>
              </w:rPr>
              <w:t xml:space="preserve">A review of the </w:t>
            </w:r>
            <w:r w:rsidR="59168991" w:rsidRPr="00BB5286">
              <w:rPr>
                <w:rFonts w:eastAsia="Calibri" w:cs="Times New Roman"/>
                <w:noProof/>
                <w:sz w:val="22"/>
                <w:lang w:val="en-GB"/>
              </w:rPr>
              <w:t xml:space="preserve">CAP Plan </w:t>
            </w:r>
            <w:r w:rsidRPr="00BB5286">
              <w:rPr>
                <w:rFonts w:eastAsia="Calibri" w:cs="Times New Roman"/>
                <w:noProof/>
                <w:sz w:val="22"/>
                <w:lang w:val="en-GB"/>
              </w:rPr>
              <w:t xml:space="preserve">approval process is ongoing in the remit of the discussion between the Member States and the Commission in the relevant expert groups. </w:t>
            </w:r>
          </w:p>
        </w:tc>
      </w:tr>
      <w:tr w:rsidR="008A0490" w:rsidRPr="00BB5286" w14:paraId="7025EE7C" w14:textId="77777777" w:rsidTr="00A27F70">
        <w:trPr>
          <w:trHeight w:val="553"/>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C6446"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lastRenderedPageBreak/>
              <w:t>12</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6FC4BE" w14:textId="3098EB9B"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Amendments:</w:t>
            </w:r>
            <w:r w:rsidRPr="00BB5286">
              <w:rPr>
                <w:rFonts w:eastAsia="Calibri" w:cs="Times New Roman"/>
                <w:noProof/>
                <w:sz w:val="22"/>
                <w:lang w:val="en-GB"/>
              </w:rPr>
              <w:t xml:space="preserve"> </w:t>
            </w:r>
            <w:r w:rsidR="590402CA" w:rsidRPr="00BB5286">
              <w:rPr>
                <w:rFonts w:eastAsia="Calibri" w:cs="Times New Roman"/>
                <w:noProof/>
                <w:sz w:val="22"/>
                <w:lang w:val="en-GB"/>
              </w:rPr>
              <w:t>CAP Plan</w:t>
            </w:r>
            <w:r w:rsidRPr="00BB5286">
              <w:rPr>
                <w:rFonts w:eastAsia="Calibri" w:cs="Times New Roman"/>
                <w:noProof/>
                <w:sz w:val="22"/>
                <w:lang w:val="en-GB"/>
              </w:rPr>
              <w:t xml:space="preserve"> amendment frequency should be increased.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B9BC5" w14:textId="77777777" w:rsidR="00872C68" w:rsidRPr="00BB5286" w:rsidRDefault="00872C68" w:rsidP="00732505">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EL, LT, LV,</w:t>
            </w:r>
          </w:p>
          <w:p w14:paraId="3BF399E0" w14:textId="77777777" w:rsidR="00872C68" w:rsidRPr="00BB5286" w:rsidRDefault="00872C68" w:rsidP="00732505">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PL, RO</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300E4" w14:textId="7EFC303C"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is covered by the </w:t>
            </w:r>
            <w:r w:rsidR="00774146" w:rsidRPr="00BB5286">
              <w:rPr>
                <w:rFonts w:eastAsia="Calibri" w:cs="Times New Roman"/>
                <w:noProof/>
                <w:sz w:val="22"/>
                <w:lang w:val="en-GB"/>
              </w:rPr>
              <w:t>s</w:t>
            </w:r>
            <w:r w:rsidRPr="00BB5286">
              <w:rPr>
                <w:rFonts w:eastAsia="Calibri" w:cs="Times New Roman"/>
                <w:noProof/>
                <w:sz w:val="22"/>
                <w:lang w:val="en-GB"/>
              </w:rPr>
              <w:t xml:space="preserve">implification </w:t>
            </w:r>
            <w:r w:rsidR="00774146" w:rsidRPr="00BB5286">
              <w:rPr>
                <w:rFonts w:eastAsia="Calibri" w:cs="Times New Roman"/>
                <w:noProof/>
                <w:sz w:val="22"/>
                <w:lang w:val="en-GB"/>
              </w:rPr>
              <w:t>p</w:t>
            </w:r>
            <w:r w:rsidRPr="00BB5286">
              <w:rPr>
                <w:rFonts w:eastAsia="Calibri" w:cs="Times New Roman"/>
                <w:noProof/>
                <w:sz w:val="22"/>
                <w:lang w:val="en-GB"/>
              </w:rPr>
              <w:t>ackage.</w:t>
            </w:r>
            <w:r w:rsidR="00E91F5A" w:rsidRPr="00BB5286">
              <w:rPr>
                <w:rFonts w:eastAsia="Calibri" w:cs="Times New Roman"/>
                <w:noProof/>
                <w:sz w:val="22"/>
                <w:lang w:val="en-GB"/>
              </w:rPr>
              <w:t xml:space="preserve"> </w:t>
            </w:r>
            <w:r w:rsidRPr="00BB5286">
              <w:rPr>
                <w:rFonts w:eastAsia="Calibri" w:cs="Times New Roman"/>
                <w:noProof/>
                <w:sz w:val="22"/>
                <w:lang w:val="en-GB"/>
              </w:rPr>
              <w:t xml:space="preserve">The Commission proposed to increase the maximum number of requests for amendment of </w:t>
            </w:r>
            <w:r w:rsidR="00523AA0" w:rsidRPr="00BB5286">
              <w:rPr>
                <w:rFonts w:eastAsia="Calibri" w:cs="Times New Roman"/>
                <w:noProof/>
                <w:sz w:val="22"/>
                <w:lang w:val="en-GB"/>
              </w:rPr>
              <w:t>CAP Plans</w:t>
            </w:r>
            <w:r w:rsidRPr="00BB5286">
              <w:rPr>
                <w:rFonts w:eastAsia="Calibri" w:cs="Times New Roman"/>
                <w:noProof/>
                <w:sz w:val="22"/>
                <w:lang w:val="en-GB"/>
              </w:rPr>
              <w:t xml:space="preserve"> which a Member State may submit per calendar year. F</w:t>
            </w:r>
            <w:r w:rsidR="00670311">
              <w:rPr>
                <w:rFonts w:eastAsia="Calibri" w:cs="Times New Roman"/>
                <w:noProof/>
                <w:sz w:val="22"/>
                <w:lang w:val="en-GB"/>
              </w:rPr>
              <w:t>ollowing</w:t>
            </w:r>
            <w:r w:rsidRPr="00BB5286">
              <w:rPr>
                <w:rFonts w:eastAsia="Calibri" w:cs="Times New Roman"/>
                <w:noProof/>
                <w:sz w:val="22"/>
                <w:lang w:val="en-GB"/>
              </w:rPr>
              <w:t xml:space="preserve"> the amendment of </w:t>
            </w:r>
            <w:r w:rsidRPr="00BB5286">
              <w:rPr>
                <w:rFonts w:eastAsia="Calibri" w:cs="Times New Roman"/>
                <w:i/>
                <w:noProof/>
                <w:sz w:val="22"/>
                <w:lang w:val="en-GB"/>
              </w:rPr>
              <w:t>Article 119(7)</w:t>
            </w:r>
            <w:r w:rsidRPr="00BB5286">
              <w:rPr>
                <w:rFonts w:eastAsia="Calibri" w:cs="Times New Roman"/>
                <w:noProof/>
                <w:sz w:val="22"/>
                <w:lang w:val="en-GB"/>
              </w:rPr>
              <w:t xml:space="preserve"> of </w:t>
            </w:r>
            <w:r w:rsidR="5D064848" w:rsidRPr="00BB5286">
              <w:rPr>
                <w:rFonts w:eastAsia="Calibri" w:cs="Times New Roman"/>
                <w:noProof/>
                <w:sz w:val="22"/>
                <w:lang w:val="en-GB"/>
              </w:rPr>
              <w:t xml:space="preserve">the CSP </w:t>
            </w:r>
            <w:r w:rsidRPr="00BB5286">
              <w:rPr>
                <w:rFonts w:eastAsia="Calibri" w:cs="Times New Roman"/>
                <w:noProof/>
                <w:sz w:val="22"/>
                <w:lang w:val="en-GB"/>
              </w:rPr>
              <w:t xml:space="preserve">Regulation </w:t>
            </w:r>
            <w:r w:rsidR="1DA27490" w:rsidRPr="00BB5286">
              <w:rPr>
                <w:rFonts w:eastAsia="Calibri" w:cs="Times New Roman"/>
                <w:noProof/>
                <w:sz w:val="22"/>
                <w:lang w:val="en-GB"/>
              </w:rPr>
              <w:t>by the Simplification Regulation</w:t>
            </w:r>
            <w:r w:rsidRPr="00BB5286">
              <w:rPr>
                <w:rFonts w:eastAsia="Calibri" w:cs="Times New Roman"/>
                <w:noProof/>
                <w:sz w:val="22"/>
                <w:lang w:val="en-GB"/>
              </w:rPr>
              <w:t xml:space="preserve">, Member States are now allowed to send two requests per calendar year. </w:t>
            </w:r>
          </w:p>
        </w:tc>
      </w:tr>
      <w:tr w:rsidR="008A0490" w:rsidRPr="00BB5286" w14:paraId="4E4CC060"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B0C12"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13</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AEEBD" w14:textId="412FF20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Amendments:</w:t>
            </w:r>
            <w:r w:rsidRPr="00BB5286">
              <w:rPr>
                <w:rFonts w:eastAsia="Calibri" w:cs="Times New Roman"/>
                <w:noProof/>
                <w:sz w:val="22"/>
                <w:lang w:val="en-GB"/>
              </w:rPr>
              <w:t xml:space="preserve"> </w:t>
            </w:r>
            <w:r w:rsidR="1148AF79" w:rsidRPr="00BB5286">
              <w:rPr>
                <w:rFonts w:eastAsia="Calibri" w:cs="Times New Roman"/>
                <w:noProof/>
                <w:sz w:val="22"/>
                <w:lang w:val="en-GB"/>
              </w:rPr>
              <w:t>a</w:t>
            </w:r>
            <w:r w:rsidRPr="00BB5286">
              <w:rPr>
                <w:rFonts w:eastAsia="Calibri" w:cs="Times New Roman"/>
                <w:noProof/>
                <w:sz w:val="22"/>
                <w:lang w:val="en-GB"/>
              </w:rPr>
              <w:t xml:space="preserve">pply the notification procedure in </w:t>
            </w:r>
            <w:r w:rsidRPr="00BB5286">
              <w:rPr>
                <w:rFonts w:eastAsia="Calibri" w:cs="Times New Roman"/>
                <w:i/>
                <w:noProof/>
                <w:sz w:val="22"/>
                <w:lang w:val="en-GB"/>
              </w:rPr>
              <w:t>Article 119(9)</w:t>
            </w:r>
            <w:r w:rsidRPr="00BB5286">
              <w:rPr>
                <w:rFonts w:eastAsia="Calibri" w:cs="Times New Roman"/>
                <w:noProof/>
                <w:sz w:val="22"/>
                <w:lang w:val="en-GB"/>
              </w:rPr>
              <w:t xml:space="preserve"> of</w:t>
            </w:r>
            <w:r w:rsidRPr="00BB5286">
              <w:rPr>
                <w:rFonts w:eastAsia="MS Mincho" w:cs="Times New Roman"/>
                <w:noProof/>
                <w:sz w:val="22"/>
                <w:lang w:val="en-GB"/>
              </w:rPr>
              <w:t xml:space="preserve"> </w:t>
            </w:r>
            <w:r w:rsidR="2968A877" w:rsidRPr="00BB5286">
              <w:rPr>
                <w:rFonts w:eastAsia="MS Mincho" w:cs="Times New Roman"/>
                <w:noProof/>
                <w:sz w:val="22"/>
                <w:lang w:val="en-GB"/>
              </w:rPr>
              <w:t xml:space="preserve">the CSP </w:t>
            </w:r>
            <w:r w:rsidRPr="00BB5286">
              <w:rPr>
                <w:rFonts w:eastAsia="MS Mincho" w:cs="Times New Roman"/>
                <w:noProof/>
                <w:sz w:val="22"/>
                <w:lang w:val="en-GB"/>
              </w:rPr>
              <w:t xml:space="preserve">Regulation for modifications of </w:t>
            </w:r>
            <w:r w:rsidR="38C64AB4" w:rsidRPr="00BB5286">
              <w:rPr>
                <w:rFonts w:eastAsia="MS Mincho" w:cs="Times New Roman"/>
                <w:noProof/>
                <w:sz w:val="22"/>
                <w:lang w:val="en-GB"/>
              </w:rPr>
              <w:t>C</w:t>
            </w:r>
            <w:r w:rsidR="42DF145B" w:rsidRPr="00BB5286">
              <w:rPr>
                <w:rFonts w:eastAsia="MS Mincho" w:cs="Times New Roman"/>
                <w:noProof/>
                <w:sz w:val="22"/>
                <w:lang w:val="en-GB"/>
              </w:rPr>
              <w:t>A</w:t>
            </w:r>
            <w:r w:rsidR="38C64AB4" w:rsidRPr="00BB5286">
              <w:rPr>
                <w:rFonts w:eastAsia="MS Mincho" w:cs="Times New Roman"/>
                <w:noProof/>
                <w:sz w:val="22"/>
                <w:lang w:val="en-GB"/>
              </w:rPr>
              <w:t>P</w:t>
            </w:r>
            <w:r w:rsidR="1C025B54" w:rsidRPr="00BB5286">
              <w:rPr>
                <w:rFonts w:eastAsia="MS Mincho" w:cs="Times New Roman"/>
                <w:noProof/>
                <w:sz w:val="22"/>
                <w:lang w:val="en-GB"/>
              </w:rPr>
              <w:t xml:space="preserve"> Plan</w:t>
            </w:r>
            <w:r w:rsidRPr="00BB5286">
              <w:rPr>
                <w:rFonts w:eastAsia="MS Mincho" w:cs="Times New Roman"/>
                <w:noProof/>
                <w:sz w:val="22"/>
                <w:lang w:val="en-GB"/>
              </w:rPr>
              <w:t xml:space="preserve"> interventions financed by the European Agricultural Fund for Rural Development (EAFRD) also to those financed by the European Agricultural Guarantee Fund (EAGF).</w:t>
            </w:r>
            <w:r w:rsidR="00905A56">
              <w:rPr>
                <w:rFonts w:eastAsia="Calibri" w:cs="Times New Roman"/>
                <w:noProof/>
                <w:sz w:val="22"/>
                <w:lang w:val="en-GB"/>
              </w:rPr>
              <w:t xml:space="preserve"> </w:t>
            </w:r>
            <w:r w:rsidRPr="00BB5286">
              <w:rPr>
                <w:rFonts w:eastAsia="Calibri" w:cs="Times New Roman"/>
                <w:noProof/>
                <w:sz w:val="22"/>
                <w:lang w:val="en-GB"/>
              </w:rPr>
              <w:t>Harmonise the provisions regarding the entry into force of the amendment proposals for Pillar I interventions (EAGF) with the current provisions for Pillar II (EAFRD)</w:t>
            </w:r>
            <w:r w:rsidR="009162C0" w:rsidRPr="00BB5286">
              <w:rPr>
                <w:rFonts w:eastAsia="Calibri" w:cs="Times New Roman"/>
                <w:noProof/>
                <w:sz w:val="22"/>
                <w:lang w:val="en-GB"/>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599BC" w14:textId="77777777" w:rsidR="00872C68" w:rsidRPr="00BB5286" w:rsidRDefault="00872C68" w:rsidP="00732505">
            <w:pPr>
              <w:spacing w:after="60" w:line="259" w:lineRule="auto"/>
              <w:jc w:val="center"/>
              <w:rPr>
                <w:rFonts w:eastAsia="MS Gothic" w:cs="Times New Roman"/>
                <w:b/>
                <w:bCs/>
                <w:noProof/>
                <w:color w:val="0033CC"/>
                <w:sz w:val="22"/>
                <w:lang w:val="es-CU"/>
              </w:rPr>
            </w:pPr>
            <w:r w:rsidRPr="00BB5286">
              <w:rPr>
                <w:rFonts w:eastAsia="MS Gothic" w:cs="Times New Roman"/>
                <w:b/>
                <w:noProof/>
                <w:color w:val="0033CC"/>
                <w:sz w:val="22"/>
                <w:lang w:val="es-CU"/>
              </w:rPr>
              <w:t>BG, CZ, EE, EL, FR, HR, PL, SI, SK,</w:t>
            </w:r>
          </w:p>
          <w:p w14:paraId="71D7894D"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IE, BE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B3E2A" w14:textId="66907200"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774146" w:rsidRPr="00BB5286">
              <w:rPr>
                <w:rFonts w:eastAsia="Calibri" w:cs="Times New Roman"/>
                <w:noProof/>
                <w:sz w:val="22"/>
                <w:lang w:val="en-GB"/>
              </w:rPr>
              <w:t xml:space="preserve">into </w:t>
            </w:r>
            <w:r w:rsidRPr="00BB5286">
              <w:rPr>
                <w:rFonts w:eastAsia="Calibri" w:cs="Times New Roman"/>
                <w:noProof/>
                <w:sz w:val="22"/>
                <w:lang w:val="en-GB"/>
              </w:rPr>
              <w:t xml:space="preserve">the reflection on the post-2027 CAP, taking into consideration the annual nature of the EAGF and the difficulties farmers may face </w:t>
            </w:r>
            <w:r w:rsidR="00774146" w:rsidRPr="00BB5286">
              <w:rPr>
                <w:rFonts w:eastAsia="Calibri" w:cs="Times New Roman"/>
                <w:noProof/>
                <w:sz w:val="22"/>
                <w:lang w:val="en-GB"/>
              </w:rPr>
              <w:t xml:space="preserve">in </w:t>
            </w:r>
            <w:r w:rsidRPr="00BB5286">
              <w:rPr>
                <w:rFonts w:eastAsia="Calibri" w:cs="Times New Roman"/>
                <w:noProof/>
                <w:sz w:val="22"/>
                <w:lang w:val="en-GB"/>
              </w:rPr>
              <w:t>adapt</w:t>
            </w:r>
            <w:r w:rsidR="00774146" w:rsidRPr="00BB5286">
              <w:rPr>
                <w:rFonts w:eastAsia="Calibri" w:cs="Times New Roman"/>
                <w:noProof/>
                <w:sz w:val="22"/>
                <w:lang w:val="en-GB"/>
              </w:rPr>
              <w:t>ing</w:t>
            </w:r>
            <w:r w:rsidRPr="00BB5286">
              <w:rPr>
                <w:rFonts w:eastAsia="Calibri" w:cs="Times New Roman"/>
                <w:noProof/>
                <w:sz w:val="22"/>
                <w:lang w:val="en-GB"/>
              </w:rPr>
              <w:t xml:space="preserve"> to changes that would take effect during the claim year.</w:t>
            </w:r>
          </w:p>
        </w:tc>
      </w:tr>
      <w:tr w:rsidR="008A0490" w:rsidRPr="00BB5286" w14:paraId="009A9BBC" w14:textId="77777777" w:rsidTr="00A27F70">
        <w:trPr>
          <w:trHeight w:val="411"/>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0B19"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noProof/>
                <w:sz w:val="22"/>
                <w:lang w:val="en-GB"/>
              </w:rPr>
              <w:t>14</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FB152" w14:textId="5071541C"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Amendments:</w:t>
            </w:r>
            <w:r w:rsidRPr="00BB5286">
              <w:rPr>
                <w:rFonts w:eastAsia="Calibri" w:cs="Times New Roman"/>
                <w:noProof/>
                <w:sz w:val="22"/>
                <w:lang w:val="en-GB"/>
              </w:rPr>
              <w:t xml:space="preserve"> </w:t>
            </w:r>
            <w:r w:rsidR="5A5BDFE6" w:rsidRPr="00BB5286">
              <w:rPr>
                <w:rFonts w:eastAsia="Calibri" w:cs="Times New Roman"/>
                <w:noProof/>
                <w:sz w:val="22"/>
                <w:lang w:val="en-GB"/>
              </w:rPr>
              <w:t>a</w:t>
            </w:r>
            <w:r w:rsidRPr="00BB5286">
              <w:rPr>
                <w:rFonts w:eastAsia="Calibri" w:cs="Times New Roman"/>
                <w:noProof/>
                <w:sz w:val="22"/>
                <w:lang w:val="en-GB"/>
              </w:rPr>
              <w:t xml:space="preserve">llow retroactive application of amendments or </w:t>
            </w:r>
            <w:r w:rsidR="00774146" w:rsidRPr="00BB5286">
              <w:rPr>
                <w:rFonts w:eastAsia="Calibri" w:cs="Times New Roman"/>
                <w:noProof/>
                <w:sz w:val="22"/>
                <w:lang w:val="en-GB"/>
              </w:rPr>
              <w:t>the ability</w:t>
            </w:r>
            <w:r w:rsidRPr="00BB5286">
              <w:rPr>
                <w:rFonts w:eastAsia="Calibri" w:cs="Times New Roman"/>
                <w:noProof/>
                <w:sz w:val="22"/>
                <w:lang w:val="en-GB"/>
              </w:rPr>
              <w:t xml:space="preserve"> to apply modifications retroactively in certain cases without</w:t>
            </w:r>
            <w:r w:rsidR="00774146" w:rsidRPr="00BB5286">
              <w:rPr>
                <w:rFonts w:eastAsia="Calibri" w:cs="Times New Roman"/>
                <w:noProof/>
                <w:sz w:val="22"/>
                <w:lang w:val="en-GB"/>
              </w:rPr>
              <w:t>,</w:t>
            </w:r>
            <w:r w:rsidRPr="00BB5286">
              <w:rPr>
                <w:rFonts w:eastAsia="Calibri" w:cs="Times New Roman"/>
                <w:noProof/>
                <w:sz w:val="22"/>
                <w:lang w:val="en-GB"/>
              </w:rPr>
              <w:t xml:space="preserve"> however</w:t>
            </w:r>
            <w:r w:rsidR="00774146" w:rsidRPr="00BB5286">
              <w:rPr>
                <w:rFonts w:eastAsia="Calibri" w:cs="Times New Roman"/>
                <w:noProof/>
                <w:sz w:val="22"/>
                <w:lang w:val="en-GB"/>
              </w:rPr>
              <w:t>,</w:t>
            </w:r>
            <w:r w:rsidRPr="00BB5286">
              <w:rPr>
                <w:rFonts w:eastAsia="Calibri" w:cs="Times New Roman"/>
                <w:noProof/>
                <w:sz w:val="22"/>
                <w:lang w:val="en-GB"/>
              </w:rPr>
              <w:t xml:space="preserve"> going back before January 1 of the year in which the modification is introduced (to avoid generating legal uncertainty and regulatory instability).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27EB8" w14:textId="77777777" w:rsidR="00872C68" w:rsidRPr="00631038" w:rsidRDefault="00872C68" w:rsidP="00732505">
            <w:pPr>
              <w:spacing w:after="60" w:line="259" w:lineRule="auto"/>
              <w:jc w:val="center"/>
              <w:rPr>
                <w:rFonts w:eastAsia="MS Gothic" w:cs="Times New Roman"/>
                <w:b/>
                <w:noProof/>
                <w:color w:val="0033CC"/>
                <w:sz w:val="22"/>
                <w:lang w:val="de-AT"/>
              </w:rPr>
            </w:pPr>
            <w:r w:rsidRPr="00631038">
              <w:rPr>
                <w:rFonts w:eastAsia="MS Gothic" w:cs="Times New Roman"/>
                <w:b/>
                <w:noProof/>
                <w:color w:val="0033CC"/>
                <w:sz w:val="22"/>
                <w:lang w:val="de-AT"/>
              </w:rPr>
              <w:t>BG, EL, HR, HU, MT, FR</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409DA" w14:textId="32EFF61B" w:rsidR="00872C68" w:rsidRPr="00BB5286" w:rsidRDefault="00872C68" w:rsidP="7F8FFD49">
            <w:pPr>
              <w:spacing w:after="60" w:line="259" w:lineRule="auto"/>
              <w:jc w:val="both"/>
              <w:rPr>
                <w:rFonts w:eastAsia="MS Mincho" w:cs="Times New Roman"/>
                <w:noProof/>
                <w:sz w:val="22"/>
                <w:szCs w:val="20"/>
                <w:lang w:val="en-IE"/>
              </w:rPr>
            </w:pPr>
            <w:r w:rsidRPr="00BB5286">
              <w:rPr>
                <w:rFonts w:eastAsia="Calibri" w:cs="Times New Roman"/>
                <w:noProof/>
                <w:sz w:val="22"/>
                <w:szCs w:val="20"/>
                <w:lang w:val="en-IE"/>
              </w:rPr>
              <w:t xml:space="preserve">The suggestion was not taken up because it does not take into account the differences between the EAGF, </w:t>
            </w:r>
            <w:r w:rsidR="00774146" w:rsidRPr="00BB5286">
              <w:rPr>
                <w:rFonts w:eastAsia="Calibri" w:cs="Times New Roman"/>
                <w:noProof/>
                <w:sz w:val="22"/>
                <w:szCs w:val="20"/>
                <w:lang w:val="en-IE"/>
              </w:rPr>
              <w:t xml:space="preserve">which </w:t>
            </w:r>
            <w:r w:rsidRPr="00BB5286">
              <w:rPr>
                <w:rFonts w:eastAsia="Calibri" w:cs="Times New Roman"/>
                <w:noProof/>
                <w:sz w:val="22"/>
                <w:szCs w:val="20"/>
                <w:lang w:val="en-IE"/>
              </w:rPr>
              <w:t>cover</w:t>
            </w:r>
            <w:r w:rsidR="00774146" w:rsidRPr="00BB5286">
              <w:rPr>
                <w:rFonts w:eastAsia="Calibri" w:cs="Times New Roman"/>
                <w:noProof/>
                <w:sz w:val="22"/>
                <w:szCs w:val="20"/>
                <w:lang w:val="en-IE"/>
              </w:rPr>
              <w:t>s</w:t>
            </w:r>
            <w:r w:rsidRPr="00BB5286">
              <w:rPr>
                <w:rFonts w:eastAsia="Calibri" w:cs="Times New Roman"/>
                <w:noProof/>
                <w:sz w:val="22"/>
                <w:szCs w:val="20"/>
                <w:lang w:val="en-IE"/>
              </w:rPr>
              <w:t xml:space="preserve"> annual interventions</w:t>
            </w:r>
            <w:r w:rsidR="00774146" w:rsidRPr="00BB5286">
              <w:rPr>
                <w:rFonts w:eastAsia="Calibri" w:cs="Times New Roman"/>
                <w:noProof/>
                <w:sz w:val="22"/>
                <w:szCs w:val="20"/>
                <w:lang w:val="en-IE"/>
              </w:rPr>
              <w:t>, and the</w:t>
            </w:r>
            <w:r w:rsidRPr="00BB5286">
              <w:rPr>
                <w:rFonts w:eastAsia="Calibri" w:cs="Times New Roman"/>
                <w:noProof/>
                <w:sz w:val="22"/>
                <w:szCs w:val="20"/>
                <w:lang w:val="en-IE"/>
              </w:rPr>
              <w:t xml:space="preserve"> EAF</w:t>
            </w:r>
            <w:r w:rsidRPr="00BB5286">
              <w:rPr>
                <w:rFonts w:eastAsia="MS Mincho" w:cs="Times New Roman"/>
                <w:noProof/>
                <w:sz w:val="22"/>
                <w:szCs w:val="20"/>
                <w:lang w:val="en-IE"/>
              </w:rPr>
              <w:t>RD</w:t>
            </w:r>
            <w:r w:rsidR="00774146" w:rsidRPr="00BB5286">
              <w:rPr>
                <w:rFonts w:eastAsia="MS Mincho" w:cs="Times New Roman"/>
                <w:noProof/>
                <w:sz w:val="22"/>
                <w:szCs w:val="20"/>
                <w:lang w:val="en-IE"/>
              </w:rPr>
              <w:t>, which</w:t>
            </w:r>
            <w:r w:rsidRPr="00BB5286">
              <w:rPr>
                <w:rFonts w:eastAsia="MS Mincho" w:cs="Times New Roman"/>
                <w:noProof/>
                <w:sz w:val="22"/>
                <w:szCs w:val="20"/>
                <w:lang w:val="en-IE"/>
              </w:rPr>
              <w:t xml:space="preserve"> is mainly multiannual. T</w:t>
            </w:r>
            <w:r w:rsidRPr="00BB5286">
              <w:rPr>
                <w:rFonts w:eastAsia="Calibri" w:cs="Times New Roman"/>
                <w:noProof/>
                <w:sz w:val="22"/>
                <w:szCs w:val="20"/>
                <w:lang w:val="en-IE"/>
              </w:rPr>
              <w:t xml:space="preserve">he annual nature of the EAGF cannot be reconciled with retroactive changes for previous financial years. Besides, any retroactive changes to requirements which would be mandatory for farmers risk affecting legal certainty and </w:t>
            </w:r>
            <w:r w:rsidR="00774146" w:rsidRPr="00BB5286">
              <w:rPr>
                <w:rFonts w:eastAsia="Calibri" w:cs="Times New Roman"/>
                <w:noProof/>
                <w:sz w:val="22"/>
                <w:szCs w:val="20"/>
                <w:lang w:val="en-IE"/>
              </w:rPr>
              <w:t xml:space="preserve">the </w:t>
            </w:r>
            <w:r w:rsidRPr="00BB5286">
              <w:rPr>
                <w:rFonts w:eastAsia="Calibri" w:cs="Times New Roman"/>
                <w:noProof/>
                <w:sz w:val="22"/>
                <w:szCs w:val="20"/>
                <w:lang w:val="en-IE"/>
              </w:rPr>
              <w:t>legitimate expectations of farmers</w:t>
            </w:r>
            <w:r w:rsidR="00774146" w:rsidRPr="00BB5286">
              <w:rPr>
                <w:rFonts w:eastAsia="Calibri" w:cs="Times New Roman"/>
                <w:noProof/>
                <w:sz w:val="22"/>
                <w:szCs w:val="20"/>
                <w:lang w:val="en-IE"/>
              </w:rPr>
              <w:t>,</w:t>
            </w:r>
            <w:r w:rsidR="00746B88" w:rsidRPr="00BB5286">
              <w:rPr>
                <w:rFonts w:eastAsia="Calibri" w:cs="Times New Roman"/>
                <w:noProof/>
                <w:sz w:val="22"/>
                <w:szCs w:val="20"/>
                <w:lang w:val="en-IE"/>
              </w:rPr>
              <w:t xml:space="preserve"> </w:t>
            </w:r>
            <w:r w:rsidRPr="00BB5286">
              <w:rPr>
                <w:rFonts w:eastAsia="Calibri" w:cs="Times New Roman"/>
                <w:noProof/>
                <w:sz w:val="22"/>
                <w:szCs w:val="20"/>
                <w:lang w:val="en-IE"/>
              </w:rPr>
              <w:t xml:space="preserve">and may also entail a risk of discrimination. </w:t>
            </w:r>
            <w:r w:rsidR="00774146" w:rsidRPr="00BB5286">
              <w:rPr>
                <w:rFonts w:eastAsia="Calibri" w:cs="Times New Roman"/>
                <w:noProof/>
                <w:sz w:val="22"/>
                <w:szCs w:val="20"/>
                <w:lang w:val="en-IE"/>
              </w:rPr>
              <w:t xml:space="preserve">EU </w:t>
            </w:r>
            <w:r w:rsidRPr="00BB5286">
              <w:rPr>
                <w:rFonts w:eastAsia="Calibri" w:cs="Times New Roman"/>
                <w:noProof/>
                <w:sz w:val="22"/>
                <w:szCs w:val="20"/>
                <w:lang w:val="en-IE"/>
              </w:rPr>
              <w:t xml:space="preserve">legislation, as well as its implementation, needs to respect these general principles of </w:t>
            </w:r>
            <w:r w:rsidR="00774146" w:rsidRPr="00BB5286">
              <w:rPr>
                <w:rFonts w:eastAsia="Calibri" w:cs="Times New Roman"/>
                <w:noProof/>
                <w:sz w:val="22"/>
                <w:szCs w:val="20"/>
                <w:lang w:val="en-IE"/>
              </w:rPr>
              <w:t xml:space="preserve">EU </w:t>
            </w:r>
            <w:r w:rsidRPr="00BB5286">
              <w:rPr>
                <w:rFonts w:eastAsia="Calibri" w:cs="Times New Roman"/>
                <w:noProof/>
                <w:sz w:val="22"/>
                <w:szCs w:val="20"/>
                <w:lang w:val="en-IE"/>
              </w:rPr>
              <w:t xml:space="preserve">law, as laid down in </w:t>
            </w:r>
            <w:r w:rsidRPr="00BB5286">
              <w:rPr>
                <w:rFonts w:eastAsia="Calibri" w:cs="Times New Roman"/>
                <w:i/>
                <w:noProof/>
                <w:sz w:val="22"/>
                <w:szCs w:val="20"/>
                <w:lang w:val="en-IE"/>
              </w:rPr>
              <w:t xml:space="preserve">Article 9 </w:t>
            </w:r>
            <w:r w:rsidRPr="00BB5286">
              <w:rPr>
                <w:rFonts w:eastAsia="Calibri" w:cs="Times New Roman"/>
                <w:noProof/>
                <w:sz w:val="22"/>
                <w:szCs w:val="20"/>
                <w:lang w:val="en-IE"/>
              </w:rPr>
              <w:t xml:space="preserve">of </w:t>
            </w:r>
            <w:r w:rsidR="7D39C571" w:rsidRPr="00BB5286">
              <w:rPr>
                <w:rFonts w:eastAsia="Calibri" w:cs="Times New Roman"/>
                <w:noProof/>
                <w:sz w:val="22"/>
                <w:szCs w:val="20"/>
                <w:lang w:val="en-IE"/>
              </w:rPr>
              <w:t xml:space="preserve">the CSP </w:t>
            </w:r>
            <w:r w:rsidRPr="00BB5286">
              <w:rPr>
                <w:rFonts w:eastAsia="Calibri" w:cs="Times New Roman"/>
                <w:noProof/>
                <w:sz w:val="22"/>
                <w:szCs w:val="20"/>
                <w:lang w:val="en-IE"/>
              </w:rPr>
              <w:t xml:space="preserve">Regulation, and also reflected in </w:t>
            </w:r>
            <w:r w:rsidRPr="00BB5286">
              <w:rPr>
                <w:rFonts w:eastAsia="Calibri" w:cs="Times New Roman"/>
                <w:i/>
                <w:noProof/>
                <w:sz w:val="22"/>
                <w:szCs w:val="20"/>
                <w:lang w:val="en-IE"/>
              </w:rPr>
              <w:t>Article 119(8)</w:t>
            </w:r>
            <w:r w:rsidRPr="00BB5286">
              <w:rPr>
                <w:rFonts w:eastAsia="Calibri" w:cs="Times New Roman"/>
                <w:noProof/>
                <w:sz w:val="22"/>
                <w:szCs w:val="20"/>
                <w:lang w:val="en-IE"/>
              </w:rPr>
              <w:t xml:space="preserve">, </w:t>
            </w:r>
            <w:r w:rsidRPr="00BB5286">
              <w:rPr>
                <w:rFonts w:eastAsia="Calibri" w:cs="Times New Roman"/>
                <w:i/>
                <w:noProof/>
                <w:sz w:val="22"/>
                <w:szCs w:val="20"/>
                <w:lang w:val="en-IE"/>
              </w:rPr>
              <w:t>third subparagraph</w:t>
            </w:r>
            <w:r w:rsidRPr="00BB5286">
              <w:rPr>
                <w:rFonts w:eastAsia="Calibri" w:cs="Times New Roman"/>
                <w:noProof/>
                <w:sz w:val="22"/>
                <w:szCs w:val="20"/>
                <w:lang w:val="en-IE"/>
              </w:rPr>
              <w:t xml:space="preserve">, of that Regulation, for EAGF-related amendments of </w:t>
            </w:r>
            <w:r w:rsidR="00523AA0" w:rsidRPr="00BB5286">
              <w:rPr>
                <w:rFonts w:eastAsia="Calibri" w:cs="Times New Roman"/>
                <w:noProof/>
                <w:sz w:val="22"/>
                <w:szCs w:val="20"/>
                <w:lang w:val="en-IE"/>
              </w:rPr>
              <w:t>CAP Plans</w:t>
            </w:r>
            <w:r w:rsidRPr="00BB5286">
              <w:rPr>
                <w:rFonts w:eastAsia="Calibri" w:cs="Times New Roman"/>
                <w:noProof/>
                <w:sz w:val="22"/>
                <w:szCs w:val="20"/>
                <w:lang w:val="en-IE"/>
              </w:rPr>
              <w:t xml:space="preserve">.  </w:t>
            </w:r>
          </w:p>
        </w:tc>
      </w:tr>
      <w:tr w:rsidR="008A0490" w:rsidRPr="00BB5286" w14:paraId="555D606D" w14:textId="77777777" w:rsidTr="00A27F70">
        <w:trPr>
          <w:trHeight w:val="425"/>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51CDD"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15</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13283" w14:textId="2033ACAC" w:rsidR="00872C68" w:rsidRPr="00BB5286" w:rsidRDefault="00872C68" w:rsidP="004041AB">
            <w:pPr>
              <w:spacing w:after="60" w:line="259" w:lineRule="auto"/>
              <w:jc w:val="both"/>
              <w:rPr>
                <w:rFonts w:eastAsia="Calibri" w:cs="Times New Roman"/>
                <w:noProof/>
                <w:sz w:val="22"/>
                <w:lang w:val="en-GB"/>
              </w:rPr>
            </w:pPr>
            <w:r w:rsidRPr="00BB5286">
              <w:rPr>
                <w:rFonts w:eastAsia="Calibri" w:cs="Times New Roman"/>
                <w:b/>
                <w:bCs/>
                <w:noProof/>
                <w:sz w:val="22"/>
                <w:lang w:val="en-GB"/>
              </w:rPr>
              <w:t>Amendments:</w:t>
            </w:r>
            <w:r w:rsidRPr="00BB5286">
              <w:rPr>
                <w:rFonts w:eastAsia="Calibri" w:cs="Times New Roman"/>
                <w:noProof/>
                <w:sz w:val="22"/>
                <w:lang w:val="en-GB"/>
              </w:rPr>
              <w:t xml:space="preserve"> </w:t>
            </w:r>
            <w:r w:rsidR="6BAFF29F" w:rsidRPr="00BB5286">
              <w:rPr>
                <w:rFonts w:eastAsia="Calibri" w:cs="Times New Roman"/>
                <w:noProof/>
                <w:sz w:val="22"/>
                <w:lang w:val="en-GB"/>
              </w:rPr>
              <w:t>v</w:t>
            </w:r>
            <w:r w:rsidRPr="00BB5286">
              <w:rPr>
                <w:rFonts w:eastAsia="Calibri" w:cs="Times New Roman"/>
                <w:noProof/>
                <w:sz w:val="22"/>
                <w:lang w:val="en-GB"/>
              </w:rPr>
              <w:t>alidity of CSP amendments as of the date of submission. Harmoni</w:t>
            </w:r>
            <w:r w:rsidR="00BA6A5C" w:rsidRPr="00BB5286">
              <w:rPr>
                <w:rFonts w:eastAsia="Calibri" w:cs="Times New Roman"/>
                <w:noProof/>
                <w:sz w:val="22"/>
                <w:lang w:val="en-GB"/>
              </w:rPr>
              <w:t>s</w:t>
            </w:r>
            <w:r w:rsidRPr="00BB5286">
              <w:rPr>
                <w:rFonts w:eastAsia="Calibri" w:cs="Times New Roman"/>
                <w:noProof/>
                <w:sz w:val="22"/>
                <w:lang w:val="en-GB"/>
              </w:rPr>
              <w:t xml:space="preserve">ation of provisions regarding the entry into force of the amendment proposals for EAGF interventions </w:t>
            </w:r>
            <w:r w:rsidRPr="00BB5286">
              <w:rPr>
                <w:rFonts w:eastAsia="Calibri" w:cs="Times New Roman"/>
                <w:noProof/>
                <w:sz w:val="22"/>
                <w:lang w:val="en-GB"/>
              </w:rPr>
              <w:lastRenderedPageBreak/>
              <w:t>with the current provisions for EAFRD interventions. The validity of the amendments from the date of their official submission to the EU services to be applied for Pillar I as well</w:t>
            </w:r>
            <w:r w:rsidR="00BA6A5C" w:rsidRPr="00BB5286">
              <w:rPr>
                <w:rFonts w:eastAsia="Calibri" w:cs="Times New Roman"/>
                <w:noProof/>
                <w:sz w:val="22"/>
                <w:lang w:val="en-GB"/>
              </w:rPr>
              <w:t>,</w:t>
            </w:r>
            <w:r w:rsidRPr="00BB5286">
              <w:rPr>
                <w:rFonts w:eastAsia="Calibri" w:cs="Times New Roman"/>
                <w:noProof/>
                <w:sz w:val="22"/>
                <w:lang w:val="en-GB"/>
              </w:rPr>
              <w:t xml:space="preserve"> especially for the sectoral interventions.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BA3EE"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lastRenderedPageBreak/>
              <w:t>EL</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CC139" w14:textId="7458C5E0" w:rsidR="00872C68" w:rsidRPr="00BB5286" w:rsidRDefault="00872C68" w:rsidP="004041AB">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considering that this would require a review of the approval process of the </w:t>
            </w:r>
            <w:r w:rsidR="00523AA0" w:rsidRPr="00BB5286">
              <w:rPr>
                <w:rFonts w:eastAsia="Calibri" w:cs="Times New Roman"/>
                <w:noProof/>
                <w:sz w:val="22"/>
                <w:lang w:val="en-GB"/>
              </w:rPr>
              <w:t>CAP Plans</w:t>
            </w:r>
            <w:r w:rsidRPr="00BB5286">
              <w:rPr>
                <w:rFonts w:eastAsia="Calibri" w:cs="Times New Roman"/>
                <w:noProof/>
                <w:sz w:val="22"/>
                <w:lang w:val="en-GB"/>
              </w:rPr>
              <w:t xml:space="preserve">, contradicts the strategic approach of the </w:t>
            </w:r>
            <w:r w:rsidR="00523AA0" w:rsidRPr="00BB5286">
              <w:rPr>
                <w:rFonts w:eastAsia="Calibri" w:cs="Times New Roman"/>
                <w:noProof/>
                <w:sz w:val="22"/>
                <w:lang w:val="en-GB"/>
              </w:rPr>
              <w:t>CAP Plans</w:t>
            </w:r>
            <w:r w:rsidR="00BA6A5C" w:rsidRPr="00BB5286">
              <w:rPr>
                <w:rFonts w:eastAsia="Calibri" w:cs="Times New Roman"/>
                <w:noProof/>
                <w:sz w:val="22"/>
                <w:lang w:val="en-GB"/>
              </w:rPr>
              <w:t>,</w:t>
            </w:r>
            <w:r w:rsidRPr="00BB5286">
              <w:rPr>
                <w:rFonts w:eastAsia="Calibri" w:cs="Times New Roman"/>
                <w:noProof/>
                <w:sz w:val="22"/>
                <w:lang w:val="en-GB"/>
              </w:rPr>
              <w:t xml:space="preserve"> and could not be reconciled with the annual </w:t>
            </w:r>
            <w:r w:rsidRPr="00BB5286">
              <w:rPr>
                <w:rFonts w:eastAsia="Calibri" w:cs="Times New Roman"/>
                <w:noProof/>
                <w:sz w:val="22"/>
                <w:lang w:val="en-GB"/>
              </w:rPr>
              <w:lastRenderedPageBreak/>
              <w:t xml:space="preserve">nature of the EAGF. This proposal also entails risks from the perspective of legal certainty and legitimate expectations of the farmers that would be affected by such changes, in particular as regards the mandatory requirements that they need to meet.   </w:t>
            </w:r>
          </w:p>
        </w:tc>
      </w:tr>
      <w:tr w:rsidR="008A0490" w:rsidRPr="00BB5286" w14:paraId="16EE98DC" w14:textId="77777777" w:rsidTr="00A27F70">
        <w:trPr>
          <w:trHeight w:val="1178"/>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922B1"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lastRenderedPageBreak/>
              <w:t>16</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4CC1F" w14:textId="16F150E4"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Approval:</w:t>
            </w:r>
            <w:r w:rsidRPr="00BB5286">
              <w:rPr>
                <w:rFonts w:eastAsia="Calibri" w:cs="Times New Roman"/>
                <w:noProof/>
                <w:sz w:val="22"/>
                <w:lang w:val="en-GB"/>
              </w:rPr>
              <w:t xml:space="preserve"> </w:t>
            </w:r>
            <w:r w:rsidR="0854DB0B" w:rsidRPr="00BB5286">
              <w:rPr>
                <w:rFonts w:eastAsia="Calibri" w:cs="Times New Roman"/>
                <w:noProof/>
                <w:sz w:val="22"/>
                <w:lang w:val="en-GB"/>
              </w:rPr>
              <w:t>f</w:t>
            </w:r>
            <w:r w:rsidRPr="00BB5286">
              <w:rPr>
                <w:rFonts w:eastAsia="Calibri" w:cs="Times New Roman"/>
                <w:noProof/>
                <w:sz w:val="22"/>
                <w:lang w:val="en-GB"/>
              </w:rPr>
              <w:t xml:space="preserve">lexibility in the approval of the CAP  </w:t>
            </w:r>
            <w:r w:rsidR="7617CCD1" w:rsidRPr="00BB5286">
              <w:rPr>
                <w:rFonts w:eastAsia="Calibri" w:cs="Times New Roman"/>
                <w:noProof/>
                <w:sz w:val="22"/>
                <w:lang w:val="en-GB"/>
              </w:rPr>
              <w:t>P</w:t>
            </w:r>
            <w:r w:rsidRPr="00BB5286">
              <w:rPr>
                <w:rFonts w:eastAsia="Calibri" w:cs="Times New Roman"/>
                <w:noProof/>
                <w:sz w:val="22"/>
                <w:lang w:val="en-GB"/>
              </w:rPr>
              <w:t>lans in cases where similar solutions have already been accepted by the Commission.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7A9CA"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PL</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96CC6" w14:textId="0BE534A6" w:rsidR="00872C68" w:rsidRPr="00BB5286" w:rsidRDefault="00872C68" w:rsidP="004041AB">
            <w:pPr>
              <w:spacing w:after="60" w:line="259" w:lineRule="auto"/>
              <w:jc w:val="both"/>
              <w:rPr>
                <w:rFonts w:eastAsia="Calibri" w:cs="Times New Roman"/>
                <w:noProof/>
                <w:color w:val="881798"/>
                <w:sz w:val="22"/>
                <w:highlight w:val="yellow"/>
                <w:lang w:val="en-GB"/>
              </w:rPr>
            </w:pPr>
            <w:r w:rsidRPr="00BB5286">
              <w:rPr>
                <w:rFonts w:eastAsia="Calibri" w:cs="Times New Roman"/>
                <w:noProof/>
                <w:sz w:val="22"/>
                <w:lang w:val="en-GB"/>
              </w:rPr>
              <w:t xml:space="preserve">When assessing the </w:t>
            </w:r>
            <w:r w:rsidR="00031FBA" w:rsidRPr="00BB5286">
              <w:rPr>
                <w:rFonts w:eastAsia="Calibri" w:cs="Times New Roman"/>
                <w:noProof/>
                <w:sz w:val="22"/>
                <w:lang w:val="en-GB"/>
              </w:rPr>
              <w:t xml:space="preserve">proposed </w:t>
            </w:r>
            <w:r w:rsidR="00523AA0" w:rsidRPr="00BB5286">
              <w:rPr>
                <w:rFonts w:eastAsia="Calibri" w:cs="Times New Roman"/>
                <w:noProof/>
                <w:sz w:val="22"/>
                <w:lang w:val="en-GB"/>
              </w:rPr>
              <w:t>CAP Plans</w:t>
            </w:r>
            <w:r w:rsidRPr="00BB5286">
              <w:rPr>
                <w:rFonts w:eastAsia="Calibri" w:cs="Times New Roman"/>
                <w:noProof/>
                <w:sz w:val="22"/>
                <w:lang w:val="en-GB"/>
              </w:rPr>
              <w:t xml:space="preserve"> as well as their amendments, the Commission considers the entire interven</w:t>
            </w:r>
            <w:r w:rsidRPr="00BB5286">
              <w:rPr>
                <w:rFonts w:eastAsia="MS Mincho" w:cs="Times New Roman"/>
                <w:noProof/>
                <w:sz w:val="22"/>
                <w:lang w:val="en-GB"/>
              </w:rPr>
              <w:t>tion strategy to address the specific needs defined by the Member State under each specific objective, as well as</w:t>
            </w:r>
            <w:r w:rsidR="00BA6A5C" w:rsidRPr="00BB5286">
              <w:rPr>
                <w:rFonts w:eastAsia="MS Mincho" w:cs="Times New Roman"/>
                <w:noProof/>
                <w:sz w:val="22"/>
                <w:lang w:val="en-GB"/>
              </w:rPr>
              <w:t>,</w:t>
            </w:r>
            <w:r w:rsidRPr="00BB5286">
              <w:rPr>
                <w:rFonts w:eastAsia="MS Mincho" w:cs="Times New Roman"/>
                <w:noProof/>
                <w:sz w:val="22"/>
                <w:lang w:val="en-GB"/>
              </w:rPr>
              <w:t xml:space="preserve"> among other</w:t>
            </w:r>
            <w:r w:rsidR="00BA6A5C" w:rsidRPr="00BB5286">
              <w:rPr>
                <w:rFonts w:eastAsia="MS Mincho" w:cs="Times New Roman"/>
                <w:noProof/>
                <w:sz w:val="22"/>
                <w:lang w:val="en-GB"/>
              </w:rPr>
              <w:t xml:space="preserve"> things,</w:t>
            </w:r>
            <w:r w:rsidRPr="00BB5286">
              <w:rPr>
                <w:rFonts w:eastAsia="MS Mincho" w:cs="Times New Roman"/>
                <w:noProof/>
                <w:sz w:val="22"/>
                <w:lang w:val="en-GB"/>
              </w:rPr>
              <w:t xml:space="preserve"> complementarity and </w:t>
            </w:r>
            <w:r w:rsidR="00BA6A5C" w:rsidRPr="00BB5286">
              <w:rPr>
                <w:rFonts w:eastAsia="MS Mincho" w:cs="Times New Roman"/>
                <w:noProof/>
                <w:sz w:val="22"/>
                <w:lang w:val="en-GB"/>
              </w:rPr>
              <w:t xml:space="preserve">consistency </w:t>
            </w:r>
            <w:r w:rsidRPr="00BB5286">
              <w:rPr>
                <w:rFonts w:eastAsia="MS Mincho" w:cs="Times New Roman"/>
                <w:noProof/>
                <w:sz w:val="22"/>
                <w:lang w:val="en-GB"/>
              </w:rPr>
              <w:t xml:space="preserve">of the various elements in the </w:t>
            </w:r>
            <w:r w:rsidR="54BF5750" w:rsidRPr="00BB5286">
              <w:rPr>
                <w:rFonts w:eastAsia="Calibri" w:cs="Times New Roman"/>
                <w:noProof/>
                <w:sz w:val="22"/>
                <w:lang w:val="en-GB"/>
              </w:rPr>
              <w:t>CAP Plan</w:t>
            </w:r>
            <w:r w:rsidRPr="00BB5286">
              <w:rPr>
                <w:rFonts w:eastAsia="MS Mincho" w:cs="Times New Roman"/>
                <w:noProof/>
                <w:sz w:val="22"/>
                <w:lang w:val="en-GB"/>
              </w:rPr>
              <w:t xml:space="preserve"> (see </w:t>
            </w:r>
            <w:r w:rsidRPr="00BB5286">
              <w:rPr>
                <w:rFonts w:eastAsia="MS Mincho" w:cs="Times New Roman"/>
                <w:i/>
                <w:noProof/>
                <w:sz w:val="22"/>
                <w:lang w:val="en-GB"/>
              </w:rPr>
              <w:t xml:space="preserve">Article 118(2) </w:t>
            </w:r>
            <w:r w:rsidRPr="00BB5286">
              <w:rPr>
                <w:rFonts w:eastAsia="MS Mincho" w:cs="Times New Roman"/>
                <w:noProof/>
                <w:sz w:val="22"/>
                <w:lang w:val="en-GB"/>
              </w:rPr>
              <w:t xml:space="preserve">of </w:t>
            </w:r>
            <w:r w:rsidR="60A3E809" w:rsidRPr="00BB5286">
              <w:rPr>
                <w:rFonts w:eastAsia="MS Mincho" w:cs="Times New Roman"/>
                <w:noProof/>
                <w:sz w:val="22"/>
                <w:lang w:val="en-GB"/>
              </w:rPr>
              <w:t xml:space="preserve">the CSP </w:t>
            </w:r>
            <w:r w:rsidRPr="00BB5286">
              <w:rPr>
                <w:rFonts w:eastAsia="MS Mincho" w:cs="Times New Roman"/>
                <w:noProof/>
                <w:sz w:val="22"/>
                <w:lang w:val="en-GB"/>
              </w:rPr>
              <w:t xml:space="preserve">Regulation). It would therefore not be possible for the Commission to approve an amendment </w:t>
            </w:r>
            <w:r w:rsidR="00BA6A5C" w:rsidRPr="00BB5286">
              <w:rPr>
                <w:rFonts w:eastAsia="MS Mincho" w:cs="Times New Roman"/>
                <w:noProof/>
                <w:sz w:val="22"/>
                <w:lang w:val="en-GB"/>
              </w:rPr>
              <w:t xml:space="preserve">to a </w:t>
            </w:r>
            <w:r w:rsidRPr="00BB5286">
              <w:rPr>
                <w:rFonts w:eastAsia="MS Mincho" w:cs="Times New Roman"/>
                <w:noProof/>
                <w:sz w:val="22"/>
                <w:lang w:val="en-GB"/>
              </w:rPr>
              <w:t>C</w:t>
            </w:r>
            <w:r w:rsidR="3D6638FC" w:rsidRPr="00BB5286">
              <w:rPr>
                <w:rFonts w:eastAsia="Calibri" w:cs="Times New Roman"/>
                <w:noProof/>
                <w:sz w:val="22"/>
                <w:lang w:val="en-GB"/>
              </w:rPr>
              <w:t>AP Plan</w:t>
            </w:r>
            <w:r w:rsidRPr="00BB5286">
              <w:rPr>
                <w:rFonts w:eastAsia="MS Mincho" w:cs="Times New Roman"/>
                <w:noProof/>
                <w:sz w:val="22"/>
                <w:lang w:val="en-GB"/>
              </w:rPr>
              <w:t xml:space="preserve"> merely on the grounds that another Member State has already introduced a similar amendment.  </w:t>
            </w:r>
            <w:r w:rsidRPr="00BB5286">
              <w:rPr>
                <w:rFonts w:eastAsia="Calibri" w:cs="Times New Roman"/>
                <w:noProof/>
                <w:color w:val="881798"/>
                <w:sz w:val="22"/>
                <w:lang w:val="en-GB"/>
              </w:rPr>
              <w:t xml:space="preserve"> </w:t>
            </w:r>
          </w:p>
        </w:tc>
      </w:tr>
      <w:tr w:rsidR="008A0490" w:rsidRPr="00BB5286" w14:paraId="3D7D5178"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AFAD9"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17</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6493F" w14:textId="15C4ED53"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Timing of implementation:</w:t>
            </w:r>
            <w:r w:rsidRPr="00BB5286">
              <w:rPr>
                <w:rFonts w:eastAsia="Calibri" w:cs="Times New Roman"/>
                <w:noProof/>
                <w:sz w:val="22"/>
                <w:lang w:val="en-GB"/>
              </w:rPr>
              <w:t xml:space="preserve"> </w:t>
            </w:r>
            <w:r w:rsidR="1554F747" w:rsidRPr="00BB5286">
              <w:rPr>
                <w:rFonts w:eastAsia="Calibri" w:cs="Times New Roman"/>
                <w:noProof/>
                <w:sz w:val="22"/>
                <w:lang w:val="en-GB"/>
              </w:rPr>
              <w:t>n</w:t>
            </w:r>
            <w:r w:rsidR="38C64AB4" w:rsidRPr="00BB5286">
              <w:rPr>
                <w:rFonts w:eastAsia="Calibri" w:cs="Times New Roman"/>
                <w:noProof/>
                <w:sz w:val="22"/>
                <w:lang w:val="en-GB"/>
              </w:rPr>
              <w:t>ew</w:t>
            </w:r>
            <w:r w:rsidRPr="00BB5286">
              <w:rPr>
                <w:rFonts w:eastAsia="Calibri" w:cs="Times New Roman"/>
                <w:noProof/>
                <w:sz w:val="22"/>
                <w:lang w:val="en-GB"/>
              </w:rPr>
              <w:t xml:space="preserve"> standards should be communicated at least one year before their implementation (transition period) and under no circumstances should they be voted on and communicated urgently.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D4DDBD"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 CEJA</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B6C0F" w14:textId="0739E4F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i/>
                <w:noProof/>
                <w:sz w:val="22"/>
                <w:lang w:val="en-GB"/>
              </w:rPr>
              <w:t xml:space="preserve">Article 119(8), </w:t>
            </w:r>
            <w:r w:rsidR="009162C0" w:rsidRPr="00BB5286">
              <w:rPr>
                <w:rFonts w:eastAsia="Calibri" w:cs="Times New Roman"/>
                <w:i/>
                <w:noProof/>
                <w:sz w:val="22"/>
                <w:lang w:val="en-GB"/>
              </w:rPr>
              <w:t>third subparagraph</w:t>
            </w:r>
            <w:r w:rsidRPr="00BB5286">
              <w:rPr>
                <w:rFonts w:eastAsia="Calibri" w:cs="Times New Roman"/>
                <w:i/>
                <w:noProof/>
                <w:sz w:val="22"/>
                <w:lang w:val="en-GB"/>
              </w:rPr>
              <w:t xml:space="preserve"> </w:t>
            </w:r>
            <w:r w:rsidRPr="00BB5286">
              <w:rPr>
                <w:rFonts w:eastAsia="Calibri" w:cs="Times New Roman"/>
                <w:noProof/>
                <w:sz w:val="22"/>
                <w:lang w:val="en-GB"/>
              </w:rPr>
              <w:t xml:space="preserve">of </w:t>
            </w:r>
            <w:r w:rsidR="0B2AD71E" w:rsidRPr="00BB5286">
              <w:rPr>
                <w:rFonts w:eastAsia="Calibri" w:cs="Times New Roman"/>
                <w:noProof/>
                <w:sz w:val="22"/>
                <w:lang w:val="en-GB"/>
              </w:rPr>
              <w:t xml:space="preserve">the CSP </w:t>
            </w:r>
            <w:r w:rsidRPr="00BB5286">
              <w:rPr>
                <w:rFonts w:eastAsia="Calibri" w:cs="Times New Roman"/>
                <w:noProof/>
                <w:sz w:val="22"/>
                <w:lang w:val="en-GB"/>
              </w:rPr>
              <w:t>Regulation already provides safeguards as regards entry in effect of C</w:t>
            </w:r>
            <w:r w:rsidR="3DB28231" w:rsidRPr="00BB5286">
              <w:rPr>
                <w:rFonts w:eastAsia="Calibri" w:cs="Times New Roman"/>
                <w:noProof/>
                <w:sz w:val="22"/>
                <w:lang w:val="en-GB"/>
              </w:rPr>
              <w:t>AP Plan</w:t>
            </w:r>
            <w:r w:rsidRPr="00BB5286">
              <w:rPr>
                <w:rFonts w:eastAsia="Calibri" w:cs="Times New Roman"/>
                <w:noProof/>
                <w:sz w:val="22"/>
                <w:lang w:val="en-GB"/>
              </w:rPr>
              <w:t xml:space="preserve"> amendments, as it requires Member States proposing a date of effect for EAGF-related amendments (including for conditionality) to </w:t>
            </w:r>
            <w:r w:rsidR="00BA6A5C" w:rsidRPr="00BB5286">
              <w:rPr>
                <w:rFonts w:eastAsia="Calibri" w:cs="Times New Roman"/>
                <w:noProof/>
                <w:sz w:val="22"/>
                <w:lang w:val="en-GB"/>
              </w:rPr>
              <w:t>consider</w:t>
            </w:r>
            <w:r w:rsidRPr="00BB5286">
              <w:rPr>
                <w:rFonts w:eastAsia="Calibri" w:cs="Times New Roman"/>
                <w:noProof/>
                <w:sz w:val="22"/>
                <w:lang w:val="en-GB"/>
              </w:rPr>
              <w:t xml:space="preserve"> the need for farmers to have sufficient time to take the amendment into account. It is for Member States to decide when to submit a request for amendment of the </w:t>
            </w:r>
            <w:r w:rsidR="5D5EF3FF" w:rsidRPr="00BB5286">
              <w:rPr>
                <w:rFonts w:eastAsia="Calibri" w:cs="Times New Roman"/>
                <w:noProof/>
                <w:sz w:val="22"/>
                <w:lang w:val="en-GB"/>
              </w:rPr>
              <w:t>CAP Plan</w:t>
            </w:r>
            <w:r w:rsidR="38C64AB4" w:rsidRPr="00BB5286">
              <w:rPr>
                <w:rFonts w:eastAsia="Calibri" w:cs="Times New Roman"/>
                <w:noProof/>
                <w:sz w:val="22"/>
                <w:lang w:val="en-GB"/>
              </w:rPr>
              <w:t>.</w:t>
            </w:r>
            <w:r w:rsidRPr="00BB5286">
              <w:rPr>
                <w:rFonts w:eastAsia="Calibri" w:cs="Times New Roman"/>
                <w:noProof/>
                <w:sz w:val="22"/>
                <w:lang w:val="en-GB"/>
              </w:rPr>
              <w:t xml:space="preserve"> Such requests for amendment should therefore be timed in a way that allows farmers to be informed well in advance and to have sufficient time to take the amendment into account. </w:t>
            </w:r>
          </w:p>
        </w:tc>
      </w:tr>
      <w:tr w:rsidR="00FD0624" w:rsidRPr="00BB5286" w14:paraId="2AF2EE49" w14:textId="77777777" w:rsidTr="00A27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16" w:type="dxa"/>
            <w:tcBorders>
              <w:top w:val="single" w:sz="4" w:space="0" w:color="auto"/>
              <w:left w:val="single" w:sz="4" w:space="0" w:color="auto"/>
              <w:bottom w:val="single" w:sz="4" w:space="0" w:color="auto"/>
              <w:right w:val="single" w:sz="4" w:space="0" w:color="auto"/>
            </w:tcBorders>
            <w:vAlign w:val="center"/>
          </w:tcPr>
          <w:p w14:paraId="0BAB3027"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18</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41630D8D" w14:textId="4CC14E86" w:rsidR="00872C68" w:rsidRPr="00BB5286" w:rsidRDefault="00872C68" w:rsidP="00732505">
            <w:pPr>
              <w:spacing w:after="60" w:line="259" w:lineRule="auto"/>
              <w:jc w:val="both"/>
              <w:rPr>
                <w:rFonts w:eastAsia="Calibri" w:cs="Times New Roman"/>
                <w:b/>
                <w:noProof/>
                <w:sz w:val="22"/>
                <w:lang w:val="en-GB"/>
              </w:rPr>
            </w:pPr>
            <w:r w:rsidRPr="00BB5286">
              <w:rPr>
                <w:rFonts w:eastAsia="Calibri" w:cs="Times New Roman"/>
                <w:b/>
                <w:bCs/>
                <w:noProof/>
                <w:sz w:val="22"/>
                <w:lang w:val="en-GB"/>
              </w:rPr>
              <w:t>Involvement of national agencies in the policy evaluation</w:t>
            </w:r>
            <w:r w:rsidR="0074438A" w:rsidRPr="00BB5286">
              <w:rPr>
                <w:rFonts w:eastAsia="Calibri" w:cs="Times New Roman"/>
                <w:noProof/>
                <w:sz w:val="22"/>
                <w:lang w:val="en-GB"/>
              </w:rPr>
              <w:t xml:space="preserve">: </w:t>
            </w:r>
            <w:r w:rsidR="5A0B3EC3" w:rsidRPr="00BB5286">
              <w:rPr>
                <w:rFonts w:eastAsia="Calibri" w:cs="Times New Roman"/>
                <w:noProof/>
                <w:sz w:val="22"/>
                <w:lang w:val="en-GB"/>
              </w:rPr>
              <w:t>p</w:t>
            </w:r>
            <w:r w:rsidRPr="00BB5286">
              <w:rPr>
                <w:rFonts w:eastAsia="Calibri" w:cs="Times New Roman"/>
                <w:noProof/>
                <w:sz w:val="22"/>
                <w:lang w:val="en-GB"/>
              </w:rPr>
              <w:t>aying agencies and other authorities implementing the CAP should be systematically involved in the evaluation of the policy and the preparation of new reforms, particularly when it comes to the new governance logic. When reflecting on the CAP post</w:t>
            </w:r>
            <w:r w:rsidR="00A70220" w:rsidRPr="00BB5286">
              <w:rPr>
                <w:rFonts w:eastAsia="Calibri" w:cs="Times New Roman"/>
                <w:noProof/>
                <w:sz w:val="22"/>
                <w:lang w:val="en-GB"/>
              </w:rPr>
              <w:t xml:space="preserve"> </w:t>
            </w:r>
            <w:r w:rsidRPr="00BB5286">
              <w:rPr>
                <w:rFonts w:eastAsia="Calibri" w:cs="Times New Roman"/>
                <w:noProof/>
                <w:sz w:val="22"/>
                <w:lang w:val="en-GB"/>
              </w:rPr>
              <w:t xml:space="preserve">2027, it is crucial to objectively assess how national strategic </w:t>
            </w:r>
            <w:r w:rsidRPr="00BB5286">
              <w:rPr>
                <w:rFonts w:eastAsia="Calibri" w:cs="Times New Roman"/>
                <w:noProof/>
                <w:sz w:val="22"/>
                <w:lang w:val="en-GB"/>
              </w:rPr>
              <w:lastRenderedPageBreak/>
              <w:t>plans have weighed on those agencies and whether their capacity could be improved in the future.</w:t>
            </w:r>
          </w:p>
        </w:tc>
        <w:tc>
          <w:tcPr>
            <w:tcW w:w="1559" w:type="dxa"/>
            <w:tcBorders>
              <w:top w:val="single" w:sz="4" w:space="0" w:color="auto"/>
              <w:left w:val="single" w:sz="4" w:space="0" w:color="auto"/>
              <w:bottom w:val="single" w:sz="4" w:space="0" w:color="auto"/>
              <w:right w:val="single" w:sz="4" w:space="0" w:color="auto"/>
            </w:tcBorders>
            <w:vAlign w:val="center"/>
          </w:tcPr>
          <w:p w14:paraId="100BBBB5"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lastRenderedPageBreak/>
              <w:t xml:space="preserve">CEJA </w:t>
            </w:r>
          </w:p>
        </w:tc>
        <w:tc>
          <w:tcPr>
            <w:tcW w:w="6662" w:type="dxa"/>
            <w:tcBorders>
              <w:top w:val="single" w:sz="4" w:space="0" w:color="auto"/>
              <w:left w:val="single" w:sz="4" w:space="0" w:color="auto"/>
              <w:bottom w:val="single" w:sz="4" w:space="0" w:color="auto"/>
              <w:right w:val="single" w:sz="4" w:space="0" w:color="auto"/>
            </w:tcBorders>
            <w:vAlign w:val="center"/>
          </w:tcPr>
          <w:p w14:paraId="2D2CCE4B" w14:textId="2EEE4592"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Commission is regularly in contact with paying agencies and national authorities. Governance and implementation are important aspects of the Commission’s evaluations and impact assessments before adopting policy proposals. Member State authorities have an important responsibility to ensure policies are implemented in simple and efficient ways.</w:t>
            </w:r>
          </w:p>
        </w:tc>
      </w:tr>
      <w:tr w:rsidR="00FD0624" w:rsidRPr="00BB5286" w14:paraId="47B5C8E0" w14:textId="77777777" w:rsidTr="00A27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16" w:type="dxa"/>
            <w:tcBorders>
              <w:top w:val="single" w:sz="4" w:space="0" w:color="auto"/>
              <w:left w:val="single" w:sz="4" w:space="0" w:color="auto"/>
              <w:bottom w:val="single" w:sz="4" w:space="0" w:color="auto"/>
              <w:right w:val="single" w:sz="4" w:space="0" w:color="auto"/>
            </w:tcBorders>
            <w:vAlign w:val="center"/>
          </w:tcPr>
          <w:p w14:paraId="44AC3498"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19</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1D6A8F66" w14:textId="1740B8D4" w:rsidR="00872C68" w:rsidRPr="00BB5286" w:rsidRDefault="00872C68" w:rsidP="00732505">
            <w:pPr>
              <w:spacing w:after="60" w:line="259" w:lineRule="auto"/>
              <w:jc w:val="both"/>
              <w:rPr>
                <w:rFonts w:eastAsia="Calibri" w:cs="Times New Roman"/>
                <w:b/>
                <w:noProof/>
                <w:sz w:val="22"/>
                <w:lang w:val="en-GB"/>
              </w:rPr>
            </w:pPr>
            <w:r w:rsidRPr="00BB5286">
              <w:rPr>
                <w:rFonts w:eastAsia="Calibri" w:cs="Times New Roman"/>
                <w:b/>
                <w:bCs/>
                <w:noProof/>
                <w:sz w:val="22"/>
                <w:lang w:val="en-GB"/>
              </w:rPr>
              <w:t>Establish better priorities and communication around agricultural policies</w:t>
            </w:r>
            <w:r w:rsidR="0073312B" w:rsidRPr="00BB5286">
              <w:rPr>
                <w:rFonts w:eastAsia="Calibri" w:cs="Times New Roman"/>
                <w:noProof/>
                <w:sz w:val="22"/>
                <w:lang w:val="en-GB"/>
              </w:rPr>
              <w:t>:</w:t>
            </w:r>
            <w:r w:rsidR="00286881" w:rsidRPr="00BB5286">
              <w:rPr>
                <w:rFonts w:eastAsia="Calibri" w:cs="Times New Roman"/>
                <w:noProof/>
                <w:sz w:val="22"/>
                <w:lang w:val="en-GB"/>
              </w:rPr>
              <w:t xml:space="preserve"> </w:t>
            </w:r>
            <w:r w:rsidR="0073312B" w:rsidRPr="00BB5286">
              <w:rPr>
                <w:rFonts w:eastAsia="Calibri" w:cs="Times New Roman"/>
                <w:noProof/>
                <w:sz w:val="22"/>
                <w:lang w:val="en-GB"/>
              </w:rPr>
              <w:t>w</w:t>
            </w:r>
            <w:r w:rsidRPr="00BB5286">
              <w:rPr>
                <w:rFonts w:eastAsia="Calibri" w:cs="Times New Roman"/>
                <w:noProof/>
                <w:sz w:val="22"/>
                <w:lang w:val="en-GB"/>
              </w:rPr>
              <w:t xml:space="preserve">hen formulating priorities and policies, it is essential to highlight that farmers, in their business decisions, will need to make choices, implementing progressive change rather than a radical one. Changing narratives around agricultural policies will be a key success factor, not only for the CAP but also for every farm around </w:t>
            </w:r>
            <w:r w:rsidR="00BA6A5C" w:rsidRPr="00BB5286">
              <w:rPr>
                <w:rFonts w:eastAsia="Calibri" w:cs="Times New Roman"/>
                <w:noProof/>
                <w:sz w:val="22"/>
                <w:lang w:val="en-GB"/>
              </w:rPr>
              <w:t>the EU</w:t>
            </w:r>
            <w:r w:rsidRPr="00BB5286">
              <w:rPr>
                <w:rFonts w:eastAsia="Calibri" w:cs="Times New Roman"/>
                <w:noProof/>
                <w:sz w:val="22"/>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14:paraId="1C0C1047"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CEJA</w:t>
            </w:r>
          </w:p>
        </w:tc>
        <w:tc>
          <w:tcPr>
            <w:tcW w:w="6662" w:type="dxa"/>
            <w:tcBorders>
              <w:top w:val="single" w:sz="4" w:space="0" w:color="auto"/>
              <w:left w:val="single" w:sz="4" w:space="0" w:color="auto"/>
              <w:bottom w:val="single" w:sz="4" w:space="0" w:color="auto"/>
              <w:right w:val="single" w:sz="4" w:space="0" w:color="auto"/>
            </w:tcBorders>
            <w:vAlign w:val="center"/>
          </w:tcPr>
          <w:p w14:paraId="15D92D91" w14:textId="3DD2D8AE"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Commission aims to communicate clearly about the CAP as well as other EU policies affecting farmers. Moreover, the </w:t>
            </w:r>
            <w:r w:rsidR="00BA6A5C" w:rsidRPr="00BB5286">
              <w:rPr>
                <w:rFonts w:eastAsia="Calibri" w:cs="Times New Roman"/>
                <w:noProof/>
                <w:sz w:val="22"/>
                <w:lang w:val="en-GB"/>
              </w:rPr>
              <w:t xml:space="preserve">EU </w:t>
            </w:r>
            <w:r w:rsidRPr="00BB5286">
              <w:rPr>
                <w:rFonts w:eastAsia="Calibri" w:cs="Times New Roman"/>
                <w:noProof/>
                <w:sz w:val="22"/>
                <w:lang w:val="en-GB"/>
              </w:rPr>
              <w:t>co-finances projects to inform the public about the CAP.</w:t>
            </w:r>
          </w:p>
        </w:tc>
      </w:tr>
      <w:tr w:rsidR="00F34C75" w:rsidRPr="00BB5286" w14:paraId="0397FAF6" w14:textId="77777777" w:rsidTr="00A27F70">
        <w:trPr>
          <w:trHeight w:val="388"/>
        </w:trPr>
        <w:tc>
          <w:tcPr>
            <w:tcW w:w="14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99"/>
            <w:vAlign w:val="center"/>
          </w:tcPr>
          <w:p w14:paraId="07AFF007" w14:textId="77777777" w:rsidR="003E47C2" w:rsidRPr="00BB5286" w:rsidRDefault="003E47C2" w:rsidP="003E7CF4">
            <w:pPr>
              <w:spacing w:before="120" w:after="120" w:line="259" w:lineRule="auto"/>
              <w:jc w:val="center"/>
              <w:rPr>
                <w:rFonts w:eastAsia="Calibri" w:cs="Times New Roman"/>
                <w:b/>
                <w:noProof/>
                <w:color w:val="FFFFFF"/>
                <w:sz w:val="22"/>
                <w:lang w:val="en-GB"/>
              </w:rPr>
            </w:pPr>
            <w:r w:rsidRPr="00BB5286">
              <w:rPr>
                <w:rFonts w:eastAsia="Calibri" w:cs="Times New Roman"/>
                <w:b/>
                <w:noProof/>
                <w:color w:val="FFFFFF"/>
                <w:sz w:val="22"/>
                <w:lang w:val="en-GB"/>
              </w:rPr>
              <w:t>Unit amounts</w:t>
            </w:r>
          </w:p>
        </w:tc>
      </w:tr>
      <w:tr w:rsidR="008A0490" w:rsidRPr="00BB5286" w14:paraId="2D8CBED5" w14:textId="77777777" w:rsidTr="00A27F70">
        <w:trPr>
          <w:trHeight w:val="714"/>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36E9B"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20</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715D6" w14:textId="2E2E827A" w:rsidR="00872C68" w:rsidRPr="00BB5286" w:rsidRDefault="00872C68" w:rsidP="003E7CF4">
            <w:pPr>
              <w:spacing w:line="259" w:lineRule="auto"/>
              <w:jc w:val="both"/>
              <w:rPr>
                <w:rFonts w:eastAsia="Calibri" w:cs="Times New Roman"/>
                <w:noProof/>
                <w:sz w:val="22"/>
                <w:lang w:val="en-GB"/>
              </w:rPr>
            </w:pPr>
            <w:r w:rsidRPr="00BB5286">
              <w:rPr>
                <w:rFonts w:eastAsia="Calibri" w:cs="Times New Roman"/>
                <w:b/>
                <w:noProof/>
                <w:sz w:val="22"/>
                <w:lang w:val="en-GB"/>
              </w:rPr>
              <w:t>Unit amount:</w:t>
            </w:r>
            <w:r w:rsidRPr="00BB5286">
              <w:rPr>
                <w:rFonts w:eastAsia="Calibri" w:cs="Times New Roman"/>
                <w:noProof/>
                <w:sz w:val="22"/>
                <w:lang w:val="en-GB"/>
              </w:rPr>
              <w:t xml:space="preserve"> </w:t>
            </w:r>
            <w:r w:rsidR="1D8DA146" w:rsidRPr="00BB5286">
              <w:rPr>
                <w:rFonts w:eastAsia="Calibri" w:cs="Times New Roman"/>
                <w:noProof/>
                <w:sz w:val="22"/>
                <w:lang w:val="en-GB"/>
              </w:rPr>
              <w:t>u</w:t>
            </w:r>
            <w:r w:rsidRPr="00BB5286">
              <w:rPr>
                <w:rFonts w:eastAsia="Calibri" w:cs="Times New Roman"/>
                <w:noProof/>
                <w:sz w:val="22"/>
                <w:lang w:val="en-GB"/>
              </w:rPr>
              <w:t>nit amount for projects and flat rate/area-based interventions considered burdensome.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D9161"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w:t>
            </w:r>
          </w:p>
        </w:tc>
        <w:tc>
          <w:tcPr>
            <w:tcW w:w="66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86F90" w14:textId="1F65738D" w:rsidR="00872C68" w:rsidRPr="00FF77A3" w:rsidRDefault="00872C68" w:rsidP="2AC45D07">
            <w:pPr>
              <w:spacing w:after="60" w:line="259" w:lineRule="auto"/>
              <w:jc w:val="both"/>
              <w:rPr>
                <w:rFonts w:eastAsia="Calibri" w:cs="Times New Roman"/>
                <w:noProof/>
                <w:sz w:val="22"/>
                <w:lang w:val="en-IE"/>
              </w:rPr>
            </w:pPr>
            <w:r w:rsidRPr="007E24C9">
              <w:rPr>
                <w:rFonts w:eastAsia="Calibri" w:cs="Times New Roman"/>
                <w:noProof/>
                <w:sz w:val="22"/>
                <w:lang w:val="en-GB"/>
              </w:rPr>
              <w:t>These suggestions were not taken up. Unit amounts are a</w:t>
            </w:r>
            <w:r w:rsidR="585EAD97" w:rsidRPr="007E24C9">
              <w:rPr>
                <w:rFonts w:eastAsia="Calibri" w:cs="Times New Roman"/>
                <w:noProof/>
                <w:sz w:val="22"/>
                <w:lang w:val="en-GB"/>
              </w:rPr>
              <w:t>n</w:t>
            </w:r>
            <w:r w:rsidRPr="007E24C9">
              <w:rPr>
                <w:rFonts w:eastAsia="Calibri" w:cs="Times New Roman"/>
                <w:noProof/>
                <w:sz w:val="22"/>
                <w:lang w:val="en-GB"/>
              </w:rPr>
              <w:t xml:space="preserve"> element in the management and monitoring of CAP implementation under </w:t>
            </w:r>
            <w:r w:rsidR="41373A2A" w:rsidRPr="007E24C9">
              <w:rPr>
                <w:rFonts w:eastAsia="Calibri" w:cs="Times New Roman"/>
                <w:noProof/>
                <w:sz w:val="22"/>
                <w:lang w:val="en-GB"/>
              </w:rPr>
              <w:t xml:space="preserve">the CSP </w:t>
            </w:r>
            <w:r w:rsidRPr="007E24C9">
              <w:rPr>
                <w:rFonts w:eastAsia="Calibri" w:cs="Times New Roman"/>
                <w:noProof/>
                <w:sz w:val="22"/>
                <w:lang w:val="en-GB"/>
              </w:rPr>
              <w:t>Regulation.</w:t>
            </w:r>
            <w:r w:rsidR="00EF069A" w:rsidRPr="00FF77A3">
              <w:rPr>
                <w:rFonts w:eastAsia="Calibri" w:cs="Times New Roman"/>
                <w:noProof/>
                <w:sz w:val="22"/>
                <w:lang w:val="en-GB"/>
              </w:rPr>
              <w:t xml:space="preserve"> Feasibility and impact of changes </w:t>
            </w:r>
            <w:r w:rsidR="0097779C" w:rsidRPr="00FF77A3">
              <w:rPr>
                <w:rFonts w:eastAsia="Calibri" w:cs="Times New Roman"/>
                <w:noProof/>
                <w:sz w:val="22"/>
                <w:lang w:val="en-GB"/>
              </w:rPr>
              <w:t>pertinent</w:t>
            </w:r>
            <w:r w:rsidR="00EA0E6E" w:rsidRPr="00FF77A3">
              <w:rPr>
                <w:rFonts w:eastAsia="Calibri" w:cs="Times New Roman"/>
                <w:noProof/>
                <w:sz w:val="22"/>
                <w:lang w:val="en-GB"/>
              </w:rPr>
              <w:t xml:space="preserve"> </w:t>
            </w:r>
            <w:r w:rsidR="004178C6" w:rsidRPr="00FF77A3">
              <w:rPr>
                <w:rFonts w:eastAsia="Calibri" w:cs="Times New Roman"/>
                <w:noProof/>
                <w:sz w:val="22"/>
                <w:lang w:val="en-GB"/>
              </w:rPr>
              <w:t>to</w:t>
            </w:r>
            <w:r w:rsidR="00F37D71" w:rsidRPr="00FF77A3">
              <w:rPr>
                <w:rFonts w:eastAsia="Calibri" w:cs="Times New Roman"/>
                <w:noProof/>
                <w:sz w:val="22"/>
                <w:lang w:val="en-GB"/>
              </w:rPr>
              <w:t xml:space="preserve"> </w:t>
            </w:r>
            <w:r w:rsidR="00E5592A" w:rsidRPr="007E24C9">
              <w:rPr>
                <w:rFonts w:eastAsia="Calibri" w:cs="Times New Roman"/>
                <w:noProof/>
                <w:sz w:val="22"/>
                <w:lang w:val="en-GB"/>
              </w:rPr>
              <w:t xml:space="preserve">this approach are under consideration (see </w:t>
            </w:r>
            <w:r w:rsidR="007C2F32" w:rsidRPr="00FF77A3">
              <w:rPr>
                <w:rFonts w:eastAsia="Calibri" w:cs="Times New Roman"/>
                <w:noProof/>
                <w:sz w:val="22"/>
                <w:lang w:val="en-GB"/>
              </w:rPr>
              <w:t xml:space="preserve">also suggestion </w:t>
            </w:r>
            <w:r w:rsidR="00E5592A" w:rsidRPr="007E24C9">
              <w:rPr>
                <w:rFonts w:eastAsia="Calibri" w:cs="Times New Roman"/>
                <w:noProof/>
                <w:sz w:val="22"/>
                <w:lang w:val="en-GB"/>
              </w:rPr>
              <w:t>120)</w:t>
            </w:r>
            <w:r w:rsidR="00FA6A70" w:rsidRPr="007E24C9">
              <w:rPr>
                <w:rFonts w:eastAsia="Calibri" w:cs="Times New Roman"/>
                <w:noProof/>
                <w:sz w:val="22"/>
                <w:lang w:val="en-GB"/>
              </w:rPr>
              <w:t>.</w:t>
            </w:r>
            <w:r w:rsidR="007C2F32" w:rsidRPr="00FF77A3">
              <w:rPr>
                <w:rFonts w:eastAsia="Calibri" w:cs="Times New Roman"/>
                <w:noProof/>
                <w:sz w:val="22"/>
                <w:lang w:val="en-GB"/>
              </w:rPr>
              <w:t xml:space="preserve"> Lessons learned from</w:t>
            </w:r>
            <w:r w:rsidR="004A269E">
              <w:rPr>
                <w:rFonts w:eastAsia="Calibri" w:cs="Times New Roman"/>
                <w:noProof/>
                <w:sz w:val="22"/>
                <w:lang w:val="en-GB"/>
              </w:rPr>
              <w:t xml:space="preserve"> </w:t>
            </w:r>
            <w:r w:rsidR="00C14E2F">
              <w:rPr>
                <w:rFonts w:eastAsia="Calibri" w:cs="Times New Roman"/>
                <w:noProof/>
                <w:sz w:val="22"/>
                <w:lang w:val="en-GB"/>
              </w:rPr>
              <w:t>the first year(s) of implementation will be considered</w:t>
            </w:r>
            <w:r w:rsidR="007C2F32" w:rsidRPr="00FF77A3">
              <w:rPr>
                <w:rFonts w:eastAsia="Calibri" w:cs="Times New Roman"/>
                <w:noProof/>
                <w:sz w:val="22"/>
                <w:lang w:val="en-GB"/>
              </w:rPr>
              <w:t>.</w:t>
            </w:r>
          </w:p>
        </w:tc>
      </w:tr>
      <w:tr w:rsidR="008A0490" w:rsidRPr="00BB5286" w14:paraId="51A35002" w14:textId="77777777" w:rsidTr="00A27F70">
        <w:trPr>
          <w:trHeight w:val="822"/>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1AADA"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21</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42CE3" w14:textId="6BD524DC" w:rsidR="00872C68" w:rsidRPr="00BB5286" w:rsidRDefault="00872C68" w:rsidP="003E7CF4">
            <w:pPr>
              <w:spacing w:line="259" w:lineRule="auto"/>
              <w:jc w:val="both"/>
              <w:rPr>
                <w:rFonts w:eastAsia="Calibri" w:cs="Times New Roman"/>
                <w:noProof/>
                <w:sz w:val="22"/>
                <w:lang w:val="en-GB"/>
              </w:rPr>
            </w:pPr>
            <w:r w:rsidRPr="00BB5286">
              <w:rPr>
                <w:rFonts w:eastAsia="Calibri" w:cs="Times New Roman"/>
                <w:b/>
                <w:bCs/>
                <w:noProof/>
                <w:sz w:val="22"/>
                <w:lang w:val="en-GB"/>
              </w:rPr>
              <w:t>Unit amount:</w:t>
            </w:r>
            <w:r w:rsidRPr="00BB5286">
              <w:rPr>
                <w:rFonts w:eastAsia="Calibri" w:cs="Times New Roman"/>
                <w:noProof/>
                <w:sz w:val="22"/>
                <w:lang w:val="en-GB"/>
              </w:rPr>
              <w:t xml:space="preserve"> </w:t>
            </w:r>
            <w:r w:rsidR="262522DF" w:rsidRPr="00BB5286">
              <w:rPr>
                <w:rFonts w:eastAsia="Calibri" w:cs="Times New Roman"/>
                <w:noProof/>
                <w:sz w:val="22"/>
                <w:lang w:val="en-GB"/>
              </w:rPr>
              <w:t>r</w:t>
            </w:r>
            <w:r w:rsidRPr="00BB5286">
              <w:rPr>
                <w:rFonts w:eastAsia="Calibri" w:cs="Times New Roman"/>
                <w:noProof/>
                <w:sz w:val="22"/>
                <w:lang w:val="en-GB"/>
              </w:rPr>
              <w:t xml:space="preserve">equest to abolish </w:t>
            </w:r>
            <w:r w:rsidR="00BA6A5C" w:rsidRPr="00BB5286">
              <w:rPr>
                <w:rFonts w:eastAsia="Calibri" w:cs="Times New Roman"/>
                <w:noProof/>
                <w:sz w:val="22"/>
                <w:lang w:val="en-GB"/>
              </w:rPr>
              <w:t xml:space="preserve">the </w:t>
            </w:r>
            <w:r w:rsidRPr="00BB5286">
              <w:rPr>
                <w:rFonts w:eastAsia="Calibri" w:cs="Times New Roman"/>
                <w:noProof/>
                <w:sz w:val="22"/>
                <w:lang w:val="en-GB"/>
              </w:rPr>
              <w:t>unit amount approach (and focus instead on outcome and result indicators).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AC313"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LV</w:t>
            </w:r>
          </w:p>
        </w:tc>
        <w:tc>
          <w:tcPr>
            <w:tcW w:w="6662" w:type="dxa"/>
            <w:vMerge/>
            <w:vAlign w:val="center"/>
          </w:tcPr>
          <w:p w14:paraId="04DA9C1A" w14:textId="77777777" w:rsidR="00872C68" w:rsidRPr="007E24C9" w:rsidRDefault="00872C68" w:rsidP="001061AF">
            <w:pPr>
              <w:spacing w:after="60" w:line="259" w:lineRule="auto"/>
              <w:rPr>
                <w:rFonts w:eastAsia="Calibri" w:cs="Times New Roman"/>
                <w:noProof/>
                <w:sz w:val="22"/>
                <w:lang w:val="en-GB"/>
              </w:rPr>
            </w:pPr>
          </w:p>
        </w:tc>
      </w:tr>
      <w:tr w:rsidR="008A0490" w:rsidRPr="00BB5286" w14:paraId="795E8DDA" w14:textId="77777777" w:rsidTr="00A27F70">
        <w:trPr>
          <w:trHeight w:val="85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15045"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noProof/>
                <w:sz w:val="22"/>
                <w:lang w:val="en-GB"/>
              </w:rPr>
              <w:t>22</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11DFD" w14:textId="6AF3F99D" w:rsidR="00872C68" w:rsidRPr="00BB5286" w:rsidRDefault="00872C68" w:rsidP="003E7CF4">
            <w:pPr>
              <w:spacing w:line="259" w:lineRule="auto"/>
              <w:jc w:val="both"/>
              <w:rPr>
                <w:rFonts w:eastAsia="Calibri" w:cs="Times New Roman"/>
                <w:noProof/>
                <w:sz w:val="22"/>
                <w:lang w:val="en-GB"/>
              </w:rPr>
            </w:pPr>
            <w:r w:rsidRPr="00BB5286">
              <w:rPr>
                <w:rFonts w:eastAsia="Calibri" w:cs="Times New Roman"/>
                <w:b/>
                <w:bCs/>
                <w:noProof/>
                <w:sz w:val="22"/>
                <w:lang w:val="en-GB"/>
              </w:rPr>
              <w:t>Unit amount:</w:t>
            </w:r>
            <w:r w:rsidRPr="00BB5286">
              <w:rPr>
                <w:rFonts w:eastAsia="Calibri" w:cs="Times New Roman"/>
                <w:noProof/>
                <w:sz w:val="22"/>
                <w:lang w:val="en-GB"/>
              </w:rPr>
              <w:t xml:space="preserve"> </w:t>
            </w:r>
            <w:r w:rsidR="29C453C6" w:rsidRPr="00BB5286">
              <w:rPr>
                <w:rFonts w:eastAsia="Calibri" w:cs="Times New Roman"/>
                <w:noProof/>
                <w:sz w:val="22"/>
                <w:lang w:val="en-GB"/>
              </w:rPr>
              <w:t>e</w:t>
            </w:r>
            <w:r w:rsidRPr="00BB5286">
              <w:rPr>
                <w:rFonts w:eastAsia="Calibri" w:cs="Times New Roman"/>
                <w:noProof/>
                <w:sz w:val="22"/>
                <w:lang w:val="en-GB"/>
              </w:rPr>
              <w:t>nable amendment of unit amounts for direct payments during the year.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85238"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BG, CZ, EE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71571" w14:textId="7BA94E59" w:rsidR="00874EF4" w:rsidRPr="007E24C9" w:rsidRDefault="00872C68" w:rsidP="001061AF">
            <w:pPr>
              <w:spacing w:after="60" w:line="259" w:lineRule="auto"/>
              <w:jc w:val="both"/>
              <w:rPr>
                <w:rFonts w:eastAsia="Calibri" w:cs="Times New Roman"/>
                <w:noProof/>
                <w:sz w:val="22"/>
                <w:lang w:val="en-GB"/>
              </w:rPr>
            </w:pPr>
            <w:r w:rsidRPr="007E24C9">
              <w:rPr>
                <w:rFonts w:eastAsia="Calibri" w:cs="Times New Roman"/>
                <w:noProof/>
                <w:sz w:val="22"/>
                <w:lang w:val="en-GB"/>
              </w:rPr>
              <w:t xml:space="preserve">The suggestion was not taken up, as it would create uncertainty for farmers and impact their legitimate expectations. Some degree of flexibility is available within the current </w:t>
            </w:r>
            <w:r w:rsidR="00BA6A5C" w:rsidRPr="007E24C9">
              <w:rPr>
                <w:rFonts w:eastAsia="Calibri" w:cs="Times New Roman"/>
                <w:noProof/>
                <w:sz w:val="22"/>
                <w:lang w:val="en-GB"/>
              </w:rPr>
              <w:t xml:space="preserve">EU </w:t>
            </w:r>
            <w:r w:rsidRPr="007E24C9">
              <w:rPr>
                <w:rFonts w:eastAsia="Calibri" w:cs="Times New Roman"/>
                <w:noProof/>
                <w:sz w:val="22"/>
                <w:lang w:val="en-GB"/>
              </w:rPr>
              <w:t xml:space="preserve">legal framework, e.g. as laid down in </w:t>
            </w:r>
            <w:r w:rsidRPr="007E24C9">
              <w:rPr>
                <w:rFonts w:eastAsia="Calibri" w:cs="Times New Roman"/>
                <w:i/>
                <w:noProof/>
                <w:sz w:val="22"/>
                <w:lang w:val="en-GB"/>
              </w:rPr>
              <w:t>Article 102</w:t>
            </w:r>
            <w:r w:rsidRPr="007E24C9">
              <w:rPr>
                <w:rFonts w:eastAsia="Calibri" w:cs="Times New Roman"/>
                <w:noProof/>
                <w:sz w:val="22"/>
                <w:lang w:val="en-GB"/>
              </w:rPr>
              <w:t xml:space="preserve"> of </w:t>
            </w:r>
            <w:r w:rsidR="0ACD07BC" w:rsidRPr="007E24C9">
              <w:rPr>
                <w:rFonts w:eastAsia="Calibri" w:cs="Times New Roman"/>
                <w:noProof/>
                <w:sz w:val="22"/>
                <w:lang w:val="en-GB"/>
              </w:rPr>
              <w:t xml:space="preserve">the CSP </w:t>
            </w:r>
            <w:r w:rsidRPr="007E24C9">
              <w:rPr>
                <w:rFonts w:eastAsia="Calibri" w:cs="Times New Roman"/>
                <w:noProof/>
                <w:sz w:val="22"/>
                <w:lang w:val="en-GB"/>
              </w:rPr>
              <w:t xml:space="preserve">Regulation. </w:t>
            </w:r>
            <w:r w:rsidR="00C14E2F" w:rsidRPr="00FF77A3">
              <w:rPr>
                <w:rFonts w:eastAsia="Calibri" w:cs="Times New Roman"/>
                <w:noProof/>
                <w:sz w:val="22"/>
                <w:lang w:val="en-GB"/>
              </w:rPr>
              <w:t xml:space="preserve">Lessons learned from </w:t>
            </w:r>
            <w:r w:rsidR="00C14E2F">
              <w:rPr>
                <w:rFonts w:eastAsia="Calibri" w:cs="Times New Roman"/>
                <w:noProof/>
                <w:sz w:val="22"/>
                <w:lang w:val="en-GB"/>
              </w:rPr>
              <w:t>the first year(s) of implementation will be considered</w:t>
            </w:r>
            <w:r w:rsidR="00C14E2F" w:rsidRPr="00FF77A3">
              <w:rPr>
                <w:rFonts w:eastAsia="Calibri" w:cs="Times New Roman"/>
                <w:noProof/>
                <w:sz w:val="22"/>
                <w:lang w:val="en-GB"/>
              </w:rPr>
              <w:t>.</w:t>
            </w:r>
            <w:r w:rsidR="00295B6D" w:rsidRPr="007E24C9">
              <w:rPr>
                <w:rFonts w:eastAsia="Calibri" w:cs="Times New Roman"/>
                <w:noProof/>
                <w:sz w:val="22"/>
                <w:lang w:val="en-GB"/>
              </w:rPr>
              <w:t xml:space="preserve"> </w:t>
            </w:r>
          </w:p>
        </w:tc>
      </w:tr>
      <w:tr w:rsidR="00F34C75" w:rsidRPr="00BB5286" w14:paraId="0C0B1825" w14:textId="77777777" w:rsidTr="00A27F70">
        <w:trPr>
          <w:trHeight w:val="388"/>
        </w:trPr>
        <w:tc>
          <w:tcPr>
            <w:tcW w:w="14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99"/>
            <w:vAlign w:val="center"/>
          </w:tcPr>
          <w:p w14:paraId="0E48705B" w14:textId="77777777" w:rsidR="003E47C2" w:rsidRPr="00BB5286" w:rsidRDefault="003E47C2" w:rsidP="003E7CF4">
            <w:pPr>
              <w:spacing w:before="120" w:after="12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t>Budget and financial management</w:t>
            </w:r>
          </w:p>
        </w:tc>
      </w:tr>
      <w:tr w:rsidR="008A0490" w:rsidRPr="00BB5286" w14:paraId="4C5B08DA"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A090D"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noProof/>
                <w:sz w:val="22"/>
                <w:lang w:val="en-GB"/>
              </w:rPr>
              <w:t>23</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A07BF" w14:textId="662BF603"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Advance payments</w:t>
            </w:r>
            <w:r w:rsidRPr="00BB5286">
              <w:rPr>
                <w:rFonts w:eastAsia="Calibri" w:cs="Times New Roman"/>
                <w:noProof/>
                <w:sz w:val="22"/>
                <w:lang w:val="en-GB"/>
              </w:rPr>
              <w:t xml:space="preserve">: </w:t>
            </w:r>
            <w:r w:rsidR="03D05831" w:rsidRPr="00BB5286">
              <w:rPr>
                <w:rFonts w:eastAsia="Calibri" w:cs="Times New Roman"/>
                <w:noProof/>
                <w:sz w:val="22"/>
                <w:lang w:val="en-GB"/>
              </w:rPr>
              <w:t>i</w:t>
            </w:r>
            <w:r w:rsidRPr="00BB5286">
              <w:rPr>
                <w:rFonts w:eastAsia="Calibri" w:cs="Times New Roman"/>
                <w:noProof/>
                <w:sz w:val="22"/>
                <w:lang w:val="en-GB"/>
              </w:rPr>
              <w:t>ncrease the level of advances and/or technical changes in relation to advances, such as introducing advances without a bank guarantee.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803EE"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 FR, FI, HR</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B7742" w14:textId="209470F2"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These suggestions were not taken up. With the adoption of </w:t>
            </w:r>
            <w:r w:rsidR="4CDA16F4" w:rsidRPr="00BB5286">
              <w:rPr>
                <w:rFonts w:eastAsia="Calibri" w:cs="Times New Roman"/>
                <w:noProof/>
                <w:sz w:val="22"/>
                <w:lang w:val="en-GB"/>
              </w:rPr>
              <w:t xml:space="preserve">the CSP and </w:t>
            </w:r>
            <w:r w:rsidR="08B342E6" w:rsidRPr="00BB5286">
              <w:rPr>
                <w:rFonts w:eastAsia="Calibri" w:cs="Times New Roman"/>
                <w:noProof/>
                <w:sz w:val="22"/>
                <w:lang w:val="en-GB"/>
              </w:rPr>
              <w:t xml:space="preserve">the </w:t>
            </w:r>
            <w:r w:rsidR="4CDA16F4" w:rsidRPr="00BB5286">
              <w:rPr>
                <w:rFonts w:eastAsia="Calibri" w:cs="Times New Roman"/>
                <w:noProof/>
                <w:sz w:val="22"/>
                <w:lang w:val="en-GB"/>
              </w:rPr>
              <w:t xml:space="preserve">Horizontal </w:t>
            </w:r>
            <w:r w:rsidRPr="00BB5286">
              <w:rPr>
                <w:rFonts w:eastAsia="Calibri" w:cs="Times New Roman"/>
                <w:noProof/>
                <w:sz w:val="22"/>
                <w:lang w:val="en-GB"/>
              </w:rPr>
              <w:t xml:space="preserve">Regulations, possibilities for advances were already expanded. In addition, bank guarantees secure the </w:t>
            </w:r>
            <w:r w:rsidR="00BA6A5C" w:rsidRPr="00BB5286">
              <w:rPr>
                <w:rFonts w:eastAsia="Calibri" w:cs="Times New Roman"/>
                <w:noProof/>
                <w:sz w:val="22"/>
                <w:lang w:val="en-GB"/>
              </w:rPr>
              <w:t xml:space="preserve">EU’s </w:t>
            </w:r>
            <w:r w:rsidRPr="00BB5286">
              <w:rPr>
                <w:rFonts w:eastAsia="Calibri" w:cs="Times New Roman"/>
                <w:noProof/>
                <w:sz w:val="22"/>
                <w:lang w:val="en-GB"/>
              </w:rPr>
              <w:t>financial interests.</w:t>
            </w:r>
          </w:p>
        </w:tc>
      </w:tr>
      <w:tr w:rsidR="008A0490" w:rsidRPr="00BB5286" w14:paraId="50C9A318"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F5FEC"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lastRenderedPageBreak/>
              <w:t>24</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FBA92" w14:textId="79BDA896"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Advance payments:</w:t>
            </w:r>
            <w:r w:rsidRPr="00BB5286">
              <w:rPr>
                <w:rFonts w:eastAsia="Calibri" w:cs="Times New Roman"/>
                <w:noProof/>
                <w:sz w:val="22"/>
                <w:lang w:val="en-GB"/>
              </w:rPr>
              <w:t xml:space="preserve"> </w:t>
            </w:r>
            <w:r w:rsidR="69C0F075" w:rsidRPr="00BB5286">
              <w:rPr>
                <w:rFonts w:eastAsia="Calibri" w:cs="Times New Roman"/>
                <w:noProof/>
                <w:sz w:val="22"/>
                <w:lang w:val="en-GB"/>
              </w:rPr>
              <w:t>s</w:t>
            </w:r>
            <w:r w:rsidRPr="00BB5286">
              <w:rPr>
                <w:rFonts w:eastAsia="Calibri" w:cs="Times New Roman"/>
                <w:noProof/>
                <w:sz w:val="22"/>
                <w:lang w:val="en-GB"/>
              </w:rPr>
              <w:t>implification of advance payments to help farmers with liquidity problems. Member States should be given more room for manoeuvre to pay advances, with possible overpayments taken care of by means of a recovery process.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9914B" w14:textId="5C39C0FD" w:rsidR="00872C68" w:rsidRPr="00BB5286" w:rsidRDefault="00872C68" w:rsidP="00B57B13">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FI</w:t>
            </w:r>
          </w:p>
          <w:p w14:paraId="10D7B879"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CC5B6" w14:textId="2C546CCB"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Member States are allowed to pay advances before checks are finali</w:t>
            </w:r>
            <w:r w:rsidR="00BA6A5C" w:rsidRPr="00BB5286">
              <w:rPr>
                <w:rFonts w:eastAsia="Calibri" w:cs="Times New Roman"/>
                <w:noProof/>
                <w:sz w:val="22"/>
                <w:lang w:val="en-GB"/>
              </w:rPr>
              <w:t>s</w:t>
            </w:r>
            <w:r w:rsidRPr="00BB5286">
              <w:rPr>
                <w:rFonts w:eastAsia="Calibri" w:cs="Times New Roman"/>
                <w:noProof/>
                <w:sz w:val="22"/>
                <w:lang w:val="en-GB"/>
              </w:rPr>
              <w:t>ed</w:t>
            </w:r>
            <w:r w:rsidR="00BA6A5C" w:rsidRPr="00BB5286">
              <w:rPr>
                <w:rFonts w:eastAsia="Calibri" w:cs="Times New Roman"/>
                <w:noProof/>
                <w:sz w:val="22"/>
                <w:lang w:val="en-GB"/>
              </w:rPr>
              <w:t>,</w:t>
            </w:r>
            <w:r w:rsidRPr="00BB5286">
              <w:rPr>
                <w:rFonts w:eastAsia="Calibri" w:cs="Times New Roman"/>
                <w:noProof/>
                <w:sz w:val="22"/>
                <w:lang w:val="en-GB"/>
              </w:rPr>
              <w:t xml:space="preserve"> subject to the rules laid down in </w:t>
            </w:r>
            <w:r w:rsidR="2AE88AAD" w:rsidRPr="00BB5286">
              <w:rPr>
                <w:rFonts w:eastAsia="Calibri" w:cs="Times New Roman"/>
                <w:noProof/>
                <w:sz w:val="22"/>
                <w:lang w:val="en-GB"/>
              </w:rPr>
              <w:t xml:space="preserve">the Horizontal </w:t>
            </w:r>
            <w:r w:rsidRPr="00BB5286">
              <w:rPr>
                <w:rFonts w:eastAsia="Calibri" w:cs="Times New Roman"/>
                <w:noProof/>
                <w:sz w:val="22"/>
                <w:lang w:val="en-GB"/>
              </w:rPr>
              <w:t>Regulation, but they should have a functioning mechanism to recover undue payments.</w:t>
            </w:r>
          </w:p>
        </w:tc>
      </w:tr>
      <w:tr w:rsidR="008A0490" w:rsidRPr="00BB5286" w14:paraId="6FA85A47" w14:textId="77777777" w:rsidTr="00A27F70">
        <w:trPr>
          <w:trHeight w:val="63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2B099"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25</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DD877" w14:textId="3DDE639D"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EAGF:</w:t>
            </w:r>
            <w:r w:rsidRPr="00BB5286">
              <w:rPr>
                <w:rFonts w:eastAsia="Calibri" w:cs="Times New Roman"/>
                <w:noProof/>
                <w:sz w:val="22"/>
                <w:lang w:val="en-GB"/>
              </w:rPr>
              <w:t xml:space="preserve"> </w:t>
            </w:r>
            <w:r w:rsidR="7D78FBF7" w:rsidRPr="00BB5286">
              <w:rPr>
                <w:rFonts w:eastAsia="Calibri" w:cs="Times New Roman"/>
                <w:noProof/>
                <w:sz w:val="22"/>
                <w:lang w:val="en-GB"/>
              </w:rPr>
              <w:t>s</w:t>
            </w:r>
            <w:r w:rsidRPr="00BB5286">
              <w:rPr>
                <w:rFonts w:eastAsia="Calibri" w:cs="Times New Roman"/>
                <w:noProof/>
                <w:sz w:val="22"/>
                <w:lang w:val="en-GB"/>
              </w:rPr>
              <w:t>implify financial management of direct payment intervention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622DF"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4B675" w14:textId="17A05CE6"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with regard to financial management will feed </w:t>
            </w:r>
            <w:r w:rsidR="00BA6A5C" w:rsidRPr="00BB5286">
              <w:rPr>
                <w:rFonts w:eastAsia="Calibri" w:cs="Times New Roman"/>
                <w:noProof/>
                <w:sz w:val="22"/>
                <w:lang w:val="en-GB"/>
              </w:rPr>
              <w:t xml:space="preserve">into </w:t>
            </w:r>
            <w:r w:rsidRPr="00BB5286">
              <w:rPr>
                <w:rFonts w:eastAsia="Calibri" w:cs="Times New Roman"/>
                <w:noProof/>
                <w:sz w:val="22"/>
                <w:lang w:val="en-GB"/>
              </w:rPr>
              <w:t>the reflection on the post-2027 CAP.</w:t>
            </w:r>
          </w:p>
        </w:tc>
      </w:tr>
      <w:tr w:rsidR="008A0490" w:rsidRPr="00BB5286" w14:paraId="5B4F2074"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C4358"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26</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04098" w14:textId="7E189561"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EAGF:</w:t>
            </w:r>
            <w:r w:rsidRPr="00BB5286">
              <w:rPr>
                <w:rFonts w:eastAsia="Calibri" w:cs="Times New Roman"/>
                <w:noProof/>
                <w:sz w:val="22"/>
                <w:lang w:val="en-GB"/>
              </w:rPr>
              <w:t xml:space="preserve"> </w:t>
            </w:r>
            <w:r w:rsidR="00914D9B" w:rsidRPr="00BB5286">
              <w:rPr>
                <w:rFonts w:eastAsia="Calibri" w:cs="Times New Roman"/>
                <w:noProof/>
                <w:sz w:val="22"/>
                <w:lang w:val="en-GB"/>
              </w:rPr>
              <w:t>r</w:t>
            </w:r>
            <w:r w:rsidRPr="00BB5286">
              <w:rPr>
                <w:rFonts w:eastAsia="Calibri" w:cs="Times New Roman"/>
                <w:noProof/>
                <w:sz w:val="22"/>
                <w:lang w:val="en-GB"/>
              </w:rPr>
              <w:t>educe the obligation of annual financial planning</w:t>
            </w:r>
            <w:r w:rsidR="00BA6A5C" w:rsidRPr="00BB5286">
              <w:rPr>
                <w:rFonts w:eastAsia="Calibri" w:cs="Times New Roman"/>
                <w:noProof/>
                <w:sz w:val="22"/>
                <w:lang w:val="en-GB"/>
              </w:rPr>
              <w:t>,</w:t>
            </w:r>
            <w:r w:rsidRPr="00BB5286">
              <w:rPr>
                <w:rFonts w:eastAsia="Calibri" w:cs="Times New Roman"/>
                <w:noProof/>
                <w:sz w:val="22"/>
                <w:lang w:val="en-GB"/>
              </w:rPr>
              <w:t xml:space="preserve"> or switch to multiannual financial management for </w:t>
            </w:r>
            <w:r w:rsidR="00BA6A5C" w:rsidRPr="00BB5286">
              <w:rPr>
                <w:rFonts w:eastAsia="Calibri" w:cs="Times New Roman"/>
                <w:noProof/>
                <w:sz w:val="22"/>
                <w:lang w:val="en-GB"/>
              </w:rPr>
              <w:t xml:space="preserve">the </w:t>
            </w:r>
            <w:r w:rsidRPr="00BB5286">
              <w:rPr>
                <w:rFonts w:eastAsia="Calibri" w:cs="Times New Roman"/>
                <w:noProof/>
                <w:sz w:val="22"/>
                <w:lang w:val="en-GB"/>
              </w:rPr>
              <w:t>EAGF.</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AAE7C"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 NL, LU</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4856B" w14:textId="1027A26D"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with regard to financial management will feed </w:t>
            </w:r>
            <w:r w:rsidR="00BA6A5C" w:rsidRPr="00BB5286">
              <w:rPr>
                <w:rFonts w:eastAsia="Calibri" w:cs="Times New Roman"/>
                <w:noProof/>
                <w:sz w:val="22"/>
                <w:lang w:val="en-GB"/>
              </w:rPr>
              <w:t xml:space="preserve">into </w:t>
            </w:r>
            <w:r w:rsidRPr="00BB5286">
              <w:rPr>
                <w:rFonts w:eastAsia="Calibri" w:cs="Times New Roman"/>
                <w:noProof/>
                <w:sz w:val="22"/>
                <w:lang w:val="en-GB"/>
              </w:rPr>
              <w:t>the reflection on the post-2027 CAP.</w:t>
            </w:r>
          </w:p>
        </w:tc>
      </w:tr>
      <w:tr w:rsidR="008A0490" w:rsidRPr="00BB5286" w14:paraId="3CB6316A" w14:textId="77777777" w:rsidTr="00A27F70">
        <w:trPr>
          <w:trHeight w:val="436"/>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CE008"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27</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B36DF" w14:textId="15AF8A4C" w:rsidR="00872C68" w:rsidRPr="00BB5286" w:rsidRDefault="00872C68" w:rsidP="001061AF">
            <w:pPr>
              <w:spacing w:after="60" w:line="259" w:lineRule="auto"/>
              <w:jc w:val="both"/>
              <w:rPr>
                <w:rFonts w:eastAsia="Calibri" w:cs="Times New Roman"/>
                <w:i/>
                <w:noProof/>
                <w:sz w:val="22"/>
                <w:lang w:val="en-GB"/>
              </w:rPr>
            </w:pPr>
            <w:r w:rsidRPr="00BB5286">
              <w:rPr>
                <w:rFonts w:eastAsia="Calibri" w:cs="Times New Roman"/>
                <w:b/>
                <w:bCs/>
                <w:noProof/>
                <w:sz w:val="22"/>
                <w:lang w:val="en-GB"/>
              </w:rPr>
              <w:t>Transfers:</w:t>
            </w:r>
            <w:r w:rsidRPr="00BB5286">
              <w:rPr>
                <w:rFonts w:eastAsia="Calibri" w:cs="Times New Roman"/>
                <w:noProof/>
                <w:sz w:val="22"/>
                <w:lang w:val="en-GB"/>
              </w:rPr>
              <w:t xml:space="preserve"> </w:t>
            </w:r>
            <w:r w:rsidR="109E46CD" w:rsidRPr="00BB5286">
              <w:rPr>
                <w:rFonts w:eastAsia="Calibri" w:cs="Times New Roman"/>
                <w:noProof/>
                <w:sz w:val="22"/>
                <w:lang w:val="en-GB"/>
              </w:rPr>
              <w:t>m</w:t>
            </w:r>
            <w:r w:rsidRPr="00BB5286">
              <w:rPr>
                <w:rFonts w:eastAsia="Calibri" w:cs="Times New Roman"/>
                <w:noProof/>
                <w:sz w:val="22"/>
                <w:lang w:val="en-GB"/>
              </w:rPr>
              <w:t>ore flexibility for transfers between pillars (</w:t>
            </w:r>
            <w:r w:rsidRPr="00BB5286">
              <w:rPr>
                <w:rFonts w:eastAsia="Calibri" w:cs="Times New Roman"/>
                <w:i/>
                <w:noProof/>
                <w:sz w:val="22"/>
                <w:lang w:val="en-GB"/>
              </w:rPr>
              <w:t xml:space="preserve">Article 103(5) </w:t>
            </w:r>
            <w:r w:rsidRPr="00BB5286">
              <w:rPr>
                <w:rFonts w:eastAsia="Calibri" w:cs="Times New Roman"/>
                <w:noProof/>
                <w:sz w:val="22"/>
                <w:lang w:val="en-GB"/>
              </w:rPr>
              <w:t xml:space="preserve">of </w:t>
            </w:r>
            <w:r w:rsidR="7896D0FA" w:rsidRPr="00BB5286">
              <w:rPr>
                <w:rFonts w:eastAsia="Calibri" w:cs="Times New Roman"/>
                <w:noProof/>
                <w:sz w:val="22"/>
                <w:lang w:val="en-GB"/>
              </w:rPr>
              <w:t xml:space="preserve">the CSP </w:t>
            </w:r>
            <w:r w:rsidRPr="00BB5286">
              <w:rPr>
                <w:rFonts w:eastAsia="Calibri" w:cs="Times New Roman"/>
                <w:noProof/>
                <w:sz w:val="22"/>
                <w:lang w:val="en-GB"/>
              </w:rPr>
              <w:t>Regulation).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4EA0B"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PT, RO, BE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38A87" w14:textId="5041411F"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To ensure the stability of programming, the co-legislators decided to limit the possibility to modify transfers of allocations between funds to once during the five-year period of the CAP </w:t>
            </w:r>
            <w:r w:rsidR="6DE1A00F" w:rsidRPr="00BB5286">
              <w:rPr>
                <w:rFonts w:eastAsia="Calibri" w:cs="Times New Roman"/>
                <w:noProof/>
                <w:sz w:val="22"/>
                <w:lang w:val="en-GB"/>
              </w:rPr>
              <w:t>P</w:t>
            </w:r>
            <w:r w:rsidRPr="00BB5286">
              <w:rPr>
                <w:rFonts w:eastAsia="Calibri" w:cs="Times New Roman"/>
                <w:noProof/>
                <w:sz w:val="22"/>
                <w:lang w:val="en-GB"/>
              </w:rPr>
              <w:t>lans.</w:t>
            </w:r>
          </w:p>
        </w:tc>
      </w:tr>
      <w:tr w:rsidR="008A0490" w:rsidRPr="00BB5286" w14:paraId="6CD087EE"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27737" w14:textId="77777777" w:rsidR="00872C68" w:rsidRPr="00BB5286" w:rsidRDefault="00872C68" w:rsidP="001061AF">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28</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44C4C" w14:textId="28D0CAF3"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Transfers:</w:t>
            </w:r>
            <w:r w:rsidRPr="00BB5286">
              <w:rPr>
                <w:rFonts w:eastAsia="Calibri" w:cs="Times New Roman"/>
                <w:noProof/>
                <w:sz w:val="22"/>
                <w:lang w:val="en-GB"/>
              </w:rPr>
              <w:t xml:space="preserve"> </w:t>
            </w:r>
            <w:r w:rsidR="044DF5E7" w:rsidRPr="00BB5286">
              <w:rPr>
                <w:rFonts w:eastAsia="Calibri" w:cs="Times New Roman"/>
                <w:noProof/>
                <w:sz w:val="22"/>
                <w:lang w:val="en-GB"/>
              </w:rPr>
              <w:t>f</w:t>
            </w:r>
            <w:r w:rsidRPr="00BB5286">
              <w:rPr>
                <w:rFonts w:eastAsia="Calibri" w:cs="Times New Roman"/>
                <w:noProof/>
                <w:sz w:val="22"/>
                <w:lang w:val="en-GB"/>
              </w:rPr>
              <w:t xml:space="preserve">lexibility for transfers between direct payment allocations and EAFRD allocations – allow review of </w:t>
            </w:r>
            <w:r w:rsidR="38C64AB4" w:rsidRPr="00BB5286">
              <w:rPr>
                <w:rFonts w:eastAsia="Calibri" w:cs="Times New Roman"/>
                <w:noProof/>
                <w:sz w:val="22"/>
                <w:lang w:val="en-GB"/>
              </w:rPr>
              <w:t>C</w:t>
            </w:r>
            <w:r w:rsidR="05024A0B" w:rsidRPr="00BB5286">
              <w:rPr>
                <w:rFonts w:eastAsia="Calibri" w:cs="Times New Roman"/>
                <w:noProof/>
                <w:sz w:val="22"/>
                <w:lang w:val="en-GB"/>
              </w:rPr>
              <w:t>A</w:t>
            </w:r>
            <w:r w:rsidR="1112A3BE" w:rsidRPr="00BB5286">
              <w:rPr>
                <w:rFonts w:eastAsia="Calibri" w:cs="Times New Roman"/>
                <w:noProof/>
                <w:sz w:val="22"/>
                <w:lang w:val="en-GB"/>
              </w:rPr>
              <w:t xml:space="preserve">P </w:t>
            </w:r>
            <w:r w:rsidR="38C64AB4" w:rsidRPr="00BB5286">
              <w:rPr>
                <w:rFonts w:eastAsia="Calibri" w:cs="Times New Roman"/>
                <w:noProof/>
                <w:sz w:val="22"/>
                <w:lang w:val="en-GB"/>
              </w:rPr>
              <w:t>P</w:t>
            </w:r>
            <w:r w:rsidR="1A5460B8" w:rsidRPr="00BB5286">
              <w:rPr>
                <w:rFonts w:eastAsia="Calibri" w:cs="Times New Roman"/>
                <w:noProof/>
                <w:sz w:val="22"/>
                <w:lang w:val="en-GB"/>
              </w:rPr>
              <w:t>lans</w:t>
            </w:r>
            <w:r w:rsidRPr="00BB5286">
              <w:rPr>
                <w:rFonts w:eastAsia="Calibri" w:cs="Times New Roman"/>
                <w:noProof/>
                <w:sz w:val="22"/>
                <w:lang w:val="en-GB"/>
              </w:rPr>
              <w:t xml:space="preserve"> already in 2024 (instead of 2025) </w:t>
            </w:r>
            <w:r w:rsidR="4851C243" w:rsidRPr="00BB5286">
              <w:rPr>
                <w:rFonts w:eastAsia="Calibri" w:cs="Times New Roman"/>
                <w:noProof/>
                <w:sz w:val="22"/>
                <w:lang w:val="en-GB"/>
              </w:rPr>
              <w:t>(</w:t>
            </w:r>
            <w:r w:rsidRPr="00BB5286">
              <w:rPr>
                <w:rFonts w:eastAsia="Calibri" w:cs="Times New Roman"/>
                <w:i/>
                <w:noProof/>
                <w:sz w:val="22"/>
                <w:lang w:val="en-GB"/>
              </w:rPr>
              <w:t>Article 103(5)</w:t>
            </w:r>
            <w:r w:rsidRPr="00BB5286">
              <w:rPr>
                <w:rFonts w:eastAsia="Calibri" w:cs="Times New Roman"/>
                <w:noProof/>
                <w:sz w:val="22"/>
                <w:lang w:val="en-GB"/>
              </w:rPr>
              <w:t xml:space="preserve"> of </w:t>
            </w:r>
            <w:r w:rsidR="777A58B4" w:rsidRPr="00BB5286">
              <w:rPr>
                <w:rFonts w:eastAsia="Calibri" w:cs="Times New Roman"/>
                <w:noProof/>
                <w:sz w:val="22"/>
                <w:lang w:val="en-GB"/>
              </w:rPr>
              <w:t xml:space="preserve">the CSP </w:t>
            </w:r>
            <w:r w:rsidRPr="00BB5286">
              <w:rPr>
                <w:rFonts w:eastAsia="Calibri" w:cs="Times New Roman"/>
                <w:noProof/>
                <w:sz w:val="22"/>
                <w:lang w:val="en-GB"/>
              </w:rPr>
              <w:t>Regulation</w:t>
            </w:r>
            <w:r w:rsidR="7EF393CE" w:rsidRPr="00BB5286">
              <w:rPr>
                <w:rFonts w:eastAsia="Calibri" w:cs="Times New Roman"/>
                <w:noProof/>
                <w:sz w:val="22"/>
                <w:lang w:val="en-GB"/>
              </w:rPr>
              <w:t>)</w:t>
            </w:r>
            <w:r w:rsidR="38C64AB4" w:rsidRPr="00BB5286">
              <w:rPr>
                <w:rFonts w:eastAsia="Calibri" w:cs="Times New Roman"/>
                <w:noProof/>
                <w:sz w:val="22"/>
                <w:lang w:val="en-GB"/>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FFF36"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PL</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EA159" w14:textId="6D068AB1"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as enabling review of the transfers in 2024 would result in uncertainty for beneficiaries, considering that implementation of </w:t>
            </w:r>
            <w:r w:rsidR="00523AA0" w:rsidRPr="00BB5286">
              <w:rPr>
                <w:rFonts w:eastAsia="Calibri" w:cs="Times New Roman"/>
                <w:noProof/>
                <w:sz w:val="22"/>
                <w:lang w:val="en-GB"/>
              </w:rPr>
              <w:t>CAP Plans</w:t>
            </w:r>
            <w:r w:rsidRPr="00BB5286">
              <w:rPr>
                <w:rFonts w:eastAsia="Calibri" w:cs="Times New Roman"/>
                <w:noProof/>
                <w:sz w:val="22"/>
                <w:lang w:val="en-GB"/>
              </w:rPr>
              <w:t xml:space="preserve"> for 2024 is ongoing.   </w:t>
            </w:r>
          </w:p>
        </w:tc>
      </w:tr>
      <w:tr w:rsidR="008A0490" w:rsidRPr="00BB5286" w14:paraId="2E650271"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BA2EF"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29</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66CD6" w14:textId="2F038DE8"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Transfers:</w:t>
            </w:r>
            <w:r w:rsidRPr="00BB5286">
              <w:rPr>
                <w:rFonts w:eastAsia="Calibri" w:cs="Times New Roman"/>
                <w:noProof/>
                <w:sz w:val="22"/>
                <w:lang w:val="en-GB"/>
              </w:rPr>
              <w:t xml:space="preserve"> </w:t>
            </w:r>
            <w:r w:rsidR="7D80B76F" w:rsidRPr="00BB5286">
              <w:rPr>
                <w:rFonts w:eastAsia="Calibri" w:cs="Times New Roman"/>
                <w:noProof/>
                <w:sz w:val="22"/>
                <w:lang w:val="en-GB"/>
              </w:rPr>
              <w:t>f</w:t>
            </w:r>
            <w:r w:rsidRPr="00BB5286">
              <w:rPr>
                <w:rFonts w:eastAsia="Calibri" w:cs="Times New Roman"/>
                <w:noProof/>
                <w:sz w:val="22"/>
                <w:lang w:val="en-GB"/>
              </w:rPr>
              <w:t>lexibility in reallocation of unused funds/direct payments e.g., between interventions and/or making them multiannual.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AA288E"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EL, SK, BE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2AF1E" w14:textId="48FF7AAD"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The limitations </w:t>
            </w:r>
            <w:r w:rsidR="00BA6A5C" w:rsidRPr="00BB5286">
              <w:rPr>
                <w:rFonts w:eastAsia="Calibri" w:cs="Times New Roman"/>
                <w:noProof/>
                <w:sz w:val="22"/>
                <w:lang w:val="en-GB"/>
              </w:rPr>
              <w:t xml:space="preserve">on </w:t>
            </w:r>
            <w:r w:rsidRPr="00BB5286">
              <w:rPr>
                <w:rFonts w:eastAsia="Calibri" w:cs="Times New Roman"/>
                <w:noProof/>
                <w:sz w:val="22"/>
                <w:lang w:val="en-GB"/>
              </w:rPr>
              <w:t xml:space="preserve">reallocation are linked to the annual budgetary nature of EAGF appropriations, and this cannot be changed under this </w:t>
            </w:r>
            <w:r w:rsidR="09B5E926" w:rsidRPr="00BB5286">
              <w:rPr>
                <w:rFonts w:eastAsia="Calibri" w:cs="Times New Roman"/>
                <w:noProof/>
                <w:sz w:val="22"/>
                <w:lang w:val="en-GB"/>
              </w:rPr>
              <w:t>MFF</w:t>
            </w:r>
            <w:r w:rsidR="38C64AB4" w:rsidRPr="00BB5286">
              <w:rPr>
                <w:rFonts w:eastAsia="Calibri" w:cs="Times New Roman"/>
                <w:noProof/>
                <w:sz w:val="22"/>
                <w:lang w:val="en-GB"/>
              </w:rPr>
              <w:t>.</w:t>
            </w:r>
          </w:p>
        </w:tc>
      </w:tr>
      <w:tr w:rsidR="008A0490" w:rsidRPr="00BB5286" w14:paraId="56682FA1"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B7C25"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30</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68223" w14:textId="2BAEE792"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Transfers:</w:t>
            </w:r>
            <w:r w:rsidRPr="00BB5286">
              <w:rPr>
                <w:rFonts w:eastAsia="Calibri" w:cs="Times New Roman"/>
                <w:noProof/>
                <w:sz w:val="22"/>
                <w:lang w:val="en-GB"/>
              </w:rPr>
              <w:t xml:space="preserve"> </w:t>
            </w:r>
            <w:r w:rsidR="52106B11" w:rsidRPr="00BB5286">
              <w:rPr>
                <w:rFonts w:eastAsia="Calibri" w:cs="Times New Roman"/>
                <w:noProof/>
                <w:sz w:val="22"/>
                <w:lang w:val="en-GB"/>
              </w:rPr>
              <w:t>f</w:t>
            </w:r>
            <w:r w:rsidRPr="00BB5286">
              <w:rPr>
                <w:rFonts w:eastAsia="Calibri" w:cs="Times New Roman"/>
                <w:noProof/>
                <w:sz w:val="22"/>
                <w:lang w:val="en-GB"/>
              </w:rPr>
              <w:t xml:space="preserve">lexibility in reallocation of unused funds under 2014-2022 Rural Development Programme beyond 2025 (to </w:t>
            </w:r>
            <w:r w:rsidR="00523AA0" w:rsidRPr="00BB5286">
              <w:rPr>
                <w:rFonts w:eastAsia="Calibri" w:cs="Times New Roman"/>
                <w:noProof/>
                <w:sz w:val="22"/>
                <w:lang w:val="en-GB"/>
              </w:rPr>
              <w:t>CAP Plans</w:t>
            </w:r>
            <w:r w:rsidRPr="00BB5286">
              <w:rPr>
                <w:rFonts w:eastAsia="Calibri" w:cs="Times New Roman"/>
                <w:noProof/>
                <w:sz w:val="22"/>
                <w:lang w:val="en-GB"/>
              </w:rPr>
              <w:t xml:space="preserve"> or a national fund).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B6BBB"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0B7CF" w14:textId="7777777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not taken up. Member States are encouraged to implement and complete their 2014-2022 rural development programmes. Reallocation of unused funds beyond 2025 is not possible from a budgetary perspective.</w:t>
            </w:r>
          </w:p>
        </w:tc>
      </w:tr>
      <w:tr w:rsidR="008A0490" w:rsidRPr="00BB5286" w14:paraId="79DBBD65" w14:textId="77777777" w:rsidTr="00A27F70">
        <w:trPr>
          <w:trHeight w:val="702"/>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80C81" w14:textId="77777777" w:rsidR="00872C68" w:rsidRPr="00BB5286" w:rsidRDefault="00872C68" w:rsidP="00732505">
            <w:pPr>
              <w:spacing w:after="60" w:line="259" w:lineRule="auto"/>
              <w:jc w:val="center"/>
              <w:rPr>
                <w:rFonts w:eastAsia="Calibri" w:cs="Times New Roman"/>
                <w:noProof/>
                <w:sz w:val="22"/>
                <w:highlight w:val="yellow"/>
                <w:lang w:val="en-GB"/>
              </w:rPr>
            </w:pPr>
            <w:r w:rsidRPr="00BB5286">
              <w:rPr>
                <w:rFonts w:eastAsia="Calibri" w:cs="Times New Roman"/>
                <w:b/>
                <w:bCs/>
                <w:noProof/>
                <w:sz w:val="22"/>
                <w:lang w:val="en-GB"/>
              </w:rPr>
              <w:t>31</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4999D" w14:textId="6FF684E8" w:rsidR="00872C68" w:rsidRPr="00BB5286" w:rsidRDefault="5852AD89"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Undue/excessive payments:</w:t>
            </w:r>
            <w:r w:rsidRPr="00BB5286">
              <w:rPr>
                <w:rFonts w:eastAsia="Calibri" w:cs="Times New Roman"/>
                <w:noProof/>
                <w:sz w:val="22"/>
                <w:lang w:val="en-GB"/>
              </w:rPr>
              <w:t xml:space="preserve"> r</w:t>
            </w:r>
            <w:r w:rsidR="38C64AB4" w:rsidRPr="00BB5286">
              <w:rPr>
                <w:rFonts w:eastAsia="Calibri" w:cs="Times New Roman"/>
                <w:noProof/>
                <w:sz w:val="22"/>
                <w:lang w:val="en-GB"/>
              </w:rPr>
              <w:t>eintroduction</w:t>
            </w:r>
            <w:r w:rsidR="00872C68" w:rsidRPr="00BB5286">
              <w:rPr>
                <w:rFonts w:eastAsia="Calibri" w:cs="Times New Roman"/>
                <w:noProof/>
                <w:sz w:val="22"/>
                <w:lang w:val="en-GB"/>
              </w:rPr>
              <w:t xml:space="preserve"> of provisions on unduly or excessively granted payments - up to EUR 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5F379"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PL</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A682F" w14:textId="7777777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This suggestion was not taken up. This reflection can take place in the post-2027 CAP discussion.</w:t>
            </w:r>
          </w:p>
        </w:tc>
      </w:tr>
      <w:tr w:rsidR="008A0490" w:rsidRPr="00BB5286" w14:paraId="747F978E"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DC24D"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lastRenderedPageBreak/>
              <w:t>32</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3F27F" w14:textId="5F55B350"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EAFRD:</w:t>
            </w:r>
            <w:r w:rsidRPr="00BB5286">
              <w:rPr>
                <w:rFonts w:eastAsia="Calibri" w:cs="Times New Roman"/>
                <w:noProof/>
                <w:sz w:val="22"/>
                <w:lang w:val="en-GB"/>
              </w:rPr>
              <w:t xml:space="preserve">  </w:t>
            </w:r>
            <w:r w:rsidR="02200825" w:rsidRPr="00BB5286">
              <w:rPr>
                <w:rFonts w:eastAsia="Calibri" w:cs="Times New Roman"/>
                <w:noProof/>
                <w:sz w:val="22"/>
                <w:lang w:val="en-GB"/>
              </w:rPr>
              <w:t>a</w:t>
            </w:r>
            <w:r w:rsidRPr="00BB5286">
              <w:rPr>
                <w:rFonts w:eastAsia="Calibri" w:cs="Times New Roman"/>
                <w:noProof/>
                <w:sz w:val="22"/>
                <w:lang w:val="en-GB"/>
              </w:rPr>
              <w:t>bolish the requirement to set annual funding for each rural development intervention. Delete the detailed financial tables in descriptions of interventions.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AA29E"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LV</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D7F285" w14:textId="53B3A2B1"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with regard to financial management will feed </w:t>
            </w:r>
            <w:r w:rsidR="000C3E8D" w:rsidRPr="00BB5286">
              <w:rPr>
                <w:rFonts w:eastAsia="Calibri" w:cs="Times New Roman"/>
                <w:noProof/>
                <w:sz w:val="22"/>
                <w:lang w:val="en-GB"/>
              </w:rPr>
              <w:t xml:space="preserve">into </w:t>
            </w:r>
            <w:r w:rsidRPr="00BB5286">
              <w:rPr>
                <w:rFonts w:eastAsia="Calibri" w:cs="Times New Roman"/>
                <w:noProof/>
                <w:sz w:val="22"/>
                <w:lang w:val="en-GB"/>
              </w:rPr>
              <w:t>the reflection on the post-2027 CAP.</w:t>
            </w:r>
          </w:p>
        </w:tc>
      </w:tr>
      <w:tr w:rsidR="008A0490" w:rsidRPr="00BB5286" w14:paraId="5B16CC73" w14:textId="77777777" w:rsidTr="00133FA4">
        <w:trPr>
          <w:trHeight w:val="2084"/>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6081D"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33</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21F2B" w14:textId="5E499CCF" w:rsidR="00872C68" w:rsidRPr="00BB5286" w:rsidRDefault="00872C68" w:rsidP="00732505">
            <w:pPr>
              <w:spacing w:after="60" w:line="259" w:lineRule="auto"/>
              <w:jc w:val="both"/>
              <w:rPr>
                <w:rFonts w:eastAsia="Calibri" w:cs="Times New Roman"/>
                <w:i/>
                <w:noProof/>
                <w:sz w:val="22"/>
                <w:lang w:val="en-GB"/>
              </w:rPr>
            </w:pPr>
            <w:r w:rsidRPr="00BB5286">
              <w:rPr>
                <w:rFonts w:eastAsia="Calibri" w:cs="Times New Roman"/>
                <w:b/>
                <w:bCs/>
                <w:noProof/>
                <w:sz w:val="22"/>
                <w:lang w:val="en-GB"/>
              </w:rPr>
              <w:t>EAFRD:</w:t>
            </w:r>
            <w:r w:rsidRPr="00BB5286">
              <w:rPr>
                <w:rFonts w:eastAsia="Calibri" w:cs="Times New Roman"/>
                <w:noProof/>
                <w:sz w:val="22"/>
                <w:lang w:val="en-GB"/>
              </w:rPr>
              <w:t xml:space="preserve"> </w:t>
            </w:r>
            <w:r w:rsidR="24BD96C9" w:rsidRPr="00BB5286">
              <w:rPr>
                <w:rFonts w:eastAsia="Calibri" w:cs="Times New Roman"/>
                <w:noProof/>
                <w:sz w:val="22"/>
                <w:lang w:val="en-GB"/>
              </w:rPr>
              <w:t>c</w:t>
            </w:r>
            <w:r w:rsidRPr="00BB5286">
              <w:rPr>
                <w:rFonts w:eastAsia="Calibri" w:cs="Times New Roman"/>
                <w:noProof/>
                <w:sz w:val="22"/>
                <w:lang w:val="en-GB"/>
              </w:rPr>
              <w:t xml:space="preserve">hange of the automatic decommitment rule from N+2 to N+3 with regard to EAFRD as applicable to other </w:t>
            </w:r>
            <w:r w:rsidR="000C3E8D" w:rsidRPr="00BB5286">
              <w:rPr>
                <w:rFonts w:eastAsia="Calibri" w:cs="Times New Roman"/>
                <w:noProof/>
                <w:sz w:val="22"/>
                <w:lang w:val="en-GB"/>
              </w:rPr>
              <w:t>i</w:t>
            </w:r>
            <w:r w:rsidRPr="00BB5286">
              <w:rPr>
                <w:rFonts w:eastAsia="Calibri" w:cs="Times New Roman"/>
                <w:noProof/>
                <w:sz w:val="22"/>
                <w:lang w:val="en-GB"/>
              </w:rPr>
              <w:t xml:space="preserve">nvestment and </w:t>
            </w:r>
            <w:r w:rsidR="000C3E8D" w:rsidRPr="00BB5286">
              <w:rPr>
                <w:rFonts w:eastAsia="Calibri" w:cs="Times New Roman"/>
                <w:noProof/>
                <w:sz w:val="22"/>
                <w:lang w:val="en-GB"/>
              </w:rPr>
              <w:t>s</w:t>
            </w:r>
            <w:r w:rsidRPr="00BB5286">
              <w:rPr>
                <w:rFonts w:eastAsia="Calibri" w:cs="Times New Roman"/>
                <w:noProof/>
                <w:sz w:val="22"/>
                <w:lang w:val="en-GB"/>
              </w:rPr>
              <w:t xml:space="preserve">tructural </w:t>
            </w:r>
            <w:r w:rsidR="000C3E8D" w:rsidRPr="00BB5286">
              <w:rPr>
                <w:rFonts w:eastAsia="Calibri" w:cs="Times New Roman"/>
                <w:noProof/>
                <w:sz w:val="22"/>
                <w:lang w:val="en-GB"/>
              </w:rPr>
              <w:t>f</w:t>
            </w:r>
            <w:r w:rsidRPr="00BB5286">
              <w:rPr>
                <w:rFonts w:eastAsia="Calibri" w:cs="Times New Roman"/>
                <w:noProof/>
                <w:sz w:val="22"/>
                <w:lang w:val="en-GB"/>
              </w:rPr>
              <w:t>unds (</w:t>
            </w:r>
            <w:r w:rsidRPr="00BB5286">
              <w:rPr>
                <w:rFonts w:eastAsia="Calibri" w:cs="Times New Roman"/>
                <w:i/>
                <w:noProof/>
                <w:sz w:val="22"/>
                <w:lang w:val="en-GB"/>
              </w:rPr>
              <w:t xml:space="preserve">Article 34(1) </w:t>
            </w:r>
            <w:r w:rsidRPr="00BB5286">
              <w:rPr>
                <w:rFonts w:eastAsia="Calibri" w:cs="Times New Roman"/>
                <w:noProof/>
                <w:sz w:val="22"/>
                <w:lang w:val="en-GB"/>
              </w:rPr>
              <w:t xml:space="preserve">of </w:t>
            </w:r>
            <w:r w:rsidR="5D5C3F7A" w:rsidRPr="00BB5286">
              <w:rPr>
                <w:rFonts w:eastAsia="Calibri" w:cs="Times New Roman"/>
                <w:noProof/>
                <w:sz w:val="22"/>
                <w:lang w:val="en-GB"/>
              </w:rPr>
              <w:t xml:space="preserve">the Horizontal </w:t>
            </w:r>
            <w:r w:rsidRPr="00BB5286">
              <w:rPr>
                <w:rFonts w:eastAsia="Calibri" w:cs="Times New Roman"/>
                <w:noProof/>
                <w:sz w:val="22"/>
                <w:lang w:val="en-GB"/>
              </w:rPr>
              <w:t>Regulation)</w:t>
            </w:r>
            <w:r w:rsidR="009162C0" w:rsidRPr="00BB5286">
              <w:rPr>
                <w:rFonts w:eastAsia="Calibri" w:cs="Times New Roman"/>
                <w:noProof/>
                <w:sz w:val="22"/>
                <w:lang w:val="en-GB"/>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029E46" w14:textId="35614BFD" w:rsidR="00872C68" w:rsidRPr="00BB5286" w:rsidRDefault="00872C68" w:rsidP="00732505">
            <w:pPr>
              <w:spacing w:after="60" w:line="259" w:lineRule="auto"/>
              <w:jc w:val="center"/>
              <w:rPr>
                <w:rFonts w:eastAsia="MS Gothic" w:cs="Times New Roman"/>
                <w:b/>
                <w:noProof/>
                <w:color w:val="0033CC"/>
                <w:sz w:val="22"/>
                <w:lang w:val="en-GB"/>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99CF1" w14:textId="06C2B89B" w:rsidR="00872C68" w:rsidRPr="00133FA4" w:rsidRDefault="6949943A" w:rsidP="00FF77A3">
            <w:pPr>
              <w:spacing w:line="259" w:lineRule="auto"/>
              <w:jc w:val="both"/>
              <w:rPr>
                <w:rFonts w:eastAsia="Calibri" w:cs="Times New Roman"/>
                <w:noProof/>
                <w:sz w:val="22"/>
                <w:lang w:val="en-US"/>
              </w:rPr>
            </w:pPr>
            <w:r w:rsidRPr="00133FA4">
              <w:rPr>
                <w:rFonts w:eastAsia="Calibri" w:cs="Times New Roman"/>
                <w:noProof/>
                <w:sz w:val="22"/>
                <w:lang w:val="en-US"/>
              </w:rPr>
              <w:t xml:space="preserve">The N+2 decommitment rule for the new CAP was decided in the context of the political agreement for the current MFF in 2020, and it was later enshrined in the CAP Horizontal Regulation by the co-legislators in 2021. </w:t>
            </w:r>
          </w:p>
          <w:p w14:paraId="737E9B40" w14:textId="08D55477" w:rsidR="00872C68" w:rsidRPr="00133FA4" w:rsidRDefault="6949943A" w:rsidP="00133FA4">
            <w:pPr>
              <w:spacing w:line="259" w:lineRule="auto"/>
              <w:jc w:val="both"/>
              <w:rPr>
                <w:rFonts w:eastAsia="Calibri" w:cs="Times New Roman"/>
                <w:noProof/>
                <w:sz w:val="22"/>
                <w:lang w:val="en-US"/>
              </w:rPr>
            </w:pPr>
            <w:r w:rsidRPr="00133FA4">
              <w:rPr>
                <w:rFonts w:eastAsia="Calibri" w:cs="Times New Roman"/>
                <w:noProof/>
                <w:sz w:val="22"/>
                <w:lang w:val="en-US"/>
              </w:rPr>
              <w:t xml:space="preserve">The rule ensures a timely implementation of the CAP Plans, to the benefit of the CAP beneficiaries. It also facilitates a steady delivery on the targets and objectives of the </w:t>
            </w:r>
            <w:r w:rsidR="007950B1" w:rsidRPr="00133FA4">
              <w:rPr>
                <w:rFonts w:eastAsia="Calibri" w:cs="Times New Roman"/>
                <w:noProof/>
                <w:sz w:val="22"/>
                <w:lang w:val="en-US"/>
              </w:rPr>
              <w:t>P</w:t>
            </w:r>
            <w:r w:rsidRPr="00133FA4">
              <w:rPr>
                <w:rFonts w:eastAsia="Calibri" w:cs="Times New Roman"/>
                <w:noProof/>
                <w:sz w:val="22"/>
                <w:lang w:val="en-US"/>
              </w:rPr>
              <w:t>lans. Any delay should be avoided as it puts at risk the performance of the CAP Plans.</w:t>
            </w:r>
          </w:p>
        </w:tc>
      </w:tr>
      <w:tr w:rsidR="008A0490" w:rsidRPr="00BB5286" w14:paraId="770AADCE"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4EB1"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34</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D99E3" w14:textId="21899C0F"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EAGF/EAFRD:</w:t>
            </w:r>
            <w:r w:rsidRPr="00BB5286">
              <w:rPr>
                <w:rFonts w:eastAsia="Calibri" w:cs="Times New Roman"/>
                <w:noProof/>
                <w:sz w:val="22"/>
                <w:lang w:val="en-GB"/>
              </w:rPr>
              <w:t xml:space="preserve"> </w:t>
            </w:r>
            <w:r w:rsidR="3835AF2E" w:rsidRPr="00BB5286">
              <w:rPr>
                <w:rFonts w:eastAsia="Calibri" w:cs="Times New Roman"/>
                <w:noProof/>
                <w:sz w:val="22"/>
                <w:lang w:val="en-GB"/>
              </w:rPr>
              <w:t>r</w:t>
            </w:r>
            <w:r w:rsidRPr="00BB5286">
              <w:rPr>
                <w:rFonts w:eastAsia="Calibri" w:cs="Times New Roman"/>
                <w:noProof/>
                <w:sz w:val="22"/>
                <w:lang w:val="en-GB"/>
              </w:rPr>
              <w:t>equest to place EAFRD and EAGF under the Common Provision Regulation (Regulation (EU) 2021/1060) to make it easier for Member States to adopt similar systems across different shared management funds at national level.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5A581"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MT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B3270" w14:textId="7B681D3F"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A55845">
              <w:rPr>
                <w:rFonts w:eastAsia="Calibri" w:cs="Times New Roman"/>
                <w:noProof/>
                <w:sz w:val="22"/>
                <w:lang w:val="en-GB"/>
              </w:rPr>
              <w:t xml:space="preserve"> </w:t>
            </w:r>
            <w:r w:rsidRPr="00BB5286">
              <w:rPr>
                <w:rFonts w:eastAsia="Calibri" w:cs="Times New Roman"/>
                <w:noProof/>
                <w:sz w:val="22"/>
                <w:lang w:val="en-GB"/>
              </w:rPr>
              <w:t xml:space="preserve">was not taken up. With the adoption of </w:t>
            </w:r>
            <w:r w:rsidR="28E0899B" w:rsidRPr="00BB5286">
              <w:rPr>
                <w:rFonts w:eastAsia="Calibri" w:cs="Times New Roman"/>
                <w:noProof/>
                <w:sz w:val="22"/>
                <w:lang w:val="en-GB"/>
              </w:rPr>
              <w:t xml:space="preserve">the CSP </w:t>
            </w:r>
            <w:r w:rsidRPr="00BB5286">
              <w:rPr>
                <w:rFonts w:eastAsia="Calibri" w:cs="Times New Roman"/>
                <w:noProof/>
                <w:sz w:val="22"/>
                <w:lang w:val="en-GB"/>
              </w:rPr>
              <w:t xml:space="preserve">Regulation, the co-legislators decided to take the EAFRD out of the Common Provision Regulation to </w:t>
            </w:r>
            <w:r w:rsidR="000C3E8D" w:rsidRPr="00BB5286">
              <w:rPr>
                <w:rFonts w:eastAsia="Calibri" w:cs="Times New Roman"/>
                <w:noProof/>
                <w:sz w:val="22"/>
                <w:lang w:val="en-GB"/>
              </w:rPr>
              <w:t xml:space="preserve">improve </w:t>
            </w:r>
            <w:r w:rsidRPr="00BB5286">
              <w:rPr>
                <w:rFonts w:eastAsia="Calibri" w:cs="Times New Roman"/>
                <w:noProof/>
                <w:sz w:val="22"/>
                <w:lang w:val="en-GB"/>
              </w:rPr>
              <w:t>synergies between the EAGF and the EAFRD.</w:t>
            </w:r>
          </w:p>
        </w:tc>
      </w:tr>
      <w:tr w:rsidR="008A0490" w:rsidRPr="00BB5286" w14:paraId="45CFB43C" w14:textId="77777777" w:rsidTr="00A27F70">
        <w:trPr>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A9DBC"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noProof/>
                <w:sz w:val="22"/>
                <w:lang w:val="en-GB"/>
              </w:rPr>
              <w:t>35</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236B2" w14:textId="7DD8E631"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Simplified Cost Options (SCO)</w:t>
            </w:r>
            <w:r w:rsidR="009162C0" w:rsidRPr="00BB5286">
              <w:rPr>
                <w:rFonts w:eastAsia="Calibri" w:cs="Times New Roman"/>
                <w:b/>
                <w:bCs/>
                <w:noProof/>
                <w:sz w:val="22"/>
                <w:lang w:val="en-GB"/>
              </w:rPr>
              <w:t>:</w:t>
            </w:r>
            <w:r w:rsidRPr="00BB5286">
              <w:rPr>
                <w:rFonts w:eastAsia="Calibri" w:cs="Times New Roman"/>
                <w:noProof/>
                <w:sz w:val="22"/>
                <w:lang w:val="en-GB"/>
              </w:rPr>
              <w:t xml:space="preserve"> </w:t>
            </w:r>
            <w:r w:rsidR="00152A39" w:rsidRPr="00BB5286">
              <w:rPr>
                <w:rFonts w:eastAsia="Calibri" w:cs="Times New Roman"/>
                <w:noProof/>
                <w:sz w:val="22"/>
                <w:lang w:val="en-GB"/>
              </w:rPr>
              <w:t>i</w:t>
            </w:r>
            <w:r w:rsidRPr="00BB5286">
              <w:rPr>
                <w:rFonts w:eastAsia="Calibri" w:cs="Times New Roman"/>
                <w:noProof/>
                <w:sz w:val="22"/>
                <w:lang w:val="en-GB"/>
              </w:rPr>
              <w:t xml:space="preserve">ntroduction of a system that enables a Member State to ask for </w:t>
            </w:r>
            <w:r w:rsidRPr="00BB5286">
              <w:rPr>
                <w:rFonts w:eastAsia="Calibri" w:cs="Times New Roman"/>
                <w:i/>
                <w:iCs/>
                <w:noProof/>
                <w:sz w:val="22"/>
                <w:lang w:val="en-GB"/>
              </w:rPr>
              <w:t>ex</w:t>
            </w:r>
            <w:r w:rsidR="000C3E8D" w:rsidRPr="00BB5286">
              <w:rPr>
                <w:rFonts w:eastAsia="Calibri" w:cs="Times New Roman"/>
                <w:i/>
                <w:iCs/>
                <w:noProof/>
                <w:sz w:val="22"/>
                <w:lang w:val="en-GB"/>
              </w:rPr>
              <w:t xml:space="preserve"> </w:t>
            </w:r>
            <w:r w:rsidRPr="00BB5286">
              <w:rPr>
                <w:rFonts w:eastAsia="Calibri" w:cs="Times New Roman"/>
                <w:i/>
                <w:iCs/>
                <w:noProof/>
                <w:sz w:val="22"/>
                <w:lang w:val="en-GB"/>
              </w:rPr>
              <w:t>ante</w:t>
            </w:r>
            <w:r w:rsidRPr="00BB5286">
              <w:rPr>
                <w:rFonts w:eastAsia="Calibri" w:cs="Times New Roman"/>
                <w:noProof/>
                <w:sz w:val="22"/>
                <w:lang w:val="en-GB"/>
              </w:rPr>
              <w:t xml:space="preserve"> legal assurance on </w:t>
            </w:r>
            <w:r w:rsidR="000C3E8D" w:rsidRPr="00BB5286">
              <w:rPr>
                <w:rFonts w:eastAsia="Calibri" w:cs="Times New Roman"/>
                <w:noProof/>
                <w:sz w:val="22"/>
                <w:lang w:val="en-GB"/>
              </w:rPr>
              <w:t xml:space="preserve">the </w:t>
            </w:r>
            <w:r w:rsidRPr="00BB5286">
              <w:rPr>
                <w:rFonts w:eastAsia="Calibri" w:cs="Times New Roman"/>
                <w:noProof/>
                <w:sz w:val="22"/>
                <w:lang w:val="en-GB"/>
              </w:rPr>
              <w:t>different forms of financing applied e.g. simplified cost options.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93F2E"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MT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98C80" w14:textId="189C5A38" w:rsidR="009A2611" w:rsidRPr="00567497"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The legal assurance comes from the choice of SCO and is not approved </w:t>
            </w:r>
            <w:r w:rsidRPr="00BB5286">
              <w:rPr>
                <w:rFonts w:eastAsia="Calibri" w:cs="Times New Roman"/>
                <w:i/>
                <w:iCs/>
                <w:noProof/>
                <w:sz w:val="22"/>
                <w:lang w:val="en-GB"/>
              </w:rPr>
              <w:t>ex</w:t>
            </w:r>
            <w:r w:rsidR="000C3E8D" w:rsidRPr="00BB5286">
              <w:rPr>
                <w:rFonts w:eastAsia="Calibri" w:cs="Times New Roman"/>
                <w:i/>
                <w:iCs/>
                <w:noProof/>
                <w:sz w:val="22"/>
                <w:lang w:val="en-GB"/>
              </w:rPr>
              <w:t xml:space="preserve"> </w:t>
            </w:r>
            <w:r w:rsidRPr="00BB5286">
              <w:rPr>
                <w:rFonts w:eastAsia="Calibri" w:cs="Times New Roman"/>
                <w:i/>
                <w:iCs/>
                <w:noProof/>
                <w:sz w:val="22"/>
                <w:lang w:val="en-GB"/>
              </w:rPr>
              <w:t>ante</w:t>
            </w:r>
            <w:r w:rsidRPr="00BB5286">
              <w:rPr>
                <w:rFonts w:eastAsia="Calibri" w:cs="Times New Roman"/>
                <w:noProof/>
                <w:sz w:val="22"/>
                <w:lang w:val="en-GB"/>
              </w:rPr>
              <w:t xml:space="preserve"> by the Commission.</w:t>
            </w:r>
          </w:p>
        </w:tc>
      </w:tr>
      <w:tr w:rsidR="00F34C75" w:rsidRPr="00BB5286" w14:paraId="029CBB7D" w14:textId="77777777" w:rsidTr="00A27F70">
        <w:trPr>
          <w:trHeight w:val="562"/>
        </w:trPr>
        <w:tc>
          <w:tcPr>
            <w:tcW w:w="14749" w:type="dxa"/>
            <w:gridSpan w:val="5"/>
            <w:tcBorders>
              <w:top w:val="single" w:sz="4" w:space="0" w:color="000000" w:themeColor="text1"/>
              <w:left w:val="single" w:sz="4" w:space="0" w:color="000000" w:themeColor="text1"/>
              <w:bottom w:val="nil"/>
              <w:right w:val="single" w:sz="4" w:space="0" w:color="000000" w:themeColor="text1"/>
            </w:tcBorders>
            <w:shd w:val="clear" w:color="auto" w:fill="003399"/>
            <w:vAlign w:val="center"/>
          </w:tcPr>
          <w:p w14:paraId="46C4AFE5" w14:textId="11D6FD96" w:rsidR="0030713B" w:rsidRPr="00BB5286" w:rsidRDefault="0030713B" w:rsidP="00874EF4">
            <w:pPr>
              <w:spacing w:after="60"/>
              <w:jc w:val="center"/>
              <w:rPr>
                <w:rFonts w:cs="Times New Roman"/>
                <w:b/>
                <w:bCs/>
                <w:noProof/>
                <w:sz w:val="22"/>
                <w:lang w:val="en-GB"/>
              </w:rPr>
            </w:pPr>
            <w:r w:rsidRPr="00BB5286">
              <w:rPr>
                <w:rFonts w:eastAsia="Calibri" w:cs="Times New Roman"/>
                <w:b/>
                <w:bCs/>
                <w:noProof/>
                <w:color w:val="FFFFFF" w:themeColor="background1"/>
                <w:sz w:val="22"/>
                <w:lang w:val="en-GB"/>
              </w:rPr>
              <w:t>IACS - Integrated administration and control system</w:t>
            </w:r>
          </w:p>
        </w:tc>
      </w:tr>
      <w:tr w:rsidR="002E2306" w:rsidRPr="00BB5286" w14:paraId="557EDB15" w14:textId="77777777" w:rsidTr="00A27F70">
        <w:trPr>
          <w:trHeight w:val="346"/>
        </w:trPr>
        <w:tc>
          <w:tcPr>
            <w:tcW w:w="716"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17122D0" w14:textId="41A7936E" w:rsidR="0030713B" w:rsidRPr="00BB5286" w:rsidRDefault="0030713B" w:rsidP="0030713B">
            <w:pPr>
              <w:spacing w:after="60"/>
              <w:jc w:val="center"/>
              <w:rPr>
                <w:rFonts w:eastAsia="Calibri" w:cs="Times New Roman"/>
                <w:b/>
                <w:noProof/>
                <w:sz w:val="22"/>
                <w:lang w:val="en-GB"/>
              </w:rPr>
            </w:pPr>
            <w:r w:rsidRPr="00BB5286">
              <w:rPr>
                <w:rFonts w:eastAsia="Calibri" w:cs="Times New Roman"/>
                <w:b/>
                <w:bCs/>
                <w:noProof/>
                <w:sz w:val="22"/>
                <w:lang w:val="en-GB"/>
              </w:rPr>
              <w:t>36</w:t>
            </w:r>
          </w:p>
        </w:tc>
        <w:tc>
          <w:tcPr>
            <w:tcW w:w="5812" w:type="dxa"/>
            <w:gridSpan w:val="2"/>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C514B9F" w14:textId="38A5920C" w:rsidR="0030713B" w:rsidRPr="00BB5286" w:rsidRDefault="0030713B" w:rsidP="003E7CF4">
            <w:pPr>
              <w:spacing w:after="60"/>
              <w:rPr>
                <w:rFonts w:cs="Times New Roman"/>
                <w:b/>
                <w:noProof/>
                <w:sz w:val="22"/>
                <w:lang w:val="en-GB"/>
              </w:rPr>
            </w:pPr>
            <w:r w:rsidRPr="00BB5286">
              <w:rPr>
                <w:rFonts w:eastAsia="Calibri" w:cs="Times New Roman"/>
                <w:b/>
                <w:bCs/>
                <w:noProof/>
                <w:sz w:val="22"/>
                <w:lang w:val="en-GB"/>
              </w:rPr>
              <w:t>IACS</w:t>
            </w:r>
            <w:r w:rsidRPr="00BB5286">
              <w:rPr>
                <w:rFonts w:eastAsia="Calibri" w:cs="Times New Roman"/>
                <w:noProof/>
                <w:sz w:val="22"/>
                <w:lang w:val="en-GB"/>
              </w:rPr>
              <w:t xml:space="preserve"> should be optional. </w:t>
            </w:r>
            <w:r w:rsidR="003B3759" w:rsidRPr="00BB5286">
              <w:rPr>
                <w:rFonts w:eastAsia="Calibri" w:cs="Times New Roman"/>
                <w:noProof/>
                <w:sz w:val="22"/>
                <w:lang w:val="en-GB"/>
              </w:rPr>
              <w:t>Control</w:t>
            </w:r>
            <w:r w:rsidR="000C3E8D" w:rsidRPr="00BB5286">
              <w:rPr>
                <w:rFonts w:eastAsia="Calibri" w:cs="Times New Roman"/>
                <w:noProof/>
                <w:sz w:val="22"/>
                <w:lang w:val="en-GB"/>
              </w:rPr>
              <w:t xml:space="preserve"> </w:t>
            </w:r>
            <w:r w:rsidRPr="00BB5286">
              <w:rPr>
                <w:rFonts w:eastAsia="Calibri" w:cs="Times New Roman"/>
                <w:noProof/>
                <w:sz w:val="22"/>
                <w:lang w:val="en-GB"/>
              </w:rPr>
              <w:t>should only be within national competence.</w:t>
            </w:r>
          </w:p>
        </w:tc>
        <w:tc>
          <w:tcPr>
            <w:tcW w:w="15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5CEE63B" w14:textId="413D0E20" w:rsidR="0030713B" w:rsidRPr="00BB5286" w:rsidRDefault="0030713B" w:rsidP="0030713B">
            <w:pPr>
              <w:spacing w:after="60"/>
              <w:jc w:val="center"/>
              <w:rPr>
                <w:rFonts w:cs="Times New Roman"/>
                <w:b/>
                <w:noProof/>
                <w:sz w:val="22"/>
                <w:lang w:val="en-GB"/>
              </w:rPr>
            </w:pPr>
            <w:r w:rsidRPr="00BB5286">
              <w:rPr>
                <w:rFonts w:eastAsia="MS Gothic" w:cs="Times New Roman"/>
                <w:b/>
                <w:noProof/>
                <w:color w:val="0033CC"/>
                <w:sz w:val="22"/>
                <w:lang w:val="en-GB"/>
              </w:rPr>
              <w:t>NL</w:t>
            </w:r>
          </w:p>
        </w:tc>
        <w:tc>
          <w:tcPr>
            <w:tcW w:w="6662"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D634C9C" w14:textId="0F23F2E4" w:rsidR="0030713B" w:rsidRPr="00BB5286" w:rsidRDefault="0030713B" w:rsidP="009162C0">
            <w:pPr>
              <w:spacing w:after="60"/>
              <w:jc w:val="both"/>
              <w:rPr>
                <w:rFonts w:cs="Times New Roman"/>
                <w:b/>
                <w:noProof/>
                <w:sz w:val="22"/>
                <w:lang w:val="en-GB"/>
              </w:rPr>
            </w:pPr>
            <w:r w:rsidRPr="00BB5286">
              <w:rPr>
                <w:rFonts w:eastAsia="Calibri" w:cs="Times New Roman"/>
                <w:noProof/>
                <w:sz w:val="22"/>
                <w:lang w:val="en-GB"/>
              </w:rPr>
              <w:t>The suggestion</w:t>
            </w:r>
            <w:r w:rsidRPr="00BB5286" w:rsidDel="00A55845">
              <w:rPr>
                <w:rFonts w:eastAsia="Calibri" w:cs="Times New Roman"/>
                <w:noProof/>
                <w:sz w:val="22"/>
                <w:lang w:val="en-GB"/>
              </w:rPr>
              <w:t xml:space="preserve"> </w:t>
            </w:r>
            <w:r w:rsidRPr="00BB5286">
              <w:rPr>
                <w:rFonts w:eastAsia="Calibri" w:cs="Times New Roman"/>
                <w:noProof/>
                <w:sz w:val="22"/>
                <w:lang w:val="en-GB"/>
              </w:rPr>
              <w:t xml:space="preserve">was not taken up. Despite all </w:t>
            </w:r>
            <w:r w:rsidR="000C3E8D" w:rsidRPr="00BB5286">
              <w:rPr>
                <w:rFonts w:eastAsia="Calibri" w:cs="Times New Roman"/>
                <w:noProof/>
                <w:sz w:val="22"/>
                <w:lang w:val="en-GB"/>
              </w:rPr>
              <w:t xml:space="preserve">the </w:t>
            </w:r>
            <w:r w:rsidRPr="00BB5286">
              <w:rPr>
                <w:rFonts w:eastAsia="Calibri" w:cs="Times New Roman"/>
                <w:noProof/>
                <w:sz w:val="22"/>
                <w:lang w:val="en-GB"/>
              </w:rPr>
              <w:t xml:space="preserve">flexibility granted to Member States under the </w:t>
            </w:r>
            <w:r w:rsidR="00C475DB" w:rsidRPr="00BB5286">
              <w:rPr>
                <w:rFonts w:eastAsia="Calibri" w:cs="Times New Roman"/>
                <w:noProof/>
                <w:sz w:val="22"/>
                <w:lang w:val="en-GB"/>
              </w:rPr>
              <w:t>new delivery model</w:t>
            </w:r>
            <w:r w:rsidRPr="00BB5286">
              <w:rPr>
                <w:rFonts w:eastAsia="Calibri" w:cs="Times New Roman"/>
                <w:noProof/>
                <w:sz w:val="22"/>
                <w:lang w:val="en-GB"/>
              </w:rPr>
              <w:t xml:space="preserve"> of the CAP, there remains a need for assurance and protection of the </w:t>
            </w:r>
            <w:r w:rsidR="000C3E8D" w:rsidRPr="00BB5286">
              <w:rPr>
                <w:rFonts w:eastAsia="Calibri" w:cs="Times New Roman"/>
                <w:noProof/>
                <w:sz w:val="22"/>
                <w:lang w:val="en-GB"/>
              </w:rPr>
              <w:t xml:space="preserve">EU’s </w:t>
            </w:r>
            <w:r w:rsidRPr="00BB5286">
              <w:rPr>
                <w:rFonts w:eastAsia="Calibri" w:cs="Times New Roman"/>
                <w:noProof/>
                <w:sz w:val="22"/>
                <w:lang w:val="en-GB"/>
              </w:rPr>
              <w:t xml:space="preserve">financial interests. Also, this would distort the level playing field between Member States under the </w:t>
            </w:r>
            <w:r w:rsidR="000C3E8D" w:rsidRPr="00BB5286">
              <w:rPr>
                <w:rFonts w:eastAsia="Calibri" w:cs="Times New Roman"/>
                <w:noProof/>
                <w:sz w:val="22"/>
                <w:lang w:val="en-GB"/>
              </w:rPr>
              <w:t xml:space="preserve">EU </w:t>
            </w:r>
            <w:r w:rsidRPr="00BB5286">
              <w:rPr>
                <w:rFonts w:eastAsia="Calibri" w:cs="Times New Roman"/>
                <w:noProof/>
                <w:sz w:val="22"/>
                <w:lang w:val="en-GB"/>
              </w:rPr>
              <w:t>CAP framework.</w:t>
            </w:r>
          </w:p>
        </w:tc>
      </w:tr>
      <w:tr w:rsidR="008A0490" w:rsidRPr="00BB5286" w14:paraId="0A1C6E1C" w14:textId="77777777" w:rsidTr="00A27F70">
        <w:trPr>
          <w:trHeight w:val="346"/>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B40431" w14:textId="4F2E802D" w:rsidR="0030713B" w:rsidRPr="00BB5286" w:rsidRDefault="0030713B" w:rsidP="0030713B">
            <w:pPr>
              <w:spacing w:after="60"/>
              <w:jc w:val="center"/>
              <w:rPr>
                <w:rFonts w:eastAsia="Calibri" w:cs="Times New Roman"/>
                <w:b/>
                <w:noProof/>
                <w:sz w:val="22"/>
                <w:lang w:val="en-GB"/>
              </w:rPr>
            </w:pPr>
            <w:r w:rsidRPr="00BB5286">
              <w:rPr>
                <w:rFonts w:eastAsia="Calibri" w:cs="Times New Roman"/>
                <w:b/>
                <w:bCs/>
                <w:noProof/>
                <w:sz w:val="22"/>
                <w:lang w:val="en-GB"/>
              </w:rPr>
              <w:t>37</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17EAC" w14:textId="45F815F0" w:rsidR="0030713B" w:rsidRPr="00BB5286" w:rsidRDefault="0030713B" w:rsidP="003E7CF4">
            <w:pPr>
              <w:spacing w:after="60"/>
              <w:rPr>
                <w:rFonts w:cs="Times New Roman"/>
                <w:b/>
                <w:noProof/>
                <w:sz w:val="22"/>
                <w:lang w:val="en-GB"/>
              </w:rPr>
            </w:pPr>
            <w:r w:rsidRPr="00BB5286">
              <w:rPr>
                <w:rFonts w:eastAsia="Calibri" w:cs="Times New Roman"/>
                <w:b/>
                <w:bCs/>
                <w:noProof/>
                <w:sz w:val="22"/>
                <w:lang w:val="en-GB"/>
              </w:rPr>
              <w:t>IACS</w:t>
            </w:r>
            <w:r w:rsidRPr="00BB5286">
              <w:rPr>
                <w:rFonts w:eastAsia="Calibri" w:cs="Times New Roman"/>
                <w:noProof/>
                <w:sz w:val="22"/>
                <w:lang w:val="en-GB"/>
              </w:rPr>
              <w:t xml:space="preserve"> should be simplified.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35997F" w14:textId="596E7EFD" w:rsidR="0030713B" w:rsidRPr="00BB5286" w:rsidRDefault="0030713B" w:rsidP="0030713B">
            <w:pPr>
              <w:spacing w:after="60"/>
              <w:jc w:val="center"/>
              <w:rPr>
                <w:rFonts w:cs="Times New Roman"/>
                <w:b/>
                <w:noProof/>
                <w:sz w:val="22"/>
                <w:lang w:val="en-GB"/>
              </w:rPr>
            </w:pPr>
            <w:r w:rsidRPr="00BB5286">
              <w:rPr>
                <w:rFonts w:eastAsia="MS Gothic" w:cs="Times New Roman"/>
                <w:b/>
                <w:noProof/>
                <w:color w:val="0033CC"/>
                <w:sz w:val="22"/>
                <w:lang w:val="en-GB"/>
              </w:rPr>
              <w:t>SE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4E97A5" w14:textId="0AB52BBA" w:rsidR="0030713B" w:rsidRPr="00BB5286" w:rsidRDefault="0030713B" w:rsidP="009162C0">
            <w:pPr>
              <w:spacing w:after="60"/>
              <w:jc w:val="both"/>
              <w:rPr>
                <w:rFonts w:cs="Times New Roman"/>
                <w:b/>
                <w:noProof/>
                <w:sz w:val="22"/>
                <w:lang w:val="en-GB"/>
              </w:rPr>
            </w:pPr>
            <w:r w:rsidRPr="00BB5286">
              <w:rPr>
                <w:rFonts w:eastAsia="Calibri" w:cs="Times New Roman"/>
                <w:noProof/>
                <w:sz w:val="22"/>
                <w:lang w:val="en-GB"/>
              </w:rPr>
              <w:t xml:space="preserve">Lessons learned from the current period will feed </w:t>
            </w:r>
            <w:r w:rsidR="000C3E8D" w:rsidRPr="00BB5286">
              <w:rPr>
                <w:rFonts w:eastAsia="Calibri" w:cs="Times New Roman"/>
                <w:noProof/>
                <w:sz w:val="22"/>
                <w:lang w:val="en-GB"/>
              </w:rPr>
              <w:t xml:space="preserve">into </w:t>
            </w:r>
            <w:r w:rsidRPr="00BB5286">
              <w:rPr>
                <w:rFonts w:eastAsia="Calibri" w:cs="Times New Roman"/>
                <w:noProof/>
                <w:sz w:val="22"/>
                <w:lang w:val="en-GB"/>
              </w:rPr>
              <w:t>the reflection on the post-2027 CAP.</w:t>
            </w:r>
          </w:p>
        </w:tc>
      </w:tr>
      <w:tr w:rsidR="00F34C75" w:rsidRPr="00BB5286" w14:paraId="0525554B" w14:textId="77777777" w:rsidTr="00A27F70">
        <w:trPr>
          <w:trHeight w:val="517"/>
        </w:trPr>
        <w:tc>
          <w:tcPr>
            <w:tcW w:w="14754" w:type="dxa"/>
            <w:gridSpan w:val="5"/>
            <w:tcBorders>
              <w:top w:val="single" w:sz="4" w:space="0" w:color="000000" w:themeColor="text1"/>
              <w:left w:val="single" w:sz="4" w:space="0" w:color="000000" w:themeColor="text1"/>
              <w:bottom w:val="nil"/>
              <w:right w:val="single" w:sz="4" w:space="0" w:color="000000" w:themeColor="text1"/>
            </w:tcBorders>
            <w:shd w:val="clear" w:color="auto" w:fill="003399"/>
            <w:vAlign w:val="center"/>
          </w:tcPr>
          <w:p w14:paraId="612FE306" w14:textId="77777777" w:rsidR="003E47C2" w:rsidRPr="00BB5286" w:rsidRDefault="003E47C2" w:rsidP="00732505">
            <w:pPr>
              <w:spacing w:after="6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lastRenderedPageBreak/>
              <w:t>IACS – identification of beneficiaries</w:t>
            </w:r>
          </w:p>
        </w:tc>
      </w:tr>
      <w:tr w:rsidR="00F34C75" w:rsidRPr="00BB5286" w14:paraId="60FF26D5" w14:textId="77777777" w:rsidTr="00A27F70">
        <w:trPr>
          <w:trHeight w:val="1167"/>
        </w:trPr>
        <w:tc>
          <w:tcPr>
            <w:tcW w:w="716" w:type="dxa"/>
            <w:tcBorders>
              <w:top w:val="nil"/>
              <w:left w:val="single" w:sz="4" w:space="0" w:color="000000" w:themeColor="text1"/>
              <w:bottom w:val="single" w:sz="4" w:space="0" w:color="000000" w:themeColor="text1"/>
              <w:right w:val="single" w:sz="4" w:space="0" w:color="000000" w:themeColor="text1"/>
            </w:tcBorders>
            <w:vAlign w:val="center"/>
          </w:tcPr>
          <w:p w14:paraId="0445D83F"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noProof/>
                <w:sz w:val="22"/>
                <w:lang w:val="en-GB"/>
              </w:rPr>
              <w:t>38</w:t>
            </w:r>
          </w:p>
        </w:tc>
        <w:tc>
          <w:tcPr>
            <w:tcW w:w="5814" w:type="dxa"/>
            <w:gridSpan w:val="2"/>
            <w:tcBorders>
              <w:top w:val="nil"/>
              <w:left w:val="single" w:sz="4" w:space="0" w:color="000000" w:themeColor="text1"/>
              <w:bottom w:val="single" w:sz="4" w:space="0" w:color="000000" w:themeColor="text1"/>
              <w:right w:val="single" w:sz="4" w:space="0" w:color="000000" w:themeColor="text1"/>
            </w:tcBorders>
            <w:vAlign w:val="center"/>
          </w:tcPr>
          <w:p w14:paraId="06858CA2" w14:textId="7F905DA5"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Information on beneficiaries</w:t>
            </w:r>
            <w:r w:rsidR="009162C0" w:rsidRPr="00BB5286">
              <w:rPr>
                <w:rFonts w:eastAsia="Calibri" w:cs="Times New Roman"/>
                <w:b/>
                <w:noProof/>
                <w:sz w:val="22"/>
                <w:lang w:val="en-GB"/>
              </w:rPr>
              <w:t>:</w:t>
            </w:r>
            <w:r w:rsidRPr="00BB5286">
              <w:rPr>
                <w:rFonts w:eastAsia="Calibri" w:cs="Times New Roman"/>
                <w:noProof/>
                <w:sz w:val="22"/>
                <w:lang w:val="en-GB"/>
              </w:rPr>
              <w:t xml:space="preserve"> </w:t>
            </w:r>
            <w:r w:rsidR="00152A39" w:rsidRPr="00BB5286">
              <w:rPr>
                <w:rFonts w:eastAsia="Calibri" w:cs="Times New Roman"/>
                <w:noProof/>
                <w:sz w:val="22"/>
                <w:lang w:val="en-GB"/>
              </w:rPr>
              <w:t>a</w:t>
            </w:r>
            <w:r w:rsidRPr="00BB5286">
              <w:rPr>
                <w:rFonts w:eastAsia="Calibri" w:cs="Times New Roman"/>
                <w:noProof/>
                <w:sz w:val="22"/>
                <w:lang w:val="en-GB"/>
              </w:rPr>
              <w:t xml:space="preserve">llow Member States to decide whether to request information from farmers or obtain this from </w:t>
            </w:r>
            <w:r w:rsidR="000C3E8D" w:rsidRPr="00BB5286">
              <w:rPr>
                <w:rFonts w:eastAsia="Calibri" w:cs="Times New Roman"/>
                <w:noProof/>
                <w:sz w:val="22"/>
                <w:lang w:val="en-GB"/>
              </w:rPr>
              <w:t>an</w:t>
            </w:r>
            <w:r w:rsidRPr="00BB5286">
              <w:rPr>
                <w:rFonts w:eastAsia="Calibri" w:cs="Times New Roman"/>
                <w:noProof/>
                <w:sz w:val="22"/>
                <w:lang w:val="en-GB"/>
              </w:rPr>
              <w:t xml:space="preserve">other authentic source </w:t>
            </w:r>
            <w:r w:rsidR="28D8A0D9" w:rsidRPr="00BB5286">
              <w:rPr>
                <w:rFonts w:eastAsia="Calibri" w:cs="Times New Roman"/>
                <w:noProof/>
                <w:sz w:val="22"/>
                <w:lang w:val="en-GB"/>
              </w:rPr>
              <w:t>(</w:t>
            </w:r>
            <w:r w:rsidR="38C64AB4" w:rsidRPr="00BB5286">
              <w:rPr>
                <w:rFonts w:eastAsia="Calibri" w:cs="Times New Roman"/>
                <w:i/>
                <w:iCs/>
                <w:noProof/>
                <w:sz w:val="22"/>
                <w:lang w:val="en-GB"/>
              </w:rPr>
              <w:t>Art</w:t>
            </w:r>
            <w:r w:rsidR="20E16502" w:rsidRPr="00BB5286">
              <w:rPr>
                <w:rFonts w:eastAsia="Calibri" w:cs="Times New Roman"/>
                <w:i/>
                <w:iCs/>
                <w:noProof/>
                <w:sz w:val="22"/>
                <w:lang w:val="en-GB"/>
              </w:rPr>
              <w:t>icle</w:t>
            </w:r>
            <w:r w:rsidRPr="00BB5286">
              <w:rPr>
                <w:rFonts w:eastAsia="Calibri" w:cs="Times New Roman"/>
                <w:i/>
                <w:noProof/>
                <w:sz w:val="22"/>
                <w:lang w:val="en-GB"/>
              </w:rPr>
              <w:t xml:space="preserve"> 44</w:t>
            </w:r>
            <w:r w:rsidRPr="00BB5286">
              <w:rPr>
                <w:rFonts w:eastAsia="Calibri" w:cs="Times New Roman"/>
                <w:noProof/>
                <w:sz w:val="22"/>
                <w:lang w:val="en-GB"/>
              </w:rPr>
              <w:t xml:space="preserve"> of </w:t>
            </w:r>
            <w:r w:rsidR="008B6F95" w:rsidRPr="00BB5286">
              <w:rPr>
                <w:rFonts w:eastAsia="Calibri" w:cs="Times New Roman"/>
                <w:noProof/>
                <w:sz w:val="22"/>
                <w:lang w:val="en-GB"/>
              </w:rPr>
              <w:t xml:space="preserve">Commission </w:t>
            </w:r>
            <w:r w:rsidRPr="00BB5286">
              <w:rPr>
                <w:rFonts w:eastAsia="Calibri" w:cs="Times New Roman"/>
                <w:noProof/>
                <w:sz w:val="22"/>
                <w:lang w:val="en-GB"/>
              </w:rPr>
              <w:t>Implementing Regulation (EU) 128/2022</w:t>
            </w:r>
            <w:r w:rsidR="58AED819" w:rsidRPr="00BB5286">
              <w:rPr>
                <w:rFonts w:eastAsia="Calibri" w:cs="Times New Roman"/>
                <w:noProof/>
                <w:sz w:val="22"/>
                <w:lang w:val="en-GB"/>
              </w:rPr>
              <w:t>)</w:t>
            </w:r>
            <w:r w:rsidR="38C64AB4" w:rsidRPr="00BB5286">
              <w:rPr>
                <w:rFonts w:eastAsia="Calibri" w:cs="Times New Roman"/>
                <w:noProof/>
                <w:sz w:val="22"/>
                <w:lang w:val="en-GB"/>
              </w:rPr>
              <w:t>.</w:t>
            </w:r>
          </w:p>
        </w:tc>
        <w:tc>
          <w:tcPr>
            <w:tcW w:w="1562" w:type="dxa"/>
            <w:tcBorders>
              <w:top w:val="nil"/>
              <w:left w:val="single" w:sz="4" w:space="0" w:color="000000" w:themeColor="text1"/>
              <w:bottom w:val="single" w:sz="4" w:space="0" w:color="000000" w:themeColor="text1"/>
              <w:right w:val="single" w:sz="4" w:space="0" w:color="000000" w:themeColor="text1"/>
            </w:tcBorders>
            <w:vAlign w:val="center"/>
          </w:tcPr>
          <w:p w14:paraId="4C70C89D"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w:t>
            </w:r>
          </w:p>
        </w:tc>
        <w:tc>
          <w:tcPr>
            <w:tcW w:w="6662" w:type="dxa"/>
            <w:tcBorders>
              <w:top w:val="nil"/>
              <w:left w:val="single" w:sz="4" w:space="0" w:color="000000" w:themeColor="text1"/>
              <w:bottom w:val="single" w:sz="4" w:space="0" w:color="000000" w:themeColor="text1"/>
              <w:right w:val="single" w:sz="4" w:space="0" w:color="000000" w:themeColor="text1"/>
            </w:tcBorders>
            <w:vAlign w:val="center"/>
          </w:tcPr>
          <w:p w14:paraId="1DCD1DDB" w14:textId="09DC8CC5" w:rsidR="009A2611" w:rsidRPr="00BB5286" w:rsidRDefault="00872C68" w:rsidP="009162C0">
            <w:pPr>
              <w:spacing w:after="60" w:line="259" w:lineRule="auto"/>
              <w:jc w:val="both"/>
              <w:rPr>
                <w:rFonts w:eastAsia="Times New Roman" w:cs="Times New Roman"/>
                <w:noProof/>
                <w:sz w:val="22"/>
                <w:lang w:val="en-GB"/>
              </w:rPr>
            </w:pPr>
            <w:r w:rsidRPr="00BB5286">
              <w:rPr>
                <w:rFonts w:eastAsia="Calibri" w:cs="Times New Roman"/>
                <w:noProof/>
                <w:sz w:val="22"/>
                <w:lang w:val="en-GB"/>
              </w:rPr>
              <w:t>Addressing this issue is already possible within the current CAP framework.</w:t>
            </w:r>
          </w:p>
        </w:tc>
      </w:tr>
      <w:tr w:rsidR="00F34C75" w:rsidRPr="00BB5286" w14:paraId="6721115E" w14:textId="77777777" w:rsidTr="00A27F70">
        <w:trPr>
          <w:trHeight w:val="346"/>
        </w:trPr>
        <w:tc>
          <w:tcPr>
            <w:tcW w:w="14754" w:type="dxa"/>
            <w:gridSpan w:val="5"/>
            <w:tcBorders>
              <w:top w:val="single" w:sz="4" w:space="0" w:color="000000" w:themeColor="text1"/>
              <w:left w:val="single" w:sz="4" w:space="0" w:color="000000" w:themeColor="text1"/>
              <w:bottom w:val="nil"/>
              <w:right w:val="single" w:sz="4" w:space="0" w:color="000000" w:themeColor="text1"/>
            </w:tcBorders>
            <w:shd w:val="clear" w:color="auto" w:fill="003399"/>
            <w:vAlign w:val="center"/>
          </w:tcPr>
          <w:p w14:paraId="1ECADA2F" w14:textId="77777777" w:rsidR="003E47C2" w:rsidRPr="00BB5286" w:rsidRDefault="003E47C2" w:rsidP="003E7CF4">
            <w:pPr>
              <w:spacing w:before="120" w:after="120" w:line="259" w:lineRule="auto"/>
              <w:jc w:val="center"/>
              <w:rPr>
                <w:rFonts w:eastAsia="Calibri" w:cs="Times New Roman"/>
                <w:b/>
                <w:noProof/>
                <w:color w:val="FFFFFF"/>
                <w:sz w:val="22"/>
                <w:lang w:val="en-GB"/>
              </w:rPr>
            </w:pPr>
            <w:r w:rsidRPr="00BB5286">
              <w:rPr>
                <w:rFonts w:eastAsia="Calibri" w:cs="Times New Roman"/>
                <w:b/>
                <w:noProof/>
                <w:color w:val="FFFFFF"/>
                <w:sz w:val="22"/>
                <w:lang w:val="en-GB"/>
              </w:rPr>
              <w:t xml:space="preserve">IACS – identification of </w:t>
            </w:r>
            <w:r w:rsidRPr="00BB5286" w:rsidDel="00D32A7E">
              <w:rPr>
                <w:rFonts w:eastAsia="Calibri" w:cs="Times New Roman"/>
                <w:b/>
                <w:noProof/>
                <w:color w:val="FFFFFF"/>
                <w:sz w:val="22"/>
                <w:lang w:val="en-GB"/>
              </w:rPr>
              <w:t xml:space="preserve">parcels </w:t>
            </w:r>
            <w:r w:rsidRPr="00BB5286">
              <w:rPr>
                <w:rFonts w:eastAsia="Calibri" w:cs="Times New Roman"/>
                <w:b/>
                <w:noProof/>
                <w:color w:val="FFFFFF"/>
                <w:sz w:val="22"/>
                <w:lang w:val="en-GB"/>
              </w:rPr>
              <w:t>(LPIS)</w:t>
            </w:r>
          </w:p>
        </w:tc>
      </w:tr>
      <w:tr w:rsidR="00F34C75" w:rsidRPr="00BB5286" w14:paraId="21951674" w14:textId="77777777" w:rsidTr="00A27F70">
        <w:trPr>
          <w:trHeight w:val="1156"/>
        </w:trPr>
        <w:tc>
          <w:tcPr>
            <w:tcW w:w="716" w:type="dxa"/>
            <w:tcBorders>
              <w:top w:val="nil"/>
              <w:left w:val="single" w:sz="4" w:space="0" w:color="000000" w:themeColor="text1"/>
              <w:bottom w:val="single" w:sz="4" w:space="0" w:color="000000" w:themeColor="text1"/>
              <w:right w:val="single" w:sz="4" w:space="0" w:color="000000" w:themeColor="text1"/>
            </w:tcBorders>
            <w:vAlign w:val="center"/>
          </w:tcPr>
          <w:p w14:paraId="7AA42A3F"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39</w:t>
            </w:r>
          </w:p>
        </w:tc>
        <w:tc>
          <w:tcPr>
            <w:tcW w:w="5814" w:type="dxa"/>
            <w:gridSpan w:val="2"/>
            <w:tcBorders>
              <w:top w:val="nil"/>
              <w:left w:val="single" w:sz="4" w:space="0" w:color="000000" w:themeColor="text1"/>
              <w:bottom w:val="single" w:sz="4" w:space="0" w:color="000000" w:themeColor="text1"/>
              <w:right w:val="single" w:sz="4" w:space="0" w:color="000000" w:themeColor="text1"/>
            </w:tcBorders>
            <w:vAlign w:val="center"/>
          </w:tcPr>
          <w:p w14:paraId="06F5B0B2" w14:textId="5CB17F49" w:rsidR="00872C68" w:rsidRPr="00BB5286" w:rsidRDefault="000C3E8D"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Land parcel identification system (</w:t>
            </w:r>
            <w:r w:rsidR="00872C68" w:rsidRPr="00BB5286">
              <w:rPr>
                <w:rFonts w:eastAsia="Calibri" w:cs="Times New Roman"/>
                <w:b/>
                <w:noProof/>
                <w:sz w:val="22"/>
                <w:lang w:val="en-GB"/>
              </w:rPr>
              <w:t>LPIS</w:t>
            </w:r>
            <w:r w:rsidRPr="00BB5286">
              <w:rPr>
                <w:rFonts w:eastAsia="Calibri" w:cs="Times New Roman"/>
                <w:b/>
                <w:noProof/>
                <w:sz w:val="22"/>
                <w:lang w:val="en-GB"/>
              </w:rPr>
              <w:t>)</w:t>
            </w:r>
            <w:r w:rsidR="00872C68" w:rsidRPr="00BB5286">
              <w:rPr>
                <w:rFonts w:eastAsia="Calibri" w:cs="Times New Roman"/>
                <w:b/>
                <w:noProof/>
                <w:sz w:val="22"/>
                <w:lang w:val="en-GB"/>
              </w:rPr>
              <w:t xml:space="preserve"> update</w:t>
            </w:r>
            <w:r w:rsidR="009162C0" w:rsidRPr="00BB5286">
              <w:rPr>
                <w:rFonts w:eastAsia="Calibri" w:cs="Times New Roman"/>
                <w:b/>
                <w:noProof/>
                <w:sz w:val="22"/>
                <w:lang w:val="en-GB"/>
              </w:rPr>
              <w:t>:</w:t>
            </w:r>
            <w:r w:rsidR="00872C68" w:rsidRPr="00BB5286">
              <w:rPr>
                <w:rFonts w:eastAsia="Calibri" w:cs="Times New Roman"/>
                <w:noProof/>
                <w:sz w:val="22"/>
                <w:lang w:val="en-GB"/>
              </w:rPr>
              <w:t xml:space="preserve"> </w:t>
            </w:r>
            <w:r w:rsidR="4FCCB57E" w:rsidRPr="00BB5286">
              <w:rPr>
                <w:rFonts w:eastAsia="Calibri" w:cs="Times New Roman"/>
                <w:noProof/>
                <w:sz w:val="22"/>
                <w:lang w:val="en-GB"/>
              </w:rPr>
              <w:t>i</w:t>
            </w:r>
            <w:r w:rsidR="00872C68" w:rsidRPr="00BB5286">
              <w:rPr>
                <w:rFonts w:eastAsia="Calibri" w:cs="Times New Roman"/>
                <w:noProof/>
                <w:sz w:val="22"/>
                <w:lang w:val="en-GB"/>
              </w:rPr>
              <w:t>n the northern conditions</w:t>
            </w:r>
            <w:r w:rsidR="006915F6" w:rsidRPr="00FF77A3">
              <w:rPr>
                <w:rFonts w:eastAsia="Calibri" w:cs="Times New Roman"/>
                <w:noProof/>
                <w:sz w:val="22"/>
                <w:lang w:val="en-GB"/>
              </w:rPr>
              <w:t xml:space="preserve"> (late spring, snow cover)</w:t>
            </w:r>
            <w:r w:rsidR="00872C68" w:rsidRPr="00BB5286">
              <w:rPr>
                <w:rFonts w:eastAsia="Calibri" w:cs="Times New Roman"/>
                <w:noProof/>
                <w:sz w:val="22"/>
                <w:lang w:val="en-GB"/>
              </w:rPr>
              <w:t>, the digiti</w:t>
            </w:r>
            <w:r w:rsidR="00305D2E" w:rsidRPr="00BB5286">
              <w:rPr>
                <w:rFonts w:eastAsia="Calibri" w:cs="Times New Roman"/>
                <w:noProof/>
                <w:sz w:val="22"/>
                <w:lang w:val="en-GB"/>
              </w:rPr>
              <w:t>s</w:t>
            </w:r>
            <w:r w:rsidR="00872C68" w:rsidRPr="00BB5286">
              <w:rPr>
                <w:rFonts w:eastAsia="Calibri" w:cs="Times New Roman"/>
                <w:noProof/>
                <w:sz w:val="22"/>
                <w:lang w:val="en-GB"/>
              </w:rPr>
              <w:t xml:space="preserve">ed information from the update of the LPIS should be used in the aid applications only for the following year </w:t>
            </w:r>
            <w:r w:rsidR="3EEB5935" w:rsidRPr="00BB5286">
              <w:rPr>
                <w:rFonts w:eastAsia="Calibri" w:cs="Times New Roman"/>
                <w:noProof/>
                <w:sz w:val="22"/>
                <w:lang w:val="en-GB"/>
              </w:rPr>
              <w:t>(</w:t>
            </w:r>
            <w:r w:rsidR="38C64AB4" w:rsidRPr="00BB5286">
              <w:rPr>
                <w:rFonts w:eastAsia="Calibri" w:cs="Times New Roman"/>
                <w:i/>
                <w:iCs/>
                <w:noProof/>
                <w:sz w:val="22"/>
                <w:lang w:val="en-GB"/>
              </w:rPr>
              <w:t>Art</w:t>
            </w:r>
            <w:r w:rsidR="4B4B80CF" w:rsidRPr="00BB5286">
              <w:rPr>
                <w:rFonts w:eastAsia="Calibri" w:cs="Times New Roman"/>
                <w:i/>
                <w:iCs/>
                <w:noProof/>
                <w:sz w:val="22"/>
                <w:lang w:val="en-GB"/>
              </w:rPr>
              <w:t>icle</w:t>
            </w:r>
            <w:r w:rsidR="00872C68" w:rsidRPr="00BB5286">
              <w:rPr>
                <w:rFonts w:eastAsia="Calibri" w:cs="Times New Roman"/>
                <w:i/>
                <w:noProof/>
                <w:sz w:val="22"/>
                <w:lang w:val="en-GB"/>
              </w:rPr>
              <w:t xml:space="preserve"> 2(5)</w:t>
            </w:r>
            <w:r w:rsidR="00872C68" w:rsidRPr="00BB5286">
              <w:rPr>
                <w:rFonts w:eastAsia="Calibri" w:cs="Times New Roman"/>
                <w:noProof/>
                <w:sz w:val="22"/>
                <w:lang w:val="en-GB"/>
              </w:rPr>
              <w:t xml:space="preserve"> of </w:t>
            </w:r>
            <w:r w:rsidR="00F81581" w:rsidRPr="00BB5286">
              <w:rPr>
                <w:rFonts w:eastAsia="Calibri" w:cs="Times New Roman"/>
                <w:noProof/>
                <w:sz w:val="22"/>
                <w:lang w:val="en-GB"/>
              </w:rPr>
              <w:t xml:space="preserve">Commission </w:t>
            </w:r>
            <w:r w:rsidR="00872C68" w:rsidRPr="00BB5286">
              <w:rPr>
                <w:rFonts w:eastAsia="Calibri" w:cs="Times New Roman"/>
                <w:noProof/>
                <w:sz w:val="22"/>
                <w:lang w:val="en-GB"/>
              </w:rPr>
              <w:t>Delegated Regulation (EU) 2022/1172</w:t>
            </w:r>
            <w:r w:rsidR="15840EAD" w:rsidRPr="00BB5286">
              <w:rPr>
                <w:rFonts w:eastAsia="Calibri" w:cs="Times New Roman"/>
                <w:noProof/>
                <w:sz w:val="22"/>
                <w:lang w:val="en-GB"/>
              </w:rPr>
              <w:t>).</w:t>
            </w:r>
            <w:r w:rsidR="00872C68" w:rsidRPr="00BB5286">
              <w:rPr>
                <w:rFonts w:eastAsia="Calibri" w:cs="Times New Roman"/>
                <w:noProof/>
                <w:sz w:val="22"/>
                <w:lang w:val="en-GB"/>
              </w:rPr>
              <w:t xml:space="preserve"> </w:t>
            </w:r>
          </w:p>
        </w:tc>
        <w:tc>
          <w:tcPr>
            <w:tcW w:w="1562" w:type="dxa"/>
            <w:tcBorders>
              <w:top w:val="nil"/>
              <w:left w:val="single" w:sz="4" w:space="0" w:color="000000" w:themeColor="text1"/>
              <w:bottom w:val="single" w:sz="4" w:space="0" w:color="000000" w:themeColor="text1"/>
              <w:right w:val="single" w:sz="4" w:space="0" w:color="000000" w:themeColor="text1"/>
            </w:tcBorders>
            <w:vAlign w:val="center"/>
          </w:tcPr>
          <w:p w14:paraId="1A884F3E"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FI</w:t>
            </w:r>
          </w:p>
        </w:tc>
        <w:tc>
          <w:tcPr>
            <w:tcW w:w="6662" w:type="dxa"/>
            <w:tcBorders>
              <w:top w:val="nil"/>
              <w:left w:val="single" w:sz="4" w:space="0" w:color="000000" w:themeColor="text1"/>
              <w:bottom w:val="single" w:sz="4" w:space="0" w:color="000000" w:themeColor="text1"/>
              <w:right w:val="single" w:sz="4" w:space="0" w:color="000000" w:themeColor="text1"/>
            </w:tcBorders>
            <w:vAlign w:val="center"/>
          </w:tcPr>
          <w:p w14:paraId="7A54C84C" w14:textId="375D8275"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w:t>
            </w:r>
            <w:r w:rsidR="000C3E8D" w:rsidRPr="00BB5286">
              <w:rPr>
                <w:rFonts w:eastAsia="Calibri" w:cs="Times New Roman"/>
                <w:noProof/>
                <w:sz w:val="22"/>
                <w:lang w:val="en-GB"/>
              </w:rPr>
              <w:t xml:space="preserve">The </w:t>
            </w:r>
            <w:r w:rsidRPr="00BB5286">
              <w:rPr>
                <w:rFonts w:eastAsia="Calibri" w:cs="Times New Roman"/>
                <w:noProof/>
                <w:sz w:val="22"/>
                <w:lang w:val="en-GB"/>
              </w:rPr>
              <w:t xml:space="preserve">LPIS should be updated within </w:t>
            </w:r>
            <w:r w:rsidR="00774146" w:rsidRPr="00BB5286">
              <w:rPr>
                <w:rFonts w:eastAsia="Calibri" w:cs="Times New Roman"/>
                <w:noProof/>
                <w:sz w:val="22"/>
                <w:lang w:val="en-GB"/>
              </w:rPr>
              <w:t xml:space="preserve">3 </w:t>
            </w:r>
            <w:r w:rsidRPr="00BB5286">
              <w:rPr>
                <w:rFonts w:eastAsia="Calibri" w:cs="Times New Roman"/>
                <w:noProof/>
                <w:sz w:val="22"/>
                <w:lang w:val="en-GB"/>
              </w:rPr>
              <w:t xml:space="preserve">years. Any known need </w:t>
            </w:r>
            <w:r w:rsidR="000C3E8D" w:rsidRPr="00BB5286">
              <w:rPr>
                <w:rFonts w:eastAsia="Calibri" w:cs="Times New Roman"/>
                <w:noProof/>
                <w:sz w:val="22"/>
                <w:lang w:val="en-GB"/>
              </w:rPr>
              <w:t xml:space="preserve">for </w:t>
            </w:r>
            <w:r w:rsidRPr="00BB5286">
              <w:rPr>
                <w:rFonts w:eastAsia="Calibri" w:cs="Times New Roman"/>
                <w:noProof/>
                <w:sz w:val="22"/>
                <w:lang w:val="en-GB"/>
              </w:rPr>
              <w:t xml:space="preserve">update triggered by the AMS, </w:t>
            </w:r>
            <w:r w:rsidR="000C3E8D" w:rsidRPr="00BB5286">
              <w:rPr>
                <w:rFonts w:eastAsia="Calibri" w:cs="Times New Roman"/>
                <w:noProof/>
                <w:sz w:val="22"/>
                <w:lang w:val="en-GB"/>
              </w:rPr>
              <w:t>g</w:t>
            </w:r>
            <w:r w:rsidRPr="00BB5286">
              <w:rPr>
                <w:rFonts w:eastAsia="Calibri" w:cs="Times New Roman"/>
                <w:noProof/>
                <w:sz w:val="22"/>
                <w:lang w:val="en-GB"/>
              </w:rPr>
              <w:t xml:space="preserve">eo-spatial aid application or other reliable information should be taken into account to give </w:t>
            </w:r>
            <w:r w:rsidR="000C3E8D" w:rsidRPr="00BB5286">
              <w:rPr>
                <w:rFonts w:eastAsia="Calibri" w:cs="Times New Roman"/>
                <w:noProof/>
                <w:sz w:val="22"/>
                <w:lang w:val="en-GB"/>
              </w:rPr>
              <w:t xml:space="preserve">the </w:t>
            </w:r>
            <w:r w:rsidRPr="00BB5286">
              <w:rPr>
                <w:rFonts w:eastAsia="Calibri" w:cs="Times New Roman"/>
                <w:noProof/>
                <w:sz w:val="22"/>
                <w:lang w:val="en-GB"/>
              </w:rPr>
              <w:t>correct and latest information to the farmers for their declarations.</w:t>
            </w:r>
          </w:p>
        </w:tc>
      </w:tr>
      <w:tr w:rsidR="00F34C75" w:rsidRPr="00BB5286" w14:paraId="6FBE98A6" w14:textId="77777777" w:rsidTr="00A27F70">
        <w:trPr>
          <w:trHeight w:val="360"/>
        </w:trPr>
        <w:tc>
          <w:tcPr>
            <w:tcW w:w="147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99"/>
            <w:vAlign w:val="center"/>
          </w:tcPr>
          <w:p w14:paraId="15476A1D" w14:textId="77777777" w:rsidR="003E47C2" w:rsidRPr="00BB5286" w:rsidRDefault="003E47C2" w:rsidP="003E7CF4">
            <w:pPr>
              <w:spacing w:before="120" w:after="120" w:line="259" w:lineRule="auto"/>
              <w:jc w:val="center"/>
              <w:rPr>
                <w:rFonts w:eastAsia="Calibri" w:cs="Times New Roman"/>
                <w:b/>
                <w:noProof/>
                <w:color w:val="FFFFFF"/>
                <w:sz w:val="22"/>
                <w:lang w:val="en-GB"/>
              </w:rPr>
            </w:pPr>
            <w:r w:rsidRPr="00BB5286">
              <w:rPr>
                <w:rFonts w:eastAsia="Calibri" w:cs="Times New Roman"/>
                <w:b/>
                <w:noProof/>
                <w:color w:val="FFFFFF"/>
                <w:sz w:val="22"/>
                <w:lang w:val="en-GB"/>
              </w:rPr>
              <w:t>Aid applications – submission and withdrawal</w:t>
            </w:r>
          </w:p>
        </w:tc>
      </w:tr>
      <w:tr w:rsidR="003D4B2D" w:rsidRPr="00BB5286" w14:paraId="211C0843" w14:textId="77777777" w:rsidTr="00A27F70">
        <w:trPr>
          <w:trHeight w:val="1133"/>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30865"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40</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9600B3" w14:textId="1962A590"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Automatic enrolment</w:t>
            </w:r>
            <w:r w:rsidR="009162C0" w:rsidRPr="00BB5286">
              <w:rPr>
                <w:rFonts w:eastAsia="Calibri" w:cs="Times New Roman"/>
                <w:b/>
                <w:bCs/>
                <w:noProof/>
                <w:sz w:val="22"/>
                <w:lang w:val="en-GB"/>
              </w:rPr>
              <w:t>:</w:t>
            </w:r>
            <w:r w:rsidRPr="00BB5286">
              <w:rPr>
                <w:rFonts w:eastAsia="Calibri" w:cs="Times New Roman"/>
                <w:noProof/>
                <w:sz w:val="22"/>
                <w:lang w:val="en-GB"/>
              </w:rPr>
              <w:t xml:space="preserve"> </w:t>
            </w:r>
            <w:r w:rsidR="11FAA772" w:rsidRPr="00BB5286">
              <w:rPr>
                <w:rFonts w:eastAsia="Calibri" w:cs="Times New Roman"/>
                <w:noProof/>
                <w:sz w:val="22"/>
                <w:lang w:val="en-GB"/>
              </w:rPr>
              <w:t>a</w:t>
            </w:r>
            <w:r w:rsidRPr="00BB5286">
              <w:rPr>
                <w:rFonts w:eastAsia="Calibri" w:cs="Times New Roman"/>
                <w:noProof/>
                <w:sz w:val="22"/>
                <w:lang w:val="en-GB"/>
              </w:rPr>
              <w:t xml:space="preserve"> possibility to provide for automatic enrolment in schemes (e.g. ANC) unless farmers choose to withdraw and notify their withdrawal.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5D686"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3CA7E" w14:textId="78763DBB"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This is already possible under the current </w:t>
            </w:r>
            <w:r w:rsidR="000C3E8D" w:rsidRPr="00BB5286">
              <w:rPr>
                <w:rFonts w:eastAsia="Calibri" w:cs="Times New Roman"/>
                <w:noProof/>
                <w:sz w:val="22"/>
                <w:lang w:val="en-GB"/>
              </w:rPr>
              <w:t xml:space="preserve">EU </w:t>
            </w:r>
            <w:r w:rsidRPr="00BB5286">
              <w:rPr>
                <w:rFonts w:eastAsia="Calibri" w:cs="Times New Roman"/>
                <w:noProof/>
                <w:sz w:val="22"/>
                <w:lang w:val="en-GB"/>
              </w:rPr>
              <w:t xml:space="preserve">CAP framework. It is for Member States to design and implement </w:t>
            </w:r>
            <w:r w:rsidR="000C3E8D" w:rsidRPr="00BB5286">
              <w:rPr>
                <w:rFonts w:eastAsia="Calibri" w:cs="Times New Roman"/>
                <w:noProof/>
                <w:sz w:val="22"/>
                <w:lang w:val="en-GB"/>
              </w:rPr>
              <w:t xml:space="preserve">the </w:t>
            </w:r>
            <w:r w:rsidRPr="00BB5286">
              <w:rPr>
                <w:rFonts w:eastAsia="Calibri" w:cs="Times New Roman"/>
                <w:noProof/>
                <w:sz w:val="22"/>
                <w:lang w:val="en-GB"/>
              </w:rPr>
              <w:t xml:space="preserve">application system for CAP aid, including these elements. </w:t>
            </w:r>
          </w:p>
        </w:tc>
      </w:tr>
      <w:tr w:rsidR="003D4B2D" w:rsidRPr="00BB5286" w14:paraId="0E030EE4" w14:textId="77777777" w:rsidTr="00A27F70">
        <w:trPr>
          <w:trHeight w:val="98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5A691"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41</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3D34D" w14:textId="6B2B2684"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Single aid application</w:t>
            </w:r>
            <w:r w:rsidR="009162C0" w:rsidRPr="00BB5286">
              <w:rPr>
                <w:rFonts w:eastAsia="Calibri" w:cs="Times New Roman"/>
                <w:b/>
                <w:bCs/>
                <w:noProof/>
                <w:sz w:val="22"/>
                <w:lang w:val="en-GB"/>
              </w:rPr>
              <w:t>:</w:t>
            </w:r>
            <w:r w:rsidRPr="00BB5286">
              <w:rPr>
                <w:rFonts w:eastAsia="Calibri" w:cs="Times New Roman"/>
                <w:noProof/>
                <w:sz w:val="22"/>
                <w:lang w:val="en-GB"/>
              </w:rPr>
              <w:t xml:space="preserve"> </w:t>
            </w:r>
            <w:r w:rsidR="499B6986" w:rsidRPr="00BB5286">
              <w:rPr>
                <w:rFonts w:eastAsia="Calibri" w:cs="Times New Roman"/>
                <w:noProof/>
                <w:sz w:val="22"/>
                <w:lang w:val="en-GB"/>
              </w:rPr>
              <w:t>e</w:t>
            </w:r>
            <w:r w:rsidRPr="00BB5286">
              <w:rPr>
                <w:rFonts w:eastAsia="Calibri" w:cs="Times New Roman"/>
                <w:noProof/>
                <w:sz w:val="22"/>
                <w:lang w:val="en-GB"/>
              </w:rPr>
              <w:t>stablish a single aid application period for all interventions.</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E2DE2"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2E2C9" w14:textId="71719242"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obligatory single application was abolished by the co-legislators. However, Member States may choose to apply a single application if they wish and decide the application period in line with </w:t>
            </w:r>
            <w:r w:rsidR="5E6468C6" w:rsidRPr="00BB5286">
              <w:rPr>
                <w:rFonts w:eastAsia="Calibri" w:cs="Times New Roman"/>
                <w:noProof/>
                <w:sz w:val="22"/>
                <w:lang w:val="en-GB"/>
              </w:rPr>
              <w:t xml:space="preserve">the Horizontal </w:t>
            </w:r>
            <w:r w:rsidRPr="00BB5286">
              <w:rPr>
                <w:rFonts w:eastAsia="Calibri" w:cs="Times New Roman"/>
                <w:noProof/>
                <w:sz w:val="22"/>
                <w:lang w:val="en-GB"/>
              </w:rPr>
              <w:t xml:space="preserve">Regulation and </w:t>
            </w:r>
            <w:r w:rsidR="008B6F95" w:rsidRPr="00BB5286">
              <w:rPr>
                <w:rFonts w:eastAsia="Calibri" w:cs="Times New Roman"/>
                <w:noProof/>
                <w:sz w:val="22"/>
                <w:lang w:val="en-GB"/>
              </w:rPr>
              <w:t xml:space="preserve">Commission </w:t>
            </w:r>
            <w:r w:rsidRPr="00BB5286">
              <w:rPr>
                <w:rFonts w:eastAsia="Calibri" w:cs="Times New Roman"/>
                <w:noProof/>
                <w:sz w:val="22"/>
                <w:lang w:val="en-GB"/>
              </w:rPr>
              <w:t>Implementing Regulation (EU) 2022/1173.</w:t>
            </w:r>
          </w:p>
        </w:tc>
      </w:tr>
      <w:tr w:rsidR="003D4B2D" w:rsidRPr="00BB5286" w14:paraId="486A20A3"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EFA73"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noProof/>
                <w:sz w:val="22"/>
                <w:lang w:val="en-GB"/>
              </w:rPr>
              <w:t>42</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ADB68" w14:textId="2D04D501"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bCs/>
                <w:noProof/>
                <w:sz w:val="22"/>
                <w:lang w:val="en-GB"/>
              </w:rPr>
              <w:t>Modification:</w:t>
            </w:r>
            <w:r w:rsidRPr="00BB5286">
              <w:rPr>
                <w:rFonts w:eastAsia="Calibri" w:cs="Times New Roman"/>
                <w:noProof/>
                <w:sz w:val="22"/>
                <w:lang w:val="en-GB"/>
              </w:rPr>
              <w:t xml:space="preserve"> </w:t>
            </w:r>
            <w:r w:rsidR="38C02140" w:rsidRPr="00BB5286">
              <w:rPr>
                <w:rFonts w:eastAsia="Calibri" w:cs="Times New Roman"/>
                <w:noProof/>
                <w:sz w:val="22"/>
                <w:lang w:val="en-GB"/>
              </w:rPr>
              <w:t>f</w:t>
            </w:r>
            <w:r w:rsidRPr="00BB5286">
              <w:rPr>
                <w:rFonts w:eastAsia="Calibri" w:cs="Times New Roman"/>
                <w:noProof/>
                <w:sz w:val="22"/>
                <w:lang w:val="en-GB"/>
              </w:rPr>
              <w:t>armers should be allowed more flexibility to modify their payment applications after the deadline so that they can better respond to the changing situation in agriculture.</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FDF27"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PL</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A1C0" w14:textId="48FD138E" w:rsidR="00872C68" w:rsidRPr="00BB5286" w:rsidRDefault="00872C68" w:rsidP="00732505">
            <w:pPr>
              <w:spacing w:after="60" w:line="259" w:lineRule="auto"/>
              <w:jc w:val="both"/>
              <w:rPr>
                <w:rFonts w:eastAsia="Calibri" w:cs="Times New Roman"/>
                <w:noProof/>
                <w:sz w:val="22"/>
                <w:highlight w:val="yellow"/>
                <w:lang w:val="en-GB"/>
              </w:rPr>
            </w:pPr>
            <w:r w:rsidRPr="00BB5286">
              <w:rPr>
                <w:rFonts w:eastAsia="Calibri" w:cs="Times New Roman"/>
                <w:noProof/>
                <w:sz w:val="22"/>
                <w:lang w:val="en-GB"/>
              </w:rPr>
              <w:t xml:space="preserve">This is already catered for, as Member States have flexibility in designing their control and penalty system. This is one of the key advantages in applying the AMS. However, a deadline for aid application amendments </w:t>
            </w:r>
            <w:r w:rsidRPr="00BB5286">
              <w:rPr>
                <w:rFonts w:eastAsia="Calibri" w:cs="Times New Roman"/>
                <w:noProof/>
                <w:sz w:val="22"/>
                <w:lang w:val="en-GB"/>
              </w:rPr>
              <w:lastRenderedPageBreak/>
              <w:t>is necessary to ensure a proper administration of interventions</w:t>
            </w:r>
            <w:r w:rsidR="000C3E8D" w:rsidRPr="00BB5286">
              <w:rPr>
                <w:rFonts w:eastAsia="Calibri" w:cs="Times New Roman"/>
                <w:noProof/>
                <w:sz w:val="22"/>
                <w:lang w:val="en-GB"/>
              </w:rPr>
              <w:t>,</w:t>
            </w:r>
            <w:r w:rsidRPr="00BB5286">
              <w:rPr>
                <w:rFonts w:eastAsia="Calibri" w:cs="Times New Roman"/>
                <w:noProof/>
                <w:sz w:val="22"/>
                <w:lang w:val="en-GB"/>
              </w:rPr>
              <w:t xml:space="preserve"> and it was set as late as possible, just 15 days before the first payment.</w:t>
            </w:r>
          </w:p>
        </w:tc>
      </w:tr>
      <w:tr w:rsidR="003D4B2D" w:rsidRPr="00BB5286" w14:paraId="478C0288"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2D78C"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noProof/>
                <w:sz w:val="22"/>
                <w:lang w:val="en-GB"/>
              </w:rPr>
              <w:lastRenderedPageBreak/>
              <w:t>43</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3D088" w14:textId="445C6867" w:rsidR="00872C68" w:rsidRPr="00BB5286" w:rsidRDefault="00872C68" w:rsidP="00732505">
            <w:pPr>
              <w:spacing w:after="60" w:line="259" w:lineRule="auto"/>
              <w:jc w:val="both"/>
              <w:rPr>
                <w:rFonts w:eastAsia="Calibri" w:cs="Times New Roman"/>
                <w:i/>
                <w:iCs/>
                <w:noProof/>
                <w:sz w:val="22"/>
                <w:lang w:val="en-GB"/>
              </w:rPr>
            </w:pPr>
            <w:r w:rsidRPr="00BB5286">
              <w:rPr>
                <w:rFonts w:eastAsia="Calibri" w:cs="Times New Roman"/>
                <w:b/>
                <w:bCs/>
                <w:noProof/>
                <w:sz w:val="22"/>
                <w:lang w:val="en-GB"/>
              </w:rPr>
              <w:t>Modification/withdrawal:</w:t>
            </w:r>
            <w:r w:rsidRPr="00BB5286">
              <w:rPr>
                <w:rFonts w:eastAsia="Calibri" w:cs="Times New Roman"/>
                <w:noProof/>
                <w:sz w:val="22"/>
                <w:lang w:val="en-GB"/>
              </w:rPr>
              <w:t xml:space="preserve"> </w:t>
            </w:r>
            <w:r w:rsidR="2CC5FB9C" w:rsidRPr="00BB5286">
              <w:rPr>
                <w:rFonts w:eastAsia="Calibri" w:cs="Times New Roman"/>
                <w:noProof/>
                <w:sz w:val="22"/>
                <w:lang w:val="en-GB"/>
              </w:rPr>
              <w:t>a</w:t>
            </w:r>
            <w:r w:rsidRPr="00BB5286">
              <w:rPr>
                <w:rFonts w:eastAsia="Calibri" w:cs="Times New Roman"/>
                <w:noProof/>
                <w:sz w:val="22"/>
                <w:lang w:val="en-GB"/>
              </w:rPr>
              <w:t>llow farmers to change or withdraw their aid application after detection of any errors to avoid sanctions and/or when detection of non-compliance has happened</w:t>
            </w:r>
            <w:r w:rsidR="00F51482" w:rsidRPr="00BB5286">
              <w:rPr>
                <w:rFonts w:eastAsia="Calibri" w:cs="Times New Roman"/>
                <w:noProof/>
                <w:sz w:val="22"/>
                <w:lang w:val="en-GB"/>
              </w:rPr>
              <w:t>,</w:t>
            </w:r>
            <w:r w:rsidRPr="00BB5286">
              <w:rPr>
                <w:rFonts w:eastAsia="Calibri" w:cs="Times New Roman"/>
                <w:noProof/>
                <w:sz w:val="22"/>
                <w:lang w:val="en-GB"/>
              </w:rPr>
              <w:t xml:space="preserve"> also by means other than </w:t>
            </w:r>
            <w:r w:rsidR="00F51482" w:rsidRPr="00BB5286">
              <w:rPr>
                <w:rFonts w:eastAsia="Calibri" w:cs="Times New Roman"/>
                <w:noProof/>
                <w:sz w:val="22"/>
                <w:lang w:val="en-GB"/>
              </w:rPr>
              <w:t xml:space="preserve">the </w:t>
            </w:r>
            <w:r w:rsidRPr="00BB5286">
              <w:rPr>
                <w:rFonts w:eastAsia="Calibri" w:cs="Times New Roman"/>
                <w:noProof/>
                <w:sz w:val="22"/>
                <w:lang w:val="en-GB"/>
              </w:rPr>
              <w:t>AMS (</w:t>
            </w:r>
            <w:r w:rsidRPr="00BB5286">
              <w:rPr>
                <w:rFonts w:eastAsia="Calibri" w:cs="Times New Roman"/>
                <w:i/>
                <w:noProof/>
                <w:sz w:val="22"/>
                <w:lang w:val="en-GB"/>
              </w:rPr>
              <w:t xml:space="preserve">Article 7 </w:t>
            </w:r>
            <w:r w:rsidRPr="00BB5286">
              <w:rPr>
                <w:rFonts w:eastAsia="Calibri" w:cs="Times New Roman"/>
                <w:noProof/>
                <w:sz w:val="22"/>
                <w:lang w:val="en-GB"/>
              </w:rPr>
              <w:t xml:space="preserve">of </w:t>
            </w:r>
            <w:r w:rsidR="008B6F95" w:rsidRPr="00BB5286">
              <w:rPr>
                <w:rFonts w:eastAsia="Calibri" w:cs="Times New Roman"/>
                <w:noProof/>
                <w:sz w:val="22"/>
                <w:lang w:val="en-GB"/>
              </w:rPr>
              <w:t xml:space="preserve">Commission </w:t>
            </w:r>
            <w:r w:rsidRPr="00BB5286">
              <w:rPr>
                <w:rFonts w:eastAsia="Calibri" w:cs="Times New Roman"/>
                <w:noProof/>
                <w:sz w:val="22"/>
                <w:lang w:val="en-GB"/>
              </w:rPr>
              <w:t>Implementing Regulation (EU) 2022/1173).</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3AD7F"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BG, HU,</w:t>
            </w:r>
          </w:p>
          <w:p w14:paraId="5CC3D4E6"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RO, SK</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B6DD2" w14:textId="281E189A"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The right to amend the application is linked to the use of the AMS as only the monitoring approach allows for such a preventive approach. This is to ensure </w:t>
            </w:r>
            <w:r w:rsidR="00F51482" w:rsidRPr="00BB5286">
              <w:rPr>
                <w:rFonts w:eastAsia="Calibri" w:cs="Times New Roman"/>
                <w:noProof/>
                <w:sz w:val="22"/>
                <w:lang w:val="en-GB"/>
              </w:rPr>
              <w:t xml:space="preserve">the </w:t>
            </w:r>
            <w:r w:rsidRPr="00BB5286">
              <w:rPr>
                <w:rFonts w:eastAsia="Calibri" w:cs="Times New Roman"/>
                <w:noProof/>
                <w:sz w:val="22"/>
                <w:lang w:val="en-GB"/>
              </w:rPr>
              <w:t xml:space="preserve">legality and regularity of payments. When all beneficiaries for a given intervention are not covered by administrative checks and/or </w:t>
            </w:r>
            <w:r w:rsidR="00F51482" w:rsidRPr="00BB5286">
              <w:rPr>
                <w:rFonts w:eastAsia="Calibri" w:cs="Times New Roman"/>
                <w:noProof/>
                <w:sz w:val="22"/>
                <w:lang w:val="en-GB"/>
              </w:rPr>
              <w:t xml:space="preserve">by </w:t>
            </w:r>
            <w:r w:rsidRPr="00BB5286">
              <w:rPr>
                <w:rFonts w:eastAsia="Calibri" w:cs="Times New Roman"/>
                <w:noProof/>
                <w:sz w:val="22"/>
                <w:lang w:val="en-GB"/>
              </w:rPr>
              <w:t>the use of the AMS, the deterrent effect of sanctions is still necessary.</w:t>
            </w:r>
          </w:p>
          <w:p w14:paraId="1A40EB35" w14:textId="25A295FA"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Designing the control and penalty system is up to Member States</w:t>
            </w:r>
            <w:r w:rsidR="00F51482" w:rsidRPr="00BB5286">
              <w:rPr>
                <w:rFonts w:eastAsia="Calibri" w:cs="Times New Roman"/>
                <w:noProof/>
                <w:sz w:val="22"/>
                <w:lang w:val="en-GB"/>
              </w:rPr>
              <w:t>,</w:t>
            </w:r>
            <w:r w:rsidRPr="00BB5286">
              <w:rPr>
                <w:rFonts w:eastAsia="Calibri" w:cs="Times New Roman"/>
                <w:noProof/>
                <w:sz w:val="22"/>
                <w:lang w:val="en-GB"/>
              </w:rPr>
              <w:t xml:space="preserve"> </w:t>
            </w:r>
            <w:r w:rsidR="00F51482" w:rsidRPr="00BB5286">
              <w:rPr>
                <w:rFonts w:eastAsia="Calibri" w:cs="Times New Roman"/>
                <w:noProof/>
                <w:sz w:val="22"/>
                <w:lang w:val="en-GB"/>
              </w:rPr>
              <w:t>h</w:t>
            </w:r>
            <w:r w:rsidRPr="00BB5286">
              <w:rPr>
                <w:rFonts w:eastAsia="Calibri" w:cs="Times New Roman"/>
                <w:noProof/>
                <w:sz w:val="22"/>
                <w:lang w:val="en-GB"/>
              </w:rPr>
              <w:t>owever, the penalty should be independent from how a Member State decides to control an eligibility condition.</w:t>
            </w:r>
          </w:p>
        </w:tc>
      </w:tr>
      <w:tr w:rsidR="003D4B2D" w:rsidRPr="00BB5286" w14:paraId="6A6E8E9F"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9F0AC"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44</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2EB72" w14:textId="30DBD5C3"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Payments:</w:t>
            </w:r>
            <w:r w:rsidRPr="00BB5286">
              <w:rPr>
                <w:rFonts w:eastAsia="Calibri" w:cs="Times New Roman"/>
                <w:noProof/>
                <w:sz w:val="22"/>
                <w:lang w:val="en-GB"/>
              </w:rPr>
              <w:t xml:space="preserve"> </w:t>
            </w:r>
            <w:r w:rsidR="6B93F6E8" w:rsidRPr="00BB5286">
              <w:rPr>
                <w:rFonts w:eastAsia="Calibri" w:cs="Times New Roman"/>
                <w:noProof/>
                <w:sz w:val="22"/>
                <w:lang w:val="en-GB"/>
              </w:rPr>
              <w:t>a</w:t>
            </w:r>
            <w:r w:rsidRPr="00BB5286">
              <w:rPr>
                <w:rFonts w:eastAsia="Calibri" w:cs="Times New Roman"/>
                <w:noProof/>
                <w:sz w:val="22"/>
                <w:lang w:val="en-GB"/>
              </w:rPr>
              <w:t xml:space="preserve">llow payments to </w:t>
            </w:r>
            <w:r w:rsidR="00F51482" w:rsidRPr="00BB5286">
              <w:rPr>
                <w:rFonts w:eastAsia="Calibri" w:cs="Times New Roman"/>
                <w:noProof/>
                <w:sz w:val="22"/>
                <w:lang w:val="en-GB"/>
              </w:rPr>
              <w:t xml:space="preserve">be made to </w:t>
            </w:r>
            <w:r w:rsidRPr="00BB5286">
              <w:rPr>
                <w:rFonts w:eastAsia="Calibri" w:cs="Times New Roman"/>
                <w:noProof/>
                <w:sz w:val="22"/>
                <w:lang w:val="en-GB"/>
              </w:rPr>
              <w:t>farmers selected for inspections (with a fixed amount withheld for possible penalties).</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F6302"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62176" w14:textId="49E003F0"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w:t>
            </w:r>
            <w:r w:rsidR="00F51482" w:rsidRPr="00BB5286">
              <w:rPr>
                <w:rFonts w:eastAsia="Calibri" w:cs="Times New Roman"/>
                <w:noProof/>
                <w:sz w:val="22"/>
                <w:lang w:val="en-GB"/>
              </w:rPr>
              <w:t xml:space="preserve">EU </w:t>
            </w:r>
            <w:r w:rsidRPr="00BB5286">
              <w:rPr>
                <w:rFonts w:eastAsia="Calibri" w:cs="Times New Roman"/>
                <w:noProof/>
                <w:sz w:val="22"/>
                <w:lang w:val="en-GB"/>
              </w:rPr>
              <w:t xml:space="preserve">CAP framework </w:t>
            </w:r>
            <w:r w:rsidR="00F51482" w:rsidRPr="00BB5286">
              <w:rPr>
                <w:rFonts w:eastAsia="Calibri" w:cs="Times New Roman"/>
                <w:noProof/>
                <w:sz w:val="22"/>
                <w:lang w:val="en-GB"/>
              </w:rPr>
              <w:t xml:space="preserve">allows </w:t>
            </w:r>
            <w:r w:rsidRPr="00BB5286">
              <w:rPr>
                <w:rFonts w:eastAsia="Calibri" w:cs="Times New Roman"/>
                <w:noProof/>
                <w:sz w:val="22"/>
                <w:lang w:val="en-GB"/>
              </w:rPr>
              <w:t>Member States to introduce this possibility as they have flexibility in designing the control and penalty system.</w:t>
            </w:r>
          </w:p>
        </w:tc>
      </w:tr>
      <w:tr w:rsidR="003D4B2D" w:rsidRPr="00BB5286" w14:paraId="0D6DC397"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2530A"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45</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861FB" w14:textId="3203E6D4"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Payments:</w:t>
            </w:r>
            <w:r w:rsidRPr="00BB5286">
              <w:rPr>
                <w:rFonts w:eastAsia="Calibri" w:cs="Times New Roman"/>
                <w:noProof/>
                <w:sz w:val="22"/>
                <w:lang w:val="en-GB"/>
              </w:rPr>
              <w:t xml:space="preserve"> </w:t>
            </w:r>
            <w:r w:rsidR="01D163DB" w:rsidRPr="00BB5286">
              <w:rPr>
                <w:rFonts w:eastAsia="Calibri" w:cs="Times New Roman"/>
                <w:noProof/>
                <w:sz w:val="22"/>
                <w:lang w:val="en-GB"/>
              </w:rPr>
              <w:t>t</w:t>
            </w:r>
            <w:r w:rsidRPr="00BB5286">
              <w:rPr>
                <w:rFonts w:eastAsia="Calibri" w:cs="Times New Roman"/>
                <w:noProof/>
                <w:sz w:val="22"/>
                <w:lang w:val="en-GB"/>
              </w:rPr>
              <w:t>he Commission to issue a guidance note regarding farmers selected for inspection.  This is to clarify that Member States are allowed to pay farmers the majority of their payment</w:t>
            </w:r>
            <w:r w:rsidR="00F51482" w:rsidRPr="00BB5286">
              <w:rPr>
                <w:rFonts w:eastAsia="Calibri" w:cs="Times New Roman"/>
                <w:noProof/>
                <w:sz w:val="22"/>
                <w:lang w:val="en-GB"/>
              </w:rPr>
              <w:t xml:space="preserve"> while</w:t>
            </w:r>
            <w:r w:rsidRPr="00BB5286">
              <w:rPr>
                <w:rFonts w:eastAsia="Calibri" w:cs="Times New Roman"/>
                <w:noProof/>
                <w:sz w:val="22"/>
                <w:lang w:val="en-GB"/>
              </w:rPr>
              <w:t xml:space="preserve"> holding back a fixed amount to cover possible penalties.</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38843"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F6761" w14:textId="1A61904A" w:rsidR="00872C68" w:rsidRPr="00BB5286" w:rsidRDefault="6A90B00B"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Horizontal</w:t>
            </w:r>
            <w:r w:rsidR="006358C3" w:rsidRPr="00BB5286">
              <w:rPr>
                <w:rFonts w:eastAsia="Calibri" w:cs="Times New Roman"/>
                <w:noProof/>
                <w:sz w:val="22"/>
                <w:lang w:val="en-GB"/>
              </w:rPr>
              <w:t xml:space="preserve"> </w:t>
            </w:r>
            <w:r w:rsidR="00872C68" w:rsidRPr="00BB5286">
              <w:rPr>
                <w:rFonts w:eastAsia="Calibri" w:cs="Times New Roman"/>
                <w:noProof/>
                <w:sz w:val="22"/>
                <w:lang w:val="en-GB"/>
              </w:rPr>
              <w:t xml:space="preserve">Regulation does not </w:t>
            </w:r>
            <w:r w:rsidR="00FA4F44" w:rsidRPr="00BB5286">
              <w:rPr>
                <w:rFonts w:eastAsia="Calibri" w:cs="Times New Roman"/>
                <w:noProof/>
                <w:sz w:val="22"/>
                <w:lang w:val="en-GB"/>
              </w:rPr>
              <w:t xml:space="preserve">empower </w:t>
            </w:r>
            <w:r w:rsidR="00872C68" w:rsidRPr="00BB5286">
              <w:rPr>
                <w:rFonts w:eastAsia="Calibri" w:cs="Times New Roman"/>
                <w:noProof/>
                <w:sz w:val="22"/>
                <w:lang w:val="en-GB"/>
              </w:rPr>
              <w:t xml:space="preserve">the Commission to </w:t>
            </w:r>
            <w:r w:rsidR="00920CA3" w:rsidRPr="00BB5286">
              <w:rPr>
                <w:rFonts w:eastAsia="Calibri" w:cs="Times New Roman"/>
                <w:noProof/>
                <w:sz w:val="22"/>
                <w:lang w:val="en-GB"/>
              </w:rPr>
              <w:t>issue</w:t>
            </w:r>
            <w:r w:rsidR="00F51482" w:rsidRPr="00BB5286">
              <w:rPr>
                <w:rFonts w:eastAsia="Calibri" w:cs="Times New Roman"/>
                <w:noProof/>
                <w:sz w:val="22"/>
                <w:lang w:val="en-GB"/>
              </w:rPr>
              <w:t xml:space="preserve"> </w:t>
            </w:r>
            <w:r w:rsidR="00872C68" w:rsidRPr="00BB5286">
              <w:rPr>
                <w:rFonts w:eastAsia="Calibri" w:cs="Times New Roman"/>
                <w:noProof/>
                <w:sz w:val="22"/>
                <w:lang w:val="en-GB"/>
              </w:rPr>
              <w:t>such guidance. It is for Member States to design and implement these elements.</w:t>
            </w:r>
          </w:p>
        </w:tc>
      </w:tr>
      <w:tr w:rsidR="00F34C75" w:rsidRPr="00BB5286" w14:paraId="7D05D69D" w14:textId="77777777" w:rsidTr="00A27F70">
        <w:trPr>
          <w:trHeight w:val="472"/>
        </w:trPr>
        <w:tc>
          <w:tcPr>
            <w:tcW w:w="147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99"/>
            <w:vAlign w:val="center"/>
          </w:tcPr>
          <w:p w14:paraId="516DD15E" w14:textId="77777777" w:rsidR="003E47C2" w:rsidRPr="00BB5286" w:rsidRDefault="003E47C2" w:rsidP="00732505">
            <w:pPr>
              <w:spacing w:after="6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t>IACS – Area Monitoring System (AMS)</w:t>
            </w:r>
          </w:p>
        </w:tc>
      </w:tr>
      <w:tr w:rsidR="00F34C75" w:rsidRPr="00BB5286" w14:paraId="54617062" w14:textId="77777777" w:rsidTr="00A27F70">
        <w:trPr>
          <w:trHeight w:val="1126"/>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75293" w14:textId="77777777" w:rsidR="00872C68" w:rsidRPr="00BB5286" w:rsidRDefault="00872C68" w:rsidP="00732505">
            <w:pPr>
              <w:spacing w:after="60" w:line="259" w:lineRule="auto"/>
              <w:jc w:val="center"/>
              <w:rPr>
                <w:rFonts w:eastAsia="Calibri" w:cs="Times New Roman"/>
                <w:b/>
                <w:noProof/>
                <w:sz w:val="22"/>
                <w:lang w:val="en-GB"/>
              </w:rPr>
            </w:pPr>
            <w:r w:rsidRPr="00BB5286">
              <w:rPr>
                <w:rFonts w:eastAsia="Calibri" w:cs="Times New Roman"/>
                <w:b/>
                <w:bCs/>
                <w:noProof/>
                <w:sz w:val="22"/>
                <w:lang w:val="en-GB"/>
              </w:rPr>
              <w:t>46</w:t>
            </w:r>
          </w:p>
        </w:tc>
        <w:tc>
          <w:tcPr>
            <w:tcW w:w="5808" w:type="dxa"/>
            <w:tcBorders>
              <w:top w:val="nil"/>
              <w:left w:val="single" w:sz="4" w:space="0" w:color="000000" w:themeColor="text1"/>
              <w:bottom w:val="single" w:sz="4" w:space="0" w:color="000000" w:themeColor="text1"/>
              <w:right w:val="single" w:sz="4" w:space="0" w:color="000000" w:themeColor="text1"/>
            </w:tcBorders>
            <w:vAlign w:val="center"/>
          </w:tcPr>
          <w:p w14:paraId="07F7AFE4" w14:textId="28E16A61"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AMS flexibility</w:t>
            </w:r>
            <w:r w:rsidR="009162C0" w:rsidRPr="00BB5286">
              <w:rPr>
                <w:rFonts w:eastAsia="Calibri" w:cs="Times New Roman"/>
                <w:b/>
                <w:noProof/>
                <w:sz w:val="22"/>
                <w:lang w:val="en-GB"/>
              </w:rPr>
              <w:t>:</w:t>
            </w:r>
            <w:r w:rsidRPr="00BB5286">
              <w:rPr>
                <w:rFonts w:eastAsia="Calibri" w:cs="Times New Roman"/>
                <w:noProof/>
                <w:sz w:val="22"/>
                <w:lang w:val="en-GB"/>
              </w:rPr>
              <w:t xml:space="preserve"> </w:t>
            </w:r>
            <w:r w:rsidR="723C5FBE" w:rsidRPr="00BB5286">
              <w:rPr>
                <w:rFonts w:eastAsia="Calibri" w:cs="Times New Roman"/>
                <w:noProof/>
                <w:sz w:val="22"/>
                <w:lang w:val="en-GB"/>
              </w:rPr>
              <w:t>s</w:t>
            </w:r>
            <w:r w:rsidRPr="00BB5286">
              <w:rPr>
                <w:rFonts w:eastAsia="Calibri" w:cs="Times New Roman"/>
                <w:noProof/>
                <w:sz w:val="22"/>
                <w:lang w:val="en-GB"/>
              </w:rPr>
              <w:t xml:space="preserve">implify, clarify, </w:t>
            </w:r>
            <w:r w:rsidR="00920CA3" w:rsidRPr="00BB5286">
              <w:rPr>
                <w:rFonts w:eastAsia="Calibri" w:cs="Times New Roman"/>
                <w:noProof/>
                <w:sz w:val="22"/>
                <w:lang w:val="en-GB"/>
              </w:rPr>
              <w:t xml:space="preserve">and </w:t>
            </w:r>
            <w:r w:rsidRPr="00BB5286">
              <w:rPr>
                <w:rFonts w:eastAsia="Calibri" w:cs="Times New Roman"/>
                <w:noProof/>
                <w:sz w:val="22"/>
                <w:lang w:val="en-GB"/>
              </w:rPr>
              <w:t>make more flexible the implementation of the AMS and/or leave the extent of its application to Member States’ discretion.</w:t>
            </w:r>
          </w:p>
        </w:tc>
        <w:tc>
          <w:tcPr>
            <w:tcW w:w="1562" w:type="dxa"/>
            <w:tcBorders>
              <w:top w:val="nil"/>
              <w:left w:val="single" w:sz="4" w:space="0" w:color="000000" w:themeColor="text1"/>
              <w:bottom w:val="single" w:sz="4" w:space="0" w:color="000000" w:themeColor="text1"/>
              <w:right w:val="single" w:sz="4" w:space="0" w:color="000000" w:themeColor="text1"/>
            </w:tcBorders>
            <w:vAlign w:val="center"/>
          </w:tcPr>
          <w:p w14:paraId="4423732D"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EE, MT, PL, BE, CZ</w:t>
            </w:r>
          </w:p>
        </w:tc>
        <w:tc>
          <w:tcPr>
            <w:tcW w:w="6662" w:type="dxa"/>
            <w:tcBorders>
              <w:top w:val="nil"/>
              <w:left w:val="single" w:sz="4" w:space="0" w:color="000000" w:themeColor="text1"/>
              <w:bottom w:val="single" w:sz="4" w:space="0" w:color="000000" w:themeColor="text1"/>
              <w:right w:val="single" w:sz="4" w:space="0" w:color="000000" w:themeColor="text1"/>
            </w:tcBorders>
            <w:vAlign w:val="center"/>
          </w:tcPr>
          <w:p w14:paraId="1F066BC7" w14:textId="1D6933A8"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current </w:t>
            </w:r>
            <w:r w:rsidR="00920CA3" w:rsidRPr="00BB5286">
              <w:rPr>
                <w:rFonts w:eastAsia="Calibri" w:cs="Times New Roman"/>
                <w:noProof/>
                <w:sz w:val="22"/>
                <w:lang w:val="en-GB"/>
              </w:rPr>
              <w:t xml:space="preserve">EU </w:t>
            </w:r>
            <w:r w:rsidRPr="00BB5286">
              <w:rPr>
                <w:rFonts w:eastAsia="Calibri" w:cs="Times New Roman"/>
                <w:noProof/>
                <w:sz w:val="22"/>
                <w:lang w:val="en-GB"/>
              </w:rPr>
              <w:t xml:space="preserve">CAP framework already provides flexibility for Member States to choose their own solutions. In addition, in the simplification package the Commission proposed to make the use of </w:t>
            </w:r>
            <w:r w:rsidR="0093411D" w:rsidRPr="00BB5286">
              <w:rPr>
                <w:rFonts w:eastAsia="Calibri" w:cs="Times New Roman"/>
                <w:noProof/>
                <w:sz w:val="22"/>
                <w:lang w:val="en-GB"/>
              </w:rPr>
              <w:t>geotagged</w:t>
            </w:r>
            <w:r w:rsidRPr="00BB5286">
              <w:rPr>
                <w:rFonts w:eastAsia="Calibri" w:cs="Times New Roman"/>
                <w:noProof/>
                <w:sz w:val="22"/>
                <w:lang w:val="en-GB"/>
              </w:rPr>
              <w:t xml:space="preserve"> photos under the AMS voluntary.</w:t>
            </w:r>
          </w:p>
        </w:tc>
      </w:tr>
      <w:tr w:rsidR="003D4B2D" w:rsidRPr="00BB5286" w14:paraId="5A576DE1"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13732" w14:textId="77777777" w:rsidR="00872C68" w:rsidRPr="00BB5286" w:rsidRDefault="00872C68" w:rsidP="00732505">
            <w:pPr>
              <w:spacing w:after="60" w:line="259" w:lineRule="auto"/>
              <w:jc w:val="center"/>
              <w:rPr>
                <w:rFonts w:eastAsia="Calibri" w:cs="Times New Roman"/>
                <w:b/>
                <w:noProof/>
                <w:sz w:val="22"/>
                <w:lang w:val="en-GB"/>
              </w:rPr>
            </w:pPr>
            <w:r w:rsidRPr="00BB5286">
              <w:rPr>
                <w:rFonts w:eastAsia="Calibri" w:cs="Times New Roman"/>
                <w:b/>
                <w:bCs/>
                <w:noProof/>
                <w:sz w:val="22"/>
                <w:lang w:val="en-GB"/>
              </w:rPr>
              <w:t>47</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F399A" w14:textId="6A706936"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Exploit agri-dataspaces</w:t>
            </w:r>
            <w:r w:rsidR="26C0A81E" w:rsidRPr="00BB5286">
              <w:rPr>
                <w:rFonts w:eastAsia="Calibri" w:cs="Times New Roman"/>
                <w:b/>
                <w:noProof/>
                <w:sz w:val="22"/>
                <w:lang w:val="en-GB"/>
              </w:rPr>
              <w:t>:</w:t>
            </w:r>
            <w:r w:rsidRPr="00BB5286">
              <w:rPr>
                <w:rFonts w:eastAsia="Calibri" w:cs="Times New Roman"/>
                <w:noProof/>
                <w:sz w:val="22"/>
                <w:lang w:val="en-GB"/>
              </w:rPr>
              <w:t xml:space="preserve"> </w:t>
            </w:r>
            <w:r w:rsidR="2ADFED87" w:rsidRPr="00BB5286">
              <w:rPr>
                <w:rFonts w:eastAsia="Calibri" w:cs="Times New Roman"/>
                <w:noProof/>
                <w:sz w:val="22"/>
                <w:lang w:val="en-GB"/>
              </w:rPr>
              <w:t>w</w:t>
            </w:r>
            <w:r w:rsidRPr="00BB5286">
              <w:rPr>
                <w:rFonts w:eastAsia="Calibri" w:cs="Times New Roman"/>
                <w:noProof/>
                <w:sz w:val="22"/>
                <w:lang w:val="en-GB"/>
              </w:rPr>
              <w:t>hen designing measures, the possibilities of future agri-dataspaces should be explored and exploited in the management of measures (</w:t>
            </w:r>
            <w:r w:rsidR="74B3053D" w:rsidRPr="00BB5286">
              <w:rPr>
                <w:rFonts w:eastAsia="Calibri" w:cs="Times New Roman"/>
                <w:noProof/>
                <w:sz w:val="22"/>
                <w:lang w:val="en-GB"/>
              </w:rPr>
              <w:t xml:space="preserve">reduced </w:t>
            </w:r>
            <w:r w:rsidRPr="00BB5286">
              <w:rPr>
                <w:rFonts w:eastAsia="Calibri" w:cs="Times New Roman"/>
                <w:noProof/>
                <w:sz w:val="22"/>
                <w:lang w:val="en-GB"/>
              </w:rPr>
              <w:lastRenderedPageBreak/>
              <w:t>administrative burden for farmers and less calendar farming). It should be possible to align the grant conditions with an AMS-based approach (more generic conditions).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1AAE0"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lastRenderedPageBreak/>
              <w:t>BE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D178D" w14:textId="077CD21E" w:rsidR="001E45E5" w:rsidRPr="00BB5286" w:rsidRDefault="001E45E5"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Commission is closely following the development of the Common European </w:t>
            </w:r>
            <w:r w:rsidR="00AF7B1A" w:rsidRPr="00BB5286">
              <w:rPr>
                <w:rFonts w:eastAsia="Calibri" w:cs="Times New Roman"/>
                <w:noProof/>
                <w:sz w:val="22"/>
                <w:lang w:val="en-GB"/>
              </w:rPr>
              <w:t>a</w:t>
            </w:r>
            <w:r w:rsidRPr="00BB5286">
              <w:rPr>
                <w:rFonts w:eastAsia="Calibri" w:cs="Times New Roman"/>
                <w:noProof/>
                <w:sz w:val="22"/>
                <w:lang w:val="en-GB"/>
              </w:rPr>
              <w:t xml:space="preserve">gricultural </w:t>
            </w:r>
            <w:r w:rsidR="00AF7B1A" w:rsidRPr="00BB5286">
              <w:rPr>
                <w:rFonts w:eastAsia="Calibri" w:cs="Times New Roman"/>
                <w:noProof/>
                <w:sz w:val="22"/>
                <w:lang w:val="en-GB"/>
              </w:rPr>
              <w:t>d</w:t>
            </w:r>
            <w:r w:rsidRPr="00BB5286">
              <w:rPr>
                <w:rFonts w:eastAsia="Calibri" w:cs="Times New Roman"/>
                <w:noProof/>
                <w:sz w:val="22"/>
                <w:lang w:val="en-GB"/>
              </w:rPr>
              <w:t xml:space="preserve">ata </w:t>
            </w:r>
            <w:r w:rsidR="00AF7B1A" w:rsidRPr="00BB5286">
              <w:rPr>
                <w:rFonts w:eastAsia="Calibri" w:cs="Times New Roman"/>
                <w:noProof/>
                <w:sz w:val="22"/>
                <w:lang w:val="en-GB"/>
              </w:rPr>
              <w:t>s</w:t>
            </w:r>
            <w:r w:rsidRPr="00BB5286">
              <w:rPr>
                <w:rFonts w:eastAsia="Calibri" w:cs="Times New Roman"/>
                <w:noProof/>
                <w:sz w:val="22"/>
                <w:lang w:val="en-GB"/>
              </w:rPr>
              <w:t xml:space="preserve">pace (CEADS) as well as related initiatives that promote a more efficient re-use of data. CEADS should consider the </w:t>
            </w:r>
            <w:r w:rsidRPr="00BB5286">
              <w:rPr>
                <w:rFonts w:eastAsia="Calibri" w:cs="Times New Roman"/>
                <w:noProof/>
                <w:sz w:val="22"/>
                <w:lang w:val="en-GB"/>
              </w:rPr>
              <w:lastRenderedPageBreak/>
              <w:t xml:space="preserve">needs of both farmers and public administrations. In this set-up period of the CEADS, support from Member States to ensure delivery of data for public use would be greatly appreciated. </w:t>
            </w:r>
          </w:p>
          <w:p w14:paraId="29E53CBA" w14:textId="203B32E2" w:rsidR="001E45E5" w:rsidRPr="00BB5286" w:rsidRDefault="001E45E5"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AF7B1A" w:rsidRPr="00BB5286">
              <w:rPr>
                <w:rFonts w:eastAsia="Calibri" w:cs="Times New Roman"/>
                <w:noProof/>
                <w:sz w:val="22"/>
                <w:lang w:val="en-GB"/>
              </w:rPr>
              <w:t xml:space="preserve">into </w:t>
            </w:r>
            <w:r w:rsidRPr="00BB5286">
              <w:rPr>
                <w:rFonts w:eastAsia="Calibri" w:cs="Times New Roman"/>
                <w:noProof/>
                <w:sz w:val="22"/>
                <w:lang w:val="en-GB"/>
              </w:rPr>
              <w:t>the reflection on the post-2027 CAP and on the potential role of data from the CEADS to improve the design of measures while reducing reporting needs.</w:t>
            </w:r>
          </w:p>
        </w:tc>
      </w:tr>
      <w:tr w:rsidR="003D4B2D" w:rsidRPr="00BB5286" w14:paraId="4F4B8297"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F476C"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lastRenderedPageBreak/>
              <w:t>48</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3EFA6" w14:textId="10BAE772"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Control burden</w:t>
            </w:r>
            <w:r w:rsidRPr="00BB5286">
              <w:rPr>
                <w:rFonts w:eastAsia="Calibri" w:cs="Times New Roman"/>
                <w:noProof/>
                <w:sz w:val="22"/>
                <w:lang w:val="en-GB"/>
              </w:rPr>
              <w:t xml:space="preserve"> under </w:t>
            </w:r>
            <w:r w:rsidR="00AF7B1A" w:rsidRPr="00BB5286">
              <w:rPr>
                <w:rFonts w:eastAsia="Calibri" w:cs="Times New Roman"/>
                <w:noProof/>
                <w:sz w:val="22"/>
                <w:lang w:val="en-GB"/>
              </w:rPr>
              <w:t xml:space="preserve">the </w:t>
            </w:r>
            <w:r w:rsidRPr="00BB5286">
              <w:rPr>
                <w:rFonts w:eastAsia="Calibri" w:cs="Times New Roman"/>
                <w:noProof/>
                <w:sz w:val="22"/>
                <w:lang w:val="en-GB"/>
              </w:rPr>
              <w:t>AMS</w:t>
            </w:r>
            <w:r w:rsidR="00AF7B1A" w:rsidRPr="00BB5286">
              <w:rPr>
                <w:rFonts w:eastAsia="Calibri" w:cs="Times New Roman"/>
                <w:noProof/>
                <w:sz w:val="22"/>
                <w:lang w:val="en-GB"/>
              </w:rPr>
              <w:t>,</w:t>
            </w:r>
            <w:r w:rsidRPr="00BB5286">
              <w:rPr>
                <w:rFonts w:eastAsia="Calibri" w:cs="Times New Roman"/>
                <w:noProof/>
                <w:sz w:val="22"/>
                <w:lang w:val="en-GB"/>
              </w:rPr>
              <w:t xml:space="preserve"> quality assessment should be reduced.</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D7EFB"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CY, LU</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D4E8F" w14:textId="7989810C"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Within the simplification package the Commission revised the </w:t>
            </w:r>
            <w:r w:rsidR="00AF7B1A" w:rsidRPr="00BB5286">
              <w:rPr>
                <w:rFonts w:eastAsia="Calibri" w:cs="Times New Roman"/>
                <w:noProof/>
                <w:sz w:val="22"/>
                <w:lang w:val="en-GB"/>
              </w:rPr>
              <w:t>EU</w:t>
            </w:r>
            <w:r w:rsidRPr="00BB5286">
              <w:rPr>
                <w:rFonts w:eastAsia="Calibri" w:cs="Times New Roman"/>
                <w:noProof/>
                <w:sz w:val="22"/>
                <w:lang w:val="en-GB"/>
              </w:rPr>
              <w:t xml:space="preserve">-level methodology for IACS </w:t>
            </w:r>
            <w:r w:rsidR="002607BC" w:rsidRPr="00BB5286">
              <w:rPr>
                <w:rFonts w:eastAsia="Calibri" w:cs="Times New Roman"/>
                <w:noProof/>
                <w:sz w:val="22"/>
                <w:lang w:val="en-GB"/>
              </w:rPr>
              <w:t>q</w:t>
            </w:r>
            <w:r w:rsidRPr="00BB5286">
              <w:rPr>
                <w:rFonts w:eastAsia="Calibri" w:cs="Times New Roman"/>
                <w:noProof/>
                <w:sz w:val="22"/>
                <w:lang w:val="en-GB"/>
              </w:rPr>
              <w:t xml:space="preserve">uality </w:t>
            </w:r>
            <w:r w:rsidR="002607BC" w:rsidRPr="00BB5286">
              <w:rPr>
                <w:rFonts w:eastAsia="Calibri" w:cs="Times New Roman"/>
                <w:noProof/>
                <w:sz w:val="22"/>
                <w:lang w:val="en-GB"/>
              </w:rPr>
              <w:t>a</w:t>
            </w:r>
            <w:r w:rsidRPr="00BB5286">
              <w:rPr>
                <w:rFonts w:eastAsia="Calibri" w:cs="Times New Roman"/>
                <w:noProof/>
                <w:sz w:val="22"/>
                <w:lang w:val="en-GB"/>
              </w:rPr>
              <w:t xml:space="preserve">ssessment.  This included changes to </w:t>
            </w:r>
            <w:r w:rsidR="002607BC" w:rsidRPr="00BB5286">
              <w:rPr>
                <w:rFonts w:eastAsia="Calibri" w:cs="Times New Roman"/>
                <w:noProof/>
                <w:sz w:val="22"/>
                <w:lang w:val="en-GB"/>
              </w:rPr>
              <w:t xml:space="preserve">the </w:t>
            </w:r>
            <w:r w:rsidRPr="00BB5286">
              <w:rPr>
                <w:rFonts w:eastAsia="Calibri" w:cs="Times New Roman"/>
                <w:noProof/>
                <w:sz w:val="22"/>
                <w:lang w:val="en-GB"/>
              </w:rPr>
              <w:t xml:space="preserve">AMS </w:t>
            </w:r>
            <w:r w:rsidR="00200516" w:rsidRPr="00BB5286">
              <w:rPr>
                <w:rFonts w:eastAsia="Calibri" w:cs="Times New Roman"/>
                <w:noProof/>
                <w:sz w:val="22"/>
                <w:lang w:val="en-GB"/>
              </w:rPr>
              <w:t>quality assessment</w:t>
            </w:r>
            <w:r w:rsidRPr="00BB5286">
              <w:rPr>
                <w:rFonts w:eastAsia="Calibri" w:cs="Times New Roman"/>
                <w:noProof/>
                <w:sz w:val="22"/>
                <w:lang w:val="en-GB"/>
              </w:rPr>
              <w:t xml:space="preserve"> sampling approach, allowing </w:t>
            </w:r>
            <w:r w:rsidR="002607BC" w:rsidRPr="00BB5286">
              <w:rPr>
                <w:rFonts w:eastAsia="Calibri" w:cs="Times New Roman"/>
                <w:noProof/>
                <w:sz w:val="22"/>
                <w:lang w:val="en-GB"/>
              </w:rPr>
              <w:t xml:space="preserve">the </w:t>
            </w:r>
            <w:r w:rsidRPr="00BB5286">
              <w:rPr>
                <w:rFonts w:eastAsia="Calibri" w:cs="Times New Roman"/>
                <w:noProof/>
                <w:sz w:val="22"/>
                <w:lang w:val="en-GB"/>
              </w:rPr>
              <w:t xml:space="preserve">reduction of </w:t>
            </w:r>
            <w:r w:rsidR="002607BC" w:rsidRPr="00BB5286">
              <w:rPr>
                <w:rFonts w:eastAsia="Calibri" w:cs="Times New Roman"/>
                <w:noProof/>
                <w:sz w:val="22"/>
                <w:lang w:val="en-GB"/>
              </w:rPr>
              <w:t xml:space="preserve">the </w:t>
            </w:r>
            <w:r w:rsidRPr="00BB5286">
              <w:rPr>
                <w:rFonts w:eastAsia="Calibri" w:cs="Times New Roman"/>
                <w:noProof/>
                <w:sz w:val="22"/>
                <w:lang w:val="en-GB"/>
              </w:rPr>
              <w:t xml:space="preserve">control burden under </w:t>
            </w:r>
            <w:r w:rsidR="002607BC" w:rsidRPr="00BB5286">
              <w:rPr>
                <w:rFonts w:eastAsia="Calibri" w:cs="Times New Roman"/>
                <w:noProof/>
                <w:sz w:val="22"/>
                <w:lang w:val="en-GB"/>
              </w:rPr>
              <w:t xml:space="preserve">the </w:t>
            </w:r>
            <w:r w:rsidRPr="00BB5286">
              <w:rPr>
                <w:rFonts w:eastAsia="Calibri" w:cs="Times New Roman"/>
                <w:noProof/>
                <w:sz w:val="22"/>
                <w:lang w:val="en-GB"/>
              </w:rPr>
              <w:t xml:space="preserve">AMS quality assessment. </w:t>
            </w:r>
          </w:p>
        </w:tc>
      </w:tr>
      <w:tr w:rsidR="003D4B2D" w:rsidRPr="00BB5286" w14:paraId="2E8881FA" w14:textId="77777777" w:rsidTr="00A27F70">
        <w:trPr>
          <w:trHeight w:val="102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DAF01"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noProof/>
                <w:sz w:val="22"/>
                <w:lang w:val="en-GB"/>
              </w:rPr>
              <w:t>49</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F6C2A" w14:textId="3449E75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Flexibility in controls:</w:t>
            </w:r>
            <w:r w:rsidRPr="00BB5286">
              <w:rPr>
                <w:rFonts w:eastAsia="Calibri" w:cs="Times New Roman"/>
                <w:noProof/>
                <w:sz w:val="22"/>
                <w:lang w:val="en-GB"/>
              </w:rPr>
              <w:t xml:space="preserve"> </w:t>
            </w:r>
            <w:r w:rsidR="00FE5C45" w:rsidRPr="00BB5286">
              <w:rPr>
                <w:rFonts w:eastAsia="Calibri" w:cs="Times New Roman"/>
                <w:noProof/>
                <w:sz w:val="22"/>
                <w:lang w:val="en-GB"/>
              </w:rPr>
              <w:t>M</w:t>
            </w:r>
            <w:r w:rsidRPr="00BB5286">
              <w:rPr>
                <w:rFonts w:eastAsia="Calibri" w:cs="Times New Roman"/>
                <w:noProof/>
                <w:sz w:val="22"/>
                <w:lang w:val="en-GB"/>
              </w:rPr>
              <w:t xml:space="preserve">ember </w:t>
            </w:r>
            <w:r w:rsidR="00FE5C45" w:rsidRPr="00BB5286">
              <w:rPr>
                <w:rFonts w:eastAsia="Calibri" w:cs="Times New Roman"/>
                <w:noProof/>
                <w:sz w:val="22"/>
                <w:lang w:val="en-GB"/>
              </w:rPr>
              <w:t>S</w:t>
            </w:r>
            <w:r w:rsidRPr="00BB5286">
              <w:rPr>
                <w:rFonts w:eastAsia="Calibri" w:cs="Times New Roman"/>
                <w:noProof/>
                <w:sz w:val="22"/>
                <w:lang w:val="en-GB"/>
              </w:rPr>
              <w:t xml:space="preserve">tates should have greater leeway in choosing </w:t>
            </w:r>
            <w:r w:rsidR="002607BC" w:rsidRPr="00BB5286">
              <w:rPr>
                <w:rFonts w:eastAsia="Calibri" w:cs="Times New Roman"/>
                <w:noProof/>
                <w:sz w:val="22"/>
                <w:lang w:val="en-GB"/>
              </w:rPr>
              <w:t xml:space="preserve">control </w:t>
            </w:r>
            <w:r w:rsidRPr="00BB5286">
              <w:rPr>
                <w:rFonts w:eastAsia="Calibri" w:cs="Times New Roman"/>
                <w:noProof/>
                <w:sz w:val="22"/>
                <w:lang w:val="en-GB"/>
              </w:rPr>
              <w:t>methods</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566F1"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 FI, SE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B03AA" w14:textId="1D21694C" w:rsidR="00872C68" w:rsidRPr="00BB5286" w:rsidRDefault="002607BC" w:rsidP="00732505">
            <w:pPr>
              <w:spacing w:after="60" w:line="259" w:lineRule="auto"/>
              <w:jc w:val="both"/>
              <w:rPr>
                <w:rFonts w:eastAsia="Times New Roman" w:cs="Times New Roman"/>
                <w:noProof/>
                <w:sz w:val="22"/>
                <w:lang w:val="en-GB"/>
              </w:rPr>
            </w:pPr>
            <w:r w:rsidRPr="00BB5286">
              <w:rPr>
                <w:rFonts w:eastAsia="Calibri" w:cs="Times New Roman"/>
                <w:noProof/>
                <w:sz w:val="22"/>
                <w:lang w:val="en-GB"/>
              </w:rPr>
              <w:t>It is already possible to a</w:t>
            </w:r>
            <w:r w:rsidR="00872C68" w:rsidRPr="00BB5286">
              <w:rPr>
                <w:rFonts w:eastAsia="Calibri" w:cs="Times New Roman"/>
                <w:noProof/>
                <w:sz w:val="22"/>
                <w:lang w:val="en-GB"/>
              </w:rPr>
              <w:t xml:space="preserve">ddress this issue within the current </w:t>
            </w:r>
            <w:r w:rsidR="00AF7B1A" w:rsidRPr="00BB5286">
              <w:rPr>
                <w:rFonts w:eastAsia="Calibri" w:cs="Times New Roman"/>
                <w:noProof/>
                <w:sz w:val="22"/>
                <w:lang w:val="en-GB"/>
              </w:rPr>
              <w:t>EU CAP framework</w:t>
            </w:r>
            <w:r w:rsidR="00872C68" w:rsidRPr="00BB5286">
              <w:rPr>
                <w:rFonts w:eastAsia="Calibri" w:cs="Times New Roman"/>
                <w:noProof/>
                <w:sz w:val="22"/>
                <w:lang w:val="en-GB"/>
              </w:rPr>
              <w:t>.</w:t>
            </w:r>
            <w:r w:rsidR="00872C68" w:rsidRPr="00BB5286">
              <w:rPr>
                <w:rFonts w:eastAsia="Times New Roman" w:cs="Times New Roman"/>
                <w:noProof/>
                <w:sz w:val="22"/>
                <w:lang w:val="en-GB"/>
              </w:rPr>
              <w:t xml:space="preserve"> </w:t>
            </w:r>
            <w:r w:rsidR="00872C68" w:rsidRPr="00BB5286">
              <w:rPr>
                <w:rFonts w:eastAsia="Calibri" w:cs="Times New Roman"/>
                <w:noProof/>
                <w:sz w:val="22"/>
                <w:lang w:val="en-GB"/>
              </w:rPr>
              <w:t>Member States fix their own control systems</w:t>
            </w:r>
            <w:r w:rsidRPr="00BB5286">
              <w:rPr>
                <w:rFonts w:eastAsia="Calibri" w:cs="Times New Roman"/>
                <w:noProof/>
                <w:sz w:val="22"/>
                <w:lang w:val="en-GB"/>
              </w:rPr>
              <w:t>,</w:t>
            </w:r>
            <w:r w:rsidR="00872C68" w:rsidRPr="00BB5286">
              <w:rPr>
                <w:rFonts w:eastAsia="Calibri" w:cs="Times New Roman"/>
                <w:noProof/>
                <w:sz w:val="22"/>
                <w:lang w:val="en-GB"/>
              </w:rPr>
              <w:t xml:space="preserve"> except for controls related to conditionality. </w:t>
            </w:r>
          </w:p>
        </w:tc>
      </w:tr>
      <w:tr w:rsidR="003D4B2D" w:rsidRPr="00BB5286" w14:paraId="302F6E4B" w14:textId="77777777" w:rsidTr="00A27F70">
        <w:trPr>
          <w:trHeight w:val="695"/>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F18FB"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50</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E21C4" w14:textId="1AC8380E"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Timing of AMS:</w:t>
            </w:r>
            <w:r w:rsidRPr="00BB5286">
              <w:rPr>
                <w:rFonts w:eastAsia="Calibri" w:cs="Times New Roman"/>
                <w:noProof/>
                <w:sz w:val="22"/>
                <w:lang w:val="en-GB"/>
              </w:rPr>
              <w:t xml:space="preserve"> </w:t>
            </w:r>
            <w:r w:rsidR="7301C77E" w:rsidRPr="00BB5286">
              <w:rPr>
                <w:rFonts w:eastAsia="Calibri" w:cs="Times New Roman"/>
                <w:noProof/>
                <w:sz w:val="22"/>
                <w:lang w:val="en-GB"/>
              </w:rPr>
              <w:t>p</w:t>
            </w:r>
            <w:r w:rsidRPr="00BB5286">
              <w:rPr>
                <w:rFonts w:eastAsia="Calibri" w:cs="Times New Roman"/>
                <w:noProof/>
                <w:sz w:val="22"/>
                <w:lang w:val="en-GB"/>
              </w:rPr>
              <w:t>ostpone introduction of full AMS from 2024 to 1 January 2025 (</w:t>
            </w:r>
            <w:r w:rsidR="38C64AB4" w:rsidRPr="00BB5286">
              <w:rPr>
                <w:rFonts w:eastAsia="Calibri" w:cs="Times New Roman"/>
                <w:i/>
                <w:iCs/>
                <w:noProof/>
                <w:sz w:val="22"/>
                <w:lang w:val="en-GB"/>
              </w:rPr>
              <w:t>Art</w:t>
            </w:r>
            <w:r w:rsidR="0659A5DC" w:rsidRPr="00BB5286">
              <w:rPr>
                <w:rFonts w:eastAsia="Calibri" w:cs="Times New Roman"/>
                <w:i/>
                <w:iCs/>
                <w:noProof/>
                <w:sz w:val="22"/>
                <w:lang w:val="en-GB"/>
              </w:rPr>
              <w:t>icle</w:t>
            </w:r>
            <w:r w:rsidRPr="00BB5286">
              <w:rPr>
                <w:rFonts w:eastAsia="Calibri" w:cs="Times New Roman"/>
                <w:i/>
                <w:noProof/>
                <w:sz w:val="22"/>
                <w:lang w:val="en-GB"/>
              </w:rPr>
              <w:t xml:space="preserve"> 70(1) </w:t>
            </w:r>
            <w:r w:rsidRPr="00BB5286">
              <w:rPr>
                <w:rFonts w:eastAsia="Calibri" w:cs="Times New Roman"/>
                <w:noProof/>
                <w:sz w:val="22"/>
                <w:lang w:val="en-GB"/>
              </w:rPr>
              <w:t xml:space="preserve">of </w:t>
            </w:r>
            <w:r w:rsidR="13C726B6" w:rsidRPr="00BB5286">
              <w:rPr>
                <w:rFonts w:eastAsia="Calibri" w:cs="Times New Roman"/>
                <w:noProof/>
                <w:sz w:val="22"/>
                <w:lang w:val="en-GB"/>
              </w:rPr>
              <w:t xml:space="preserve">the Horizontal </w:t>
            </w:r>
            <w:r w:rsidRPr="00BB5286">
              <w:rPr>
                <w:rFonts w:eastAsia="Calibri" w:cs="Times New Roman"/>
                <w:noProof/>
                <w:sz w:val="22"/>
                <w:lang w:val="en-GB"/>
              </w:rPr>
              <w:t>Regulation).</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201BE"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RO, HU, BG, SK, HR, BE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9AFF1" w14:textId="7777777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not taken up. The AMS should have been fully operational by 1 January 2024.</w:t>
            </w:r>
          </w:p>
        </w:tc>
      </w:tr>
      <w:tr w:rsidR="003D4B2D" w:rsidRPr="00BB5286" w14:paraId="39BDBBFB"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70080" w14:textId="77777777" w:rsidR="00872C68" w:rsidRPr="00BB5286" w:rsidRDefault="00872C68" w:rsidP="00732505">
            <w:pPr>
              <w:spacing w:after="60" w:line="259" w:lineRule="auto"/>
              <w:jc w:val="center"/>
              <w:rPr>
                <w:rFonts w:eastAsia="Calibri" w:cs="Times New Roman"/>
                <w:b/>
                <w:noProof/>
                <w:sz w:val="22"/>
                <w:lang w:val="en-GB"/>
              </w:rPr>
            </w:pPr>
            <w:r w:rsidRPr="00BB5286">
              <w:rPr>
                <w:rFonts w:eastAsia="Calibri" w:cs="Times New Roman"/>
                <w:b/>
                <w:bCs/>
                <w:noProof/>
                <w:sz w:val="22"/>
                <w:lang w:val="en-GB"/>
              </w:rPr>
              <w:t>51</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AEC63" w14:textId="0E1B3640"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Satellite imagery:</w:t>
            </w:r>
            <w:r w:rsidRPr="00BB5286">
              <w:rPr>
                <w:rFonts w:eastAsia="Calibri" w:cs="Times New Roman"/>
                <w:noProof/>
                <w:sz w:val="22"/>
                <w:lang w:val="en-GB"/>
              </w:rPr>
              <w:t xml:space="preserve"> </w:t>
            </w:r>
            <w:r w:rsidR="72275F87" w:rsidRPr="00BB5286">
              <w:rPr>
                <w:rFonts w:eastAsia="Calibri" w:cs="Times New Roman"/>
                <w:noProof/>
                <w:sz w:val="22"/>
                <w:lang w:val="en-GB"/>
              </w:rPr>
              <w:t>r</w:t>
            </w:r>
            <w:r w:rsidRPr="00BB5286">
              <w:rPr>
                <w:rFonts w:eastAsia="Calibri" w:cs="Times New Roman"/>
                <w:noProof/>
                <w:sz w:val="22"/>
                <w:lang w:val="en-GB"/>
              </w:rPr>
              <w:t>equest to the Commission to provide high resolution satellite images for effective monitoring/implementation, to avoid the need for on-the-spot checks</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B9384"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 EL, FR, MT, BE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B70B0A" w14:textId="6209267B"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Commission provides Member States with </w:t>
            </w:r>
            <w:r w:rsidR="002607BC" w:rsidRPr="00BB5286">
              <w:rPr>
                <w:rFonts w:eastAsia="Calibri" w:cs="Times New Roman"/>
                <w:noProof/>
                <w:sz w:val="22"/>
                <w:lang w:val="en-GB"/>
              </w:rPr>
              <w:t>v</w:t>
            </w:r>
            <w:r w:rsidRPr="00BB5286">
              <w:rPr>
                <w:rFonts w:eastAsia="Calibri" w:cs="Times New Roman"/>
                <w:noProof/>
                <w:sz w:val="22"/>
                <w:lang w:val="en-GB"/>
              </w:rPr>
              <w:t xml:space="preserve">ery </w:t>
            </w:r>
            <w:r w:rsidR="002607BC" w:rsidRPr="00BB5286">
              <w:rPr>
                <w:rFonts w:eastAsia="Calibri" w:cs="Times New Roman"/>
                <w:noProof/>
                <w:sz w:val="22"/>
                <w:lang w:val="en-GB"/>
              </w:rPr>
              <w:t>h</w:t>
            </w:r>
            <w:r w:rsidRPr="00BB5286">
              <w:rPr>
                <w:rFonts w:eastAsia="Calibri" w:cs="Times New Roman"/>
                <w:noProof/>
                <w:sz w:val="22"/>
                <w:lang w:val="en-GB"/>
              </w:rPr>
              <w:t xml:space="preserve">igh </w:t>
            </w:r>
            <w:r w:rsidR="002607BC" w:rsidRPr="00BB5286">
              <w:rPr>
                <w:rFonts w:eastAsia="Calibri" w:cs="Times New Roman"/>
                <w:noProof/>
                <w:sz w:val="22"/>
                <w:lang w:val="en-GB"/>
              </w:rPr>
              <w:t>r</w:t>
            </w:r>
            <w:r w:rsidRPr="00BB5286">
              <w:rPr>
                <w:rFonts w:eastAsia="Calibri" w:cs="Times New Roman"/>
                <w:noProof/>
                <w:sz w:val="22"/>
                <w:lang w:val="en-GB"/>
              </w:rPr>
              <w:t xml:space="preserve">esolution (VHR) imagery for the IACS </w:t>
            </w:r>
            <w:r w:rsidR="00440CC7" w:rsidRPr="00BB5286">
              <w:rPr>
                <w:rFonts w:eastAsia="Calibri" w:cs="Times New Roman"/>
                <w:noProof/>
                <w:sz w:val="22"/>
                <w:lang w:val="en-GB"/>
              </w:rPr>
              <w:t>q</w:t>
            </w:r>
            <w:r w:rsidRPr="00BB5286">
              <w:rPr>
                <w:rFonts w:eastAsia="Calibri" w:cs="Times New Roman"/>
                <w:noProof/>
                <w:sz w:val="22"/>
                <w:lang w:val="en-GB"/>
              </w:rPr>
              <w:t xml:space="preserve">uality </w:t>
            </w:r>
            <w:r w:rsidR="00440CC7" w:rsidRPr="00BB5286">
              <w:rPr>
                <w:rFonts w:eastAsia="Calibri" w:cs="Times New Roman"/>
                <w:noProof/>
                <w:sz w:val="22"/>
                <w:lang w:val="en-GB"/>
              </w:rPr>
              <w:t>a</w:t>
            </w:r>
            <w:r w:rsidRPr="00BB5286">
              <w:rPr>
                <w:rFonts w:eastAsia="Calibri" w:cs="Times New Roman"/>
                <w:noProof/>
                <w:sz w:val="22"/>
                <w:lang w:val="en-GB"/>
              </w:rPr>
              <w:t>ssessments</w:t>
            </w:r>
            <w:r w:rsidR="00FE5C45" w:rsidRPr="00BB5286">
              <w:rPr>
                <w:rFonts w:eastAsia="Calibri" w:cs="Times New Roman"/>
                <w:noProof/>
                <w:sz w:val="22"/>
                <w:lang w:val="en-GB"/>
              </w:rPr>
              <w:t>,</w:t>
            </w:r>
            <w:r w:rsidRPr="00BB5286">
              <w:rPr>
                <w:rFonts w:eastAsia="Calibri" w:cs="Times New Roman"/>
                <w:noProof/>
                <w:sz w:val="22"/>
                <w:lang w:val="en-GB"/>
              </w:rPr>
              <w:t xml:space="preserve"> and it is for the Member States to decide how to use them in an efficient way</w:t>
            </w:r>
            <w:r w:rsidR="002607BC" w:rsidRPr="00BB5286">
              <w:rPr>
                <w:rFonts w:eastAsia="Calibri" w:cs="Times New Roman"/>
                <w:noProof/>
                <w:sz w:val="22"/>
                <w:lang w:val="en-GB"/>
              </w:rPr>
              <w:t>, including</w:t>
            </w:r>
            <w:r w:rsidRPr="00BB5286">
              <w:rPr>
                <w:rFonts w:eastAsia="Calibri" w:cs="Times New Roman"/>
                <w:noProof/>
                <w:sz w:val="22"/>
                <w:lang w:val="en-GB"/>
              </w:rPr>
              <w:t xml:space="preserve"> for their control system, to reduce the number of on-the-spot-</w:t>
            </w:r>
            <w:r w:rsidR="002607BC" w:rsidRPr="00BB5286">
              <w:rPr>
                <w:rFonts w:eastAsia="Calibri" w:cs="Times New Roman"/>
                <w:noProof/>
                <w:sz w:val="22"/>
                <w:lang w:val="en-GB"/>
              </w:rPr>
              <w:t>checks</w:t>
            </w:r>
            <w:r w:rsidRPr="00BB5286">
              <w:rPr>
                <w:rFonts w:eastAsia="Calibri" w:cs="Times New Roman"/>
                <w:noProof/>
                <w:sz w:val="22"/>
                <w:lang w:val="en-GB"/>
              </w:rPr>
              <w:t>.</w:t>
            </w:r>
          </w:p>
          <w:p w14:paraId="492F618A" w14:textId="7777777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Commission has no budget to buy VHR imagery for ordinary control purposes. It is for Member States to design interventions which can be easily and cost-efficiently controlled.</w:t>
            </w:r>
          </w:p>
        </w:tc>
      </w:tr>
      <w:tr w:rsidR="003D4B2D" w:rsidRPr="00BB5286" w14:paraId="5900CEC0" w14:textId="77777777" w:rsidTr="00A27F70">
        <w:trPr>
          <w:trHeight w:val="1405"/>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165A6"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lastRenderedPageBreak/>
              <w:t>52</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5667F" w14:textId="4FAA1B46" w:rsidR="00872C68" w:rsidRPr="00BB5286" w:rsidRDefault="00872C68" w:rsidP="00732505">
            <w:pPr>
              <w:spacing w:after="60" w:line="259" w:lineRule="auto"/>
              <w:jc w:val="both"/>
              <w:rPr>
                <w:rFonts w:eastAsia="Calibri" w:cs="Times New Roman"/>
                <w:i/>
                <w:noProof/>
                <w:sz w:val="22"/>
                <w:lang w:val="en-GB"/>
              </w:rPr>
            </w:pPr>
            <w:r w:rsidRPr="00BB5286">
              <w:rPr>
                <w:rFonts w:eastAsia="Calibri" w:cs="Times New Roman"/>
                <w:b/>
                <w:noProof/>
                <w:sz w:val="22"/>
                <w:lang w:val="en-GB"/>
              </w:rPr>
              <w:t>Scope of the AMS:</w:t>
            </w:r>
            <w:r w:rsidRPr="00BB5286">
              <w:rPr>
                <w:rFonts w:eastAsia="Calibri" w:cs="Times New Roman"/>
                <w:noProof/>
                <w:sz w:val="22"/>
                <w:lang w:val="en-GB"/>
              </w:rPr>
              <w:t xml:space="preserve"> </w:t>
            </w:r>
            <w:r w:rsidR="1A163734" w:rsidRPr="00BB5286">
              <w:rPr>
                <w:rFonts w:eastAsia="Calibri" w:cs="Times New Roman"/>
                <w:noProof/>
                <w:sz w:val="22"/>
                <w:lang w:val="en-GB"/>
              </w:rPr>
              <w:t>l</w:t>
            </w:r>
            <w:r w:rsidRPr="00BB5286">
              <w:rPr>
                <w:rFonts w:eastAsia="Calibri" w:cs="Times New Roman"/>
                <w:noProof/>
                <w:sz w:val="22"/>
                <w:lang w:val="en-GB"/>
              </w:rPr>
              <w:t xml:space="preserve">eave it to Member States’ discretion which interventions and/or eligibility requirements fall under </w:t>
            </w:r>
            <w:r w:rsidR="002607BC" w:rsidRPr="00BB5286">
              <w:rPr>
                <w:rFonts w:eastAsia="Calibri" w:cs="Times New Roman"/>
                <w:noProof/>
                <w:sz w:val="22"/>
                <w:lang w:val="en-GB"/>
              </w:rPr>
              <w:t xml:space="preserve">the </w:t>
            </w:r>
            <w:r w:rsidRPr="00BB5286">
              <w:rPr>
                <w:rFonts w:eastAsia="Calibri" w:cs="Times New Roman"/>
                <w:noProof/>
                <w:sz w:val="22"/>
                <w:lang w:val="en-GB"/>
              </w:rPr>
              <w:t xml:space="preserve">AMS (monitoring, quality assessment and reporting). </w:t>
            </w:r>
            <w:r w:rsidR="38C64AB4" w:rsidRPr="00BB5286">
              <w:rPr>
                <w:rFonts w:eastAsia="Calibri" w:cs="Times New Roman"/>
                <w:noProof/>
                <w:sz w:val="22"/>
                <w:lang w:val="en-GB"/>
              </w:rPr>
              <w:t>(</w:t>
            </w:r>
            <w:r w:rsidR="38C64AB4" w:rsidRPr="00BB5286">
              <w:rPr>
                <w:rFonts w:eastAsia="Calibri" w:cs="Times New Roman"/>
                <w:i/>
                <w:iCs/>
                <w:noProof/>
                <w:sz w:val="22"/>
                <w:lang w:val="en-GB"/>
              </w:rPr>
              <w:t>Art</w:t>
            </w:r>
            <w:r w:rsidR="571D17C6" w:rsidRPr="00BB5286">
              <w:rPr>
                <w:rFonts w:eastAsia="Calibri" w:cs="Times New Roman"/>
                <w:i/>
                <w:iCs/>
                <w:noProof/>
                <w:sz w:val="22"/>
                <w:lang w:val="en-GB"/>
              </w:rPr>
              <w:t>icle</w:t>
            </w:r>
            <w:r w:rsidRPr="00BB5286">
              <w:rPr>
                <w:rFonts w:eastAsia="Calibri" w:cs="Times New Roman"/>
                <w:i/>
                <w:noProof/>
                <w:sz w:val="22"/>
                <w:lang w:val="en-GB"/>
              </w:rPr>
              <w:t xml:space="preserve">  10</w:t>
            </w:r>
            <w:r w:rsidRPr="00BB5286">
              <w:rPr>
                <w:rFonts w:eastAsia="Calibri" w:cs="Times New Roman"/>
                <w:noProof/>
                <w:sz w:val="22"/>
                <w:lang w:val="en-GB"/>
              </w:rPr>
              <w:t xml:space="preserve"> </w:t>
            </w:r>
            <w:r w:rsidR="38E13D59" w:rsidRPr="00BB5286">
              <w:rPr>
                <w:rFonts w:eastAsia="Calibri" w:cs="Times New Roman"/>
                <w:noProof/>
                <w:sz w:val="22"/>
                <w:lang w:val="en-GB"/>
              </w:rPr>
              <w:t>of</w:t>
            </w:r>
            <w:r w:rsidR="38C64AB4" w:rsidRPr="00BB5286">
              <w:rPr>
                <w:rFonts w:eastAsia="Calibri" w:cs="Times New Roman"/>
                <w:noProof/>
                <w:sz w:val="22"/>
                <w:lang w:val="en-GB"/>
              </w:rPr>
              <w:t xml:space="preserve"> </w:t>
            </w:r>
            <w:r w:rsidR="008B6F95" w:rsidRPr="00BB5286">
              <w:rPr>
                <w:rFonts w:eastAsia="Calibri" w:cs="Times New Roman"/>
                <w:noProof/>
                <w:sz w:val="22"/>
                <w:lang w:val="en-GB"/>
              </w:rPr>
              <w:t xml:space="preserve">Commission </w:t>
            </w:r>
            <w:r w:rsidR="5E721DF1" w:rsidRPr="00BB5286">
              <w:rPr>
                <w:rFonts w:eastAsia="Calibri" w:cs="Times New Roman"/>
                <w:noProof/>
                <w:sz w:val="22"/>
                <w:lang w:val="en-GB"/>
              </w:rPr>
              <w:t xml:space="preserve">Implementing </w:t>
            </w:r>
            <w:r w:rsidRPr="00BB5286">
              <w:rPr>
                <w:rFonts w:eastAsia="Calibri" w:cs="Times New Roman"/>
                <w:noProof/>
                <w:sz w:val="22"/>
                <w:lang w:val="en-GB"/>
              </w:rPr>
              <w:t>Regulation (EU) 2022/1173)</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A0422"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DE, PL</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D58B3" w14:textId="3252E738"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This is already the case as Member States categori</w:t>
            </w:r>
            <w:r w:rsidR="002607BC" w:rsidRPr="00BB5286">
              <w:rPr>
                <w:rFonts w:eastAsia="Calibri" w:cs="Times New Roman"/>
                <w:noProof/>
                <w:sz w:val="22"/>
                <w:lang w:val="en-GB"/>
              </w:rPr>
              <w:t>s</w:t>
            </w:r>
            <w:r w:rsidRPr="00BB5286">
              <w:rPr>
                <w:rFonts w:eastAsia="Calibri" w:cs="Times New Roman"/>
                <w:noProof/>
                <w:sz w:val="22"/>
                <w:lang w:val="en-GB"/>
              </w:rPr>
              <w:t xml:space="preserve">e eligibility conditions as monitorable and non-monitorable and also design the interventions. Within the simplification package, the Commission proposed to make the use of </w:t>
            </w:r>
            <w:r w:rsidR="0093411D" w:rsidRPr="00BB5286">
              <w:rPr>
                <w:rFonts w:eastAsia="Calibri" w:cs="Times New Roman"/>
                <w:noProof/>
                <w:sz w:val="22"/>
                <w:lang w:val="en-GB"/>
              </w:rPr>
              <w:t>geotagged</w:t>
            </w:r>
            <w:r w:rsidRPr="00BB5286">
              <w:rPr>
                <w:rFonts w:eastAsia="Calibri" w:cs="Times New Roman"/>
                <w:noProof/>
                <w:sz w:val="22"/>
                <w:lang w:val="en-GB"/>
              </w:rPr>
              <w:t xml:space="preserve"> photos under the AMS voluntary.</w:t>
            </w:r>
          </w:p>
        </w:tc>
      </w:tr>
      <w:tr w:rsidR="003D4B2D" w:rsidRPr="00BB5286" w14:paraId="4D7965F7"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8822E" w14:textId="77777777" w:rsidR="00872C68" w:rsidRPr="00BB5286" w:rsidRDefault="00872C68" w:rsidP="00732505">
            <w:pPr>
              <w:spacing w:after="60" w:line="259" w:lineRule="auto"/>
              <w:jc w:val="center"/>
              <w:rPr>
                <w:rFonts w:eastAsia="Calibri" w:cs="Times New Roman"/>
                <w:b/>
                <w:noProof/>
                <w:sz w:val="22"/>
                <w:lang w:val="en-GB"/>
              </w:rPr>
            </w:pPr>
            <w:r w:rsidRPr="00BB5286">
              <w:rPr>
                <w:rFonts w:eastAsia="Calibri" w:cs="Times New Roman"/>
                <w:b/>
                <w:bCs/>
                <w:noProof/>
                <w:sz w:val="22"/>
                <w:lang w:val="en-GB"/>
              </w:rPr>
              <w:t>53</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6DDCD" w14:textId="1C7E0CFE" w:rsidR="00872C68" w:rsidRPr="00BB5286" w:rsidRDefault="00872C68" w:rsidP="00732505">
            <w:pPr>
              <w:spacing w:after="60" w:line="259" w:lineRule="auto"/>
              <w:jc w:val="both"/>
              <w:rPr>
                <w:rFonts w:eastAsia="Calibri" w:cs="Times New Roman"/>
                <w:i/>
                <w:noProof/>
                <w:sz w:val="22"/>
                <w:lang w:val="en-GB"/>
              </w:rPr>
            </w:pPr>
            <w:r w:rsidRPr="00BB5286">
              <w:rPr>
                <w:rFonts w:eastAsia="Calibri" w:cs="Times New Roman"/>
                <w:b/>
                <w:noProof/>
                <w:sz w:val="22"/>
                <w:lang w:val="en-GB"/>
              </w:rPr>
              <w:t>Risk sample.</w:t>
            </w:r>
            <w:r w:rsidRPr="00BB5286">
              <w:rPr>
                <w:rFonts w:eastAsia="Calibri" w:cs="Times New Roman"/>
                <w:noProof/>
                <w:sz w:val="22"/>
                <w:lang w:val="en-GB"/>
              </w:rPr>
              <w:t xml:space="preserve"> </w:t>
            </w:r>
            <w:r w:rsidR="00440CC7" w:rsidRPr="00BB5286">
              <w:rPr>
                <w:rFonts w:eastAsia="Calibri" w:cs="Times New Roman"/>
                <w:noProof/>
                <w:sz w:val="22"/>
                <w:lang w:val="en-GB"/>
              </w:rPr>
              <w:t>r</w:t>
            </w:r>
            <w:r w:rsidRPr="00BB5286">
              <w:rPr>
                <w:rFonts w:eastAsia="Calibri" w:cs="Times New Roman"/>
                <w:noProof/>
                <w:sz w:val="22"/>
                <w:lang w:val="en-GB"/>
              </w:rPr>
              <w:t>equest to exclude the risk sample from the AMS system (</w:t>
            </w:r>
            <w:r w:rsidR="38C64AB4" w:rsidRPr="00BB5286">
              <w:rPr>
                <w:rFonts w:eastAsia="Calibri" w:cs="Times New Roman"/>
                <w:i/>
                <w:iCs/>
                <w:noProof/>
                <w:sz w:val="22"/>
                <w:lang w:val="en-GB"/>
              </w:rPr>
              <w:t>Art</w:t>
            </w:r>
            <w:r w:rsidR="4FCB7C47" w:rsidRPr="00BB5286">
              <w:rPr>
                <w:rFonts w:eastAsia="Calibri" w:cs="Times New Roman"/>
                <w:i/>
                <w:iCs/>
                <w:noProof/>
                <w:sz w:val="22"/>
                <w:lang w:val="en-GB"/>
              </w:rPr>
              <w:t>icle</w:t>
            </w:r>
            <w:r w:rsidRPr="00BB5286">
              <w:rPr>
                <w:rFonts w:eastAsia="Calibri" w:cs="Times New Roman"/>
                <w:i/>
                <w:noProof/>
                <w:sz w:val="22"/>
                <w:lang w:val="en-GB"/>
              </w:rPr>
              <w:t xml:space="preserve"> 60 </w:t>
            </w:r>
            <w:r w:rsidRPr="00BB5286">
              <w:rPr>
                <w:rFonts w:eastAsia="Calibri" w:cs="Times New Roman"/>
                <w:noProof/>
                <w:sz w:val="22"/>
                <w:lang w:val="en-GB"/>
              </w:rPr>
              <w:t xml:space="preserve">of </w:t>
            </w:r>
            <w:r w:rsidR="6A88F646" w:rsidRPr="00BB5286">
              <w:rPr>
                <w:rFonts w:eastAsia="Calibri" w:cs="Times New Roman"/>
                <w:noProof/>
                <w:sz w:val="22"/>
                <w:lang w:val="en-GB"/>
              </w:rPr>
              <w:t xml:space="preserve">the Horizontal </w:t>
            </w:r>
            <w:r w:rsidRPr="00BB5286">
              <w:rPr>
                <w:rFonts w:eastAsia="Calibri" w:cs="Times New Roman"/>
                <w:noProof/>
                <w:sz w:val="22"/>
                <w:lang w:val="en-GB"/>
              </w:rPr>
              <w:t>Regulation).</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7D910"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F219D" w14:textId="2964AAD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w:t>
            </w:r>
            <w:r w:rsidR="00AF7B1A" w:rsidRPr="00BB5286">
              <w:rPr>
                <w:rFonts w:eastAsia="Calibri" w:cs="Times New Roman"/>
                <w:noProof/>
                <w:sz w:val="22"/>
                <w:lang w:val="en-GB"/>
              </w:rPr>
              <w:t>EU CAP framework</w:t>
            </w:r>
            <w:r w:rsidRPr="00BB5286">
              <w:rPr>
                <w:rFonts w:eastAsia="Calibri" w:cs="Times New Roman"/>
                <w:noProof/>
                <w:sz w:val="22"/>
                <w:lang w:val="en-GB"/>
              </w:rPr>
              <w:t xml:space="preserve"> leaves it to Member States to design their control system. The risk-based sample applies only to the classic control systems under </w:t>
            </w:r>
            <w:r w:rsidRPr="00BB5286">
              <w:rPr>
                <w:rFonts w:eastAsia="Calibri" w:cs="Times New Roman"/>
                <w:i/>
                <w:noProof/>
                <w:sz w:val="22"/>
                <w:lang w:val="en-GB"/>
              </w:rPr>
              <w:t>Article 72</w:t>
            </w:r>
            <w:r w:rsidRPr="00BB5286">
              <w:rPr>
                <w:rFonts w:eastAsia="Calibri" w:cs="Times New Roman"/>
                <w:noProof/>
                <w:sz w:val="22"/>
                <w:lang w:val="en-GB"/>
              </w:rPr>
              <w:t xml:space="preserve"> of </w:t>
            </w:r>
            <w:r w:rsidR="361C9287" w:rsidRPr="00BB5286">
              <w:rPr>
                <w:rFonts w:eastAsia="Calibri" w:cs="Times New Roman"/>
                <w:noProof/>
                <w:sz w:val="22"/>
                <w:lang w:val="en-GB"/>
              </w:rPr>
              <w:t xml:space="preserve">the Horizontal </w:t>
            </w:r>
            <w:r w:rsidRPr="00BB5286">
              <w:rPr>
                <w:rFonts w:eastAsia="Calibri" w:cs="Times New Roman"/>
                <w:noProof/>
                <w:sz w:val="22"/>
                <w:lang w:val="en-GB"/>
              </w:rPr>
              <w:t xml:space="preserve">Regulation. There is no risk-based sample under the AMS provisions. </w:t>
            </w:r>
          </w:p>
        </w:tc>
      </w:tr>
      <w:tr w:rsidR="003D4B2D" w:rsidRPr="00BB5286" w14:paraId="710C9759"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99E14" w14:textId="77777777" w:rsidR="00872C68" w:rsidRPr="00BB5286" w:rsidRDefault="00872C68" w:rsidP="00732505">
            <w:pPr>
              <w:spacing w:after="60" w:line="259" w:lineRule="auto"/>
              <w:jc w:val="center"/>
              <w:rPr>
                <w:rFonts w:eastAsia="Calibri" w:cs="Times New Roman"/>
                <w:b/>
                <w:noProof/>
                <w:sz w:val="22"/>
                <w:lang w:val="en-GB"/>
              </w:rPr>
            </w:pPr>
            <w:r w:rsidRPr="00BB5286">
              <w:rPr>
                <w:rFonts w:eastAsia="Calibri" w:cs="Times New Roman"/>
                <w:b/>
                <w:bCs/>
                <w:noProof/>
                <w:sz w:val="22"/>
                <w:lang w:val="en-GB"/>
              </w:rPr>
              <w:t>54</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24DF1" w14:textId="5336C2BE"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Scope of the AMS:</w:t>
            </w:r>
            <w:r w:rsidRPr="00BB5286">
              <w:rPr>
                <w:rFonts w:eastAsia="Calibri" w:cs="Times New Roman"/>
                <w:noProof/>
                <w:sz w:val="22"/>
                <w:lang w:val="en-GB"/>
              </w:rPr>
              <w:t xml:space="preserve"> </w:t>
            </w:r>
            <w:r w:rsidR="00440CC7" w:rsidRPr="00BB5286">
              <w:rPr>
                <w:rFonts w:eastAsia="Calibri" w:cs="Times New Roman"/>
                <w:noProof/>
                <w:sz w:val="22"/>
                <w:lang w:val="en-GB"/>
              </w:rPr>
              <w:t>d</w:t>
            </w:r>
            <w:r w:rsidRPr="00BB5286">
              <w:rPr>
                <w:rFonts w:eastAsia="Calibri" w:cs="Times New Roman"/>
                <w:noProof/>
                <w:sz w:val="22"/>
                <w:lang w:val="en-GB"/>
              </w:rPr>
              <w:t>elete the obligation that at least 70% of interventions with eligibility criteria that can be monitored only with geotagged photos will be subject to the area monitoring system before 1 January 2027. Geotagged photos should be optional. AMS verification should only cover satellite verification and related requests to farmers for additional information (</w:t>
            </w:r>
            <w:r w:rsidR="38C64AB4" w:rsidRPr="00BB5286">
              <w:rPr>
                <w:rFonts w:eastAsia="Calibri" w:cs="Times New Roman"/>
                <w:i/>
                <w:iCs/>
                <w:noProof/>
                <w:sz w:val="22"/>
                <w:lang w:val="en-GB"/>
              </w:rPr>
              <w:t>Art</w:t>
            </w:r>
            <w:r w:rsidR="7320D59A" w:rsidRPr="00BB5286">
              <w:rPr>
                <w:rFonts w:eastAsia="Calibri" w:cs="Times New Roman"/>
                <w:i/>
                <w:iCs/>
                <w:noProof/>
                <w:sz w:val="22"/>
                <w:lang w:val="en-GB"/>
              </w:rPr>
              <w:t>icle</w:t>
            </w:r>
            <w:r w:rsidRPr="00BB5286">
              <w:rPr>
                <w:rFonts w:eastAsia="Calibri" w:cs="Times New Roman"/>
                <w:i/>
                <w:noProof/>
                <w:sz w:val="22"/>
                <w:lang w:val="en-GB"/>
              </w:rPr>
              <w:t xml:space="preserve"> 10 (3) and (4) </w:t>
            </w:r>
            <w:r w:rsidRPr="00BB5286">
              <w:rPr>
                <w:rFonts w:eastAsia="Calibri" w:cs="Times New Roman"/>
                <w:noProof/>
                <w:sz w:val="22"/>
                <w:lang w:val="en-GB"/>
              </w:rPr>
              <w:t xml:space="preserve">of </w:t>
            </w:r>
            <w:r w:rsidR="008B6F95" w:rsidRPr="00BB5286">
              <w:rPr>
                <w:rFonts w:eastAsia="Calibri" w:cs="Times New Roman"/>
                <w:noProof/>
                <w:sz w:val="22"/>
                <w:lang w:val="en-GB"/>
              </w:rPr>
              <w:t xml:space="preserve">Commission </w:t>
            </w:r>
            <w:r w:rsidRPr="00BB5286">
              <w:rPr>
                <w:rFonts w:eastAsia="Calibri" w:cs="Times New Roman"/>
                <w:noProof/>
                <w:sz w:val="22"/>
                <w:lang w:val="en-GB"/>
              </w:rPr>
              <w:t>Implementing Regulation (EU) 2022/1173)</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B4E6DF"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AT, BE, DE, ES, FI</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9EE6D" w14:textId="407D9B9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addressed by the simplification package</w:t>
            </w:r>
            <w:r w:rsidR="00E604BD" w:rsidRPr="00BB5286">
              <w:rPr>
                <w:rFonts w:eastAsia="Calibri" w:cs="Times New Roman"/>
                <w:noProof/>
                <w:sz w:val="22"/>
                <w:lang w:val="en-GB"/>
              </w:rPr>
              <w:t xml:space="preserve"> by making </w:t>
            </w:r>
            <w:r w:rsidR="0074707A" w:rsidRPr="00BB5286">
              <w:rPr>
                <w:rFonts w:eastAsia="Calibri" w:cs="Times New Roman"/>
                <w:noProof/>
                <w:sz w:val="22"/>
                <w:lang w:val="en-GB"/>
              </w:rPr>
              <w:t>use of geotagged photos under the AMS voluntary</w:t>
            </w:r>
            <w:r w:rsidR="00E70EA3" w:rsidRPr="00BB5286">
              <w:rPr>
                <w:rFonts w:eastAsia="Calibri" w:cs="Times New Roman"/>
                <w:noProof/>
                <w:sz w:val="22"/>
                <w:lang w:val="en-GB"/>
              </w:rPr>
              <w:t xml:space="preserve"> (</w:t>
            </w:r>
            <w:r w:rsidR="00C16D1A" w:rsidRPr="00BB5286">
              <w:rPr>
                <w:rFonts w:eastAsia="Calibri" w:cs="Times New Roman"/>
                <w:noProof/>
                <w:sz w:val="22"/>
                <w:lang w:val="en-GB"/>
              </w:rPr>
              <w:t>Commission Implementing Regulation (EU), C(2024)</w:t>
            </w:r>
            <w:r w:rsidR="00103AE8" w:rsidRPr="00BB5286">
              <w:rPr>
                <w:rFonts w:eastAsia="Calibri" w:cs="Times New Roman"/>
                <w:noProof/>
                <w:sz w:val="22"/>
                <w:lang w:val="en-GB"/>
              </w:rPr>
              <w:t xml:space="preserve"> </w:t>
            </w:r>
            <w:r w:rsidR="00C16D1A" w:rsidRPr="00BB5286">
              <w:rPr>
                <w:rFonts w:eastAsia="Calibri" w:cs="Times New Roman"/>
                <w:noProof/>
                <w:sz w:val="22"/>
                <w:lang w:val="en-GB"/>
              </w:rPr>
              <w:t>6069 final)</w:t>
            </w:r>
            <w:r w:rsidRPr="00BB5286">
              <w:rPr>
                <w:rFonts w:eastAsia="Calibri" w:cs="Times New Roman"/>
                <w:noProof/>
                <w:sz w:val="22"/>
                <w:lang w:val="en-GB"/>
              </w:rPr>
              <w:t xml:space="preserve">. Moreover, the Commission has engaged to alleviate the administrative burden linked to </w:t>
            </w:r>
            <w:r w:rsidR="0093411D" w:rsidRPr="00BB5286">
              <w:rPr>
                <w:rFonts w:eastAsia="Calibri" w:cs="Times New Roman"/>
                <w:noProof/>
                <w:sz w:val="22"/>
                <w:lang w:val="en-GB"/>
              </w:rPr>
              <w:t>geotagging</w:t>
            </w:r>
            <w:r w:rsidRPr="00BB5286">
              <w:rPr>
                <w:rFonts w:eastAsia="Calibri" w:cs="Times New Roman"/>
                <w:noProof/>
                <w:sz w:val="22"/>
                <w:lang w:val="en-GB"/>
              </w:rPr>
              <w:t xml:space="preserve"> while maintaining the benefits of this technology to reduce on-the-spot </w:t>
            </w:r>
            <w:r w:rsidR="2971B07B" w:rsidRPr="00BB5286">
              <w:rPr>
                <w:rFonts w:eastAsia="Calibri" w:cs="Times New Roman"/>
                <w:noProof/>
                <w:sz w:val="22"/>
                <w:lang w:val="en-GB"/>
              </w:rPr>
              <w:t xml:space="preserve">checks </w:t>
            </w:r>
            <w:r w:rsidRPr="00BB5286">
              <w:rPr>
                <w:rFonts w:eastAsia="Calibri" w:cs="Times New Roman"/>
                <w:noProof/>
                <w:sz w:val="22"/>
                <w:lang w:val="en-GB"/>
              </w:rPr>
              <w:t xml:space="preserve">and ensure controllability of CAP spending. </w:t>
            </w:r>
            <w:r w:rsidR="0093411D" w:rsidRPr="00BB5286">
              <w:rPr>
                <w:rFonts w:eastAsia="Calibri" w:cs="Times New Roman"/>
                <w:noProof/>
                <w:sz w:val="22"/>
                <w:lang w:val="en-GB"/>
              </w:rPr>
              <w:t>Geotagged</w:t>
            </w:r>
            <w:r w:rsidRPr="00BB5286">
              <w:rPr>
                <w:rFonts w:eastAsia="Calibri" w:cs="Times New Roman"/>
                <w:noProof/>
                <w:sz w:val="22"/>
                <w:lang w:val="en-GB"/>
              </w:rPr>
              <w:t xml:space="preserve"> pictures are also a means to detect possible issues at an early stage, giving the applicant the possibility to rectify them to avoiding penalties. </w:t>
            </w:r>
          </w:p>
        </w:tc>
      </w:tr>
      <w:tr w:rsidR="003D4B2D" w:rsidRPr="00BB5286" w14:paraId="59AEC1E2"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723AD"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55</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05E85" w14:textId="5441C798" w:rsidR="00872C68" w:rsidRPr="00BB5286" w:rsidRDefault="0093411D"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Geotagging</w:t>
            </w:r>
            <w:r w:rsidR="00872C68" w:rsidRPr="00BB5286">
              <w:rPr>
                <w:rFonts w:eastAsia="Calibri" w:cs="Times New Roman"/>
                <w:b/>
                <w:noProof/>
                <w:sz w:val="22"/>
                <w:lang w:val="en-GB"/>
              </w:rPr>
              <w:t>:</w:t>
            </w:r>
            <w:r w:rsidR="00872C68" w:rsidRPr="00BB5286">
              <w:rPr>
                <w:rFonts w:eastAsia="Calibri" w:cs="Times New Roman"/>
                <w:noProof/>
                <w:sz w:val="22"/>
                <w:lang w:val="en-GB"/>
              </w:rPr>
              <w:t xml:space="preserve"> </w:t>
            </w:r>
            <w:r w:rsidR="0FF035DE" w:rsidRPr="00BB5286">
              <w:rPr>
                <w:rFonts w:eastAsia="Calibri" w:cs="Times New Roman"/>
                <w:noProof/>
                <w:sz w:val="22"/>
                <w:lang w:val="en-GB"/>
              </w:rPr>
              <w:t>l</w:t>
            </w:r>
            <w:r w:rsidR="00872C68" w:rsidRPr="00BB5286">
              <w:rPr>
                <w:rFonts w:eastAsia="Calibri" w:cs="Times New Roman"/>
                <w:noProof/>
                <w:sz w:val="22"/>
                <w:lang w:val="en-GB"/>
              </w:rPr>
              <w:t xml:space="preserve">onger phasing in of the compulsory use of geo- tagged photos (such as </w:t>
            </w:r>
            <w:r w:rsidR="002607BC" w:rsidRPr="00BB5286">
              <w:rPr>
                <w:rFonts w:eastAsia="Calibri" w:cs="Times New Roman"/>
                <w:noProof/>
                <w:sz w:val="22"/>
                <w:lang w:val="en-GB"/>
              </w:rPr>
              <w:t xml:space="preserve">from </w:t>
            </w:r>
            <w:r w:rsidR="00872C68" w:rsidRPr="00BB5286">
              <w:rPr>
                <w:rFonts w:eastAsia="Calibri" w:cs="Times New Roman"/>
                <w:noProof/>
                <w:sz w:val="22"/>
                <w:lang w:val="en-GB"/>
              </w:rPr>
              <w:t>2026 in place of 2025) (</w:t>
            </w:r>
            <w:r w:rsidR="38C64AB4" w:rsidRPr="00BB5286">
              <w:rPr>
                <w:rFonts w:eastAsia="Calibri" w:cs="Times New Roman"/>
                <w:i/>
                <w:iCs/>
                <w:noProof/>
                <w:sz w:val="22"/>
                <w:lang w:val="en-GB"/>
              </w:rPr>
              <w:t>Art</w:t>
            </w:r>
            <w:r w:rsidR="5F51EAE3" w:rsidRPr="00BB5286">
              <w:rPr>
                <w:rFonts w:eastAsia="Calibri" w:cs="Times New Roman"/>
                <w:i/>
                <w:iCs/>
                <w:noProof/>
                <w:sz w:val="22"/>
                <w:lang w:val="en-GB"/>
              </w:rPr>
              <w:t>icle</w:t>
            </w:r>
            <w:r w:rsidR="00872C68" w:rsidRPr="00BB5286">
              <w:rPr>
                <w:rFonts w:eastAsia="Calibri" w:cs="Times New Roman"/>
                <w:i/>
                <w:noProof/>
                <w:sz w:val="22"/>
                <w:lang w:val="en-GB"/>
              </w:rPr>
              <w:t xml:space="preserve"> 10(3) </w:t>
            </w:r>
            <w:r w:rsidR="00872C68" w:rsidRPr="00BB5286">
              <w:rPr>
                <w:rFonts w:eastAsia="Calibri" w:cs="Times New Roman"/>
                <w:noProof/>
                <w:sz w:val="22"/>
                <w:lang w:val="en-GB"/>
              </w:rPr>
              <w:t xml:space="preserve">of </w:t>
            </w:r>
            <w:r w:rsidR="008B6F95" w:rsidRPr="00BB5286">
              <w:rPr>
                <w:rFonts w:eastAsia="Calibri" w:cs="Times New Roman"/>
                <w:noProof/>
                <w:sz w:val="22"/>
                <w:lang w:val="en-GB"/>
              </w:rPr>
              <w:t xml:space="preserve">Commission </w:t>
            </w:r>
            <w:r w:rsidR="00872C68" w:rsidRPr="00BB5286">
              <w:rPr>
                <w:rFonts w:eastAsia="Calibri" w:cs="Times New Roman"/>
                <w:noProof/>
                <w:sz w:val="22"/>
                <w:lang w:val="en-GB"/>
              </w:rPr>
              <w:t>Implementing Regulation (EU) 2022/1173).</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6D069"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BG, HR,</w:t>
            </w:r>
          </w:p>
          <w:p w14:paraId="66A6198B"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 SE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EDBB1" w14:textId="72CFBD99"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644E86">
              <w:rPr>
                <w:rFonts w:eastAsia="Calibri" w:cs="Times New Roman"/>
                <w:noProof/>
                <w:sz w:val="22"/>
                <w:lang w:val="en-GB"/>
              </w:rPr>
              <w:t xml:space="preserve"> </w:t>
            </w:r>
            <w:r w:rsidRPr="00BB5286">
              <w:rPr>
                <w:rFonts w:eastAsia="Calibri" w:cs="Times New Roman"/>
                <w:noProof/>
                <w:sz w:val="22"/>
                <w:lang w:val="en-GB"/>
              </w:rPr>
              <w:t xml:space="preserve">was not taken up. Within the simplification package, the Commission </w:t>
            </w:r>
            <w:r w:rsidR="00640A52" w:rsidRPr="00BB5286">
              <w:rPr>
                <w:rFonts w:eastAsia="Calibri" w:cs="Times New Roman"/>
                <w:noProof/>
                <w:sz w:val="22"/>
                <w:lang w:val="en-GB"/>
              </w:rPr>
              <w:t xml:space="preserve">decided </w:t>
            </w:r>
            <w:r w:rsidRPr="00BB5286">
              <w:rPr>
                <w:rFonts w:eastAsia="Calibri" w:cs="Times New Roman"/>
                <w:noProof/>
                <w:sz w:val="22"/>
                <w:lang w:val="en-GB"/>
              </w:rPr>
              <w:t xml:space="preserve">to make the use of </w:t>
            </w:r>
            <w:r w:rsidR="0093411D" w:rsidRPr="00BB5286">
              <w:rPr>
                <w:rFonts w:eastAsia="Calibri" w:cs="Times New Roman"/>
                <w:noProof/>
                <w:sz w:val="22"/>
                <w:lang w:val="en-GB"/>
              </w:rPr>
              <w:t>geotagged</w:t>
            </w:r>
            <w:r w:rsidRPr="00BB5286">
              <w:rPr>
                <w:rFonts w:eastAsia="Calibri" w:cs="Times New Roman"/>
                <w:noProof/>
                <w:sz w:val="22"/>
                <w:lang w:val="en-GB"/>
              </w:rPr>
              <w:t xml:space="preserve"> photos under the AMS voluntary</w:t>
            </w:r>
            <w:r w:rsidR="0074707A" w:rsidRPr="00BB5286">
              <w:rPr>
                <w:rFonts w:eastAsia="Calibri" w:cs="Times New Roman"/>
                <w:noProof/>
                <w:sz w:val="22"/>
                <w:lang w:val="en-GB"/>
              </w:rPr>
              <w:t xml:space="preserve"> (see above)</w:t>
            </w:r>
            <w:r w:rsidRPr="00BB5286">
              <w:rPr>
                <w:rFonts w:eastAsia="Calibri" w:cs="Times New Roman"/>
                <w:noProof/>
                <w:sz w:val="22"/>
                <w:lang w:val="en-GB"/>
              </w:rPr>
              <w:t>. Therefore, there is no need for a longer phasing in.</w:t>
            </w:r>
          </w:p>
        </w:tc>
      </w:tr>
      <w:tr w:rsidR="003D4B2D" w:rsidRPr="00BB5286" w14:paraId="391FEDD8"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0D7DD"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56</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60E2E" w14:textId="56CE6DFA" w:rsidR="00872C68" w:rsidRPr="00BB5286" w:rsidRDefault="0093411D"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Geotagging</w:t>
            </w:r>
            <w:r w:rsidR="00872C68" w:rsidRPr="00BB5286">
              <w:rPr>
                <w:rFonts w:eastAsia="Calibri" w:cs="Times New Roman"/>
                <w:b/>
                <w:noProof/>
                <w:sz w:val="22"/>
                <w:lang w:val="en-GB"/>
              </w:rPr>
              <w:t>:</w:t>
            </w:r>
            <w:r w:rsidR="00872C68" w:rsidRPr="00BB5286">
              <w:rPr>
                <w:rFonts w:eastAsia="Calibri" w:cs="Times New Roman"/>
                <w:noProof/>
                <w:sz w:val="22"/>
                <w:lang w:val="en-GB"/>
              </w:rPr>
              <w:t xml:space="preserve"> </w:t>
            </w:r>
            <w:r w:rsidR="185294DE" w:rsidRPr="00BB5286">
              <w:rPr>
                <w:rFonts w:eastAsia="Calibri" w:cs="Times New Roman"/>
                <w:noProof/>
                <w:sz w:val="22"/>
                <w:lang w:val="en-GB"/>
              </w:rPr>
              <w:t>e</w:t>
            </w:r>
            <w:r w:rsidR="00872C68" w:rsidRPr="00BB5286">
              <w:rPr>
                <w:rFonts w:eastAsia="Calibri" w:cs="Times New Roman"/>
                <w:noProof/>
                <w:sz w:val="22"/>
                <w:lang w:val="en-GB"/>
              </w:rPr>
              <w:t xml:space="preserve">ligibility conditions that can be controlled by </w:t>
            </w:r>
            <w:r w:rsidRPr="00BB5286">
              <w:rPr>
                <w:rFonts w:eastAsia="Calibri" w:cs="Times New Roman"/>
                <w:noProof/>
                <w:sz w:val="22"/>
                <w:lang w:val="en-GB"/>
              </w:rPr>
              <w:t>geotagged</w:t>
            </w:r>
            <w:r w:rsidR="00872C68" w:rsidRPr="00BB5286">
              <w:rPr>
                <w:rFonts w:eastAsia="Calibri" w:cs="Times New Roman"/>
                <w:noProof/>
                <w:sz w:val="22"/>
                <w:lang w:val="en-GB"/>
              </w:rPr>
              <w:t xml:space="preserve"> photos should not be considered as monitorable conditions. These conditions should be subject to a control sample.</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ACCD5"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0E436" w14:textId="07F05CD1"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Within the simplification package, the Commission </w:t>
            </w:r>
            <w:r w:rsidR="00640A52" w:rsidRPr="00BB5286">
              <w:rPr>
                <w:rFonts w:eastAsia="Calibri" w:cs="Times New Roman"/>
                <w:noProof/>
                <w:sz w:val="22"/>
                <w:lang w:val="en-GB"/>
              </w:rPr>
              <w:t xml:space="preserve">decided </w:t>
            </w:r>
            <w:r w:rsidRPr="00BB5286">
              <w:rPr>
                <w:rFonts w:eastAsia="Calibri" w:cs="Times New Roman"/>
                <w:noProof/>
                <w:sz w:val="22"/>
                <w:lang w:val="en-GB"/>
              </w:rPr>
              <w:t xml:space="preserve">to make the use of </w:t>
            </w:r>
            <w:r w:rsidR="0093411D" w:rsidRPr="00BB5286">
              <w:rPr>
                <w:rFonts w:eastAsia="Calibri" w:cs="Times New Roman"/>
                <w:noProof/>
                <w:sz w:val="22"/>
                <w:lang w:val="en-GB"/>
              </w:rPr>
              <w:t>geotagged</w:t>
            </w:r>
            <w:r w:rsidRPr="00BB5286">
              <w:rPr>
                <w:rFonts w:eastAsia="Calibri" w:cs="Times New Roman"/>
                <w:noProof/>
                <w:sz w:val="22"/>
                <w:lang w:val="en-GB"/>
              </w:rPr>
              <w:t xml:space="preserve"> photos under the AMS voluntary</w:t>
            </w:r>
            <w:r w:rsidR="00640A52" w:rsidRPr="00BB5286">
              <w:rPr>
                <w:rFonts w:eastAsia="Calibri" w:cs="Times New Roman"/>
                <w:noProof/>
                <w:sz w:val="22"/>
                <w:lang w:val="en-GB"/>
              </w:rPr>
              <w:t xml:space="preserve"> (see above)</w:t>
            </w:r>
            <w:r w:rsidRPr="00BB5286">
              <w:rPr>
                <w:rFonts w:eastAsia="Calibri" w:cs="Times New Roman"/>
                <w:noProof/>
                <w:sz w:val="22"/>
                <w:lang w:val="en-GB"/>
              </w:rPr>
              <w:t xml:space="preserve">. As such, in the scope of the AMS it is for Member States to decide if eligibility conditions monitorable by geotagged photos are classified as monitorable or not. However, considering an eligibility condition as monitorable is to </w:t>
            </w:r>
            <w:r w:rsidRPr="00BB5286">
              <w:rPr>
                <w:rFonts w:eastAsia="Calibri" w:cs="Times New Roman"/>
                <w:noProof/>
                <w:sz w:val="22"/>
                <w:lang w:val="en-GB"/>
              </w:rPr>
              <w:lastRenderedPageBreak/>
              <w:t>the advantage of the farmer due to its preventive approach</w:t>
            </w:r>
            <w:r w:rsidR="002607BC" w:rsidRPr="00BB5286">
              <w:rPr>
                <w:rFonts w:eastAsia="Calibri" w:cs="Times New Roman"/>
                <w:noProof/>
                <w:sz w:val="22"/>
                <w:lang w:val="en-GB"/>
              </w:rPr>
              <w:t>,</w:t>
            </w:r>
            <w:r w:rsidRPr="00BB5286">
              <w:rPr>
                <w:rFonts w:eastAsia="Calibri" w:cs="Times New Roman"/>
                <w:noProof/>
                <w:sz w:val="22"/>
                <w:lang w:val="en-GB"/>
              </w:rPr>
              <w:t xml:space="preserve"> in contrast to the classic ex</w:t>
            </w:r>
            <w:r w:rsidR="002607BC" w:rsidRPr="00BB5286">
              <w:rPr>
                <w:rFonts w:eastAsia="Calibri" w:cs="Times New Roman"/>
                <w:noProof/>
                <w:sz w:val="22"/>
                <w:lang w:val="en-GB"/>
              </w:rPr>
              <w:t xml:space="preserve"> </w:t>
            </w:r>
            <w:r w:rsidRPr="00BB5286">
              <w:rPr>
                <w:rFonts w:eastAsia="Calibri" w:cs="Times New Roman"/>
                <w:noProof/>
                <w:sz w:val="22"/>
                <w:lang w:val="en-GB"/>
              </w:rPr>
              <w:t>post (sample based) control approach.</w:t>
            </w:r>
          </w:p>
        </w:tc>
      </w:tr>
      <w:tr w:rsidR="00F34C75" w:rsidRPr="00BB5286" w14:paraId="05E8E3A2"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4459F"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lastRenderedPageBreak/>
              <w:t>57</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FA98B" w14:textId="50668F1F" w:rsidR="00872C68" w:rsidRPr="00BB5286" w:rsidRDefault="00872C68" w:rsidP="00732505">
            <w:pPr>
              <w:spacing w:after="60" w:line="259" w:lineRule="auto"/>
              <w:jc w:val="both"/>
              <w:rPr>
                <w:rFonts w:eastAsia="Times New Roman" w:cs="Times New Roman"/>
                <w:noProof/>
                <w:sz w:val="22"/>
                <w:lang w:val="en-GB" w:eastAsia="en-IE"/>
              </w:rPr>
            </w:pPr>
            <w:r w:rsidRPr="00BB5286">
              <w:rPr>
                <w:rFonts w:eastAsia="Calibri" w:cs="Times New Roman"/>
                <w:b/>
                <w:noProof/>
                <w:sz w:val="22"/>
                <w:lang w:val="en-GB"/>
              </w:rPr>
              <w:t xml:space="preserve">Use of </w:t>
            </w:r>
            <w:r w:rsidR="0093411D" w:rsidRPr="00BB5286">
              <w:rPr>
                <w:rFonts w:eastAsia="Calibri" w:cs="Times New Roman"/>
                <w:b/>
                <w:noProof/>
                <w:sz w:val="22"/>
                <w:lang w:val="en-GB"/>
              </w:rPr>
              <w:t>geotagged</w:t>
            </w:r>
            <w:r w:rsidRPr="00BB5286">
              <w:rPr>
                <w:rFonts w:eastAsia="Calibri" w:cs="Times New Roman"/>
                <w:b/>
                <w:noProof/>
                <w:sz w:val="22"/>
                <w:lang w:val="en-GB"/>
              </w:rPr>
              <w:t xml:space="preserve"> images for controls:</w:t>
            </w:r>
            <w:r w:rsidRPr="00BB5286">
              <w:rPr>
                <w:rFonts w:eastAsia="Calibri" w:cs="Times New Roman"/>
                <w:noProof/>
                <w:sz w:val="22"/>
                <w:lang w:val="en-GB"/>
              </w:rPr>
              <w:t xml:space="preserve"> </w:t>
            </w:r>
            <w:r w:rsidR="6AEB870C" w:rsidRPr="00BB5286">
              <w:rPr>
                <w:rFonts w:eastAsia="Calibri" w:cs="Times New Roman"/>
                <w:noProof/>
                <w:sz w:val="22"/>
                <w:lang w:val="en-GB"/>
              </w:rPr>
              <w:t>t</w:t>
            </w:r>
            <w:r w:rsidRPr="00BB5286">
              <w:rPr>
                <w:rFonts w:eastAsia="Times New Roman" w:cs="Times New Roman"/>
                <w:noProof/>
                <w:sz w:val="22"/>
                <w:lang w:val="en-GB" w:eastAsia="en-IE"/>
              </w:rPr>
              <w:t xml:space="preserve">he burden of proof lies on the applicant. Member States should have more flexibility to select an appropriate control method in cases where the AMS cannot be used. The use of geo-referenced images </w:t>
            </w:r>
            <w:r w:rsidR="3EF76BE8" w:rsidRPr="00BB5286">
              <w:rPr>
                <w:rFonts w:eastAsia="Times New Roman" w:cs="Times New Roman"/>
                <w:noProof/>
                <w:sz w:val="22"/>
                <w:lang w:val="en-GB" w:eastAsia="en-IE"/>
              </w:rPr>
              <w:t>should</w:t>
            </w:r>
            <w:r w:rsidRPr="00BB5286">
              <w:rPr>
                <w:rFonts w:eastAsia="Times New Roman" w:cs="Times New Roman"/>
                <w:noProof/>
                <w:sz w:val="22"/>
                <w:lang w:val="en-GB" w:eastAsia="en-IE"/>
              </w:rPr>
              <w:t xml:space="preserve"> be introduced only in cases where they bring clear benefits to the applicant.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82FF5"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14AA96" w14:textId="52E5DB1D"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Commission </w:t>
            </w:r>
            <w:r w:rsidR="002607BC" w:rsidRPr="00BB5286">
              <w:rPr>
                <w:rFonts w:eastAsia="Calibri" w:cs="Times New Roman"/>
                <w:noProof/>
                <w:sz w:val="22"/>
                <w:lang w:val="en-GB"/>
              </w:rPr>
              <w:t xml:space="preserve">has </w:t>
            </w:r>
            <w:r w:rsidRPr="00BB5286">
              <w:rPr>
                <w:rFonts w:eastAsia="Calibri" w:cs="Times New Roman"/>
                <w:noProof/>
                <w:sz w:val="22"/>
                <w:lang w:val="en-GB"/>
              </w:rPr>
              <w:t xml:space="preserve">engaged to alleviate the administrative burden linked to </w:t>
            </w:r>
            <w:r w:rsidR="0093411D" w:rsidRPr="00BB5286">
              <w:rPr>
                <w:rFonts w:eastAsia="Calibri" w:cs="Times New Roman"/>
                <w:noProof/>
                <w:sz w:val="22"/>
                <w:lang w:val="en-GB"/>
              </w:rPr>
              <w:t>geotagged</w:t>
            </w:r>
            <w:r w:rsidRPr="00BB5286">
              <w:rPr>
                <w:rFonts w:eastAsia="Calibri" w:cs="Times New Roman"/>
                <w:noProof/>
                <w:sz w:val="22"/>
                <w:lang w:val="en-GB"/>
              </w:rPr>
              <w:t xml:space="preserve"> photos, while maintaining the benefits of this technology to reduce </w:t>
            </w:r>
            <w:r w:rsidR="008F575A" w:rsidRPr="00BB5286">
              <w:rPr>
                <w:rFonts w:eastAsia="Calibri" w:cs="Times New Roman"/>
                <w:noProof/>
                <w:sz w:val="22"/>
                <w:lang w:val="en-GB"/>
              </w:rPr>
              <w:t xml:space="preserve">the burden of </w:t>
            </w:r>
            <w:r w:rsidRPr="00BB5286">
              <w:rPr>
                <w:rFonts w:eastAsia="Calibri" w:cs="Times New Roman"/>
                <w:noProof/>
                <w:sz w:val="22"/>
                <w:lang w:val="en-GB"/>
              </w:rPr>
              <w:t>on-the-spot control</w:t>
            </w:r>
            <w:r w:rsidR="008F575A" w:rsidRPr="00BB5286">
              <w:rPr>
                <w:rFonts w:eastAsia="Calibri" w:cs="Times New Roman"/>
                <w:noProof/>
                <w:sz w:val="22"/>
                <w:lang w:val="en-GB"/>
              </w:rPr>
              <w:t>s</w:t>
            </w:r>
            <w:r w:rsidRPr="00BB5286">
              <w:rPr>
                <w:rFonts w:eastAsia="Calibri" w:cs="Times New Roman"/>
                <w:noProof/>
                <w:sz w:val="22"/>
                <w:lang w:val="en-GB"/>
              </w:rPr>
              <w:t xml:space="preserve"> </w:t>
            </w:r>
            <w:r w:rsidR="008F575A" w:rsidRPr="00BB5286">
              <w:rPr>
                <w:rFonts w:eastAsia="Calibri" w:cs="Times New Roman"/>
                <w:noProof/>
                <w:sz w:val="22"/>
                <w:lang w:val="en-GB"/>
              </w:rPr>
              <w:t>on</w:t>
            </w:r>
            <w:r w:rsidRPr="00BB5286">
              <w:rPr>
                <w:rFonts w:eastAsia="Calibri" w:cs="Times New Roman"/>
                <w:noProof/>
                <w:sz w:val="22"/>
                <w:lang w:val="en-GB"/>
              </w:rPr>
              <w:t xml:space="preserve"> farmers and ensure controllability of the CAP spending.</w:t>
            </w:r>
          </w:p>
          <w:p w14:paraId="7BE11B7F" w14:textId="3C9BEB3B"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Member States may choose to combine data from satellite images and data from </w:t>
            </w:r>
            <w:r w:rsidR="0093411D" w:rsidRPr="00BB5286">
              <w:rPr>
                <w:rFonts w:eastAsia="Calibri" w:cs="Times New Roman"/>
                <w:noProof/>
                <w:sz w:val="22"/>
                <w:lang w:val="en-GB"/>
              </w:rPr>
              <w:t>geotagged</w:t>
            </w:r>
            <w:r w:rsidRPr="00BB5286">
              <w:rPr>
                <w:rFonts w:eastAsia="Calibri" w:cs="Times New Roman"/>
                <w:noProof/>
                <w:sz w:val="22"/>
                <w:lang w:val="en-GB"/>
              </w:rPr>
              <w:t xml:space="preserve"> photos. Member States can also choose to perform a cascaded analysis </w:t>
            </w:r>
            <w:r w:rsidR="008F575A" w:rsidRPr="00BB5286">
              <w:rPr>
                <w:rFonts w:eastAsia="Calibri" w:cs="Times New Roman"/>
                <w:noProof/>
                <w:sz w:val="22"/>
                <w:lang w:val="en-GB"/>
              </w:rPr>
              <w:t xml:space="preserve">of </w:t>
            </w:r>
            <w:r w:rsidRPr="00BB5286">
              <w:rPr>
                <w:rFonts w:eastAsia="Calibri" w:cs="Times New Roman"/>
                <w:noProof/>
                <w:sz w:val="22"/>
                <w:lang w:val="en-GB"/>
              </w:rPr>
              <w:t xml:space="preserve">satellite images and </w:t>
            </w:r>
            <w:r w:rsidR="0093411D" w:rsidRPr="00BB5286">
              <w:rPr>
                <w:rFonts w:eastAsia="Calibri" w:cs="Times New Roman"/>
                <w:noProof/>
                <w:sz w:val="22"/>
                <w:lang w:val="en-GB"/>
              </w:rPr>
              <w:t>geotagged</w:t>
            </w:r>
            <w:r w:rsidRPr="00BB5286">
              <w:rPr>
                <w:rFonts w:eastAsia="Calibri" w:cs="Times New Roman"/>
                <w:noProof/>
                <w:sz w:val="22"/>
                <w:lang w:val="en-GB"/>
              </w:rPr>
              <w:t xml:space="preserve"> photos to reduce the number of non-conclusive monitored cases. It is up to Member States to decide if an eligibility condition is monitorable only via geotagged photos.</w:t>
            </w:r>
          </w:p>
        </w:tc>
      </w:tr>
      <w:tr w:rsidR="00F34C75" w:rsidRPr="00BB5286" w14:paraId="22C66672" w14:textId="77777777" w:rsidTr="00A27F70">
        <w:trPr>
          <w:trHeight w:val="490"/>
        </w:trPr>
        <w:tc>
          <w:tcPr>
            <w:tcW w:w="14754" w:type="dxa"/>
            <w:gridSpan w:val="5"/>
            <w:tcBorders>
              <w:top w:val="single" w:sz="4" w:space="0" w:color="000000" w:themeColor="text1"/>
              <w:left w:val="single" w:sz="4" w:space="0" w:color="000000" w:themeColor="text1"/>
              <w:bottom w:val="nil"/>
              <w:right w:val="single" w:sz="4" w:space="0" w:color="000000" w:themeColor="text1"/>
            </w:tcBorders>
            <w:shd w:val="clear" w:color="auto" w:fill="003399"/>
            <w:vAlign w:val="center"/>
          </w:tcPr>
          <w:p w14:paraId="77D43371" w14:textId="77777777" w:rsidR="00872C68" w:rsidRPr="00BB5286" w:rsidRDefault="00872C68" w:rsidP="003E7CF4">
            <w:pPr>
              <w:spacing w:before="120" w:after="120" w:line="259" w:lineRule="auto"/>
              <w:jc w:val="center"/>
              <w:rPr>
                <w:rFonts w:eastAsia="Calibri" w:cs="Times New Roman"/>
                <w:b/>
                <w:noProof/>
                <w:color w:val="FFFFFF"/>
                <w:sz w:val="22"/>
                <w:lang w:val="en-GB"/>
              </w:rPr>
            </w:pPr>
            <w:r w:rsidRPr="00BB5286">
              <w:rPr>
                <w:rFonts w:eastAsia="Calibri" w:cs="Times New Roman"/>
                <w:b/>
                <w:noProof/>
                <w:color w:val="FFFFFF"/>
                <w:sz w:val="22"/>
                <w:lang w:val="en-GB"/>
              </w:rPr>
              <w:t>Quality assessment of IACS components</w:t>
            </w:r>
          </w:p>
        </w:tc>
      </w:tr>
      <w:tr w:rsidR="00F34C75" w:rsidRPr="00BB5286" w14:paraId="02D405ED" w14:textId="77777777" w:rsidTr="00A27F70">
        <w:trPr>
          <w:trHeight w:val="300"/>
        </w:trPr>
        <w:tc>
          <w:tcPr>
            <w:tcW w:w="722" w:type="dxa"/>
            <w:gridSpan w:val="2"/>
            <w:tcBorders>
              <w:top w:val="nil"/>
              <w:left w:val="single" w:sz="4" w:space="0" w:color="000000" w:themeColor="text1"/>
              <w:bottom w:val="single" w:sz="4" w:space="0" w:color="000000" w:themeColor="text1"/>
              <w:right w:val="single" w:sz="4" w:space="0" w:color="000000" w:themeColor="text1"/>
            </w:tcBorders>
            <w:vAlign w:val="center"/>
          </w:tcPr>
          <w:p w14:paraId="3054E893" w14:textId="77777777" w:rsidR="00872C68" w:rsidRPr="00BB5286" w:rsidRDefault="00872C68" w:rsidP="00732505">
            <w:pPr>
              <w:spacing w:after="60" w:line="259" w:lineRule="auto"/>
              <w:jc w:val="center"/>
              <w:rPr>
                <w:rFonts w:eastAsia="Calibri" w:cs="Times New Roman"/>
                <w:b/>
                <w:noProof/>
                <w:sz w:val="22"/>
                <w:lang w:val="en-GB"/>
              </w:rPr>
            </w:pPr>
            <w:r w:rsidRPr="00BB5286">
              <w:rPr>
                <w:rFonts w:eastAsia="Calibri" w:cs="Times New Roman"/>
                <w:b/>
                <w:bCs/>
                <w:noProof/>
                <w:sz w:val="22"/>
                <w:lang w:val="en-GB"/>
              </w:rPr>
              <w:t>58</w:t>
            </w:r>
          </w:p>
        </w:tc>
        <w:tc>
          <w:tcPr>
            <w:tcW w:w="5808" w:type="dxa"/>
            <w:tcBorders>
              <w:top w:val="nil"/>
              <w:left w:val="single" w:sz="4" w:space="0" w:color="000000" w:themeColor="text1"/>
              <w:bottom w:val="single" w:sz="4" w:space="0" w:color="000000" w:themeColor="text1"/>
              <w:right w:val="single" w:sz="4" w:space="0" w:color="000000" w:themeColor="text1"/>
            </w:tcBorders>
            <w:vAlign w:val="center"/>
          </w:tcPr>
          <w:p w14:paraId="446B1BFB" w14:textId="302642B0" w:rsidR="00872C68" w:rsidRPr="007925D3" w:rsidRDefault="00872C68" w:rsidP="00732505">
            <w:pPr>
              <w:spacing w:after="60" w:line="259" w:lineRule="auto"/>
              <w:jc w:val="both"/>
              <w:rPr>
                <w:rFonts w:eastAsia="Calibri" w:cs="Times New Roman"/>
                <w:noProof/>
                <w:sz w:val="22"/>
                <w:lang w:val="en-GB"/>
              </w:rPr>
            </w:pPr>
            <w:r w:rsidRPr="007925D3">
              <w:rPr>
                <w:rFonts w:eastAsia="Calibri" w:cs="Times New Roman"/>
                <w:b/>
                <w:noProof/>
                <w:sz w:val="22"/>
                <w:lang w:val="en-GB"/>
              </w:rPr>
              <w:t>Abandon the quality assessment</w:t>
            </w:r>
            <w:r w:rsidRPr="007925D3">
              <w:rPr>
                <w:rFonts w:eastAsia="Calibri" w:cs="Times New Roman"/>
                <w:noProof/>
                <w:sz w:val="22"/>
                <w:lang w:val="en-GB"/>
              </w:rPr>
              <w:t xml:space="preserve"> (as an alternative to changing it) </w:t>
            </w:r>
            <w:r w:rsidR="08344123" w:rsidRPr="007925D3">
              <w:rPr>
                <w:rFonts w:eastAsia="Calibri" w:cs="Times New Roman"/>
                <w:noProof/>
                <w:sz w:val="22"/>
                <w:lang w:val="en-GB"/>
              </w:rPr>
              <w:t>(</w:t>
            </w:r>
            <w:r w:rsidR="38C64AB4" w:rsidRPr="007925D3">
              <w:rPr>
                <w:rFonts w:eastAsia="Calibri" w:cs="Times New Roman"/>
                <w:i/>
                <w:iCs/>
                <w:noProof/>
                <w:sz w:val="22"/>
                <w:lang w:val="en-GB"/>
              </w:rPr>
              <w:t>Art</w:t>
            </w:r>
            <w:r w:rsidR="529676C9" w:rsidRPr="007925D3">
              <w:rPr>
                <w:rFonts w:eastAsia="Calibri" w:cs="Times New Roman"/>
                <w:i/>
                <w:iCs/>
                <w:noProof/>
                <w:sz w:val="22"/>
                <w:lang w:val="en-GB"/>
              </w:rPr>
              <w:t>icles</w:t>
            </w:r>
            <w:r w:rsidRPr="007925D3">
              <w:rPr>
                <w:rFonts w:eastAsia="Calibri" w:cs="Times New Roman"/>
                <w:i/>
                <w:noProof/>
                <w:sz w:val="22"/>
                <w:lang w:val="en-GB"/>
              </w:rPr>
              <w:t xml:space="preserve"> 68, 69 and 70</w:t>
            </w:r>
            <w:r w:rsidRPr="007925D3">
              <w:rPr>
                <w:rFonts w:eastAsia="Calibri" w:cs="Times New Roman"/>
                <w:noProof/>
                <w:sz w:val="22"/>
                <w:lang w:val="en-GB"/>
              </w:rPr>
              <w:t xml:space="preserve"> of </w:t>
            </w:r>
            <w:r w:rsidR="0BCF78BA" w:rsidRPr="007925D3">
              <w:rPr>
                <w:rFonts w:eastAsia="Calibri" w:cs="Times New Roman"/>
                <w:noProof/>
                <w:sz w:val="22"/>
                <w:lang w:val="en-GB"/>
              </w:rPr>
              <w:t xml:space="preserve">the Horizontal </w:t>
            </w:r>
            <w:r w:rsidRPr="007925D3">
              <w:rPr>
                <w:rFonts w:eastAsia="Calibri" w:cs="Times New Roman"/>
                <w:noProof/>
                <w:sz w:val="22"/>
                <w:lang w:val="en-GB"/>
              </w:rPr>
              <w:t xml:space="preserve">Regulation, </w:t>
            </w:r>
            <w:r w:rsidR="38C64AB4" w:rsidRPr="007925D3">
              <w:rPr>
                <w:rFonts w:eastAsia="Calibri" w:cs="Times New Roman"/>
                <w:i/>
                <w:iCs/>
                <w:noProof/>
                <w:sz w:val="22"/>
                <w:lang w:val="en-GB"/>
              </w:rPr>
              <w:t>Art</w:t>
            </w:r>
            <w:r w:rsidR="51FD8DFF" w:rsidRPr="007925D3">
              <w:rPr>
                <w:rFonts w:eastAsia="Calibri" w:cs="Times New Roman"/>
                <w:i/>
                <w:iCs/>
                <w:noProof/>
                <w:sz w:val="22"/>
                <w:lang w:val="en-GB"/>
              </w:rPr>
              <w:t>icles</w:t>
            </w:r>
            <w:r w:rsidRPr="007925D3">
              <w:rPr>
                <w:rFonts w:eastAsia="Calibri" w:cs="Times New Roman"/>
                <w:i/>
                <w:noProof/>
                <w:sz w:val="22"/>
                <w:lang w:val="en-GB"/>
              </w:rPr>
              <w:t xml:space="preserve"> 3,</w:t>
            </w:r>
            <w:r w:rsidR="0E790570" w:rsidRPr="007925D3">
              <w:rPr>
                <w:rFonts w:eastAsia="Calibri" w:cs="Times New Roman"/>
                <w:i/>
                <w:iCs/>
                <w:noProof/>
                <w:sz w:val="22"/>
                <w:lang w:val="en-GB"/>
              </w:rPr>
              <w:t xml:space="preserve"> </w:t>
            </w:r>
            <w:r w:rsidRPr="007925D3">
              <w:rPr>
                <w:rFonts w:eastAsia="Calibri" w:cs="Times New Roman"/>
                <w:i/>
                <w:noProof/>
                <w:sz w:val="22"/>
                <w:lang w:val="en-GB"/>
              </w:rPr>
              <w:t xml:space="preserve">4 and 5 </w:t>
            </w:r>
            <w:r w:rsidRPr="007925D3">
              <w:rPr>
                <w:rFonts w:eastAsia="Calibri" w:cs="Times New Roman"/>
                <w:noProof/>
                <w:sz w:val="22"/>
                <w:lang w:val="en-GB"/>
              </w:rPr>
              <w:t xml:space="preserve">of </w:t>
            </w:r>
            <w:r w:rsidR="00D2071B" w:rsidRPr="007925D3">
              <w:rPr>
                <w:rFonts w:eastAsia="Calibri" w:cs="Times New Roman"/>
                <w:noProof/>
                <w:sz w:val="22"/>
                <w:lang w:val="en-GB"/>
              </w:rPr>
              <w:t xml:space="preserve">Commission </w:t>
            </w:r>
            <w:r w:rsidRPr="007925D3">
              <w:rPr>
                <w:rFonts w:eastAsia="Calibri" w:cs="Times New Roman"/>
                <w:noProof/>
                <w:sz w:val="22"/>
                <w:lang w:val="en-GB"/>
              </w:rPr>
              <w:t>Delegated Regulation (EU) 2022/1172</w:t>
            </w:r>
            <w:r w:rsidR="6EB15EAF" w:rsidRPr="007925D3">
              <w:rPr>
                <w:rFonts w:eastAsia="Calibri" w:cs="Times New Roman"/>
                <w:noProof/>
                <w:sz w:val="22"/>
                <w:lang w:val="en-GB"/>
              </w:rPr>
              <w:t>)</w:t>
            </w:r>
            <w:r w:rsidR="38C64AB4" w:rsidRPr="007925D3">
              <w:rPr>
                <w:rFonts w:eastAsia="Calibri" w:cs="Times New Roman"/>
                <w:noProof/>
                <w:sz w:val="22"/>
                <w:lang w:val="en-GB"/>
              </w:rPr>
              <w:t>.</w:t>
            </w:r>
          </w:p>
        </w:tc>
        <w:tc>
          <w:tcPr>
            <w:tcW w:w="1562" w:type="dxa"/>
            <w:tcBorders>
              <w:top w:val="nil"/>
              <w:left w:val="single" w:sz="4" w:space="0" w:color="000000" w:themeColor="text1"/>
              <w:bottom w:val="single" w:sz="4" w:space="0" w:color="000000" w:themeColor="text1"/>
              <w:right w:val="single" w:sz="4" w:space="0" w:color="000000" w:themeColor="text1"/>
            </w:tcBorders>
            <w:vAlign w:val="center"/>
          </w:tcPr>
          <w:p w14:paraId="5C1D3816" w14:textId="77777777" w:rsidR="00872C68" w:rsidRPr="00AE4510" w:rsidRDefault="00872C68" w:rsidP="00732505">
            <w:pPr>
              <w:spacing w:after="60" w:line="259" w:lineRule="auto"/>
              <w:jc w:val="center"/>
              <w:rPr>
                <w:rFonts w:eastAsia="MS Gothic" w:cs="Times New Roman"/>
                <w:b/>
                <w:noProof/>
                <w:sz w:val="22"/>
                <w:lang w:val="en-GB"/>
              </w:rPr>
            </w:pPr>
            <w:r w:rsidRPr="00B57B13">
              <w:rPr>
                <w:rFonts w:eastAsia="MS Gothic" w:cs="Times New Roman"/>
                <w:b/>
                <w:noProof/>
                <w:color w:val="0033CC"/>
                <w:sz w:val="22"/>
                <w:lang w:val="en-GB"/>
              </w:rPr>
              <w:t>DE, BE</w:t>
            </w:r>
          </w:p>
        </w:tc>
        <w:tc>
          <w:tcPr>
            <w:tcW w:w="6662" w:type="dxa"/>
            <w:tcBorders>
              <w:top w:val="nil"/>
              <w:left w:val="single" w:sz="4" w:space="0" w:color="000000" w:themeColor="text1"/>
              <w:bottom w:val="single" w:sz="4" w:space="0" w:color="000000" w:themeColor="text1"/>
              <w:right w:val="single" w:sz="4" w:space="0" w:color="000000" w:themeColor="text1"/>
            </w:tcBorders>
            <w:vAlign w:val="center"/>
          </w:tcPr>
          <w:p w14:paraId="67FD7DE7" w14:textId="46D91A60"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7B25D5">
              <w:rPr>
                <w:rFonts w:eastAsia="Calibri" w:cs="Times New Roman"/>
                <w:noProof/>
                <w:sz w:val="22"/>
                <w:lang w:val="en-GB"/>
              </w:rPr>
              <w:t xml:space="preserve"> </w:t>
            </w:r>
            <w:r w:rsidRPr="00BB5286">
              <w:rPr>
                <w:rFonts w:eastAsia="Calibri" w:cs="Times New Roman"/>
                <w:noProof/>
                <w:sz w:val="22"/>
                <w:lang w:val="en-GB"/>
              </w:rPr>
              <w:t xml:space="preserve">was not taken up. Quality </w:t>
            </w:r>
            <w:r w:rsidR="0093411D" w:rsidRPr="00BB5286">
              <w:rPr>
                <w:rFonts w:eastAsia="Calibri" w:cs="Times New Roman"/>
                <w:noProof/>
                <w:sz w:val="22"/>
                <w:lang w:val="en-GB"/>
              </w:rPr>
              <w:t>a</w:t>
            </w:r>
            <w:r w:rsidRPr="00BB5286">
              <w:rPr>
                <w:rFonts w:eastAsia="Calibri" w:cs="Times New Roman"/>
                <w:noProof/>
                <w:sz w:val="22"/>
                <w:lang w:val="en-GB"/>
              </w:rPr>
              <w:t>ssessment ensures information about the reliance of the system and the correctness of the data provided for indicators linked to area-based interventions. It also aims to be an incentive to improve Member States’ IACS systems and continue digitalisation.</w:t>
            </w:r>
          </w:p>
        </w:tc>
      </w:tr>
      <w:tr w:rsidR="003D4B2D" w:rsidRPr="00BB5286" w14:paraId="1F001EA3"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40401" w14:textId="77777777" w:rsidR="00872C68" w:rsidRPr="00BB5286" w:rsidRDefault="00872C68" w:rsidP="00732505">
            <w:pPr>
              <w:spacing w:after="60" w:line="259" w:lineRule="auto"/>
              <w:jc w:val="center"/>
              <w:rPr>
                <w:rFonts w:eastAsia="Calibri" w:cs="Times New Roman"/>
                <w:b/>
                <w:noProof/>
                <w:sz w:val="22"/>
                <w:lang w:val="en-GB"/>
              </w:rPr>
            </w:pPr>
            <w:r w:rsidRPr="00BB5286">
              <w:rPr>
                <w:rFonts w:eastAsia="Calibri" w:cs="Times New Roman"/>
                <w:b/>
                <w:bCs/>
                <w:noProof/>
                <w:sz w:val="22"/>
                <w:lang w:val="en-GB"/>
              </w:rPr>
              <w:t>59</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A68F8" w14:textId="0BD581C1" w:rsidR="00872C68" w:rsidRPr="00AE4510" w:rsidRDefault="00872C68" w:rsidP="00732505">
            <w:pPr>
              <w:spacing w:after="60" w:line="259" w:lineRule="auto"/>
              <w:jc w:val="both"/>
              <w:rPr>
                <w:rFonts w:eastAsia="Calibri" w:cs="Times New Roman"/>
                <w:noProof/>
                <w:sz w:val="22"/>
                <w:lang w:val="en-GB"/>
              </w:rPr>
            </w:pPr>
            <w:r w:rsidRPr="007925D3">
              <w:rPr>
                <w:rFonts w:eastAsia="Calibri" w:cs="Times New Roman"/>
                <w:b/>
                <w:noProof/>
                <w:sz w:val="22"/>
                <w:lang w:val="en-GB"/>
              </w:rPr>
              <w:t>Scope:</w:t>
            </w:r>
            <w:r w:rsidRPr="007925D3">
              <w:rPr>
                <w:rFonts w:eastAsia="Calibri" w:cs="Times New Roman"/>
                <w:noProof/>
                <w:sz w:val="22"/>
                <w:lang w:val="en-GB"/>
              </w:rPr>
              <w:t xml:space="preserve"> </w:t>
            </w:r>
            <w:r w:rsidR="0D839C44" w:rsidRPr="007925D3">
              <w:rPr>
                <w:rFonts w:eastAsia="Calibri" w:cs="Times New Roman"/>
                <w:noProof/>
                <w:sz w:val="22"/>
                <w:lang w:val="en-GB"/>
              </w:rPr>
              <w:t>m</w:t>
            </w:r>
            <w:r w:rsidRPr="007925D3">
              <w:rPr>
                <w:rFonts w:eastAsia="Calibri" w:cs="Times New Roman"/>
                <w:noProof/>
                <w:sz w:val="22"/>
                <w:lang w:val="en-GB"/>
              </w:rPr>
              <w:t xml:space="preserve">odify the IACS quality assessment rules to remove obligatory inclusion of all GSA parcels </w:t>
            </w:r>
            <w:r w:rsidR="6D744F25" w:rsidRPr="007925D3">
              <w:rPr>
                <w:rFonts w:eastAsia="Calibri" w:cs="Times New Roman"/>
                <w:noProof/>
                <w:sz w:val="22"/>
                <w:lang w:val="en-GB"/>
              </w:rPr>
              <w:t>(</w:t>
            </w:r>
            <w:r w:rsidR="38C64AB4" w:rsidRPr="007925D3">
              <w:rPr>
                <w:rFonts w:eastAsia="Calibri" w:cs="Times New Roman"/>
                <w:i/>
                <w:iCs/>
                <w:noProof/>
                <w:sz w:val="22"/>
                <w:lang w:val="en-GB"/>
              </w:rPr>
              <w:t>Art</w:t>
            </w:r>
            <w:r w:rsidR="124F9F4E" w:rsidRPr="007925D3">
              <w:rPr>
                <w:rFonts w:eastAsia="Calibri" w:cs="Times New Roman"/>
                <w:i/>
                <w:iCs/>
                <w:noProof/>
                <w:sz w:val="22"/>
                <w:lang w:val="en-GB"/>
              </w:rPr>
              <w:t>icles</w:t>
            </w:r>
            <w:r w:rsidRPr="007925D3">
              <w:rPr>
                <w:rFonts w:eastAsia="Calibri" w:cs="Times New Roman"/>
                <w:i/>
                <w:noProof/>
                <w:sz w:val="22"/>
                <w:lang w:val="en-GB"/>
              </w:rPr>
              <w:t xml:space="preserve"> 3, 4 and 5</w:t>
            </w:r>
            <w:r w:rsidRPr="007925D3">
              <w:rPr>
                <w:rFonts w:eastAsia="Calibri" w:cs="Times New Roman"/>
                <w:noProof/>
                <w:sz w:val="22"/>
                <w:lang w:val="en-GB"/>
              </w:rPr>
              <w:t xml:space="preserve"> of </w:t>
            </w:r>
            <w:r w:rsidR="008B6F95" w:rsidRPr="007925D3">
              <w:rPr>
                <w:rFonts w:eastAsia="Calibri" w:cs="Times New Roman"/>
                <w:noProof/>
                <w:sz w:val="22"/>
                <w:lang w:val="en-GB"/>
              </w:rPr>
              <w:t xml:space="preserve">Commission </w:t>
            </w:r>
            <w:r w:rsidRPr="007925D3">
              <w:rPr>
                <w:rFonts w:eastAsia="Calibri" w:cs="Times New Roman"/>
                <w:noProof/>
                <w:sz w:val="22"/>
                <w:lang w:val="en-GB"/>
              </w:rPr>
              <w:t>Implementing Regulation (EU) 2022/1172</w:t>
            </w:r>
            <w:r w:rsidR="3194CD4F" w:rsidRPr="007925D3">
              <w:rPr>
                <w:rFonts w:eastAsia="Calibri" w:cs="Times New Roman"/>
                <w:noProof/>
                <w:sz w:val="22"/>
                <w:lang w:val="en-GB"/>
              </w:rPr>
              <w:t>)</w:t>
            </w:r>
            <w:r w:rsidR="38C64AB4" w:rsidRPr="007925D3">
              <w:rPr>
                <w:rFonts w:eastAsia="Calibri" w:cs="Times New Roman"/>
                <w:noProof/>
                <w:sz w:val="22"/>
                <w:lang w:val="en-GB"/>
              </w:rPr>
              <w:t>.</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9AAF7" w14:textId="77777777" w:rsidR="00872C68" w:rsidRPr="00B57B13" w:rsidRDefault="00872C68" w:rsidP="00732505">
            <w:pPr>
              <w:spacing w:after="60" w:line="259" w:lineRule="auto"/>
              <w:jc w:val="center"/>
              <w:rPr>
                <w:rFonts w:eastAsia="MS Gothic" w:cs="Times New Roman"/>
                <w:b/>
                <w:noProof/>
                <w:color w:val="0033CC"/>
                <w:sz w:val="22"/>
                <w:lang w:val="en-GB"/>
              </w:rPr>
            </w:pPr>
            <w:r w:rsidRPr="00B57B13">
              <w:rPr>
                <w:rFonts w:eastAsia="MS Gothic" w:cs="Times New Roman"/>
                <w:b/>
                <w:noProof/>
                <w:color w:val="0033CC"/>
                <w:sz w:val="22"/>
                <w:lang w:val="en-GB"/>
              </w:rPr>
              <w:t>BG</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09A67" w14:textId="7777777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not taken up. Fair treatment of farmers, impartiality and reliability of the quality assessment requires the sampling of the whole population.</w:t>
            </w:r>
          </w:p>
        </w:tc>
      </w:tr>
      <w:tr w:rsidR="003D4B2D" w:rsidRPr="00BB5286" w14:paraId="3C5B72D9"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4160D" w14:textId="77777777" w:rsidR="00872C68" w:rsidRPr="00BB5286" w:rsidRDefault="00872C68" w:rsidP="00732505">
            <w:pPr>
              <w:spacing w:after="60" w:line="259" w:lineRule="auto"/>
              <w:jc w:val="center"/>
              <w:rPr>
                <w:rFonts w:eastAsia="Calibri" w:cs="Times New Roman"/>
                <w:b/>
                <w:noProof/>
                <w:sz w:val="22"/>
                <w:lang w:val="en-GB"/>
              </w:rPr>
            </w:pPr>
            <w:r w:rsidRPr="00BB5286">
              <w:rPr>
                <w:rFonts w:eastAsia="Calibri" w:cs="Times New Roman"/>
                <w:b/>
                <w:bCs/>
                <w:noProof/>
                <w:sz w:val="22"/>
                <w:lang w:val="en-GB"/>
              </w:rPr>
              <w:t>60</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ECB76" w14:textId="77777777" w:rsidR="00872C68" w:rsidRPr="00AE4510" w:rsidRDefault="00872C68" w:rsidP="00732505">
            <w:pPr>
              <w:spacing w:after="60" w:line="259" w:lineRule="auto"/>
              <w:jc w:val="both"/>
              <w:rPr>
                <w:rFonts w:eastAsia="Calibri" w:cs="Times New Roman"/>
                <w:noProof/>
                <w:sz w:val="22"/>
                <w:lang w:val="en-GB"/>
              </w:rPr>
            </w:pPr>
            <w:r w:rsidRPr="007925D3">
              <w:rPr>
                <w:rFonts w:eastAsia="Calibri" w:cs="Times New Roman"/>
                <w:b/>
                <w:noProof/>
                <w:sz w:val="22"/>
                <w:lang w:val="en-GB"/>
              </w:rPr>
              <w:t>Scope:</w:t>
            </w:r>
            <w:r w:rsidRPr="007925D3">
              <w:rPr>
                <w:rFonts w:eastAsia="Calibri" w:cs="Times New Roman"/>
                <w:noProof/>
                <w:sz w:val="22"/>
                <w:lang w:val="en-GB"/>
              </w:rPr>
              <w:t xml:space="preserve"> IACS quality assessment – samples only at intervention level.</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0466F" w14:textId="77777777" w:rsidR="00872C68" w:rsidRPr="00AE4510" w:rsidRDefault="00872C68" w:rsidP="00732505">
            <w:pPr>
              <w:spacing w:after="60" w:line="259" w:lineRule="auto"/>
              <w:jc w:val="center"/>
              <w:rPr>
                <w:rFonts w:eastAsia="MS Gothic" w:cs="Times New Roman"/>
                <w:b/>
                <w:noProof/>
                <w:sz w:val="22"/>
                <w:lang w:val="en-GB"/>
              </w:rPr>
            </w:pPr>
            <w:r w:rsidRPr="00B57B13">
              <w:rPr>
                <w:rFonts w:eastAsia="MS Gothic" w:cs="Times New Roman"/>
                <w:b/>
                <w:noProof/>
                <w:color w:val="0033CC"/>
                <w:sz w:val="22"/>
                <w:lang w:val="en-GB"/>
              </w:rPr>
              <w:t>DE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ADE9F" w14:textId="0F035252"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Fair treatment of farmers, impartiality and reliability of the quality assessment requires the sampling at level of Unit Amounts or Group of Unit Amounts with similar eligibility conditions </w:t>
            </w:r>
            <w:r w:rsidR="0093411D" w:rsidRPr="00BB5286">
              <w:rPr>
                <w:rFonts w:eastAsia="Calibri" w:cs="Times New Roman"/>
                <w:noProof/>
                <w:sz w:val="22"/>
                <w:lang w:val="en-GB"/>
              </w:rPr>
              <w:t xml:space="preserve">to </w:t>
            </w:r>
            <w:r w:rsidRPr="00BB5286">
              <w:rPr>
                <w:rFonts w:eastAsia="Calibri" w:cs="Times New Roman"/>
                <w:noProof/>
                <w:sz w:val="22"/>
                <w:lang w:val="en-GB"/>
              </w:rPr>
              <w:t xml:space="preserve">the whole population. IACS </w:t>
            </w:r>
            <w:r w:rsidR="0093411D" w:rsidRPr="00BB5286">
              <w:rPr>
                <w:rFonts w:eastAsia="Calibri" w:cs="Times New Roman"/>
                <w:noProof/>
                <w:sz w:val="22"/>
                <w:lang w:val="en-GB"/>
              </w:rPr>
              <w:t>q</w:t>
            </w:r>
            <w:r w:rsidRPr="00BB5286">
              <w:rPr>
                <w:rFonts w:eastAsia="Calibri" w:cs="Times New Roman"/>
                <w:noProof/>
                <w:sz w:val="22"/>
                <w:lang w:val="en-GB"/>
              </w:rPr>
              <w:t xml:space="preserve">uality </w:t>
            </w:r>
            <w:r w:rsidR="0093411D" w:rsidRPr="00BB5286">
              <w:rPr>
                <w:rFonts w:eastAsia="Calibri" w:cs="Times New Roman"/>
                <w:noProof/>
                <w:sz w:val="22"/>
                <w:lang w:val="en-GB"/>
              </w:rPr>
              <w:t>a</w:t>
            </w:r>
            <w:r w:rsidRPr="00BB5286">
              <w:rPr>
                <w:rFonts w:eastAsia="Calibri" w:cs="Times New Roman"/>
                <w:noProof/>
                <w:sz w:val="22"/>
                <w:lang w:val="en-GB"/>
              </w:rPr>
              <w:t xml:space="preserve">ssessments ensure information about the correctness of the data provided for indicators, </w:t>
            </w:r>
            <w:r w:rsidRPr="00BB5286">
              <w:rPr>
                <w:rFonts w:eastAsia="Calibri" w:cs="Times New Roman"/>
                <w:noProof/>
                <w:sz w:val="22"/>
                <w:lang w:val="en-GB"/>
              </w:rPr>
              <w:lastRenderedPageBreak/>
              <w:t>which are reported at the level of Unit Amount, and not at the intervention level.</w:t>
            </w:r>
          </w:p>
        </w:tc>
      </w:tr>
      <w:tr w:rsidR="003D4B2D" w:rsidRPr="00BB5286" w14:paraId="2A8C6E90"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1B6B1" w14:textId="77777777" w:rsidR="00872C68" w:rsidRPr="00BB5286" w:rsidRDefault="00872C68" w:rsidP="003E7CF4">
            <w:pPr>
              <w:keepNext/>
              <w:spacing w:after="60" w:line="259" w:lineRule="auto"/>
              <w:jc w:val="center"/>
              <w:rPr>
                <w:rFonts w:eastAsia="Calibri" w:cs="Times New Roman"/>
                <w:b/>
                <w:noProof/>
                <w:sz w:val="22"/>
                <w:lang w:val="en-GB"/>
              </w:rPr>
            </w:pPr>
            <w:r w:rsidRPr="00BB5286">
              <w:rPr>
                <w:rFonts w:eastAsia="Calibri" w:cs="Times New Roman"/>
                <w:b/>
                <w:bCs/>
                <w:noProof/>
                <w:sz w:val="22"/>
                <w:lang w:val="en-GB"/>
              </w:rPr>
              <w:lastRenderedPageBreak/>
              <w:t>61</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DA5F32" w14:textId="25EA6208" w:rsidR="00872C68" w:rsidRPr="00AE4510" w:rsidRDefault="00872C68" w:rsidP="003E7CF4">
            <w:pPr>
              <w:keepNext/>
              <w:spacing w:after="60" w:line="259" w:lineRule="auto"/>
              <w:jc w:val="both"/>
              <w:rPr>
                <w:rFonts w:eastAsia="Calibri" w:cs="Times New Roman"/>
                <w:noProof/>
                <w:sz w:val="22"/>
                <w:lang w:val="en-GB"/>
              </w:rPr>
            </w:pPr>
            <w:r w:rsidRPr="007925D3">
              <w:rPr>
                <w:rFonts w:eastAsia="Calibri" w:cs="Times New Roman"/>
                <w:b/>
                <w:noProof/>
                <w:sz w:val="22"/>
                <w:lang w:val="en-GB"/>
              </w:rPr>
              <w:t>Scope:</w:t>
            </w:r>
            <w:r w:rsidRPr="007925D3">
              <w:rPr>
                <w:rFonts w:eastAsia="Calibri" w:cs="Times New Roman"/>
                <w:noProof/>
                <w:sz w:val="22"/>
                <w:lang w:val="en-GB"/>
              </w:rPr>
              <w:t xml:space="preserve"> IACS quality assessment should be limited to the effectiveness of this system – exclude information related to indicators</w:t>
            </w:r>
            <w:r w:rsidR="7997AC13" w:rsidRPr="007925D3">
              <w:rPr>
                <w:rFonts w:eastAsia="Calibri" w:cs="Times New Roman"/>
                <w:noProof/>
                <w:sz w:val="22"/>
                <w:lang w:val="en-GB"/>
              </w:rPr>
              <w:t xml:space="preserve"> (</w:t>
            </w:r>
            <w:r w:rsidR="38C64AB4" w:rsidRPr="007925D3">
              <w:rPr>
                <w:rFonts w:eastAsia="Calibri" w:cs="Times New Roman"/>
                <w:i/>
                <w:iCs/>
                <w:noProof/>
                <w:sz w:val="22"/>
                <w:lang w:val="en-GB"/>
              </w:rPr>
              <w:t>Ar</w:t>
            </w:r>
            <w:r w:rsidR="002D44A2" w:rsidRPr="007925D3">
              <w:rPr>
                <w:rFonts w:eastAsia="Calibri" w:cs="Times New Roman"/>
                <w:i/>
                <w:iCs/>
                <w:noProof/>
                <w:sz w:val="22"/>
                <w:lang w:val="en-GB"/>
              </w:rPr>
              <w:t>t</w:t>
            </w:r>
            <w:r w:rsidR="6A129D5F" w:rsidRPr="007925D3">
              <w:rPr>
                <w:rFonts w:eastAsia="Calibri" w:cs="Times New Roman"/>
                <w:i/>
                <w:iCs/>
                <w:noProof/>
                <w:sz w:val="22"/>
                <w:lang w:val="en-GB"/>
              </w:rPr>
              <w:t>icle</w:t>
            </w:r>
            <w:r w:rsidRPr="007925D3">
              <w:rPr>
                <w:rFonts w:eastAsia="Calibri" w:cs="Times New Roman"/>
                <w:i/>
                <w:noProof/>
                <w:sz w:val="22"/>
                <w:lang w:val="en-GB"/>
              </w:rPr>
              <w:t xml:space="preserve"> 5(1), (2) and (5</w:t>
            </w:r>
            <w:r w:rsidR="38C64AB4" w:rsidRPr="007925D3">
              <w:rPr>
                <w:rFonts w:eastAsia="Calibri" w:cs="Times New Roman"/>
                <w:i/>
                <w:iCs/>
                <w:noProof/>
                <w:sz w:val="22"/>
                <w:lang w:val="en-GB"/>
              </w:rPr>
              <w:t>)</w:t>
            </w:r>
            <w:r w:rsidR="5E6CB39D" w:rsidRPr="007925D3">
              <w:rPr>
                <w:rFonts w:eastAsia="Calibri" w:cs="Times New Roman"/>
                <w:noProof/>
                <w:sz w:val="22"/>
                <w:lang w:val="en-GB"/>
              </w:rPr>
              <w:t xml:space="preserve"> of </w:t>
            </w:r>
            <w:r w:rsidR="00D2071B" w:rsidRPr="007925D3">
              <w:rPr>
                <w:rFonts w:eastAsia="Calibri" w:cs="Times New Roman"/>
                <w:noProof/>
                <w:sz w:val="22"/>
                <w:lang w:val="en-GB"/>
              </w:rPr>
              <w:t xml:space="preserve">Commission </w:t>
            </w:r>
            <w:r w:rsidR="5E6CB39D" w:rsidRPr="007925D3">
              <w:rPr>
                <w:rFonts w:eastAsia="Calibri" w:cs="Times New Roman"/>
                <w:noProof/>
                <w:sz w:val="22"/>
                <w:lang w:val="en-GB"/>
              </w:rPr>
              <w:t>Delegated Regulation (EU) 2022/1172</w:t>
            </w:r>
            <w:r w:rsidR="3DD14E25" w:rsidRPr="007925D3">
              <w:rPr>
                <w:rFonts w:eastAsia="Calibri" w:cs="Times New Roman"/>
                <w:noProof/>
                <w:sz w:val="22"/>
                <w:lang w:val="en-GB"/>
              </w:rPr>
              <w:t>)</w:t>
            </w:r>
            <w:r w:rsidR="38C64AB4" w:rsidRPr="007925D3">
              <w:rPr>
                <w:rFonts w:eastAsia="Calibri" w:cs="Times New Roman"/>
                <w:i/>
                <w:iCs/>
                <w:noProof/>
                <w:sz w:val="22"/>
                <w:lang w:val="en-GB"/>
              </w:rPr>
              <w:t>.</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2D229" w14:textId="77777777" w:rsidR="00872C68" w:rsidRPr="00BB5286" w:rsidRDefault="00872C68" w:rsidP="003E7CF4">
            <w:pPr>
              <w:keepNext/>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5564C" w14:textId="7EB9E81F" w:rsidR="00872C68" w:rsidRPr="00BB5286" w:rsidRDefault="00872C68" w:rsidP="003E7CF4">
            <w:pPr>
              <w:keepNext/>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Within the simplification package, the Commission revised the </w:t>
            </w:r>
            <w:r w:rsidR="00AF7B1A" w:rsidRPr="00BB5286">
              <w:rPr>
                <w:rFonts w:eastAsia="Calibri" w:cs="Times New Roman"/>
                <w:noProof/>
                <w:sz w:val="22"/>
                <w:lang w:val="en-GB"/>
              </w:rPr>
              <w:t>EU</w:t>
            </w:r>
            <w:r w:rsidRPr="00BB5286">
              <w:rPr>
                <w:rFonts w:eastAsia="Calibri" w:cs="Times New Roman"/>
                <w:noProof/>
                <w:sz w:val="22"/>
                <w:lang w:val="en-GB"/>
              </w:rPr>
              <w:t xml:space="preserve">-level methodology, in which the AMS methodology was included, allowing reduction of </w:t>
            </w:r>
            <w:r w:rsidR="0093411D" w:rsidRPr="00BB5286">
              <w:rPr>
                <w:rFonts w:eastAsia="Calibri" w:cs="Times New Roman"/>
                <w:noProof/>
                <w:sz w:val="22"/>
                <w:lang w:val="en-GB"/>
              </w:rPr>
              <w:t xml:space="preserve">the </w:t>
            </w:r>
            <w:r w:rsidRPr="00BB5286">
              <w:rPr>
                <w:rFonts w:eastAsia="Calibri" w:cs="Times New Roman"/>
                <w:noProof/>
                <w:sz w:val="22"/>
                <w:lang w:val="en-GB"/>
              </w:rPr>
              <w:t xml:space="preserve">control burden under </w:t>
            </w:r>
            <w:r w:rsidR="0093411D" w:rsidRPr="00BB5286">
              <w:rPr>
                <w:rFonts w:eastAsia="Calibri" w:cs="Times New Roman"/>
                <w:noProof/>
                <w:sz w:val="22"/>
                <w:lang w:val="en-GB"/>
              </w:rPr>
              <w:t xml:space="preserve">the </w:t>
            </w:r>
            <w:r w:rsidRPr="00BB5286">
              <w:rPr>
                <w:rFonts w:eastAsia="Calibri" w:cs="Times New Roman"/>
                <w:noProof/>
                <w:sz w:val="22"/>
                <w:lang w:val="en-GB"/>
              </w:rPr>
              <w:t xml:space="preserve">AMS </w:t>
            </w:r>
            <w:r w:rsidR="0093411D" w:rsidRPr="00BB5286">
              <w:rPr>
                <w:rFonts w:eastAsia="Calibri" w:cs="Times New Roman"/>
                <w:noProof/>
                <w:sz w:val="22"/>
                <w:lang w:val="en-GB"/>
              </w:rPr>
              <w:t>q</w:t>
            </w:r>
            <w:r w:rsidRPr="00BB5286">
              <w:rPr>
                <w:rFonts w:eastAsia="Calibri" w:cs="Times New Roman"/>
                <w:noProof/>
                <w:sz w:val="22"/>
                <w:lang w:val="en-GB"/>
              </w:rPr>
              <w:t xml:space="preserve">uality </w:t>
            </w:r>
            <w:r w:rsidR="0093411D" w:rsidRPr="00BB5286">
              <w:rPr>
                <w:rFonts w:eastAsia="Calibri" w:cs="Times New Roman"/>
                <w:noProof/>
                <w:sz w:val="22"/>
                <w:lang w:val="en-GB"/>
              </w:rPr>
              <w:t>a</w:t>
            </w:r>
            <w:r w:rsidRPr="00BB5286">
              <w:rPr>
                <w:rFonts w:eastAsia="Calibri" w:cs="Times New Roman"/>
                <w:noProof/>
                <w:sz w:val="22"/>
                <w:lang w:val="en-GB"/>
              </w:rPr>
              <w:t>ssessment. </w:t>
            </w:r>
          </w:p>
        </w:tc>
      </w:tr>
      <w:tr w:rsidR="003D4B2D" w:rsidRPr="00BB5286" w14:paraId="6287BE8F"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A52B1" w14:textId="77777777" w:rsidR="00872C68" w:rsidRPr="00BB5286" w:rsidRDefault="00872C68" w:rsidP="00732505">
            <w:pPr>
              <w:spacing w:after="60" w:line="259" w:lineRule="auto"/>
              <w:jc w:val="center"/>
              <w:rPr>
                <w:rFonts w:eastAsia="Calibri" w:cs="Times New Roman"/>
                <w:b/>
                <w:noProof/>
                <w:sz w:val="22"/>
                <w:lang w:val="en-GB"/>
              </w:rPr>
            </w:pPr>
            <w:r w:rsidRPr="00BB5286">
              <w:rPr>
                <w:rFonts w:eastAsia="Calibri" w:cs="Times New Roman"/>
                <w:b/>
                <w:bCs/>
                <w:noProof/>
                <w:sz w:val="22"/>
                <w:lang w:val="en-GB"/>
              </w:rPr>
              <w:t>62</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33BF9" w14:textId="3F130001" w:rsidR="00872C68" w:rsidRPr="007925D3" w:rsidRDefault="00872C68" w:rsidP="00732505">
            <w:pPr>
              <w:spacing w:after="60" w:line="259" w:lineRule="auto"/>
              <w:jc w:val="both"/>
              <w:rPr>
                <w:rFonts w:eastAsia="Calibri" w:cs="Times New Roman"/>
                <w:noProof/>
                <w:sz w:val="22"/>
                <w:lang w:val="en-GB"/>
              </w:rPr>
            </w:pPr>
            <w:r w:rsidRPr="007925D3">
              <w:rPr>
                <w:rFonts w:eastAsia="Calibri" w:cs="Times New Roman"/>
                <w:b/>
                <w:noProof/>
                <w:sz w:val="22"/>
                <w:lang w:val="en-GB"/>
              </w:rPr>
              <w:t>Scope:</w:t>
            </w:r>
            <w:r w:rsidRPr="007925D3">
              <w:rPr>
                <w:rFonts w:eastAsia="Calibri" w:cs="Times New Roman"/>
                <w:noProof/>
                <w:sz w:val="22"/>
                <w:lang w:val="en-GB"/>
              </w:rPr>
              <w:t xml:space="preserve"> </w:t>
            </w:r>
            <w:r w:rsidR="6F5BE0B4" w:rsidRPr="007925D3">
              <w:rPr>
                <w:rFonts w:eastAsia="Calibri" w:cs="Times New Roman"/>
                <w:noProof/>
                <w:sz w:val="22"/>
                <w:lang w:val="en-GB"/>
              </w:rPr>
              <w:t>g</w:t>
            </w:r>
            <w:r w:rsidR="38C64AB4" w:rsidRPr="007925D3">
              <w:rPr>
                <w:rFonts w:eastAsia="Calibri" w:cs="Times New Roman"/>
                <w:noProof/>
                <w:sz w:val="22"/>
                <w:lang w:val="en-GB"/>
              </w:rPr>
              <w:t xml:space="preserve">eospatial </w:t>
            </w:r>
            <w:r w:rsidR="77F866E3" w:rsidRPr="007925D3">
              <w:rPr>
                <w:rFonts w:eastAsia="Calibri" w:cs="Times New Roman"/>
                <w:noProof/>
                <w:sz w:val="22"/>
                <w:lang w:val="en-GB"/>
              </w:rPr>
              <w:t>a</w:t>
            </w:r>
            <w:r w:rsidR="38C64AB4" w:rsidRPr="007925D3">
              <w:rPr>
                <w:rFonts w:eastAsia="Calibri" w:cs="Times New Roman"/>
                <w:noProof/>
                <w:sz w:val="22"/>
                <w:lang w:val="en-GB"/>
              </w:rPr>
              <w:t xml:space="preserve">pplication </w:t>
            </w:r>
            <w:r w:rsidR="76874FED" w:rsidRPr="007925D3">
              <w:rPr>
                <w:rFonts w:eastAsia="Calibri" w:cs="Times New Roman"/>
                <w:noProof/>
                <w:sz w:val="22"/>
                <w:lang w:val="en-GB"/>
              </w:rPr>
              <w:t>q</w:t>
            </w:r>
            <w:r w:rsidR="38C64AB4" w:rsidRPr="007925D3">
              <w:rPr>
                <w:rFonts w:eastAsia="Calibri" w:cs="Times New Roman"/>
                <w:noProof/>
                <w:sz w:val="22"/>
                <w:lang w:val="en-GB"/>
              </w:rPr>
              <w:t xml:space="preserve">uality </w:t>
            </w:r>
            <w:r w:rsidR="75F1B154" w:rsidRPr="007925D3">
              <w:rPr>
                <w:rFonts w:eastAsia="Calibri" w:cs="Times New Roman"/>
                <w:noProof/>
                <w:sz w:val="22"/>
                <w:lang w:val="en-GB"/>
              </w:rPr>
              <w:t>a</w:t>
            </w:r>
            <w:r w:rsidRPr="007925D3">
              <w:rPr>
                <w:rFonts w:eastAsia="Calibri" w:cs="Times New Roman"/>
                <w:noProof/>
                <w:sz w:val="22"/>
                <w:lang w:val="en-GB"/>
              </w:rPr>
              <w:t>ssessment - area measurement should only be done on parcel</w:t>
            </w:r>
            <w:r w:rsidR="0093411D" w:rsidRPr="007925D3">
              <w:rPr>
                <w:rFonts w:eastAsia="Calibri" w:cs="Times New Roman"/>
                <w:noProof/>
                <w:sz w:val="22"/>
                <w:lang w:val="en-GB"/>
              </w:rPr>
              <w:t>s</w:t>
            </w:r>
            <w:r w:rsidRPr="007925D3">
              <w:rPr>
                <w:rFonts w:eastAsia="Calibri" w:cs="Times New Roman"/>
                <w:noProof/>
                <w:sz w:val="22"/>
                <w:lang w:val="en-GB"/>
              </w:rPr>
              <w:t xml:space="preserve"> covered by VHR imagery provided by the EU/Commission.</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099F8"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FA91E" w14:textId="69C6FBEA"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w:t>
            </w:r>
            <w:r w:rsidR="00B61045" w:rsidRPr="00BB5286">
              <w:rPr>
                <w:rFonts w:eastAsia="Calibri" w:cs="Times New Roman"/>
                <w:noProof/>
                <w:sz w:val="22"/>
                <w:lang w:val="en-GB"/>
              </w:rPr>
              <w:t>q</w:t>
            </w:r>
            <w:r w:rsidRPr="00BB5286">
              <w:rPr>
                <w:rFonts w:eastAsia="Calibri" w:cs="Times New Roman"/>
                <w:noProof/>
                <w:sz w:val="22"/>
                <w:lang w:val="en-GB"/>
              </w:rPr>
              <w:t xml:space="preserve">uality </w:t>
            </w:r>
            <w:r w:rsidR="00B61045" w:rsidRPr="00BB5286">
              <w:rPr>
                <w:rFonts w:eastAsia="Calibri" w:cs="Times New Roman"/>
                <w:noProof/>
                <w:sz w:val="22"/>
                <w:lang w:val="en-GB"/>
              </w:rPr>
              <w:t>a</w:t>
            </w:r>
            <w:r w:rsidRPr="00BB5286">
              <w:rPr>
                <w:rFonts w:eastAsia="Calibri" w:cs="Times New Roman"/>
                <w:noProof/>
                <w:sz w:val="22"/>
                <w:lang w:val="en-GB"/>
              </w:rPr>
              <w:t>ssessment methodology already considers the location of the satellite imagery and focuses on these parcels. It is noted that not all Member States request VHR imagery.</w:t>
            </w:r>
          </w:p>
        </w:tc>
      </w:tr>
      <w:tr w:rsidR="003D4B2D" w:rsidRPr="00BB5286" w14:paraId="543848F2"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66BEA"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63</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69C10" w14:textId="4EBDA3AD" w:rsidR="00872C68" w:rsidRPr="007925D3" w:rsidRDefault="00872C68" w:rsidP="00732505">
            <w:pPr>
              <w:spacing w:after="60" w:line="259" w:lineRule="auto"/>
              <w:jc w:val="both"/>
              <w:rPr>
                <w:rFonts w:eastAsia="Calibri" w:cs="Times New Roman"/>
                <w:i/>
                <w:noProof/>
                <w:sz w:val="22"/>
                <w:lang w:val="en-GB"/>
              </w:rPr>
            </w:pPr>
            <w:r w:rsidRPr="007925D3">
              <w:rPr>
                <w:rFonts w:eastAsia="Calibri" w:cs="Times New Roman"/>
                <w:b/>
                <w:noProof/>
                <w:sz w:val="22"/>
                <w:lang w:val="en-GB"/>
              </w:rPr>
              <w:t>Scope:</w:t>
            </w:r>
            <w:r w:rsidRPr="007925D3">
              <w:rPr>
                <w:rFonts w:eastAsia="Calibri" w:cs="Times New Roman"/>
                <w:noProof/>
                <w:sz w:val="22"/>
                <w:lang w:val="en-GB"/>
              </w:rPr>
              <w:t xml:space="preserve"> </w:t>
            </w:r>
            <w:r w:rsidR="47454977" w:rsidRPr="007925D3">
              <w:rPr>
                <w:rFonts w:eastAsia="Calibri" w:cs="Times New Roman"/>
                <w:noProof/>
                <w:sz w:val="22"/>
                <w:lang w:val="en-GB"/>
              </w:rPr>
              <w:t>c</w:t>
            </w:r>
            <w:r w:rsidRPr="007925D3">
              <w:rPr>
                <w:rFonts w:eastAsia="Calibri" w:cs="Times New Roman"/>
                <w:noProof/>
                <w:sz w:val="22"/>
                <w:lang w:val="en-GB"/>
              </w:rPr>
              <w:t>all to limit the AMS quality assessment only to monitorable requirements. Non-monitorable and administrative checks should be left outside the scope of AMS quality assessment</w:t>
            </w:r>
            <w:r w:rsidR="223533E8" w:rsidRPr="007925D3">
              <w:rPr>
                <w:rFonts w:eastAsia="Calibri" w:cs="Times New Roman"/>
                <w:noProof/>
                <w:sz w:val="22"/>
                <w:lang w:val="en-GB"/>
              </w:rPr>
              <w:t>(</w:t>
            </w:r>
            <w:r w:rsidR="38C64AB4" w:rsidRPr="007925D3">
              <w:rPr>
                <w:rFonts w:eastAsia="Calibri" w:cs="Times New Roman"/>
                <w:i/>
                <w:iCs/>
                <w:noProof/>
                <w:sz w:val="22"/>
                <w:lang w:val="en-GB"/>
              </w:rPr>
              <w:t>Art</w:t>
            </w:r>
            <w:r w:rsidR="26F4419E" w:rsidRPr="007925D3">
              <w:rPr>
                <w:rFonts w:eastAsia="Calibri" w:cs="Times New Roman"/>
                <w:i/>
                <w:iCs/>
                <w:noProof/>
                <w:sz w:val="22"/>
                <w:lang w:val="en-GB"/>
              </w:rPr>
              <w:t>icle</w:t>
            </w:r>
            <w:r w:rsidRPr="007925D3">
              <w:rPr>
                <w:rFonts w:eastAsia="Calibri" w:cs="Times New Roman"/>
                <w:i/>
                <w:noProof/>
                <w:sz w:val="22"/>
                <w:lang w:val="en-GB"/>
              </w:rPr>
              <w:t xml:space="preserve"> 5(5) </w:t>
            </w:r>
            <w:r w:rsidRPr="007925D3">
              <w:rPr>
                <w:rFonts w:eastAsia="Calibri" w:cs="Times New Roman"/>
                <w:noProof/>
                <w:sz w:val="22"/>
                <w:lang w:val="en-GB"/>
              </w:rPr>
              <w:t xml:space="preserve">of </w:t>
            </w:r>
            <w:r w:rsidR="00D2071B" w:rsidRPr="007925D3">
              <w:rPr>
                <w:rFonts w:eastAsia="Calibri" w:cs="Times New Roman"/>
                <w:noProof/>
                <w:sz w:val="22"/>
                <w:lang w:val="en-GB"/>
              </w:rPr>
              <w:t xml:space="preserve">Commission </w:t>
            </w:r>
            <w:r w:rsidRPr="007925D3">
              <w:rPr>
                <w:rFonts w:eastAsia="Calibri" w:cs="Times New Roman"/>
                <w:noProof/>
                <w:sz w:val="22"/>
                <w:lang w:val="en-GB"/>
              </w:rPr>
              <w:t>Delegated Regulation (EU)2022/1772</w:t>
            </w:r>
            <w:r w:rsidR="5BD4B07A" w:rsidRPr="007925D3">
              <w:rPr>
                <w:rFonts w:eastAsia="Calibri" w:cs="Times New Roman"/>
                <w:noProof/>
                <w:sz w:val="22"/>
                <w:lang w:val="en-GB"/>
              </w:rPr>
              <w:t>)</w:t>
            </w:r>
            <w:r w:rsidR="38C64AB4" w:rsidRPr="007925D3">
              <w:rPr>
                <w:rFonts w:eastAsia="Calibri" w:cs="Times New Roman"/>
                <w:i/>
                <w:noProof/>
                <w:sz w:val="22"/>
                <w:lang w:val="en-GB"/>
              </w:rPr>
              <w:t>.</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E0A86"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6820F" w14:textId="77349CA5" w:rsidR="00872C68" w:rsidRPr="00BB5286" w:rsidRDefault="00872C68" w:rsidP="00732505">
            <w:pPr>
              <w:spacing w:after="60" w:line="259" w:lineRule="auto"/>
              <w:jc w:val="both"/>
              <w:rPr>
                <w:rFonts w:eastAsia="Calibri" w:cs="Times New Roman"/>
                <w:noProof/>
                <w:color w:val="750B1C"/>
                <w:sz w:val="22"/>
                <w:lang w:val="en-GB"/>
              </w:rPr>
            </w:pPr>
            <w:r w:rsidRPr="00BB5286">
              <w:rPr>
                <w:rFonts w:eastAsia="Calibri" w:cs="Times New Roman"/>
                <w:noProof/>
                <w:sz w:val="22"/>
                <w:lang w:val="en-GB"/>
              </w:rPr>
              <w:t>The suggestion</w:t>
            </w:r>
            <w:r w:rsidRPr="00BB5286" w:rsidDel="007B25D5">
              <w:rPr>
                <w:rFonts w:eastAsia="Calibri" w:cs="Times New Roman"/>
                <w:noProof/>
                <w:sz w:val="22"/>
                <w:lang w:val="en-GB"/>
              </w:rPr>
              <w:t xml:space="preserve"> </w:t>
            </w:r>
            <w:r w:rsidRPr="00BB5286">
              <w:rPr>
                <w:rFonts w:eastAsia="Calibri" w:cs="Times New Roman"/>
                <w:noProof/>
                <w:sz w:val="22"/>
                <w:lang w:val="en-GB"/>
              </w:rPr>
              <w:t xml:space="preserve">was not taken up. The sample should be drawn from the whole population. Such </w:t>
            </w:r>
            <w:r w:rsidR="00B61045" w:rsidRPr="00BB5286">
              <w:rPr>
                <w:rFonts w:eastAsia="Calibri" w:cs="Times New Roman"/>
                <w:noProof/>
                <w:sz w:val="22"/>
                <w:lang w:val="en-GB"/>
              </w:rPr>
              <w:t xml:space="preserve">a </w:t>
            </w:r>
            <w:r w:rsidRPr="00BB5286">
              <w:rPr>
                <w:rFonts w:eastAsia="Calibri" w:cs="Times New Roman"/>
                <w:noProof/>
                <w:sz w:val="22"/>
                <w:lang w:val="en-GB"/>
              </w:rPr>
              <w:t xml:space="preserve">change would heavily impact the reliability of the </w:t>
            </w:r>
            <w:r w:rsidR="00B61045" w:rsidRPr="00BB5286">
              <w:rPr>
                <w:rFonts w:eastAsia="Calibri" w:cs="Times New Roman"/>
                <w:noProof/>
                <w:sz w:val="22"/>
                <w:lang w:val="en-GB"/>
              </w:rPr>
              <w:t>q</w:t>
            </w:r>
            <w:r w:rsidRPr="00BB5286">
              <w:rPr>
                <w:rFonts w:eastAsia="Calibri" w:cs="Times New Roman"/>
                <w:noProof/>
                <w:sz w:val="22"/>
                <w:lang w:val="en-GB"/>
              </w:rPr>
              <w:t xml:space="preserve">uality </w:t>
            </w:r>
            <w:r w:rsidR="00B61045" w:rsidRPr="00BB5286">
              <w:rPr>
                <w:rFonts w:eastAsia="Calibri" w:cs="Times New Roman"/>
                <w:noProof/>
                <w:sz w:val="22"/>
                <w:lang w:val="en-GB"/>
              </w:rPr>
              <w:t>a</w:t>
            </w:r>
            <w:r w:rsidRPr="00BB5286">
              <w:rPr>
                <w:rFonts w:eastAsia="Calibri" w:cs="Times New Roman"/>
                <w:noProof/>
                <w:sz w:val="22"/>
                <w:lang w:val="en-GB"/>
              </w:rPr>
              <w:t xml:space="preserve">ssessment and would also limit to farmers the profits of the preventive approach embedded in the AMS. The latest revision of the </w:t>
            </w:r>
            <w:r w:rsidR="00AF7B1A" w:rsidRPr="00BB5286">
              <w:rPr>
                <w:rFonts w:eastAsia="Calibri" w:cs="Times New Roman"/>
                <w:noProof/>
                <w:sz w:val="22"/>
                <w:lang w:val="en-GB"/>
              </w:rPr>
              <w:t>EU</w:t>
            </w:r>
            <w:r w:rsidRPr="00BB5286">
              <w:rPr>
                <w:rFonts w:eastAsia="Calibri" w:cs="Times New Roman"/>
                <w:noProof/>
                <w:sz w:val="22"/>
                <w:lang w:val="en-GB"/>
              </w:rPr>
              <w:t xml:space="preserve">-level </w:t>
            </w:r>
            <w:r w:rsidR="00B61045" w:rsidRPr="00BB5286">
              <w:rPr>
                <w:rFonts w:eastAsia="Calibri" w:cs="Times New Roman"/>
                <w:noProof/>
                <w:sz w:val="22"/>
                <w:lang w:val="en-GB"/>
              </w:rPr>
              <w:t>m</w:t>
            </w:r>
            <w:r w:rsidRPr="00BB5286">
              <w:rPr>
                <w:rFonts w:eastAsia="Calibri" w:cs="Times New Roman"/>
                <w:noProof/>
                <w:sz w:val="22"/>
                <w:lang w:val="en-GB"/>
              </w:rPr>
              <w:t>ethodology for the IACS quality assessments already takes into account eligibility conditions that can be verified via administrative checks, excluding them from the quality assessment exercise.</w:t>
            </w:r>
          </w:p>
        </w:tc>
      </w:tr>
      <w:tr w:rsidR="003D4B2D" w:rsidRPr="00BB5286" w14:paraId="2CCFA117" w14:textId="77777777" w:rsidTr="00A27F70">
        <w:trPr>
          <w:trHeight w:val="30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36168"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64</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C7F11" w14:textId="0E2ED04A" w:rsidR="00872C68" w:rsidRPr="00AE4510" w:rsidRDefault="00872C68" w:rsidP="00732505">
            <w:pPr>
              <w:spacing w:after="60" w:line="259" w:lineRule="auto"/>
              <w:jc w:val="both"/>
              <w:rPr>
                <w:rFonts w:eastAsia="Calibri" w:cs="Times New Roman"/>
                <w:noProof/>
                <w:sz w:val="22"/>
                <w:lang w:val="en-GB"/>
              </w:rPr>
            </w:pPr>
            <w:r w:rsidRPr="007925D3">
              <w:rPr>
                <w:rFonts w:eastAsia="Calibri" w:cs="Times New Roman"/>
                <w:b/>
                <w:noProof/>
                <w:sz w:val="22"/>
                <w:lang w:val="en-GB"/>
              </w:rPr>
              <w:t>Scope:</w:t>
            </w:r>
            <w:r w:rsidRPr="007925D3">
              <w:rPr>
                <w:rFonts w:eastAsia="Calibri" w:cs="Times New Roman"/>
                <w:noProof/>
                <w:sz w:val="22"/>
                <w:lang w:val="en-GB"/>
              </w:rPr>
              <w:t xml:space="preserve"> </w:t>
            </w:r>
            <w:r w:rsidR="783B5FE0" w:rsidRPr="007925D3">
              <w:rPr>
                <w:rFonts w:eastAsia="Calibri" w:cs="Times New Roman"/>
                <w:noProof/>
                <w:sz w:val="22"/>
                <w:lang w:val="en-GB"/>
              </w:rPr>
              <w:t>t</w:t>
            </w:r>
            <w:r w:rsidRPr="007925D3">
              <w:rPr>
                <w:rFonts w:eastAsia="Calibri" w:cs="Times New Roman"/>
                <w:noProof/>
                <w:sz w:val="22"/>
                <w:lang w:val="en-GB"/>
              </w:rPr>
              <w:t>he AMS</w:t>
            </w:r>
            <w:r w:rsidR="00B61045" w:rsidRPr="007925D3">
              <w:rPr>
                <w:rFonts w:eastAsia="Calibri" w:cs="Times New Roman"/>
                <w:noProof/>
                <w:sz w:val="22"/>
                <w:lang w:val="en-GB"/>
              </w:rPr>
              <w:t xml:space="preserve"> </w:t>
            </w:r>
            <w:r w:rsidRPr="007925D3">
              <w:rPr>
                <w:rFonts w:eastAsia="Calibri" w:cs="Times New Roman"/>
                <w:noProof/>
                <w:sz w:val="22"/>
                <w:lang w:val="en-GB"/>
              </w:rPr>
              <w:t>quality assessment should be implemented in such a way that it only assesses the system and its functionality and does not function as a parallel control system</w:t>
            </w:r>
            <w:r w:rsidR="00B61045" w:rsidRPr="007925D3">
              <w:rPr>
                <w:rFonts w:eastAsia="Calibri" w:cs="Times New Roman"/>
                <w:noProof/>
                <w:sz w:val="22"/>
                <w:lang w:val="en-GB"/>
              </w:rPr>
              <w:t>, as is currently the case</w:t>
            </w:r>
            <w:r w:rsidRPr="007925D3">
              <w:rPr>
                <w:rFonts w:eastAsia="Calibri" w:cs="Times New Roman"/>
                <w:noProof/>
                <w:sz w:val="22"/>
                <w:lang w:val="en-GB"/>
              </w:rPr>
              <w:t xml:space="preserve">.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37010"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FI</w:t>
            </w:r>
          </w:p>
          <w:p w14:paraId="775EFB30" w14:textId="77777777" w:rsidR="00872C68" w:rsidRPr="00BB5286" w:rsidRDefault="00872C68" w:rsidP="00732505">
            <w:pPr>
              <w:spacing w:after="60" w:line="259" w:lineRule="auto"/>
              <w:jc w:val="center"/>
              <w:rPr>
                <w:rFonts w:eastAsia="MS Gothic" w:cs="Times New Roman"/>
                <w:b/>
                <w:noProof/>
                <w:color w:val="0033CC"/>
                <w:sz w:val="22"/>
                <w:lang w:val="en-GB"/>
              </w:rPr>
            </w:pPr>
          </w:p>
          <w:p w14:paraId="11D7576D"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1B529" w14:textId="6580A3AD" w:rsidR="004C5DD2" w:rsidRPr="00BB5286" w:rsidRDefault="001E7C45" w:rsidP="00CE2037">
            <w:pPr>
              <w:spacing w:after="60" w:line="259" w:lineRule="auto"/>
              <w:jc w:val="both"/>
              <w:rPr>
                <w:rFonts w:eastAsia="Calibri" w:cs="Times New Roman"/>
                <w:noProof/>
                <w:sz w:val="22"/>
                <w:lang w:val="en-GB"/>
              </w:rPr>
            </w:pPr>
            <w:r w:rsidRPr="00BB5286">
              <w:rPr>
                <w:rFonts w:eastAsia="MS Mincho" w:cs="Times New Roman"/>
                <w:noProof/>
                <w:sz w:val="22"/>
                <w:lang w:val="en-GB"/>
              </w:rPr>
              <w:t>The c</w:t>
            </w:r>
            <w:r w:rsidR="00872C68" w:rsidRPr="00BB5286">
              <w:rPr>
                <w:rFonts w:eastAsia="MS Mincho" w:cs="Times New Roman"/>
                <w:noProof/>
                <w:sz w:val="22"/>
                <w:lang w:val="en-GB"/>
              </w:rPr>
              <w:t xml:space="preserve">orrectness of data provided for indicators is fundamental to the performance-based approach of the </w:t>
            </w:r>
            <w:r w:rsidR="006A5D3D" w:rsidRPr="00BB5286">
              <w:rPr>
                <w:rFonts w:eastAsia="MS Mincho" w:cs="Times New Roman"/>
                <w:noProof/>
                <w:sz w:val="22"/>
                <w:lang w:val="en-GB"/>
              </w:rPr>
              <w:t>n</w:t>
            </w:r>
            <w:r w:rsidR="00872C68" w:rsidRPr="00BB5286">
              <w:rPr>
                <w:rFonts w:eastAsia="MS Mincho" w:cs="Times New Roman"/>
                <w:noProof/>
                <w:sz w:val="22"/>
                <w:lang w:val="en-GB"/>
              </w:rPr>
              <w:t xml:space="preserve">ew </w:t>
            </w:r>
            <w:r w:rsidR="006A5D3D" w:rsidRPr="00BB5286">
              <w:rPr>
                <w:rFonts w:eastAsia="MS Mincho" w:cs="Times New Roman"/>
                <w:noProof/>
                <w:sz w:val="22"/>
                <w:lang w:val="en-GB"/>
              </w:rPr>
              <w:t>d</w:t>
            </w:r>
            <w:r w:rsidR="00872C68" w:rsidRPr="00BB5286">
              <w:rPr>
                <w:rFonts w:eastAsia="MS Mincho" w:cs="Times New Roman"/>
                <w:noProof/>
                <w:sz w:val="22"/>
                <w:lang w:val="en-GB"/>
              </w:rPr>
              <w:t xml:space="preserve">elivery </w:t>
            </w:r>
            <w:r w:rsidR="006A5D3D" w:rsidRPr="00BB5286">
              <w:rPr>
                <w:rFonts w:eastAsia="MS Mincho" w:cs="Times New Roman"/>
                <w:noProof/>
                <w:sz w:val="22"/>
                <w:lang w:val="en-GB"/>
              </w:rPr>
              <w:t>m</w:t>
            </w:r>
            <w:r w:rsidR="00872C68" w:rsidRPr="00BB5286">
              <w:rPr>
                <w:rFonts w:eastAsia="MS Mincho" w:cs="Times New Roman"/>
                <w:noProof/>
                <w:sz w:val="22"/>
                <w:lang w:val="en-GB"/>
              </w:rPr>
              <w:t xml:space="preserve">odel. Hence there is </w:t>
            </w:r>
            <w:r w:rsidRPr="00BB5286">
              <w:rPr>
                <w:rFonts w:eastAsia="MS Mincho" w:cs="Times New Roman"/>
                <w:noProof/>
                <w:sz w:val="22"/>
                <w:lang w:val="en-GB"/>
              </w:rPr>
              <w:t xml:space="preserve">a </w:t>
            </w:r>
            <w:r w:rsidR="00872C68" w:rsidRPr="00BB5286">
              <w:rPr>
                <w:rFonts w:eastAsia="MS Mincho" w:cs="Times New Roman"/>
                <w:noProof/>
                <w:sz w:val="22"/>
                <w:lang w:val="en-GB"/>
              </w:rPr>
              <w:t>need for its assessment. Following its commitments within the simplification package</w:t>
            </w:r>
            <w:r w:rsidR="00872C68" w:rsidRPr="00BB5286">
              <w:rPr>
                <w:rFonts w:eastAsia="Calibri" w:cs="Times New Roman"/>
                <w:noProof/>
                <w:sz w:val="22"/>
                <w:lang w:val="en-GB"/>
              </w:rPr>
              <w:t xml:space="preserve">, the Commission revised the AMS methodology, allowing a reduction of </w:t>
            </w:r>
            <w:r w:rsidRPr="00BB5286">
              <w:rPr>
                <w:rFonts w:eastAsia="Calibri" w:cs="Times New Roman"/>
                <w:noProof/>
                <w:sz w:val="22"/>
                <w:lang w:val="en-GB"/>
              </w:rPr>
              <w:t xml:space="preserve">the </w:t>
            </w:r>
            <w:r w:rsidR="00872C68" w:rsidRPr="00BB5286">
              <w:rPr>
                <w:rFonts w:eastAsia="Calibri" w:cs="Times New Roman"/>
                <w:noProof/>
                <w:sz w:val="22"/>
                <w:lang w:val="en-GB"/>
              </w:rPr>
              <w:t xml:space="preserve">control burden under the AMS </w:t>
            </w:r>
            <w:r w:rsidRPr="00BB5286">
              <w:rPr>
                <w:rFonts w:eastAsia="Calibri" w:cs="Times New Roman"/>
                <w:noProof/>
                <w:sz w:val="22"/>
                <w:lang w:val="en-GB"/>
              </w:rPr>
              <w:t>q</w:t>
            </w:r>
            <w:r w:rsidR="00872C68" w:rsidRPr="00BB5286">
              <w:rPr>
                <w:rFonts w:eastAsia="Calibri" w:cs="Times New Roman"/>
                <w:noProof/>
                <w:sz w:val="22"/>
                <w:lang w:val="en-GB"/>
              </w:rPr>
              <w:t xml:space="preserve">uality </w:t>
            </w:r>
            <w:r w:rsidRPr="00BB5286">
              <w:rPr>
                <w:rFonts w:eastAsia="Calibri" w:cs="Times New Roman"/>
                <w:noProof/>
                <w:sz w:val="22"/>
                <w:lang w:val="en-GB"/>
              </w:rPr>
              <w:t>a</w:t>
            </w:r>
            <w:r w:rsidR="00872C68" w:rsidRPr="00BB5286">
              <w:rPr>
                <w:rFonts w:eastAsia="Calibri" w:cs="Times New Roman"/>
                <w:noProof/>
                <w:sz w:val="22"/>
                <w:lang w:val="en-GB"/>
              </w:rPr>
              <w:t xml:space="preserve">ssessment. The Commission encourages Member States not to run two parallel systems but to use the AMS and its preventive character as much as possible. However, this depends on how Member States </w:t>
            </w:r>
            <w:r w:rsidRPr="00BB5286">
              <w:rPr>
                <w:rFonts w:eastAsia="Calibri" w:cs="Times New Roman"/>
                <w:noProof/>
                <w:sz w:val="22"/>
                <w:lang w:val="en-GB"/>
              </w:rPr>
              <w:t xml:space="preserve">have </w:t>
            </w:r>
            <w:r w:rsidR="00872C68" w:rsidRPr="00BB5286">
              <w:rPr>
                <w:rFonts w:eastAsia="Calibri" w:cs="Times New Roman"/>
                <w:noProof/>
                <w:sz w:val="22"/>
                <w:lang w:val="en-GB"/>
              </w:rPr>
              <w:t xml:space="preserve">designed their intervention and their control system. </w:t>
            </w:r>
          </w:p>
        </w:tc>
      </w:tr>
    </w:tbl>
    <w:p w14:paraId="590E6917" w14:textId="77777777" w:rsidR="005A3DA9" w:rsidRDefault="005A3DA9">
      <w:pPr>
        <w:rPr>
          <w:noProof/>
        </w:rPr>
      </w:pPr>
    </w:p>
    <w:tbl>
      <w:tblPr>
        <w:tblStyle w:val="TableGrid1"/>
        <w:tblW w:w="14742" w:type="dxa"/>
        <w:tblInd w:w="-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
        <w:gridCol w:w="716"/>
        <w:gridCol w:w="5802"/>
        <w:gridCol w:w="1556"/>
        <w:gridCol w:w="6639"/>
        <w:gridCol w:w="23"/>
      </w:tblGrid>
      <w:tr w:rsidR="002E2306" w:rsidRPr="00BB5286" w14:paraId="2A9C6557" w14:textId="77777777" w:rsidTr="00A50B55">
        <w:trPr>
          <w:gridAfter w:val="1"/>
          <w:wAfter w:w="23" w:type="dxa"/>
          <w:trHeight w:val="562"/>
        </w:trPr>
        <w:tc>
          <w:tcPr>
            <w:tcW w:w="14719" w:type="dxa"/>
            <w:gridSpan w:val="5"/>
            <w:tcBorders>
              <w:top w:val="single" w:sz="4" w:space="0" w:color="auto"/>
              <w:left w:val="single" w:sz="4" w:space="0" w:color="000000" w:themeColor="text1"/>
              <w:bottom w:val="nil"/>
              <w:right w:val="single" w:sz="4" w:space="0" w:color="000000" w:themeColor="text1"/>
            </w:tcBorders>
            <w:shd w:val="clear" w:color="auto" w:fill="003399"/>
            <w:vAlign w:val="center"/>
          </w:tcPr>
          <w:p w14:paraId="170EB758" w14:textId="77777777" w:rsidR="00872C68" w:rsidRPr="00BB5286" w:rsidRDefault="00872C68" w:rsidP="00732505">
            <w:pPr>
              <w:spacing w:after="6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lastRenderedPageBreak/>
              <w:t>Controls and penalties</w:t>
            </w:r>
          </w:p>
        </w:tc>
      </w:tr>
      <w:tr w:rsidR="002E2306" w:rsidRPr="00BB5286" w14:paraId="0E90FF6D" w14:textId="77777777" w:rsidTr="00A50B55">
        <w:trPr>
          <w:gridBefore w:val="1"/>
          <w:wBefore w:w="6" w:type="dxa"/>
          <w:trHeight w:val="1195"/>
        </w:trPr>
        <w:tc>
          <w:tcPr>
            <w:tcW w:w="716" w:type="dxa"/>
            <w:tcBorders>
              <w:top w:val="nil"/>
              <w:left w:val="single" w:sz="4" w:space="0" w:color="000000" w:themeColor="text1"/>
              <w:bottom w:val="single" w:sz="4" w:space="0" w:color="000000" w:themeColor="text1"/>
              <w:right w:val="single" w:sz="4" w:space="0" w:color="000000" w:themeColor="text1"/>
            </w:tcBorders>
            <w:vAlign w:val="center"/>
          </w:tcPr>
          <w:p w14:paraId="4CE88130"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65</w:t>
            </w:r>
          </w:p>
        </w:tc>
        <w:tc>
          <w:tcPr>
            <w:tcW w:w="5802" w:type="dxa"/>
            <w:tcBorders>
              <w:top w:val="nil"/>
              <w:left w:val="single" w:sz="4" w:space="0" w:color="000000" w:themeColor="text1"/>
              <w:bottom w:val="single" w:sz="4" w:space="0" w:color="000000" w:themeColor="text1"/>
              <w:right w:val="single" w:sz="4" w:space="0" w:color="000000" w:themeColor="text1"/>
            </w:tcBorders>
            <w:vAlign w:val="center"/>
          </w:tcPr>
          <w:p w14:paraId="0EB0EC53" w14:textId="37CF23F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Simplification:</w:t>
            </w:r>
            <w:r w:rsidR="004A4B16" w:rsidRPr="00BB5286">
              <w:rPr>
                <w:rFonts w:eastAsia="Calibri" w:cs="Times New Roman"/>
                <w:noProof/>
                <w:sz w:val="22"/>
                <w:lang w:val="en-GB"/>
              </w:rPr>
              <w:t xml:space="preserve"> </w:t>
            </w:r>
            <w:r w:rsidR="2A088609" w:rsidRPr="00BB5286">
              <w:rPr>
                <w:rFonts w:eastAsia="Calibri" w:cs="Times New Roman"/>
                <w:noProof/>
                <w:sz w:val="22"/>
                <w:lang w:val="en-GB"/>
              </w:rPr>
              <w:t>o</w:t>
            </w:r>
            <w:r w:rsidRPr="00BB5286">
              <w:rPr>
                <w:rFonts w:eastAsia="Calibri" w:cs="Times New Roman"/>
                <w:noProof/>
                <w:sz w:val="22"/>
                <w:lang w:val="en-GB"/>
              </w:rPr>
              <w:t xml:space="preserve">ptimise control and monitoring procedures to reduce </w:t>
            </w:r>
            <w:r w:rsidR="00675A36" w:rsidRPr="00BB5286">
              <w:rPr>
                <w:rFonts w:eastAsia="Calibri" w:cs="Times New Roman"/>
                <w:noProof/>
                <w:sz w:val="22"/>
                <w:lang w:val="en-GB"/>
              </w:rPr>
              <w:t xml:space="preserve">the </w:t>
            </w:r>
            <w:r w:rsidRPr="00BB5286">
              <w:rPr>
                <w:rFonts w:eastAsia="Calibri" w:cs="Times New Roman"/>
                <w:noProof/>
                <w:sz w:val="22"/>
                <w:lang w:val="en-GB"/>
              </w:rPr>
              <w:t xml:space="preserve">burden on farmers, </w:t>
            </w:r>
            <w:r w:rsidR="00675A36" w:rsidRPr="00BB5286">
              <w:rPr>
                <w:rFonts w:eastAsia="Calibri" w:cs="Times New Roman"/>
                <w:noProof/>
                <w:sz w:val="22"/>
                <w:lang w:val="en-GB"/>
              </w:rPr>
              <w:t xml:space="preserve">and </w:t>
            </w:r>
            <w:r w:rsidRPr="00BB5286">
              <w:rPr>
                <w:rFonts w:eastAsia="Calibri" w:cs="Times New Roman"/>
                <w:noProof/>
                <w:sz w:val="22"/>
                <w:lang w:val="en-GB"/>
              </w:rPr>
              <w:t>to make them more proportiona</w:t>
            </w:r>
            <w:r w:rsidR="00675A36" w:rsidRPr="00BB5286">
              <w:rPr>
                <w:rFonts w:eastAsia="Calibri" w:cs="Times New Roman"/>
                <w:noProof/>
                <w:sz w:val="22"/>
                <w:lang w:val="en-GB"/>
              </w:rPr>
              <w:t>te</w:t>
            </w:r>
            <w:r w:rsidRPr="00BB5286">
              <w:rPr>
                <w:rFonts w:eastAsia="Calibri" w:cs="Times New Roman"/>
                <w:noProof/>
                <w:sz w:val="22"/>
                <w:lang w:val="en-GB"/>
              </w:rPr>
              <w:t>.</w:t>
            </w:r>
          </w:p>
        </w:tc>
        <w:tc>
          <w:tcPr>
            <w:tcW w:w="1556" w:type="dxa"/>
            <w:tcBorders>
              <w:top w:val="nil"/>
              <w:left w:val="single" w:sz="4" w:space="0" w:color="000000" w:themeColor="text1"/>
              <w:bottom w:val="single" w:sz="4" w:space="0" w:color="000000" w:themeColor="text1"/>
              <w:right w:val="single" w:sz="4" w:space="0" w:color="000000" w:themeColor="text1"/>
            </w:tcBorders>
            <w:vAlign w:val="center"/>
          </w:tcPr>
          <w:p w14:paraId="09556F9D" w14:textId="119363F1" w:rsidR="004A4B16" w:rsidRPr="00BB5286" w:rsidRDefault="00872C68" w:rsidP="00CE2037">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 FR, BE,</w:t>
            </w:r>
          </w:p>
          <w:p w14:paraId="4DB727F0"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2" w:type="dxa"/>
            <w:gridSpan w:val="2"/>
            <w:tcBorders>
              <w:top w:val="nil"/>
              <w:left w:val="single" w:sz="4" w:space="0" w:color="000000" w:themeColor="text1"/>
              <w:bottom w:val="single" w:sz="4" w:space="0" w:color="000000" w:themeColor="text1"/>
              <w:right w:val="single" w:sz="4" w:space="0" w:color="000000" w:themeColor="text1"/>
            </w:tcBorders>
            <w:vAlign w:val="center"/>
          </w:tcPr>
          <w:p w14:paraId="0683EFBE" w14:textId="7777777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Actions taken within the simplification package will help reduce the control burden. Member States already have leeway to optimise controls and monitoring.</w:t>
            </w:r>
          </w:p>
        </w:tc>
      </w:tr>
      <w:tr w:rsidR="001F253E" w:rsidRPr="00BB5286" w14:paraId="35D43BC0"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3C34C"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noProof/>
                <w:sz w:val="22"/>
                <w:lang w:val="en-GB"/>
              </w:rPr>
              <w:t>66</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83E7D" w14:textId="5E6DD7AF"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Simplification:</w:t>
            </w:r>
            <w:r w:rsidRPr="00BB5286">
              <w:rPr>
                <w:rFonts w:eastAsia="Calibri" w:cs="Times New Roman"/>
                <w:noProof/>
                <w:sz w:val="22"/>
                <w:lang w:val="en-GB"/>
              </w:rPr>
              <w:t xml:space="preserve"> </w:t>
            </w:r>
            <w:r w:rsidR="0EEBE38F" w:rsidRPr="00BB5286">
              <w:rPr>
                <w:rFonts w:eastAsia="Calibri" w:cs="Times New Roman"/>
                <w:noProof/>
                <w:sz w:val="22"/>
                <w:lang w:val="en-GB"/>
              </w:rPr>
              <w:t>r</w:t>
            </w:r>
            <w:r w:rsidRPr="00BB5286">
              <w:rPr>
                <w:rFonts w:eastAsia="Calibri" w:cs="Times New Roman"/>
                <w:noProof/>
                <w:sz w:val="22"/>
                <w:lang w:val="en-GB"/>
              </w:rPr>
              <w:t>equest to simplify the sanctions/penalty system (esp. for those that are 100% monitorable)</w:t>
            </w:r>
            <w:r w:rsidR="004C5DD2"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1E8E5"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CY</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08ED5" w14:textId="377EEA77"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design of controls and </w:t>
            </w:r>
            <w:r w:rsidR="00675A36" w:rsidRPr="00BB5286">
              <w:rPr>
                <w:rFonts w:eastAsia="Calibri" w:cs="Times New Roman"/>
                <w:noProof/>
                <w:sz w:val="22"/>
                <w:lang w:val="en-GB"/>
              </w:rPr>
              <w:t xml:space="preserve">the </w:t>
            </w:r>
            <w:r w:rsidRPr="00BB5286">
              <w:rPr>
                <w:rFonts w:eastAsia="Calibri" w:cs="Times New Roman"/>
                <w:noProof/>
                <w:sz w:val="22"/>
                <w:lang w:val="en-GB"/>
              </w:rPr>
              <w:t xml:space="preserve">penalty system is up to Member States. Monitorable interventions should prevent later penalties. </w:t>
            </w:r>
          </w:p>
        </w:tc>
      </w:tr>
      <w:tr w:rsidR="001F253E" w:rsidRPr="00BB5286" w14:paraId="0DBA2FD9"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4FB56"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noProof/>
                <w:sz w:val="22"/>
                <w:lang w:val="en-GB"/>
              </w:rPr>
              <w:t>67</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AC9C4" w14:textId="791F419B" w:rsidR="00872C68" w:rsidRPr="00BB5286" w:rsidRDefault="00872C68" w:rsidP="00732505">
            <w:pPr>
              <w:spacing w:after="60" w:line="259" w:lineRule="auto"/>
              <w:jc w:val="both"/>
              <w:rPr>
                <w:rFonts w:eastAsia="Calibri" w:cs="Times New Roman"/>
                <w:i/>
                <w:noProof/>
                <w:sz w:val="22"/>
                <w:lang w:val="en-GB"/>
              </w:rPr>
            </w:pPr>
            <w:r w:rsidRPr="00BB5286">
              <w:rPr>
                <w:rFonts w:eastAsia="Calibri" w:cs="Times New Roman"/>
                <w:b/>
                <w:noProof/>
                <w:sz w:val="22"/>
                <w:lang w:val="en-GB"/>
              </w:rPr>
              <w:t>Flexibility:</w:t>
            </w:r>
            <w:r w:rsidRPr="00BB5286">
              <w:rPr>
                <w:rFonts w:eastAsia="Calibri" w:cs="Times New Roman"/>
                <w:noProof/>
                <w:sz w:val="22"/>
                <w:lang w:val="en-GB"/>
              </w:rPr>
              <w:t xml:space="preserve"> </w:t>
            </w:r>
            <w:r w:rsidR="27200F95" w:rsidRPr="00BB5286">
              <w:rPr>
                <w:rFonts w:eastAsia="Calibri" w:cs="Times New Roman"/>
                <w:noProof/>
                <w:sz w:val="22"/>
                <w:lang w:val="en-GB"/>
              </w:rPr>
              <w:t>g</w:t>
            </w:r>
            <w:r w:rsidRPr="00BB5286">
              <w:rPr>
                <w:rFonts w:eastAsia="Calibri" w:cs="Times New Roman"/>
                <w:noProof/>
                <w:sz w:val="22"/>
                <w:lang w:val="en-GB"/>
              </w:rPr>
              <w:t>reater leeway for Member States in setting controls and penalties (incl</w:t>
            </w:r>
            <w:r w:rsidR="004A4B16" w:rsidRPr="00BB5286">
              <w:rPr>
                <w:rFonts w:eastAsia="Calibri" w:cs="Times New Roman"/>
                <w:noProof/>
                <w:sz w:val="22"/>
                <w:lang w:val="en-GB"/>
              </w:rPr>
              <w:t>uding</w:t>
            </w:r>
            <w:r w:rsidRPr="00BB5286">
              <w:rPr>
                <w:rFonts w:eastAsia="Calibri" w:cs="Times New Roman"/>
                <w:noProof/>
                <w:sz w:val="22"/>
                <w:lang w:val="en-GB"/>
              </w:rPr>
              <w:t xml:space="preserve"> for conditionality). Greater focus on risk-based controls (</w:t>
            </w:r>
            <w:r w:rsidR="38C64AB4" w:rsidRPr="00BB5286">
              <w:rPr>
                <w:rFonts w:eastAsia="Calibri" w:cs="Times New Roman"/>
                <w:i/>
                <w:iCs/>
                <w:noProof/>
                <w:sz w:val="22"/>
                <w:lang w:val="en-GB"/>
              </w:rPr>
              <w:t>Art</w:t>
            </w:r>
            <w:r w:rsidR="04930D07" w:rsidRPr="00BB5286">
              <w:rPr>
                <w:rFonts w:eastAsia="Calibri" w:cs="Times New Roman"/>
                <w:i/>
                <w:iCs/>
                <w:noProof/>
                <w:sz w:val="22"/>
                <w:lang w:val="en-GB"/>
              </w:rPr>
              <w:t>icles</w:t>
            </w:r>
            <w:r w:rsidRPr="00BB5286">
              <w:rPr>
                <w:rFonts w:eastAsia="Calibri" w:cs="Times New Roman"/>
                <w:i/>
                <w:noProof/>
                <w:sz w:val="22"/>
                <w:lang w:val="en-GB"/>
              </w:rPr>
              <w:t xml:space="preserve"> 83 to 89</w:t>
            </w:r>
            <w:r w:rsidRPr="00BB5286">
              <w:rPr>
                <w:rFonts w:eastAsia="Calibri" w:cs="Times New Roman"/>
                <w:noProof/>
                <w:sz w:val="22"/>
                <w:lang w:val="en-GB"/>
              </w:rPr>
              <w:t xml:space="preserve"> of </w:t>
            </w:r>
            <w:r w:rsidR="52472786" w:rsidRPr="00BB5286">
              <w:rPr>
                <w:rFonts w:eastAsia="Calibri" w:cs="Times New Roman"/>
                <w:noProof/>
                <w:sz w:val="22"/>
                <w:lang w:val="en-GB"/>
              </w:rPr>
              <w:t xml:space="preserve">the Horizontal </w:t>
            </w:r>
            <w:r w:rsidRPr="00BB5286">
              <w:rPr>
                <w:rFonts w:eastAsia="Calibri" w:cs="Times New Roman"/>
                <w:noProof/>
                <w:sz w:val="22"/>
                <w:lang w:val="en-GB"/>
              </w:rPr>
              <w:t>Regulation).</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B2E89"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 xml:space="preserve">SE, </w:t>
            </w:r>
          </w:p>
          <w:p w14:paraId="6684F870"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COM AGRI</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BC325" w14:textId="67443C1C"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Under the </w:t>
            </w:r>
            <w:r w:rsidR="006A5D3D" w:rsidRPr="00BB5286">
              <w:rPr>
                <w:rFonts w:eastAsia="Calibri" w:cs="Times New Roman"/>
                <w:noProof/>
                <w:sz w:val="22"/>
                <w:lang w:val="en-GB"/>
              </w:rPr>
              <w:t>n</w:t>
            </w:r>
            <w:r w:rsidRPr="00BB5286">
              <w:rPr>
                <w:rFonts w:eastAsia="Calibri" w:cs="Times New Roman"/>
                <w:noProof/>
                <w:sz w:val="22"/>
                <w:lang w:val="en-GB"/>
              </w:rPr>
              <w:t xml:space="preserve">ew </w:t>
            </w:r>
            <w:r w:rsidR="006A5D3D" w:rsidRPr="00BB5286">
              <w:rPr>
                <w:rFonts w:eastAsia="Calibri" w:cs="Times New Roman"/>
                <w:noProof/>
                <w:sz w:val="22"/>
                <w:lang w:val="en-GB"/>
              </w:rPr>
              <w:t>d</w:t>
            </w:r>
            <w:r w:rsidRPr="00BB5286">
              <w:rPr>
                <w:rFonts w:eastAsia="Calibri" w:cs="Times New Roman"/>
                <w:noProof/>
                <w:sz w:val="22"/>
                <w:lang w:val="en-GB"/>
              </w:rPr>
              <w:t xml:space="preserve">elivery </w:t>
            </w:r>
            <w:r w:rsidR="006A5D3D" w:rsidRPr="00BB5286">
              <w:rPr>
                <w:rFonts w:eastAsia="Calibri" w:cs="Times New Roman"/>
                <w:noProof/>
                <w:sz w:val="22"/>
                <w:lang w:val="en-GB"/>
              </w:rPr>
              <w:t>m</w:t>
            </w:r>
            <w:r w:rsidRPr="00BB5286">
              <w:rPr>
                <w:rFonts w:eastAsia="Calibri" w:cs="Times New Roman"/>
                <w:noProof/>
                <w:sz w:val="22"/>
                <w:lang w:val="en-GB"/>
              </w:rPr>
              <w:t>odel of the CAP, Member States are authorised to fix their own control systems, except for controls related to conditionality. Member States must establish the control sample for the on-the-spot checks to be carried out each year based on a risk analysis.</w:t>
            </w:r>
          </w:p>
        </w:tc>
      </w:tr>
      <w:tr w:rsidR="001F253E" w:rsidRPr="00BB5286" w14:paraId="127DA56C"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A3D4C" w14:textId="77777777" w:rsidR="00872C68" w:rsidRPr="00BB5286" w:rsidRDefault="00872C68" w:rsidP="00732505">
            <w:pPr>
              <w:spacing w:after="60" w:line="259" w:lineRule="auto"/>
              <w:jc w:val="center"/>
              <w:rPr>
                <w:rFonts w:eastAsia="Calibri" w:cs="Times New Roman"/>
                <w:b/>
                <w:bCs/>
                <w:noProof/>
                <w:sz w:val="22"/>
                <w:lang w:val="en-GB"/>
              </w:rPr>
            </w:pPr>
            <w:r w:rsidRPr="00BB5286">
              <w:rPr>
                <w:rFonts w:eastAsia="Calibri" w:cs="Times New Roman"/>
                <w:b/>
                <w:noProof/>
                <w:sz w:val="22"/>
                <w:lang w:val="en-GB"/>
              </w:rPr>
              <w:t>68</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E5F8D" w14:textId="10C745D9" w:rsidR="00872C68" w:rsidRPr="00BB5286" w:rsidRDefault="00872C68" w:rsidP="00732505">
            <w:pPr>
              <w:spacing w:after="60" w:line="259" w:lineRule="auto"/>
              <w:jc w:val="both"/>
              <w:rPr>
                <w:rFonts w:eastAsia="Calibri" w:cs="Times New Roman"/>
                <w:noProof/>
                <w:sz w:val="22"/>
                <w:lang w:val="en-GB"/>
              </w:rPr>
            </w:pPr>
            <w:r w:rsidRPr="00BB5286">
              <w:rPr>
                <w:rFonts w:eastAsia="Calibri" w:cs="Times New Roman"/>
                <w:b/>
                <w:noProof/>
                <w:sz w:val="22"/>
                <w:lang w:val="en-GB"/>
              </w:rPr>
              <w:t xml:space="preserve">Right </w:t>
            </w:r>
            <w:r w:rsidR="17D84986" w:rsidRPr="00BB5286">
              <w:rPr>
                <w:rFonts w:eastAsia="Calibri" w:cs="Times New Roman"/>
                <w:b/>
                <w:noProof/>
                <w:sz w:val="22"/>
                <w:lang w:val="en-GB"/>
              </w:rPr>
              <w:t>of</w:t>
            </w:r>
            <w:r w:rsidR="00111237" w:rsidRPr="00BB5286">
              <w:rPr>
                <w:rFonts w:eastAsia="Calibri" w:cs="Times New Roman"/>
                <w:b/>
                <w:noProof/>
                <w:sz w:val="22"/>
                <w:lang w:val="en-GB"/>
              </w:rPr>
              <w:t xml:space="preserve"> </w:t>
            </w:r>
            <w:r w:rsidRPr="00BB5286">
              <w:rPr>
                <w:rFonts w:eastAsia="Calibri" w:cs="Times New Roman"/>
                <w:b/>
                <w:noProof/>
                <w:sz w:val="22"/>
                <w:lang w:val="en-GB"/>
              </w:rPr>
              <w:t>error:</w:t>
            </w:r>
            <w:r w:rsidRPr="00BB5286">
              <w:rPr>
                <w:rFonts w:eastAsia="Calibri" w:cs="Times New Roman"/>
                <w:noProof/>
                <w:sz w:val="22"/>
                <w:lang w:val="en-GB"/>
              </w:rPr>
              <w:t xml:space="preserve"> </w:t>
            </w:r>
            <w:r w:rsidR="06FDD89C" w:rsidRPr="00BB5286">
              <w:rPr>
                <w:rFonts w:eastAsia="Calibri" w:cs="Times New Roman"/>
                <w:noProof/>
                <w:sz w:val="22"/>
                <w:lang w:val="en-GB"/>
              </w:rPr>
              <w:t>e</w:t>
            </w:r>
            <w:r w:rsidRPr="00BB5286">
              <w:rPr>
                <w:rFonts w:eastAsia="Calibri" w:cs="Times New Roman"/>
                <w:noProof/>
                <w:sz w:val="22"/>
                <w:lang w:val="en-GB"/>
              </w:rPr>
              <w:t xml:space="preserve">xtend the </w:t>
            </w:r>
            <w:r w:rsidR="256D11F5" w:rsidRPr="00BB5286">
              <w:rPr>
                <w:rFonts w:eastAsia="Calibri" w:cs="Times New Roman"/>
                <w:noProof/>
                <w:sz w:val="22"/>
                <w:lang w:val="en-GB"/>
              </w:rPr>
              <w:t>‘</w:t>
            </w:r>
            <w:r w:rsidRPr="00BB5286">
              <w:rPr>
                <w:rFonts w:eastAsia="Calibri" w:cs="Times New Roman"/>
                <w:noProof/>
                <w:sz w:val="22"/>
                <w:lang w:val="en-GB"/>
              </w:rPr>
              <w:t xml:space="preserve">right </w:t>
            </w:r>
            <w:r w:rsidR="00BA7FA9" w:rsidRPr="00BB5286">
              <w:rPr>
                <w:rFonts w:eastAsia="Calibri" w:cs="Times New Roman"/>
                <w:noProof/>
                <w:sz w:val="22"/>
                <w:lang w:val="en-GB"/>
              </w:rPr>
              <w:t>of</w:t>
            </w:r>
            <w:r w:rsidR="00111237" w:rsidRPr="00BB5286">
              <w:rPr>
                <w:rFonts w:eastAsia="Calibri" w:cs="Times New Roman"/>
                <w:noProof/>
                <w:sz w:val="22"/>
                <w:lang w:val="en-GB"/>
              </w:rPr>
              <w:t xml:space="preserve"> </w:t>
            </w:r>
            <w:r w:rsidRPr="00BB5286">
              <w:rPr>
                <w:rFonts w:eastAsia="Calibri" w:cs="Times New Roman"/>
                <w:noProof/>
                <w:sz w:val="22"/>
                <w:lang w:val="en-GB"/>
              </w:rPr>
              <w:t>error</w:t>
            </w:r>
            <w:r w:rsidR="256D11F5" w:rsidRPr="00BB5286">
              <w:rPr>
                <w:rFonts w:eastAsia="Calibri" w:cs="Times New Roman"/>
                <w:noProof/>
                <w:sz w:val="22"/>
                <w:lang w:val="en-GB"/>
              </w:rPr>
              <w:t>’</w:t>
            </w:r>
            <w:r w:rsidRPr="00BB5286">
              <w:rPr>
                <w:rFonts w:eastAsia="Calibri" w:cs="Times New Roman"/>
                <w:noProof/>
                <w:sz w:val="22"/>
                <w:lang w:val="en-GB"/>
              </w:rPr>
              <w:t xml:space="preserve"> approach to animal-based interventions </w:t>
            </w:r>
            <w:r w:rsidR="370A69CB" w:rsidRPr="00BB5286">
              <w:rPr>
                <w:rFonts w:eastAsia="Calibri" w:cs="Times New Roman"/>
                <w:noProof/>
                <w:sz w:val="22"/>
                <w:lang w:val="en-GB"/>
              </w:rPr>
              <w:t>(</w:t>
            </w:r>
            <w:r w:rsidR="370A69CB" w:rsidRPr="00BB5286">
              <w:rPr>
                <w:rFonts w:eastAsia="Calibri" w:cs="Times New Roman"/>
                <w:i/>
                <w:iCs/>
                <w:noProof/>
                <w:sz w:val="22"/>
                <w:lang w:val="en-GB"/>
              </w:rPr>
              <w:t>Art</w:t>
            </w:r>
            <w:r w:rsidR="1BFB3C74" w:rsidRPr="00BB5286">
              <w:rPr>
                <w:rFonts w:eastAsia="Calibri" w:cs="Times New Roman"/>
                <w:i/>
                <w:iCs/>
                <w:noProof/>
                <w:sz w:val="22"/>
                <w:lang w:val="en-GB"/>
              </w:rPr>
              <w:t>icle</w:t>
            </w:r>
            <w:r w:rsidRPr="00BB5286">
              <w:rPr>
                <w:rFonts w:eastAsia="Calibri" w:cs="Times New Roman"/>
                <w:i/>
                <w:iCs/>
                <w:noProof/>
                <w:sz w:val="22"/>
                <w:lang w:val="en-GB"/>
              </w:rPr>
              <w:t xml:space="preserve"> 7(2)</w:t>
            </w:r>
            <w:r w:rsidRPr="00BB5286">
              <w:rPr>
                <w:rFonts w:eastAsia="Calibri" w:cs="Times New Roman"/>
                <w:noProof/>
                <w:sz w:val="22"/>
                <w:lang w:val="en-GB"/>
              </w:rPr>
              <w:t xml:space="preserve"> of </w:t>
            </w:r>
            <w:r w:rsidR="008B6F95" w:rsidRPr="00BB5286">
              <w:rPr>
                <w:rFonts w:eastAsia="Calibri" w:cs="Times New Roman"/>
                <w:noProof/>
                <w:sz w:val="22"/>
                <w:lang w:val="en-GB"/>
              </w:rPr>
              <w:t xml:space="preserve">Commission </w:t>
            </w:r>
            <w:r w:rsidRPr="00BB5286">
              <w:rPr>
                <w:rFonts w:eastAsia="Calibri" w:cs="Times New Roman"/>
                <w:noProof/>
                <w:sz w:val="22"/>
                <w:lang w:val="en-GB"/>
              </w:rPr>
              <w:t>Implementing Regulation (EU) 2022/1173).</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4A75A" w14:textId="77777777" w:rsidR="00872C68" w:rsidRPr="00BB5286" w:rsidRDefault="00872C68" w:rsidP="00732505">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SE</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100EF" w14:textId="50A84288" w:rsidR="00872C68" w:rsidRPr="00BB5286" w:rsidRDefault="00872C68" w:rsidP="003E7CF4">
            <w:pPr>
              <w:spacing w:after="60" w:line="259" w:lineRule="auto"/>
              <w:rPr>
                <w:rFonts w:eastAsia="Calibri" w:cs="Times New Roman"/>
                <w:noProof/>
                <w:sz w:val="22"/>
                <w:lang w:val="en-GB"/>
              </w:rPr>
            </w:pPr>
            <w:r w:rsidRPr="00BB5286">
              <w:rPr>
                <w:rFonts w:eastAsia="Times New Roman" w:cs="Times New Roman"/>
                <w:noProof/>
                <w:sz w:val="22"/>
                <w:lang w:val="en-GB"/>
              </w:rPr>
              <w:t xml:space="preserve">Addressing this issue is already possible within the current </w:t>
            </w:r>
            <w:r w:rsidR="00AF7B1A" w:rsidRPr="00BB5286">
              <w:rPr>
                <w:rFonts w:eastAsia="Times New Roman" w:cs="Times New Roman"/>
                <w:noProof/>
                <w:sz w:val="22"/>
                <w:lang w:val="en-GB"/>
              </w:rPr>
              <w:t>EU CAP framework</w:t>
            </w:r>
            <w:r w:rsidRPr="00BB5286">
              <w:rPr>
                <w:rFonts w:eastAsia="Times New Roman" w:cs="Times New Roman"/>
                <w:noProof/>
                <w:sz w:val="22"/>
                <w:lang w:val="en-GB"/>
              </w:rPr>
              <w:t>.</w:t>
            </w:r>
          </w:p>
        </w:tc>
      </w:tr>
      <w:tr w:rsidR="001F253E" w:rsidRPr="00BB5286" w14:paraId="7B9262D7"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21B1D" w14:textId="5CE66902" w:rsidR="00874EF4" w:rsidRPr="00BB5286" w:rsidRDefault="00874EF4" w:rsidP="00874EF4">
            <w:pPr>
              <w:spacing w:after="60"/>
              <w:jc w:val="center"/>
              <w:rPr>
                <w:rFonts w:eastAsia="Calibri" w:cs="Times New Roman"/>
                <w:b/>
                <w:noProof/>
                <w:sz w:val="22"/>
                <w:lang w:val="en-GB"/>
              </w:rPr>
            </w:pPr>
            <w:r w:rsidRPr="00BB5286">
              <w:rPr>
                <w:rFonts w:eastAsia="Calibri" w:cs="Times New Roman"/>
                <w:b/>
                <w:noProof/>
                <w:sz w:val="22"/>
                <w:lang w:val="en-GB"/>
              </w:rPr>
              <w:t>69</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6F5AF" w14:textId="5840B262" w:rsidR="00874EF4" w:rsidRPr="00BB5286" w:rsidRDefault="00874EF4" w:rsidP="003E7CF4">
            <w:pPr>
              <w:spacing w:after="60" w:line="259" w:lineRule="auto"/>
              <w:jc w:val="both"/>
              <w:rPr>
                <w:rFonts w:eastAsia="Calibri" w:cs="Times New Roman"/>
                <w:b/>
                <w:noProof/>
                <w:sz w:val="22"/>
                <w:lang w:val="en-GB"/>
              </w:rPr>
            </w:pPr>
            <w:r w:rsidRPr="00BB5286">
              <w:rPr>
                <w:rFonts w:eastAsia="Calibri" w:cs="Times New Roman"/>
                <w:b/>
                <w:noProof/>
                <w:sz w:val="22"/>
                <w:lang w:val="en-GB"/>
              </w:rPr>
              <w:t xml:space="preserve">Right </w:t>
            </w:r>
            <w:r w:rsidR="051DD422" w:rsidRPr="00BB5286">
              <w:rPr>
                <w:rFonts w:eastAsia="Calibri" w:cs="Times New Roman"/>
                <w:b/>
                <w:noProof/>
                <w:sz w:val="22"/>
                <w:lang w:val="en-GB"/>
              </w:rPr>
              <w:t>of</w:t>
            </w:r>
            <w:r w:rsidR="00111237" w:rsidRPr="00BB5286">
              <w:rPr>
                <w:rFonts w:eastAsia="Calibri" w:cs="Times New Roman"/>
                <w:b/>
                <w:noProof/>
                <w:sz w:val="22"/>
                <w:lang w:val="en-GB"/>
              </w:rPr>
              <w:t xml:space="preserve"> </w:t>
            </w:r>
            <w:r w:rsidRPr="00BB5286">
              <w:rPr>
                <w:rFonts w:eastAsia="Calibri" w:cs="Times New Roman"/>
                <w:b/>
                <w:noProof/>
                <w:sz w:val="22"/>
                <w:lang w:val="en-GB"/>
              </w:rPr>
              <w:t>error:</w:t>
            </w:r>
            <w:r w:rsidRPr="00BB5286">
              <w:rPr>
                <w:rFonts w:eastAsia="Calibri" w:cs="Times New Roman"/>
                <w:noProof/>
                <w:sz w:val="22"/>
                <w:lang w:val="en-GB"/>
              </w:rPr>
              <w:t xml:space="preserve"> </w:t>
            </w:r>
            <w:r w:rsidR="74673BB7" w:rsidRPr="00BB5286">
              <w:rPr>
                <w:rFonts w:eastAsia="Calibri" w:cs="Times New Roman"/>
                <w:noProof/>
                <w:sz w:val="22"/>
                <w:lang w:val="en-GB"/>
              </w:rPr>
              <w:t>a</w:t>
            </w:r>
            <w:r w:rsidRPr="00BB5286">
              <w:rPr>
                <w:rFonts w:eastAsia="Calibri" w:cs="Times New Roman"/>
                <w:noProof/>
                <w:sz w:val="22"/>
                <w:lang w:val="en-GB"/>
              </w:rPr>
              <w:t xml:space="preserve">llow the application of the right to error up to </w:t>
            </w:r>
            <w:r w:rsidR="001A4F78" w:rsidRPr="00BB5286">
              <w:rPr>
                <w:rFonts w:eastAsia="Calibri" w:cs="Times New Roman"/>
                <w:noProof/>
                <w:sz w:val="22"/>
                <w:lang w:val="en-GB"/>
              </w:rPr>
              <w:t xml:space="preserve">the </w:t>
            </w:r>
            <w:r w:rsidRPr="00BB5286">
              <w:rPr>
                <w:rFonts w:eastAsia="Calibri" w:cs="Times New Roman"/>
                <w:noProof/>
                <w:sz w:val="22"/>
                <w:lang w:val="en-GB"/>
              </w:rPr>
              <w:t>dates defined according to the different payment dates of each type of aid, and not according to a single date (</w:t>
            </w:r>
            <w:r w:rsidR="6562513A" w:rsidRPr="00BB5286">
              <w:rPr>
                <w:rFonts w:eastAsia="Calibri" w:cs="Times New Roman"/>
                <w:i/>
                <w:iCs/>
                <w:noProof/>
                <w:sz w:val="22"/>
                <w:lang w:val="en-GB"/>
              </w:rPr>
              <w:t>Art</w:t>
            </w:r>
            <w:r w:rsidR="2BCF3F94" w:rsidRPr="00BB5286">
              <w:rPr>
                <w:rFonts w:eastAsia="Calibri" w:cs="Times New Roman"/>
                <w:i/>
                <w:iCs/>
                <w:noProof/>
                <w:sz w:val="22"/>
                <w:lang w:val="en-GB"/>
              </w:rPr>
              <w:t>icle</w:t>
            </w:r>
            <w:r w:rsidRPr="00BB5286">
              <w:rPr>
                <w:rFonts w:eastAsia="Calibri" w:cs="Times New Roman"/>
                <w:i/>
                <w:noProof/>
                <w:sz w:val="22"/>
                <w:lang w:val="en-GB"/>
              </w:rPr>
              <w:t xml:space="preserve"> 7(2)</w:t>
            </w:r>
            <w:r w:rsidRPr="00BB5286">
              <w:rPr>
                <w:rFonts w:eastAsia="Calibri" w:cs="Times New Roman"/>
                <w:noProof/>
                <w:sz w:val="22"/>
                <w:lang w:val="en-GB"/>
              </w:rPr>
              <w:t xml:space="preserve"> of </w:t>
            </w:r>
            <w:r w:rsidR="008B6F95" w:rsidRPr="00BB5286">
              <w:rPr>
                <w:rFonts w:eastAsia="Calibri" w:cs="Times New Roman"/>
                <w:noProof/>
                <w:sz w:val="22"/>
                <w:lang w:val="en-GB"/>
              </w:rPr>
              <w:t xml:space="preserve">Commission </w:t>
            </w:r>
            <w:r w:rsidRPr="00BB5286">
              <w:rPr>
                <w:rFonts w:eastAsia="Calibri" w:cs="Times New Roman"/>
                <w:noProof/>
                <w:sz w:val="22"/>
                <w:lang w:val="en-GB"/>
              </w:rPr>
              <w:t>Implementing Regulation (EU) 2022/1173).</w:t>
            </w:r>
            <w:r w:rsidR="00BA7FA9" w:rsidRPr="00BB5286">
              <w:rPr>
                <w:rFonts w:eastAsia="Calibri" w:cs="Times New Roman"/>
                <w:noProof/>
                <w:sz w:val="22"/>
                <w:lang w:val="en-GB"/>
              </w:rPr>
              <w:t xml:space="preserve"> </w:t>
            </w:r>
            <w:r w:rsidRPr="00BB5286">
              <w:rPr>
                <w:rFonts w:eastAsia="Calibri" w:cs="Times New Roman"/>
                <w:noProof/>
                <w:sz w:val="22"/>
                <w:lang w:val="en-GB"/>
              </w:rPr>
              <w:t>Establish a right to error for new rules given the complexity of regulations, successive changes and late communications</w:t>
            </w:r>
            <w:r w:rsidR="009162C0"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39C9E" w14:textId="3DF72703" w:rsidR="00874EF4" w:rsidRPr="00BB5286" w:rsidRDefault="00874EF4" w:rsidP="009162C0">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 HU</w:t>
            </w:r>
          </w:p>
          <w:p w14:paraId="1DF81039" w14:textId="77777777" w:rsidR="009162C0" w:rsidRPr="00BB5286" w:rsidRDefault="009162C0" w:rsidP="009162C0">
            <w:pPr>
              <w:spacing w:after="60" w:line="259" w:lineRule="auto"/>
              <w:jc w:val="center"/>
              <w:rPr>
                <w:rFonts w:eastAsia="MS Gothic" w:cs="Times New Roman"/>
                <w:b/>
                <w:noProof/>
                <w:color w:val="0033CC"/>
                <w:sz w:val="22"/>
                <w:lang w:val="en-GB"/>
              </w:rPr>
            </w:pPr>
          </w:p>
          <w:p w14:paraId="4C5C3D34"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w:t>
            </w:r>
          </w:p>
          <w:p w14:paraId="561C25B8" w14:textId="77777777" w:rsidR="00874EF4" w:rsidRPr="00BB5286" w:rsidRDefault="00874EF4" w:rsidP="00874EF4">
            <w:pPr>
              <w:spacing w:after="60"/>
              <w:jc w:val="center"/>
              <w:rPr>
                <w:rFonts w:eastAsia="MS Gothic" w:cs="Times New Roman"/>
                <w:b/>
                <w:noProof/>
                <w:color w:val="0033CC"/>
                <w:sz w:val="22"/>
                <w:lang w:val="en-GB"/>
              </w:rPr>
            </w:pP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FFA4F" w14:textId="45083670" w:rsidR="00874EF4" w:rsidRPr="00BB5286" w:rsidRDefault="00874EF4" w:rsidP="009162C0">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Addressing this issue is already possible within the current </w:t>
            </w:r>
            <w:r w:rsidR="00AF7B1A" w:rsidRPr="00BB5286">
              <w:rPr>
                <w:rFonts w:eastAsia="Calibri" w:cs="Times New Roman"/>
                <w:noProof/>
                <w:sz w:val="22"/>
                <w:lang w:val="en-GB"/>
              </w:rPr>
              <w:t>EU CAP framework</w:t>
            </w:r>
            <w:r w:rsidRPr="00BB5286">
              <w:rPr>
                <w:rFonts w:eastAsia="Calibri" w:cs="Times New Roman"/>
                <w:noProof/>
                <w:sz w:val="22"/>
                <w:lang w:val="en-GB"/>
              </w:rPr>
              <w:t xml:space="preserve">. The Commission organised a workshop to support Member States in rationalising their control set-up and allows farmers to correct their applications where mistakes were made or adjust it based on realities on the ground. </w:t>
            </w:r>
          </w:p>
        </w:tc>
      </w:tr>
      <w:tr w:rsidR="001F253E" w:rsidRPr="00BB5286" w14:paraId="706029F4"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D5BE0" w14:textId="77777777" w:rsidR="00874EF4" w:rsidRPr="00BB5286" w:rsidRDefault="00874EF4" w:rsidP="00874EF4">
            <w:pPr>
              <w:spacing w:after="60" w:line="259" w:lineRule="auto"/>
              <w:jc w:val="center"/>
              <w:rPr>
                <w:rFonts w:eastAsia="Calibri" w:cs="Times New Roman"/>
                <w:b/>
                <w:bCs/>
                <w:noProof/>
                <w:sz w:val="22"/>
                <w:lang w:val="en-GB"/>
              </w:rPr>
            </w:pPr>
            <w:r w:rsidRPr="00BB5286">
              <w:rPr>
                <w:rFonts w:eastAsia="Calibri" w:cs="Times New Roman"/>
                <w:b/>
                <w:noProof/>
                <w:sz w:val="22"/>
                <w:lang w:val="en-GB"/>
              </w:rPr>
              <w:t>70</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DA4636" w14:textId="77777777" w:rsidR="00874EF4" w:rsidRPr="00BB5286" w:rsidRDefault="00874EF4" w:rsidP="00874EF4">
            <w:pPr>
              <w:spacing w:after="60" w:line="259" w:lineRule="auto"/>
              <w:jc w:val="both"/>
              <w:rPr>
                <w:rFonts w:eastAsia="Calibri" w:cs="Times New Roman"/>
                <w:b/>
                <w:noProof/>
                <w:sz w:val="22"/>
                <w:lang w:val="en-GB"/>
              </w:rPr>
            </w:pPr>
            <w:r w:rsidRPr="00BB5286">
              <w:rPr>
                <w:rFonts w:eastAsia="Calibri" w:cs="Times New Roman"/>
                <w:b/>
                <w:noProof/>
                <w:sz w:val="22"/>
                <w:lang w:val="en-GB"/>
              </w:rPr>
              <w:t>Allow for a margin of error</w:t>
            </w:r>
            <w:r w:rsidRPr="00BB5286">
              <w:rPr>
                <w:rFonts w:eastAsia="Calibri" w:cs="Times New Roman"/>
                <w:noProof/>
                <w:sz w:val="22"/>
                <w:lang w:val="en-GB"/>
              </w:rPr>
              <w:t xml:space="preserve"> in complying with conditionality rules, particularly in the first years of application or when faced with exceptional circumstances. Give farmers and public authorities time to adapt to the new specificities of the rules and give leeway to face exceptional circumstances.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47B68"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CEJA</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F0CF0" w14:textId="688EE939"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simplification package clarifies the </w:t>
            </w:r>
            <w:r w:rsidR="00AF7B1A" w:rsidRPr="00BB5286">
              <w:rPr>
                <w:rFonts w:eastAsia="Calibri" w:cs="Times New Roman"/>
                <w:noProof/>
                <w:sz w:val="22"/>
                <w:lang w:val="en-GB"/>
              </w:rPr>
              <w:t>EU CAP framework</w:t>
            </w:r>
            <w:r w:rsidRPr="00BB5286">
              <w:rPr>
                <w:rFonts w:eastAsia="Calibri" w:cs="Times New Roman"/>
                <w:noProof/>
                <w:sz w:val="22"/>
                <w:lang w:val="en-GB"/>
              </w:rPr>
              <w:t xml:space="preserve"> as regards a ‘right </w:t>
            </w:r>
            <w:r w:rsidR="002369D0" w:rsidRPr="00BB5286">
              <w:rPr>
                <w:rFonts w:eastAsia="Calibri" w:cs="Times New Roman"/>
                <w:noProof/>
                <w:sz w:val="22"/>
                <w:lang w:val="en-GB"/>
              </w:rPr>
              <w:t xml:space="preserve">of </w:t>
            </w:r>
            <w:r w:rsidRPr="00BB5286">
              <w:rPr>
                <w:rFonts w:eastAsia="Calibri" w:cs="Times New Roman"/>
                <w:noProof/>
                <w:sz w:val="22"/>
                <w:lang w:val="en-GB"/>
              </w:rPr>
              <w:t xml:space="preserve">error’, as well as possibilities for farmers to correct their application later in the year when using the AMS. The Commission also proposed additional flexibility to enable Member States to establish specific exemptions from the requirements of GAEC standards 5, 6, 7 or 9 </w:t>
            </w:r>
            <w:r w:rsidR="00D73AD3" w:rsidRPr="00BB5286">
              <w:rPr>
                <w:rFonts w:eastAsia="Calibri" w:cs="Times New Roman"/>
                <w:noProof/>
                <w:sz w:val="22"/>
                <w:lang w:val="en-GB"/>
              </w:rPr>
              <w:t>(</w:t>
            </w:r>
            <w:r w:rsidR="00967152" w:rsidRPr="00BB5286">
              <w:rPr>
                <w:rFonts w:eastAsia="Calibri" w:cs="Times New Roman"/>
                <w:noProof/>
                <w:sz w:val="22"/>
                <w:lang w:val="en-GB"/>
              </w:rPr>
              <w:t xml:space="preserve">see </w:t>
            </w:r>
            <w:r w:rsidR="00D73AD3" w:rsidRPr="00BB5286">
              <w:rPr>
                <w:rFonts w:eastAsia="Calibri" w:cs="Times New Roman"/>
                <w:noProof/>
                <w:sz w:val="22"/>
                <w:lang w:val="en-GB"/>
              </w:rPr>
              <w:t xml:space="preserve">the adopted Simplification Regulation) </w:t>
            </w:r>
            <w:r w:rsidRPr="00BB5286">
              <w:rPr>
                <w:rFonts w:eastAsia="Calibri" w:cs="Times New Roman"/>
                <w:noProof/>
                <w:sz w:val="22"/>
                <w:lang w:val="en-GB"/>
              </w:rPr>
              <w:t xml:space="preserve">and clarified the conditions </w:t>
            </w:r>
            <w:r w:rsidRPr="00BB5286">
              <w:rPr>
                <w:rFonts w:eastAsia="Calibri" w:cs="Times New Roman"/>
                <w:noProof/>
                <w:sz w:val="22"/>
                <w:lang w:val="en-GB"/>
              </w:rPr>
              <w:lastRenderedPageBreak/>
              <w:t xml:space="preserve">for use of </w:t>
            </w:r>
            <w:r w:rsidRPr="00BB5286">
              <w:rPr>
                <w:rFonts w:eastAsia="Calibri" w:cs="Times New Roman"/>
                <w:i/>
                <w:iCs/>
                <w:noProof/>
                <w:sz w:val="22"/>
                <w:lang w:val="en-GB"/>
              </w:rPr>
              <w:t>force majeure</w:t>
            </w:r>
            <w:r w:rsidRPr="00BB5286">
              <w:rPr>
                <w:rFonts w:eastAsia="Calibri" w:cs="Times New Roman"/>
                <w:noProof/>
                <w:sz w:val="22"/>
                <w:lang w:val="en-GB"/>
              </w:rPr>
              <w:t xml:space="preserve"> and </w:t>
            </w:r>
            <w:r w:rsidR="00675A36" w:rsidRPr="00BB5286">
              <w:rPr>
                <w:rFonts w:eastAsia="Calibri" w:cs="Times New Roman"/>
                <w:noProof/>
                <w:sz w:val="22"/>
                <w:lang w:val="en-GB"/>
              </w:rPr>
              <w:t xml:space="preserve">the </w:t>
            </w:r>
            <w:r w:rsidRPr="00BB5286">
              <w:rPr>
                <w:rFonts w:eastAsia="Calibri" w:cs="Times New Roman"/>
                <w:noProof/>
                <w:sz w:val="22"/>
                <w:lang w:val="en-GB"/>
              </w:rPr>
              <w:t>exceptional circumstances clause</w:t>
            </w:r>
            <w:r w:rsidR="00C50C66" w:rsidRPr="00BB5286">
              <w:rPr>
                <w:rFonts w:eastAsia="Calibri" w:cs="Times New Roman"/>
                <w:noProof/>
                <w:sz w:val="22"/>
                <w:lang w:val="en-GB"/>
              </w:rPr>
              <w:t xml:space="preserve"> (COM(2024)225 final)</w:t>
            </w:r>
            <w:r w:rsidRPr="00BB5286">
              <w:rPr>
                <w:rFonts w:eastAsia="Calibri" w:cs="Times New Roman"/>
                <w:noProof/>
                <w:sz w:val="22"/>
                <w:lang w:val="en-GB"/>
              </w:rPr>
              <w:t xml:space="preserve">. </w:t>
            </w:r>
          </w:p>
        </w:tc>
      </w:tr>
      <w:tr w:rsidR="001F253E" w:rsidRPr="00BB5286" w14:paraId="54246186"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65C85" w14:textId="77777777" w:rsidR="00874EF4" w:rsidRPr="00BB5286" w:rsidRDefault="00874EF4" w:rsidP="00874EF4">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lastRenderedPageBreak/>
              <w:t>71</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81CEE" w14:textId="4D960CEB" w:rsidR="00874EF4" w:rsidRPr="00BB5286" w:rsidRDefault="00874EF4" w:rsidP="00874EF4">
            <w:pPr>
              <w:spacing w:after="60" w:line="259" w:lineRule="auto"/>
              <w:jc w:val="both"/>
              <w:rPr>
                <w:rFonts w:eastAsia="Calibri" w:cs="Times New Roman"/>
                <w:b/>
                <w:noProof/>
                <w:sz w:val="22"/>
                <w:lang w:val="en-GB"/>
              </w:rPr>
            </w:pPr>
            <w:r w:rsidRPr="00BB5286">
              <w:rPr>
                <w:rFonts w:eastAsia="Calibri" w:cs="Times New Roman"/>
                <w:b/>
                <w:noProof/>
                <w:sz w:val="22"/>
                <w:lang w:val="en-GB"/>
              </w:rPr>
              <w:t>Warning system</w:t>
            </w:r>
            <w:r w:rsidR="49BFFDB1" w:rsidRPr="00BB5286">
              <w:rPr>
                <w:rFonts w:eastAsia="Calibri" w:cs="Times New Roman"/>
                <w:b/>
                <w:noProof/>
                <w:sz w:val="22"/>
                <w:lang w:val="en-GB"/>
              </w:rPr>
              <w:t>:</w:t>
            </w:r>
            <w:r w:rsidR="6562513A" w:rsidRPr="00BB5286">
              <w:rPr>
                <w:rFonts w:eastAsia="Calibri" w:cs="Times New Roman"/>
                <w:noProof/>
                <w:sz w:val="22"/>
                <w:lang w:val="en-GB"/>
              </w:rPr>
              <w:t xml:space="preserve"> </w:t>
            </w:r>
            <w:r w:rsidR="56356EB3" w:rsidRPr="00BB5286">
              <w:rPr>
                <w:rFonts w:eastAsia="Calibri" w:cs="Times New Roman"/>
                <w:noProof/>
                <w:sz w:val="22"/>
                <w:lang w:val="en-GB"/>
              </w:rPr>
              <w:t>s</w:t>
            </w:r>
            <w:r w:rsidRPr="00BB5286">
              <w:rPr>
                <w:rFonts w:eastAsia="Calibri" w:cs="Times New Roman"/>
                <w:noProof/>
                <w:sz w:val="22"/>
                <w:lang w:val="en-GB"/>
              </w:rPr>
              <w:t>top immediate sanctions for administrative failings but launch a warning system.</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A9C4C"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ACE2D" w14:textId="107A6BB7"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A warning system is already allowed under the </w:t>
            </w:r>
            <w:r w:rsidR="00AF7B1A" w:rsidRPr="00BB5286">
              <w:rPr>
                <w:rFonts w:eastAsia="Calibri" w:cs="Times New Roman"/>
                <w:noProof/>
                <w:sz w:val="22"/>
                <w:lang w:val="en-GB"/>
              </w:rPr>
              <w:t>EU CAP framework</w:t>
            </w:r>
            <w:r w:rsidRPr="00BB5286">
              <w:rPr>
                <w:rFonts w:eastAsia="Calibri" w:cs="Times New Roman"/>
                <w:noProof/>
                <w:sz w:val="22"/>
                <w:lang w:val="en-GB"/>
              </w:rPr>
              <w:t>. It is for Member States to introduce such a system.</w:t>
            </w:r>
          </w:p>
        </w:tc>
      </w:tr>
      <w:tr w:rsidR="001F253E" w:rsidRPr="00BB5286" w14:paraId="4D1F0C41"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E2EF8" w14:textId="77777777" w:rsidR="00874EF4" w:rsidRPr="00BB5286" w:rsidRDefault="00874EF4" w:rsidP="00874EF4">
            <w:pPr>
              <w:spacing w:after="60" w:line="259" w:lineRule="auto"/>
              <w:jc w:val="center"/>
              <w:rPr>
                <w:rFonts w:eastAsia="Calibri" w:cs="Times New Roman"/>
                <w:b/>
                <w:bCs/>
                <w:noProof/>
                <w:sz w:val="22"/>
                <w:lang w:val="en-GB"/>
              </w:rPr>
            </w:pPr>
            <w:r w:rsidRPr="00BB5286">
              <w:rPr>
                <w:rFonts w:eastAsia="Calibri" w:cs="Times New Roman"/>
                <w:b/>
                <w:bCs/>
                <w:noProof/>
                <w:sz w:val="22"/>
                <w:lang w:val="en-GB"/>
              </w:rPr>
              <w:t>72</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C990B" w14:textId="23675E68" w:rsidR="00874EF4" w:rsidRPr="00BB5286" w:rsidRDefault="00874EF4" w:rsidP="00874EF4">
            <w:pPr>
              <w:spacing w:after="60" w:line="259" w:lineRule="auto"/>
              <w:jc w:val="both"/>
              <w:rPr>
                <w:rFonts w:eastAsia="Calibri" w:cs="Times New Roman"/>
                <w:i/>
                <w:noProof/>
                <w:sz w:val="22"/>
                <w:lang w:val="en-GB"/>
              </w:rPr>
            </w:pPr>
            <w:r w:rsidRPr="00BB5286">
              <w:rPr>
                <w:rFonts w:eastAsia="Calibri" w:cs="Times New Roman"/>
                <w:b/>
                <w:noProof/>
                <w:sz w:val="22"/>
                <w:lang w:val="en-GB"/>
              </w:rPr>
              <w:t>Exceptional circumstances:</w:t>
            </w:r>
            <w:r w:rsidRPr="00BB5286">
              <w:rPr>
                <w:rFonts w:eastAsia="Calibri" w:cs="Times New Roman"/>
                <w:noProof/>
                <w:sz w:val="22"/>
                <w:lang w:val="en-GB"/>
              </w:rPr>
              <w:t xml:space="preserve"> </w:t>
            </w:r>
            <w:r w:rsidR="4579A776" w:rsidRPr="00BB5286">
              <w:rPr>
                <w:rFonts w:eastAsia="Calibri" w:cs="Times New Roman"/>
                <w:noProof/>
                <w:sz w:val="22"/>
                <w:lang w:val="en-GB"/>
              </w:rPr>
              <w:t>c</w:t>
            </w:r>
            <w:r w:rsidRPr="00BB5286">
              <w:rPr>
                <w:rFonts w:eastAsia="Calibri" w:cs="Times New Roman"/>
                <w:noProof/>
                <w:sz w:val="22"/>
                <w:lang w:val="en-GB"/>
              </w:rPr>
              <w:t>larification requested on the type of exemptions from penalties that can be justified by exceptional circumstances</w:t>
            </w:r>
            <w:r w:rsidR="5A0DD84B" w:rsidRPr="00BB5286">
              <w:rPr>
                <w:rFonts w:eastAsia="Calibri" w:cs="Times New Roman"/>
                <w:noProof/>
                <w:sz w:val="22"/>
                <w:lang w:val="en-GB"/>
              </w:rPr>
              <w:t xml:space="preserve"> </w:t>
            </w:r>
            <w:r w:rsidR="6562513A" w:rsidRPr="00BB5286">
              <w:rPr>
                <w:rFonts w:eastAsia="Calibri" w:cs="Times New Roman"/>
                <w:noProof/>
                <w:sz w:val="22"/>
                <w:lang w:val="en-GB"/>
              </w:rPr>
              <w:t xml:space="preserve"> </w:t>
            </w:r>
            <w:r w:rsidR="6AD4760D" w:rsidRPr="00BB5286">
              <w:rPr>
                <w:rFonts w:eastAsia="Calibri" w:cs="Times New Roman"/>
                <w:noProof/>
                <w:sz w:val="22"/>
                <w:lang w:val="en-GB"/>
              </w:rPr>
              <w:t>(</w:t>
            </w:r>
            <w:r w:rsidR="6562513A" w:rsidRPr="00BB5286">
              <w:rPr>
                <w:rFonts w:eastAsia="Calibri" w:cs="Times New Roman"/>
                <w:i/>
                <w:iCs/>
                <w:noProof/>
                <w:sz w:val="22"/>
                <w:lang w:val="en-GB"/>
              </w:rPr>
              <w:t>Art</w:t>
            </w:r>
            <w:r w:rsidR="1F847371" w:rsidRPr="00BB5286">
              <w:rPr>
                <w:rFonts w:eastAsia="Calibri" w:cs="Times New Roman"/>
                <w:i/>
                <w:iCs/>
                <w:noProof/>
                <w:sz w:val="22"/>
                <w:lang w:val="en-GB"/>
              </w:rPr>
              <w:t>icles</w:t>
            </w:r>
            <w:r w:rsidRPr="00BB5286">
              <w:rPr>
                <w:rFonts w:eastAsia="Calibri" w:cs="Times New Roman"/>
                <w:i/>
                <w:noProof/>
                <w:sz w:val="22"/>
                <w:lang w:val="en-GB"/>
              </w:rPr>
              <w:t xml:space="preserve"> 3, 59 and 84(2)(c)(i)</w:t>
            </w:r>
            <w:r w:rsidRPr="00BB5286">
              <w:rPr>
                <w:rFonts w:eastAsia="Calibri" w:cs="Times New Roman"/>
                <w:noProof/>
                <w:sz w:val="22"/>
                <w:lang w:val="en-GB"/>
              </w:rPr>
              <w:t xml:space="preserve"> of </w:t>
            </w:r>
            <w:r w:rsidR="5529E1E2" w:rsidRPr="00BB5286">
              <w:rPr>
                <w:rFonts w:eastAsia="Calibri" w:cs="Times New Roman"/>
                <w:noProof/>
                <w:sz w:val="22"/>
                <w:lang w:val="en-GB"/>
              </w:rPr>
              <w:t xml:space="preserve">the Horizontal </w:t>
            </w:r>
            <w:r w:rsidRPr="00BB5286">
              <w:rPr>
                <w:rFonts w:eastAsia="Calibri" w:cs="Times New Roman"/>
                <w:noProof/>
                <w:sz w:val="22"/>
                <w:lang w:val="en-GB"/>
              </w:rPr>
              <w:t>Regulation</w:t>
            </w:r>
            <w:r w:rsidR="4AD1CBA6" w:rsidRPr="00BB5286">
              <w:rPr>
                <w:rFonts w:eastAsia="Calibri" w:cs="Times New Roman"/>
                <w:noProof/>
                <w:sz w:val="22"/>
                <w:lang w:val="en-GB"/>
              </w:rPr>
              <w:t>)</w:t>
            </w:r>
            <w:r w:rsidR="6562513A"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7F045"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SE</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96686" w14:textId="572063D3" w:rsidR="00874EF4" w:rsidRPr="00BB5286" w:rsidRDefault="5A060452" w:rsidP="00874EF4">
            <w:pPr>
              <w:spacing w:after="60" w:line="259" w:lineRule="auto"/>
              <w:jc w:val="both"/>
              <w:rPr>
                <w:rFonts w:eastAsia="Calibri" w:cs="Times New Roman"/>
                <w:noProof/>
                <w:sz w:val="22"/>
                <w:lang w:val="en-GB"/>
              </w:rPr>
            </w:pPr>
            <w:r w:rsidRPr="00BB5286">
              <w:rPr>
                <w:rFonts w:eastAsia="Calibri" w:cs="Times New Roman"/>
                <w:i/>
                <w:noProof/>
                <w:sz w:val="22"/>
                <w:lang w:val="en-GB"/>
              </w:rPr>
              <w:t>Article 3</w:t>
            </w:r>
            <w:r w:rsidRPr="00BB5286">
              <w:rPr>
                <w:rFonts w:eastAsia="Calibri" w:cs="Times New Roman"/>
                <w:noProof/>
                <w:sz w:val="22"/>
                <w:lang w:val="en-GB"/>
              </w:rPr>
              <w:t xml:space="preserve"> of</w:t>
            </w:r>
            <w:r w:rsidR="0BF6D2EC" w:rsidRPr="00BB5286">
              <w:rPr>
                <w:rFonts w:eastAsia="Calibri" w:cs="Times New Roman"/>
                <w:noProof/>
                <w:sz w:val="22"/>
                <w:lang w:val="en-GB"/>
              </w:rPr>
              <w:t xml:space="preserve"> </w:t>
            </w:r>
            <w:r w:rsidR="55C9C9D9" w:rsidRPr="00BB5286">
              <w:rPr>
                <w:rFonts w:eastAsia="Calibri" w:cs="Times New Roman"/>
                <w:noProof/>
                <w:sz w:val="22"/>
                <w:lang w:val="en-GB"/>
              </w:rPr>
              <w:t>the Horizontal</w:t>
            </w:r>
            <w:r w:rsidRPr="00BB5286">
              <w:rPr>
                <w:rFonts w:eastAsia="Calibri" w:cs="Times New Roman"/>
                <w:noProof/>
                <w:sz w:val="22"/>
                <w:lang w:val="en-GB"/>
              </w:rPr>
              <w:t xml:space="preserve"> Regulation lists all </w:t>
            </w:r>
            <w:r w:rsidR="70470CC9" w:rsidRPr="00BB5286">
              <w:rPr>
                <w:rFonts w:eastAsia="Calibri" w:cs="Times New Roman"/>
                <w:noProof/>
                <w:sz w:val="22"/>
                <w:lang w:val="en-GB"/>
              </w:rPr>
              <w:t xml:space="preserve">the </w:t>
            </w:r>
            <w:r w:rsidRPr="00BB5286">
              <w:rPr>
                <w:rFonts w:eastAsia="Calibri" w:cs="Times New Roman"/>
                <w:noProof/>
                <w:sz w:val="22"/>
                <w:lang w:val="en-GB"/>
              </w:rPr>
              <w:t>exceptions in case of force majeure and exceptional circumstances. Sanctions do not apply on payments and conditionality in cases of exceptional circumstances. There is an exception for social conditionality: only cases of force majeure (not exceptional circumstances) can be exempted from sanctions (</w:t>
            </w:r>
            <w:r w:rsidRPr="00BB5286">
              <w:rPr>
                <w:rFonts w:eastAsia="Calibri" w:cs="Times New Roman"/>
                <w:i/>
                <w:noProof/>
                <w:sz w:val="22"/>
                <w:lang w:val="en-GB"/>
              </w:rPr>
              <w:t>Article 88(2)(b)(i)</w:t>
            </w:r>
            <w:r w:rsidRPr="00BB5286">
              <w:rPr>
                <w:rFonts w:eastAsia="Calibri" w:cs="Times New Roman"/>
                <w:noProof/>
                <w:sz w:val="22"/>
                <w:lang w:val="en-GB"/>
              </w:rPr>
              <w:t xml:space="preserve"> of </w:t>
            </w:r>
            <w:r w:rsidR="46ADB51A" w:rsidRPr="00BB5286">
              <w:rPr>
                <w:rFonts w:eastAsia="Calibri" w:cs="Times New Roman"/>
                <w:noProof/>
                <w:sz w:val="22"/>
                <w:lang w:val="en-GB"/>
              </w:rPr>
              <w:t xml:space="preserve">the Horizontal </w:t>
            </w:r>
            <w:r w:rsidRPr="00BB5286" w:rsidDel="008C0045">
              <w:rPr>
                <w:rFonts w:eastAsia="Calibri" w:cs="Times New Roman"/>
                <w:noProof/>
                <w:sz w:val="22"/>
                <w:lang w:val="en-GB"/>
              </w:rPr>
              <w:t>Regulation</w:t>
            </w:r>
            <w:r w:rsidRPr="00BB5286">
              <w:rPr>
                <w:rFonts w:eastAsia="Calibri" w:cs="Times New Roman"/>
                <w:noProof/>
                <w:sz w:val="22"/>
                <w:lang w:val="en-GB"/>
              </w:rPr>
              <w:t>)</w:t>
            </w:r>
            <w:r w:rsidRPr="00BB5286" w:rsidDel="008C0045">
              <w:rPr>
                <w:rFonts w:eastAsia="Calibri" w:cs="Times New Roman"/>
                <w:noProof/>
                <w:sz w:val="22"/>
                <w:lang w:val="en-GB"/>
              </w:rPr>
              <w:t xml:space="preserve">. </w:t>
            </w:r>
            <w:r w:rsidRPr="00BB5286">
              <w:rPr>
                <w:rFonts w:eastAsia="Calibri" w:cs="Times New Roman"/>
                <w:noProof/>
                <w:sz w:val="22"/>
                <w:lang w:val="en-GB"/>
              </w:rPr>
              <w:t>Within the simplification package, on 30 May 2024, the Commission adopted a Communication to the Council on force majeure and exceptional circumstances</w:t>
            </w:r>
            <w:r w:rsidR="00CE2037" w:rsidRPr="00BB5286">
              <w:rPr>
                <w:rFonts w:eastAsia="Calibri" w:cs="Times New Roman"/>
                <w:noProof/>
                <w:sz w:val="22"/>
                <w:lang w:val="en-GB"/>
              </w:rPr>
              <w:t xml:space="preserve"> </w:t>
            </w:r>
            <w:r w:rsidRPr="00BB5286">
              <w:rPr>
                <w:rFonts w:eastAsia="Calibri" w:cs="Times New Roman"/>
                <w:noProof/>
                <w:sz w:val="22"/>
                <w:lang w:val="en-GB"/>
              </w:rPr>
              <w:t>in the Horizontal Regulation</w:t>
            </w:r>
            <w:r w:rsidR="70470CC9" w:rsidRPr="00BB5286">
              <w:rPr>
                <w:rFonts w:eastAsia="Calibri" w:cs="Times New Roman"/>
                <w:noProof/>
                <w:sz w:val="22"/>
                <w:lang w:val="en-GB"/>
              </w:rPr>
              <w:t>,</w:t>
            </w:r>
            <w:r w:rsidRPr="00BB5286">
              <w:rPr>
                <w:rFonts w:eastAsia="Calibri" w:cs="Times New Roman"/>
                <w:noProof/>
                <w:sz w:val="22"/>
                <w:lang w:val="en-GB"/>
              </w:rPr>
              <w:t xml:space="preserve"> which clarifies the application of this concept</w:t>
            </w:r>
            <w:r w:rsidR="00CE2037" w:rsidRPr="00BB5286">
              <w:rPr>
                <w:rFonts w:eastAsia="Calibri" w:cs="Times New Roman"/>
                <w:noProof/>
                <w:sz w:val="22"/>
                <w:lang w:val="en-GB"/>
              </w:rPr>
              <w:t xml:space="preserve"> (COM(2024)225 final)</w:t>
            </w:r>
            <w:r w:rsidRPr="00BB5286">
              <w:rPr>
                <w:rFonts w:eastAsia="Calibri" w:cs="Times New Roman"/>
                <w:noProof/>
                <w:sz w:val="22"/>
                <w:lang w:val="en-GB"/>
              </w:rPr>
              <w:t xml:space="preserve">. </w:t>
            </w:r>
          </w:p>
        </w:tc>
      </w:tr>
      <w:tr w:rsidR="001F253E" w:rsidRPr="00BB5286" w14:paraId="566721DB"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5F0E8" w14:textId="77777777" w:rsidR="00874EF4" w:rsidRPr="00BB5286" w:rsidRDefault="00874EF4" w:rsidP="00874EF4">
            <w:pPr>
              <w:spacing w:after="60" w:line="259" w:lineRule="auto"/>
              <w:jc w:val="center"/>
              <w:rPr>
                <w:rFonts w:eastAsia="Calibri" w:cs="Times New Roman"/>
                <w:b/>
                <w:bCs/>
                <w:noProof/>
                <w:sz w:val="22"/>
                <w:lang w:val="en-GB"/>
              </w:rPr>
            </w:pPr>
            <w:r w:rsidRPr="00BB5286">
              <w:rPr>
                <w:rFonts w:eastAsia="Calibri" w:cs="Times New Roman"/>
                <w:b/>
                <w:noProof/>
                <w:sz w:val="22"/>
                <w:lang w:val="en-GB"/>
              </w:rPr>
              <w:t>73</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7BF36" w14:textId="1190D768"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Scope:</w:t>
            </w:r>
            <w:r w:rsidRPr="00BB5286">
              <w:rPr>
                <w:rFonts w:eastAsia="Calibri" w:cs="Times New Roman"/>
                <w:noProof/>
                <w:sz w:val="22"/>
                <w:lang w:val="en-GB"/>
              </w:rPr>
              <w:t xml:space="preserve"> </w:t>
            </w:r>
            <w:r w:rsidR="2C07C47C" w:rsidRPr="00BB5286">
              <w:rPr>
                <w:rFonts w:eastAsia="Calibri" w:cs="Times New Roman"/>
                <w:noProof/>
                <w:sz w:val="22"/>
                <w:lang w:val="en-GB"/>
              </w:rPr>
              <w:t>r</w:t>
            </w:r>
            <w:r w:rsidRPr="00BB5286">
              <w:rPr>
                <w:rFonts w:eastAsia="Calibri" w:cs="Times New Roman"/>
                <w:noProof/>
                <w:sz w:val="22"/>
                <w:lang w:val="en-GB"/>
              </w:rPr>
              <w:t xml:space="preserve">equest not to apply controls and penalties/sanctions below a threshold </w:t>
            </w:r>
            <w:r w:rsidR="00675A36" w:rsidRPr="00BB5286">
              <w:rPr>
                <w:rFonts w:eastAsia="Calibri" w:cs="Times New Roman"/>
                <w:noProof/>
                <w:sz w:val="22"/>
                <w:lang w:val="en-GB"/>
              </w:rPr>
              <w:t xml:space="preserve">for </w:t>
            </w:r>
            <w:r w:rsidRPr="00BB5286">
              <w:rPr>
                <w:rFonts w:eastAsia="Calibri" w:cs="Times New Roman"/>
                <w:noProof/>
                <w:sz w:val="22"/>
                <w:lang w:val="en-GB"/>
              </w:rPr>
              <w:t xml:space="preserve">subsidies </w:t>
            </w:r>
            <w:r w:rsidR="00675A36" w:rsidRPr="00BB5286">
              <w:rPr>
                <w:rFonts w:eastAsia="Calibri" w:cs="Times New Roman"/>
                <w:noProof/>
                <w:sz w:val="22"/>
                <w:lang w:val="en-GB"/>
              </w:rPr>
              <w:t>or for</w:t>
            </w:r>
            <w:r w:rsidRPr="00BB5286">
              <w:rPr>
                <w:rFonts w:eastAsia="Calibri" w:cs="Times New Roman"/>
                <w:noProof/>
                <w:sz w:val="22"/>
                <w:lang w:val="en-GB"/>
              </w:rPr>
              <w:t xml:space="preserve"> small farms.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F46AC"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CY</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6F5F9" w14:textId="53CB9A23"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design of the control and penalty system is up to Member States. As part of the </w:t>
            </w:r>
            <w:r w:rsidR="00675A36" w:rsidRPr="00BB5286">
              <w:rPr>
                <w:rFonts w:eastAsia="Calibri" w:cs="Times New Roman"/>
                <w:noProof/>
                <w:sz w:val="22"/>
                <w:lang w:val="en-GB"/>
              </w:rPr>
              <w:t>s</w:t>
            </w:r>
            <w:r w:rsidRPr="00BB5286">
              <w:rPr>
                <w:rFonts w:eastAsia="Calibri" w:cs="Times New Roman"/>
                <w:noProof/>
                <w:sz w:val="22"/>
                <w:lang w:val="en-GB"/>
              </w:rPr>
              <w:t xml:space="preserve">implification </w:t>
            </w:r>
            <w:r w:rsidR="00675A36" w:rsidRPr="00BB5286">
              <w:rPr>
                <w:rFonts w:eastAsia="Calibri" w:cs="Times New Roman"/>
                <w:noProof/>
                <w:sz w:val="22"/>
                <w:lang w:val="en-GB"/>
              </w:rPr>
              <w:t>p</w:t>
            </w:r>
            <w:r w:rsidRPr="00BB5286">
              <w:rPr>
                <w:rFonts w:eastAsia="Calibri" w:cs="Times New Roman"/>
                <w:noProof/>
                <w:sz w:val="22"/>
                <w:lang w:val="en-GB"/>
              </w:rPr>
              <w:t xml:space="preserve">ackage the Commission proposed to amend </w:t>
            </w:r>
            <w:r w:rsidR="55634485" w:rsidRPr="00BB5286">
              <w:rPr>
                <w:rFonts w:eastAsia="Calibri" w:cs="Times New Roman"/>
                <w:noProof/>
                <w:sz w:val="22"/>
                <w:lang w:val="en-GB"/>
              </w:rPr>
              <w:t xml:space="preserve">the Horizontal </w:t>
            </w:r>
            <w:r w:rsidR="00F0165C" w:rsidRPr="00BB5286">
              <w:rPr>
                <w:rFonts w:eastAsia="Calibri" w:cs="Times New Roman"/>
                <w:noProof/>
                <w:sz w:val="22"/>
                <w:lang w:val="en-GB"/>
              </w:rPr>
              <w:t xml:space="preserve">Regulation </w:t>
            </w:r>
            <w:r w:rsidRPr="00BB5286">
              <w:rPr>
                <w:rFonts w:eastAsia="Calibri" w:cs="Times New Roman"/>
                <w:noProof/>
                <w:sz w:val="22"/>
                <w:lang w:val="en-GB"/>
              </w:rPr>
              <w:t>to remove conditionality controls and penalties for small</w:t>
            </w:r>
            <w:r w:rsidR="00B63F99">
              <w:rPr>
                <w:rFonts w:eastAsia="Calibri" w:cs="Times New Roman"/>
                <w:noProof/>
                <w:sz w:val="22"/>
                <w:lang w:val="en-GB"/>
              </w:rPr>
              <w:t xml:space="preserve"> </w:t>
            </w:r>
            <w:r w:rsidRPr="00BB5286">
              <w:rPr>
                <w:rFonts w:eastAsia="Calibri" w:cs="Times New Roman"/>
                <w:noProof/>
                <w:sz w:val="22"/>
                <w:lang w:val="en-GB"/>
              </w:rPr>
              <w:t>farmers (below 10 hectares</w:t>
            </w:r>
            <w:r w:rsidR="000D3160">
              <w:rPr>
                <w:rFonts w:eastAsia="Calibri" w:cs="Times New Roman"/>
                <w:noProof/>
                <w:sz w:val="22"/>
                <w:lang w:val="en-GB"/>
              </w:rPr>
              <w:t xml:space="preserve"> of agricultural area</w:t>
            </w:r>
            <w:r w:rsidRPr="00BB5286">
              <w:rPr>
                <w:rFonts w:eastAsia="Calibri" w:cs="Times New Roman"/>
                <w:noProof/>
                <w:sz w:val="22"/>
                <w:lang w:val="en-GB"/>
              </w:rPr>
              <w:t>)</w:t>
            </w:r>
            <w:r w:rsidR="00747FCF" w:rsidRPr="00BB5286">
              <w:rPr>
                <w:rFonts w:eastAsia="Calibri" w:cs="Times New Roman"/>
                <w:noProof/>
                <w:sz w:val="22"/>
                <w:lang w:val="en-GB"/>
              </w:rPr>
              <w:t xml:space="preserve"> (</w:t>
            </w:r>
            <w:r w:rsidR="009E588D" w:rsidRPr="00BB5286">
              <w:rPr>
                <w:rFonts w:eastAsia="Calibri" w:cs="Times New Roman"/>
                <w:noProof/>
                <w:sz w:val="22"/>
                <w:lang w:val="en-GB"/>
              </w:rPr>
              <w:t xml:space="preserve">see </w:t>
            </w:r>
            <w:r w:rsidR="00747FCF" w:rsidRPr="00BB5286">
              <w:rPr>
                <w:rFonts w:eastAsia="Calibri" w:cs="Times New Roman"/>
                <w:noProof/>
                <w:sz w:val="22"/>
                <w:lang w:val="en-GB"/>
              </w:rPr>
              <w:t>the adopted Simplification Regulation).</w:t>
            </w:r>
          </w:p>
        </w:tc>
      </w:tr>
      <w:tr w:rsidR="001F253E" w:rsidRPr="00BB5286" w14:paraId="35FDEC27"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AA493" w14:textId="77777777" w:rsidR="00874EF4" w:rsidRPr="00BB5286" w:rsidRDefault="00874EF4" w:rsidP="00874EF4">
            <w:pPr>
              <w:spacing w:after="60" w:line="259" w:lineRule="auto"/>
              <w:jc w:val="center"/>
              <w:rPr>
                <w:rFonts w:eastAsia="Calibri" w:cs="Times New Roman"/>
                <w:b/>
                <w:bCs/>
                <w:noProof/>
                <w:sz w:val="22"/>
                <w:lang w:val="en-GB"/>
              </w:rPr>
            </w:pPr>
            <w:r w:rsidRPr="00BB5286">
              <w:rPr>
                <w:rFonts w:eastAsia="Calibri" w:cs="Times New Roman"/>
                <w:b/>
                <w:noProof/>
                <w:sz w:val="22"/>
                <w:lang w:val="en-GB"/>
              </w:rPr>
              <w:t>74</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88952" w14:textId="7172775E"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Scope:</w:t>
            </w:r>
            <w:r w:rsidRPr="00BB5286">
              <w:rPr>
                <w:rFonts w:eastAsia="Calibri" w:cs="Times New Roman"/>
                <w:noProof/>
                <w:sz w:val="22"/>
                <w:lang w:val="en-GB"/>
              </w:rPr>
              <w:t xml:space="preserve"> </w:t>
            </w:r>
            <w:r w:rsidR="6E19C688" w:rsidRPr="00BB5286">
              <w:rPr>
                <w:rFonts w:eastAsia="Calibri" w:cs="Times New Roman"/>
                <w:noProof/>
                <w:sz w:val="22"/>
                <w:lang w:val="en-GB"/>
              </w:rPr>
              <w:t>l</w:t>
            </w:r>
            <w:r w:rsidRPr="00BB5286">
              <w:rPr>
                <w:rFonts w:eastAsia="Calibri" w:cs="Times New Roman"/>
                <w:noProof/>
                <w:sz w:val="22"/>
                <w:lang w:val="en-GB"/>
              </w:rPr>
              <w:t xml:space="preserve">imit the control of animal numbers only to aid </w:t>
            </w:r>
            <w:r w:rsidR="002801B4" w:rsidRPr="00BB5286">
              <w:rPr>
                <w:rFonts w:eastAsia="Calibri" w:cs="Times New Roman"/>
                <w:noProof/>
                <w:sz w:val="22"/>
                <w:lang w:val="en-GB"/>
              </w:rPr>
              <w:t xml:space="preserve">coupled to </w:t>
            </w:r>
            <w:r w:rsidRPr="00BB5286">
              <w:rPr>
                <w:rFonts w:eastAsia="Calibri" w:cs="Times New Roman"/>
                <w:noProof/>
                <w:sz w:val="22"/>
                <w:lang w:val="en-GB"/>
              </w:rPr>
              <w:t>animal production</w:t>
            </w:r>
            <w:r w:rsidR="004C5DD2"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8FA89"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EL, FR</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03B41" w14:textId="26BECF12"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It is in principle up to Member States to decide on their eligibility control rate, however the controls cannot be limited </w:t>
            </w:r>
            <w:r w:rsidR="00675A36" w:rsidRPr="00BB5286">
              <w:rPr>
                <w:rFonts w:eastAsia="Calibri" w:cs="Times New Roman"/>
                <w:noProof/>
                <w:sz w:val="22"/>
                <w:lang w:val="en-GB"/>
              </w:rPr>
              <w:t xml:space="preserve">only </w:t>
            </w:r>
            <w:r w:rsidRPr="00BB5286">
              <w:rPr>
                <w:rFonts w:eastAsia="Calibri" w:cs="Times New Roman"/>
                <w:noProof/>
                <w:sz w:val="22"/>
                <w:lang w:val="en-GB"/>
              </w:rPr>
              <w:t>to a single intervention. As regards conditionality</w:t>
            </w:r>
            <w:r w:rsidR="00675A36" w:rsidRPr="00BB5286">
              <w:rPr>
                <w:rFonts w:eastAsia="Calibri" w:cs="Times New Roman"/>
                <w:noProof/>
                <w:sz w:val="22"/>
                <w:lang w:val="en-GB"/>
              </w:rPr>
              <w:t>,</w:t>
            </w:r>
            <w:r w:rsidRPr="00BB5286">
              <w:rPr>
                <w:rFonts w:eastAsia="Calibri" w:cs="Times New Roman"/>
                <w:noProof/>
                <w:sz w:val="22"/>
                <w:lang w:val="en-GB"/>
              </w:rPr>
              <w:t xml:space="preserve"> the control sample is </w:t>
            </w:r>
            <w:r w:rsidR="00675A36" w:rsidRPr="00BB5286">
              <w:rPr>
                <w:rFonts w:eastAsia="Calibri" w:cs="Times New Roman"/>
                <w:noProof/>
                <w:sz w:val="22"/>
                <w:lang w:val="en-GB"/>
              </w:rPr>
              <w:t xml:space="preserve">set </w:t>
            </w:r>
            <w:r w:rsidRPr="00BB5286">
              <w:rPr>
                <w:rFonts w:eastAsia="Calibri" w:cs="Times New Roman"/>
                <w:noProof/>
                <w:sz w:val="22"/>
                <w:lang w:val="en-GB"/>
              </w:rPr>
              <w:t xml:space="preserve">at 1% of beneficiaries. In any case, the whole farm approach (all parcels and premises are to be controlled on all conditionality obligations and all payments together will be affected </w:t>
            </w:r>
            <w:r w:rsidR="00675A36" w:rsidRPr="00BB5286">
              <w:rPr>
                <w:rFonts w:eastAsia="Calibri" w:cs="Times New Roman"/>
                <w:noProof/>
                <w:sz w:val="22"/>
                <w:lang w:val="en-GB"/>
              </w:rPr>
              <w:t>if</w:t>
            </w:r>
            <w:r w:rsidRPr="00BB5286">
              <w:rPr>
                <w:rFonts w:eastAsia="Calibri" w:cs="Times New Roman"/>
                <w:noProof/>
                <w:sz w:val="22"/>
                <w:lang w:val="en-GB"/>
              </w:rPr>
              <w:t xml:space="preserve"> penalties</w:t>
            </w:r>
            <w:r w:rsidR="00675A36" w:rsidRPr="00BB5286">
              <w:rPr>
                <w:rFonts w:eastAsia="Calibri" w:cs="Times New Roman"/>
                <w:noProof/>
                <w:sz w:val="22"/>
                <w:lang w:val="en-GB"/>
              </w:rPr>
              <w:t xml:space="preserve"> are applied</w:t>
            </w:r>
            <w:r w:rsidRPr="00BB5286">
              <w:rPr>
                <w:rFonts w:eastAsia="Calibri" w:cs="Times New Roman"/>
                <w:noProof/>
                <w:sz w:val="22"/>
                <w:lang w:val="en-GB"/>
              </w:rPr>
              <w:t xml:space="preserve">) applies in order to be </w:t>
            </w:r>
            <w:r w:rsidR="00675A36" w:rsidRPr="00BB5286">
              <w:rPr>
                <w:rFonts w:eastAsia="Calibri" w:cs="Times New Roman"/>
                <w:noProof/>
                <w:sz w:val="22"/>
                <w:lang w:val="en-GB"/>
              </w:rPr>
              <w:t xml:space="preserve">a </w:t>
            </w:r>
            <w:r w:rsidRPr="00BB5286">
              <w:rPr>
                <w:rFonts w:eastAsia="Calibri" w:cs="Times New Roman"/>
                <w:noProof/>
                <w:sz w:val="22"/>
                <w:lang w:val="en-GB"/>
              </w:rPr>
              <w:t xml:space="preserve">deterrent and proportionate. As from 2023, </w:t>
            </w:r>
            <w:r w:rsidR="00675A36" w:rsidRPr="00BB5286">
              <w:rPr>
                <w:rFonts w:eastAsia="Calibri" w:cs="Times New Roman"/>
                <w:noProof/>
                <w:sz w:val="22"/>
                <w:lang w:val="en-GB"/>
              </w:rPr>
              <w:t xml:space="preserve">the </w:t>
            </w:r>
            <w:r w:rsidRPr="00BB5286">
              <w:rPr>
                <w:rFonts w:eastAsia="Calibri" w:cs="Times New Roman"/>
                <w:noProof/>
                <w:sz w:val="22"/>
                <w:lang w:val="en-GB"/>
              </w:rPr>
              <w:t xml:space="preserve">identification and registration of animals is not </w:t>
            </w:r>
            <w:r w:rsidR="00675A36" w:rsidRPr="00BB5286">
              <w:rPr>
                <w:rFonts w:eastAsia="Calibri" w:cs="Times New Roman"/>
                <w:noProof/>
                <w:sz w:val="22"/>
                <w:lang w:val="en-GB"/>
              </w:rPr>
              <w:t xml:space="preserve">within the scope </w:t>
            </w:r>
            <w:r w:rsidRPr="00BB5286">
              <w:rPr>
                <w:rFonts w:eastAsia="Calibri" w:cs="Times New Roman"/>
                <w:noProof/>
                <w:sz w:val="22"/>
                <w:lang w:val="en-GB"/>
              </w:rPr>
              <w:t>conditionality.</w:t>
            </w:r>
          </w:p>
        </w:tc>
      </w:tr>
      <w:tr w:rsidR="001F253E" w:rsidRPr="00BB5286" w14:paraId="0F466911"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96F34"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lastRenderedPageBreak/>
              <w:t>75</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C1255" w14:textId="335AE1CA" w:rsidR="00874EF4" w:rsidRPr="00BB5286" w:rsidRDefault="00874EF4" w:rsidP="00874EF4">
            <w:pPr>
              <w:spacing w:after="60" w:line="259" w:lineRule="auto"/>
              <w:jc w:val="both"/>
              <w:rPr>
                <w:rFonts w:eastAsia="Calibri" w:cs="Times New Roman"/>
                <w:i/>
                <w:noProof/>
                <w:sz w:val="22"/>
                <w:lang w:val="en-GB"/>
              </w:rPr>
            </w:pPr>
            <w:r w:rsidRPr="00BB5286">
              <w:rPr>
                <w:rFonts w:eastAsia="Calibri" w:cs="Times New Roman"/>
                <w:b/>
                <w:noProof/>
                <w:sz w:val="22"/>
                <w:lang w:val="en-GB"/>
              </w:rPr>
              <w:t>Scope:</w:t>
            </w:r>
            <w:r w:rsidRPr="00BB5286">
              <w:rPr>
                <w:rFonts w:eastAsia="Calibri" w:cs="Times New Roman"/>
                <w:noProof/>
                <w:sz w:val="22"/>
                <w:lang w:val="en-GB"/>
              </w:rPr>
              <w:t xml:space="preserve"> </w:t>
            </w:r>
            <w:r w:rsidR="49B24CF7" w:rsidRPr="00BB5286">
              <w:rPr>
                <w:rFonts w:eastAsia="Calibri" w:cs="Times New Roman"/>
                <w:noProof/>
                <w:sz w:val="22"/>
                <w:lang w:val="en-GB"/>
              </w:rPr>
              <w:t>e</w:t>
            </w:r>
            <w:r w:rsidRPr="00BB5286">
              <w:rPr>
                <w:rFonts w:eastAsia="Calibri" w:cs="Times New Roman"/>
                <w:noProof/>
                <w:sz w:val="22"/>
                <w:lang w:val="en-GB"/>
              </w:rPr>
              <w:t xml:space="preserve">xempt small farmers from conditionality controls </w:t>
            </w:r>
            <w:r w:rsidR="1338FF8F" w:rsidRPr="00BB5286">
              <w:rPr>
                <w:rFonts w:eastAsia="Calibri" w:cs="Times New Roman"/>
                <w:noProof/>
                <w:sz w:val="22"/>
                <w:lang w:val="en-GB"/>
              </w:rPr>
              <w:t>(</w:t>
            </w:r>
            <w:r w:rsidR="6562513A" w:rsidRPr="00BB5286">
              <w:rPr>
                <w:rFonts w:eastAsia="Calibri" w:cs="Times New Roman"/>
                <w:i/>
                <w:iCs/>
                <w:noProof/>
                <w:sz w:val="22"/>
                <w:lang w:val="en-GB"/>
              </w:rPr>
              <w:t>Art</w:t>
            </w:r>
            <w:r w:rsidR="5553F966" w:rsidRPr="00BB5286">
              <w:rPr>
                <w:rFonts w:eastAsia="Calibri" w:cs="Times New Roman"/>
                <w:i/>
                <w:iCs/>
                <w:noProof/>
                <w:sz w:val="22"/>
                <w:lang w:val="en-GB"/>
              </w:rPr>
              <w:t>icle</w:t>
            </w:r>
            <w:r w:rsidRPr="00BB5286">
              <w:rPr>
                <w:rFonts w:eastAsia="Calibri" w:cs="Times New Roman"/>
                <w:i/>
                <w:noProof/>
                <w:sz w:val="22"/>
                <w:lang w:val="en-GB"/>
              </w:rPr>
              <w:t xml:space="preserve"> 83 of</w:t>
            </w:r>
            <w:r w:rsidRPr="00BB5286">
              <w:rPr>
                <w:rFonts w:eastAsia="Calibri" w:cs="Times New Roman"/>
                <w:noProof/>
                <w:sz w:val="22"/>
                <w:lang w:val="en-GB"/>
              </w:rPr>
              <w:t xml:space="preserve"> </w:t>
            </w:r>
            <w:r w:rsidR="1CDAC1FC" w:rsidRPr="00BB5286">
              <w:rPr>
                <w:rFonts w:eastAsia="Calibri" w:cs="Times New Roman"/>
                <w:noProof/>
                <w:sz w:val="22"/>
                <w:lang w:val="en-GB"/>
              </w:rPr>
              <w:t xml:space="preserve">the Horizontal </w:t>
            </w:r>
            <w:r w:rsidRPr="00BB5286">
              <w:rPr>
                <w:rFonts w:eastAsia="Calibri" w:cs="Times New Roman"/>
                <w:noProof/>
                <w:sz w:val="22"/>
                <w:lang w:val="en-GB"/>
              </w:rPr>
              <w:t>Regulation</w:t>
            </w:r>
            <w:r w:rsidR="6562513A" w:rsidRPr="00BB5286">
              <w:rPr>
                <w:rFonts w:eastAsia="Calibri" w:cs="Times New Roman"/>
                <w:noProof/>
                <w:sz w:val="22"/>
                <w:lang w:val="en-GB"/>
              </w:rPr>
              <w:t>.</w:t>
            </w:r>
            <w:r w:rsidR="48C6F4EA"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804B3" w14:textId="77777777" w:rsidR="00874EF4" w:rsidRPr="00BB5286" w:rsidRDefault="00874EF4" w:rsidP="00874EF4">
            <w:pPr>
              <w:spacing w:after="60" w:line="259" w:lineRule="auto"/>
              <w:jc w:val="center"/>
              <w:rPr>
                <w:rFonts w:eastAsia="MS Gothic" w:cs="Times New Roman"/>
                <w:b/>
                <w:bCs/>
                <w:noProof/>
                <w:color w:val="0033CC"/>
                <w:sz w:val="22"/>
                <w:lang w:val="es-CU"/>
              </w:rPr>
            </w:pPr>
            <w:r w:rsidRPr="00BB5286">
              <w:rPr>
                <w:rFonts w:eastAsia="MS Gothic" w:cs="Times New Roman"/>
                <w:b/>
                <w:noProof/>
                <w:color w:val="0033CC"/>
                <w:sz w:val="22"/>
                <w:lang w:val="es-CU"/>
              </w:rPr>
              <w:t>ES, RO, SI,</w:t>
            </w:r>
          </w:p>
          <w:p w14:paraId="3B48F4E2" w14:textId="77777777" w:rsidR="00874EF4" w:rsidRPr="00BB5286" w:rsidRDefault="00874EF4" w:rsidP="00874EF4">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EL, HR</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0735C" w14:textId="4094C73E"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This suggestion was addressed by the simplification package, which includes </w:t>
            </w:r>
            <w:r w:rsidR="002801B4" w:rsidRPr="00BB5286">
              <w:rPr>
                <w:rFonts w:eastAsia="Calibri" w:cs="Times New Roman"/>
                <w:noProof/>
                <w:sz w:val="22"/>
                <w:lang w:val="en-GB"/>
              </w:rPr>
              <w:t xml:space="preserve">the </w:t>
            </w:r>
            <w:r w:rsidRPr="00BB5286">
              <w:rPr>
                <w:rFonts w:eastAsia="Calibri" w:cs="Times New Roman"/>
                <w:noProof/>
                <w:sz w:val="22"/>
                <w:lang w:val="en-GB"/>
              </w:rPr>
              <w:t xml:space="preserve">Commission proposal to amend </w:t>
            </w:r>
            <w:r w:rsidR="1658B4FB" w:rsidRPr="00BB5286">
              <w:rPr>
                <w:rFonts w:eastAsia="Calibri" w:cs="Times New Roman"/>
                <w:noProof/>
                <w:sz w:val="22"/>
                <w:lang w:val="en-GB"/>
              </w:rPr>
              <w:t xml:space="preserve">the Horizontal </w:t>
            </w:r>
            <w:r w:rsidRPr="00BB5286">
              <w:rPr>
                <w:rFonts w:eastAsia="Calibri" w:cs="Times New Roman"/>
                <w:noProof/>
                <w:sz w:val="22"/>
                <w:lang w:val="en-GB"/>
              </w:rPr>
              <w:t>Regulation</w:t>
            </w:r>
            <w:r w:rsidR="00D2778E" w:rsidRPr="00BB5286">
              <w:rPr>
                <w:rFonts w:eastAsia="Calibri" w:cs="Times New Roman"/>
                <w:noProof/>
                <w:sz w:val="22"/>
                <w:lang w:val="en-GB"/>
              </w:rPr>
              <w:t xml:space="preserve"> (</w:t>
            </w:r>
            <w:r w:rsidR="009E588D" w:rsidRPr="00BB5286">
              <w:rPr>
                <w:rFonts w:eastAsia="Calibri" w:cs="Times New Roman"/>
                <w:noProof/>
                <w:sz w:val="22"/>
                <w:lang w:val="en-GB"/>
              </w:rPr>
              <w:t xml:space="preserve">see </w:t>
            </w:r>
            <w:r w:rsidR="00D2778E" w:rsidRPr="00BB5286">
              <w:rPr>
                <w:rFonts w:eastAsia="Calibri" w:cs="Times New Roman"/>
                <w:noProof/>
                <w:sz w:val="22"/>
                <w:lang w:val="en-GB"/>
              </w:rPr>
              <w:t>the adopted Simplification Regulation)</w:t>
            </w:r>
            <w:r w:rsidRPr="00BB5286">
              <w:rPr>
                <w:rFonts w:eastAsia="Calibri" w:cs="Times New Roman"/>
                <w:noProof/>
                <w:sz w:val="22"/>
                <w:lang w:val="en-GB"/>
              </w:rPr>
              <w:t>.</w:t>
            </w:r>
          </w:p>
        </w:tc>
      </w:tr>
      <w:tr w:rsidR="001F253E" w:rsidRPr="00BB5286" w14:paraId="6DBB7188"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96015"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76</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27D43C" w14:textId="31956C18"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Scope:</w:t>
            </w:r>
            <w:r w:rsidRPr="00BB5286">
              <w:rPr>
                <w:rFonts w:eastAsia="Calibri" w:cs="Times New Roman"/>
                <w:noProof/>
                <w:sz w:val="22"/>
                <w:lang w:val="en-GB"/>
              </w:rPr>
              <w:t xml:space="preserve"> </w:t>
            </w:r>
            <w:r w:rsidR="00014EF5" w:rsidRPr="00BB5286">
              <w:rPr>
                <w:rFonts w:eastAsia="Calibri" w:cs="Times New Roman"/>
                <w:noProof/>
                <w:sz w:val="22"/>
                <w:lang w:val="en-GB"/>
              </w:rPr>
              <w:t>e</w:t>
            </w:r>
            <w:r w:rsidRPr="00BB5286">
              <w:rPr>
                <w:rFonts w:eastAsia="Calibri" w:cs="Times New Roman"/>
                <w:noProof/>
                <w:sz w:val="22"/>
                <w:lang w:val="en-GB"/>
              </w:rPr>
              <w:t xml:space="preserve">xempt </w:t>
            </w:r>
            <w:r w:rsidR="002801B4" w:rsidRPr="00BB5286">
              <w:rPr>
                <w:rFonts w:eastAsia="Calibri" w:cs="Times New Roman"/>
                <w:noProof/>
                <w:sz w:val="22"/>
                <w:lang w:val="en-GB"/>
              </w:rPr>
              <w:t xml:space="preserve">communal pastures </w:t>
            </w:r>
            <w:r w:rsidRPr="00BB5286">
              <w:rPr>
                <w:rFonts w:eastAsia="Calibri" w:cs="Times New Roman"/>
                <w:noProof/>
                <w:sz w:val="22"/>
                <w:lang w:val="en-GB"/>
              </w:rPr>
              <w:t xml:space="preserve">from controls and penalties </w:t>
            </w:r>
            <w:r w:rsidR="0105D1E6" w:rsidRPr="00BB5286">
              <w:rPr>
                <w:rFonts w:eastAsia="Calibri" w:cs="Times New Roman"/>
                <w:noProof/>
                <w:sz w:val="22"/>
                <w:lang w:val="en-GB"/>
              </w:rPr>
              <w:t>(</w:t>
            </w:r>
            <w:r w:rsidR="6562513A" w:rsidRPr="00BB5286">
              <w:rPr>
                <w:rFonts w:eastAsia="Calibri" w:cs="Times New Roman"/>
                <w:i/>
                <w:iCs/>
                <w:noProof/>
                <w:sz w:val="22"/>
                <w:lang w:val="en-GB"/>
              </w:rPr>
              <w:t>Art</w:t>
            </w:r>
            <w:r w:rsidR="47BCBCF8" w:rsidRPr="00BB5286">
              <w:rPr>
                <w:rFonts w:eastAsia="Calibri" w:cs="Times New Roman"/>
                <w:i/>
                <w:iCs/>
                <w:noProof/>
                <w:sz w:val="22"/>
                <w:lang w:val="en-GB"/>
              </w:rPr>
              <w:t>icle</w:t>
            </w:r>
            <w:r w:rsidRPr="00BB5286">
              <w:rPr>
                <w:rFonts w:eastAsia="Calibri" w:cs="Times New Roman"/>
                <w:i/>
                <w:noProof/>
                <w:sz w:val="22"/>
                <w:lang w:val="en-GB"/>
              </w:rPr>
              <w:t xml:space="preserve"> 83(6)(d)(iii) </w:t>
            </w:r>
            <w:r w:rsidRPr="00BB5286">
              <w:rPr>
                <w:rFonts w:eastAsia="Calibri" w:cs="Times New Roman"/>
                <w:noProof/>
                <w:sz w:val="22"/>
                <w:lang w:val="en-GB"/>
              </w:rPr>
              <w:t xml:space="preserve">of </w:t>
            </w:r>
            <w:r w:rsidR="446E2D4C" w:rsidRPr="00BB5286">
              <w:rPr>
                <w:rFonts w:eastAsia="Calibri" w:cs="Times New Roman"/>
                <w:noProof/>
                <w:sz w:val="22"/>
                <w:lang w:val="en-GB"/>
              </w:rPr>
              <w:t xml:space="preserve">the Horizontal </w:t>
            </w:r>
            <w:r w:rsidRPr="00BB5286">
              <w:rPr>
                <w:rFonts w:eastAsia="Calibri" w:cs="Times New Roman"/>
                <w:noProof/>
                <w:sz w:val="22"/>
                <w:lang w:val="en-GB"/>
              </w:rPr>
              <w:t>Regulation</w:t>
            </w:r>
            <w:r w:rsidR="6562513A" w:rsidRPr="00BB5286">
              <w:rPr>
                <w:rFonts w:eastAsia="Calibri" w:cs="Times New Roman"/>
                <w:noProof/>
                <w:sz w:val="22"/>
                <w:lang w:val="en-GB"/>
              </w:rPr>
              <w:t>.</w:t>
            </w:r>
            <w:r w:rsidR="313748BD"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5A3AB"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48E7F" w14:textId="7A2B78E9"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456A5A">
              <w:rPr>
                <w:rFonts w:eastAsia="Calibri" w:cs="Times New Roman"/>
                <w:noProof/>
                <w:sz w:val="22"/>
                <w:lang w:val="en-GB"/>
              </w:rPr>
              <w:t xml:space="preserve"> </w:t>
            </w:r>
            <w:r w:rsidRPr="00BB5286">
              <w:rPr>
                <w:rFonts w:eastAsia="Calibri" w:cs="Times New Roman"/>
                <w:noProof/>
                <w:sz w:val="22"/>
                <w:lang w:val="en-GB"/>
              </w:rPr>
              <w:t>was not taken up. The simplification package already includes a significant simplification by exempting small farmers (&lt;10 ha) from the controls and penalties of conditionality. Beyond this, it would not be appropriate to exempt certain types of holdings or areas due to the ownership or user structure. Beneficiaries subject to conditionality controls and penalties should be included in the population from which the 1% sample for controls should be extracted.</w:t>
            </w:r>
          </w:p>
        </w:tc>
      </w:tr>
      <w:tr w:rsidR="001F253E" w:rsidRPr="00BB5286" w14:paraId="53972592"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F4E9D"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77</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7BF91" w14:textId="11E8B655" w:rsidR="00874EF4" w:rsidRPr="00BB5286" w:rsidRDefault="00874EF4" w:rsidP="00874EF4">
            <w:pPr>
              <w:spacing w:after="60" w:line="259" w:lineRule="auto"/>
              <w:jc w:val="both"/>
              <w:rPr>
                <w:rFonts w:eastAsia="Calibri" w:cs="Times New Roman"/>
                <w:i/>
                <w:noProof/>
                <w:sz w:val="22"/>
                <w:lang w:val="en-GB"/>
              </w:rPr>
            </w:pPr>
            <w:r w:rsidRPr="00BB5286">
              <w:rPr>
                <w:rFonts w:eastAsia="Calibri" w:cs="Times New Roman"/>
                <w:b/>
                <w:noProof/>
                <w:sz w:val="22"/>
                <w:lang w:val="en-GB"/>
              </w:rPr>
              <w:t>Cross-compliance:</w:t>
            </w:r>
            <w:r w:rsidRPr="00BB5286">
              <w:rPr>
                <w:rFonts w:eastAsia="Calibri" w:cs="Times New Roman"/>
                <w:noProof/>
                <w:sz w:val="22"/>
                <w:lang w:val="en-GB"/>
              </w:rPr>
              <w:t xml:space="preserve"> </w:t>
            </w:r>
            <w:r w:rsidR="6CFDA73C" w:rsidRPr="00BB5286">
              <w:rPr>
                <w:rFonts w:eastAsia="Calibri" w:cs="Times New Roman"/>
                <w:noProof/>
                <w:sz w:val="22"/>
                <w:lang w:val="en-GB"/>
              </w:rPr>
              <w:t>r</w:t>
            </w:r>
            <w:r w:rsidRPr="00BB5286">
              <w:rPr>
                <w:rFonts w:eastAsia="Calibri" w:cs="Times New Roman"/>
                <w:noProof/>
                <w:sz w:val="22"/>
                <w:lang w:val="en-GB"/>
              </w:rPr>
              <w:t>emove double/parallel checking and sanctioning of farmers in cases where both cross compliance (pre-2023) and conditionality rules apply (</w:t>
            </w:r>
            <w:r w:rsidR="24064690" w:rsidRPr="00BB5286">
              <w:rPr>
                <w:rFonts w:eastAsia="Calibri" w:cs="Times New Roman"/>
                <w:i/>
                <w:iCs/>
                <w:noProof/>
                <w:sz w:val="22"/>
                <w:lang w:val="en-GB"/>
              </w:rPr>
              <w:t>Article 104 (1) (a)</w:t>
            </w:r>
            <w:r w:rsidR="24064690" w:rsidRPr="00BB5286">
              <w:rPr>
                <w:rFonts w:eastAsia="Calibri" w:cs="Times New Roman"/>
                <w:noProof/>
                <w:sz w:val="22"/>
                <w:lang w:val="en-GB"/>
              </w:rPr>
              <w:t xml:space="preserve"> of </w:t>
            </w:r>
            <w:r w:rsidR="397D13B5" w:rsidRPr="00BB5286">
              <w:rPr>
                <w:rFonts w:eastAsia="Calibri" w:cs="Times New Roman"/>
                <w:noProof/>
                <w:sz w:val="22"/>
                <w:lang w:val="en-GB"/>
              </w:rPr>
              <w:t xml:space="preserve">the Horizontal </w:t>
            </w:r>
            <w:r w:rsidRPr="00BB5286">
              <w:rPr>
                <w:rFonts w:eastAsia="Calibri" w:cs="Times New Roman"/>
                <w:noProof/>
                <w:sz w:val="22"/>
                <w:lang w:val="en-GB"/>
              </w:rPr>
              <w:t xml:space="preserve">Regulation, and </w:t>
            </w:r>
            <w:r w:rsidR="0D66379C" w:rsidRPr="00BB5286">
              <w:rPr>
                <w:rFonts w:eastAsia="Calibri" w:cs="Times New Roman"/>
                <w:i/>
                <w:iCs/>
                <w:noProof/>
                <w:sz w:val="22"/>
                <w:lang w:val="en-GB"/>
              </w:rPr>
              <w:t>Article 12</w:t>
            </w:r>
            <w:r w:rsidR="0D66379C" w:rsidRPr="00BB5286">
              <w:rPr>
                <w:rFonts w:eastAsia="Calibri" w:cs="Times New Roman"/>
                <w:noProof/>
                <w:sz w:val="22"/>
                <w:lang w:val="en-GB"/>
              </w:rPr>
              <w:t xml:space="preserve"> of </w:t>
            </w:r>
            <w:r w:rsidR="00C22AA8" w:rsidRPr="00BB5286">
              <w:rPr>
                <w:rFonts w:eastAsia="Calibri" w:cs="Times New Roman"/>
                <w:noProof/>
                <w:sz w:val="22"/>
                <w:lang w:val="en-GB"/>
              </w:rPr>
              <w:t xml:space="preserve">Commission </w:t>
            </w:r>
            <w:r w:rsidR="64EF79A3" w:rsidRPr="00BB5286">
              <w:rPr>
                <w:rFonts w:eastAsia="Calibri" w:cs="Times New Roman"/>
                <w:noProof/>
                <w:sz w:val="22"/>
                <w:lang w:val="en-GB"/>
              </w:rPr>
              <w:t xml:space="preserve">Delegated </w:t>
            </w:r>
            <w:r w:rsidRPr="00BB5286">
              <w:rPr>
                <w:rFonts w:eastAsia="Calibri" w:cs="Times New Roman"/>
                <w:noProof/>
                <w:sz w:val="22"/>
                <w:lang w:val="en-GB"/>
              </w:rPr>
              <w:t>Regulation (EU) 2022/1172/EU)</w:t>
            </w:r>
            <w:r w:rsidR="004C5DD2"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CF20B"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E7E11" w14:textId="19BDC9FA"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This suggestion</w:t>
            </w:r>
            <w:r w:rsidRPr="00BB5286" w:rsidDel="00456A5A">
              <w:rPr>
                <w:rFonts w:eastAsia="Calibri" w:cs="Times New Roman"/>
                <w:noProof/>
                <w:sz w:val="22"/>
                <w:lang w:val="en-GB"/>
              </w:rPr>
              <w:t xml:space="preserve"> </w:t>
            </w:r>
            <w:r w:rsidRPr="00BB5286">
              <w:rPr>
                <w:rFonts w:eastAsia="Calibri" w:cs="Times New Roman"/>
                <w:noProof/>
                <w:sz w:val="22"/>
                <w:lang w:val="en-GB"/>
              </w:rPr>
              <w:t xml:space="preserve">was addressed by the </w:t>
            </w:r>
            <w:r w:rsidR="002801B4" w:rsidRPr="00BB5286">
              <w:rPr>
                <w:rFonts w:eastAsia="Calibri" w:cs="Times New Roman"/>
                <w:noProof/>
                <w:sz w:val="22"/>
                <w:lang w:val="en-GB"/>
              </w:rPr>
              <w:t>s</w:t>
            </w:r>
            <w:r w:rsidRPr="00BB5286">
              <w:rPr>
                <w:rFonts w:eastAsia="Calibri" w:cs="Times New Roman"/>
                <w:noProof/>
                <w:sz w:val="22"/>
                <w:lang w:val="en-GB"/>
              </w:rPr>
              <w:t xml:space="preserve">implification </w:t>
            </w:r>
            <w:r w:rsidR="002801B4" w:rsidRPr="00BB5286">
              <w:rPr>
                <w:rFonts w:eastAsia="Calibri" w:cs="Times New Roman"/>
                <w:noProof/>
                <w:sz w:val="22"/>
                <w:lang w:val="en-GB"/>
              </w:rPr>
              <w:t>p</w:t>
            </w:r>
            <w:r w:rsidRPr="00BB5286">
              <w:rPr>
                <w:rFonts w:eastAsia="Calibri" w:cs="Times New Roman"/>
                <w:noProof/>
                <w:sz w:val="22"/>
                <w:lang w:val="en-GB"/>
              </w:rPr>
              <w:t>ackage.</w:t>
            </w:r>
          </w:p>
        </w:tc>
      </w:tr>
      <w:tr w:rsidR="001F253E" w:rsidRPr="00BB5286" w14:paraId="6105EA92" w14:textId="77777777" w:rsidTr="00A50B55">
        <w:trPr>
          <w:gridBefore w:val="1"/>
          <w:wBefore w:w="6" w:type="dxa"/>
          <w:trHeight w:val="411"/>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9323F"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78</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97D6A" w14:textId="7F1C813B"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Level of sanctions:</w:t>
            </w:r>
            <w:r w:rsidRPr="00BB5286">
              <w:rPr>
                <w:rFonts w:eastAsia="Calibri" w:cs="Times New Roman"/>
                <w:noProof/>
                <w:sz w:val="22"/>
                <w:lang w:val="en-GB"/>
              </w:rPr>
              <w:t xml:space="preserve"> </w:t>
            </w:r>
            <w:r w:rsidR="7E365797" w:rsidRPr="00BB5286">
              <w:rPr>
                <w:rFonts w:eastAsia="Calibri" w:cs="Times New Roman"/>
                <w:noProof/>
                <w:sz w:val="22"/>
                <w:lang w:val="en-GB"/>
              </w:rPr>
              <w:t>r</w:t>
            </w:r>
            <w:r w:rsidRPr="00BB5286">
              <w:rPr>
                <w:rFonts w:eastAsia="Calibri" w:cs="Times New Roman"/>
                <w:noProof/>
                <w:sz w:val="22"/>
                <w:lang w:val="en-GB"/>
              </w:rPr>
              <w:t xml:space="preserve">educe conditionality sanctions, do not apply them in 2024 </w:t>
            </w:r>
            <w:r w:rsidR="6ABB947C" w:rsidRPr="00BB5286">
              <w:rPr>
                <w:rFonts w:eastAsia="Calibri" w:cs="Times New Roman"/>
                <w:noProof/>
                <w:sz w:val="22"/>
                <w:lang w:val="en-GB"/>
              </w:rPr>
              <w:t>(</w:t>
            </w:r>
            <w:r w:rsidR="6562513A" w:rsidRPr="00BB5286">
              <w:rPr>
                <w:rFonts w:eastAsia="Calibri" w:cs="Times New Roman"/>
                <w:i/>
                <w:iCs/>
                <w:noProof/>
                <w:sz w:val="22"/>
                <w:lang w:val="en-GB"/>
              </w:rPr>
              <w:t>Article</w:t>
            </w:r>
            <w:r w:rsidR="2478EF29" w:rsidRPr="00BB5286">
              <w:rPr>
                <w:rFonts w:eastAsia="Calibri" w:cs="Times New Roman"/>
                <w:i/>
                <w:iCs/>
                <w:noProof/>
                <w:sz w:val="22"/>
                <w:lang w:val="en-GB"/>
              </w:rPr>
              <w:t>s</w:t>
            </w:r>
            <w:r w:rsidRPr="00BB5286">
              <w:rPr>
                <w:rFonts w:eastAsia="Calibri" w:cs="Times New Roman"/>
                <w:i/>
                <w:noProof/>
                <w:sz w:val="22"/>
                <w:lang w:val="en-GB"/>
              </w:rPr>
              <w:t xml:space="preserve"> 9</w:t>
            </w:r>
            <w:r w:rsidR="7FE82ED1" w:rsidRPr="00BB5286">
              <w:rPr>
                <w:rFonts w:eastAsia="Calibri" w:cs="Times New Roman"/>
                <w:i/>
                <w:iCs/>
                <w:noProof/>
                <w:sz w:val="22"/>
                <w:lang w:val="en-GB"/>
              </w:rPr>
              <w:t xml:space="preserve"> to </w:t>
            </w:r>
            <w:r w:rsidRPr="00BB5286">
              <w:rPr>
                <w:rFonts w:eastAsia="Calibri" w:cs="Times New Roman"/>
                <w:i/>
                <w:noProof/>
                <w:sz w:val="22"/>
                <w:lang w:val="en-GB"/>
              </w:rPr>
              <w:t>11</w:t>
            </w:r>
            <w:r w:rsidRPr="00BB5286">
              <w:rPr>
                <w:rFonts w:eastAsia="Calibri" w:cs="Times New Roman"/>
                <w:noProof/>
                <w:sz w:val="22"/>
                <w:lang w:val="en-GB"/>
              </w:rPr>
              <w:t xml:space="preserve"> of </w:t>
            </w:r>
            <w:r w:rsidR="32762050" w:rsidRPr="00BB5286">
              <w:rPr>
                <w:rFonts w:eastAsia="Calibri" w:cs="Times New Roman"/>
                <w:noProof/>
                <w:sz w:val="22"/>
                <w:lang w:val="en-GB"/>
              </w:rPr>
              <w:t>the Horizontal</w:t>
            </w:r>
            <w:r w:rsidR="002E1268" w:rsidRPr="00BB5286">
              <w:rPr>
                <w:rFonts w:eastAsia="Calibri" w:cs="Times New Roman"/>
                <w:noProof/>
                <w:sz w:val="22"/>
                <w:lang w:val="en-GB"/>
              </w:rPr>
              <w:t xml:space="preserve"> </w:t>
            </w:r>
            <w:r w:rsidRPr="00BB5286">
              <w:rPr>
                <w:rFonts w:eastAsia="Calibri" w:cs="Times New Roman"/>
                <w:noProof/>
                <w:sz w:val="22"/>
                <w:lang w:val="en-GB"/>
              </w:rPr>
              <w:t xml:space="preserve">Regulation </w:t>
            </w:r>
            <w:r w:rsidR="04F2FAAF" w:rsidRPr="00BB5286">
              <w:rPr>
                <w:rFonts w:eastAsia="Calibri" w:cs="Times New Roman"/>
                <w:noProof/>
                <w:sz w:val="22"/>
                <w:lang w:val="en-GB"/>
              </w:rPr>
              <w:t>)</w:t>
            </w:r>
            <w:r w:rsidR="6562513A"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D463D"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 RO</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C8061" w14:textId="5DFF2A1A"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not taken up. The reductions of CAP payments linked to conditionality controls are already rather limited: 3% of CAP support as a general rule, with the possibility to reduce to 1%. This means a penalty of EUR 30 for every EUR 1</w:t>
            </w:r>
            <w:r w:rsidR="002801B4" w:rsidRPr="00BB5286">
              <w:rPr>
                <w:rFonts w:eastAsia="Calibri" w:cs="Times New Roman"/>
                <w:noProof/>
                <w:sz w:val="22"/>
                <w:lang w:val="en-GB"/>
              </w:rPr>
              <w:t> </w:t>
            </w:r>
            <w:r w:rsidRPr="00BB5286">
              <w:rPr>
                <w:rFonts w:eastAsia="Calibri" w:cs="Times New Roman"/>
                <w:noProof/>
                <w:sz w:val="22"/>
                <w:lang w:val="en-GB"/>
              </w:rPr>
              <w:t>000 of CAP support. Further reduction of penalties would go against their deterrent effect.</w:t>
            </w:r>
          </w:p>
        </w:tc>
      </w:tr>
      <w:tr w:rsidR="001F253E" w:rsidRPr="00BB5286" w14:paraId="361C012A" w14:textId="77777777" w:rsidTr="00A50B55">
        <w:trPr>
          <w:gridBefore w:val="1"/>
          <w:wBefore w:w="6" w:type="dxa"/>
          <w:trHeight w:val="1635"/>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4BB01"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79</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6F8A5" w14:textId="30E9FDDF"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SMRs/GAECs:</w:t>
            </w:r>
            <w:r w:rsidR="00E05337">
              <w:rPr>
                <w:rFonts w:eastAsia="Calibri" w:cs="Times New Roman"/>
                <w:noProof/>
                <w:sz w:val="22"/>
                <w:lang w:val="en-GB"/>
              </w:rPr>
              <w:t xml:space="preserve"> </w:t>
            </w:r>
            <w:r w:rsidR="7B9BCF9F" w:rsidRPr="00BB5286">
              <w:rPr>
                <w:rFonts w:eastAsia="Calibri" w:cs="Times New Roman"/>
                <w:noProof/>
                <w:sz w:val="22"/>
                <w:lang w:val="en-GB"/>
              </w:rPr>
              <w:t>r</w:t>
            </w:r>
            <w:r w:rsidRPr="00BB5286">
              <w:rPr>
                <w:rFonts w:eastAsia="Calibri" w:cs="Times New Roman"/>
                <w:noProof/>
                <w:sz w:val="22"/>
                <w:lang w:val="en-GB"/>
              </w:rPr>
              <w:t>emove the double penalty system (conditionality reductions in cases where fines have already been imposed in relation to the SMRs</w:t>
            </w:r>
            <w:r w:rsidR="00E42C4C" w:rsidRPr="00BB5286">
              <w:rPr>
                <w:rFonts w:eastAsia="Calibri" w:cs="Times New Roman"/>
                <w:noProof/>
                <w:sz w:val="22"/>
                <w:lang w:val="en-GB"/>
              </w:rPr>
              <w:t>)</w:t>
            </w:r>
            <w:r w:rsidRPr="00BB5286">
              <w:rPr>
                <w:rFonts w:eastAsia="Calibri" w:cs="Times New Roman"/>
                <w:noProof/>
                <w:sz w:val="22"/>
                <w:lang w:val="en-GB"/>
              </w:rPr>
              <w:t>, review SMRs to avoid double sanctions.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D9F45"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 SE</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3DEEE" w14:textId="23A61C7F" w:rsidR="00874EF4" w:rsidRPr="00BB5286" w:rsidRDefault="00874EF4" w:rsidP="20654519">
            <w:pPr>
              <w:spacing w:after="60" w:line="259" w:lineRule="auto"/>
              <w:jc w:val="both"/>
              <w:rPr>
                <w:rFonts w:eastAsia="Calibri" w:cs="Times New Roman"/>
                <w:noProof/>
                <w:sz w:val="22"/>
                <w:szCs w:val="20"/>
                <w:lang w:val="en-IE"/>
              </w:rPr>
            </w:pPr>
            <w:r w:rsidRPr="00BB5286">
              <w:rPr>
                <w:rFonts w:eastAsia="Calibri" w:cs="Times New Roman"/>
                <w:noProof/>
                <w:sz w:val="22"/>
                <w:szCs w:val="20"/>
                <w:lang w:val="en-IE"/>
              </w:rPr>
              <w:t xml:space="preserve">The relevant EU environment/sanitary legislation </w:t>
            </w:r>
            <w:r w:rsidR="00215CF5" w:rsidRPr="00BB5286">
              <w:rPr>
                <w:rFonts w:eastAsia="Calibri" w:cs="Times New Roman"/>
                <w:noProof/>
                <w:sz w:val="22"/>
                <w:szCs w:val="20"/>
                <w:lang w:val="en-IE"/>
              </w:rPr>
              <w:t xml:space="preserve">creates </w:t>
            </w:r>
            <w:r w:rsidRPr="00BB5286">
              <w:rPr>
                <w:rFonts w:eastAsia="Calibri" w:cs="Times New Roman"/>
                <w:noProof/>
                <w:sz w:val="22"/>
                <w:szCs w:val="20"/>
                <w:lang w:val="en-IE"/>
              </w:rPr>
              <w:t>a sanction</w:t>
            </w:r>
            <w:r w:rsidR="00215CF5" w:rsidRPr="00BB5286">
              <w:rPr>
                <w:rFonts w:eastAsia="Calibri" w:cs="Times New Roman"/>
                <w:noProof/>
                <w:sz w:val="22"/>
                <w:szCs w:val="20"/>
                <w:lang w:val="en-IE"/>
              </w:rPr>
              <w:t>s</w:t>
            </w:r>
            <w:r w:rsidRPr="00BB5286">
              <w:rPr>
                <w:rFonts w:eastAsia="Calibri" w:cs="Times New Roman"/>
                <w:noProof/>
                <w:sz w:val="22"/>
                <w:szCs w:val="20"/>
                <w:lang w:val="en-IE"/>
              </w:rPr>
              <w:t xml:space="preserve"> system (fines and other sanctions). The conditionality system under </w:t>
            </w:r>
            <w:r w:rsidR="3E9A5287" w:rsidRPr="00BB5286">
              <w:rPr>
                <w:rFonts w:eastAsia="Calibri" w:cs="Times New Roman"/>
                <w:noProof/>
                <w:sz w:val="22"/>
                <w:szCs w:val="20"/>
                <w:lang w:val="en-IE"/>
              </w:rPr>
              <w:t xml:space="preserve">the CSP </w:t>
            </w:r>
            <w:r w:rsidRPr="00BB5286">
              <w:rPr>
                <w:rFonts w:eastAsia="Calibri" w:cs="Times New Roman"/>
                <w:noProof/>
                <w:sz w:val="22"/>
                <w:szCs w:val="20"/>
                <w:lang w:val="en-IE"/>
              </w:rPr>
              <w:t xml:space="preserve">Regulation is not a sanction system under </w:t>
            </w:r>
            <w:r w:rsidR="00AF7B1A" w:rsidRPr="00BB5286">
              <w:rPr>
                <w:rFonts w:eastAsia="Calibri" w:cs="Times New Roman"/>
                <w:noProof/>
                <w:sz w:val="22"/>
                <w:szCs w:val="20"/>
                <w:lang w:val="en-IE"/>
              </w:rPr>
              <w:t xml:space="preserve">EU </w:t>
            </w:r>
            <w:r w:rsidRPr="00BB5286">
              <w:rPr>
                <w:rFonts w:eastAsia="Calibri" w:cs="Times New Roman"/>
                <w:noProof/>
                <w:sz w:val="22"/>
                <w:szCs w:val="20"/>
                <w:lang w:val="en-IE"/>
              </w:rPr>
              <w:t>environment and sanitary legislation – it merely provides for a reduction of CAP support in case of non-compliance with a limited number of obligations stemming from certain acts of EU law</w:t>
            </w:r>
            <w:r w:rsidR="009162C0" w:rsidRPr="00BB5286">
              <w:rPr>
                <w:rFonts w:eastAsia="Calibri" w:cs="Times New Roman"/>
                <w:noProof/>
                <w:sz w:val="22"/>
                <w:szCs w:val="20"/>
                <w:lang w:val="en-IE"/>
              </w:rPr>
              <w:t>.</w:t>
            </w:r>
            <w:r w:rsidRPr="00BB5286">
              <w:rPr>
                <w:rFonts w:eastAsia="Calibri" w:cs="Times New Roman"/>
                <w:noProof/>
                <w:sz w:val="22"/>
                <w:szCs w:val="20"/>
                <w:lang w:val="en-IE"/>
              </w:rPr>
              <w:t xml:space="preserve">  </w:t>
            </w:r>
          </w:p>
        </w:tc>
      </w:tr>
      <w:tr w:rsidR="001F253E" w:rsidRPr="00BB5286" w14:paraId="2E882EA8"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584A4"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lastRenderedPageBreak/>
              <w:t>80</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E865C" w14:textId="158F262C"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Reasonableness of costs:</w:t>
            </w:r>
            <w:r w:rsidRPr="00BB5286">
              <w:rPr>
                <w:rFonts w:eastAsia="Calibri" w:cs="Times New Roman"/>
                <w:noProof/>
                <w:sz w:val="22"/>
                <w:lang w:val="en-GB"/>
              </w:rPr>
              <w:t xml:space="preserve"> to determine that for non-IACS projects or costs under</w:t>
            </w:r>
            <w:r w:rsidR="00231D7F" w:rsidRPr="00BB5286">
              <w:rPr>
                <w:rFonts w:eastAsia="Calibri" w:cs="Times New Roman"/>
                <w:noProof/>
                <w:sz w:val="22"/>
                <w:lang w:val="en-GB"/>
              </w:rPr>
              <w:t xml:space="preserve"> a</w:t>
            </w:r>
            <w:r w:rsidRPr="00BB5286">
              <w:rPr>
                <w:rFonts w:eastAsia="Calibri" w:cs="Times New Roman"/>
                <w:noProof/>
                <w:sz w:val="22"/>
                <w:lang w:val="en-GB"/>
              </w:rPr>
              <w:t xml:space="preserve"> certain amount no verification of reasonableness of costs is needed.</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537C9"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SI</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9F4FC" w14:textId="06292661" w:rsidR="00874EF4" w:rsidRPr="00BB5286" w:rsidRDefault="21251E63" w:rsidP="00874EF4">
            <w:pPr>
              <w:spacing w:after="60" w:line="259" w:lineRule="auto"/>
              <w:jc w:val="both"/>
              <w:rPr>
                <w:rFonts w:eastAsia="Calibri" w:cs="Times New Roman"/>
                <w:noProof/>
                <w:color w:val="000000"/>
                <w:sz w:val="22"/>
                <w:lang w:val="en-GB"/>
              </w:rPr>
            </w:pPr>
            <w:r w:rsidRPr="00BB5286">
              <w:rPr>
                <w:rFonts w:eastAsia="Calibri" w:cs="Times New Roman"/>
                <w:noProof/>
                <w:color w:val="000000" w:themeColor="text1"/>
                <w:sz w:val="22"/>
                <w:lang w:val="en-GB"/>
              </w:rPr>
              <w:t xml:space="preserve">The CSP and </w:t>
            </w:r>
            <w:r w:rsidR="00E42C4C" w:rsidRPr="00BB5286">
              <w:rPr>
                <w:rFonts w:eastAsia="Calibri" w:cs="Times New Roman"/>
                <w:noProof/>
                <w:color w:val="000000" w:themeColor="text1"/>
                <w:sz w:val="22"/>
                <w:lang w:val="en-GB"/>
              </w:rPr>
              <w:t xml:space="preserve">the </w:t>
            </w:r>
            <w:r w:rsidRPr="00BB5286">
              <w:rPr>
                <w:rFonts w:eastAsia="Calibri" w:cs="Times New Roman"/>
                <w:noProof/>
                <w:color w:val="000000" w:themeColor="text1"/>
                <w:sz w:val="22"/>
                <w:lang w:val="en-GB"/>
              </w:rPr>
              <w:t>Horizontal</w:t>
            </w:r>
            <w:r w:rsidR="3A188297" w:rsidRPr="00BB5286">
              <w:rPr>
                <w:rFonts w:eastAsia="Calibri" w:cs="Times New Roman"/>
                <w:noProof/>
                <w:color w:val="000000" w:themeColor="text1"/>
                <w:sz w:val="22"/>
                <w:lang w:val="en-GB"/>
              </w:rPr>
              <w:t xml:space="preserve"> Regulations </w:t>
            </w:r>
            <w:r w:rsidR="3A188297" w:rsidRPr="00BB5286">
              <w:rPr>
                <w:rFonts w:eastAsia="Calibri" w:cs="Times New Roman"/>
                <w:noProof/>
                <w:sz w:val="22"/>
                <w:lang w:val="en-GB"/>
              </w:rPr>
              <w:t xml:space="preserve">no longer provide for rules on the reasonableness of costs, unlike the legislation for the previous planning period. However, Member States have an obligation to take measures to ensure sound financial management and effective protection of the </w:t>
            </w:r>
            <w:r w:rsidR="00AF7B1A" w:rsidRPr="00BB5286">
              <w:rPr>
                <w:rFonts w:eastAsia="Calibri" w:cs="Times New Roman"/>
                <w:noProof/>
                <w:sz w:val="22"/>
                <w:lang w:val="en-GB"/>
              </w:rPr>
              <w:t xml:space="preserve">EU's </w:t>
            </w:r>
            <w:r w:rsidR="3A188297" w:rsidRPr="00BB5286">
              <w:rPr>
                <w:rFonts w:eastAsia="Calibri" w:cs="Times New Roman"/>
                <w:noProof/>
                <w:sz w:val="22"/>
                <w:lang w:val="en-GB"/>
              </w:rPr>
              <w:t xml:space="preserve">financial interests based on Regulation (EU) 2018/1046 </w:t>
            </w:r>
            <w:r w:rsidR="3F927563" w:rsidRPr="00BB5286">
              <w:rPr>
                <w:rFonts w:eastAsia="Calibri" w:cs="Times New Roman"/>
                <w:noProof/>
                <w:sz w:val="22"/>
                <w:lang w:val="en-GB"/>
              </w:rPr>
              <w:t xml:space="preserve">on the financial rules applicable to the general budget of the Union </w:t>
            </w:r>
            <w:r w:rsidR="322D4A59" w:rsidRPr="00BB5286">
              <w:rPr>
                <w:rFonts w:eastAsia="Calibri" w:cs="Times New Roman"/>
                <w:noProof/>
                <w:sz w:val="22"/>
                <w:lang w:val="en-GB"/>
              </w:rPr>
              <w:t xml:space="preserve">and </w:t>
            </w:r>
            <w:r w:rsidR="322D4A59" w:rsidRPr="00BB5286">
              <w:rPr>
                <w:rFonts w:eastAsia="Calibri" w:cs="Times New Roman"/>
                <w:i/>
                <w:iCs/>
                <w:noProof/>
                <w:sz w:val="22"/>
                <w:lang w:val="en-GB"/>
              </w:rPr>
              <w:t>Art</w:t>
            </w:r>
            <w:r w:rsidR="21A0970A" w:rsidRPr="00BB5286">
              <w:rPr>
                <w:rFonts w:eastAsia="Calibri" w:cs="Times New Roman"/>
                <w:i/>
                <w:iCs/>
                <w:noProof/>
                <w:sz w:val="22"/>
                <w:lang w:val="en-GB"/>
              </w:rPr>
              <w:t>icles</w:t>
            </w:r>
            <w:r w:rsidR="3A188297" w:rsidRPr="00BB5286">
              <w:rPr>
                <w:rFonts w:eastAsia="Calibri" w:cs="Times New Roman"/>
                <w:i/>
                <w:iCs/>
                <w:noProof/>
                <w:sz w:val="22"/>
                <w:lang w:val="en-GB"/>
              </w:rPr>
              <w:t xml:space="preserve"> 59(2) and 60(1)</w:t>
            </w:r>
            <w:r w:rsidR="3A188297" w:rsidRPr="00BB5286">
              <w:rPr>
                <w:rFonts w:eastAsia="Calibri" w:cs="Times New Roman"/>
                <w:noProof/>
                <w:sz w:val="22"/>
                <w:lang w:val="en-GB"/>
              </w:rPr>
              <w:t xml:space="preserve"> of </w:t>
            </w:r>
            <w:r w:rsidR="6E81DA07" w:rsidRPr="00BB5286">
              <w:rPr>
                <w:rFonts w:eastAsia="Calibri" w:cs="Times New Roman"/>
                <w:noProof/>
                <w:sz w:val="22"/>
                <w:lang w:val="en-GB"/>
              </w:rPr>
              <w:t xml:space="preserve">the Horizontal </w:t>
            </w:r>
            <w:r w:rsidR="3A188297" w:rsidRPr="00BB5286">
              <w:rPr>
                <w:rFonts w:eastAsia="Calibri" w:cs="Times New Roman"/>
                <w:noProof/>
                <w:sz w:val="22"/>
                <w:lang w:val="en-GB"/>
              </w:rPr>
              <w:t>Regulation. It is therefore for Member States to determine appropriate measures to comply with these obligations, such as the verification of the reasonableness of costs for subsidised operations.</w:t>
            </w:r>
          </w:p>
        </w:tc>
      </w:tr>
      <w:tr w:rsidR="001F253E" w:rsidRPr="00BB5286" w14:paraId="61F79ACA"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2A4F8"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81</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F91EF" w14:textId="0DD97C9B"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On-farm inspection:</w:t>
            </w:r>
            <w:r w:rsidRPr="00BB5286">
              <w:rPr>
                <w:rFonts w:eastAsia="Calibri" w:cs="Times New Roman"/>
                <w:noProof/>
                <w:sz w:val="22"/>
                <w:lang w:val="en-GB"/>
              </w:rPr>
              <w:t xml:space="preserve"> </w:t>
            </w:r>
            <w:r w:rsidR="2D74EFD3" w:rsidRPr="00BB5286">
              <w:rPr>
                <w:rFonts w:eastAsia="Calibri" w:cs="Times New Roman"/>
                <w:noProof/>
                <w:sz w:val="22"/>
                <w:lang w:val="en-GB"/>
              </w:rPr>
              <w:t>t</w:t>
            </w:r>
            <w:r w:rsidRPr="00BB5286">
              <w:rPr>
                <w:rFonts w:eastAsia="Calibri" w:cs="Times New Roman"/>
                <w:noProof/>
                <w:sz w:val="22"/>
                <w:lang w:val="en-GB"/>
              </w:rPr>
              <w:t>he use of AMS could be beneficial to reduce on-farm inspections, provided it delivers (example of several countries in which the use of AMS Quality Assessment has led to a significant increase in on-the-spot checks).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E87D9"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E336D" w14:textId="3BB26DDA" w:rsidR="00874EF4" w:rsidRPr="00BB5286" w:rsidRDefault="00874EF4" w:rsidP="00874EF4">
            <w:pPr>
              <w:spacing w:after="60" w:line="259" w:lineRule="auto"/>
              <w:jc w:val="both"/>
              <w:rPr>
                <w:rFonts w:eastAsia="Calibri" w:cs="Times New Roman"/>
                <w:noProof/>
                <w:color w:val="750B1C"/>
                <w:sz w:val="22"/>
                <w:lang w:val="en-GB"/>
              </w:rPr>
            </w:pPr>
            <w:r w:rsidRPr="00BB5286">
              <w:rPr>
                <w:rFonts w:eastAsia="MS Mincho" w:cs="Times New Roman"/>
                <w:noProof/>
                <w:sz w:val="22"/>
                <w:lang w:val="en-GB"/>
              </w:rPr>
              <w:t xml:space="preserve">The AMS is an automated process that does not involve on-the-spot checks. On the contrary, the more eligibility conditions are covered by AMS, the </w:t>
            </w:r>
            <w:r w:rsidR="00675F32" w:rsidRPr="00BB5286">
              <w:rPr>
                <w:rFonts w:eastAsia="MS Mincho" w:cs="Times New Roman"/>
                <w:noProof/>
                <w:sz w:val="22"/>
                <w:lang w:val="en-GB"/>
              </w:rPr>
              <w:t xml:space="preserve">fewer </w:t>
            </w:r>
            <w:r w:rsidRPr="00BB5286">
              <w:rPr>
                <w:rFonts w:eastAsia="MS Mincho" w:cs="Times New Roman"/>
                <w:noProof/>
                <w:sz w:val="22"/>
                <w:lang w:val="en-GB"/>
              </w:rPr>
              <w:t>field</w:t>
            </w:r>
            <w:r w:rsidR="00675F32" w:rsidRPr="00BB5286">
              <w:rPr>
                <w:rFonts w:eastAsia="MS Mincho" w:cs="Times New Roman"/>
                <w:noProof/>
                <w:sz w:val="22"/>
                <w:lang w:val="en-GB"/>
              </w:rPr>
              <w:t xml:space="preserve"> </w:t>
            </w:r>
            <w:r w:rsidRPr="00BB5286">
              <w:rPr>
                <w:rFonts w:eastAsia="MS Mincho" w:cs="Times New Roman"/>
                <w:noProof/>
                <w:sz w:val="22"/>
                <w:lang w:val="en-GB"/>
              </w:rPr>
              <w:t xml:space="preserve">visits are needed to verify compliance with eligibility conditions. </w:t>
            </w:r>
          </w:p>
        </w:tc>
      </w:tr>
      <w:tr w:rsidR="001F253E" w:rsidRPr="00BB5286" w14:paraId="782C38E1" w14:textId="77777777" w:rsidTr="00A50B55">
        <w:trPr>
          <w:gridBefore w:val="1"/>
          <w:wBefore w:w="6" w:type="dxa"/>
          <w:trHeight w:val="231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A1F15"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82</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75175" w14:textId="75403372"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On-farm inspections:</w:t>
            </w:r>
            <w:r w:rsidRPr="00BB5286">
              <w:rPr>
                <w:rFonts w:eastAsia="Calibri" w:cs="Times New Roman"/>
                <w:noProof/>
                <w:sz w:val="22"/>
                <w:lang w:val="en-GB"/>
              </w:rPr>
              <w:t xml:space="preserve"> </w:t>
            </w:r>
            <w:r w:rsidR="6966932C" w:rsidRPr="00BB5286">
              <w:rPr>
                <w:rFonts w:eastAsia="Calibri" w:cs="Times New Roman"/>
                <w:noProof/>
                <w:sz w:val="22"/>
                <w:lang w:val="en-GB"/>
              </w:rPr>
              <w:t>r</w:t>
            </w:r>
            <w:r w:rsidRPr="00BB5286">
              <w:rPr>
                <w:rFonts w:eastAsia="Calibri" w:cs="Times New Roman"/>
                <w:noProof/>
                <w:sz w:val="22"/>
                <w:lang w:val="en-GB"/>
              </w:rPr>
              <w:t>educe on</w:t>
            </w:r>
            <w:r w:rsidR="00675F32" w:rsidRPr="00BB5286">
              <w:rPr>
                <w:rFonts w:eastAsia="Calibri" w:cs="Times New Roman"/>
                <w:noProof/>
                <w:sz w:val="22"/>
                <w:lang w:val="en-GB"/>
              </w:rPr>
              <w:t>-</w:t>
            </w:r>
            <w:r w:rsidRPr="00BB5286">
              <w:rPr>
                <w:rFonts w:eastAsia="Calibri" w:cs="Times New Roman"/>
                <w:noProof/>
                <w:sz w:val="22"/>
                <w:lang w:val="en-GB"/>
              </w:rPr>
              <w:t>the</w:t>
            </w:r>
            <w:r w:rsidR="00675F32" w:rsidRPr="00BB5286">
              <w:rPr>
                <w:rFonts w:eastAsia="Calibri" w:cs="Times New Roman"/>
                <w:noProof/>
                <w:sz w:val="22"/>
                <w:lang w:val="en-GB"/>
              </w:rPr>
              <w:t>-</w:t>
            </w:r>
            <w:r w:rsidRPr="00BB5286">
              <w:rPr>
                <w:rFonts w:eastAsia="Calibri" w:cs="Times New Roman"/>
                <w:noProof/>
                <w:sz w:val="22"/>
                <w:lang w:val="en-GB"/>
              </w:rPr>
              <w:t>spot</w:t>
            </w:r>
            <w:r w:rsidR="00675F32" w:rsidRPr="00BB5286">
              <w:rPr>
                <w:rFonts w:eastAsia="Calibri" w:cs="Times New Roman"/>
                <w:noProof/>
                <w:sz w:val="22"/>
                <w:lang w:val="en-GB"/>
              </w:rPr>
              <w:t>-</w:t>
            </w:r>
            <w:r w:rsidRPr="00BB5286">
              <w:rPr>
                <w:rFonts w:eastAsia="Calibri" w:cs="Times New Roman"/>
                <w:noProof/>
                <w:sz w:val="22"/>
                <w:lang w:val="en-GB"/>
              </w:rPr>
              <w:t>checks to one visit per farm per year (</w:t>
            </w:r>
            <w:r w:rsidR="6562513A" w:rsidRPr="00BB5286">
              <w:rPr>
                <w:rFonts w:eastAsia="Calibri" w:cs="Times New Roman"/>
                <w:i/>
                <w:iCs/>
                <w:noProof/>
                <w:sz w:val="22"/>
                <w:lang w:val="en-GB"/>
              </w:rPr>
              <w:t>Art</w:t>
            </w:r>
            <w:r w:rsidR="2F9F7FF3" w:rsidRPr="00BB5286">
              <w:rPr>
                <w:rFonts w:eastAsia="Calibri" w:cs="Times New Roman"/>
                <w:i/>
                <w:iCs/>
                <w:noProof/>
                <w:sz w:val="22"/>
                <w:lang w:val="en-GB"/>
              </w:rPr>
              <w:t>icle</w:t>
            </w:r>
            <w:r w:rsidRPr="00BB5286">
              <w:rPr>
                <w:rFonts w:eastAsia="Calibri" w:cs="Times New Roman"/>
                <w:i/>
                <w:noProof/>
                <w:sz w:val="22"/>
                <w:lang w:val="en-GB"/>
              </w:rPr>
              <w:t xml:space="preserve"> 60 </w:t>
            </w:r>
            <w:r w:rsidRPr="00BB5286">
              <w:rPr>
                <w:rFonts w:eastAsia="Calibri" w:cs="Times New Roman"/>
                <w:noProof/>
                <w:sz w:val="22"/>
                <w:lang w:val="en-GB"/>
              </w:rPr>
              <w:t xml:space="preserve">of </w:t>
            </w:r>
            <w:r w:rsidR="29721BB1" w:rsidRPr="00BB5286">
              <w:rPr>
                <w:rFonts w:eastAsia="Calibri" w:cs="Times New Roman"/>
                <w:noProof/>
                <w:sz w:val="22"/>
                <w:lang w:val="en-GB"/>
              </w:rPr>
              <w:t xml:space="preserve">the Horizontal </w:t>
            </w:r>
            <w:r w:rsidRPr="00BB5286">
              <w:rPr>
                <w:rFonts w:eastAsia="Calibri" w:cs="Times New Roman"/>
                <w:noProof/>
                <w:sz w:val="22"/>
                <w:lang w:val="en-GB"/>
              </w:rPr>
              <w:t xml:space="preserve">Regulation). </w:t>
            </w:r>
          </w:p>
          <w:p w14:paraId="624CAD79" w14:textId="77777777" w:rsidR="00874EF4" w:rsidRPr="00BB5286" w:rsidRDefault="00874EF4" w:rsidP="00874EF4">
            <w:pPr>
              <w:spacing w:after="60" w:line="259" w:lineRule="auto"/>
              <w:jc w:val="both"/>
              <w:rPr>
                <w:rFonts w:eastAsia="Calibri" w:cs="Times New Roman"/>
                <w:noProof/>
                <w:sz w:val="22"/>
                <w:lang w:val="en-GB"/>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7EF19"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EL, FR</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C65D9" w14:textId="6D3C76C8"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It is up to Member States to set up an efficient control system that ensures that outputs are real. For conditionality, current </w:t>
            </w:r>
            <w:r w:rsidR="00AF7B1A" w:rsidRPr="00BB5286">
              <w:rPr>
                <w:rFonts w:eastAsia="Calibri" w:cs="Times New Roman"/>
                <w:noProof/>
                <w:sz w:val="22"/>
                <w:lang w:val="en-GB"/>
              </w:rPr>
              <w:t xml:space="preserve">EU </w:t>
            </w:r>
            <w:r w:rsidRPr="00BB5286">
              <w:rPr>
                <w:rFonts w:eastAsia="Calibri" w:cs="Times New Roman"/>
                <w:noProof/>
                <w:sz w:val="22"/>
                <w:lang w:val="en-GB"/>
              </w:rPr>
              <w:t xml:space="preserve">CAP rules allow on-the-spot checks </w:t>
            </w:r>
            <w:r w:rsidR="00675F32" w:rsidRPr="00BB5286">
              <w:rPr>
                <w:rFonts w:eastAsia="Calibri" w:cs="Times New Roman"/>
                <w:noProof/>
                <w:sz w:val="22"/>
                <w:lang w:val="en-GB"/>
              </w:rPr>
              <w:t xml:space="preserve">to be concentrated </w:t>
            </w:r>
            <w:r w:rsidRPr="00BB5286">
              <w:rPr>
                <w:rFonts w:eastAsia="Calibri" w:cs="Times New Roman"/>
                <w:noProof/>
                <w:sz w:val="22"/>
                <w:lang w:val="en-GB"/>
              </w:rPr>
              <w:t>in one visit. Since the start of conditionality (cross-compliance in 2005), ensuring synergies with various control bodies is recommended. But if some elements to be controlled depend on a particular season of the year, it might be necessary to come back to verify them.</w:t>
            </w:r>
          </w:p>
        </w:tc>
      </w:tr>
      <w:tr w:rsidR="001F253E" w:rsidRPr="00BB5286" w14:paraId="6231AD5A"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F041A"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83</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D36BB" w14:textId="43A5D0A4" w:rsidR="00874EF4" w:rsidRPr="00BB5286" w:rsidRDefault="00874EF4" w:rsidP="00874EF4">
            <w:pPr>
              <w:spacing w:after="60" w:line="259" w:lineRule="auto"/>
              <w:jc w:val="both"/>
              <w:rPr>
                <w:rFonts w:eastAsia="Calibri" w:cs="Times New Roman"/>
                <w:i/>
                <w:noProof/>
                <w:sz w:val="22"/>
                <w:lang w:val="en-GB"/>
              </w:rPr>
            </w:pPr>
            <w:r w:rsidRPr="00BB5286">
              <w:rPr>
                <w:rFonts w:eastAsia="Calibri" w:cs="Times New Roman"/>
                <w:b/>
                <w:noProof/>
                <w:sz w:val="22"/>
                <w:lang w:val="en-GB"/>
              </w:rPr>
              <w:t>Hemp:</w:t>
            </w:r>
            <w:r w:rsidRPr="00BB5286">
              <w:rPr>
                <w:rFonts w:eastAsia="Calibri" w:cs="Times New Roman"/>
                <w:noProof/>
                <w:sz w:val="22"/>
                <w:lang w:val="en-GB"/>
              </w:rPr>
              <w:t xml:space="preserve"> </w:t>
            </w:r>
            <w:r w:rsidR="2F24A0BA" w:rsidRPr="00BB5286">
              <w:rPr>
                <w:rFonts w:eastAsia="Calibri" w:cs="Times New Roman"/>
                <w:noProof/>
                <w:sz w:val="22"/>
                <w:lang w:val="en-GB"/>
              </w:rPr>
              <w:t>c</w:t>
            </w:r>
            <w:r w:rsidRPr="00BB5286">
              <w:rPr>
                <w:rFonts w:eastAsia="Calibri" w:cs="Times New Roman"/>
                <w:noProof/>
                <w:sz w:val="22"/>
                <w:lang w:val="en-GB"/>
              </w:rPr>
              <w:t xml:space="preserve">all to reduce minimum on-the-spot control rate of hemp varieties from 30% to 10% of areas declared for support </w:t>
            </w:r>
            <w:r w:rsidRPr="00BB5286">
              <w:rPr>
                <w:rFonts w:eastAsia="Calibri" w:cs="Times New Roman"/>
                <w:i/>
                <w:noProof/>
                <w:sz w:val="22"/>
                <w:lang w:val="en-GB"/>
              </w:rPr>
              <w:t xml:space="preserve">Annex I </w:t>
            </w:r>
            <w:r w:rsidRPr="00BB5286">
              <w:rPr>
                <w:rFonts w:eastAsia="Calibri" w:cs="Times New Roman"/>
                <w:noProof/>
                <w:sz w:val="22"/>
                <w:lang w:val="en-GB"/>
              </w:rPr>
              <w:t xml:space="preserve">of </w:t>
            </w:r>
            <w:r w:rsidR="004414BE" w:rsidRPr="00BB5286">
              <w:rPr>
                <w:rFonts w:eastAsia="Calibri" w:cs="Times New Roman"/>
                <w:noProof/>
                <w:sz w:val="22"/>
                <w:lang w:val="en-GB"/>
              </w:rPr>
              <w:t xml:space="preserve">Commission </w:t>
            </w:r>
            <w:r w:rsidRPr="00BB5286">
              <w:rPr>
                <w:rFonts w:eastAsia="Calibri" w:cs="Times New Roman"/>
                <w:noProof/>
                <w:sz w:val="22"/>
                <w:lang w:val="en-GB"/>
              </w:rPr>
              <w:t>Delegated Regulation (EU) 2022/126</w:t>
            </w:r>
            <w:r w:rsidRPr="00BB5286">
              <w:rPr>
                <w:rFonts w:eastAsia="Calibri" w:cs="Times New Roman"/>
                <w:i/>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9833F"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DE</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CBD2A" w14:textId="4B41F254"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456A5A">
              <w:rPr>
                <w:rFonts w:eastAsia="Calibri" w:cs="Times New Roman"/>
                <w:noProof/>
                <w:sz w:val="22"/>
                <w:lang w:val="en-GB"/>
              </w:rPr>
              <w:t xml:space="preserve"> </w:t>
            </w:r>
            <w:r w:rsidRPr="00BB5286">
              <w:rPr>
                <w:rFonts w:eastAsia="Calibri" w:cs="Times New Roman"/>
                <w:noProof/>
                <w:sz w:val="22"/>
                <w:lang w:val="en-GB"/>
              </w:rPr>
              <w:t xml:space="preserve">was not taken up. A sufficient rate of controls contributes to the verification of the variety </w:t>
            </w:r>
            <w:r w:rsidR="00675F32" w:rsidRPr="00BB5286">
              <w:rPr>
                <w:rFonts w:eastAsia="Calibri" w:cs="Times New Roman"/>
                <w:noProof/>
                <w:sz w:val="22"/>
                <w:lang w:val="en-GB"/>
              </w:rPr>
              <w:t xml:space="preserve">cultivated </w:t>
            </w:r>
            <w:r w:rsidRPr="00BB5286">
              <w:rPr>
                <w:rFonts w:eastAsia="Calibri" w:cs="Times New Roman"/>
                <w:noProof/>
                <w:sz w:val="22"/>
                <w:lang w:val="en-GB"/>
              </w:rPr>
              <w:t xml:space="preserve">and thus prevent potential cases of illegal cultivation of hemp. </w:t>
            </w:r>
          </w:p>
        </w:tc>
      </w:tr>
      <w:tr w:rsidR="001F253E" w:rsidRPr="00BB5286" w14:paraId="303FE809"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43F45"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84</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C1149" w14:textId="3BFA56AF"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Cumulative controls:</w:t>
            </w:r>
            <w:r w:rsidRPr="00BB5286">
              <w:rPr>
                <w:rFonts w:eastAsia="Calibri" w:cs="Times New Roman"/>
                <w:noProof/>
                <w:sz w:val="22"/>
                <w:lang w:val="en-GB"/>
              </w:rPr>
              <w:t xml:space="preserve"> </w:t>
            </w:r>
            <w:r w:rsidR="535E7082" w:rsidRPr="00BB5286">
              <w:rPr>
                <w:rFonts w:eastAsia="Calibri" w:cs="Times New Roman"/>
                <w:noProof/>
                <w:sz w:val="22"/>
                <w:lang w:val="en-GB"/>
              </w:rPr>
              <w:t>a</w:t>
            </w:r>
            <w:r w:rsidRPr="00BB5286">
              <w:rPr>
                <w:rFonts w:eastAsia="Calibri" w:cs="Times New Roman"/>
                <w:noProof/>
                <w:sz w:val="22"/>
                <w:lang w:val="en-GB"/>
              </w:rPr>
              <w:t>llow more possibilities for cumulative controls under different policies.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FE17C"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9FBDC" w14:textId="77777777"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It is for Member States to organise their control system in a way to avoid duplication of controls. </w:t>
            </w:r>
          </w:p>
        </w:tc>
      </w:tr>
      <w:tr w:rsidR="001F253E" w:rsidRPr="00BB5286" w14:paraId="3CE39E68" w14:textId="77777777" w:rsidTr="00A50B55">
        <w:trPr>
          <w:gridBefore w:val="1"/>
          <w:wBefore w:w="6" w:type="dxa"/>
          <w:trHeight w:val="1785"/>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57531"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lastRenderedPageBreak/>
              <w:t>85</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D9D10" w14:textId="0E2976EA" w:rsidR="00874EF4" w:rsidRPr="00BB5286" w:rsidRDefault="00874EF4" w:rsidP="00874EF4">
            <w:pPr>
              <w:spacing w:after="60" w:line="259" w:lineRule="auto"/>
              <w:jc w:val="both"/>
              <w:rPr>
                <w:rFonts w:eastAsia="Calibri" w:cs="Times New Roman"/>
                <w:i/>
                <w:noProof/>
                <w:sz w:val="22"/>
                <w:lang w:val="en-GB"/>
              </w:rPr>
            </w:pPr>
            <w:r w:rsidRPr="00BB5286">
              <w:rPr>
                <w:rFonts w:eastAsia="Calibri" w:cs="Times New Roman"/>
                <w:b/>
                <w:noProof/>
                <w:sz w:val="22"/>
                <w:lang w:val="en-GB"/>
              </w:rPr>
              <w:t>Intentionality:</w:t>
            </w:r>
            <w:r w:rsidRPr="00BB5286">
              <w:rPr>
                <w:rFonts w:eastAsia="Calibri" w:cs="Times New Roman"/>
                <w:noProof/>
                <w:sz w:val="22"/>
                <w:lang w:val="en-GB"/>
              </w:rPr>
              <w:t xml:space="preserve"> </w:t>
            </w:r>
            <w:r w:rsidR="3CA02FDE" w:rsidRPr="00BB5286">
              <w:rPr>
                <w:rFonts w:eastAsia="Calibri" w:cs="Times New Roman"/>
                <w:noProof/>
                <w:sz w:val="22"/>
                <w:lang w:val="en-GB"/>
              </w:rPr>
              <w:t>r</w:t>
            </w:r>
            <w:r w:rsidRPr="00BB5286">
              <w:rPr>
                <w:rFonts w:eastAsia="Calibri" w:cs="Times New Roman"/>
                <w:noProof/>
                <w:sz w:val="22"/>
                <w:lang w:val="en-GB"/>
              </w:rPr>
              <w:t xml:space="preserve">equest to change (conditionality) or withdraw the concept of intentionality from the assessment of non-compliance. Apply instead other criteria (severity and impact). </w:t>
            </w:r>
            <w:r w:rsidR="6562513A" w:rsidRPr="00BB5286">
              <w:rPr>
                <w:rFonts w:eastAsia="Calibri" w:cs="Times New Roman"/>
                <w:noProof/>
                <w:sz w:val="22"/>
                <w:lang w:val="en-GB"/>
              </w:rPr>
              <w:t>(</w:t>
            </w:r>
            <w:r w:rsidR="6562513A" w:rsidRPr="00BB5286">
              <w:rPr>
                <w:rFonts w:eastAsia="Calibri" w:cs="Times New Roman"/>
                <w:i/>
                <w:iCs/>
                <w:noProof/>
                <w:sz w:val="22"/>
                <w:lang w:val="en-GB"/>
              </w:rPr>
              <w:t>Art</w:t>
            </w:r>
            <w:r w:rsidR="14203B1A" w:rsidRPr="00BB5286">
              <w:rPr>
                <w:rFonts w:eastAsia="Calibri" w:cs="Times New Roman"/>
                <w:i/>
                <w:iCs/>
                <w:noProof/>
                <w:sz w:val="22"/>
                <w:lang w:val="en-GB"/>
              </w:rPr>
              <w:t>icle</w:t>
            </w:r>
            <w:r w:rsidRPr="00BB5286">
              <w:rPr>
                <w:rFonts w:eastAsia="Calibri" w:cs="Times New Roman"/>
                <w:i/>
                <w:noProof/>
                <w:sz w:val="22"/>
                <w:lang w:val="en-GB"/>
              </w:rPr>
              <w:t xml:space="preserve"> 85 (1) and (6) </w:t>
            </w:r>
            <w:r w:rsidRPr="00BB5286">
              <w:rPr>
                <w:rFonts w:eastAsia="Calibri" w:cs="Times New Roman"/>
                <w:noProof/>
                <w:sz w:val="22"/>
                <w:lang w:val="en-GB"/>
              </w:rPr>
              <w:t xml:space="preserve">of </w:t>
            </w:r>
            <w:r w:rsidR="7794DB6D" w:rsidRPr="00BB5286">
              <w:rPr>
                <w:rFonts w:eastAsia="Calibri" w:cs="Times New Roman"/>
                <w:noProof/>
                <w:sz w:val="22"/>
                <w:lang w:val="en-GB"/>
              </w:rPr>
              <w:t xml:space="preserve">the Horizontal </w:t>
            </w:r>
            <w:r w:rsidRPr="00BB5286">
              <w:rPr>
                <w:rFonts w:eastAsia="Calibri" w:cs="Times New Roman"/>
                <w:noProof/>
                <w:sz w:val="22"/>
                <w:lang w:val="en-GB"/>
              </w:rPr>
              <w:t>Regulation</w:t>
            </w:r>
            <w:r w:rsidR="003B3759" w:rsidRPr="00BB5286">
              <w:rPr>
                <w:rFonts w:eastAsia="Calibri" w:cs="Times New Roman"/>
                <w:noProof/>
                <w:sz w:val="22"/>
                <w:lang w:val="en-GB"/>
              </w:rPr>
              <w:t xml:space="preserve"> </w:t>
            </w:r>
            <w:r w:rsidRPr="00BB5286">
              <w:rPr>
                <w:rFonts w:eastAsia="Calibri" w:cs="Times New Roman"/>
                <w:noProof/>
                <w:sz w:val="22"/>
                <w:lang w:val="en-GB"/>
              </w:rPr>
              <w:t xml:space="preserve">and </w:t>
            </w:r>
            <w:r w:rsidR="6562513A" w:rsidRPr="00BB5286">
              <w:rPr>
                <w:rFonts w:eastAsia="Calibri" w:cs="Times New Roman"/>
                <w:i/>
                <w:iCs/>
                <w:noProof/>
                <w:sz w:val="22"/>
                <w:lang w:val="en-GB"/>
              </w:rPr>
              <w:t>Art</w:t>
            </w:r>
            <w:r w:rsidR="32BA3D11" w:rsidRPr="00BB5286">
              <w:rPr>
                <w:rFonts w:eastAsia="Calibri" w:cs="Times New Roman"/>
                <w:i/>
                <w:iCs/>
                <w:noProof/>
                <w:sz w:val="22"/>
                <w:lang w:val="en-GB"/>
              </w:rPr>
              <w:t>icles</w:t>
            </w:r>
            <w:r w:rsidRPr="00BB5286">
              <w:rPr>
                <w:rFonts w:eastAsia="Calibri" w:cs="Times New Roman"/>
                <w:i/>
                <w:noProof/>
                <w:sz w:val="22"/>
                <w:lang w:val="en-GB"/>
              </w:rPr>
              <w:t xml:space="preserve"> 9 and 10</w:t>
            </w:r>
            <w:r w:rsidRPr="00BB5286">
              <w:rPr>
                <w:rFonts w:eastAsia="Calibri" w:cs="Times New Roman"/>
                <w:noProof/>
                <w:sz w:val="22"/>
                <w:lang w:val="en-GB"/>
              </w:rPr>
              <w:t xml:space="preserve"> of </w:t>
            </w:r>
            <w:r w:rsidR="00577DD4" w:rsidRPr="00BB5286">
              <w:rPr>
                <w:rFonts w:eastAsia="Calibri" w:cs="Times New Roman"/>
                <w:noProof/>
                <w:sz w:val="22"/>
                <w:lang w:val="en-GB"/>
              </w:rPr>
              <w:t xml:space="preserve">Commission </w:t>
            </w:r>
            <w:r w:rsidRPr="00BB5286">
              <w:rPr>
                <w:rFonts w:eastAsia="Calibri" w:cs="Times New Roman"/>
                <w:noProof/>
                <w:sz w:val="22"/>
                <w:lang w:val="en-GB"/>
              </w:rPr>
              <w:t>Delegated Regulation (EU) 2022/1172).</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F347F"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BG, CZ, HU, RO</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DC320" w14:textId="67C3A0D5"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456A5A">
              <w:rPr>
                <w:rFonts w:eastAsia="Calibri" w:cs="Times New Roman"/>
                <w:noProof/>
                <w:sz w:val="22"/>
                <w:lang w:val="en-GB"/>
              </w:rPr>
              <w:t xml:space="preserve"> </w:t>
            </w:r>
            <w:r w:rsidRPr="00BB5286">
              <w:rPr>
                <w:rFonts w:eastAsia="Calibri" w:cs="Times New Roman"/>
                <w:noProof/>
                <w:sz w:val="22"/>
                <w:lang w:val="en-GB"/>
              </w:rPr>
              <w:t>was not taken up. The notion of ‘intentionality’ is applicable only for conditionality</w:t>
            </w:r>
            <w:r w:rsidR="0030713B" w:rsidRPr="00BB5286">
              <w:rPr>
                <w:rFonts w:eastAsia="Calibri" w:cs="Times New Roman"/>
                <w:noProof/>
                <w:sz w:val="22"/>
                <w:lang w:val="en-GB"/>
              </w:rPr>
              <w:t xml:space="preserve"> </w:t>
            </w:r>
            <w:r w:rsidRPr="00BB5286">
              <w:rPr>
                <w:rFonts w:eastAsia="Calibri" w:cs="Times New Roman"/>
                <w:noProof/>
                <w:sz w:val="22"/>
                <w:lang w:val="en-GB"/>
              </w:rPr>
              <w:t xml:space="preserve">(including social conditionality). Intentionality is a criterion that allows Member States to increase </w:t>
            </w:r>
            <w:r w:rsidR="00863FA2" w:rsidRPr="00BB5286">
              <w:rPr>
                <w:rFonts w:eastAsia="Calibri" w:cs="Times New Roman"/>
                <w:noProof/>
                <w:sz w:val="22"/>
                <w:lang w:val="en-GB"/>
              </w:rPr>
              <w:t xml:space="preserve">the </w:t>
            </w:r>
            <w:r w:rsidRPr="00BB5286">
              <w:rPr>
                <w:rFonts w:eastAsia="Calibri" w:cs="Times New Roman"/>
                <w:noProof/>
                <w:sz w:val="22"/>
                <w:lang w:val="en-GB"/>
              </w:rPr>
              <w:t xml:space="preserve">level of penalties. It is not compulsory </w:t>
            </w:r>
            <w:r w:rsidR="00863FA2" w:rsidRPr="00BB5286">
              <w:rPr>
                <w:rFonts w:eastAsia="Calibri" w:cs="Times New Roman"/>
                <w:noProof/>
                <w:sz w:val="22"/>
                <w:lang w:val="en-GB"/>
              </w:rPr>
              <w:t>to apply this</w:t>
            </w:r>
            <w:r w:rsidRPr="00BB5286">
              <w:rPr>
                <w:rFonts w:eastAsia="Calibri" w:cs="Times New Roman"/>
                <w:noProof/>
                <w:sz w:val="22"/>
                <w:lang w:val="en-GB"/>
              </w:rPr>
              <w:t xml:space="preserve"> in every check. The applicable rules for aggregation were already simplified in 2021, bringing the reduction from 20% to 15% of the support concerned by conditionality as a general rule.</w:t>
            </w:r>
          </w:p>
        </w:tc>
      </w:tr>
      <w:tr w:rsidR="001F253E" w:rsidRPr="00BB5286" w14:paraId="3BA67016"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0D852"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86</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781C7" w14:textId="4C4AB1DC" w:rsidR="00874EF4" w:rsidRPr="00BB5286" w:rsidRDefault="00874EF4" w:rsidP="00874EF4">
            <w:pPr>
              <w:spacing w:after="60" w:line="259" w:lineRule="auto"/>
              <w:jc w:val="both"/>
              <w:rPr>
                <w:rFonts w:eastAsia="Calibri" w:cs="Times New Roman"/>
                <w:noProof/>
                <w:sz w:val="22"/>
                <w:szCs w:val="20"/>
                <w:lang w:val="en-IE"/>
              </w:rPr>
            </w:pPr>
            <w:r w:rsidRPr="00BB5286">
              <w:rPr>
                <w:rFonts w:eastAsia="Calibri" w:cs="Times New Roman"/>
                <w:b/>
                <w:noProof/>
                <w:sz w:val="22"/>
                <w:szCs w:val="20"/>
                <w:lang w:val="en-IE"/>
              </w:rPr>
              <w:t>Intentionality:</w:t>
            </w:r>
            <w:r w:rsidRPr="00BB5286">
              <w:rPr>
                <w:rFonts w:eastAsia="Calibri" w:cs="Times New Roman"/>
                <w:noProof/>
                <w:sz w:val="22"/>
                <w:szCs w:val="20"/>
                <w:lang w:val="en-IE"/>
              </w:rPr>
              <w:t xml:space="preserve"> </w:t>
            </w:r>
            <w:r w:rsidR="5A847BD9" w:rsidRPr="00BB5286">
              <w:rPr>
                <w:rFonts w:eastAsia="Calibri" w:cs="Times New Roman"/>
                <w:noProof/>
                <w:sz w:val="22"/>
                <w:szCs w:val="20"/>
                <w:lang w:val="en-IE"/>
              </w:rPr>
              <w:t>r</w:t>
            </w:r>
            <w:r w:rsidRPr="00BB5286">
              <w:rPr>
                <w:rFonts w:eastAsia="Calibri" w:cs="Times New Roman"/>
                <w:noProof/>
                <w:sz w:val="22"/>
                <w:szCs w:val="20"/>
                <w:lang w:val="en-IE"/>
              </w:rPr>
              <w:t xml:space="preserve">educe the percentage of reductions in the case of </w:t>
            </w:r>
            <w:r w:rsidR="00863FA2" w:rsidRPr="00BB5286">
              <w:rPr>
                <w:rFonts w:eastAsia="Calibri" w:cs="Times New Roman"/>
                <w:noProof/>
                <w:sz w:val="22"/>
                <w:szCs w:val="20"/>
                <w:lang w:val="en-IE"/>
              </w:rPr>
              <w:t>unintentional</w:t>
            </w:r>
            <w:r w:rsidRPr="00BB5286">
              <w:rPr>
                <w:rFonts w:eastAsia="Calibri" w:cs="Times New Roman"/>
                <w:noProof/>
                <w:sz w:val="22"/>
                <w:szCs w:val="20"/>
                <w:lang w:val="en-IE"/>
              </w:rPr>
              <w:t xml:space="preserve"> non-compliance </w:t>
            </w:r>
            <w:r w:rsidR="70FC3462" w:rsidRPr="00BB5286">
              <w:rPr>
                <w:rFonts w:eastAsia="Calibri" w:cs="Times New Roman"/>
                <w:noProof/>
                <w:sz w:val="22"/>
                <w:szCs w:val="20"/>
                <w:lang w:val="en-IE"/>
              </w:rPr>
              <w:t>(</w:t>
            </w:r>
            <w:r w:rsidR="70FC3462" w:rsidRPr="00BB5286">
              <w:rPr>
                <w:rFonts w:eastAsia="Calibri" w:cs="Times New Roman"/>
                <w:i/>
                <w:noProof/>
                <w:sz w:val="22"/>
                <w:szCs w:val="20"/>
                <w:lang w:val="en-IE"/>
              </w:rPr>
              <w:t>Article 9(1)(2)</w:t>
            </w:r>
            <w:r w:rsidR="70FC3462" w:rsidRPr="00BB5286">
              <w:rPr>
                <w:rFonts w:eastAsia="Calibri" w:cs="Times New Roman"/>
                <w:noProof/>
                <w:sz w:val="22"/>
                <w:szCs w:val="20"/>
                <w:lang w:val="en-IE"/>
              </w:rPr>
              <w:t xml:space="preserve"> of </w:t>
            </w:r>
            <w:r w:rsidR="00577DD4" w:rsidRPr="00BB5286">
              <w:rPr>
                <w:rFonts w:eastAsia="Calibri" w:cs="Times New Roman"/>
                <w:noProof/>
                <w:sz w:val="22"/>
                <w:szCs w:val="20"/>
                <w:lang w:val="en-IE"/>
              </w:rPr>
              <w:t xml:space="preserve">Commission </w:t>
            </w:r>
            <w:r w:rsidR="3E2AA7C7" w:rsidRPr="00BB5286">
              <w:rPr>
                <w:rFonts w:eastAsia="Calibri" w:cs="Times New Roman"/>
                <w:noProof/>
                <w:sz w:val="22"/>
                <w:szCs w:val="20"/>
                <w:lang w:val="en-IE"/>
              </w:rPr>
              <w:t xml:space="preserve">Delegated </w:t>
            </w:r>
            <w:r w:rsidRPr="00BB5286">
              <w:rPr>
                <w:rFonts w:eastAsia="Calibri" w:cs="Times New Roman"/>
                <w:noProof/>
                <w:sz w:val="22"/>
                <w:szCs w:val="20"/>
                <w:lang w:val="en-IE"/>
              </w:rPr>
              <w:t>Regulation 2022/1172</w:t>
            </w:r>
            <w:r w:rsidR="05F170C9" w:rsidRPr="00BB5286">
              <w:rPr>
                <w:rFonts w:eastAsia="Calibri" w:cs="Times New Roman"/>
                <w:noProof/>
                <w:sz w:val="22"/>
                <w:szCs w:val="20"/>
                <w:lang w:val="en-IE"/>
              </w:rPr>
              <w:t>)</w:t>
            </w:r>
            <w:r w:rsidRPr="00BB5286">
              <w:rPr>
                <w:rFonts w:eastAsia="Calibri" w:cs="Times New Roman"/>
                <w:noProof/>
                <w:sz w:val="22"/>
                <w:szCs w:val="20"/>
                <w:lang w:val="en-IE"/>
              </w:rPr>
              <w:t xml:space="preserve"> .</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A8DC8"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HR</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DFE03" w14:textId="62C7E945"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This is already possible under the current </w:t>
            </w:r>
            <w:r w:rsidR="00AF7B1A" w:rsidRPr="00BB5286">
              <w:rPr>
                <w:rFonts w:eastAsia="Calibri" w:cs="Times New Roman"/>
                <w:noProof/>
                <w:sz w:val="22"/>
                <w:lang w:val="en-GB"/>
              </w:rPr>
              <w:t>EU CAP framework</w:t>
            </w:r>
            <w:r w:rsidRPr="00BB5286">
              <w:rPr>
                <w:rFonts w:eastAsia="Calibri" w:cs="Times New Roman"/>
                <w:noProof/>
                <w:sz w:val="22"/>
                <w:lang w:val="en-GB"/>
              </w:rPr>
              <w:t xml:space="preserve">. Reductions in case of </w:t>
            </w:r>
            <w:r w:rsidR="00863FA2" w:rsidRPr="00BB5286">
              <w:rPr>
                <w:rFonts w:eastAsia="Calibri" w:cs="Times New Roman"/>
                <w:noProof/>
                <w:sz w:val="22"/>
                <w:lang w:val="en-GB"/>
              </w:rPr>
              <w:t>unintentional</w:t>
            </w:r>
            <w:r w:rsidRPr="00BB5286">
              <w:rPr>
                <w:rFonts w:eastAsia="Calibri" w:cs="Times New Roman"/>
                <w:noProof/>
                <w:sz w:val="22"/>
                <w:lang w:val="en-GB"/>
              </w:rPr>
              <w:t xml:space="preserve"> non-compliance are decided at the national level. </w:t>
            </w:r>
          </w:p>
        </w:tc>
      </w:tr>
      <w:tr w:rsidR="001F253E" w:rsidRPr="00BB5286" w14:paraId="347D3BD9" w14:textId="77777777" w:rsidTr="00A50B55">
        <w:trPr>
          <w:gridBefore w:val="1"/>
          <w:wBefore w:w="6" w:type="dxa"/>
          <w:trHeight w:val="614"/>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26E244"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87</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34896" w14:textId="0964DC84"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Penalties:</w:t>
            </w:r>
            <w:r w:rsidRPr="00BB5286">
              <w:rPr>
                <w:rFonts w:eastAsia="Calibri" w:cs="Times New Roman"/>
                <w:noProof/>
                <w:sz w:val="22"/>
                <w:lang w:val="en-GB"/>
              </w:rPr>
              <w:t xml:space="preserve"> </w:t>
            </w:r>
            <w:r w:rsidR="583B70AE" w:rsidRPr="00BB5286">
              <w:rPr>
                <w:rFonts w:eastAsia="Calibri" w:cs="Times New Roman"/>
                <w:noProof/>
                <w:sz w:val="22"/>
                <w:lang w:val="en-GB"/>
              </w:rPr>
              <w:t>r</w:t>
            </w:r>
            <w:r w:rsidRPr="00BB5286">
              <w:rPr>
                <w:rFonts w:eastAsia="Calibri" w:cs="Times New Roman"/>
                <w:noProof/>
                <w:sz w:val="22"/>
                <w:lang w:val="en-GB"/>
              </w:rPr>
              <w:t xml:space="preserve">equest to increase the </w:t>
            </w:r>
            <w:r w:rsidRPr="00BB5286">
              <w:rPr>
                <w:rFonts w:eastAsia="Calibri" w:cs="Times New Roman"/>
                <w:i/>
                <w:iCs/>
                <w:noProof/>
                <w:sz w:val="22"/>
                <w:lang w:val="en-GB"/>
              </w:rPr>
              <w:t>de minimis</w:t>
            </w:r>
            <w:r w:rsidRPr="00BB5286">
              <w:rPr>
                <w:rFonts w:eastAsia="Calibri" w:cs="Times New Roman"/>
                <w:noProof/>
                <w:sz w:val="22"/>
                <w:lang w:val="en-GB"/>
              </w:rPr>
              <w:t xml:space="preserve"> threshold from </w:t>
            </w:r>
            <w:r w:rsidR="00863FA2" w:rsidRPr="00BB5286">
              <w:rPr>
                <w:rFonts w:eastAsia="Calibri" w:cs="Times New Roman"/>
                <w:noProof/>
                <w:sz w:val="22"/>
                <w:lang w:val="en-GB"/>
              </w:rPr>
              <w:t>EUR </w:t>
            </w:r>
            <w:r w:rsidRPr="00BB5286">
              <w:rPr>
                <w:rFonts w:eastAsia="Calibri" w:cs="Times New Roman"/>
                <w:noProof/>
                <w:sz w:val="22"/>
                <w:lang w:val="en-GB"/>
              </w:rPr>
              <w:t xml:space="preserve">100 to </w:t>
            </w:r>
            <w:r w:rsidR="00863FA2" w:rsidRPr="00BB5286">
              <w:rPr>
                <w:rFonts w:eastAsia="Calibri" w:cs="Times New Roman"/>
                <w:noProof/>
                <w:sz w:val="22"/>
                <w:lang w:val="en-GB"/>
              </w:rPr>
              <w:t>EUR </w:t>
            </w:r>
            <w:r w:rsidRPr="00BB5286">
              <w:rPr>
                <w:rFonts w:eastAsia="Calibri" w:cs="Times New Roman"/>
                <w:noProof/>
                <w:sz w:val="22"/>
                <w:lang w:val="en-GB"/>
              </w:rPr>
              <w:t xml:space="preserve">300 (the threshold from which penalties for conditionality are applied) </w:t>
            </w:r>
            <w:r w:rsidR="6562513A" w:rsidRPr="00BB5286">
              <w:rPr>
                <w:rFonts w:eastAsia="Calibri" w:cs="Times New Roman"/>
                <w:noProof/>
                <w:sz w:val="22"/>
                <w:lang w:val="en-GB"/>
              </w:rPr>
              <w:t>(</w:t>
            </w:r>
            <w:r w:rsidR="0473DB8A" w:rsidRPr="00BB5286">
              <w:rPr>
                <w:rFonts w:eastAsia="Calibri" w:cs="Times New Roman"/>
                <w:i/>
                <w:iCs/>
                <w:noProof/>
                <w:sz w:val="22"/>
                <w:lang w:val="en-GB"/>
              </w:rPr>
              <w:t>Article 84(2)b</w:t>
            </w:r>
            <w:r w:rsidR="0473DB8A" w:rsidRPr="00BB5286">
              <w:rPr>
                <w:rFonts w:eastAsia="Calibri" w:cs="Times New Roman"/>
                <w:noProof/>
                <w:sz w:val="22"/>
                <w:lang w:val="en-GB"/>
              </w:rPr>
              <w:t xml:space="preserve"> of </w:t>
            </w:r>
            <w:r w:rsidR="633C2B7D" w:rsidRPr="00BB5286">
              <w:rPr>
                <w:rFonts w:eastAsia="Calibri" w:cs="Times New Roman"/>
                <w:noProof/>
                <w:sz w:val="22"/>
                <w:lang w:val="en-GB"/>
              </w:rPr>
              <w:t xml:space="preserve">the Horizontal </w:t>
            </w:r>
            <w:r w:rsidRPr="00BB5286">
              <w:rPr>
                <w:rFonts w:eastAsia="Calibri" w:cs="Times New Roman"/>
                <w:noProof/>
                <w:sz w:val="22"/>
                <w:lang w:val="en-GB"/>
              </w:rPr>
              <w:t>Regulation)</w:t>
            </w:r>
            <w:r w:rsidR="009162C0"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45BF6"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HR, HU, RO</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8D26B" w14:textId="7D6C7A29"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Increasing this threshold would </w:t>
            </w:r>
            <w:r w:rsidR="00863FA2" w:rsidRPr="00BB5286">
              <w:rPr>
                <w:rFonts w:eastAsia="Calibri" w:cs="Times New Roman"/>
                <w:noProof/>
                <w:sz w:val="22"/>
                <w:lang w:val="en-GB"/>
              </w:rPr>
              <w:t>mean that</w:t>
            </w:r>
            <w:r w:rsidRPr="00BB5286">
              <w:rPr>
                <w:rFonts w:eastAsia="Calibri" w:cs="Times New Roman"/>
                <w:noProof/>
                <w:sz w:val="22"/>
                <w:lang w:val="en-GB"/>
              </w:rPr>
              <w:t xml:space="preserve"> a high number of non-compliances with conditionality requirements</w:t>
            </w:r>
            <w:r w:rsidR="00863FA2" w:rsidRPr="00BB5286">
              <w:rPr>
                <w:rFonts w:eastAsia="Calibri" w:cs="Times New Roman"/>
                <w:noProof/>
                <w:sz w:val="22"/>
                <w:lang w:val="en-GB"/>
              </w:rPr>
              <w:t xml:space="preserve"> would not be sanctioned,</w:t>
            </w:r>
            <w:r w:rsidRPr="00BB5286">
              <w:rPr>
                <w:rFonts w:eastAsia="Calibri" w:cs="Times New Roman"/>
                <w:noProof/>
                <w:sz w:val="22"/>
                <w:lang w:val="en-GB"/>
              </w:rPr>
              <w:t xml:space="preserve"> which would reduce the deterrent effect of the controls and penalties system.</w:t>
            </w:r>
          </w:p>
        </w:tc>
      </w:tr>
      <w:tr w:rsidR="001F253E" w:rsidRPr="00BB5286" w14:paraId="2319A3F8"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DB9BE"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88</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B738E" w14:textId="459763CE"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Period of control:</w:t>
            </w:r>
            <w:r w:rsidRPr="00BB5286">
              <w:rPr>
                <w:rFonts w:eastAsia="Calibri" w:cs="Times New Roman"/>
                <w:noProof/>
                <w:sz w:val="22"/>
                <w:lang w:val="en-GB"/>
              </w:rPr>
              <w:t xml:space="preserve"> </w:t>
            </w:r>
            <w:r w:rsidR="3DD3FD3F" w:rsidRPr="00BB5286">
              <w:rPr>
                <w:rFonts w:eastAsia="Calibri" w:cs="Times New Roman"/>
                <w:noProof/>
                <w:sz w:val="22"/>
                <w:lang w:val="en-GB"/>
              </w:rPr>
              <w:t>r</w:t>
            </w:r>
            <w:r w:rsidRPr="00BB5286">
              <w:rPr>
                <w:rFonts w:eastAsia="Calibri" w:cs="Times New Roman"/>
                <w:noProof/>
                <w:sz w:val="22"/>
                <w:lang w:val="en-GB"/>
              </w:rPr>
              <w:t xml:space="preserve">educe the period of control of livestock (from </w:t>
            </w:r>
            <w:r w:rsidR="00863FA2" w:rsidRPr="00BB5286">
              <w:rPr>
                <w:rFonts w:eastAsia="Calibri" w:cs="Times New Roman"/>
                <w:noProof/>
                <w:sz w:val="22"/>
                <w:lang w:val="en-GB"/>
              </w:rPr>
              <w:t xml:space="preserve">the </w:t>
            </w:r>
            <w:r w:rsidRPr="00BB5286">
              <w:rPr>
                <w:rFonts w:eastAsia="Calibri" w:cs="Times New Roman"/>
                <w:noProof/>
                <w:sz w:val="22"/>
                <w:lang w:val="en-GB"/>
              </w:rPr>
              <w:t xml:space="preserve">entire calendar year) to allow advanced payments in </w:t>
            </w:r>
            <w:r w:rsidR="00863FA2" w:rsidRPr="00BB5286">
              <w:rPr>
                <w:rFonts w:eastAsia="Calibri" w:cs="Times New Roman"/>
                <w:noProof/>
                <w:sz w:val="22"/>
                <w:lang w:val="en-GB"/>
              </w:rPr>
              <w:t xml:space="preserve">a </w:t>
            </w:r>
            <w:r w:rsidRPr="00BB5286">
              <w:rPr>
                <w:rFonts w:eastAsia="Calibri" w:cs="Times New Roman"/>
                <w:noProof/>
                <w:sz w:val="22"/>
                <w:lang w:val="en-GB"/>
              </w:rPr>
              <w:t>shorter time</w:t>
            </w:r>
            <w:r w:rsidR="009162C0"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CFE02"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IT</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94A07" w14:textId="02A99FD3"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It is up to the Member States to design their control and penalty systems for interventions</w:t>
            </w:r>
            <w:r w:rsidR="00863FA2" w:rsidRPr="00BB5286">
              <w:rPr>
                <w:rFonts w:eastAsia="Calibri" w:cs="Times New Roman"/>
                <w:noProof/>
                <w:sz w:val="22"/>
                <w:lang w:val="en-GB"/>
              </w:rPr>
              <w:t>.</w:t>
            </w:r>
            <w:r w:rsidRPr="00BB5286">
              <w:rPr>
                <w:rFonts w:eastAsia="Calibri" w:cs="Times New Roman"/>
                <w:noProof/>
                <w:sz w:val="22"/>
                <w:lang w:val="en-GB"/>
              </w:rPr>
              <w:t xml:space="preserve"> </w:t>
            </w:r>
            <w:r w:rsidR="00863FA2" w:rsidRPr="00BB5286">
              <w:rPr>
                <w:rFonts w:eastAsia="Calibri" w:cs="Times New Roman"/>
                <w:noProof/>
                <w:sz w:val="22"/>
                <w:lang w:val="en-GB"/>
              </w:rPr>
              <w:t>C</w:t>
            </w:r>
            <w:r w:rsidRPr="00BB5286">
              <w:rPr>
                <w:rFonts w:eastAsia="Calibri" w:cs="Times New Roman"/>
                <w:noProof/>
                <w:sz w:val="22"/>
                <w:lang w:val="en-GB"/>
              </w:rPr>
              <w:t xml:space="preserve">ompliance with </w:t>
            </w:r>
            <w:r w:rsidRPr="00BB5286">
              <w:rPr>
                <w:rFonts w:eastAsia="Calibri" w:cs="Times New Roman"/>
                <w:i/>
                <w:noProof/>
                <w:sz w:val="22"/>
                <w:lang w:val="en-GB"/>
              </w:rPr>
              <w:t>Articles 59, 60, 72</w:t>
            </w:r>
            <w:r w:rsidRPr="00BB5286">
              <w:rPr>
                <w:rFonts w:eastAsia="Calibri" w:cs="Times New Roman"/>
                <w:noProof/>
                <w:sz w:val="22"/>
                <w:lang w:val="en-GB"/>
              </w:rPr>
              <w:t xml:space="preserve"> of </w:t>
            </w:r>
            <w:r w:rsidR="4E4CB50D" w:rsidRPr="00BB5286">
              <w:rPr>
                <w:rFonts w:eastAsia="Calibri" w:cs="Times New Roman"/>
                <w:noProof/>
                <w:sz w:val="22"/>
                <w:lang w:val="en-GB"/>
              </w:rPr>
              <w:t xml:space="preserve">the Horizontal </w:t>
            </w:r>
            <w:r w:rsidRPr="00BB5286">
              <w:rPr>
                <w:rFonts w:eastAsia="Calibri" w:cs="Times New Roman"/>
                <w:noProof/>
                <w:sz w:val="22"/>
                <w:lang w:val="en-GB"/>
              </w:rPr>
              <w:t>Regulation must</w:t>
            </w:r>
            <w:r w:rsidR="00863FA2" w:rsidRPr="00BB5286">
              <w:rPr>
                <w:rFonts w:eastAsia="Calibri" w:cs="Times New Roman"/>
                <w:noProof/>
                <w:sz w:val="22"/>
                <w:lang w:val="en-GB"/>
              </w:rPr>
              <w:t>,</w:t>
            </w:r>
            <w:r w:rsidRPr="00BB5286">
              <w:rPr>
                <w:rFonts w:eastAsia="Calibri" w:cs="Times New Roman"/>
                <w:noProof/>
                <w:sz w:val="22"/>
                <w:lang w:val="en-GB"/>
              </w:rPr>
              <w:t xml:space="preserve"> however</w:t>
            </w:r>
            <w:r w:rsidR="00863FA2" w:rsidRPr="00BB5286">
              <w:rPr>
                <w:rFonts w:eastAsia="Calibri" w:cs="Times New Roman"/>
                <w:noProof/>
                <w:sz w:val="22"/>
                <w:lang w:val="en-GB"/>
              </w:rPr>
              <w:t>,</w:t>
            </w:r>
            <w:r w:rsidRPr="00BB5286">
              <w:rPr>
                <w:rFonts w:eastAsia="Calibri" w:cs="Times New Roman"/>
                <w:noProof/>
                <w:sz w:val="22"/>
                <w:lang w:val="en-GB"/>
              </w:rPr>
              <w:t xml:space="preserve"> be ensured.</w:t>
            </w:r>
            <w:r w:rsidRPr="00BB5286">
              <w:rPr>
                <w:rFonts w:eastAsia="Calibri" w:cs="Times New Roman"/>
                <w:noProof/>
                <w:color w:val="5C2E91"/>
                <w:sz w:val="22"/>
                <w:u w:val="single"/>
                <w:shd w:val="clear" w:color="auto" w:fill="FFFFFF"/>
                <w:lang w:val="en-GB"/>
              </w:rPr>
              <w:t xml:space="preserve"> </w:t>
            </w:r>
          </w:p>
        </w:tc>
      </w:tr>
      <w:tr w:rsidR="001F253E" w:rsidRPr="00BB5286" w14:paraId="6DE12AF1"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42821"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89</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434F4" w14:textId="027DB26E"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LEADER:</w:t>
            </w:r>
            <w:r w:rsidRPr="00BB5286">
              <w:rPr>
                <w:rFonts w:eastAsia="Calibri" w:cs="Times New Roman"/>
                <w:noProof/>
                <w:sz w:val="22"/>
                <w:lang w:val="en-GB"/>
              </w:rPr>
              <w:t xml:space="preserve"> </w:t>
            </w:r>
            <w:r w:rsidR="582879DE" w:rsidRPr="00BB5286">
              <w:rPr>
                <w:rFonts w:eastAsia="Calibri" w:cs="Times New Roman"/>
                <w:noProof/>
                <w:sz w:val="22"/>
                <w:lang w:val="en-GB"/>
              </w:rPr>
              <w:t>c</w:t>
            </w:r>
            <w:r w:rsidRPr="00BB5286">
              <w:rPr>
                <w:rFonts w:eastAsia="Calibri" w:cs="Times New Roman"/>
                <w:noProof/>
                <w:sz w:val="22"/>
                <w:lang w:val="en-GB"/>
              </w:rPr>
              <w:t>ancelling ex</w:t>
            </w:r>
            <w:r w:rsidR="00A70220" w:rsidRPr="00BB5286">
              <w:rPr>
                <w:rFonts w:eastAsia="Calibri" w:cs="Times New Roman"/>
                <w:noProof/>
                <w:sz w:val="22"/>
                <w:lang w:val="en-GB"/>
              </w:rPr>
              <w:t xml:space="preserve"> </w:t>
            </w:r>
            <w:r w:rsidRPr="00BB5286">
              <w:rPr>
                <w:rFonts w:eastAsia="Calibri" w:cs="Times New Roman"/>
                <w:noProof/>
                <w:sz w:val="22"/>
                <w:lang w:val="en-GB"/>
              </w:rPr>
              <w:t>post checks for LEADER (intangible investments)</w:t>
            </w:r>
            <w:r w:rsidR="009162C0"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072F9"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LU</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77785" w14:textId="58C300F6" w:rsidR="00874EF4" w:rsidRPr="00BB5286" w:rsidRDefault="5F160E22" w:rsidP="00874EF4">
            <w:pPr>
              <w:spacing w:after="60" w:line="259" w:lineRule="auto"/>
              <w:jc w:val="both"/>
              <w:rPr>
                <w:rFonts w:eastAsia="Calibri" w:cs="Times New Roman"/>
                <w:noProof/>
                <w:sz w:val="22"/>
                <w:highlight w:val="yellow"/>
                <w:lang w:val="en-GB"/>
              </w:rPr>
            </w:pPr>
            <w:r w:rsidRPr="00BB5286">
              <w:rPr>
                <w:rFonts w:eastAsia="Calibri" w:cs="Times New Roman"/>
                <w:noProof/>
                <w:sz w:val="22"/>
                <w:lang w:val="en-GB"/>
              </w:rPr>
              <w:t xml:space="preserve">The CSP and </w:t>
            </w:r>
            <w:r w:rsidR="00577DD4" w:rsidRPr="00BB5286">
              <w:rPr>
                <w:rFonts w:eastAsia="Calibri" w:cs="Times New Roman"/>
                <w:noProof/>
                <w:sz w:val="22"/>
                <w:lang w:val="en-GB"/>
              </w:rPr>
              <w:t xml:space="preserve">the </w:t>
            </w:r>
            <w:r w:rsidRPr="00BB5286">
              <w:rPr>
                <w:rFonts w:eastAsia="Calibri" w:cs="Times New Roman"/>
                <w:noProof/>
                <w:sz w:val="22"/>
                <w:lang w:val="en-GB"/>
              </w:rPr>
              <w:t xml:space="preserve">Horizontal </w:t>
            </w:r>
            <w:r w:rsidR="00874EF4" w:rsidRPr="00BB5286">
              <w:rPr>
                <w:rFonts w:eastAsia="Calibri" w:cs="Times New Roman"/>
                <w:noProof/>
                <w:sz w:val="22"/>
                <w:lang w:val="en-GB"/>
              </w:rPr>
              <w:t>Regulations no longer provide for rules on ex</w:t>
            </w:r>
            <w:r w:rsidR="00863FA2" w:rsidRPr="00BB5286">
              <w:rPr>
                <w:rFonts w:eastAsia="Calibri" w:cs="Times New Roman"/>
                <w:noProof/>
                <w:sz w:val="22"/>
                <w:lang w:val="en-GB"/>
              </w:rPr>
              <w:t xml:space="preserve"> </w:t>
            </w:r>
            <w:r w:rsidR="00874EF4" w:rsidRPr="00BB5286">
              <w:rPr>
                <w:rFonts w:eastAsia="Calibri" w:cs="Times New Roman"/>
                <w:noProof/>
                <w:sz w:val="22"/>
                <w:lang w:val="en-GB"/>
              </w:rPr>
              <w:t xml:space="preserve">post checks for these interventions, unlike the </w:t>
            </w:r>
            <w:r w:rsidR="00AF7B1A" w:rsidRPr="00BB5286">
              <w:rPr>
                <w:rFonts w:eastAsia="Calibri" w:cs="Times New Roman"/>
                <w:noProof/>
                <w:sz w:val="22"/>
                <w:lang w:val="en-GB"/>
              </w:rPr>
              <w:t xml:space="preserve">EU </w:t>
            </w:r>
            <w:r w:rsidR="00874EF4" w:rsidRPr="00BB5286">
              <w:rPr>
                <w:rFonts w:eastAsia="Calibri" w:cs="Times New Roman"/>
                <w:noProof/>
                <w:sz w:val="22"/>
                <w:lang w:val="en-GB"/>
              </w:rPr>
              <w:t xml:space="preserve">legislation applicable in the previous programming period. Member States must take measures to ensure effective protection of the </w:t>
            </w:r>
            <w:r w:rsidR="00AF7B1A" w:rsidRPr="00BB5286">
              <w:rPr>
                <w:rFonts w:eastAsia="Calibri" w:cs="Times New Roman"/>
                <w:noProof/>
                <w:sz w:val="22"/>
                <w:lang w:val="en-GB"/>
              </w:rPr>
              <w:t xml:space="preserve">EU's </w:t>
            </w:r>
            <w:r w:rsidR="00874EF4" w:rsidRPr="00BB5286">
              <w:rPr>
                <w:rFonts w:eastAsia="Calibri" w:cs="Times New Roman"/>
                <w:noProof/>
                <w:sz w:val="22"/>
                <w:lang w:val="en-GB"/>
              </w:rPr>
              <w:t xml:space="preserve">financial interests and set up efficient management and control systems based on </w:t>
            </w:r>
            <w:r w:rsidR="00874EF4" w:rsidRPr="00BB5286">
              <w:rPr>
                <w:rFonts w:eastAsia="Calibri" w:cs="Times New Roman"/>
                <w:i/>
                <w:noProof/>
                <w:sz w:val="22"/>
                <w:lang w:val="en-GB"/>
              </w:rPr>
              <w:t>Articles 59(1) and (2)</w:t>
            </w:r>
            <w:r w:rsidR="00874EF4" w:rsidRPr="00BB5286">
              <w:rPr>
                <w:rFonts w:eastAsia="Calibri" w:cs="Times New Roman"/>
                <w:noProof/>
                <w:sz w:val="22"/>
                <w:lang w:val="en-GB"/>
              </w:rPr>
              <w:t xml:space="preserve"> </w:t>
            </w:r>
            <w:r w:rsidR="00874EF4" w:rsidRPr="00BB5286">
              <w:rPr>
                <w:rFonts w:eastAsia="Calibri" w:cs="Times New Roman"/>
                <w:i/>
                <w:noProof/>
                <w:sz w:val="22"/>
                <w:lang w:val="en-GB"/>
              </w:rPr>
              <w:t>and 60(1)</w:t>
            </w:r>
            <w:r w:rsidR="00874EF4" w:rsidRPr="00BB5286">
              <w:rPr>
                <w:rFonts w:eastAsia="Calibri" w:cs="Times New Roman"/>
                <w:noProof/>
                <w:sz w:val="22"/>
                <w:lang w:val="en-GB"/>
              </w:rPr>
              <w:t xml:space="preserve"> of </w:t>
            </w:r>
            <w:r w:rsidR="3DD2DC55" w:rsidRPr="00BB5286">
              <w:rPr>
                <w:rFonts w:eastAsia="Calibri" w:cs="Times New Roman"/>
                <w:noProof/>
                <w:sz w:val="22"/>
                <w:lang w:val="en-GB"/>
              </w:rPr>
              <w:t xml:space="preserve">the Horizontal </w:t>
            </w:r>
            <w:r w:rsidR="00874EF4" w:rsidRPr="00BB5286">
              <w:rPr>
                <w:rFonts w:eastAsia="Calibri" w:cs="Times New Roman"/>
                <w:noProof/>
                <w:sz w:val="22"/>
                <w:lang w:val="en-GB"/>
              </w:rPr>
              <w:t xml:space="preserve">Regulation. It is therefore for the Member States to put in place a management and control system that functions properly. </w:t>
            </w:r>
          </w:p>
        </w:tc>
      </w:tr>
      <w:tr w:rsidR="001F253E" w:rsidRPr="00BB5286" w14:paraId="4D1E7156"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942AE"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lastRenderedPageBreak/>
              <w:t>90</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FF30B" w14:textId="4C08C0CC"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Type of controls:</w:t>
            </w:r>
            <w:r w:rsidRPr="00BB5286">
              <w:rPr>
                <w:rFonts w:eastAsia="Calibri" w:cs="Times New Roman"/>
                <w:noProof/>
                <w:sz w:val="22"/>
                <w:lang w:val="en-GB"/>
              </w:rPr>
              <w:t xml:space="preserve"> </w:t>
            </w:r>
            <w:r w:rsidR="446BF169" w:rsidRPr="00BB5286">
              <w:rPr>
                <w:rFonts w:eastAsia="Calibri" w:cs="Times New Roman"/>
                <w:noProof/>
                <w:sz w:val="22"/>
                <w:lang w:val="en-GB"/>
              </w:rPr>
              <w:t>p</w:t>
            </w:r>
            <w:r w:rsidRPr="00BB5286">
              <w:rPr>
                <w:rFonts w:eastAsia="Calibri" w:cs="Times New Roman"/>
                <w:noProof/>
                <w:sz w:val="22"/>
                <w:lang w:val="en-GB"/>
              </w:rPr>
              <w:t>reference should be given to controls based on documentation where it offers sufficient guarantees.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B9AC6"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D9D75" w14:textId="06D92D60" w:rsidR="00874EF4" w:rsidRPr="00BB5286" w:rsidRDefault="00874EF4" w:rsidP="009162C0">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It is up to the Member States to design their control and penalty systems for interventions in compliance with </w:t>
            </w:r>
            <w:r w:rsidRPr="00BB5286">
              <w:rPr>
                <w:rFonts w:eastAsia="Calibri" w:cs="Times New Roman"/>
                <w:i/>
                <w:noProof/>
                <w:sz w:val="22"/>
                <w:lang w:val="en-GB"/>
              </w:rPr>
              <w:t>Articles 59, 60 and 72</w:t>
            </w:r>
            <w:r w:rsidRPr="00BB5286">
              <w:rPr>
                <w:rFonts w:eastAsia="Calibri" w:cs="Times New Roman"/>
                <w:noProof/>
                <w:sz w:val="22"/>
                <w:lang w:val="en-GB"/>
              </w:rPr>
              <w:t xml:space="preserve"> of </w:t>
            </w:r>
            <w:r w:rsidR="1A0ECD8B" w:rsidRPr="00BB5286">
              <w:rPr>
                <w:rFonts w:eastAsia="Calibri" w:cs="Times New Roman"/>
                <w:noProof/>
                <w:sz w:val="22"/>
                <w:lang w:val="en-GB"/>
              </w:rPr>
              <w:t xml:space="preserve">the Horizontal </w:t>
            </w:r>
            <w:r w:rsidRPr="00BB5286">
              <w:rPr>
                <w:rFonts w:eastAsia="Calibri" w:cs="Times New Roman"/>
                <w:noProof/>
                <w:sz w:val="22"/>
                <w:lang w:val="en-GB"/>
              </w:rPr>
              <w:t xml:space="preserve">Regulation. </w:t>
            </w:r>
          </w:p>
        </w:tc>
      </w:tr>
      <w:tr w:rsidR="001F253E" w:rsidRPr="00BB5286" w14:paraId="071EDDFE"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ED64C"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91</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FE439" w14:textId="54AE787E"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Type of controls:</w:t>
            </w:r>
            <w:r w:rsidRPr="00BB5286">
              <w:rPr>
                <w:rFonts w:eastAsia="Calibri" w:cs="Times New Roman"/>
                <w:noProof/>
                <w:sz w:val="22"/>
                <w:lang w:val="en-GB"/>
              </w:rPr>
              <w:t xml:space="preserve"> </w:t>
            </w:r>
            <w:r w:rsidR="70FC1F90" w:rsidRPr="00BB5286">
              <w:rPr>
                <w:rFonts w:eastAsia="Calibri" w:cs="Times New Roman"/>
                <w:noProof/>
                <w:sz w:val="22"/>
                <w:lang w:val="en-GB"/>
              </w:rPr>
              <w:t>r</w:t>
            </w:r>
            <w:r w:rsidRPr="00BB5286">
              <w:rPr>
                <w:rFonts w:eastAsia="Calibri" w:cs="Times New Roman"/>
                <w:noProof/>
                <w:sz w:val="22"/>
                <w:lang w:val="en-GB"/>
              </w:rPr>
              <w:t xml:space="preserve">eplace/reduce controls related to compliance with EU legislation with checks based on available databases. </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3248A"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DA710" w14:textId="561FF118"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Under the </w:t>
            </w:r>
            <w:r w:rsidR="00AF7B1A" w:rsidRPr="00BB5286">
              <w:rPr>
                <w:rFonts w:eastAsia="Calibri" w:cs="Times New Roman"/>
                <w:noProof/>
                <w:sz w:val="22"/>
                <w:lang w:val="en-GB"/>
              </w:rPr>
              <w:t>EU CAP framework</w:t>
            </w:r>
            <w:r w:rsidRPr="00BB5286">
              <w:rPr>
                <w:rFonts w:eastAsia="Calibri" w:cs="Times New Roman"/>
                <w:noProof/>
                <w:sz w:val="22"/>
                <w:lang w:val="en-GB"/>
              </w:rPr>
              <w:t xml:space="preserve"> administrative checks are already possible. Further to the simplification package, the Commission will organise </w:t>
            </w:r>
            <w:r w:rsidR="00863FA2" w:rsidRPr="00BB5286">
              <w:rPr>
                <w:rFonts w:eastAsia="Calibri" w:cs="Times New Roman"/>
                <w:noProof/>
                <w:sz w:val="22"/>
                <w:lang w:val="en-GB"/>
              </w:rPr>
              <w:t xml:space="preserve">an </w:t>
            </w:r>
            <w:r w:rsidRPr="00BB5286">
              <w:rPr>
                <w:rFonts w:eastAsia="Calibri" w:cs="Times New Roman"/>
                <w:noProof/>
                <w:sz w:val="22"/>
                <w:lang w:val="en-GB"/>
              </w:rPr>
              <w:t xml:space="preserve">exchange of best practice with Member States on how to coordinate controls and sanctions systems under </w:t>
            </w:r>
            <w:r w:rsidR="00AF7B1A" w:rsidRPr="00BB5286">
              <w:rPr>
                <w:rFonts w:eastAsia="Calibri" w:cs="Times New Roman"/>
                <w:noProof/>
                <w:sz w:val="22"/>
                <w:lang w:val="en-GB"/>
              </w:rPr>
              <w:t xml:space="preserve">EU </w:t>
            </w:r>
            <w:r w:rsidRPr="00BB5286">
              <w:rPr>
                <w:rFonts w:eastAsia="Calibri" w:cs="Times New Roman"/>
                <w:noProof/>
                <w:sz w:val="22"/>
                <w:lang w:val="en-GB"/>
              </w:rPr>
              <w:t xml:space="preserve">environment, climate and animal welfare legislation with </w:t>
            </w:r>
            <w:r w:rsidR="00863FA2" w:rsidRPr="00BB5286">
              <w:rPr>
                <w:rFonts w:eastAsia="Calibri" w:cs="Times New Roman"/>
                <w:noProof/>
                <w:sz w:val="22"/>
                <w:lang w:val="en-GB"/>
              </w:rPr>
              <w:t xml:space="preserve">checks related to </w:t>
            </w:r>
            <w:r w:rsidRPr="00BB5286">
              <w:rPr>
                <w:rFonts w:eastAsia="Calibri" w:cs="Times New Roman"/>
                <w:noProof/>
                <w:sz w:val="22"/>
                <w:lang w:val="en-GB"/>
              </w:rPr>
              <w:t>CAP conditionality.</w:t>
            </w:r>
          </w:p>
        </w:tc>
      </w:tr>
      <w:tr w:rsidR="001F253E" w:rsidRPr="00BB5286" w14:paraId="424DAA6C"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71032"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Times New Roman" w:cs="Times New Roman"/>
                <w:b/>
                <w:noProof/>
                <w:sz w:val="22"/>
                <w:lang w:val="en-GB" w:eastAsia="en-IE"/>
              </w:rPr>
              <w:t>92</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52D79" w14:textId="731550B7"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Reduce the frequency of controls</w:t>
            </w:r>
            <w:r w:rsidRPr="00BB5286">
              <w:rPr>
                <w:rFonts w:eastAsia="Calibri" w:cs="Times New Roman"/>
                <w:noProof/>
                <w:sz w:val="22"/>
                <w:lang w:val="en-GB"/>
              </w:rPr>
              <w:t xml:space="preserve"> to address unintentional errors and to provide for the right to error.</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E5698"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CE4AD" w14:textId="684993E9"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Under the </w:t>
            </w:r>
            <w:r w:rsidR="006A5D3D" w:rsidRPr="00BB5286">
              <w:rPr>
                <w:rFonts w:eastAsia="Calibri" w:cs="Times New Roman"/>
                <w:noProof/>
                <w:sz w:val="22"/>
                <w:lang w:val="en-GB"/>
              </w:rPr>
              <w:t>n</w:t>
            </w:r>
            <w:r w:rsidRPr="00BB5286">
              <w:rPr>
                <w:rFonts w:eastAsia="Calibri" w:cs="Times New Roman"/>
                <w:noProof/>
                <w:sz w:val="22"/>
                <w:lang w:val="en-GB"/>
              </w:rPr>
              <w:t xml:space="preserve">ew </w:t>
            </w:r>
            <w:r w:rsidR="006A5D3D" w:rsidRPr="00BB5286">
              <w:rPr>
                <w:rFonts w:eastAsia="Calibri" w:cs="Times New Roman"/>
                <w:noProof/>
                <w:sz w:val="22"/>
                <w:lang w:val="en-GB"/>
              </w:rPr>
              <w:t>d</w:t>
            </w:r>
            <w:r w:rsidRPr="00BB5286">
              <w:rPr>
                <w:rFonts w:eastAsia="Calibri" w:cs="Times New Roman"/>
                <w:noProof/>
                <w:sz w:val="22"/>
                <w:lang w:val="en-GB"/>
              </w:rPr>
              <w:t xml:space="preserve">elivery </w:t>
            </w:r>
            <w:r w:rsidR="006A5D3D" w:rsidRPr="00BB5286">
              <w:rPr>
                <w:rFonts w:eastAsia="Calibri" w:cs="Times New Roman"/>
                <w:noProof/>
                <w:sz w:val="22"/>
                <w:lang w:val="en-GB"/>
              </w:rPr>
              <w:t>m</w:t>
            </w:r>
            <w:r w:rsidRPr="00BB5286">
              <w:rPr>
                <w:rFonts w:eastAsia="Calibri" w:cs="Times New Roman"/>
                <w:noProof/>
                <w:sz w:val="22"/>
                <w:lang w:val="en-GB"/>
              </w:rPr>
              <w:t>odel of the CAP, it is up to the Member States to design their control systems</w:t>
            </w:r>
            <w:r w:rsidR="00593419" w:rsidRPr="00BB5286">
              <w:rPr>
                <w:rFonts w:eastAsia="Calibri" w:cs="Times New Roman"/>
                <w:noProof/>
                <w:sz w:val="22"/>
                <w:lang w:val="en-GB"/>
              </w:rPr>
              <w:t>,</w:t>
            </w:r>
            <w:r w:rsidRPr="00BB5286">
              <w:rPr>
                <w:rFonts w:eastAsia="Calibri" w:cs="Times New Roman"/>
                <w:noProof/>
                <w:sz w:val="22"/>
                <w:lang w:val="en-GB"/>
              </w:rPr>
              <w:t xml:space="preserve"> including the</w:t>
            </w:r>
            <w:r w:rsidRPr="00BB5286" w:rsidDel="00F14132">
              <w:rPr>
                <w:rFonts w:eastAsia="Calibri" w:cs="Times New Roman"/>
                <w:noProof/>
                <w:sz w:val="22"/>
                <w:lang w:val="en-GB"/>
              </w:rPr>
              <w:t xml:space="preserve"> number of checks</w:t>
            </w:r>
            <w:r w:rsidR="00593419" w:rsidRPr="00BB5286">
              <w:rPr>
                <w:rFonts w:eastAsia="Calibri" w:cs="Times New Roman"/>
                <w:noProof/>
                <w:sz w:val="22"/>
                <w:lang w:val="en-GB"/>
              </w:rPr>
              <w:t>,</w:t>
            </w:r>
            <w:r w:rsidRPr="00BB5286" w:rsidDel="00F14132">
              <w:rPr>
                <w:rFonts w:eastAsia="Calibri" w:cs="Times New Roman"/>
                <w:noProof/>
                <w:sz w:val="22"/>
                <w:lang w:val="en-GB"/>
              </w:rPr>
              <w:t xml:space="preserve"> </w:t>
            </w:r>
            <w:r w:rsidR="00593419" w:rsidRPr="00BB5286">
              <w:rPr>
                <w:rFonts w:eastAsia="Calibri" w:cs="Times New Roman"/>
                <w:noProof/>
                <w:sz w:val="22"/>
                <w:lang w:val="en-GB"/>
              </w:rPr>
              <w:t xml:space="preserve">the </w:t>
            </w:r>
            <w:r w:rsidRPr="00BB5286" w:rsidDel="00F14132">
              <w:rPr>
                <w:rFonts w:eastAsia="Calibri" w:cs="Times New Roman"/>
                <w:noProof/>
                <w:sz w:val="22"/>
                <w:lang w:val="en-GB"/>
              </w:rPr>
              <w:t>number of visits</w:t>
            </w:r>
            <w:r w:rsidR="00593419" w:rsidRPr="00BB5286">
              <w:rPr>
                <w:rFonts w:eastAsia="Calibri" w:cs="Times New Roman"/>
                <w:noProof/>
                <w:sz w:val="22"/>
                <w:lang w:val="en-GB"/>
              </w:rPr>
              <w:t xml:space="preserve"> and</w:t>
            </w:r>
            <w:r w:rsidRPr="00BB5286" w:rsidDel="00F14132">
              <w:rPr>
                <w:rFonts w:eastAsia="Calibri" w:cs="Times New Roman"/>
                <w:noProof/>
                <w:sz w:val="22"/>
                <w:lang w:val="en-GB"/>
              </w:rPr>
              <w:t xml:space="preserve"> </w:t>
            </w:r>
            <w:r w:rsidR="00593419" w:rsidRPr="00BB5286">
              <w:rPr>
                <w:rFonts w:eastAsia="Calibri" w:cs="Times New Roman"/>
                <w:noProof/>
                <w:sz w:val="22"/>
                <w:lang w:val="en-GB"/>
              </w:rPr>
              <w:t xml:space="preserve">the </w:t>
            </w:r>
            <w:r w:rsidRPr="00BB5286" w:rsidDel="00F14132">
              <w:rPr>
                <w:rFonts w:eastAsia="Calibri" w:cs="Times New Roman"/>
                <w:noProof/>
                <w:sz w:val="22"/>
                <w:lang w:val="en-GB"/>
              </w:rPr>
              <w:t>ways to visit</w:t>
            </w:r>
            <w:r w:rsidR="00593419" w:rsidRPr="00BB5286">
              <w:rPr>
                <w:rFonts w:eastAsia="Calibri" w:cs="Times New Roman"/>
                <w:noProof/>
                <w:sz w:val="22"/>
                <w:lang w:val="en-GB"/>
              </w:rPr>
              <w:t>,</w:t>
            </w:r>
            <w:r w:rsidRPr="00BB5286" w:rsidDel="00F14132">
              <w:rPr>
                <w:rFonts w:eastAsia="Calibri" w:cs="Times New Roman"/>
                <w:noProof/>
                <w:sz w:val="22"/>
                <w:lang w:val="en-GB"/>
              </w:rPr>
              <w:t xml:space="preserve"> to get assurance that </w:t>
            </w:r>
            <w:r w:rsidR="00593419" w:rsidRPr="00BB5286">
              <w:rPr>
                <w:rFonts w:eastAsia="Calibri" w:cs="Times New Roman"/>
                <w:noProof/>
                <w:sz w:val="22"/>
                <w:lang w:val="en-GB"/>
              </w:rPr>
              <w:t xml:space="preserve">the </w:t>
            </w:r>
            <w:r w:rsidRPr="00BB5286" w:rsidDel="00F14132">
              <w:rPr>
                <w:rFonts w:eastAsia="Calibri" w:cs="Times New Roman"/>
                <w:noProof/>
                <w:sz w:val="22"/>
                <w:lang w:val="en-GB"/>
              </w:rPr>
              <w:t xml:space="preserve">amounts </w:t>
            </w:r>
            <w:r w:rsidRPr="00BB5286">
              <w:rPr>
                <w:rFonts w:eastAsia="Calibri" w:cs="Times New Roman"/>
                <w:noProof/>
                <w:sz w:val="22"/>
                <w:lang w:val="en-GB"/>
              </w:rPr>
              <w:t>of</w:t>
            </w:r>
            <w:r w:rsidRPr="00BB5286" w:rsidDel="00F14132">
              <w:rPr>
                <w:rFonts w:eastAsia="Calibri" w:cs="Times New Roman"/>
                <w:noProof/>
                <w:sz w:val="22"/>
                <w:lang w:val="en-GB"/>
              </w:rPr>
              <w:t xml:space="preserve"> aid </w:t>
            </w:r>
            <w:r w:rsidRPr="00BB5286">
              <w:rPr>
                <w:rFonts w:eastAsia="Calibri" w:cs="Times New Roman"/>
                <w:noProof/>
                <w:sz w:val="22"/>
                <w:lang w:val="en-GB"/>
              </w:rPr>
              <w:t xml:space="preserve">requested </w:t>
            </w:r>
            <w:r w:rsidRPr="00BB5286" w:rsidDel="00F14132">
              <w:rPr>
                <w:rFonts w:eastAsia="Calibri" w:cs="Times New Roman"/>
                <w:noProof/>
                <w:sz w:val="22"/>
                <w:lang w:val="en-GB"/>
              </w:rPr>
              <w:t xml:space="preserve">are </w:t>
            </w:r>
            <w:r w:rsidRPr="00BB5286">
              <w:rPr>
                <w:rFonts w:eastAsia="Calibri" w:cs="Times New Roman"/>
                <w:noProof/>
                <w:sz w:val="22"/>
                <w:lang w:val="en-GB"/>
              </w:rPr>
              <w:t>in line with the applicable legislation</w:t>
            </w:r>
            <w:r w:rsidRPr="00BB5286" w:rsidDel="00F14132">
              <w:rPr>
                <w:rFonts w:eastAsia="Calibri" w:cs="Times New Roman"/>
                <w:noProof/>
                <w:sz w:val="22"/>
                <w:lang w:val="en-GB"/>
              </w:rPr>
              <w:t xml:space="preserve">. </w:t>
            </w:r>
            <w:r w:rsidRPr="00BB5286">
              <w:rPr>
                <w:rFonts w:eastAsia="Calibri" w:cs="Times New Roman"/>
                <w:noProof/>
                <w:sz w:val="22"/>
                <w:lang w:val="en-GB"/>
              </w:rPr>
              <w:t>Rationalisation of all controls on the farm is for the Member States to look into.</w:t>
            </w:r>
          </w:p>
        </w:tc>
      </w:tr>
      <w:tr w:rsidR="001F253E" w:rsidRPr="00BB5286" w14:paraId="5E7EA82D"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FC874" w14:textId="77777777" w:rsidR="00874EF4" w:rsidRPr="00BB5286" w:rsidRDefault="00874EF4" w:rsidP="00874EF4">
            <w:pPr>
              <w:spacing w:after="60" w:line="259" w:lineRule="auto"/>
              <w:jc w:val="center"/>
              <w:rPr>
                <w:rFonts w:eastAsia="Times New Roman" w:cs="Times New Roman"/>
                <w:b/>
                <w:noProof/>
                <w:sz w:val="22"/>
                <w:lang w:val="en-GB" w:eastAsia="en-IE"/>
              </w:rPr>
            </w:pPr>
            <w:r w:rsidRPr="00BB5286">
              <w:rPr>
                <w:rFonts w:eastAsia="Calibri" w:cs="Times New Roman"/>
                <w:b/>
                <w:noProof/>
                <w:sz w:val="22"/>
                <w:lang w:val="en-GB"/>
              </w:rPr>
              <w:t>93</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9CE19" w14:textId="0266BADE" w:rsidR="00874EF4" w:rsidRPr="00BB5286" w:rsidRDefault="00874EF4" w:rsidP="00874EF4">
            <w:pPr>
              <w:spacing w:after="60" w:line="259" w:lineRule="auto"/>
              <w:jc w:val="both"/>
              <w:rPr>
                <w:rFonts w:eastAsia="Times New Roman" w:cs="Times New Roman"/>
                <w:noProof/>
                <w:sz w:val="22"/>
                <w:lang w:val="en-GB" w:eastAsia="en-IE"/>
              </w:rPr>
            </w:pPr>
            <w:r w:rsidRPr="00BB5286">
              <w:rPr>
                <w:rFonts w:eastAsia="Times New Roman" w:cs="Times New Roman"/>
                <w:b/>
                <w:noProof/>
                <w:sz w:val="22"/>
                <w:lang w:val="en-GB" w:eastAsia="en-IE"/>
              </w:rPr>
              <w:t>Avoid gold-plating:</w:t>
            </w:r>
            <w:r w:rsidRPr="00BB5286">
              <w:rPr>
                <w:rFonts w:eastAsia="Times New Roman" w:cs="Times New Roman"/>
                <w:noProof/>
                <w:sz w:val="22"/>
                <w:lang w:val="en-GB" w:eastAsia="en-IE"/>
              </w:rPr>
              <w:t xml:space="preserve"> </w:t>
            </w:r>
            <w:r w:rsidR="528137F3" w:rsidRPr="00BB5286">
              <w:rPr>
                <w:rFonts w:eastAsia="Times New Roman" w:cs="Times New Roman"/>
                <w:noProof/>
                <w:sz w:val="22"/>
                <w:lang w:val="en-GB" w:eastAsia="en-IE"/>
              </w:rPr>
              <w:t>w</w:t>
            </w:r>
            <w:r w:rsidRPr="00BB5286">
              <w:rPr>
                <w:rFonts w:eastAsia="Times New Roman" w:cs="Times New Roman"/>
                <w:noProof/>
                <w:sz w:val="22"/>
                <w:lang w:val="en-GB" w:eastAsia="en-IE"/>
              </w:rPr>
              <w:t>ith the burden of control shifted to Member States and to avoid fines, many national administrations introduce gold</w:t>
            </w:r>
            <w:r w:rsidR="00CC4B0D" w:rsidRPr="00BB5286">
              <w:rPr>
                <w:rFonts w:eastAsia="Times New Roman" w:cs="Times New Roman"/>
                <w:noProof/>
                <w:sz w:val="22"/>
                <w:lang w:val="en-GB" w:eastAsia="en-IE"/>
              </w:rPr>
              <w:t>-</w:t>
            </w:r>
            <w:r w:rsidRPr="00BB5286">
              <w:rPr>
                <w:rFonts w:eastAsia="Times New Roman" w:cs="Times New Roman"/>
                <w:noProof/>
                <w:sz w:val="22"/>
                <w:lang w:val="en-GB" w:eastAsia="en-IE"/>
              </w:rPr>
              <w:t>plating requirements, leading to more severe fines. It is important to take stock of the national control systems to identify simple, efficient, and proportional methods. Proactive individualised communications with farmers in advance of action deadlines to minimise non-compliance and/or associated appeals/penalties etc. is necessary.</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48B9F"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D1407" w14:textId="0B36D9D9"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Avoiding ‘gold-plating’ </w:t>
            </w:r>
            <w:r w:rsidR="007F7954" w:rsidRPr="00BB5286">
              <w:rPr>
                <w:rFonts w:eastAsia="Calibri" w:cs="Times New Roman"/>
                <w:noProof/>
                <w:sz w:val="22"/>
                <w:lang w:val="en-GB"/>
              </w:rPr>
              <w:t xml:space="preserve">(additional rules and regulatory obligations) </w:t>
            </w:r>
            <w:r w:rsidRPr="00BB5286">
              <w:rPr>
                <w:rFonts w:eastAsia="Calibri" w:cs="Times New Roman"/>
                <w:noProof/>
                <w:sz w:val="22"/>
                <w:lang w:val="en-GB"/>
              </w:rPr>
              <w:t xml:space="preserve">is </w:t>
            </w:r>
            <w:r w:rsidR="007F7954" w:rsidRPr="00BB5286">
              <w:rPr>
                <w:rFonts w:eastAsia="Calibri" w:cs="Times New Roman"/>
                <w:noProof/>
                <w:sz w:val="22"/>
                <w:lang w:val="en-GB"/>
              </w:rPr>
              <w:t>the</w:t>
            </w:r>
            <w:r w:rsidRPr="00BB5286">
              <w:rPr>
                <w:rFonts w:eastAsia="Calibri" w:cs="Times New Roman"/>
                <w:noProof/>
                <w:sz w:val="22"/>
                <w:lang w:val="en-GB"/>
              </w:rPr>
              <w:t xml:space="preserve"> responsibility of </w:t>
            </w:r>
            <w:r w:rsidR="007F7954" w:rsidRPr="00BB5286">
              <w:rPr>
                <w:rFonts w:eastAsia="Calibri" w:cs="Times New Roman"/>
                <w:noProof/>
                <w:sz w:val="22"/>
                <w:lang w:val="en-GB"/>
              </w:rPr>
              <w:t>the</w:t>
            </w:r>
            <w:r w:rsidRPr="00BB5286">
              <w:rPr>
                <w:rFonts w:eastAsia="Calibri" w:cs="Times New Roman"/>
                <w:noProof/>
                <w:sz w:val="22"/>
                <w:lang w:val="en-GB"/>
              </w:rPr>
              <w:t xml:space="preserve"> Member State. </w:t>
            </w:r>
          </w:p>
          <w:p w14:paraId="241897A7" w14:textId="3A8B6352"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As to controls, the design of the control system is </w:t>
            </w:r>
            <w:r w:rsidR="007F7954" w:rsidRPr="00BB5286">
              <w:rPr>
                <w:rFonts w:eastAsia="Calibri" w:cs="Times New Roman"/>
                <w:noProof/>
                <w:sz w:val="22"/>
                <w:lang w:val="en-GB"/>
              </w:rPr>
              <w:t>the</w:t>
            </w:r>
            <w:r w:rsidRPr="00BB5286">
              <w:rPr>
                <w:rFonts w:eastAsia="Calibri" w:cs="Times New Roman"/>
                <w:noProof/>
                <w:sz w:val="22"/>
                <w:lang w:val="en-GB"/>
              </w:rPr>
              <w:t xml:space="preserve"> responsibility of the Member State. The </w:t>
            </w:r>
            <w:r w:rsidR="009162C0" w:rsidRPr="00BB5286">
              <w:rPr>
                <w:rFonts w:eastAsia="Calibri" w:cs="Times New Roman"/>
                <w:noProof/>
                <w:sz w:val="22"/>
                <w:lang w:val="en-GB"/>
              </w:rPr>
              <w:t>Commission encourages</w:t>
            </w:r>
            <w:r w:rsidRPr="00BB5286">
              <w:rPr>
                <w:rFonts w:eastAsia="Calibri" w:cs="Times New Roman"/>
                <w:noProof/>
                <w:sz w:val="22"/>
                <w:lang w:val="en-GB"/>
              </w:rPr>
              <w:t xml:space="preserve"> </w:t>
            </w:r>
            <w:r w:rsidR="007F7954" w:rsidRPr="00BB5286">
              <w:rPr>
                <w:rFonts w:eastAsia="Calibri" w:cs="Times New Roman"/>
                <w:noProof/>
                <w:sz w:val="22"/>
                <w:lang w:val="en-GB"/>
              </w:rPr>
              <w:t xml:space="preserve">Members States to exchange best practice on this, including </w:t>
            </w:r>
            <w:r w:rsidRPr="00BB5286">
              <w:rPr>
                <w:rFonts w:eastAsia="Calibri" w:cs="Times New Roman"/>
                <w:noProof/>
                <w:sz w:val="22"/>
                <w:lang w:val="en-GB"/>
              </w:rPr>
              <w:t>through the CAP Network.</w:t>
            </w:r>
          </w:p>
        </w:tc>
      </w:tr>
      <w:tr w:rsidR="001F253E" w:rsidRPr="00BB5286" w14:paraId="67AF967F"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69D44" w14:textId="77777777" w:rsidR="00874EF4" w:rsidRPr="00BB5286" w:rsidRDefault="00874EF4" w:rsidP="00874EF4">
            <w:pPr>
              <w:tabs>
                <w:tab w:val="left" w:pos="2640"/>
              </w:tabs>
              <w:spacing w:after="60" w:line="259" w:lineRule="auto"/>
              <w:jc w:val="center"/>
              <w:rPr>
                <w:rFonts w:eastAsia="Calibri" w:cs="Times New Roman"/>
                <w:b/>
                <w:noProof/>
                <w:sz w:val="22"/>
                <w:lang w:val="en-GB"/>
              </w:rPr>
            </w:pPr>
            <w:r w:rsidRPr="00BB5286">
              <w:rPr>
                <w:rFonts w:eastAsia="Calibri" w:cs="Times New Roman"/>
                <w:b/>
                <w:noProof/>
                <w:sz w:val="22"/>
                <w:lang w:val="en-GB"/>
              </w:rPr>
              <w:t>94</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C0827" w14:textId="6779BA92" w:rsidR="00874EF4" w:rsidRPr="00BB5286" w:rsidRDefault="00874EF4" w:rsidP="00874EF4">
            <w:pPr>
              <w:tabs>
                <w:tab w:val="left" w:pos="2640"/>
              </w:tabs>
              <w:spacing w:after="60" w:line="259" w:lineRule="auto"/>
              <w:jc w:val="both"/>
              <w:rPr>
                <w:rFonts w:eastAsia="Times New Roman" w:cs="Times New Roman"/>
                <w:noProof/>
                <w:sz w:val="22"/>
                <w:lang w:val="en-GB" w:eastAsia="en-IE"/>
              </w:rPr>
            </w:pPr>
            <w:r w:rsidRPr="00BB5286">
              <w:rPr>
                <w:rFonts w:eastAsia="Calibri" w:cs="Times New Roman"/>
                <w:b/>
                <w:noProof/>
                <w:sz w:val="22"/>
                <w:lang w:val="en-GB"/>
              </w:rPr>
              <w:t>Reduce controls and sanctions</w:t>
            </w:r>
            <w:r w:rsidR="00EB2AD2" w:rsidRPr="00BB5286">
              <w:rPr>
                <w:rFonts w:eastAsia="Calibri" w:cs="Times New Roman"/>
                <w:b/>
                <w:noProof/>
                <w:sz w:val="22"/>
                <w:lang w:val="en-GB"/>
              </w:rPr>
              <w:t>:</w:t>
            </w:r>
            <w:r w:rsidRPr="00BB5286">
              <w:rPr>
                <w:rFonts w:eastAsia="Calibri" w:cs="Times New Roman"/>
                <w:noProof/>
                <w:sz w:val="22"/>
                <w:lang w:val="en-GB"/>
              </w:rPr>
              <w:t xml:space="preserve"> </w:t>
            </w:r>
            <w:r w:rsidR="3BDEB61D" w:rsidRPr="00BB5286">
              <w:rPr>
                <w:rFonts w:eastAsia="Calibri" w:cs="Times New Roman"/>
                <w:noProof/>
                <w:sz w:val="22"/>
                <w:lang w:val="en-GB"/>
              </w:rPr>
              <w:t>s</w:t>
            </w:r>
            <w:r w:rsidRPr="00BB5286">
              <w:rPr>
                <w:rFonts w:eastAsia="Calibri" w:cs="Times New Roman"/>
                <w:noProof/>
                <w:sz w:val="22"/>
                <w:lang w:val="en-GB"/>
              </w:rPr>
              <w:t xml:space="preserve">top the policy of over-control and sanctions, particularly for those who engage in agri-environmental measures. It is proposed that there </w:t>
            </w:r>
            <w:r w:rsidR="007F7954" w:rsidRPr="00BB5286">
              <w:rPr>
                <w:rFonts w:eastAsia="Calibri" w:cs="Times New Roman"/>
                <w:noProof/>
                <w:sz w:val="22"/>
                <w:lang w:val="en-GB"/>
              </w:rPr>
              <w:t xml:space="preserve">should </w:t>
            </w:r>
            <w:r w:rsidRPr="00BB5286">
              <w:rPr>
                <w:rFonts w:eastAsia="Calibri" w:cs="Times New Roman"/>
                <w:noProof/>
                <w:sz w:val="22"/>
                <w:lang w:val="en-GB"/>
              </w:rPr>
              <w:t>be no baseline checks on eco-schemes or cumulative sanctions for previously unreported errors.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1A0D4"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3A4A0" w14:textId="59E3745D"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A farmer who has taken up commitments under an eco-scheme </w:t>
            </w:r>
            <w:r w:rsidR="007F7954" w:rsidRPr="00BB5286">
              <w:rPr>
                <w:rFonts w:eastAsia="Calibri" w:cs="Times New Roman"/>
                <w:noProof/>
                <w:sz w:val="22"/>
                <w:lang w:val="en-GB"/>
              </w:rPr>
              <w:t>must</w:t>
            </w:r>
            <w:r w:rsidRPr="00BB5286">
              <w:rPr>
                <w:rFonts w:eastAsia="Calibri" w:cs="Times New Roman"/>
                <w:noProof/>
                <w:sz w:val="22"/>
                <w:lang w:val="en-GB"/>
              </w:rPr>
              <w:t xml:space="preserve"> also comply with conditionality and other baseline requirements for that intervention. Under the </w:t>
            </w:r>
            <w:r w:rsidR="006A5D3D" w:rsidRPr="00BB5286">
              <w:rPr>
                <w:rFonts w:eastAsia="Calibri" w:cs="Times New Roman"/>
                <w:noProof/>
                <w:sz w:val="22"/>
                <w:lang w:val="en-GB"/>
              </w:rPr>
              <w:t>n</w:t>
            </w:r>
            <w:r w:rsidRPr="00BB5286">
              <w:rPr>
                <w:rFonts w:eastAsia="Calibri" w:cs="Times New Roman"/>
                <w:noProof/>
                <w:sz w:val="22"/>
                <w:lang w:val="en-GB"/>
              </w:rPr>
              <w:t xml:space="preserve">ew </w:t>
            </w:r>
            <w:r w:rsidR="006A5D3D" w:rsidRPr="00BB5286">
              <w:rPr>
                <w:rFonts w:eastAsia="Calibri" w:cs="Times New Roman"/>
                <w:noProof/>
                <w:sz w:val="22"/>
                <w:lang w:val="en-GB"/>
              </w:rPr>
              <w:t>d</w:t>
            </w:r>
            <w:r w:rsidRPr="00BB5286">
              <w:rPr>
                <w:rFonts w:eastAsia="Calibri" w:cs="Times New Roman"/>
                <w:noProof/>
                <w:sz w:val="22"/>
                <w:lang w:val="en-GB"/>
              </w:rPr>
              <w:t xml:space="preserve">elivery </w:t>
            </w:r>
            <w:r w:rsidR="006A5D3D" w:rsidRPr="00BB5286">
              <w:rPr>
                <w:rFonts w:eastAsia="Calibri" w:cs="Times New Roman"/>
                <w:noProof/>
                <w:sz w:val="22"/>
                <w:lang w:val="en-GB"/>
              </w:rPr>
              <w:t>m</w:t>
            </w:r>
            <w:r w:rsidRPr="00BB5286">
              <w:rPr>
                <w:rFonts w:eastAsia="Calibri" w:cs="Times New Roman"/>
                <w:noProof/>
                <w:sz w:val="22"/>
                <w:lang w:val="en-GB"/>
              </w:rPr>
              <w:t xml:space="preserve">odel of the CAP, it is up to the Member States to design the control system for such interventions, including </w:t>
            </w:r>
            <w:r w:rsidRPr="00BB5286" w:rsidDel="001E025A">
              <w:rPr>
                <w:rFonts w:eastAsia="Calibri" w:cs="Times New Roman"/>
                <w:noProof/>
                <w:sz w:val="22"/>
                <w:lang w:val="en-GB"/>
              </w:rPr>
              <w:t xml:space="preserve">the number of checks, number of visits, ways to visit, </w:t>
            </w:r>
            <w:r w:rsidR="007F7954" w:rsidRPr="00BB5286">
              <w:rPr>
                <w:rFonts w:eastAsia="Calibri" w:cs="Times New Roman"/>
                <w:noProof/>
                <w:sz w:val="22"/>
                <w:lang w:val="en-GB"/>
              </w:rPr>
              <w:t xml:space="preserve">and </w:t>
            </w:r>
            <w:r w:rsidRPr="00BB5286" w:rsidDel="001E025A">
              <w:rPr>
                <w:rFonts w:eastAsia="Calibri" w:cs="Times New Roman"/>
                <w:noProof/>
                <w:sz w:val="22"/>
                <w:lang w:val="en-GB"/>
              </w:rPr>
              <w:t xml:space="preserve">how </w:t>
            </w:r>
            <w:r w:rsidRPr="00BB5286" w:rsidDel="001E025A">
              <w:rPr>
                <w:rFonts w:eastAsia="Calibri" w:cs="Times New Roman"/>
                <w:noProof/>
                <w:sz w:val="22"/>
                <w:lang w:val="en-GB"/>
              </w:rPr>
              <w:lastRenderedPageBreak/>
              <w:t xml:space="preserve">to </w:t>
            </w:r>
            <w:r w:rsidR="007F7954" w:rsidRPr="00BB5286">
              <w:rPr>
                <w:rFonts w:eastAsia="Calibri" w:cs="Times New Roman"/>
                <w:noProof/>
                <w:sz w:val="22"/>
                <w:lang w:val="en-GB"/>
              </w:rPr>
              <w:t>obtain</w:t>
            </w:r>
            <w:r w:rsidR="007F7954" w:rsidRPr="00BB5286" w:rsidDel="001E025A">
              <w:rPr>
                <w:rFonts w:eastAsia="Calibri" w:cs="Times New Roman"/>
                <w:noProof/>
                <w:sz w:val="22"/>
                <w:lang w:val="en-GB"/>
              </w:rPr>
              <w:t xml:space="preserve"> </w:t>
            </w:r>
            <w:r w:rsidRPr="00BB5286" w:rsidDel="001E025A">
              <w:rPr>
                <w:rFonts w:eastAsia="Calibri" w:cs="Times New Roman"/>
                <w:noProof/>
                <w:sz w:val="22"/>
                <w:lang w:val="en-GB"/>
              </w:rPr>
              <w:t xml:space="preserve">assurance that </w:t>
            </w:r>
            <w:r w:rsidR="007F7954" w:rsidRPr="00BB5286">
              <w:rPr>
                <w:rFonts w:eastAsia="Calibri" w:cs="Times New Roman"/>
                <w:noProof/>
                <w:sz w:val="22"/>
                <w:lang w:val="en-GB"/>
              </w:rPr>
              <w:t xml:space="preserve">the </w:t>
            </w:r>
            <w:r w:rsidRPr="00BB5286" w:rsidDel="001E025A">
              <w:rPr>
                <w:rFonts w:eastAsia="Calibri" w:cs="Times New Roman"/>
                <w:noProof/>
                <w:sz w:val="22"/>
                <w:lang w:val="en-GB"/>
              </w:rPr>
              <w:t xml:space="preserve">amounts requested for aid are legal and regular. Rationalisation of all </w:t>
            </w:r>
            <w:r w:rsidR="007F7954" w:rsidRPr="00BB5286">
              <w:rPr>
                <w:rFonts w:eastAsia="Calibri" w:cs="Times New Roman"/>
                <w:noProof/>
                <w:sz w:val="22"/>
                <w:lang w:val="en-GB"/>
              </w:rPr>
              <w:t xml:space="preserve">the </w:t>
            </w:r>
            <w:r w:rsidRPr="00BB5286" w:rsidDel="001E025A">
              <w:rPr>
                <w:rFonts w:eastAsia="Calibri" w:cs="Times New Roman"/>
                <w:noProof/>
                <w:sz w:val="22"/>
                <w:lang w:val="en-GB"/>
              </w:rPr>
              <w:t>controls on a farm is a Member State</w:t>
            </w:r>
            <w:r w:rsidR="007F7954" w:rsidRPr="00BB5286">
              <w:rPr>
                <w:rFonts w:eastAsia="Calibri" w:cs="Times New Roman"/>
                <w:noProof/>
                <w:sz w:val="22"/>
                <w:lang w:val="en-GB"/>
              </w:rPr>
              <w:t>’s</w:t>
            </w:r>
            <w:r w:rsidRPr="00BB5286" w:rsidDel="001E025A">
              <w:rPr>
                <w:rFonts w:eastAsia="Calibri" w:cs="Times New Roman"/>
                <w:noProof/>
                <w:sz w:val="22"/>
                <w:lang w:val="en-GB"/>
              </w:rPr>
              <w:t xml:space="preserve"> responsibility.</w:t>
            </w:r>
            <w:r w:rsidRPr="00BB5286">
              <w:rPr>
                <w:rFonts w:eastAsia="Calibri" w:cs="Times New Roman"/>
                <w:noProof/>
                <w:sz w:val="22"/>
                <w:lang w:val="en-GB"/>
              </w:rPr>
              <w:t xml:space="preserve"> The Commission engages with Member States to support rationalisation of their controls, as indicated in the simplification package.</w:t>
            </w:r>
          </w:p>
        </w:tc>
      </w:tr>
      <w:tr w:rsidR="001F253E" w:rsidRPr="00BB5286" w14:paraId="258E033A"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D672B" w14:textId="77777777" w:rsidR="00874EF4" w:rsidRPr="00BB5286" w:rsidRDefault="00874EF4" w:rsidP="00874EF4">
            <w:pPr>
              <w:tabs>
                <w:tab w:val="left" w:pos="2640"/>
              </w:tabs>
              <w:spacing w:after="60" w:line="259" w:lineRule="auto"/>
              <w:jc w:val="center"/>
              <w:rPr>
                <w:rFonts w:eastAsia="Calibri" w:cs="Times New Roman"/>
                <w:b/>
                <w:noProof/>
                <w:sz w:val="22"/>
                <w:lang w:val="en-GB"/>
              </w:rPr>
            </w:pPr>
            <w:r w:rsidRPr="00BB5286">
              <w:rPr>
                <w:rFonts w:eastAsia="Calibri" w:cs="Times New Roman"/>
                <w:b/>
                <w:noProof/>
                <w:sz w:val="22"/>
                <w:lang w:val="en-GB"/>
              </w:rPr>
              <w:lastRenderedPageBreak/>
              <w:t>95</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BBF14" w14:textId="77777777" w:rsidR="00874EF4" w:rsidRPr="00BB5286" w:rsidRDefault="00874EF4" w:rsidP="00874EF4">
            <w:pPr>
              <w:tabs>
                <w:tab w:val="left" w:pos="2640"/>
              </w:tabs>
              <w:spacing w:after="60" w:line="259" w:lineRule="auto"/>
              <w:jc w:val="both"/>
              <w:rPr>
                <w:rFonts w:eastAsia="Times New Roman" w:cs="Times New Roman"/>
                <w:noProof/>
                <w:sz w:val="22"/>
                <w:lang w:val="en-GB" w:eastAsia="en-IE"/>
              </w:rPr>
            </w:pPr>
            <w:r w:rsidRPr="00BB5286">
              <w:rPr>
                <w:rFonts w:eastAsia="Calibri" w:cs="Times New Roman"/>
                <w:b/>
                <w:noProof/>
                <w:sz w:val="22"/>
                <w:lang w:val="en-GB"/>
              </w:rPr>
              <w:t>Review the checklist of controls</w:t>
            </w:r>
            <w:r w:rsidRPr="00BB5286">
              <w:rPr>
                <w:rFonts w:eastAsia="Calibri" w:cs="Times New Roman"/>
                <w:noProof/>
                <w:sz w:val="22"/>
                <w:lang w:val="en-GB"/>
              </w:rPr>
              <w:t xml:space="preserve"> as it is too broad in certain cases.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E2FAA"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77EF4" w14:textId="7E3153C7"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It is up to the Member States to design their control systems, including checklists. As announced in the </w:t>
            </w:r>
            <w:r w:rsidR="00E74676" w:rsidRPr="00BB5286">
              <w:rPr>
                <w:rFonts w:eastAsia="Calibri" w:cs="Times New Roman"/>
                <w:noProof/>
                <w:sz w:val="22"/>
                <w:lang w:val="en-GB"/>
              </w:rPr>
              <w:t>s</w:t>
            </w:r>
            <w:r w:rsidRPr="00BB5286">
              <w:rPr>
                <w:rFonts w:eastAsia="Calibri" w:cs="Times New Roman"/>
                <w:noProof/>
                <w:sz w:val="22"/>
                <w:lang w:val="en-GB"/>
              </w:rPr>
              <w:t xml:space="preserve">implification </w:t>
            </w:r>
            <w:r w:rsidR="00E74676" w:rsidRPr="00BB5286">
              <w:rPr>
                <w:rFonts w:eastAsia="Calibri" w:cs="Times New Roman"/>
                <w:noProof/>
                <w:sz w:val="22"/>
                <w:lang w:val="en-GB"/>
              </w:rPr>
              <w:t>p</w:t>
            </w:r>
            <w:r w:rsidRPr="00BB5286">
              <w:rPr>
                <w:rFonts w:eastAsia="Calibri" w:cs="Times New Roman"/>
                <w:noProof/>
                <w:sz w:val="22"/>
                <w:lang w:val="en-GB"/>
              </w:rPr>
              <w:t>ackage, the Commission engages with Member States to support rationalisation of controls.</w:t>
            </w:r>
          </w:p>
        </w:tc>
      </w:tr>
      <w:tr w:rsidR="001F253E" w:rsidRPr="00BB5286" w14:paraId="6AED4F62"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E7E78" w14:textId="77777777" w:rsidR="00874EF4" w:rsidRPr="00BB5286" w:rsidRDefault="00874EF4" w:rsidP="00874EF4">
            <w:pPr>
              <w:tabs>
                <w:tab w:val="left" w:pos="2640"/>
              </w:tabs>
              <w:spacing w:after="60" w:line="259" w:lineRule="auto"/>
              <w:jc w:val="center"/>
              <w:rPr>
                <w:rFonts w:eastAsia="Calibri" w:cs="Times New Roman"/>
                <w:b/>
                <w:noProof/>
                <w:sz w:val="22"/>
                <w:lang w:val="en-GB"/>
              </w:rPr>
            </w:pPr>
            <w:r w:rsidRPr="00BB5286">
              <w:rPr>
                <w:rFonts w:eastAsia="Calibri" w:cs="Times New Roman"/>
                <w:b/>
                <w:noProof/>
                <w:sz w:val="22"/>
                <w:lang w:val="en-GB"/>
              </w:rPr>
              <w:t>96</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6967D" w14:textId="7533872B" w:rsidR="00874EF4" w:rsidRPr="00BB5286" w:rsidRDefault="00874EF4" w:rsidP="00874EF4">
            <w:pPr>
              <w:tabs>
                <w:tab w:val="left" w:pos="2640"/>
              </w:tabs>
              <w:spacing w:after="60" w:line="259" w:lineRule="auto"/>
              <w:jc w:val="both"/>
              <w:rPr>
                <w:rFonts w:eastAsia="Calibri" w:cs="Times New Roman"/>
                <w:noProof/>
                <w:sz w:val="22"/>
                <w:lang w:val="en-GB"/>
              </w:rPr>
            </w:pPr>
            <w:r w:rsidRPr="00BB5286">
              <w:rPr>
                <w:rFonts w:eastAsia="Calibri" w:cs="Times New Roman"/>
                <w:b/>
                <w:noProof/>
                <w:sz w:val="22"/>
                <w:lang w:val="en-GB"/>
              </w:rPr>
              <w:t>Financing of controls</w:t>
            </w:r>
            <w:r w:rsidR="3C932B04" w:rsidRPr="00BB5286">
              <w:rPr>
                <w:rFonts w:eastAsia="Calibri" w:cs="Times New Roman"/>
                <w:b/>
                <w:noProof/>
                <w:sz w:val="22"/>
                <w:lang w:val="en-GB"/>
              </w:rPr>
              <w:t>:</w:t>
            </w:r>
            <w:r w:rsidR="6562513A" w:rsidRPr="00BB5286">
              <w:rPr>
                <w:rFonts w:eastAsia="Calibri" w:cs="Times New Roman"/>
                <w:noProof/>
                <w:sz w:val="22"/>
                <w:lang w:val="en-GB"/>
              </w:rPr>
              <w:t xml:space="preserve"> </w:t>
            </w:r>
            <w:r w:rsidR="0D4025F2" w:rsidRPr="00BB5286">
              <w:rPr>
                <w:rFonts w:eastAsia="Calibri" w:cs="Times New Roman"/>
                <w:noProof/>
                <w:sz w:val="22"/>
                <w:lang w:val="en-GB"/>
              </w:rPr>
              <w:t>c</w:t>
            </w:r>
            <w:r w:rsidRPr="00BB5286">
              <w:rPr>
                <w:rFonts w:eastAsia="Calibri" w:cs="Times New Roman"/>
                <w:noProof/>
                <w:sz w:val="22"/>
                <w:lang w:val="en-GB"/>
              </w:rPr>
              <w:t xml:space="preserve">ontrols must be paid </w:t>
            </w:r>
            <w:r w:rsidR="00E74676" w:rsidRPr="00BB5286">
              <w:rPr>
                <w:rFonts w:eastAsia="Calibri" w:cs="Times New Roman"/>
                <w:noProof/>
                <w:sz w:val="22"/>
                <w:lang w:val="en-GB"/>
              </w:rPr>
              <w:t xml:space="preserve">for </w:t>
            </w:r>
            <w:r w:rsidRPr="00BB5286">
              <w:rPr>
                <w:rFonts w:eastAsia="Calibri" w:cs="Times New Roman"/>
                <w:noProof/>
                <w:sz w:val="22"/>
                <w:lang w:val="en-GB"/>
              </w:rPr>
              <w:t>by a dedicated European Union fund outside the CAP.</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80B89"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F3D3E" w14:textId="54D57FAB"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Controls are financed outside the operational CAP budget. Administrative costs for implementation and control of the CAP in the Member States are borne by national and regional administrations. </w:t>
            </w:r>
            <w:r w:rsidRPr="00BB5286" w:rsidDel="002F7BD8">
              <w:rPr>
                <w:rFonts w:eastAsia="Calibri" w:cs="Times New Roman"/>
                <w:noProof/>
                <w:sz w:val="22"/>
                <w:lang w:val="en-GB"/>
              </w:rPr>
              <w:t xml:space="preserve">Costs </w:t>
            </w:r>
            <w:r w:rsidR="00E74676" w:rsidRPr="00BB5286">
              <w:rPr>
                <w:rFonts w:eastAsia="Calibri" w:cs="Times New Roman"/>
                <w:noProof/>
                <w:sz w:val="22"/>
                <w:lang w:val="en-GB"/>
              </w:rPr>
              <w:t>of</w:t>
            </w:r>
            <w:r w:rsidR="00E74676" w:rsidRPr="00BB5286" w:rsidDel="002F7BD8">
              <w:rPr>
                <w:rFonts w:eastAsia="Calibri" w:cs="Times New Roman"/>
                <w:noProof/>
                <w:sz w:val="22"/>
                <w:lang w:val="en-GB"/>
              </w:rPr>
              <w:t xml:space="preserve"> </w:t>
            </w:r>
            <w:r w:rsidRPr="00BB5286" w:rsidDel="002F7BD8">
              <w:rPr>
                <w:rFonts w:eastAsia="Calibri" w:cs="Times New Roman"/>
                <w:noProof/>
                <w:sz w:val="22"/>
                <w:lang w:val="en-GB"/>
              </w:rPr>
              <w:t>controls by EU officials do not weigh on the operational CAP budget.</w:t>
            </w:r>
          </w:p>
        </w:tc>
      </w:tr>
      <w:tr w:rsidR="002E2306" w:rsidRPr="00BB5286" w14:paraId="78283EC7" w14:textId="77777777" w:rsidTr="00A50B55">
        <w:trPr>
          <w:gridBefore w:val="1"/>
          <w:wBefore w:w="6" w:type="dxa"/>
          <w:trHeight w:val="1201"/>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B56F7"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97</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41F05" w14:textId="1D8FB77D"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Documentation:</w:t>
            </w:r>
            <w:r w:rsidRPr="00BB5286">
              <w:rPr>
                <w:rFonts w:eastAsia="Calibri" w:cs="Times New Roman"/>
                <w:noProof/>
                <w:sz w:val="22"/>
                <w:lang w:val="en-GB"/>
              </w:rPr>
              <w:t xml:space="preserve"> </w:t>
            </w:r>
            <w:r w:rsidR="1B8A9BBF" w:rsidRPr="00BB5286">
              <w:rPr>
                <w:rFonts w:eastAsia="Calibri" w:cs="Times New Roman"/>
                <w:noProof/>
                <w:sz w:val="22"/>
                <w:lang w:val="en-GB"/>
              </w:rPr>
              <w:t>r</w:t>
            </w:r>
            <w:r w:rsidRPr="00BB5286">
              <w:rPr>
                <w:rFonts w:eastAsia="Calibri" w:cs="Times New Roman"/>
                <w:noProof/>
                <w:sz w:val="22"/>
                <w:lang w:val="en-GB"/>
              </w:rPr>
              <w:t>educe documentation requirements to prove compliance with the CAP rules. Clarify the conditions for implementing the principle of proportionality for controls (documentation).</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6BBC3"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AT, EL</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E037B" w14:textId="7960D550"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w:t>
            </w:r>
            <w:r w:rsidR="00AF7B1A" w:rsidRPr="00BB5286">
              <w:rPr>
                <w:rFonts w:eastAsia="Calibri" w:cs="Times New Roman"/>
                <w:noProof/>
                <w:sz w:val="22"/>
                <w:lang w:val="en-GB"/>
              </w:rPr>
              <w:t>EU CAP framework</w:t>
            </w:r>
            <w:r w:rsidRPr="00BB5286">
              <w:rPr>
                <w:rFonts w:eastAsia="Calibri" w:cs="Times New Roman"/>
                <w:noProof/>
                <w:sz w:val="22"/>
                <w:lang w:val="en-GB"/>
              </w:rPr>
              <w:t xml:space="preserve"> already provides Member States with </w:t>
            </w:r>
            <w:r w:rsidR="00E74676" w:rsidRPr="00BB5286">
              <w:rPr>
                <w:rFonts w:eastAsia="Calibri" w:cs="Times New Roman"/>
                <w:noProof/>
                <w:sz w:val="22"/>
                <w:lang w:val="en-GB"/>
              </w:rPr>
              <w:t xml:space="preserve">the </w:t>
            </w:r>
            <w:r w:rsidRPr="00BB5286">
              <w:rPr>
                <w:rFonts w:eastAsia="Calibri" w:cs="Times New Roman"/>
                <w:noProof/>
                <w:sz w:val="22"/>
                <w:lang w:val="en-GB"/>
              </w:rPr>
              <w:t xml:space="preserve">flexibility to </w:t>
            </w:r>
            <w:r w:rsidR="00E74676" w:rsidRPr="00BB5286">
              <w:rPr>
                <w:rFonts w:eastAsia="Calibri" w:cs="Times New Roman"/>
                <w:noProof/>
                <w:sz w:val="22"/>
                <w:lang w:val="en-GB"/>
              </w:rPr>
              <w:t xml:space="preserve">set </w:t>
            </w:r>
            <w:r w:rsidRPr="00BB5286">
              <w:rPr>
                <w:rFonts w:eastAsia="Calibri" w:cs="Times New Roman"/>
                <w:noProof/>
                <w:sz w:val="22"/>
                <w:lang w:val="en-GB"/>
              </w:rPr>
              <w:t xml:space="preserve">their own control systems, including decisions on </w:t>
            </w:r>
            <w:r w:rsidR="00E74676" w:rsidRPr="00BB5286">
              <w:rPr>
                <w:rFonts w:eastAsia="Calibri" w:cs="Times New Roman"/>
                <w:noProof/>
                <w:sz w:val="22"/>
                <w:lang w:val="en-GB"/>
              </w:rPr>
              <w:t xml:space="preserve">the </w:t>
            </w:r>
            <w:r w:rsidRPr="00BB5286">
              <w:rPr>
                <w:rFonts w:eastAsia="Calibri" w:cs="Times New Roman"/>
                <w:noProof/>
                <w:sz w:val="22"/>
                <w:lang w:val="en-GB"/>
              </w:rPr>
              <w:t>required documentation and on arrangements to seek synergies based within their national systems in providing documentation and controls.</w:t>
            </w:r>
          </w:p>
        </w:tc>
      </w:tr>
      <w:tr w:rsidR="002E2306" w:rsidRPr="00BB5286" w14:paraId="20B2E626"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D41DE"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98</w:t>
            </w:r>
          </w:p>
        </w:tc>
        <w:tc>
          <w:tcPr>
            <w:tcW w:w="5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4B8F1" w14:textId="5EE43E4E"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Documentation</w:t>
            </w:r>
            <w:r w:rsidRPr="00BB5286">
              <w:rPr>
                <w:rFonts w:eastAsia="Calibri" w:cs="Times New Roman"/>
                <w:noProof/>
                <w:sz w:val="22"/>
                <w:lang w:val="en-GB"/>
              </w:rPr>
              <w:t xml:space="preserve">: </w:t>
            </w:r>
            <w:r w:rsidR="5CD5396E" w:rsidRPr="00BB5286">
              <w:rPr>
                <w:rFonts w:eastAsia="Calibri" w:cs="Times New Roman"/>
                <w:noProof/>
                <w:sz w:val="22"/>
                <w:lang w:val="en-GB"/>
              </w:rPr>
              <w:t>p</w:t>
            </w:r>
            <w:r w:rsidRPr="00BB5286">
              <w:rPr>
                <w:rFonts w:eastAsia="Calibri" w:cs="Times New Roman"/>
                <w:noProof/>
                <w:sz w:val="22"/>
                <w:lang w:val="en-GB"/>
              </w:rPr>
              <w:t>rovide EU</w:t>
            </w:r>
            <w:r w:rsidR="00E74676" w:rsidRPr="00BB5286">
              <w:rPr>
                <w:rFonts w:eastAsia="Calibri" w:cs="Times New Roman"/>
                <w:noProof/>
                <w:sz w:val="22"/>
                <w:lang w:val="en-GB"/>
              </w:rPr>
              <w:t>-</w:t>
            </w:r>
            <w:r w:rsidRPr="00BB5286">
              <w:rPr>
                <w:rFonts w:eastAsia="Calibri" w:cs="Times New Roman"/>
                <w:noProof/>
                <w:sz w:val="22"/>
                <w:lang w:val="en-GB"/>
              </w:rPr>
              <w:t>level rules in relation to proving the (legal) disposition of the agricultural land to avoid duplicate declaration of areas</w:t>
            </w:r>
            <w:r w:rsidR="004C5DD2"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7C07B"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SK</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FFABC" w14:textId="7537315E"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w:t>
            </w:r>
            <w:r w:rsidR="00AF7B1A" w:rsidRPr="00BB5286">
              <w:rPr>
                <w:rFonts w:eastAsia="Calibri" w:cs="Times New Roman"/>
                <w:noProof/>
                <w:sz w:val="22"/>
                <w:lang w:val="en-GB"/>
              </w:rPr>
              <w:t>EU CAP framework</w:t>
            </w:r>
            <w:r w:rsidRPr="00BB5286">
              <w:rPr>
                <w:rFonts w:eastAsia="Calibri" w:cs="Times New Roman"/>
                <w:noProof/>
                <w:sz w:val="22"/>
                <w:lang w:val="en-GB"/>
              </w:rPr>
              <w:t xml:space="preserve"> provides Member States with the flexibility to design control systems, including decisions on the required documentation.</w:t>
            </w:r>
          </w:p>
        </w:tc>
      </w:tr>
      <w:tr w:rsidR="00C44968" w:rsidRPr="00BB5286" w14:paraId="433DF09F" w14:textId="77777777" w:rsidTr="00A50B55">
        <w:trPr>
          <w:gridBefore w:val="1"/>
          <w:wBefore w:w="6" w:type="dxa"/>
          <w:trHeight w:val="300"/>
        </w:trPr>
        <w:tc>
          <w:tcPr>
            <w:tcW w:w="71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A341035"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99</w:t>
            </w:r>
          </w:p>
        </w:tc>
        <w:tc>
          <w:tcPr>
            <w:tcW w:w="5802" w:type="dxa"/>
            <w:tcBorders>
              <w:top w:val="single" w:sz="4" w:space="0" w:color="000000" w:themeColor="text1"/>
              <w:left w:val="single" w:sz="4" w:space="0" w:color="000000" w:themeColor="text1"/>
              <w:bottom w:val="single" w:sz="4" w:space="0" w:color="auto"/>
              <w:right w:val="single" w:sz="4" w:space="0" w:color="000000" w:themeColor="text1"/>
            </w:tcBorders>
          </w:tcPr>
          <w:p w14:paraId="641E6233" w14:textId="6D78E3F0"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Documentation:</w:t>
            </w:r>
            <w:r w:rsidRPr="00BB5286">
              <w:rPr>
                <w:rFonts w:eastAsia="Calibri" w:cs="Times New Roman"/>
                <w:noProof/>
                <w:sz w:val="22"/>
                <w:lang w:val="en-GB"/>
              </w:rPr>
              <w:t xml:space="preserve"> </w:t>
            </w:r>
            <w:r w:rsidR="49A6CAAC" w:rsidRPr="00BB5286">
              <w:rPr>
                <w:rFonts w:eastAsia="Calibri" w:cs="Times New Roman"/>
                <w:noProof/>
                <w:sz w:val="22"/>
                <w:lang w:val="en-GB"/>
              </w:rPr>
              <w:t>i</w:t>
            </w:r>
            <w:r w:rsidRPr="00BB5286">
              <w:rPr>
                <w:rFonts w:eastAsia="Calibri" w:cs="Times New Roman"/>
                <w:noProof/>
                <w:sz w:val="22"/>
                <w:lang w:val="en-GB"/>
              </w:rPr>
              <w:t>nformation on the use of plant protection products for parcels under interventions for sustainable and reduced use of pesticides should not be a compulsory element of the geo-spatial application (GSAA)</w:t>
            </w:r>
            <w:r w:rsidR="009162C0" w:rsidRPr="00BB5286">
              <w:rPr>
                <w:rFonts w:eastAsia="Calibri" w:cs="Times New Roman"/>
                <w:noProof/>
                <w:sz w:val="22"/>
                <w:lang w:val="en-GB"/>
              </w:rPr>
              <w:t>.</w:t>
            </w:r>
            <w:r w:rsidRPr="00BB5286">
              <w:rPr>
                <w:rFonts w:eastAsia="Calibri" w:cs="Times New Roman"/>
                <w:noProof/>
                <w:sz w:val="22"/>
                <w:lang w:val="en-GB"/>
              </w:rPr>
              <w:t xml:space="preserve"> (</w:t>
            </w:r>
            <w:r w:rsidR="6F978C5F" w:rsidRPr="00BB5286">
              <w:rPr>
                <w:rFonts w:eastAsia="Calibri" w:cs="Times New Roman"/>
                <w:i/>
                <w:iCs/>
                <w:noProof/>
                <w:sz w:val="22"/>
                <w:lang w:val="en-GB"/>
              </w:rPr>
              <w:t>Art</w:t>
            </w:r>
            <w:r w:rsidR="6F978C5F" w:rsidRPr="00BB5286">
              <w:rPr>
                <w:rFonts w:eastAsia="Calibri" w:cs="Times New Roman"/>
                <w:i/>
                <w:noProof/>
                <w:sz w:val="22"/>
                <w:lang w:val="en-GB"/>
              </w:rPr>
              <w:t>icle</w:t>
            </w:r>
            <w:r w:rsidR="6F978C5F" w:rsidRPr="00BB5286">
              <w:rPr>
                <w:rFonts w:eastAsia="Calibri" w:cs="Times New Roman"/>
                <w:i/>
                <w:iCs/>
                <w:noProof/>
                <w:sz w:val="22"/>
                <w:lang w:val="en-GB"/>
              </w:rPr>
              <w:t xml:space="preserve"> 8 (3) </w:t>
            </w:r>
            <w:r w:rsidR="6F978C5F" w:rsidRPr="00BB5286">
              <w:rPr>
                <w:rFonts w:eastAsia="Calibri" w:cs="Times New Roman"/>
                <w:noProof/>
                <w:sz w:val="22"/>
                <w:lang w:val="en-GB"/>
              </w:rPr>
              <w:t xml:space="preserve">of </w:t>
            </w:r>
            <w:r w:rsidR="008B6F95" w:rsidRPr="00BB5286">
              <w:rPr>
                <w:rFonts w:eastAsia="Calibri" w:cs="Times New Roman"/>
                <w:noProof/>
                <w:sz w:val="22"/>
                <w:lang w:val="en-GB"/>
              </w:rPr>
              <w:t xml:space="preserve">Commission </w:t>
            </w:r>
            <w:r w:rsidRPr="00BB5286">
              <w:rPr>
                <w:rFonts w:eastAsia="Calibri" w:cs="Times New Roman"/>
                <w:noProof/>
                <w:sz w:val="22"/>
                <w:lang w:val="en-GB"/>
              </w:rPr>
              <w:t>Implementing Regulation (EU) 2022/1173)</w:t>
            </w:r>
            <w:r w:rsidR="00FA00F9" w:rsidRPr="00BB5286">
              <w:rPr>
                <w:rFonts w:eastAsia="Calibri" w:cs="Times New Roman"/>
                <w:noProof/>
                <w:sz w:val="22"/>
                <w:lang w:val="en-GB"/>
              </w:rPr>
              <w:t>.</w:t>
            </w:r>
          </w:p>
        </w:tc>
        <w:tc>
          <w:tcPr>
            <w:tcW w:w="155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CAA2A45"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 BE</w:t>
            </w:r>
          </w:p>
        </w:tc>
        <w:tc>
          <w:tcPr>
            <w:tcW w:w="6662"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724A0EA" w14:textId="4CB57641" w:rsidR="00874EF4" w:rsidRPr="00BB5286" w:rsidRDefault="3968DB0B"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This suggestion was not taken up. This information is essential in the GSA for certain interventions e.g. to assess the effectiveness of the interventions for </w:t>
            </w:r>
            <w:r w:rsidR="61204780" w:rsidRPr="00BB5286">
              <w:rPr>
                <w:rFonts w:eastAsia="Calibri" w:cs="Times New Roman"/>
                <w:noProof/>
                <w:sz w:val="22"/>
                <w:lang w:val="en-GB"/>
              </w:rPr>
              <w:t xml:space="preserve">the </w:t>
            </w:r>
            <w:r w:rsidRPr="00BB5286">
              <w:rPr>
                <w:rFonts w:eastAsia="Calibri" w:cs="Times New Roman"/>
                <w:noProof/>
                <w:sz w:val="22"/>
                <w:lang w:val="en-GB"/>
              </w:rPr>
              <w:t xml:space="preserve">sustainable and reduced use of </w:t>
            </w:r>
            <w:r w:rsidR="4DA37A62" w:rsidRPr="00BB5286">
              <w:rPr>
                <w:rFonts w:eastAsia="Calibri" w:cs="Times New Roman"/>
                <w:noProof/>
                <w:sz w:val="22"/>
                <w:lang w:val="en-GB"/>
              </w:rPr>
              <w:t>plant protection products</w:t>
            </w:r>
            <w:r w:rsidRPr="00BB5286">
              <w:rPr>
                <w:rFonts w:eastAsia="Calibri" w:cs="Times New Roman"/>
                <w:noProof/>
                <w:sz w:val="22"/>
                <w:lang w:val="en-GB"/>
              </w:rPr>
              <w:t xml:space="preserve"> (eco-schemes and environmental and climate</w:t>
            </w:r>
            <w:r w:rsidR="61204780" w:rsidRPr="00BB5286">
              <w:rPr>
                <w:rFonts w:eastAsia="Calibri" w:cs="Times New Roman"/>
                <w:noProof/>
                <w:sz w:val="22"/>
                <w:lang w:val="en-GB"/>
              </w:rPr>
              <w:t>-</w:t>
            </w:r>
            <w:r w:rsidRPr="00BB5286">
              <w:rPr>
                <w:rFonts w:eastAsia="Calibri" w:cs="Times New Roman"/>
                <w:noProof/>
                <w:sz w:val="22"/>
                <w:lang w:val="en-GB"/>
              </w:rPr>
              <w:t>related commitments).</w:t>
            </w:r>
          </w:p>
        </w:tc>
      </w:tr>
    </w:tbl>
    <w:p w14:paraId="2C9BD430" w14:textId="77777777" w:rsidR="00FD703D" w:rsidRDefault="00FD703D">
      <w:pPr>
        <w:rPr>
          <w:noProof/>
        </w:rPr>
      </w:pPr>
    </w:p>
    <w:p w14:paraId="3A81785B" w14:textId="77777777" w:rsidR="00FD703D" w:rsidRDefault="00FD703D">
      <w:pPr>
        <w:rPr>
          <w:noProof/>
        </w:rPr>
      </w:pPr>
    </w:p>
    <w:tbl>
      <w:tblPr>
        <w:tblStyle w:val="TableGrid1"/>
        <w:tblW w:w="14754" w:type="dxa"/>
        <w:tblInd w:w="-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2"/>
        <w:gridCol w:w="5808"/>
        <w:gridCol w:w="1560"/>
        <w:gridCol w:w="6664"/>
      </w:tblGrid>
      <w:tr w:rsidR="00F34C75" w:rsidRPr="00BB5286" w14:paraId="2A71F108" w14:textId="77777777" w:rsidTr="58ACE821">
        <w:trPr>
          <w:trHeight w:val="300"/>
        </w:trPr>
        <w:tc>
          <w:tcPr>
            <w:tcW w:w="147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99"/>
            <w:vAlign w:val="center"/>
          </w:tcPr>
          <w:p w14:paraId="0C1205B7" w14:textId="77777777" w:rsidR="00874EF4" w:rsidRPr="00BB5286" w:rsidRDefault="00874EF4" w:rsidP="004B60AF">
            <w:pPr>
              <w:spacing w:before="120" w:after="12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lastRenderedPageBreak/>
              <w:t>Performance and reporting</w:t>
            </w:r>
          </w:p>
        </w:tc>
      </w:tr>
      <w:tr w:rsidR="003D4B2D" w:rsidRPr="00BB5286" w14:paraId="76450A81"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38988B"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100</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10821" w14:textId="2BB5A251" w:rsidR="00874EF4" w:rsidRPr="00BB5286" w:rsidRDefault="00874EF4" w:rsidP="00874EF4">
            <w:pPr>
              <w:spacing w:after="60" w:line="259" w:lineRule="auto"/>
              <w:jc w:val="both"/>
              <w:rPr>
                <w:rFonts w:eastAsia="Calibri" w:cs="Times New Roman"/>
                <w:b/>
                <w:noProof/>
                <w:sz w:val="22"/>
                <w:lang w:val="en-GB"/>
              </w:rPr>
            </w:pPr>
            <w:r w:rsidRPr="00BB5286">
              <w:rPr>
                <w:rFonts w:eastAsia="Calibri" w:cs="Times New Roman"/>
                <w:b/>
                <w:noProof/>
                <w:sz w:val="22"/>
                <w:lang w:val="en-GB"/>
              </w:rPr>
              <w:t>Simplification of monitoring</w:t>
            </w:r>
            <w:r w:rsidR="19208B5D" w:rsidRPr="00BB5286">
              <w:rPr>
                <w:rFonts w:eastAsia="Calibri" w:cs="Times New Roman"/>
                <w:b/>
                <w:noProof/>
                <w:sz w:val="22"/>
                <w:lang w:val="en-GB"/>
              </w:rPr>
              <w:t>:</w:t>
            </w:r>
            <w:r w:rsidR="6562513A" w:rsidRPr="00BB5286">
              <w:rPr>
                <w:rFonts w:eastAsia="Calibri" w:cs="Times New Roman"/>
                <w:noProof/>
                <w:sz w:val="22"/>
                <w:lang w:val="en-GB"/>
              </w:rPr>
              <w:t xml:space="preserve"> </w:t>
            </w:r>
            <w:r w:rsidR="1C4F0DF8" w:rsidRPr="00BB5286">
              <w:rPr>
                <w:rFonts w:eastAsia="Calibri" w:cs="Times New Roman"/>
                <w:noProof/>
                <w:sz w:val="22"/>
                <w:lang w:val="en-GB"/>
              </w:rPr>
              <w:t>n</w:t>
            </w:r>
            <w:r w:rsidRPr="00BB5286">
              <w:rPr>
                <w:rFonts w:eastAsia="Calibri" w:cs="Times New Roman"/>
                <w:noProof/>
                <w:sz w:val="22"/>
                <w:lang w:val="en-GB"/>
              </w:rPr>
              <w:t xml:space="preserve">eed for simplification of the monitoring and reporting approach (contents of </w:t>
            </w:r>
            <w:r w:rsidR="001968C8" w:rsidRPr="00BB5286">
              <w:rPr>
                <w:rFonts w:eastAsia="Calibri" w:cs="Times New Roman"/>
                <w:noProof/>
                <w:sz w:val="22"/>
                <w:lang w:val="en-GB"/>
              </w:rPr>
              <w:t>the a</w:t>
            </w:r>
            <w:r w:rsidRPr="00BB5286">
              <w:rPr>
                <w:rFonts w:eastAsia="Calibri" w:cs="Times New Roman"/>
                <w:noProof/>
                <w:sz w:val="22"/>
                <w:lang w:val="en-GB"/>
              </w:rPr>
              <w:t xml:space="preserve">nnual </w:t>
            </w:r>
            <w:r w:rsidR="001968C8" w:rsidRPr="00BB5286">
              <w:rPr>
                <w:rFonts w:eastAsia="Calibri" w:cs="Times New Roman"/>
                <w:noProof/>
                <w:sz w:val="22"/>
                <w:lang w:val="en-GB"/>
              </w:rPr>
              <w:t>p</w:t>
            </w:r>
            <w:r w:rsidRPr="00BB5286">
              <w:rPr>
                <w:rFonts w:eastAsia="Calibri" w:cs="Times New Roman"/>
                <w:noProof/>
                <w:sz w:val="22"/>
                <w:lang w:val="en-GB"/>
              </w:rPr>
              <w:t xml:space="preserve">erformance </w:t>
            </w:r>
            <w:r w:rsidR="001968C8" w:rsidRPr="00BB5286">
              <w:rPr>
                <w:rFonts w:eastAsia="Calibri" w:cs="Times New Roman"/>
                <w:noProof/>
                <w:sz w:val="22"/>
                <w:lang w:val="en-GB"/>
              </w:rPr>
              <w:t>r</w:t>
            </w:r>
            <w:r w:rsidRPr="00BB5286">
              <w:rPr>
                <w:rFonts w:eastAsia="Calibri" w:cs="Times New Roman"/>
                <w:noProof/>
                <w:sz w:val="22"/>
                <w:lang w:val="en-GB"/>
              </w:rPr>
              <w:t>eport, indicators, reporting on performance, table of indicators, unit amount logic, action plans and justification).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1A8BD"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CY</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330D4" w14:textId="073F3C35"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Monitoring is essential in a performance-oriented policy, such as the </w:t>
            </w:r>
            <w:r w:rsidR="006A5D3D" w:rsidRPr="00BB5286">
              <w:rPr>
                <w:rFonts w:eastAsia="Calibri" w:cs="Times New Roman"/>
                <w:noProof/>
                <w:sz w:val="22"/>
                <w:lang w:val="en-GB"/>
              </w:rPr>
              <w:t>n</w:t>
            </w:r>
            <w:r w:rsidRPr="00BB5286">
              <w:rPr>
                <w:rFonts w:eastAsia="Calibri" w:cs="Times New Roman"/>
                <w:noProof/>
                <w:sz w:val="22"/>
                <w:lang w:val="en-GB"/>
              </w:rPr>
              <w:t xml:space="preserve">ew </w:t>
            </w:r>
            <w:r w:rsidR="006A5D3D" w:rsidRPr="00BB5286">
              <w:rPr>
                <w:rFonts w:eastAsia="Calibri" w:cs="Times New Roman"/>
                <w:noProof/>
                <w:sz w:val="22"/>
                <w:lang w:val="en-GB"/>
              </w:rPr>
              <w:t>d</w:t>
            </w:r>
            <w:r w:rsidRPr="00BB5286">
              <w:rPr>
                <w:rFonts w:eastAsia="Calibri" w:cs="Times New Roman"/>
                <w:noProof/>
                <w:sz w:val="22"/>
                <w:lang w:val="en-GB"/>
              </w:rPr>
              <w:t xml:space="preserve">elivery </w:t>
            </w:r>
            <w:r w:rsidR="006A5D3D" w:rsidRPr="00BB5286">
              <w:rPr>
                <w:rFonts w:eastAsia="Calibri" w:cs="Times New Roman"/>
                <w:noProof/>
                <w:sz w:val="22"/>
                <w:lang w:val="en-GB"/>
              </w:rPr>
              <w:t>m</w:t>
            </w:r>
            <w:r w:rsidRPr="00BB5286">
              <w:rPr>
                <w:rFonts w:eastAsia="Calibri" w:cs="Times New Roman"/>
                <w:noProof/>
                <w:sz w:val="22"/>
                <w:lang w:val="en-GB"/>
              </w:rPr>
              <w:t xml:space="preserve">odel of the CAP. It allows the Commission to evaluate whether the planned results have been achieved. Lessons learned from the current period will feed </w:t>
            </w:r>
            <w:r w:rsidR="001968C8" w:rsidRPr="00BB5286">
              <w:rPr>
                <w:rFonts w:eastAsia="Calibri" w:cs="Times New Roman"/>
                <w:noProof/>
                <w:sz w:val="22"/>
                <w:lang w:val="en-GB"/>
              </w:rPr>
              <w:t xml:space="preserve">into </w:t>
            </w:r>
            <w:r w:rsidRPr="00BB5286">
              <w:rPr>
                <w:rFonts w:eastAsia="Calibri" w:cs="Times New Roman"/>
                <w:noProof/>
                <w:sz w:val="22"/>
                <w:lang w:val="en-GB"/>
              </w:rPr>
              <w:t>the reflection on the post-2027</w:t>
            </w:r>
            <w:r w:rsidR="001968C8" w:rsidRPr="00BB5286">
              <w:rPr>
                <w:rFonts w:eastAsia="Calibri" w:cs="Times New Roman"/>
                <w:noProof/>
                <w:sz w:val="22"/>
                <w:lang w:val="en-GB"/>
              </w:rPr>
              <w:t xml:space="preserve"> CAP</w:t>
            </w:r>
            <w:r w:rsidRPr="00BB5286">
              <w:rPr>
                <w:rFonts w:eastAsia="Calibri" w:cs="Times New Roman"/>
                <w:noProof/>
                <w:sz w:val="22"/>
                <w:lang w:val="en-GB"/>
              </w:rPr>
              <w:t>.</w:t>
            </w:r>
          </w:p>
        </w:tc>
      </w:tr>
      <w:tr w:rsidR="003D4B2D" w:rsidRPr="00BB5286" w14:paraId="5EE2612D"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100BB"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101</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5E82B" w14:textId="2AD14AD4"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bCs/>
                <w:i/>
                <w:iCs/>
                <w:noProof/>
                <w:sz w:val="22"/>
                <w:lang w:val="en-GB"/>
              </w:rPr>
              <w:t>Ex</w:t>
            </w:r>
            <w:r w:rsidR="001968C8" w:rsidRPr="00BB5286">
              <w:rPr>
                <w:rFonts w:eastAsia="Calibri" w:cs="Times New Roman"/>
                <w:b/>
                <w:bCs/>
                <w:i/>
                <w:iCs/>
                <w:noProof/>
                <w:sz w:val="22"/>
                <w:lang w:val="en-GB"/>
              </w:rPr>
              <w:t xml:space="preserve"> </w:t>
            </w:r>
            <w:r w:rsidRPr="00BB5286">
              <w:rPr>
                <w:rFonts w:eastAsia="Calibri" w:cs="Times New Roman"/>
                <w:b/>
                <w:bCs/>
                <w:i/>
                <w:iCs/>
                <w:noProof/>
                <w:sz w:val="22"/>
                <w:lang w:val="en-GB"/>
              </w:rPr>
              <w:t>ante</w:t>
            </w:r>
            <w:r w:rsidRPr="00BB5286">
              <w:rPr>
                <w:rFonts w:eastAsia="Calibri" w:cs="Times New Roman"/>
                <w:b/>
                <w:noProof/>
                <w:sz w:val="22"/>
                <w:lang w:val="en-GB"/>
              </w:rPr>
              <w:t xml:space="preserve"> assessment:</w:t>
            </w:r>
            <w:r w:rsidRPr="00BB5286">
              <w:rPr>
                <w:rFonts w:eastAsia="Calibri" w:cs="Times New Roman"/>
                <w:noProof/>
                <w:sz w:val="22"/>
                <w:lang w:val="en-GB"/>
              </w:rPr>
              <w:t xml:space="preserve"> </w:t>
            </w:r>
            <w:r w:rsidR="7687C82B" w:rsidRPr="00BB5286">
              <w:rPr>
                <w:rFonts w:eastAsia="Calibri" w:cs="Times New Roman"/>
                <w:noProof/>
                <w:sz w:val="22"/>
                <w:lang w:val="en-GB"/>
              </w:rPr>
              <w:t>r</w:t>
            </w:r>
            <w:r w:rsidRPr="00BB5286">
              <w:rPr>
                <w:rFonts w:eastAsia="Calibri" w:cs="Times New Roman"/>
                <w:noProof/>
                <w:sz w:val="22"/>
                <w:lang w:val="en-GB"/>
              </w:rPr>
              <w:t xml:space="preserve">emove the requirement for an </w:t>
            </w:r>
            <w:r w:rsidRPr="00BB5286">
              <w:rPr>
                <w:rFonts w:eastAsia="Calibri" w:cs="Times New Roman"/>
                <w:i/>
                <w:iCs/>
                <w:noProof/>
                <w:sz w:val="22"/>
                <w:lang w:val="en-GB"/>
              </w:rPr>
              <w:t>ex</w:t>
            </w:r>
            <w:r w:rsidR="001968C8" w:rsidRPr="00BB5286">
              <w:rPr>
                <w:rFonts w:eastAsia="Calibri" w:cs="Times New Roman"/>
                <w:i/>
                <w:iCs/>
                <w:noProof/>
                <w:sz w:val="22"/>
                <w:lang w:val="en-GB"/>
              </w:rPr>
              <w:t xml:space="preserve"> </w:t>
            </w:r>
            <w:r w:rsidRPr="00BB5286">
              <w:rPr>
                <w:rFonts w:eastAsia="Calibri" w:cs="Times New Roman"/>
                <w:i/>
                <w:iCs/>
                <w:noProof/>
                <w:sz w:val="22"/>
                <w:lang w:val="en-GB"/>
              </w:rPr>
              <w:t>ante</w:t>
            </w:r>
            <w:r w:rsidRPr="00BB5286">
              <w:rPr>
                <w:rFonts w:eastAsia="Calibri" w:cs="Times New Roman"/>
                <w:noProof/>
                <w:sz w:val="22"/>
                <w:lang w:val="en-GB"/>
              </w:rPr>
              <w:t xml:space="preserve"> assessment of </w:t>
            </w:r>
            <w:r w:rsidR="00E05337" w:rsidRPr="00BB5286">
              <w:rPr>
                <w:rFonts w:eastAsia="Calibri" w:cs="Times New Roman"/>
                <w:noProof/>
                <w:sz w:val="22"/>
                <w:lang w:val="en-GB"/>
              </w:rPr>
              <w:t>CAP Plans</w:t>
            </w:r>
            <w:r w:rsidR="004C5DD2" w:rsidRPr="00BB5286">
              <w:rPr>
                <w:rFonts w:eastAsia="Calibri" w:cs="Times New Roman"/>
                <w:noProof/>
                <w:sz w:val="22"/>
                <w:lang w:val="en-GB"/>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8721E"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AT, CY, CZ, ES, MT</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EC117" w14:textId="24CE87B1"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1968C8" w:rsidRPr="00BB5286">
              <w:rPr>
                <w:rFonts w:eastAsia="Calibri" w:cs="Times New Roman"/>
                <w:noProof/>
                <w:sz w:val="22"/>
                <w:lang w:val="en-GB"/>
              </w:rPr>
              <w:t xml:space="preserve">into </w:t>
            </w:r>
            <w:r w:rsidRPr="00BB5286">
              <w:rPr>
                <w:rFonts w:eastAsia="Calibri" w:cs="Times New Roman"/>
                <w:noProof/>
                <w:sz w:val="22"/>
                <w:lang w:val="en-GB"/>
              </w:rPr>
              <w:t>the reflection on the post-2027</w:t>
            </w:r>
            <w:r w:rsidR="001968C8" w:rsidRPr="00BB5286">
              <w:rPr>
                <w:rFonts w:eastAsia="Calibri" w:cs="Times New Roman"/>
                <w:noProof/>
                <w:sz w:val="22"/>
                <w:lang w:val="en-GB"/>
              </w:rPr>
              <w:t xml:space="preserve"> CAP</w:t>
            </w:r>
            <w:r w:rsidRPr="00BB5286">
              <w:rPr>
                <w:rFonts w:eastAsia="Calibri" w:cs="Times New Roman"/>
                <w:noProof/>
                <w:sz w:val="22"/>
                <w:lang w:val="en-GB"/>
              </w:rPr>
              <w:t xml:space="preserve">. </w:t>
            </w:r>
          </w:p>
        </w:tc>
      </w:tr>
      <w:tr w:rsidR="003D4B2D" w:rsidRPr="00BB5286" w14:paraId="6976194D"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6E2AD"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102</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2CCD4" w14:textId="22384557"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Indicators:</w:t>
            </w:r>
            <w:r w:rsidRPr="00BB5286">
              <w:rPr>
                <w:rFonts w:eastAsia="Calibri" w:cs="Times New Roman"/>
                <w:noProof/>
                <w:sz w:val="22"/>
                <w:lang w:val="en-GB"/>
              </w:rPr>
              <w:t xml:space="preserve"> </w:t>
            </w:r>
            <w:r w:rsidR="4192B09A" w:rsidRPr="00BB5286">
              <w:rPr>
                <w:rFonts w:eastAsia="Calibri" w:cs="Times New Roman"/>
                <w:noProof/>
                <w:sz w:val="22"/>
                <w:lang w:val="en-GB"/>
              </w:rPr>
              <w:t>a</w:t>
            </w:r>
            <w:r w:rsidRPr="00BB5286">
              <w:rPr>
                <w:rFonts w:eastAsia="Calibri" w:cs="Times New Roman"/>
                <w:noProof/>
                <w:sz w:val="22"/>
                <w:lang w:val="en-GB"/>
              </w:rPr>
              <w:t>djust the methodology of Result Indicator 34</w:t>
            </w:r>
            <w:r w:rsidR="0095768E" w:rsidRPr="00BB5286">
              <w:rPr>
                <w:rFonts w:eastAsia="Calibri" w:cs="Times New Roman"/>
                <w:noProof/>
                <w:sz w:val="22"/>
                <w:lang w:val="en-GB"/>
              </w:rPr>
              <w:t xml:space="preserve"> (</w:t>
            </w:r>
            <w:r w:rsidR="0095768E" w:rsidRPr="00FF77A3">
              <w:rPr>
                <w:noProof/>
                <w:sz w:val="22"/>
                <w:szCs w:val="20"/>
                <w:lang w:val="en-GB"/>
              </w:rPr>
              <w:t xml:space="preserve">R.34 Preserving landscape features: </w:t>
            </w:r>
            <w:r w:rsidR="0095768E" w:rsidRPr="00BB5286">
              <w:rPr>
                <w:noProof/>
                <w:sz w:val="22"/>
                <w:szCs w:val="20"/>
                <w:lang w:val="en-GB"/>
              </w:rPr>
              <w:t>Share of UAA under supported commitments for managing landscape features, including hedgerows and trees)</w:t>
            </w:r>
            <w:r w:rsidRPr="00BB5286">
              <w:rPr>
                <w:rFonts w:eastAsia="Calibri" w:cs="Times New Roman"/>
                <w:noProof/>
                <w:sz w:val="22"/>
                <w:lang w:val="en-GB"/>
              </w:rPr>
              <w:t xml:space="preserve"> to include all non-productive and other landscape features and areas.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8D3E2" w14:textId="77777777" w:rsidR="00874EF4" w:rsidRPr="00BB5286" w:rsidRDefault="00874EF4" w:rsidP="02AF1ED3">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54A09" w14:textId="78BD3099" w:rsidR="00874EF4" w:rsidRPr="00BB5286" w:rsidRDefault="3A188297" w:rsidP="6F217AB4">
            <w:pPr>
              <w:spacing w:after="60" w:line="259" w:lineRule="auto"/>
              <w:jc w:val="both"/>
              <w:rPr>
                <w:rFonts w:eastAsia="Calibri" w:cs="Times New Roman"/>
                <w:noProof/>
                <w:sz w:val="22"/>
                <w:lang w:val="en-GB"/>
              </w:rPr>
            </w:pPr>
            <w:r w:rsidRPr="00BB5286">
              <w:rPr>
                <w:rFonts w:eastAsia="Calibri" w:cs="Times New Roman"/>
                <w:noProof/>
                <w:sz w:val="22"/>
                <w:lang w:val="en-GB"/>
              </w:rPr>
              <w:t>With the simplification package, the Commission</w:t>
            </w:r>
            <w:r w:rsidR="003739D4" w:rsidRPr="00BB5286">
              <w:rPr>
                <w:rFonts w:eastAsia="Calibri" w:cs="Times New Roman"/>
                <w:noProof/>
                <w:sz w:val="22"/>
                <w:lang w:val="en-GB"/>
              </w:rPr>
              <w:t xml:space="preserve"> </w:t>
            </w:r>
            <w:r w:rsidRPr="00BB5286">
              <w:rPr>
                <w:rFonts w:eastAsia="Calibri" w:cs="Times New Roman"/>
                <w:noProof/>
                <w:sz w:val="22"/>
                <w:lang w:val="en-GB"/>
              </w:rPr>
              <w:t>adjust</w:t>
            </w:r>
            <w:r w:rsidR="003739D4" w:rsidRPr="00BB5286">
              <w:rPr>
                <w:rFonts w:eastAsia="Calibri" w:cs="Times New Roman"/>
                <w:noProof/>
                <w:sz w:val="22"/>
                <w:lang w:val="en-GB"/>
              </w:rPr>
              <w:t>ed</w:t>
            </w:r>
            <w:r w:rsidRPr="00BB5286">
              <w:rPr>
                <w:rFonts w:eastAsia="Calibri" w:cs="Times New Roman"/>
                <w:noProof/>
                <w:sz w:val="22"/>
                <w:lang w:val="en-GB"/>
              </w:rPr>
              <w:t xml:space="preserve"> </w:t>
            </w:r>
            <w:r w:rsidR="003739D4" w:rsidRPr="00BB5286">
              <w:rPr>
                <w:rFonts w:eastAsia="Calibri" w:cs="Times New Roman"/>
                <w:noProof/>
                <w:sz w:val="22"/>
                <w:lang w:val="en-GB"/>
              </w:rPr>
              <w:t>the</w:t>
            </w:r>
            <w:r w:rsidRPr="00BB5286">
              <w:rPr>
                <w:rFonts w:eastAsia="Calibri" w:cs="Times New Roman"/>
                <w:noProof/>
                <w:sz w:val="22"/>
                <w:lang w:val="en-GB"/>
              </w:rPr>
              <w:t xml:space="preserve"> monitoring and evaluation </w:t>
            </w:r>
            <w:r w:rsidR="0569B31D" w:rsidRPr="00BB5286">
              <w:rPr>
                <w:rFonts w:eastAsia="Calibri" w:cs="Times New Roman"/>
                <w:noProof/>
                <w:sz w:val="22"/>
                <w:lang w:val="en-GB"/>
              </w:rPr>
              <w:t>legislation</w:t>
            </w:r>
            <w:r w:rsidRPr="00BB5286">
              <w:rPr>
                <w:rFonts w:eastAsia="Calibri" w:cs="Times New Roman"/>
                <w:noProof/>
                <w:sz w:val="22"/>
                <w:lang w:val="en-GB"/>
              </w:rPr>
              <w:t xml:space="preserve"> (</w:t>
            </w:r>
            <w:r w:rsidR="008B6F95" w:rsidRPr="00BB5286">
              <w:rPr>
                <w:rFonts w:eastAsia="Calibri" w:cs="Times New Roman"/>
                <w:noProof/>
                <w:sz w:val="22"/>
                <w:lang w:val="en-GB"/>
              </w:rPr>
              <w:t xml:space="preserve">Commission </w:t>
            </w:r>
            <w:r w:rsidR="547B5186" w:rsidRPr="00BB5286">
              <w:rPr>
                <w:rFonts w:eastAsia="Calibri" w:cs="Times New Roman"/>
                <w:noProof/>
                <w:sz w:val="22"/>
                <w:lang w:val="en-GB"/>
              </w:rPr>
              <w:t xml:space="preserve">Implementing Regulation (EU) 2024/1962 </w:t>
            </w:r>
            <w:r w:rsidRPr="00BB5286">
              <w:rPr>
                <w:rFonts w:eastAsia="Calibri" w:cs="Times New Roman"/>
                <w:noProof/>
                <w:sz w:val="22"/>
                <w:lang w:val="en-GB"/>
              </w:rPr>
              <w:t>amend</w:t>
            </w:r>
            <w:r w:rsidR="47582F36" w:rsidRPr="00BB5286">
              <w:rPr>
                <w:rFonts w:eastAsia="Calibri" w:cs="Times New Roman"/>
                <w:noProof/>
                <w:sz w:val="22"/>
                <w:lang w:val="en-GB"/>
              </w:rPr>
              <w:t>ing</w:t>
            </w:r>
            <w:r w:rsidRPr="00BB5286">
              <w:rPr>
                <w:rFonts w:eastAsia="Calibri" w:cs="Times New Roman"/>
                <w:noProof/>
                <w:sz w:val="22"/>
                <w:lang w:val="en-GB"/>
              </w:rPr>
              <w:t xml:space="preserve"> Implementing Regulation (EU) 2022/1475)</w:t>
            </w:r>
            <w:r w:rsidR="07917109" w:rsidRPr="00BB5286">
              <w:rPr>
                <w:rFonts w:eastAsia="Calibri" w:cs="Times New Roman"/>
                <w:noProof/>
                <w:sz w:val="22"/>
                <w:lang w:val="en-GB"/>
              </w:rPr>
              <w:t>. Member States will</w:t>
            </w:r>
            <w:r w:rsidRPr="00BB5286">
              <w:rPr>
                <w:rFonts w:eastAsia="Calibri" w:cs="Times New Roman"/>
                <w:noProof/>
                <w:sz w:val="22"/>
                <w:lang w:val="en-GB"/>
              </w:rPr>
              <w:t xml:space="preserve"> report hectares of arable land paid for maintaining non-productive areas, such as land lying fallow, including landscape features, under variable M101. This new variable will address the concern raised, while indicator R.34 will allow </w:t>
            </w:r>
            <w:r w:rsidR="6210348A" w:rsidRPr="00BB5286">
              <w:rPr>
                <w:rFonts w:eastAsia="Calibri" w:cs="Times New Roman"/>
                <w:noProof/>
                <w:sz w:val="22"/>
                <w:lang w:val="en-GB"/>
              </w:rPr>
              <w:t xml:space="preserve">the </w:t>
            </w:r>
            <w:r w:rsidRPr="00BB5286">
              <w:rPr>
                <w:rFonts w:eastAsia="Calibri" w:cs="Times New Roman"/>
                <w:noProof/>
                <w:sz w:val="22"/>
                <w:lang w:val="en-GB"/>
              </w:rPr>
              <w:t xml:space="preserve">monitoring </w:t>
            </w:r>
            <w:r w:rsidR="6210348A" w:rsidRPr="00BB5286">
              <w:rPr>
                <w:rFonts w:eastAsia="Calibri" w:cs="Times New Roman"/>
                <w:noProof/>
                <w:sz w:val="22"/>
                <w:lang w:val="en-GB"/>
              </w:rPr>
              <w:t xml:space="preserve">of </w:t>
            </w:r>
            <w:r w:rsidRPr="00BB5286">
              <w:rPr>
                <w:rFonts w:eastAsia="Calibri" w:cs="Times New Roman"/>
                <w:noProof/>
                <w:sz w:val="22"/>
                <w:lang w:val="en-GB"/>
              </w:rPr>
              <w:t xml:space="preserve">all landscape features under maintenance, whether on arable land, permanent cropland, grassland or other eligible area. The scope of R.34, included in the label of the indicator, cannot be changed </w:t>
            </w:r>
            <w:r w:rsidR="00B63F99">
              <w:rPr>
                <w:rFonts w:eastAsia="Calibri" w:cs="Times New Roman"/>
                <w:noProof/>
                <w:sz w:val="22"/>
                <w:lang w:val="en-GB"/>
              </w:rPr>
              <w:t xml:space="preserve">by implementing regulation </w:t>
            </w:r>
            <w:r w:rsidRPr="00BB5286">
              <w:rPr>
                <w:rFonts w:eastAsia="Calibri" w:cs="Times New Roman"/>
                <w:noProof/>
                <w:sz w:val="22"/>
                <w:lang w:val="en-GB"/>
              </w:rPr>
              <w:t xml:space="preserve">as it is defined in </w:t>
            </w:r>
            <w:r w:rsidRPr="00BB5286">
              <w:rPr>
                <w:rFonts w:eastAsia="Calibri" w:cs="Times New Roman"/>
                <w:i/>
                <w:iCs/>
                <w:noProof/>
                <w:sz w:val="22"/>
                <w:lang w:val="en-GB"/>
              </w:rPr>
              <w:t xml:space="preserve">Annex I </w:t>
            </w:r>
            <w:r w:rsidRPr="00BB5286">
              <w:rPr>
                <w:rFonts w:eastAsia="Calibri" w:cs="Times New Roman"/>
                <w:noProof/>
                <w:sz w:val="22"/>
                <w:lang w:val="en-GB"/>
              </w:rPr>
              <w:t xml:space="preserve">to </w:t>
            </w:r>
            <w:r w:rsidR="14E8E65D" w:rsidRPr="00BB5286">
              <w:rPr>
                <w:rFonts w:eastAsia="Calibri" w:cs="Times New Roman"/>
                <w:noProof/>
                <w:sz w:val="22"/>
                <w:lang w:val="en-GB"/>
              </w:rPr>
              <w:t xml:space="preserve">the CSP </w:t>
            </w:r>
            <w:r w:rsidRPr="00BB5286">
              <w:rPr>
                <w:rFonts w:eastAsia="Calibri" w:cs="Times New Roman"/>
                <w:noProof/>
                <w:sz w:val="22"/>
                <w:lang w:val="en-GB"/>
              </w:rPr>
              <w:t>Regulation.</w:t>
            </w:r>
          </w:p>
        </w:tc>
      </w:tr>
      <w:tr w:rsidR="003D4B2D" w:rsidRPr="00BB5286" w14:paraId="70DB1C93"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59D99"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103</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6BF5BC" w14:textId="0E8BC7CC"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 xml:space="preserve">Indicators: </w:t>
            </w:r>
            <w:r w:rsidR="19ACFB42" w:rsidRPr="00BB5286">
              <w:rPr>
                <w:rFonts w:eastAsia="Calibri" w:cs="Times New Roman"/>
                <w:noProof/>
                <w:sz w:val="22"/>
                <w:lang w:val="en-GB"/>
              </w:rPr>
              <w:t>a</w:t>
            </w:r>
            <w:r w:rsidRPr="00BB5286">
              <w:rPr>
                <w:rFonts w:eastAsia="Calibri" w:cs="Times New Roman"/>
                <w:noProof/>
                <w:sz w:val="22"/>
                <w:lang w:val="en-GB"/>
              </w:rPr>
              <w:t xml:space="preserve">llow retroactive modification of the values of relevant indicators in </w:t>
            </w:r>
            <w:r w:rsidR="00694300" w:rsidRPr="00BB5286">
              <w:rPr>
                <w:rFonts w:eastAsia="Calibri" w:cs="Times New Roman"/>
                <w:noProof/>
                <w:sz w:val="22"/>
                <w:lang w:val="en-GB"/>
              </w:rPr>
              <w:t xml:space="preserve">the </w:t>
            </w:r>
            <w:r w:rsidRPr="00BB5286">
              <w:rPr>
                <w:rFonts w:eastAsia="Calibri" w:cs="Times New Roman"/>
                <w:noProof/>
                <w:sz w:val="22"/>
                <w:lang w:val="en-GB"/>
              </w:rPr>
              <w:t xml:space="preserve">case of amendment of </w:t>
            </w:r>
            <w:r w:rsidR="00523AA0" w:rsidRPr="00BB5286">
              <w:rPr>
                <w:rFonts w:eastAsia="Calibri" w:cs="Times New Roman"/>
                <w:noProof/>
                <w:sz w:val="22"/>
                <w:lang w:val="en-GB"/>
              </w:rPr>
              <w:t>CAP Plans</w:t>
            </w:r>
            <w:r w:rsidRPr="00BB5286">
              <w:rPr>
                <w:rFonts w:eastAsia="Calibri" w:cs="Times New Roman"/>
                <w:noProof/>
                <w:sz w:val="22"/>
                <w:lang w:val="en-GB"/>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F1094"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BG</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BCB19" w14:textId="43B9F2E2" w:rsidR="00874EF4" w:rsidRPr="00BB5286" w:rsidRDefault="00874EF4" w:rsidP="00874EF4">
            <w:pPr>
              <w:spacing w:after="60" w:line="259" w:lineRule="auto"/>
              <w:jc w:val="both"/>
              <w:rPr>
                <w:rFonts w:eastAsia="Calibri" w:cs="Times New Roman"/>
                <w:noProof/>
                <w:sz w:val="22"/>
                <w:highlight w:val="yellow"/>
                <w:lang w:val="en-GB"/>
              </w:rPr>
            </w:pPr>
            <w:r w:rsidRPr="00BB5286">
              <w:rPr>
                <w:rFonts w:eastAsia="Calibri" w:cs="Times New Roman"/>
                <w:noProof/>
                <w:sz w:val="22"/>
                <w:lang w:val="en-GB"/>
              </w:rPr>
              <w:t xml:space="preserve">Retroactive amendments of CAP </w:t>
            </w:r>
            <w:r w:rsidR="0434F5F2" w:rsidRPr="00BB5286">
              <w:rPr>
                <w:rFonts w:eastAsia="Calibri" w:cs="Times New Roman"/>
                <w:noProof/>
                <w:sz w:val="22"/>
                <w:lang w:val="en-GB"/>
              </w:rPr>
              <w:t>P</w:t>
            </w:r>
            <w:r w:rsidRPr="00BB5286">
              <w:rPr>
                <w:rFonts w:eastAsia="Calibri" w:cs="Times New Roman"/>
                <w:noProof/>
                <w:sz w:val="22"/>
                <w:lang w:val="en-GB"/>
              </w:rPr>
              <w:t xml:space="preserve">lans related to the EAGF would in principle not be in line with </w:t>
            </w:r>
            <w:r w:rsidRPr="00BB5286">
              <w:rPr>
                <w:rFonts w:eastAsia="Calibri" w:cs="Times New Roman"/>
                <w:i/>
                <w:noProof/>
                <w:sz w:val="22"/>
                <w:lang w:val="en-GB"/>
              </w:rPr>
              <w:t xml:space="preserve">Article 119(8), third subparagraph, </w:t>
            </w:r>
            <w:r w:rsidRPr="00BB5286">
              <w:rPr>
                <w:rFonts w:eastAsia="Calibri" w:cs="Times New Roman"/>
                <w:noProof/>
                <w:sz w:val="22"/>
                <w:lang w:val="en-GB"/>
              </w:rPr>
              <w:t xml:space="preserve">of </w:t>
            </w:r>
            <w:r w:rsidR="0D106F45" w:rsidRPr="00BB5286">
              <w:rPr>
                <w:rFonts w:eastAsia="Calibri" w:cs="Times New Roman"/>
                <w:noProof/>
                <w:sz w:val="22"/>
                <w:lang w:val="en-GB"/>
              </w:rPr>
              <w:t xml:space="preserve">the CSP </w:t>
            </w:r>
            <w:r w:rsidRPr="00BB5286">
              <w:rPr>
                <w:rFonts w:eastAsia="Calibri" w:cs="Times New Roman"/>
                <w:noProof/>
                <w:sz w:val="22"/>
                <w:lang w:val="en-GB"/>
              </w:rPr>
              <w:t xml:space="preserve">Regulation. Retroactive amendments of values under result indicators would </w:t>
            </w:r>
            <w:r w:rsidR="002064E8" w:rsidRPr="00BB5286">
              <w:rPr>
                <w:rFonts w:eastAsia="Calibri" w:cs="Times New Roman"/>
                <w:noProof/>
                <w:sz w:val="22"/>
                <w:lang w:val="en-GB"/>
              </w:rPr>
              <w:t xml:space="preserve">have a significant </w:t>
            </w:r>
            <w:r w:rsidRPr="00BB5286">
              <w:rPr>
                <w:rFonts w:eastAsia="Calibri" w:cs="Times New Roman"/>
                <w:noProof/>
                <w:sz w:val="22"/>
                <w:lang w:val="en-GB"/>
              </w:rPr>
              <w:t xml:space="preserve">impact </w:t>
            </w:r>
            <w:r w:rsidR="002064E8" w:rsidRPr="00BB5286">
              <w:rPr>
                <w:rFonts w:eastAsia="Calibri" w:cs="Times New Roman"/>
                <w:noProof/>
                <w:sz w:val="22"/>
                <w:lang w:val="en-GB"/>
              </w:rPr>
              <w:t xml:space="preserve">on </w:t>
            </w:r>
            <w:r w:rsidRPr="00BB5286">
              <w:rPr>
                <w:rFonts w:eastAsia="Calibri" w:cs="Times New Roman"/>
                <w:noProof/>
                <w:sz w:val="22"/>
                <w:lang w:val="en-GB"/>
              </w:rPr>
              <w:t xml:space="preserve">the functioning of the performance framework for the CAP </w:t>
            </w:r>
            <w:r w:rsidR="1AAD8968" w:rsidRPr="00BB5286">
              <w:rPr>
                <w:rFonts w:eastAsia="Calibri" w:cs="Times New Roman"/>
                <w:noProof/>
                <w:sz w:val="22"/>
                <w:lang w:val="en-GB"/>
              </w:rPr>
              <w:t>P</w:t>
            </w:r>
            <w:r w:rsidRPr="00BB5286">
              <w:rPr>
                <w:rFonts w:eastAsia="Calibri" w:cs="Times New Roman"/>
                <w:noProof/>
                <w:sz w:val="22"/>
                <w:lang w:val="en-GB"/>
              </w:rPr>
              <w:t xml:space="preserve">lans. Such amendments would also go against the calls from farmers for a greater stability of CAP implementation. </w:t>
            </w:r>
          </w:p>
        </w:tc>
      </w:tr>
      <w:tr w:rsidR="003D4B2D" w:rsidRPr="00BB5286" w14:paraId="1AF4AB8F"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430D6"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lastRenderedPageBreak/>
              <w:t>104</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2434D" w14:textId="4FA7B173"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Indicators:</w:t>
            </w:r>
            <w:r w:rsidRPr="00BB5286">
              <w:rPr>
                <w:rFonts w:eastAsia="Calibri" w:cs="Times New Roman"/>
                <w:noProof/>
                <w:sz w:val="22"/>
                <w:lang w:val="en-GB"/>
              </w:rPr>
              <w:t xml:space="preserve"> </w:t>
            </w:r>
            <w:r w:rsidR="4FFF4127" w:rsidRPr="00BB5286">
              <w:rPr>
                <w:rFonts w:eastAsia="Calibri" w:cs="Times New Roman"/>
                <w:noProof/>
                <w:sz w:val="22"/>
                <w:lang w:val="en-GB"/>
              </w:rPr>
              <w:t>r</w:t>
            </w:r>
            <w:r w:rsidRPr="00BB5286">
              <w:rPr>
                <w:rFonts w:eastAsia="Calibri" w:cs="Times New Roman"/>
                <w:noProof/>
                <w:sz w:val="22"/>
                <w:lang w:val="en-GB"/>
              </w:rPr>
              <w:t>educe the number of categories of indicators</w:t>
            </w:r>
            <w:r w:rsidR="004C5DD2" w:rsidRPr="00BB5286">
              <w:rPr>
                <w:rFonts w:eastAsia="Calibri" w:cs="Times New Roman"/>
                <w:noProof/>
                <w:sz w:val="22"/>
                <w:lang w:val="en-GB"/>
              </w:rPr>
              <w:t>.</w:t>
            </w:r>
            <w:r w:rsidRPr="00BB5286">
              <w:rPr>
                <w:rFonts w:eastAsia="Calibri" w:cs="Times New Roman"/>
                <w:noProof/>
                <w:sz w:val="22"/>
                <w:lang w:val="en-GB"/>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CDEB4"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AT</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8716F" w14:textId="4505A0D5" w:rsidR="00874EF4" w:rsidRPr="00BB5286" w:rsidRDefault="3A188297"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The indicators are a cornerstone of the </w:t>
            </w:r>
            <w:r w:rsidR="006A5D3D" w:rsidRPr="00BB5286">
              <w:rPr>
                <w:rFonts w:eastAsia="Calibri" w:cs="Times New Roman"/>
                <w:noProof/>
                <w:sz w:val="22"/>
                <w:lang w:val="en-GB"/>
              </w:rPr>
              <w:t>n</w:t>
            </w:r>
            <w:r w:rsidRPr="00BB5286">
              <w:rPr>
                <w:rFonts w:eastAsia="Calibri" w:cs="Times New Roman"/>
                <w:noProof/>
                <w:sz w:val="22"/>
                <w:lang w:val="en-GB"/>
              </w:rPr>
              <w:t xml:space="preserve">ew </w:t>
            </w:r>
            <w:r w:rsidR="006A5D3D" w:rsidRPr="00BB5286">
              <w:rPr>
                <w:rFonts w:eastAsia="Calibri" w:cs="Times New Roman"/>
                <w:noProof/>
                <w:sz w:val="22"/>
                <w:lang w:val="en-GB"/>
              </w:rPr>
              <w:t>d</w:t>
            </w:r>
            <w:r w:rsidRPr="00BB5286">
              <w:rPr>
                <w:rFonts w:eastAsia="Calibri" w:cs="Times New Roman"/>
                <w:noProof/>
                <w:sz w:val="22"/>
                <w:lang w:val="en-GB"/>
              </w:rPr>
              <w:t xml:space="preserve">elivery </w:t>
            </w:r>
            <w:r w:rsidR="006A5D3D" w:rsidRPr="00BB5286">
              <w:rPr>
                <w:rFonts w:eastAsia="Calibri" w:cs="Times New Roman"/>
                <w:noProof/>
                <w:sz w:val="22"/>
                <w:lang w:val="en-GB"/>
              </w:rPr>
              <w:t>m</w:t>
            </w:r>
            <w:r w:rsidRPr="00BB5286">
              <w:rPr>
                <w:rFonts w:eastAsia="Calibri" w:cs="Times New Roman"/>
                <w:noProof/>
                <w:sz w:val="22"/>
                <w:lang w:val="en-GB"/>
              </w:rPr>
              <w:t xml:space="preserve">odel of the CAP and its performance-based approach. Each category of indicators has a specific purpose, be it assurance, performance review, monitoring or evaluation of the </w:t>
            </w:r>
            <w:r w:rsidR="1044349B" w:rsidRPr="00BB5286">
              <w:rPr>
                <w:rFonts w:eastAsia="Calibri" w:cs="Times New Roman"/>
                <w:noProof/>
                <w:sz w:val="22"/>
                <w:lang w:val="en-GB"/>
              </w:rPr>
              <w:t xml:space="preserve">performance of the </w:t>
            </w:r>
            <w:r w:rsidRPr="00BB5286">
              <w:rPr>
                <w:rFonts w:eastAsia="Calibri" w:cs="Times New Roman"/>
                <w:noProof/>
                <w:sz w:val="22"/>
                <w:lang w:val="en-GB"/>
              </w:rPr>
              <w:t>policy.</w:t>
            </w:r>
          </w:p>
        </w:tc>
      </w:tr>
      <w:tr w:rsidR="003D4B2D" w:rsidRPr="00BB5286" w14:paraId="27A16DAF"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646B8"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105</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3DC67" w14:textId="03F7F6C1" w:rsidR="00874EF4" w:rsidRPr="00BB5286" w:rsidRDefault="00874EF4" w:rsidP="00874EF4">
            <w:pPr>
              <w:spacing w:after="60" w:line="259" w:lineRule="auto"/>
              <w:jc w:val="both"/>
              <w:rPr>
                <w:rFonts w:eastAsia="Calibri" w:cs="Times New Roman"/>
                <w:b/>
                <w:noProof/>
                <w:sz w:val="22"/>
                <w:lang w:val="en-GB"/>
              </w:rPr>
            </w:pPr>
            <w:r w:rsidRPr="00BB5286">
              <w:rPr>
                <w:rFonts w:eastAsia="Calibri" w:cs="Times New Roman"/>
                <w:b/>
                <w:noProof/>
                <w:sz w:val="22"/>
                <w:lang w:val="en-GB"/>
              </w:rPr>
              <w:t xml:space="preserve">Indicators: </w:t>
            </w:r>
            <w:r w:rsidR="4CAE676C" w:rsidRPr="00BB5286">
              <w:rPr>
                <w:rFonts w:eastAsia="Calibri" w:cs="Times New Roman"/>
                <w:noProof/>
                <w:sz w:val="22"/>
                <w:lang w:val="en-GB"/>
              </w:rPr>
              <w:t>r</w:t>
            </w:r>
            <w:r w:rsidRPr="00BB5286">
              <w:rPr>
                <w:rFonts w:eastAsia="Calibri" w:cs="Times New Roman"/>
                <w:noProof/>
                <w:sz w:val="22"/>
                <w:lang w:val="en-GB"/>
              </w:rPr>
              <w:t>evise the methodology of calculation of beehives indicators (double counting)</w:t>
            </w:r>
            <w:r w:rsidR="004C5DD2" w:rsidRPr="00BB5286">
              <w:rPr>
                <w:rFonts w:eastAsia="Calibri" w:cs="Times New Roman"/>
                <w:noProof/>
                <w:sz w:val="22"/>
                <w:lang w:val="en-GB"/>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B5A46"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2F6C4" w14:textId="57A62940"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calculation method of aggregated values for the indicator O.37 (apiculture) was simplified. R.35 (Share of beehives supported by the CAP) covers only the support granted directly to beekeepers, allowing </w:t>
            </w:r>
            <w:r w:rsidR="00C803AC" w:rsidRPr="00BB5286">
              <w:rPr>
                <w:rFonts w:eastAsia="Calibri" w:cs="Times New Roman"/>
                <w:noProof/>
                <w:sz w:val="22"/>
                <w:lang w:val="en-GB"/>
              </w:rPr>
              <w:t xml:space="preserve">the </w:t>
            </w:r>
            <w:r w:rsidRPr="00BB5286">
              <w:rPr>
                <w:rFonts w:eastAsia="Calibri" w:cs="Times New Roman"/>
                <w:noProof/>
                <w:sz w:val="22"/>
                <w:lang w:val="en-GB"/>
              </w:rPr>
              <w:t>double counting of beehives</w:t>
            </w:r>
            <w:r w:rsidR="00C803AC" w:rsidRPr="00BB5286">
              <w:rPr>
                <w:rFonts w:eastAsia="Calibri" w:cs="Times New Roman"/>
                <w:noProof/>
                <w:sz w:val="22"/>
                <w:lang w:val="en-GB"/>
              </w:rPr>
              <w:t xml:space="preserve"> to be </w:t>
            </w:r>
            <w:r w:rsidR="00E20A36" w:rsidRPr="00BB5286">
              <w:rPr>
                <w:rFonts w:eastAsia="Calibri" w:cs="Times New Roman"/>
                <w:noProof/>
                <w:sz w:val="22"/>
                <w:lang w:val="en-GB"/>
              </w:rPr>
              <w:t>eliminated</w:t>
            </w:r>
            <w:r w:rsidRPr="00BB5286">
              <w:rPr>
                <w:rFonts w:eastAsia="Calibri" w:cs="Times New Roman"/>
                <w:noProof/>
                <w:sz w:val="22"/>
                <w:lang w:val="en-GB"/>
              </w:rPr>
              <w:t xml:space="preserve">. </w:t>
            </w:r>
          </w:p>
        </w:tc>
      </w:tr>
      <w:tr w:rsidR="003D4B2D" w:rsidRPr="00BB5286" w14:paraId="7F2103B8"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99A0E"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106</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7EFDD" w14:textId="2601C525"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Reporting:</w:t>
            </w:r>
            <w:r w:rsidRPr="00BB5286">
              <w:rPr>
                <w:rFonts w:eastAsia="Calibri" w:cs="Times New Roman"/>
                <w:noProof/>
                <w:sz w:val="22"/>
                <w:lang w:val="en-GB"/>
              </w:rPr>
              <w:t xml:space="preserve"> </w:t>
            </w:r>
            <w:r w:rsidR="43AC237C" w:rsidRPr="00BB5286">
              <w:rPr>
                <w:rFonts w:eastAsia="Calibri" w:cs="Times New Roman"/>
                <w:noProof/>
                <w:sz w:val="22"/>
                <w:lang w:val="en-GB"/>
              </w:rPr>
              <w:t>r</w:t>
            </w:r>
            <w:r w:rsidRPr="00BB5286">
              <w:rPr>
                <w:rFonts w:eastAsia="Calibri" w:cs="Times New Roman"/>
                <w:noProof/>
                <w:sz w:val="22"/>
                <w:lang w:val="en-GB"/>
              </w:rPr>
              <w:t>educe reporting requirements.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9D6F7"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 IE</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887DE" w14:textId="2CF4D5C3"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Commission is rolling out a wide range of actions to reduce reporting obligations in all policies, including the CAP. Lessons learned from the current period will feed </w:t>
            </w:r>
            <w:r w:rsidR="00E20A36" w:rsidRPr="00BB5286">
              <w:rPr>
                <w:rFonts w:eastAsia="Calibri" w:cs="Times New Roman"/>
                <w:noProof/>
                <w:sz w:val="22"/>
                <w:lang w:val="en-GB"/>
              </w:rPr>
              <w:t xml:space="preserve">into </w:t>
            </w:r>
            <w:r w:rsidRPr="00BB5286">
              <w:rPr>
                <w:rFonts w:eastAsia="Calibri" w:cs="Times New Roman"/>
                <w:noProof/>
                <w:sz w:val="22"/>
                <w:lang w:val="en-GB"/>
              </w:rPr>
              <w:t>the reflection on the post-2027</w:t>
            </w:r>
            <w:r w:rsidR="00E20A36" w:rsidRPr="00BB5286">
              <w:rPr>
                <w:rFonts w:eastAsia="Calibri" w:cs="Times New Roman"/>
                <w:noProof/>
                <w:sz w:val="22"/>
                <w:lang w:val="en-GB"/>
              </w:rPr>
              <w:t xml:space="preserve"> CAP</w:t>
            </w:r>
            <w:r w:rsidRPr="00BB5286">
              <w:rPr>
                <w:rFonts w:eastAsia="Calibri" w:cs="Times New Roman"/>
                <w:noProof/>
                <w:sz w:val="22"/>
                <w:lang w:val="en-GB"/>
              </w:rPr>
              <w:t>.</w:t>
            </w:r>
          </w:p>
        </w:tc>
      </w:tr>
      <w:tr w:rsidR="003D4B2D" w:rsidRPr="00BB5286" w14:paraId="56C7D107"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8B343"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107</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1F046" w14:textId="47B971F5"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Reporting:</w:t>
            </w:r>
            <w:r w:rsidRPr="00BB5286">
              <w:rPr>
                <w:rFonts w:eastAsia="Calibri" w:cs="Times New Roman"/>
                <w:noProof/>
                <w:sz w:val="22"/>
                <w:lang w:val="en-GB"/>
              </w:rPr>
              <w:t xml:space="preserve"> </w:t>
            </w:r>
            <w:r w:rsidR="7C645D56" w:rsidRPr="00BB5286">
              <w:rPr>
                <w:rFonts w:eastAsia="Calibri" w:cs="Times New Roman"/>
                <w:noProof/>
                <w:sz w:val="22"/>
                <w:lang w:val="en-GB"/>
              </w:rPr>
              <w:t>u</w:t>
            </w:r>
            <w:r w:rsidRPr="00BB5286">
              <w:rPr>
                <w:rFonts w:eastAsia="Calibri" w:cs="Times New Roman"/>
                <w:noProof/>
                <w:sz w:val="22"/>
                <w:lang w:val="en-GB"/>
              </w:rPr>
              <w:t>nify reporting obligations (types, deadlines) for monitoring and evaluation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B8C97"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D4AB5" w14:textId="30558EDC" w:rsidR="00874EF4" w:rsidRPr="00BB5286" w:rsidRDefault="00874EF4" w:rsidP="00874EF4">
            <w:pPr>
              <w:spacing w:after="60" w:line="259" w:lineRule="auto"/>
              <w:jc w:val="both"/>
              <w:rPr>
                <w:rFonts w:eastAsia="Calibri" w:cs="Times New Roman"/>
                <w:noProof/>
                <w:sz w:val="22"/>
                <w:highlight w:val="magenta"/>
                <w:lang w:val="en-GB"/>
              </w:rPr>
            </w:pPr>
            <w:r w:rsidRPr="00BB5286">
              <w:rPr>
                <w:rFonts w:eastAsia="Calibri" w:cs="Times New Roman"/>
                <w:noProof/>
                <w:sz w:val="22"/>
                <w:lang w:val="en-GB"/>
              </w:rPr>
              <w:t xml:space="preserve">Under </w:t>
            </w:r>
            <w:r w:rsidR="000B5973" w:rsidRPr="00BB5286">
              <w:rPr>
                <w:rFonts w:eastAsia="Calibri" w:cs="Times New Roman"/>
                <w:noProof/>
                <w:sz w:val="22"/>
                <w:lang w:val="en-GB"/>
              </w:rPr>
              <w:t xml:space="preserve">Commission </w:t>
            </w:r>
            <w:r w:rsidRPr="00BB5286">
              <w:rPr>
                <w:rFonts w:eastAsia="Calibri" w:cs="Times New Roman"/>
                <w:noProof/>
                <w:sz w:val="22"/>
                <w:lang w:val="en-GB"/>
              </w:rPr>
              <w:t>Implementing Regulation (EU) 2022/1475, dates and ways to report have been simplified as much as possible. Dates were adapted to Member States’ requests, while ensuring the availability of data for monitoring and evaluation.</w:t>
            </w:r>
          </w:p>
        </w:tc>
      </w:tr>
      <w:tr w:rsidR="003D4B2D" w:rsidRPr="00BB5286" w14:paraId="72A30710"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ADA20"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108</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EDCA3" w14:textId="4213D23E"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Performance reviews:</w:t>
            </w:r>
            <w:r w:rsidRPr="00BB5286">
              <w:rPr>
                <w:rFonts w:eastAsia="Calibri" w:cs="Times New Roman"/>
                <w:noProof/>
                <w:sz w:val="22"/>
                <w:lang w:val="en-GB"/>
              </w:rPr>
              <w:t xml:space="preserve"> </w:t>
            </w:r>
            <w:r w:rsidR="5A11F52B" w:rsidRPr="00BB5286">
              <w:rPr>
                <w:rFonts w:eastAsia="Calibri" w:cs="Times New Roman"/>
                <w:noProof/>
                <w:sz w:val="22"/>
                <w:lang w:val="en-GB"/>
              </w:rPr>
              <w:t>s</w:t>
            </w:r>
            <w:r w:rsidRPr="00BB5286">
              <w:rPr>
                <w:rFonts w:eastAsia="Calibri" w:cs="Times New Roman"/>
                <w:noProof/>
                <w:sz w:val="22"/>
                <w:lang w:val="en-GB"/>
              </w:rPr>
              <w:t xml:space="preserve">implify / reduce the biannual performance reviews (not two, but only one for 2026) or to align the timing with the mid-term review required for funds other than CAP </w:t>
            </w:r>
            <w:r w:rsidR="6562513A" w:rsidRPr="00BB5286">
              <w:rPr>
                <w:rFonts w:eastAsia="Calibri" w:cs="Times New Roman"/>
                <w:noProof/>
                <w:sz w:val="22"/>
                <w:lang w:val="en-GB"/>
              </w:rPr>
              <w:t>(</w:t>
            </w:r>
            <w:r w:rsidR="6562513A" w:rsidRPr="00BB5286">
              <w:rPr>
                <w:rFonts w:eastAsia="Calibri" w:cs="Times New Roman"/>
                <w:i/>
                <w:iCs/>
                <w:noProof/>
                <w:sz w:val="22"/>
                <w:lang w:val="en-GB"/>
              </w:rPr>
              <w:t>Art</w:t>
            </w:r>
            <w:r w:rsidR="503B79B0" w:rsidRPr="00BB5286">
              <w:rPr>
                <w:rFonts w:eastAsia="Calibri" w:cs="Times New Roman"/>
                <w:i/>
                <w:iCs/>
                <w:noProof/>
                <w:sz w:val="22"/>
                <w:lang w:val="en-GB"/>
              </w:rPr>
              <w:t>icle</w:t>
            </w:r>
            <w:r w:rsidRPr="00BB5286">
              <w:rPr>
                <w:rFonts w:eastAsia="Calibri" w:cs="Times New Roman"/>
                <w:i/>
                <w:noProof/>
                <w:sz w:val="22"/>
                <w:lang w:val="en-GB"/>
              </w:rPr>
              <w:t xml:space="preserve"> 135(1) </w:t>
            </w:r>
            <w:r w:rsidRPr="00BB5286">
              <w:rPr>
                <w:rFonts w:eastAsia="Calibri" w:cs="Times New Roman"/>
                <w:noProof/>
                <w:sz w:val="22"/>
                <w:lang w:val="en-GB"/>
              </w:rPr>
              <w:t xml:space="preserve">of </w:t>
            </w:r>
            <w:r w:rsidR="15CA1E57" w:rsidRPr="00BB5286">
              <w:rPr>
                <w:rFonts w:eastAsia="Calibri" w:cs="Times New Roman"/>
                <w:noProof/>
                <w:sz w:val="22"/>
                <w:lang w:val="en-GB"/>
              </w:rPr>
              <w:t xml:space="preserve">the CSP </w:t>
            </w:r>
            <w:r w:rsidRPr="00BB5286">
              <w:rPr>
                <w:rFonts w:eastAsia="Calibri" w:cs="Times New Roman"/>
                <w:noProof/>
                <w:sz w:val="22"/>
                <w:lang w:val="en-GB"/>
              </w:rPr>
              <w:t>Regulation)</w:t>
            </w:r>
            <w:r w:rsidR="004C5DD2" w:rsidRPr="00BB5286">
              <w:rPr>
                <w:rFonts w:eastAsia="Calibri" w:cs="Times New Roman"/>
                <w:noProof/>
                <w:sz w:val="22"/>
                <w:lang w:val="en-GB"/>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318FA" w14:textId="77777777" w:rsidR="00874EF4" w:rsidRPr="00BB5286" w:rsidRDefault="00874EF4" w:rsidP="00874EF4">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BG, CZ, EL, LT, HU, MT, RO, SI</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21EC4" w14:textId="1C6CAF82"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Two biennial performance reviews are planned for financial years 2024 and 2026, respectively. Limiting the number of performance reviews further to one review only would undermine the </w:t>
            </w:r>
            <w:r w:rsidR="006A5D3D" w:rsidRPr="00BB5286">
              <w:rPr>
                <w:rFonts w:eastAsia="Calibri" w:cs="Times New Roman"/>
                <w:noProof/>
                <w:sz w:val="22"/>
                <w:lang w:val="en-GB"/>
              </w:rPr>
              <w:t>n</w:t>
            </w:r>
            <w:r w:rsidRPr="00BB5286">
              <w:rPr>
                <w:rFonts w:eastAsia="Calibri" w:cs="Times New Roman"/>
                <w:noProof/>
                <w:sz w:val="22"/>
                <w:lang w:val="en-GB"/>
              </w:rPr>
              <w:t xml:space="preserve">ew delivery </w:t>
            </w:r>
            <w:r w:rsidR="006A5D3D" w:rsidRPr="00BB5286">
              <w:rPr>
                <w:rFonts w:eastAsia="Calibri" w:cs="Times New Roman"/>
                <w:noProof/>
                <w:sz w:val="22"/>
                <w:lang w:val="en-GB"/>
              </w:rPr>
              <w:t>m</w:t>
            </w:r>
            <w:r w:rsidRPr="00BB5286">
              <w:rPr>
                <w:rFonts w:eastAsia="Calibri" w:cs="Times New Roman"/>
                <w:noProof/>
                <w:sz w:val="22"/>
                <w:lang w:val="en-GB"/>
              </w:rPr>
              <w:t xml:space="preserve">odel of the CAP 2023-2027 and its performance-based approach. Lessons learned from the current period will feed </w:t>
            </w:r>
            <w:r w:rsidR="00EE7078" w:rsidRPr="00BB5286">
              <w:rPr>
                <w:rFonts w:eastAsia="Calibri" w:cs="Times New Roman"/>
                <w:noProof/>
                <w:sz w:val="22"/>
                <w:lang w:val="en-GB"/>
              </w:rPr>
              <w:t xml:space="preserve">into </w:t>
            </w:r>
            <w:r w:rsidRPr="00BB5286">
              <w:rPr>
                <w:rFonts w:eastAsia="Calibri" w:cs="Times New Roman"/>
                <w:noProof/>
                <w:sz w:val="22"/>
                <w:lang w:val="en-GB"/>
              </w:rPr>
              <w:t>the reflection on the post-2027</w:t>
            </w:r>
            <w:r w:rsidR="00A70220" w:rsidRPr="00BB5286">
              <w:rPr>
                <w:rFonts w:eastAsia="Calibri" w:cs="Times New Roman"/>
                <w:noProof/>
                <w:sz w:val="22"/>
                <w:lang w:val="en-GB"/>
              </w:rPr>
              <w:t xml:space="preserve"> CAP</w:t>
            </w:r>
            <w:r w:rsidRPr="00BB5286">
              <w:rPr>
                <w:rFonts w:eastAsia="Calibri" w:cs="Times New Roman"/>
                <w:noProof/>
                <w:sz w:val="22"/>
                <w:lang w:val="en-GB"/>
              </w:rPr>
              <w:t>.</w:t>
            </w:r>
          </w:p>
        </w:tc>
      </w:tr>
      <w:tr w:rsidR="003D4B2D" w:rsidRPr="00BB5286" w14:paraId="02548D94"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2E40D"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109</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3AEA6" w14:textId="74B78733"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Targets/deviation:</w:t>
            </w:r>
            <w:r w:rsidRPr="00BB5286">
              <w:rPr>
                <w:rFonts w:eastAsia="Calibri" w:cs="Times New Roman"/>
                <w:noProof/>
                <w:sz w:val="22"/>
                <w:lang w:val="en-GB"/>
              </w:rPr>
              <w:t xml:space="preserve"> </w:t>
            </w:r>
            <w:r w:rsidR="60B92DCD" w:rsidRPr="00BB5286">
              <w:rPr>
                <w:rFonts w:eastAsia="Calibri" w:cs="Times New Roman"/>
                <w:noProof/>
                <w:sz w:val="22"/>
                <w:lang w:val="en-GB"/>
              </w:rPr>
              <w:t>c</w:t>
            </w:r>
            <w:r w:rsidRPr="00BB5286">
              <w:rPr>
                <w:rFonts w:eastAsia="Calibri" w:cs="Times New Roman"/>
                <w:noProof/>
                <w:sz w:val="22"/>
                <w:lang w:val="en-GB"/>
              </w:rPr>
              <w:t>all to change the acceptable rate of deviation from the milestones from 25% to 40% for 2026</w:t>
            </w:r>
            <w:r w:rsidRPr="00BB5286">
              <w:rPr>
                <w:rFonts w:eastAsia="Calibri" w:cs="Times New Roman"/>
                <w:i/>
                <w:noProof/>
                <w:sz w:val="22"/>
                <w:lang w:val="en-GB"/>
              </w:rPr>
              <w:t xml:space="preserve"> </w:t>
            </w:r>
            <w:r w:rsidRPr="00BB5286">
              <w:rPr>
                <w:rFonts w:eastAsia="Calibri" w:cs="Times New Roman"/>
                <w:noProof/>
                <w:sz w:val="22"/>
                <w:lang w:val="en-GB"/>
              </w:rPr>
              <w:t>(</w:t>
            </w:r>
            <w:r w:rsidR="6562513A" w:rsidRPr="00BB5286">
              <w:rPr>
                <w:rFonts w:eastAsia="Calibri" w:cs="Times New Roman"/>
                <w:i/>
                <w:iCs/>
                <w:noProof/>
                <w:sz w:val="22"/>
                <w:lang w:val="en-GB"/>
              </w:rPr>
              <w:t>Art</w:t>
            </w:r>
            <w:r w:rsidR="1550DB00" w:rsidRPr="00BB5286">
              <w:rPr>
                <w:rFonts w:eastAsia="Calibri" w:cs="Times New Roman"/>
                <w:i/>
                <w:iCs/>
                <w:noProof/>
                <w:sz w:val="22"/>
                <w:lang w:val="en-GB"/>
              </w:rPr>
              <w:t>icle</w:t>
            </w:r>
            <w:r w:rsidRPr="00BB5286">
              <w:rPr>
                <w:rFonts w:eastAsia="Calibri" w:cs="Times New Roman"/>
                <w:i/>
                <w:noProof/>
                <w:sz w:val="22"/>
                <w:lang w:val="en-GB"/>
              </w:rPr>
              <w:t xml:space="preserve"> 135(2) </w:t>
            </w:r>
            <w:r w:rsidRPr="00BB5286">
              <w:rPr>
                <w:rFonts w:eastAsia="Calibri" w:cs="Times New Roman"/>
                <w:noProof/>
                <w:sz w:val="22"/>
                <w:lang w:val="en-GB"/>
              </w:rPr>
              <w:t xml:space="preserve">of </w:t>
            </w:r>
            <w:r w:rsidR="6FC6EAA0" w:rsidRPr="00BB5286">
              <w:rPr>
                <w:rFonts w:eastAsia="Calibri" w:cs="Times New Roman"/>
                <w:noProof/>
                <w:sz w:val="22"/>
                <w:lang w:val="en-GB"/>
              </w:rPr>
              <w:t xml:space="preserve">the CSP </w:t>
            </w:r>
            <w:r w:rsidRPr="00BB5286">
              <w:rPr>
                <w:rFonts w:eastAsia="Calibri" w:cs="Times New Roman"/>
                <w:noProof/>
                <w:sz w:val="22"/>
                <w:lang w:val="en-GB"/>
              </w:rPr>
              <w:t>Regulation)</w:t>
            </w:r>
            <w:r w:rsidR="004C5DD2" w:rsidRPr="00BB5286">
              <w:rPr>
                <w:rFonts w:eastAsia="Calibri" w:cs="Times New Roman"/>
                <w:noProof/>
                <w:sz w:val="22"/>
                <w:lang w:val="en-GB"/>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FEDBE" w14:textId="77777777" w:rsidR="00874EF4" w:rsidRPr="00BB5286" w:rsidRDefault="00874EF4" w:rsidP="00874EF4">
            <w:pPr>
              <w:spacing w:after="60" w:line="259" w:lineRule="auto"/>
              <w:jc w:val="center"/>
              <w:rPr>
                <w:rFonts w:eastAsia="MS Gothic" w:cs="Times New Roman"/>
                <w:b/>
                <w:bCs/>
                <w:noProof/>
                <w:color w:val="0033CC"/>
                <w:sz w:val="22"/>
                <w:lang w:val="es-CU"/>
              </w:rPr>
            </w:pPr>
            <w:r w:rsidRPr="00BB5286">
              <w:rPr>
                <w:rFonts w:eastAsia="MS Gothic" w:cs="Times New Roman"/>
                <w:b/>
                <w:noProof/>
                <w:color w:val="0033CC"/>
                <w:sz w:val="22"/>
                <w:lang w:val="es-CU"/>
              </w:rPr>
              <w:t>CZ, BG, EL,</w:t>
            </w:r>
          </w:p>
          <w:p w14:paraId="5B609140" w14:textId="77777777" w:rsidR="00874EF4" w:rsidRPr="00BB5286" w:rsidRDefault="00874EF4" w:rsidP="00874EF4">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SI, HU, RO</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12E93" w14:textId="0A5932D4"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456A5A">
              <w:rPr>
                <w:rFonts w:eastAsia="Calibri" w:cs="Times New Roman"/>
                <w:noProof/>
                <w:sz w:val="22"/>
                <w:lang w:val="en-GB"/>
              </w:rPr>
              <w:t xml:space="preserve"> </w:t>
            </w:r>
            <w:r w:rsidRPr="00BB5286">
              <w:rPr>
                <w:rFonts w:eastAsia="Calibri" w:cs="Times New Roman"/>
                <w:noProof/>
                <w:sz w:val="22"/>
                <w:lang w:val="en-GB"/>
              </w:rPr>
              <w:t xml:space="preserve">was not taken up. Increasing the shortfall rates referred to in </w:t>
            </w:r>
            <w:r w:rsidRPr="00BB5286">
              <w:rPr>
                <w:rFonts w:eastAsia="Calibri" w:cs="Times New Roman"/>
                <w:i/>
                <w:noProof/>
                <w:sz w:val="22"/>
                <w:lang w:val="en-GB"/>
              </w:rPr>
              <w:t>Article 135(2)</w:t>
            </w:r>
            <w:r w:rsidRPr="00BB5286">
              <w:rPr>
                <w:rFonts w:eastAsia="Calibri" w:cs="Times New Roman"/>
                <w:noProof/>
                <w:sz w:val="22"/>
                <w:lang w:val="en-GB"/>
              </w:rPr>
              <w:t xml:space="preserve"> of </w:t>
            </w:r>
            <w:r w:rsidR="162C477C" w:rsidRPr="00BB5286">
              <w:rPr>
                <w:rFonts w:eastAsia="Calibri" w:cs="Times New Roman"/>
                <w:noProof/>
                <w:sz w:val="22"/>
                <w:lang w:val="en-GB"/>
              </w:rPr>
              <w:t xml:space="preserve">the CSP </w:t>
            </w:r>
            <w:r w:rsidRPr="00BB5286">
              <w:rPr>
                <w:rFonts w:eastAsia="Calibri" w:cs="Times New Roman"/>
                <w:noProof/>
                <w:sz w:val="22"/>
                <w:lang w:val="en-GB"/>
              </w:rPr>
              <w:t>Regulation</w:t>
            </w:r>
            <w:r w:rsidR="00AF1026" w:rsidRPr="00BB5286">
              <w:rPr>
                <w:rFonts w:eastAsia="Calibri" w:cs="Times New Roman"/>
                <w:noProof/>
                <w:sz w:val="22"/>
                <w:lang w:val="en-GB"/>
              </w:rPr>
              <w:t xml:space="preserve"> </w:t>
            </w:r>
            <w:r w:rsidRPr="00BB5286">
              <w:rPr>
                <w:rFonts w:eastAsia="Calibri" w:cs="Times New Roman"/>
                <w:noProof/>
                <w:sz w:val="22"/>
                <w:lang w:val="en-GB"/>
              </w:rPr>
              <w:t xml:space="preserve">would undermine the </w:t>
            </w:r>
            <w:r w:rsidR="006A5D3D" w:rsidRPr="00BB5286">
              <w:rPr>
                <w:rFonts w:eastAsia="Calibri" w:cs="Times New Roman"/>
                <w:noProof/>
                <w:sz w:val="22"/>
                <w:lang w:val="en-GB"/>
              </w:rPr>
              <w:t>n</w:t>
            </w:r>
            <w:r w:rsidRPr="00BB5286">
              <w:rPr>
                <w:rFonts w:eastAsia="Calibri" w:cs="Times New Roman"/>
                <w:noProof/>
                <w:sz w:val="22"/>
                <w:lang w:val="en-GB"/>
              </w:rPr>
              <w:t xml:space="preserve">ew </w:t>
            </w:r>
            <w:r w:rsidR="006A5D3D" w:rsidRPr="00BB5286">
              <w:rPr>
                <w:rFonts w:eastAsia="Calibri" w:cs="Times New Roman"/>
                <w:noProof/>
                <w:sz w:val="22"/>
                <w:lang w:val="en-GB"/>
              </w:rPr>
              <w:t>d</w:t>
            </w:r>
            <w:r w:rsidRPr="00BB5286">
              <w:rPr>
                <w:rFonts w:eastAsia="Calibri" w:cs="Times New Roman"/>
                <w:noProof/>
                <w:sz w:val="22"/>
                <w:lang w:val="en-GB"/>
              </w:rPr>
              <w:t xml:space="preserve">elivery </w:t>
            </w:r>
            <w:r w:rsidR="006A5D3D" w:rsidRPr="00BB5286">
              <w:rPr>
                <w:rFonts w:eastAsia="Calibri" w:cs="Times New Roman"/>
                <w:noProof/>
                <w:sz w:val="22"/>
                <w:lang w:val="en-GB"/>
              </w:rPr>
              <w:t>m</w:t>
            </w:r>
            <w:r w:rsidRPr="00BB5286">
              <w:rPr>
                <w:rFonts w:eastAsia="Calibri" w:cs="Times New Roman"/>
                <w:noProof/>
                <w:sz w:val="22"/>
                <w:lang w:val="en-GB"/>
              </w:rPr>
              <w:t>odel of the CAP 2023-2027 and its performance-based approach.</w:t>
            </w:r>
          </w:p>
        </w:tc>
      </w:tr>
      <w:tr w:rsidR="003D4B2D" w:rsidRPr="00BB5286" w14:paraId="692D5226"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827E2"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lastRenderedPageBreak/>
              <w:t>110</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EB6AA" w14:textId="17FA49C4"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APR:</w:t>
            </w:r>
            <w:r w:rsidRPr="00BB5286">
              <w:rPr>
                <w:rFonts w:eastAsia="Calibri" w:cs="Times New Roman"/>
                <w:noProof/>
                <w:sz w:val="22"/>
                <w:lang w:val="en-GB"/>
              </w:rPr>
              <w:t xml:space="preserve"> </w:t>
            </w:r>
            <w:r w:rsidR="1E6B750F" w:rsidRPr="00BB5286">
              <w:rPr>
                <w:rFonts w:eastAsia="Calibri" w:cs="Times New Roman"/>
                <w:noProof/>
                <w:sz w:val="22"/>
                <w:lang w:val="en-GB"/>
              </w:rPr>
              <w:t>s</w:t>
            </w:r>
            <w:r w:rsidRPr="00BB5286">
              <w:rPr>
                <w:rFonts w:eastAsia="Calibri" w:cs="Times New Roman"/>
                <w:noProof/>
                <w:sz w:val="22"/>
                <w:lang w:val="en-GB"/>
              </w:rPr>
              <w:t>implify the process and/or content of the</w:t>
            </w:r>
            <w:r w:rsidR="00424468" w:rsidRPr="00BB5286">
              <w:rPr>
                <w:rFonts w:eastAsia="Calibri" w:cs="Times New Roman"/>
                <w:noProof/>
                <w:sz w:val="22"/>
                <w:lang w:val="en-GB"/>
              </w:rPr>
              <w:t xml:space="preserve"> </w:t>
            </w:r>
            <w:r w:rsidR="00EE7078" w:rsidRPr="00BB5286">
              <w:rPr>
                <w:rFonts w:eastAsia="Calibri" w:cs="Times New Roman"/>
                <w:noProof/>
                <w:sz w:val="22"/>
                <w:lang w:val="en-GB"/>
              </w:rPr>
              <w:t>a</w:t>
            </w:r>
            <w:r w:rsidRPr="00BB5286">
              <w:rPr>
                <w:rFonts w:eastAsia="Calibri" w:cs="Times New Roman"/>
                <w:noProof/>
                <w:sz w:val="22"/>
                <w:lang w:val="en-GB"/>
              </w:rPr>
              <w:t xml:space="preserve">nnual </w:t>
            </w:r>
            <w:r w:rsidR="00EE7078" w:rsidRPr="00BB5286">
              <w:rPr>
                <w:rFonts w:eastAsia="Calibri" w:cs="Times New Roman"/>
                <w:noProof/>
                <w:sz w:val="22"/>
                <w:lang w:val="en-GB"/>
              </w:rPr>
              <w:t>p</w:t>
            </w:r>
            <w:r w:rsidRPr="00BB5286">
              <w:rPr>
                <w:rFonts w:eastAsia="Calibri" w:cs="Times New Roman"/>
                <w:noProof/>
                <w:sz w:val="22"/>
                <w:lang w:val="en-GB"/>
              </w:rPr>
              <w:t xml:space="preserve">erformance </w:t>
            </w:r>
            <w:r w:rsidR="00EE7078" w:rsidRPr="00BB5286">
              <w:rPr>
                <w:rFonts w:eastAsia="Calibri" w:cs="Times New Roman"/>
                <w:noProof/>
                <w:sz w:val="22"/>
                <w:lang w:val="en-GB"/>
              </w:rPr>
              <w:t>r</w:t>
            </w:r>
            <w:r w:rsidRPr="00BB5286">
              <w:rPr>
                <w:rFonts w:eastAsia="Calibri" w:cs="Times New Roman"/>
                <w:noProof/>
                <w:sz w:val="22"/>
                <w:lang w:val="en-GB"/>
              </w:rPr>
              <w:t>eport</w:t>
            </w:r>
            <w:r w:rsidR="68D660A4" w:rsidRPr="00BB5286">
              <w:rPr>
                <w:rFonts w:eastAsia="Calibri" w:cs="Times New Roman"/>
                <w:noProof/>
                <w:sz w:val="22"/>
                <w:lang w:val="en-GB"/>
              </w:rPr>
              <w:t xml:space="preserve"> (APR)</w:t>
            </w:r>
            <w:r w:rsidR="6562513A" w:rsidRPr="00BB5286">
              <w:rPr>
                <w:rFonts w:eastAsia="Calibri" w:cs="Times New Roman"/>
                <w:noProof/>
                <w:sz w:val="22"/>
                <w:lang w:val="en-GB"/>
              </w:rPr>
              <w:t xml:space="preserve"> (</w:t>
            </w:r>
            <w:r w:rsidR="6562513A" w:rsidRPr="00BB5286">
              <w:rPr>
                <w:rFonts w:eastAsia="Calibri" w:cs="Times New Roman"/>
                <w:i/>
                <w:iCs/>
                <w:noProof/>
                <w:sz w:val="22"/>
                <w:lang w:val="en-GB"/>
              </w:rPr>
              <w:t>Art</w:t>
            </w:r>
            <w:r w:rsidR="7DBBF6FC" w:rsidRPr="00BB5286">
              <w:rPr>
                <w:rFonts w:eastAsia="Calibri" w:cs="Times New Roman"/>
                <w:i/>
                <w:iCs/>
                <w:noProof/>
                <w:sz w:val="22"/>
                <w:lang w:val="en-GB"/>
              </w:rPr>
              <w:t>icle</w:t>
            </w:r>
            <w:r w:rsidRPr="00BB5286">
              <w:rPr>
                <w:rFonts w:eastAsia="Calibri" w:cs="Times New Roman"/>
                <w:i/>
                <w:noProof/>
                <w:sz w:val="22"/>
                <w:lang w:val="en-GB"/>
              </w:rPr>
              <w:t xml:space="preserve"> 54</w:t>
            </w:r>
            <w:r w:rsidRPr="00BB5286">
              <w:rPr>
                <w:rFonts w:eastAsia="Calibri" w:cs="Times New Roman"/>
                <w:noProof/>
                <w:sz w:val="22"/>
                <w:lang w:val="en-GB"/>
              </w:rPr>
              <w:t xml:space="preserve"> of </w:t>
            </w:r>
            <w:r w:rsidR="7DDA5EAD" w:rsidRPr="00BB5286">
              <w:rPr>
                <w:rFonts w:eastAsia="Calibri" w:cs="Times New Roman"/>
                <w:noProof/>
                <w:sz w:val="22"/>
                <w:lang w:val="en-GB"/>
              </w:rPr>
              <w:t>the Horizontal</w:t>
            </w:r>
            <w:r w:rsidR="00AF1026" w:rsidRPr="00BB5286">
              <w:rPr>
                <w:rFonts w:eastAsia="Calibri" w:cs="Times New Roman"/>
                <w:noProof/>
                <w:sz w:val="22"/>
                <w:lang w:val="en-GB"/>
              </w:rPr>
              <w:t xml:space="preserve"> </w:t>
            </w:r>
            <w:r w:rsidRPr="00BB5286">
              <w:rPr>
                <w:rFonts w:eastAsia="Calibri" w:cs="Times New Roman"/>
                <w:noProof/>
                <w:sz w:val="22"/>
                <w:lang w:val="en-GB"/>
              </w:rPr>
              <w:t>Regulation)</w:t>
            </w:r>
            <w:r w:rsidR="004C5DD2" w:rsidRPr="00BB5286">
              <w:rPr>
                <w:rFonts w:eastAsia="Calibri" w:cs="Times New Roman"/>
                <w:noProof/>
                <w:sz w:val="22"/>
                <w:lang w:val="en-GB"/>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24CA6"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AT, CY, SI</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37287" w14:textId="563A606F"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Commission </w:t>
            </w:r>
            <w:r w:rsidR="005A69E6" w:rsidRPr="00BB5286">
              <w:rPr>
                <w:rFonts w:eastAsia="Calibri" w:cs="Times New Roman"/>
                <w:noProof/>
                <w:sz w:val="22"/>
                <w:lang w:val="en-GB"/>
              </w:rPr>
              <w:t>has</w:t>
            </w:r>
            <w:r w:rsidRPr="00BB5286">
              <w:rPr>
                <w:rFonts w:eastAsia="Calibri" w:cs="Times New Roman"/>
                <w:noProof/>
                <w:sz w:val="22"/>
                <w:lang w:val="en-GB"/>
              </w:rPr>
              <w:t xml:space="preserve"> review</w:t>
            </w:r>
            <w:r w:rsidR="005A69E6" w:rsidRPr="00BB5286">
              <w:rPr>
                <w:rFonts w:eastAsia="Calibri" w:cs="Times New Roman"/>
                <w:noProof/>
                <w:sz w:val="22"/>
                <w:lang w:val="en-GB"/>
              </w:rPr>
              <w:t>ed</w:t>
            </w:r>
            <w:r w:rsidRPr="00BB5286">
              <w:rPr>
                <w:rFonts w:eastAsia="Calibri" w:cs="Times New Roman"/>
                <w:noProof/>
                <w:sz w:val="22"/>
                <w:lang w:val="en-GB"/>
              </w:rPr>
              <w:t xml:space="preserve"> the APR template and the relevant parts of the IT module (SFC 2021) used for the submission of the </w:t>
            </w:r>
            <w:r w:rsidR="669C3263" w:rsidRPr="00BB5286">
              <w:rPr>
                <w:rFonts w:eastAsia="Calibri" w:cs="Times New Roman"/>
                <w:noProof/>
                <w:sz w:val="22"/>
                <w:lang w:val="en-GB"/>
              </w:rPr>
              <w:t>APRs</w:t>
            </w:r>
            <w:r w:rsidR="6562513A" w:rsidRPr="00BB5286">
              <w:rPr>
                <w:rFonts w:eastAsia="Calibri" w:cs="Times New Roman"/>
                <w:noProof/>
                <w:sz w:val="22"/>
                <w:lang w:val="en-GB"/>
              </w:rPr>
              <w:t>.</w:t>
            </w:r>
            <w:r w:rsidRPr="00BB5286">
              <w:rPr>
                <w:rFonts w:eastAsia="Calibri" w:cs="Times New Roman"/>
                <w:noProof/>
                <w:sz w:val="22"/>
                <w:lang w:val="en-GB"/>
              </w:rPr>
              <w:t xml:space="preserve"> </w:t>
            </w:r>
            <w:r w:rsidR="005A69E6" w:rsidRPr="00BB5286">
              <w:rPr>
                <w:rFonts w:eastAsia="Calibri" w:cs="Times New Roman"/>
                <w:noProof/>
                <w:sz w:val="22"/>
                <w:lang w:val="en-GB"/>
              </w:rPr>
              <w:t xml:space="preserve">Most </w:t>
            </w:r>
            <w:r w:rsidRPr="00BB5286">
              <w:rPr>
                <w:rFonts w:eastAsia="Calibri" w:cs="Times New Roman"/>
                <w:noProof/>
                <w:sz w:val="22"/>
                <w:lang w:val="en-GB"/>
              </w:rPr>
              <w:t xml:space="preserve">changes </w:t>
            </w:r>
            <w:r w:rsidR="00E369EE" w:rsidRPr="00BB5286">
              <w:rPr>
                <w:rFonts w:eastAsia="Calibri" w:cs="Times New Roman"/>
                <w:noProof/>
                <w:sz w:val="22"/>
                <w:lang w:val="en-GB"/>
              </w:rPr>
              <w:t>were</w:t>
            </w:r>
            <w:r w:rsidRPr="00BB5286">
              <w:rPr>
                <w:rFonts w:eastAsia="Calibri" w:cs="Times New Roman"/>
                <w:noProof/>
                <w:sz w:val="22"/>
                <w:lang w:val="en-GB"/>
              </w:rPr>
              <w:t xml:space="preserve"> implemented in SFC2021</w:t>
            </w:r>
            <w:r w:rsidR="005A69E6" w:rsidRPr="00BB5286">
              <w:rPr>
                <w:rFonts w:eastAsia="Calibri" w:cs="Times New Roman"/>
                <w:noProof/>
                <w:sz w:val="22"/>
                <w:lang w:val="en-GB"/>
              </w:rPr>
              <w:t xml:space="preserve"> at the end of July 2024</w:t>
            </w:r>
            <w:r w:rsidRPr="00BB5286">
              <w:rPr>
                <w:rFonts w:eastAsia="Calibri" w:cs="Times New Roman"/>
                <w:noProof/>
                <w:sz w:val="22"/>
                <w:lang w:val="en-GB"/>
              </w:rPr>
              <w:t xml:space="preserve"> for reporting for financial year 2024</w:t>
            </w:r>
            <w:r w:rsidR="00EE7078" w:rsidRPr="00BB5286">
              <w:rPr>
                <w:rFonts w:eastAsia="Calibri" w:cs="Times New Roman"/>
                <w:noProof/>
                <w:sz w:val="22"/>
                <w:lang w:val="en-GB"/>
              </w:rPr>
              <w:t>,</w:t>
            </w:r>
            <w:r w:rsidRPr="00BB5286">
              <w:rPr>
                <w:rFonts w:eastAsia="Calibri" w:cs="Times New Roman"/>
                <w:noProof/>
                <w:sz w:val="22"/>
                <w:lang w:val="en-GB"/>
              </w:rPr>
              <w:t xml:space="preserve"> to be submitted in 2025</w:t>
            </w:r>
            <w:r w:rsidR="00E369EE" w:rsidRPr="00BB5286">
              <w:rPr>
                <w:rFonts w:eastAsia="Calibri" w:cs="Times New Roman"/>
                <w:noProof/>
                <w:sz w:val="22"/>
                <w:lang w:val="en-GB"/>
              </w:rPr>
              <w:t>, with</w:t>
            </w:r>
            <w:r w:rsidR="005A69E6" w:rsidRPr="00FF77A3">
              <w:rPr>
                <w:noProof/>
                <w:sz w:val="22"/>
                <w:szCs w:val="20"/>
                <w:lang w:val="en-GB"/>
              </w:rPr>
              <w:t xml:space="preserve"> </w:t>
            </w:r>
            <w:r w:rsidR="00E369EE" w:rsidRPr="00BB5286">
              <w:rPr>
                <w:rFonts w:eastAsia="Calibri" w:cs="Times New Roman"/>
                <w:noProof/>
                <w:sz w:val="22"/>
                <w:lang w:val="en-GB"/>
              </w:rPr>
              <w:t>t</w:t>
            </w:r>
            <w:r w:rsidR="005A69E6" w:rsidRPr="00BB5286">
              <w:rPr>
                <w:rFonts w:eastAsia="Calibri" w:cs="Times New Roman"/>
                <w:noProof/>
                <w:sz w:val="22"/>
                <w:lang w:val="en-GB"/>
              </w:rPr>
              <w:t xml:space="preserve">he remaining changes </w:t>
            </w:r>
            <w:r w:rsidR="00E369EE" w:rsidRPr="00BB5286">
              <w:rPr>
                <w:rFonts w:eastAsia="Calibri" w:cs="Times New Roman"/>
                <w:noProof/>
                <w:sz w:val="22"/>
                <w:lang w:val="en-GB"/>
              </w:rPr>
              <w:t xml:space="preserve">scheduled for </w:t>
            </w:r>
            <w:r w:rsidR="005A69E6" w:rsidRPr="00BB5286">
              <w:rPr>
                <w:rFonts w:eastAsia="Calibri" w:cs="Times New Roman"/>
                <w:noProof/>
                <w:sz w:val="22"/>
                <w:lang w:val="en-GB"/>
              </w:rPr>
              <w:t>September 2024.</w:t>
            </w:r>
          </w:p>
        </w:tc>
      </w:tr>
      <w:tr w:rsidR="003D4B2D" w:rsidRPr="00BB5286" w14:paraId="6ECD3CF4"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B562FC"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111</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31597" w14:textId="65415BD6" w:rsidR="00874EF4" w:rsidRPr="00BB5286" w:rsidRDefault="00874EF4" w:rsidP="00874EF4">
            <w:pPr>
              <w:spacing w:after="60" w:line="259" w:lineRule="auto"/>
              <w:jc w:val="both"/>
              <w:rPr>
                <w:rFonts w:eastAsia="Calibri" w:cs="Times New Roman"/>
                <w:i/>
                <w:noProof/>
                <w:sz w:val="22"/>
                <w:lang w:val="en-GB"/>
              </w:rPr>
            </w:pPr>
            <w:r w:rsidRPr="00BB5286">
              <w:rPr>
                <w:rFonts w:eastAsia="Calibri" w:cs="Times New Roman"/>
                <w:b/>
                <w:noProof/>
                <w:sz w:val="22"/>
                <w:lang w:val="en-GB"/>
              </w:rPr>
              <w:t>APR deadline:</w:t>
            </w:r>
            <w:r w:rsidRPr="00BB5286">
              <w:rPr>
                <w:rFonts w:eastAsia="Calibri" w:cs="Times New Roman"/>
                <w:noProof/>
                <w:sz w:val="22"/>
                <w:lang w:val="en-GB"/>
              </w:rPr>
              <w:t xml:space="preserve"> </w:t>
            </w:r>
            <w:r w:rsidR="0DA65E63" w:rsidRPr="00BB5286">
              <w:rPr>
                <w:rFonts w:eastAsia="Calibri" w:cs="Times New Roman"/>
                <w:noProof/>
                <w:sz w:val="22"/>
                <w:lang w:val="en-GB"/>
              </w:rPr>
              <w:t>p</w:t>
            </w:r>
            <w:r w:rsidRPr="00BB5286">
              <w:rPr>
                <w:rFonts w:eastAsia="Calibri" w:cs="Times New Roman"/>
                <w:noProof/>
                <w:sz w:val="22"/>
                <w:lang w:val="en-GB"/>
              </w:rPr>
              <w:t xml:space="preserve">ostpone the 15 February deadline for submitting </w:t>
            </w:r>
            <w:r w:rsidR="00EE7078" w:rsidRPr="00BB5286">
              <w:rPr>
                <w:rFonts w:eastAsia="Calibri" w:cs="Times New Roman"/>
                <w:noProof/>
                <w:sz w:val="22"/>
                <w:lang w:val="en-GB"/>
              </w:rPr>
              <w:t xml:space="preserve">the </w:t>
            </w:r>
            <w:r w:rsidRPr="00BB5286">
              <w:rPr>
                <w:rFonts w:eastAsia="Calibri" w:cs="Times New Roman"/>
                <w:noProof/>
                <w:sz w:val="22"/>
                <w:lang w:val="en-GB"/>
              </w:rPr>
              <w:t>annual performance report to allow the necessary collection and processing of data</w:t>
            </w:r>
            <w:r w:rsidR="6562513A" w:rsidRPr="00BB5286">
              <w:rPr>
                <w:rFonts w:eastAsia="Calibri" w:cs="Times New Roman"/>
                <w:noProof/>
                <w:sz w:val="22"/>
                <w:lang w:val="en-GB"/>
              </w:rPr>
              <w:t xml:space="preserve"> </w:t>
            </w:r>
            <w:r w:rsidR="178EB56C" w:rsidRPr="00BB5286">
              <w:rPr>
                <w:rFonts w:eastAsia="Calibri" w:cs="Times New Roman"/>
                <w:noProof/>
                <w:sz w:val="22"/>
                <w:lang w:val="en-GB"/>
              </w:rPr>
              <w:t>(</w:t>
            </w:r>
            <w:r w:rsidR="6562513A" w:rsidRPr="00BB5286">
              <w:rPr>
                <w:rFonts w:eastAsia="Calibri" w:cs="Times New Roman"/>
                <w:i/>
                <w:iCs/>
                <w:noProof/>
                <w:sz w:val="22"/>
                <w:lang w:val="en-GB"/>
              </w:rPr>
              <w:t>Art</w:t>
            </w:r>
            <w:r w:rsidR="61E9EEBE" w:rsidRPr="00BB5286">
              <w:rPr>
                <w:rFonts w:eastAsia="Calibri" w:cs="Times New Roman"/>
                <w:i/>
                <w:iCs/>
                <w:noProof/>
                <w:sz w:val="22"/>
                <w:lang w:val="en-GB"/>
              </w:rPr>
              <w:t>icle</w:t>
            </w:r>
            <w:r w:rsidRPr="00BB5286">
              <w:rPr>
                <w:rFonts w:eastAsia="Calibri" w:cs="Times New Roman"/>
                <w:i/>
                <w:noProof/>
                <w:sz w:val="22"/>
                <w:lang w:val="en-GB"/>
              </w:rPr>
              <w:t xml:space="preserve"> 9(3)</w:t>
            </w:r>
            <w:r w:rsidRPr="00BB5286">
              <w:rPr>
                <w:rFonts w:eastAsia="Calibri" w:cs="Times New Roman"/>
                <w:noProof/>
                <w:sz w:val="22"/>
                <w:lang w:val="en-GB"/>
              </w:rPr>
              <w:t xml:space="preserve"> of </w:t>
            </w:r>
            <w:r w:rsidR="6B9863D5" w:rsidRPr="00BB5286">
              <w:rPr>
                <w:rFonts w:eastAsia="Calibri" w:cs="Times New Roman"/>
                <w:noProof/>
                <w:sz w:val="22"/>
                <w:lang w:val="en-GB"/>
              </w:rPr>
              <w:t xml:space="preserve">the Horizontal </w:t>
            </w:r>
            <w:r w:rsidRPr="00BB5286">
              <w:rPr>
                <w:rFonts w:eastAsia="Calibri" w:cs="Times New Roman"/>
                <w:noProof/>
                <w:sz w:val="22"/>
                <w:lang w:val="en-GB"/>
              </w:rPr>
              <w:t>Regulation</w:t>
            </w:r>
            <w:r w:rsidR="0BAAF661" w:rsidRPr="00BB5286">
              <w:rPr>
                <w:rFonts w:eastAsia="Calibri" w:cs="Times New Roman"/>
                <w:noProof/>
                <w:sz w:val="22"/>
                <w:lang w:val="en-GB"/>
              </w:rPr>
              <w:t>)</w:t>
            </w:r>
            <w:r w:rsidR="00860634" w:rsidRPr="00BB5286">
              <w:rPr>
                <w:rFonts w:eastAsia="Calibri" w:cs="Times New Roman"/>
                <w:noProof/>
                <w:sz w:val="22"/>
                <w:lang w:val="en-GB"/>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03CF6" w14:textId="77777777" w:rsidR="00874EF4" w:rsidRPr="00BB5286" w:rsidRDefault="00874EF4" w:rsidP="00874EF4">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CZ, DK, EL, ES, SI</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F93FD" w14:textId="4B0F7537"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The </w:t>
            </w:r>
            <w:r w:rsidR="00AF7B1A" w:rsidRPr="00BB5286">
              <w:rPr>
                <w:rFonts w:eastAsia="Calibri" w:cs="Times New Roman"/>
                <w:noProof/>
                <w:sz w:val="22"/>
                <w:lang w:val="en-GB"/>
              </w:rPr>
              <w:t xml:space="preserve">EU </w:t>
            </w:r>
            <w:r w:rsidRPr="00BB5286">
              <w:rPr>
                <w:rFonts w:eastAsia="Calibri" w:cs="Times New Roman"/>
                <w:noProof/>
                <w:sz w:val="22"/>
                <w:lang w:val="en-GB"/>
              </w:rPr>
              <w:t xml:space="preserve">CAP legislation already offers Member States </w:t>
            </w:r>
            <w:r w:rsidR="00EE7078" w:rsidRPr="00BB5286">
              <w:rPr>
                <w:rFonts w:eastAsia="Calibri" w:cs="Times New Roman"/>
                <w:noProof/>
                <w:sz w:val="22"/>
                <w:lang w:val="en-GB"/>
              </w:rPr>
              <w:t>the</w:t>
            </w:r>
            <w:r w:rsidRPr="00BB5286">
              <w:rPr>
                <w:rFonts w:eastAsia="Calibri" w:cs="Times New Roman"/>
                <w:noProof/>
                <w:sz w:val="22"/>
                <w:lang w:val="en-GB"/>
              </w:rPr>
              <w:t xml:space="preserve"> possibility to request an extension of this deadline. However, the APR has to be submitted to the Commission within the applicable deadlines, to ensure the timely completion of the annual performance clearance and biennial performance review. Member States need to arrange </w:t>
            </w:r>
            <w:r w:rsidR="00EE7078" w:rsidRPr="00BB5286">
              <w:rPr>
                <w:rFonts w:eastAsia="Calibri" w:cs="Times New Roman"/>
                <w:noProof/>
                <w:sz w:val="22"/>
                <w:lang w:val="en-GB"/>
              </w:rPr>
              <w:t xml:space="preserve">an </w:t>
            </w:r>
            <w:r w:rsidRPr="00BB5286">
              <w:rPr>
                <w:rFonts w:eastAsia="Calibri" w:cs="Times New Roman"/>
                <w:noProof/>
                <w:sz w:val="22"/>
                <w:lang w:val="en-GB"/>
              </w:rPr>
              <w:t>efficient exchange of information between</w:t>
            </w:r>
            <w:r w:rsidR="00EE7078" w:rsidRPr="00BB5286">
              <w:rPr>
                <w:rFonts w:eastAsia="Calibri" w:cs="Times New Roman"/>
                <w:noProof/>
                <w:sz w:val="22"/>
                <w:lang w:val="en-GB"/>
              </w:rPr>
              <w:t xml:space="preserve"> the</w:t>
            </w:r>
            <w:r w:rsidRPr="00BB5286">
              <w:rPr>
                <w:rFonts w:eastAsia="Calibri" w:cs="Times New Roman"/>
                <w:noProof/>
                <w:sz w:val="22"/>
                <w:lang w:val="en-GB"/>
              </w:rPr>
              <w:t xml:space="preserve"> national bodies involved and adequate IT solutions. </w:t>
            </w:r>
          </w:p>
        </w:tc>
      </w:tr>
      <w:tr w:rsidR="003D4B2D" w:rsidRPr="00BB5286" w14:paraId="278F5B39"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859FF"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112</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16122" w14:textId="220F7758"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APR/aggregate values:</w:t>
            </w:r>
            <w:r w:rsidRPr="00BB5286">
              <w:rPr>
                <w:rFonts w:eastAsia="Calibri" w:cs="Times New Roman"/>
                <w:noProof/>
                <w:sz w:val="22"/>
                <w:lang w:val="en-GB"/>
              </w:rPr>
              <w:t xml:space="preserve"> </w:t>
            </w:r>
            <w:r w:rsidR="212217B7" w:rsidRPr="00BB5286">
              <w:rPr>
                <w:rFonts w:eastAsia="Calibri" w:cs="Times New Roman"/>
                <w:noProof/>
                <w:sz w:val="22"/>
                <w:lang w:val="en-GB"/>
              </w:rPr>
              <w:t>r</w:t>
            </w:r>
            <w:r w:rsidRPr="00BB5286">
              <w:rPr>
                <w:rFonts w:eastAsia="Calibri" w:cs="Times New Roman"/>
                <w:noProof/>
                <w:sz w:val="22"/>
                <w:lang w:val="en-GB"/>
              </w:rPr>
              <w:t xml:space="preserve">equest to abolish the requirement to provide in the APR the aggregate values of realised outputs. Simplify rules on </w:t>
            </w:r>
            <w:r w:rsidR="000F0D90" w:rsidRPr="00BB5286">
              <w:rPr>
                <w:rFonts w:eastAsia="Calibri" w:cs="Times New Roman"/>
                <w:noProof/>
                <w:sz w:val="22"/>
                <w:lang w:val="en-GB"/>
              </w:rPr>
              <w:t>double counting</w:t>
            </w:r>
            <w:r w:rsidRPr="00BB5286">
              <w:rPr>
                <w:rFonts w:eastAsia="Calibri" w:cs="Times New Roman"/>
                <w:noProof/>
                <w:sz w:val="22"/>
                <w:lang w:val="en-GB"/>
              </w:rPr>
              <w:t xml:space="preserve"> </w:t>
            </w:r>
            <w:r w:rsidR="3387FFB4" w:rsidRPr="00BB5286">
              <w:rPr>
                <w:rFonts w:eastAsia="Calibri" w:cs="Times New Roman"/>
                <w:noProof/>
                <w:sz w:val="22"/>
                <w:lang w:val="en-GB"/>
              </w:rPr>
              <w:t>(</w:t>
            </w:r>
            <w:r w:rsidRPr="00BB5286">
              <w:rPr>
                <w:rFonts w:eastAsia="Calibri" w:cs="Times New Roman"/>
                <w:i/>
                <w:noProof/>
                <w:sz w:val="22"/>
                <w:lang w:val="en-GB"/>
              </w:rPr>
              <w:t xml:space="preserve">Section 2.3 of the Annex </w:t>
            </w:r>
            <w:r w:rsidRPr="00BB5286">
              <w:rPr>
                <w:rFonts w:eastAsia="Calibri" w:cs="Times New Roman"/>
                <w:noProof/>
                <w:sz w:val="22"/>
                <w:lang w:val="en-GB"/>
              </w:rPr>
              <w:t>to Implementing Regulation 2023/130 on the content of the APR</w:t>
            </w:r>
            <w:r w:rsidR="2E28AF3A" w:rsidRPr="00BB5286">
              <w:rPr>
                <w:rFonts w:eastAsia="Calibri" w:cs="Times New Roman"/>
                <w:noProof/>
                <w:sz w:val="22"/>
                <w:lang w:val="en-GB"/>
              </w:rPr>
              <w:t>)</w:t>
            </w:r>
            <w:r w:rsidR="00860634" w:rsidRPr="00BB5286">
              <w:rPr>
                <w:rFonts w:eastAsia="Calibri" w:cs="Times New Roman"/>
                <w:noProof/>
                <w:sz w:val="22"/>
                <w:lang w:val="en-GB"/>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8127F"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 IE</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A4E02" w14:textId="497F3847"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375F16">
              <w:rPr>
                <w:rFonts w:eastAsia="Calibri" w:cs="Times New Roman"/>
                <w:noProof/>
                <w:sz w:val="22"/>
                <w:lang w:val="en-GB"/>
              </w:rPr>
              <w:t xml:space="preserve"> </w:t>
            </w:r>
            <w:r w:rsidRPr="00BB5286">
              <w:rPr>
                <w:rFonts w:eastAsia="Calibri" w:cs="Times New Roman"/>
                <w:noProof/>
                <w:sz w:val="22"/>
                <w:lang w:val="en-GB"/>
              </w:rPr>
              <w:t xml:space="preserve">was not taken up. The aggregated values of realised outputs are fundamental for monitoring, </w:t>
            </w:r>
            <w:r w:rsidR="00E05337" w:rsidRPr="00BB5286">
              <w:rPr>
                <w:rFonts w:eastAsia="Calibri" w:cs="Times New Roman"/>
                <w:noProof/>
                <w:sz w:val="22"/>
                <w:lang w:val="en-GB"/>
              </w:rPr>
              <w:t>communication,</w:t>
            </w:r>
            <w:r w:rsidRPr="00BB5286">
              <w:rPr>
                <w:rFonts w:eastAsia="Calibri" w:cs="Times New Roman"/>
                <w:noProof/>
                <w:sz w:val="22"/>
                <w:lang w:val="en-GB"/>
              </w:rPr>
              <w:t xml:space="preserve"> and evaluation. </w:t>
            </w:r>
          </w:p>
        </w:tc>
      </w:tr>
      <w:tr w:rsidR="003D4B2D" w:rsidRPr="00BB5286" w14:paraId="7E787606"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B71E6"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113</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D5660" w14:textId="46624063"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APR/outputs:</w:t>
            </w:r>
            <w:r w:rsidRPr="00BB5286">
              <w:rPr>
                <w:rFonts w:eastAsia="Calibri" w:cs="Times New Roman"/>
                <w:noProof/>
                <w:sz w:val="22"/>
                <w:lang w:val="en-GB"/>
              </w:rPr>
              <w:t xml:space="preserve"> </w:t>
            </w:r>
            <w:r w:rsidR="0D0C2E03" w:rsidRPr="00BB5286">
              <w:rPr>
                <w:rFonts w:eastAsia="Calibri" w:cs="Times New Roman"/>
                <w:noProof/>
                <w:sz w:val="22"/>
                <w:lang w:val="en-GB"/>
              </w:rPr>
              <w:t>a</w:t>
            </w:r>
            <w:r w:rsidRPr="00BB5286">
              <w:rPr>
                <w:rFonts w:eastAsia="Calibri" w:cs="Times New Roman"/>
                <w:noProof/>
                <w:sz w:val="22"/>
                <w:lang w:val="en-GB"/>
              </w:rPr>
              <w:t>bolish reporting of partial output by financing year.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78833"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LV</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0F8E0" w14:textId="2023F160"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Member States need to report in the APR what outputs were reached with the expenditure paid in the given financial year, as this is a key element of the new delivery model of the </w:t>
            </w:r>
            <w:r w:rsidRPr="00BB5286" w:rsidDel="006A5D3D">
              <w:rPr>
                <w:rFonts w:eastAsia="Calibri" w:cs="Times New Roman"/>
                <w:noProof/>
                <w:sz w:val="22"/>
                <w:lang w:val="en-GB"/>
              </w:rPr>
              <w:t>CAP</w:t>
            </w:r>
            <w:r w:rsidR="6562513A" w:rsidRPr="00BB5286">
              <w:rPr>
                <w:rFonts w:eastAsia="Calibri" w:cs="Times New Roman"/>
                <w:noProof/>
                <w:sz w:val="22"/>
                <w:lang w:val="en-GB"/>
              </w:rPr>
              <w:t xml:space="preserve">. </w:t>
            </w:r>
          </w:p>
        </w:tc>
      </w:tr>
      <w:tr w:rsidR="003D4B2D" w:rsidRPr="00BB5286" w14:paraId="62172C1D" w14:textId="77777777" w:rsidTr="58ACE821">
        <w:trPr>
          <w:trHeight w:val="300"/>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4BD69" w14:textId="77777777" w:rsidR="00874EF4" w:rsidRPr="00BB5286" w:rsidRDefault="00874EF4" w:rsidP="00874EF4">
            <w:pPr>
              <w:spacing w:after="60" w:line="259" w:lineRule="auto"/>
              <w:jc w:val="center"/>
              <w:rPr>
                <w:rFonts w:eastAsia="Calibri" w:cs="Times New Roman"/>
                <w:b/>
                <w:noProof/>
                <w:sz w:val="22"/>
                <w:lang w:val="en-GB"/>
              </w:rPr>
            </w:pPr>
            <w:r w:rsidRPr="00BB5286">
              <w:rPr>
                <w:rFonts w:eastAsia="Calibri" w:cs="Times New Roman"/>
                <w:b/>
                <w:noProof/>
                <w:sz w:val="22"/>
                <w:lang w:val="en-GB"/>
              </w:rPr>
              <w:t>114</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36173" w14:textId="424CF280" w:rsidR="00874EF4" w:rsidRPr="00BB5286" w:rsidRDefault="00874EF4" w:rsidP="00874EF4">
            <w:pPr>
              <w:spacing w:after="60" w:line="259" w:lineRule="auto"/>
              <w:jc w:val="both"/>
              <w:rPr>
                <w:rFonts w:eastAsia="Calibri" w:cs="Times New Roman"/>
                <w:i/>
                <w:noProof/>
                <w:sz w:val="22"/>
                <w:lang w:val="en-GB"/>
              </w:rPr>
            </w:pPr>
            <w:r w:rsidRPr="00BB5286">
              <w:rPr>
                <w:rFonts w:eastAsia="Calibri" w:cs="Times New Roman"/>
                <w:b/>
                <w:noProof/>
                <w:sz w:val="22"/>
                <w:lang w:val="en-GB"/>
              </w:rPr>
              <w:t>Individual data:</w:t>
            </w:r>
            <w:r w:rsidRPr="00BB5286">
              <w:rPr>
                <w:rFonts w:eastAsia="Calibri" w:cs="Times New Roman"/>
                <w:noProof/>
                <w:sz w:val="22"/>
                <w:lang w:val="en-GB"/>
              </w:rPr>
              <w:t xml:space="preserve"> </w:t>
            </w:r>
            <w:r w:rsidR="58375E71" w:rsidRPr="00BB5286">
              <w:rPr>
                <w:rFonts w:eastAsia="Calibri" w:cs="Times New Roman"/>
                <w:noProof/>
                <w:sz w:val="22"/>
                <w:lang w:val="en-GB"/>
              </w:rPr>
              <w:t>r</w:t>
            </w:r>
            <w:r w:rsidRPr="00BB5286">
              <w:rPr>
                <w:rFonts w:eastAsia="Calibri" w:cs="Times New Roman"/>
                <w:noProof/>
                <w:sz w:val="22"/>
                <w:lang w:val="en-GB"/>
              </w:rPr>
              <w:t>equest to remove a requirement to provide disaggregated data at the level of interventions and beneficiaries (</w:t>
            </w:r>
            <w:r w:rsidR="000F0D90" w:rsidRPr="00BB5286">
              <w:rPr>
                <w:rFonts w:eastAsia="Calibri" w:cs="Times New Roman"/>
                <w:noProof/>
                <w:sz w:val="22"/>
                <w:lang w:val="en-GB"/>
              </w:rPr>
              <w:t xml:space="preserve">Commission </w:t>
            </w:r>
            <w:r w:rsidRPr="00BB5286">
              <w:rPr>
                <w:rFonts w:eastAsia="Calibri" w:cs="Times New Roman"/>
                <w:noProof/>
                <w:sz w:val="22"/>
                <w:lang w:val="en-GB"/>
              </w:rPr>
              <w:t>Implementing Regulation 2022/1475).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E5FCD"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w:t>
            </w:r>
          </w:p>
        </w:tc>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CDDD6" w14:textId="1CFFFEDB" w:rsidR="0030713B"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This data is key for monitoring and evaluation of the CAP and CAP </w:t>
            </w:r>
            <w:r w:rsidR="00EE7078" w:rsidRPr="00BB5286">
              <w:rPr>
                <w:rFonts w:eastAsia="Calibri" w:cs="Times New Roman"/>
                <w:noProof/>
                <w:sz w:val="22"/>
                <w:lang w:val="en-GB"/>
              </w:rPr>
              <w:t>p</w:t>
            </w:r>
            <w:r w:rsidRPr="00BB5286">
              <w:rPr>
                <w:rFonts w:eastAsia="Calibri" w:cs="Times New Roman"/>
                <w:noProof/>
                <w:sz w:val="22"/>
                <w:lang w:val="en-GB"/>
              </w:rPr>
              <w:t>lans under the performance-based approach. Besides, the data is already available in the paying agencies.</w:t>
            </w:r>
          </w:p>
        </w:tc>
      </w:tr>
    </w:tbl>
    <w:p w14:paraId="19C2AE8D" w14:textId="77777777" w:rsidR="00FD703D" w:rsidRDefault="00FD703D">
      <w:pPr>
        <w:rPr>
          <w:noProof/>
        </w:rPr>
      </w:pPr>
    </w:p>
    <w:p w14:paraId="38DF3D8D" w14:textId="77777777" w:rsidR="007E5536" w:rsidRDefault="007E5536">
      <w:pPr>
        <w:rPr>
          <w:noProof/>
        </w:rPr>
      </w:pPr>
    </w:p>
    <w:tbl>
      <w:tblPr>
        <w:tblStyle w:val="TableGrid1"/>
        <w:tblW w:w="14748" w:type="dxa"/>
        <w:tblInd w:w="-6" w:type="dxa"/>
        <w:tblLayout w:type="fixed"/>
        <w:tblLook w:val="04A0" w:firstRow="1" w:lastRow="0" w:firstColumn="1" w:lastColumn="0" w:noHBand="0" w:noVBand="1"/>
      </w:tblPr>
      <w:tblGrid>
        <w:gridCol w:w="716"/>
        <w:gridCol w:w="5808"/>
        <w:gridCol w:w="1562"/>
        <w:gridCol w:w="6662"/>
      </w:tblGrid>
      <w:tr w:rsidR="00F34C75" w:rsidRPr="00BB5286" w14:paraId="738F1EB8" w14:textId="77777777" w:rsidTr="00FD703D">
        <w:trPr>
          <w:trHeight w:val="382"/>
        </w:trPr>
        <w:tc>
          <w:tcPr>
            <w:tcW w:w="14748" w:type="dxa"/>
            <w:gridSpan w:val="4"/>
            <w:tcBorders>
              <w:top w:val="single" w:sz="4" w:space="0" w:color="auto"/>
              <w:left w:val="single" w:sz="4" w:space="0" w:color="auto"/>
              <w:bottom w:val="nil"/>
              <w:right w:val="single" w:sz="4" w:space="0" w:color="auto"/>
            </w:tcBorders>
            <w:shd w:val="clear" w:color="auto" w:fill="003399"/>
          </w:tcPr>
          <w:p w14:paraId="3FD54399" w14:textId="77777777" w:rsidR="00874EF4" w:rsidRPr="00BB5286" w:rsidRDefault="00874EF4" w:rsidP="004B60AF">
            <w:pPr>
              <w:spacing w:before="120" w:after="12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lastRenderedPageBreak/>
              <w:t>Assurance, annual performance clearance, and audits</w:t>
            </w:r>
          </w:p>
        </w:tc>
      </w:tr>
      <w:tr w:rsidR="001F253E" w:rsidRPr="00BB5286" w14:paraId="15357027" w14:textId="77777777" w:rsidTr="00FD703D">
        <w:trPr>
          <w:trHeight w:val="300"/>
        </w:trPr>
        <w:tc>
          <w:tcPr>
            <w:tcW w:w="716" w:type="dxa"/>
            <w:tcBorders>
              <w:top w:val="nil"/>
              <w:left w:val="single" w:sz="4" w:space="0" w:color="auto"/>
              <w:bottom w:val="single" w:sz="4" w:space="0" w:color="auto"/>
              <w:right w:val="single" w:sz="4" w:space="0" w:color="auto"/>
            </w:tcBorders>
            <w:vAlign w:val="center"/>
          </w:tcPr>
          <w:p w14:paraId="549A6663" w14:textId="77777777" w:rsidR="00874EF4" w:rsidRPr="00BB5286" w:rsidRDefault="00874EF4" w:rsidP="00874EF4">
            <w:pPr>
              <w:spacing w:after="60" w:line="259" w:lineRule="auto"/>
              <w:jc w:val="both"/>
              <w:rPr>
                <w:rFonts w:eastAsia="Calibri" w:cs="Times New Roman"/>
                <w:b/>
                <w:noProof/>
                <w:sz w:val="22"/>
                <w:lang w:val="en-GB"/>
              </w:rPr>
            </w:pPr>
            <w:r w:rsidRPr="00BB5286">
              <w:rPr>
                <w:rFonts w:eastAsia="Calibri" w:cs="Times New Roman"/>
                <w:b/>
                <w:noProof/>
                <w:sz w:val="22"/>
                <w:lang w:val="en-GB"/>
              </w:rPr>
              <w:t>115</w:t>
            </w:r>
          </w:p>
        </w:tc>
        <w:tc>
          <w:tcPr>
            <w:tcW w:w="5808" w:type="dxa"/>
            <w:tcBorders>
              <w:top w:val="nil"/>
              <w:left w:val="single" w:sz="4" w:space="0" w:color="auto"/>
              <w:bottom w:val="single" w:sz="4" w:space="0" w:color="auto"/>
              <w:right w:val="single" w:sz="4" w:space="0" w:color="auto"/>
            </w:tcBorders>
            <w:vAlign w:val="center"/>
          </w:tcPr>
          <w:p w14:paraId="4256D362" w14:textId="4B333928"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Scope:</w:t>
            </w:r>
            <w:r w:rsidRPr="00BB5286">
              <w:rPr>
                <w:rFonts w:eastAsia="Calibri" w:cs="Times New Roman"/>
                <w:noProof/>
                <w:sz w:val="22"/>
                <w:lang w:val="en-GB"/>
              </w:rPr>
              <w:t xml:space="preserve"> </w:t>
            </w:r>
            <w:r w:rsidR="00F81C16" w:rsidRPr="00BB5286">
              <w:rPr>
                <w:rFonts w:eastAsia="Calibri" w:cs="Times New Roman"/>
                <w:noProof/>
                <w:sz w:val="22"/>
                <w:lang w:val="en-GB"/>
              </w:rPr>
              <w:t>r</w:t>
            </w:r>
            <w:r w:rsidRPr="00BB5286">
              <w:rPr>
                <w:rFonts w:eastAsia="Calibri" w:cs="Times New Roman"/>
                <w:noProof/>
                <w:sz w:val="22"/>
                <w:lang w:val="en-GB"/>
              </w:rPr>
              <w:t>equests to limit assurance/conformity procedure</w:t>
            </w:r>
            <w:r w:rsidR="00EE7078" w:rsidRPr="00BB5286">
              <w:rPr>
                <w:rFonts w:eastAsia="Calibri" w:cs="Times New Roman"/>
                <w:noProof/>
                <w:sz w:val="22"/>
                <w:lang w:val="en-GB"/>
              </w:rPr>
              <w:t>s</w:t>
            </w:r>
            <w:r w:rsidRPr="00BB5286">
              <w:rPr>
                <w:rFonts w:eastAsia="Calibri" w:cs="Times New Roman"/>
                <w:noProof/>
                <w:sz w:val="22"/>
                <w:lang w:val="en-GB"/>
              </w:rPr>
              <w:t xml:space="preserve"> (</w:t>
            </w:r>
            <w:r w:rsidR="004C5DD2" w:rsidRPr="00BB5286">
              <w:rPr>
                <w:rFonts w:eastAsia="Calibri" w:cs="Times New Roman"/>
                <w:noProof/>
                <w:sz w:val="22"/>
                <w:lang w:val="en-GB"/>
              </w:rPr>
              <w:t>‘</w:t>
            </w:r>
            <w:r w:rsidRPr="00BB5286">
              <w:rPr>
                <w:rFonts w:eastAsia="Calibri" w:cs="Times New Roman"/>
                <w:noProof/>
                <w:sz w:val="22"/>
                <w:lang w:val="en-GB"/>
              </w:rPr>
              <w:t>potentially serious deficiencies</w:t>
            </w:r>
            <w:r w:rsidR="004C5DD2" w:rsidRPr="00BB5286">
              <w:rPr>
                <w:rFonts w:eastAsia="Calibri" w:cs="Times New Roman"/>
                <w:noProof/>
                <w:sz w:val="22"/>
                <w:lang w:val="en-GB"/>
              </w:rPr>
              <w:t>’</w:t>
            </w:r>
            <w:r w:rsidRPr="00BB5286">
              <w:rPr>
                <w:rFonts w:eastAsia="Calibri" w:cs="Times New Roman"/>
                <w:noProof/>
                <w:sz w:val="22"/>
                <w:lang w:val="en-GB"/>
              </w:rPr>
              <w:t xml:space="preserve"> or expenditure outside the CSP, focus on reali</w:t>
            </w:r>
            <w:r w:rsidR="00EE7078" w:rsidRPr="00BB5286">
              <w:rPr>
                <w:rFonts w:eastAsia="Calibri" w:cs="Times New Roman"/>
                <w:noProof/>
                <w:sz w:val="22"/>
                <w:lang w:val="en-GB"/>
              </w:rPr>
              <w:t>s</w:t>
            </w:r>
            <w:r w:rsidRPr="00BB5286">
              <w:rPr>
                <w:rFonts w:eastAsia="Calibri" w:cs="Times New Roman"/>
                <w:noProof/>
                <w:sz w:val="22"/>
                <w:lang w:val="en-GB"/>
              </w:rPr>
              <w:t xml:space="preserve">ation of policy goals rather than legality of spending) </w:t>
            </w:r>
            <w:r w:rsidR="3136D578" w:rsidRPr="00BB5286">
              <w:rPr>
                <w:rFonts w:eastAsia="Calibri" w:cs="Times New Roman"/>
                <w:noProof/>
                <w:sz w:val="22"/>
                <w:lang w:val="en-GB"/>
              </w:rPr>
              <w:t>(</w:t>
            </w:r>
            <w:r w:rsidR="6562513A" w:rsidRPr="00BB5286">
              <w:rPr>
                <w:rFonts w:eastAsia="Calibri" w:cs="Times New Roman"/>
                <w:i/>
                <w:iCs/>
                <w:noProof/>
                <w:sz w:val="22"/>
                <w:lang w:val="en-GB"/>
              </w:rPr>
              <w:t>Art</w:t>
            </w:r>
            <w:r w:rsidR="5CD2FE98" w:rsidRPr="00BB5286">
              <w:rPr>
                <w:rFonts w:eastAsia="Calibri" w:cs="Times New Roman"/>
                <w:i/>
                <w:iCs/>
                <w:noProof/>
                <w:sz w:val="22"/>
                <w:lang w:val="en-GB"/>
              </w:rPr>
              <w:t>icle</w:t>
            </w:r>
            <w:r w:rsidRPr="00BB5286">
              <w:rPr>
                <w:rFonts w:eastAsia="Calibri" w:cs="Times New Roman"/>
                <w:i/>
                <w:noProof/>
                <w:sz w:val="22"/>
                <w:lang w:val="en-GB"/>
              </w:rPr>
              <w:t xml:space="preserve"> 55 </w:t>
            </w:r>
            <w:r w:rsidRPr="00BB5286">
              <w:rPr>
                <w:rFonts w:eastAsia="Calibri" w:cs="Times New Roman"/>
                <w:noProof/>
                <w:sz w:val="22"/>
                <w:lang w:val="en-GB"/>
              </w:rPr>
              <w:t xml:space="preserve">of </w:t>
            </w:r>
            <w:r w:rsidR="7BCA36E5" w:rsidRPr="00BB5286">
              <w:rPr>
                <w:rFonts w:eastAsia="Calibri" w:cs="Times New Roman"/>
                <w:noProof/>
                <w:sz w:val="22"/>
                <w:lang w:val="en-GB"/>
              </w:rPr>
              <w:t xml:space="preserve">the Horizontal </w:t>
            </w:r>
            <w:r w:rsidRPr="00BB5286">
              <w:rPr>
                <w:rFonts w:eastAsia="Calibri" w:cs="Times New Roman"/>
                <w:noProof/>
                <w:sz w:val="22"/>
                <w:lang w:val="en-GB"/>
              </w:rPr>
              <w:t>Regulation</w:t>
            </w:r>
            <w:r w:rsidR="398B6D43" w:rsidRPr="00BB5286">
              <w:rPr>
                <w:rFonts w:eastAsia="Calibri" w:cs="Times New Roman"/>
                <w:noProof/>
                <w:sz w:val="22"/>
                <w:lang w:val="en-GB"/>
              </w:rPr>
              <w:t>)</w:t>
            </w:r>
            <w:r w:rsidR="28469020" w:rsidRPr="00BB5286">
              <w:rPr>
                <w:rFonts w:eastAsia="Calibri" w:cs="Times New Roman"/>
                <w:noProof/>
                <w:sz w:val="22"/>
                <w:lang w:val="en-GB"/>
              </w:rPr>
              <w:t>.</w:t>
            </w:r>
          </w:p>
        </w:tc>
        <w:tc>
          <w:tcPr>
            <w:tcW w:w="1562" w:type="dxa"/>
            <w:tcBorders>
              <w:top w:val="nil"/>
              <w:left w:val="single" w:sz="4" w:space="0" w:color="auto"/>
              <w:bottom w:val="single" w:sz="4" w:space="0" w:color="auto"/>
              <w:right w:val="single" w:sz="4" w:space="0" w:color="auto"/>
            </w:tcBorders>
            <w:vAlign w:val="center"/>
          </w:tcPr>
          <w:p w14:paraId="17F83444"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AT, FR, NL, HU</w:t>
            </w:r>
          </w:p>
        </w:tc>
        <w:tc>
          <w:tcPr>
            <w:tcW w:w="6662" w:type="dxa"/>
            <w:tcBorders>
              <w:top w:val="nil"/>
              <w:left w:val="single" w:sz="4" w:space="0" w:color="auto"/>
              <w:bottom w:val="single" w:sz="4" w:space="0" w:color="auto"/>
              <w:right w:val="single" w:sz="4" w:space="0" w:color="auto"/>
            </w:tcBorders>
          </w:tcPr>
          <w:p w14:paraId="27F9CA21" w14:textId="1930A63A" w:rsidR="00874EF4" w:rsidRPr="00BB5286" w:rsidRDefault="00874EF4" w:rsidP="00874EF4">
            <w:pPr>
              <w:spacing w:after="60" w:line="259" w:lineRule="auto"/>
              <w:ind w:left="16"/>
              <w:jc w:val="both"/>
              <w:rPr>
                <w:rFonts w:eastAsia="Calibri" w:cs="Times New Roman"/>
                <w:noProof/>
                <w:sz w:val="22"/>
                <w:lang w:val="en-GB"/>
              </w:rPr>
            </w:pPr>
            <w:r w:rsidRPr="00BB5286">
              <w:rPr>
                <w:rFonts w:eastAsia="Calibri" w:cs="Times New Roman"/>
                <w:noProof/>
                <w:sz w:val="22"/>
                <w:lang w:val="en-GB"/>
              </w:rPr>
              <w:t>The suggestions</w:t>
            </w:r>
            <w:r w:rsidRPr="00BB5286" w:rsidDel="00375F16">
              <w:rPr>
                <w:rFonts w:eastAsia="Calibri" w:cs="Times New Roman"/>
                <w:noProof/>
                <w:sz w:val="22"/>
                <w:lang w:val="en-GB"/>
              </w:rPr>
              <w:t xml:space="preserve"> </w:t>
            </w:r>
            <w:r w:rsidRPr="00BB5286">
              <w:rPr>
                <w:rFonts w:eastAsia="Calibri" w:cs="Times New Roman"/>
                <w:noProof/>
                <w:sz w:val="22"/>
                <w:lang w:val="en-GB"/>
              </w:rPr>
              <w:t xml:space="preserve">were not taken up. EU funds may not finance expenditure which was not effected in conformity with EU law. Member States must ensure that payments to farmers are legal and regular. This entails compliance with all elements of the approved CAP </w:t>
            </w:r>
            <w:r w:rsidR="065EE3D4" w:rsidRPr="00BB5286">
              <w:rPr>
                <w:rFonts w:eastAsia="Calibri" w:cs="Times New Roman"/>
                <w:noProof/>
                <w:sz w:val="22"/>
                <w:lang w:val="en-GB"/>
              </w:rPr>
              <w:t>P</w:t>
            </w:r>
            <w:r w:rsidRPr="00BB5286">
              <w:rPr>
                <w:rFonts w:eastAsia="Calibri" w:cs="Times New Roman"/>
                <w:noProof/>
                <w:sz w:val="22"/>
                <w:lang w:val="en-GB"/>
              </w:rPr>
              <w:t xml:space="preserve">lans, as laid down in the </w:t>
            </w:r>
            <w:r w:rsidR="00AF7B1A" w:rsidRPr="00BB5286">
              <w:rPr>
                <w:rFonts w:eastAsia="Calibri" w:cs="Times New Roman"/>
                <w:noProof/>
                <w:sz w:val="22"/>
                <w:lang w:val="en-GB"/>
              </w:rPr>
              <w:t xml:space="preserve">EU </w:t>
            </w:r>
            <w:r w:rsidRPr="00BB5286">
              <w:rPr>
                <w:rFonts w:eastAsia="Calibri" w:cs="Times New Roman"/>
                <w:noProof/>
                <w:sz w:val="22"/>
                <w:lang w:val="en-GB"/>
              </w:rPr>
              <w:t xml:space="preserve">CAP legislation. </w:t>
            </w:r>
          </w:p>
          <w:p w14:paraId="34CC1B05" w14:textId="0D5EDCBF" w:rsidR="00874EF4" w:rsidRPr="00BB5286" w:rsidRDefault="00874EF4" w:rsidP="00874EF4">
            <w:pPr>
              <w:spacing w:after="60" w:line="259" w:lineRule="auto"/>
              <w:ind w:left="16"/>
              <w:jc w:val="both"/>
              <w:rPr>
                <w:rFonts w:eastAsia="Calibri" w:cs="Times New Roman"/>
                <w:noProof/>
                <w:sz w:val="22"/>
                <w:lang w:val="en-GB"/>
              </w:rPr>
            </w:pPr>
            <w:r w:rsidRPr="00BB5286">
              <w:rPr>
                <w:rFonts w:eastAsia="Calibri" w:cs="Times New Roman"/>
                <w:noProof/>
                <w:sz w:val="22"/>
                <w:lang w:val="en-GB"/>
              </w:rPr>
              <w:t>The focus on realisation of policy goals (</w:t>
            </w:r>
            <w:r w:rsidRPr="00BB5286">
              <w:rPr>
                <w:rFonts w:eastAsia="Calibri" w:cs="Times New Roman"/>
                <w:i/>
                <w:iCs/>
                <w:noProof/>
                <w:sz w:val="22"/>
                <w:lang w:val="en-GB"/>
              </w:rPr>
              <w:t>‘performance’</w:t>
            </w:r>
            <w:r w:rsidRPr="00BB5286">
              <w:rPr>
                <w:rFonts w:eastAsia="Calibri" w:cs="Times New Roman"/>
                <w:noProof/>
                <w:sz w:val="22"/>
                <w:lang w:val="en-GB"/>
              </w:rPr>
              <w:t xml:space="preserve">) is an objective that the Commission fully shares with the Member States. </w:t>
            </w:r>
            <w:r w:rsidR="00EE7078" w:rsidRPr="00BB5286">
              <w:rPr>
                <w:rFonts w:eastAsia="Calibri" w:cs="Times New Roman"/>
                <w:noProof/>
                <w:sz w:val="22"/>
                <w:lang w:val="en-GB"/>
              </w:rPr>
              <w:t>F</w:t>
            </w:r>
            <w:r w:rsidRPr="00BB5286">
              <w:rPr>
                <w:rFonts w:eastAsia="Calibri" w:cs="Times New Roman"/>
                <w:noProof/>
                <w:sz w:val="22"/>
                <w:lang w:val="en-GB"/>
              </w:rPr>
              <w:t xml:space="preserve">or this reason, lessons learned from the current period will feed </w:t>
            </w:r>
            <w:r w:rsidR="00EE7078" w:rsidRPr="00BB5286">
              <w:rPr>
                <w:rFonts w:eastAsia="Calibri" w:cs="Times New Roman"/>
                <w:noProof/>
                <w:sz w:val="22"/>
                <w:lang w:val="en-GB"/>
              </w:rPr>
              <w:t xml:space="preserve">into </w:t>
            </w:r>
            <w:r w:rsidRPr="00BB5286">
              <w:rPr>
                <w:rFonts w:eastAsia="Calibri" w:cs="Times New Roman"/>
                <w:noProof/>
                <w:sz w:val="22"/>
                <w:lang w:val="en-GB"/>
              </w:rPr>
              <w:t>the reflection on the post-2027</w:t>
            </w:r>
            <w:r w:rsidR="00A70220" w:rsidRPr="00BB5286">
              <w:rPr>
                <w:rFonts w:eastAsia="Calibri" w:cs="Times New Roman"/>
                <w:noProof/>
                <w:sz w:val="22"/>
                <w:lang w:val="en-GB"/>
              </w:rPr>
              <w:t xml:space="preserve"> CAP</w:t>
            </w:r>
            <w:r w:rsidRPr="00BB5286">
              <w:rPr>
                <w:rFonts w:eastAsia="Calibri" w:cs="Times New Roman"/>
                <w:noProof/>
                <w:sz w:val="22"/>
                <w:lang w:val="en-GB"/>
              </w:rPr>
              <w:t xml:space="preserve">. </w:t>
            </w:r>
          </w:p>
        </w:tc>
      </w:tr>
      <w:tr w:rsidR="00BD6E31" w:rsidRPr="00BB5286" w14:paraId="4ACB5B2E" w14:textId="77777777" w:rsidTr="00FD703D">
        <w:trPr>
          <w:trHeight w:val="795"/>
        </w:trPr>
        <w:tc>
          <w:tcPr>
            <w:tcW w:w="716" w:type="dxa"/>
            <w:tcBorders>
              <w:top w:val="single" w:sz="4" w:space="0" w:color="auto"/>
              <w:left w:val="single" w:sz="4" w:space="0" w:color="auto"/>
              <w:bottom w:val="single" w:sz="4" w:space="0" w:color="auto"/>
              <w:right w:val="single" w:sz="4" w:space="0" w:color="auto"/>
            </w:tcBorders>
            <w:vAlign w:val="center"/>
          </w:tcPr>
          <w:p w14:paraId="3E1C39C5" w14:textId="77777777" w:rsidR="00874EF4" w:rsidRPr="00BB5286" w:rsidRDefault="00874EF4" w:rsidP="00874EF4">
            <w:pPr>
              <w:spacing w:after="60" w:line="259" w:lineRule="auto"/>
              <w:jc w:val="both"/>
              <w:rPr>
                <w:rFonts w:eastAsia="Calibri" w:cs="Times New Roman"/>
                <w:b/>
                <w:noProof/>
                <w:sz w:val="22"/>
                <w:lang w:val="en-GB"/>
              </w:rPr>
            </w:pPr>
            <w:r w:rsidRPr="00BB5286">
              <w:rPr>
                <w:rFonts w:eastAsia="Calibri" w:cs="Times New Roman"/>
                <w:b/>
                <w:noProof/>
                <w:sz w:val="22"/>
                <w:lang w:val="en-GB"/>
              </w:rPr>
              <w:t>116</w:t>
            </w:r>
          </w:p>
        </w:tc>
        <w:tc>
          <w:tcPr>
            <w:tcW w:w="5808" w:type="dxa"/>
            <w:tcBorders>
              <w:top w:val="single" w:sz="4" w:space="0" w:color="auto"/>
              <w:left w:val="single" w:sz="4" w:space="0" w:color="auto"/>
              <w:bottom w:val="single" w:sz="4" w:space="0" w:color="auto"/>
              <w:right w:val="single" w:sz="4" w:space="0" w:color="auto"/>
            </w:tcBorders>
          </w:tcPr>
          <w:p w14:paraId="5BE11DD8" w14:textId="47D04F9F"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Scope:</w:t>
            </w:r>
            <w:r w:rsidRPr="00BB5286">
              <w:rPr>
                <w:rFonts w:eastAsia="Calibri" w:cs="Times New Roman"/>
                <w:noProof/>
                <w:sz w:val="22"/>
                <w:lang w:val="en-GB"/>
              </w:rPr>
              <w:t xml:space="preserve"> </w:t>
            </w:r>
            <w:r w:rsidR="345645FB" w:rsidRPr="00BB5286">
              <w:rPr>
                <w:rFonts w:eastAsia="Calibri" w:cs="Times New Roman"/>
                <w:noProof/>
                <w:sz w:val="22"/>
                <w:lang w:val="en-GB"/>
              </w:rPr>
              <w:t>r</w:t>
            </w:r>
            <w:r w:rsidRPr="00BB5286">
              <w:rPr>
                <w:rFonts w:eastAsia="Calibri" w:cs="Times New Roman"/>
                <w:noProof/>
                <w:sz w:val="22"/>
                <w:lang w:val="en-GB"/>
              </w:rPr>
              <w:t xml:space="preserve">emove the controls on operations provided for in </w:t>
            </w:r>
            <w:r w:rsidRPr="00BB5286">
              <w:rPr>
                <w:rFonts w:eastAsia="Calibri" w:cs="Times New Roman"/>
                <w:i/>
                <w:noProof/>
                <w:sz w:val="22"/>
                <w:lang w:val="en-GB"/>
              </w:rPr>
              <w:t>Chapter III of Title IV</w:t>
            </w:r>
            <w:r w:rsidRPr="00BB5286">
              <w:rPr>
                <w:rFonts w:eastAsia="Calibri" w:cs="Times New Roman"/>
                <w:noProof/>
                <w:sz w:val="22"/>
                <w:lang w:val="en-GB"/>
              </w:rPr>
              <w:t xml:space="preserve"> of </w:t>
            </w:r>
            <w:r w:rsidR="63A63B70" w:rsidRPr="00BB5286">
              <w:rPr>
                <w:rFonts w:eastAsia="Calibri" w:cs="Times New Roman"/>
                <w:noProof/>
                <w:sz w:val="22"/>
                <w:lang w:val="en-GB"/>
              </w:rPr>
              <w:t xml:space="preserve">the Horizontal </w:t>
            </w:r>
            <w:r w:rsidRPr="00BB5286">
              <w:rPr>
                <w:rFonts w:eastAsia="Calibri" w:cs="Times New Roman"/>
                <w:noProof/>
                <w:sz w:val="22"/>
                <w:lang w:val="en-GB"/>
              </w:rPr>
              <w:t xml:space="preserve">Regulation. (Scrutiny of transactions of the system of financing by the EAGF.) </w:t>
            </w:r>
          </w:p>
        </w:tc>
        <w:tc>
          <w:tcPr>
            <w:tcW w:w="1562" w:type="dxa"/>
            <w:tcBorders>
              <w:top w:val="single" w:sz="4" w:space="0" w:color="auto"/>
              <w:left w:val="single" w:sz="4" w:space="0" w:color="auto"/>
              <w:bottom w:val="single" w:sz="4" w:space="0" w:color="auto"/>
              <w:right w:val="single" w:sz="4" w:space="0" w:color="auto"/>
            </w:tcBorders>
            <w:vAlign w:val="center"/>
          </w:tcPr>
          <w:p w14:paraId="6642DB28"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2" w:type="dxa"/>
            <w:tcBorders>
              <w:top w:val="single" w:sz="4" w:space="0" w:color="auto"/>
              <w:left w:val="single" w:sz="4" w:space="0" w:color="auto"/>
              <w:bottom w:val="single" w:sz="4" w:space="0" w:color="auto"/>
              <w:right w:val="single" w:sz="4" w:space="0" w:color="auto"/>
            </w:tcBorders>
            <w:vAlign w:val="center"/>
          </w:tcPr>
          <w:p w14:paraId="2DDE78C1" w14:textId="53444204"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63538E" w:rsidRPr="00BB5286">
              <w:rPr>
                <w:rFonts w:eastAsia="Calibri" w:cs="Times New Roman"/>
                <w:noProof/>
                <w:sz w:val="22"/>
                <w:lang w:val="en-GB"/>
              </w:rPr>
              <w:t xml:space="preserve">into </w:t>
            </w:r>
            <w:r w:rsidRPr="00BB5286">
              <w:rPr>
                <w:rFonts w:eastAsia="Calibri" w:cs="Times New Roman"/>
                <w:noProof/>
                <w:sz w:val="22"/>
                <w:lang w:val="en-GB"/>
              </w:rPr>
              <w:t>the reflection on the post</w:t>
            </w:r>
            <w:r w:rsidR="00A70220" w:rsidRPr="00BB5286">
              <w:rPr>
                <w:rFonts w:eastAsia="Calibri" w:cs="Times New Roman"/>
                <w:noProof/>
                <w:sz w:val="22"/>
                <w:lang w:val="en-GB"/>
              </w:rPr>
              <w:t>-</w:t>
            </w:r>
            <w:r w:rsidRPr="00BB5286">
              <w:rPr>
                <w:rFonts w:eastAsia="Calibri" w:cs="Times New Roman"/>
                <w:noProof/>
                <w:sz w:val="22"/>
                <w:lang w:val="en-GB"/>
              </w:rPr>
              <w:t>2027</w:t>
            </w:r>
            <w:r w:rsidR="00A70220" w:rsidRPr="00BB5286">
              <w:rPr>
                <w:rFonts w:eastAsia="Calibri" w:cs="Times New Roman"/>
                <w:noProof/>
                <w:sz w:val="22"/>
                <w:lang w:val="en-GB"/>
              </w:rPr>
              <w:t xml:space="preserve"> CAP</w:t>
            </w:r>
            <w:r w:rsidRPr="00BB5286">
              <w:rPr>
                <w:rFonts w:eastAsia="Calibri" w:cs="Times New Roman"/>
                <w:noProof/>
                <w:sz w:val="22"/>
                <w:lang w:val="en-GB"/>
              </w:rPr>
              <w:t>. Removal of such controls would need to be weighed against the</w:t>
            </w:r>
            <w:r w:rsidR="0063538E" w:rsidRPr="00BB5286">
              <w:rPr>
                <w:rFonts w:eastAsia="Calibri" w:cs="Times New Roman"/>
                <w:noProof/>
                <w:sz w:val="22"/>
                <w:lang w:val="en-GB"/>
              </w:rPr>
              <w:t xml:space="preserve">ir </w:t>
            </w:r>
            <w:r w:rsidRPr="00BB5286">
              <w:rPr>
                <w:rFonts w:eastAsia="Calibri" w:cs="Times New Roman"/>
                <w:noProof/>
                <w:sz w:val="22"/>
                <w:lang w:val="en-GB"/>
              </w:rPr>
              <w:t>deterrent effect.</w:t>
            </w:r>
          </w:p>
        </w:tc>
      </w:tr>
      <w:tr w:rsidR="00E67D67" w:rsidRPr="00BB5286" w14:paraId="4DB1745B" w14:textId="77777777" w:rsidTr="00FD703D">
        <w:trPr>
          <w:trHeight w:val="300"/>
        </w:trPr>
        <w:tc>
          <w:tcPr>
            <w:tcW w:w="716" w:type="dxa"/>
            <w:tcBorders>
              <w:top w:val="single" w:sz="4" w:space="0" w:color="auto"/>
              <w:left w:val="single" w:sz="4" w:space="0" w:color="auto"/>
              <w:bottom w:val="single" w:sz="4" w:space="0" w:color="auto"/>
              <w:right w:val="single" w:sz="4" w:space="0" w:color="auto"/>
            </w:tcBorders>
            <w:vAlign w:val="center"/>
          </w:tcPr>
          <w:p w14:paraId="7675D018" w14:textId="77777777" w:rsidR="00874EF4" w:rsidRPr="00BB5286" w:rsidRDefault="00874EF4" w:rsidP="00874EF4">
            <w:pPr>
              <w:spacing w:after="60" w:line="259" w:lineRule="auto"/>
              <w:jc w:val="both"/>
              <w:rPr>
                <w:rFonts w:eastAsia="Calibri" w:cs="Times New Roman"/>
                <w:b/>
                <w:noProof/>
                <w:sz w:val="22"/>
                <w:lang w:val="en-GB"/>
              </w:rPr>
            </w:pPr>
            <w:r w:rsidRPr="00BB5286">
              <w:rPr>
                <w:rFonts w:eastAsia="Calibri" w:cs="Times New Roman"/>
                <w:b/>
                <w:noProof/>
                <w:sz w:val="22"/>
                <w:lang w:val="en-GB"/>
              </w:rPr>
              <w:t>117</w:t>
            </w:r>
          </w:p>
        </w:tc>
        <w:tc>
          <w:tcPr>
            <w:tcW w:w="5808" w:type="dxa"/>
            <w:tcBorders>
              <w:top w:val="single" w:sz="4" w:space="0" w:color="auto"/>
              <w:left w:val="single" w:sz="4" w:space="0" w:color="auto"/>
              <w:bottom w:val="single" w:sz="4" w:space="0" w:color="auto"/>
              <w:right w:val="single" w:sz="4" w:space="0" w:color="auto"/>
            </w:tcBorders>
            <w:vAlign w:val="center"/>
          </w:tcPr>
          <w:p w14:paraId="20BD2780" w14:textId="485DF739"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Financial corrections:</w:t>
            </w:r>
            <w:r w:rsidRPr="00BB5286">
              <w:rPr>
                <w:rFonts w:eastAsia="Calibri" w:cs="Times New Roman"/>
                <w:noProof/>
                <w:sz w:val="22"/>
                <w:lang w:val="en-GB"/>
              </w:rPr>
              <w:t xml:space="preserve"> </w:t>
            </w:r>
            <w:r w:rsidR="2E1DB9D0" w:rsidRPr="00BB5286">
              <w:rPr>
                <w:rFonts w:eastAsia="Calibri" w:cs="Times New Roman"/>
                <w:noProof/>
                <w:sz w:val="22"/>
                <w:lang w:val="en-GB"/>
              </w:rPr>
              <w:t>f</w:t>
            </w:r>
            <w:r w:rsidRPr="00BB5286">
              <w:rPr>
                <w:rFonts w:eastAsia="Calibri" w:cs="Times New Roman"/>
                <w:noProof/>
                <w:sz w:val="22"/>
                <w:lang w:val="en-GB"/>
              </w:rPr>
              <w:t xml:space="preserve">inancial corrections to apply above a certain budgetary risk rate for the </w:t>
            </w:r>
            <w:r w:rsidR="00561635" w:rsidRPr="00BB5286">
              <w:rPr>
                <w:rFonts w:eastAsia="Calibri" w:cs="Times New Roman"/>
                <w:noProof/>
                <w:sz w:val="22"/>
                <w:lang w:val="en-GB"/>
              </w:rPr>
              <w:t>EU agricultural f</w:t>
            </w:r>
            <w:r w:rsidRPr="00BB5286">
              <w:rPr>
                <w:rFonts w:eastAsia="Calibri" w:cs="Times New Roman"/>
                <w:noProof/>
                <w:sz w:val="22"/>
                <w:lang w:val="en-GB"/>
              </w:rPr>
              <w:t>und</w:t>
            </w:r>
            <w:r w:rsidR="00561635" w:rsidRPr="00BB5286">
              <w:rPr>
                <w:rFonts w:eastAsia="Calibri" w:cs="Times New Roman"/>
                <w:noProof/>
                <w:sz w:val="22"/>
                <w:lang w:val="en-GB"/>
              </w:rPr>
              <w:t>s</w:t>
            </w:r>
            <w:r w:rsidRPr="00BB5286">
              <w:rPr>
                <w:rFonts w:eastAsia="Calibri" w:cs="Times New Roman"/>
                <w:noProof/>
                <w:sz w:val="22"/>
                <w:lang w:val="en-GB"/>
              </w:rPr>
              <w:t xml:space="preserve"> (5% and with possibilities for quantifying this risk).</w:t>
            </w:r>
          </w:p>
        </w:tc>
        <w:tc>
          <w:tcPr>
            <w:tcW w:w="1562" w:type="dxa"/>
            <w:tcBorders>
              <w:top w:val="single" w:sz="4" w:space="0" w:color="auto"/>
              <w:left w:val="single" w:sz="4" w:space="0" w:color="auto"/>
              <w:bottom w:val="single" w:sz="4" w:space="0" w:color="auto"/>
              <w:right w:val="single" w:sz="4" w:space="0" w:color="auto"/>
            </w:tcBorders>
            <w:vAlign w:val="center"/>
          </w:tcPr>
          <w:p w14:paraId="13A119DE"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2" w:type="dxa"/>
            <w:tcBorders>
              <w:top w:val="single" w:sz="4" w:space="0" w:color="auto"/>
              <w:left w:val="single" w:sz="4" w:space="0" w:color="auto"/>
              <w:bottom w:val="single" w:sz="4" w:space="0" w:color="auto"/>
              <w:right w:val="single" w:sz="4" w:space="0" w:color="auto"/>
            </w:tcBorders>
            <w:vAlign w:val="center"/>
          </w:tcPr>
          <w:p w14:paraId="266A0E40" w14:textId="0398F936" w:rsidR="00874EF4" w:rsidRPr="00BB5286" w:rsidRDefault="00874EF4" w:rsidP="00874EF4">
            <w:pPr>
              <w:spacing w:after="60" w:line="259" w:lineRule="auto"/>
              <w:jc w:val="both"/>
              <w:rPr>
                <w:rFonts w:eastAsia="Calibri" w:cs="Times New Roman"/>
                <w:noProof/>
                <w:sz w:val="22"/>
                <w:lang w:val="en-GB"/>
              </w:rPr>
            </w:pPr>
            <w:r w:rsidRPr="00FF77A3">
              <w:rPr>
                <w:rFonts w:eastAsia="Calibri" w:cs="Times New Roman"/>
                <w:noProof/>
                <w:sz w:val="22"/>
                <w:lang w:val="en-GB"/>
              </w:rPr>
              <w:t>Extensive discussions on financial corrections and serious deficiencies took place in the context of the preparation of new guidelines on financial corrections. The proposal to apply financial corrections above a certain threshold was introduced in the guidelines on financial corrections</w:t>
            </w:r>
            <w:r w:rsidR="00D12465" w:rsidRPr="00FF77A3">
              <w:rPr>
                <w:rFonts w:eastAsia="Calibri" w:cs="Times New Roman"/>
                <w:noProof/>
                <w:sz w:val="22"/>
                <w:lang w:val="en-GB"/>
              </w:rPr>
              <w:t xml:space="preserve"> (</w:t>
            </w:r>
            <w:r w:rsidR="009325A4" w:rsidRPr="00FF77A3">
              <w:rPr>
                <w:rFonts w:eastAsia="Calibri" w:cs="Times New Roman"/>
                <w:noProof/>
                <w:sz w:val="22"/>
                <w:lang w:val="en-GB"/>
              </w:rPr>
              <w:t xml:space="preserve">document </w:t>
            </w:r>
            <w:r w:rsidR="00D12465" w:rsidRPr="00FF77A3">
              <w:rPr>
                <w:rFonts w:eastAsia="Calibri" w:cs="Times New Roman"/>
                <w:noProof/>
                <w:sz w:val="22"/>
                <w:lang w:val="en-GB"/>
              </w:rPr>
              <w:t>C</w:t>
            </w:r>
            <w:r w:rsidR="009325A4" w:rsidRPr="00FF77A3">
              <w:rPr>
                <w:rFonts w:eastAsia="Calibri" w:cs="Times New Roman"/>
                <w:noProof/>
                <w:sz w:val="22"/>
                <w:lang w:val="en-GB"/>
              </w:rPr>
              <w:t>/2024/5991)</w:t>
            </w:r>
            <w:r w:rsidRPr="00FF77A3">
              <w:rPr>
                <w:rFonts w:eastAsia="Calibri" w:cs="Times New Roman"/>
                <w:noProof/>
                <w:sz w:val="22"/>
                <w:lang w:val="en-GB"/>
              </w:rPr>
              <w:t>, where the functioning of the Member States</w:t>
            </w:r>
            <w:r w:rsidR="0063538E" w:rsidRPr="00FF77A3">
              <w:rPr>
                <w:rFonts w:eastAsia="Calibri" w:cs="Times New Roman"/>
                <w:noProof/>
                <w:sz w:val="22"/>
                <w:lang w:val="en-GB"/>
              </w:rPr>
              <w:t>’</w:t>
            </w:r>
            <w:r w:rsidRPr="00FF77A3">
              <w:rPr>
                <w:rFonts w:eastAsia="Calibri" w:cs="Times New Roman"/>
                <w:noProof/>
                <w:sz w:val="22"/>
                <w:lang w:val="en-GB"/>
              </w:rPr>
              <w:t xml:space="preserve"> systems is concerned. It was explained that the level of this threshold should be the materiality level for all EU funds, as accepted by the discharge authority.</w:t>
            </w:r>
            <w:r w:rsidRPr="00BB5286">
              <w:rPr>
                <w:rFonts w:eastAsia="Calibri" w:cs="Times New Roman"/>
                <w:noProof/>
                <w:sz w:val="22"/>
                <w:lang w:val="en-GB"/>
              </w:rPr>
              <w:t xml:space="preserve"> </w:t>
            </w:r>
          </w:p>
        </w:tc>
      </w:tr>
      <w:tr w:rsidR="00E67D67" w:rsidRPr="00BB5286" w14:paraId="2D2816A9" w14:textId="77777777" w:rsidTr="00FD703D">
        <w:trPr>
          <w:trHeight w:val="1335"/>
        </w:trPr>
        <w:tc>
          <w:tcPr>
            <w:tcW w:w="716" w:type="dxa"/>
            <w:tcBorders>
              <w:top w:val="single" w:sz="4" w:space="0" w:color="auto"/>
              <w:left w:val="single" w:sz="4" w:space="0" w:color="auto"/>
              <w:bottom w:val="single" w:sz="4" w:space="0" w:color="auto"/>
              <w:right w:val="single" w:sz="4" w:space="0" w:color="auto"/>
            </w:tcBorders>
            <w:vAlign w:val="center"/>
          </w:tcPr>
          <w:p w14:paraId="2BC9AF5C" w14:textId="77777777" w:rsidR="00874EF4" w:rsidRPr="00BB5286" w:rsidRDefault="00874EF4" w:rsidP="00874EF4">
            <w:pPr>
              <w:spacing w:after="60" w:line="259" w:lineRule="auto"/>
              <w:jc w:val="both"/>
              <w:rPr>
                <w:rFonts w:eastAsia="Calibri" w:cs="Times New Roman"/>
                <w:b/>
                <w:noProof/>
                <w:sz w:val="22"/>
                <w:lang w:val="en-GB"/>
              </w:rPr>
            </w:pPr>
            <w:r w:rsidRPr="00BB5286">
              <w:rPr>
                <w:rFonts w:eastAsia="Calibri" w:cs="Times New Roman"/>
                <w:b/>
                <w:noProof/>
                <w:sz w:val="22"/>
                <w:lang w:val="en-GB"/>
              </w:rPr>
              <w:t>118</w:t>
            </w:r>
          </w:p>
        </w:tc>
        <w:tc>
          <w:tcPr>
            <w:tcW w:w="5808" w:type="dxa"/>
            <w:tcBorders>
              <w:top w:val="single" w:sz="4" w:space="0" w:color="auto"/>
              <w:left w:val="single" w:sz="4" w:space="0" w:color="auto"/>
              <w:bottom w:val="single" w:sz="4" w:space="0" w:color="auto"/>
              <w:right w:val="single" w:sz="4" w:space="0" w:color="auto"/>
            </w:tcBorders>
            <w:vAlign w:val="center"/>
          </w:tcPr>
          <w:p w14:paraId="73593044" w14:textId="39F76F51"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b/>
                <w:noProof/>
                <w:sz w:val="22"/>
                <w:lang w:val="en-GB"/>
              </w:rPr>
              <w:t>Control mechanism:</w:t>
            </w:r>
            <w:r w:rsidRPr="00BB5286">
              <w:rPr>
                <w:rFonts w:eastAsia="Calibri" w:cs="Times New Roman"/>
                <w:noProof/>
                <w:sz w:val="22"/>
                <w:lang w:val="en-GB"/>
              </w:rPr>
              <w:t xml:space="preserve"> </w:t>
            </w:r>
            <w:r w:rsidR="00483FE1" w:rsidRPr="00BB5286">
              <w:rPr>
                <w:rFonts w:eastAsia="Calibri" w:cs="Times New Roman"/>
                <w:noProof/>
                <w:sz w:val="22"/>
                <w:lang w:val="en-GB"/>
              </w:rPr>
              <w:t>t</w:t>
            </w:r>
            <w:r w:rsidRPr="00BB5286">
              <w:rPr>
                <w:rFonts w:eastAsia="Calibri" w:cs="Times New Roman"/>
                <w:noProof/>
                <w:sz w:val="22"/>
                <w:lang w:val="en-GB"/>
              </w:rPr>
              <w:t xml:space="preserve">he criteria of ‘efficient Member State control mechanisms’ should be defined in a way that the resource needs of compliance should be proportionate to the financial risk </w:t>
            </w:r>
            <w:r w:rsidR="6D792E6E" w:rsidRPr="00BB5286">
              <w:rPr>
                <w:rFonts w:eastAsia="Calibri" w:cs="Times New Roman"/>
                <w:noProof/>
                <w:sz w:val="22"/>
                <w:lang w:val="en-GB"/>
              </w:rPr>
              <w:t>(</w:t>
            </w:r>
            <w:r w:rsidR="6562513A" w:rsidRPr="00BB5286">
              <w:rPr>
                <w:rFonts w:eastAsia="Calibri" w:cs="Times New Roman"/>
                <w:i/>
                <w:iCs/>
                <w:noProof/>
                <w:sz w:val="22"/>
                <w:lang w:val="en-GB"/>
              </w:rPr>
              <w:t>Art</w:t>
            </w:r>
            <w:r w:rsidR="6C8790C6" w:rsidRPr="00BB5286">
              <w:rPr>
                <w:rFonts w:eastAsia="Calibri" w:cs="Times New Roman"/>
                <w:i/>
                <w:iCs/>
                <w:noProof/>
                <w:sz w:val="22"/>
                <w:lang w:val="en-GB"/>
              </w:rPr>
              <w:t>icles</w:t>
            </w:r>
            <w:r w:rsidRPr="00BB5286">
              <w:rPr>
                <w:rFonts w:eastAsia="Calibri" w:cs="Times New Roman"/>
                <w:i/>
                <w:noProof/>
                <w:sz w:val="22"/>
                <w:lang w:val="en-GB"/>
              </w:rPr>
              <w:t xml:space="preserve"> 59 and 60</w:t>
            </w:r>
            <w:r w:rsidRPr="00BB5286">
              <w:rPr>
                <w:rFonts w:eastAsia="Calibri" w:cs="Times New Roman"/>
                <w:noProof/>
                <w:sz w:val="22"/>
                <w:lang w:val="en-GB"/>
              </w:rPr>
              <w:t xml:space="preserve"> of </w:t>
            </w:r>
            <w:r w:rsidR="65635EB5" w:rsidRPr="00BB5286">
              <w:rPr>
                <w:rFonts w:eastAsia="Calibri" w:cs="Times New Roman"/>
                <w:noProof/>
                <w:sz w:val="22"/>
                <w:lang w:val="en-GB"/>
              </w:rPr>
              <w:t xml:space="preserve">the Horizontal </w:t>
            </w:r>
            <w:r w:rsidRPr="00BB5286">
              <w:rPr>
                <w:rFonts w:eastAsia="Calibri" w:cs="Times New Roman"/>
                <w:noProof/>
                <w:sz w:val="22"/>
                <w:lang w:val="en-GB"/>
              </w:rPr>
              <w:t>Regulation</w:t>
            </w:r>
            <w:r w:rsidR="7C5F34CF" w:rsidRPr="00BB5286">
              <w:rPr>
                <w:rFonts w:eastAsia="Calibri" w:cs="Times New Roman"/>
                <w:noProof/>
                <w:sz w:val="22"/>
                <w:lang w:val="en-GB"/>
              </w:rPr>
              <w:t>)</w:t>
            </w:r>
            <w:r w:rsidR="6562513A" w:rsidRPr="00BB5286">
              <w:rPr>
                <w:rFonts w:eastAsia="Calibri" w:cs="Times New Roman"/>
                <w:noProof/>
                <w:sz w:val="22"/>
                <w:lang w:val="en-GB"/>
              </w:rPr>
              <w:t>.</w:t>
            </w:r>
            <w:r w:rsidRPr="00BB5286">
              <w:rPr>
                <w:rFonts w:eastAsia="Calibri" w:cs="Times New Roman"/>
                <w:noProof/>
                <w:sz w:val="22"/>
                <w:lang w:val="en-GB"/>
              </w:rPr>
              <w:t xml:space="preserve"> </w:t>
            </w:r>
          </w:p>
        </w:tc>
        <w:tc>
          <w:tcPr>
            <w:tcW w:w="1562" w:type="dxa"/>
            <w:tcBorders>
              <w:top w:val="single" w:sz="4" w:space="0" w:color="auto"/>
              <w:left w:val="single" w:sz="4" w:space="0" w:color="auto"/>
              <w:bottom w:val="single" w:sz="4" w:space="0" w:color="auto"/>
              <w:right w:val="single" w:sz="4" w:space="0" w:color="auto"/>
            </w:tcBorders>
            <w:vAlign w:val="center"/>
          </w:tcPr>
          <w:p w14:paraId="3F9D845C"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w:t>
            </w:r>
          </w:p>
        </w:tc>
        <w:tc>
          <w:tcPr>
            <w:tcW w:w="6662" w:type="dxa"/>
            <w:tcBorders>
              <w:top w:val="single" w:sz="4" w:space="0" w:color="auto"/>
              <w:left w:val="single" w:sz="4" w:space="0" w:color="auto"/>
              <w:bottom w:val="single" w:sz="4" w:space="0" w:color="auto"/>
              <w:right w:val="single" w:sz="4" w:space="0" w:color="auto"/>
            </w:tcBorders>
            <w:vAlign w:val="center"/>
          </w:tcPr>
          <w:p w14:paraId="1EB5526E" w14:textId="163C1B68" w:rsidR="00874EF4" w:rsidRPr="00BB5286" w:rsidRDefault="00874EF4" w:rsidP="00874EF4">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criteria for efficient management and control systems have been discussed and set together with the Member States and will be assessed by the </w:t>
            </w:r>
            <w:r w:rsidR="0063538E" w:rsidRPr="00BB5286">
              <w:rPr>
                <w:rFonts w:eastAsia="Calibri" w:cs="Times New Roman"/>
                <w:noProof/>
                <w:sz w:val="22"/>
                <w:lang w:val="en-GB"/>
              </w:rPr>
              <w:t>c</w:t>
            </w:r>
            <w:r w:rsidRPr="00BB5286">
              <w:rPr>
                <w:rFonts w:eastAsia="Calibri" w:cs="Times New Roman"/>
                <w:noProof/>
                <w:sz w:val="22"/>
                <w:lang w:val="en-GB"/>
              </w:rPr>
              <w:t xml:space="preserve">ertification </w:t>
            </w:r>
            <w:r w:rsidR="0063538E" w:rsidRPr="00BB5286">
              <w:rPr>
                <w:rFonts w:eastAsia="Calibri" w:cs="Times New Roman"/>
                <w:noProof/>
                <w:sz w:val="22"/>
                <w:lang w:val="en-GB"/>
              </w:rPr>
              <w:t>b</w:t>
            </w:r>
            <w:r w:rsidRPr="00BB5286">
              <w:rPr>
                <w:rFonts w:eastAsia="Calibri" w:cs="Times New Roman"/>
                <w:noProof/>
                <w:sz w:val="22"/>
                <w:lang w:val="en-GB"/>
              </w:rPr>
              <w:t>odies.</w:t>
            </w:r>
          </w:p>
        </w:tc>
      </w:tr>
      <w:tr w:rsidR="00E67D67" w:rsidRPr="00BB5286" w14:paraId="6CB37AF8" w14:textId="77777777" w:rsidTr="00FD703D">
        <w:trPr>
          <w:trHeight w:val="300"/>
        </w:trPr>
        <w:tc>
          <w:tcPr>
            <w:tcW w:w="716" w:type="dxa"/>
            <w:tcBorders>
              <w:top w:val="single" w:sz="4" w:space="0" w:color="auto"/>
              <w:left w:val="single" w:sz="4" w:space="0" w:color="auto"/>
              <w:bottom w:val="single" w:sz="4" w:space="0" w:color="auto"/>
              <w:right w:val="single" w:sz="4" w:space="0" w:color="auto"/>
            </w:tcBorders>
            <w:vAlign w:val="center"/>
          </w:tcPr>
          <w:p w14:paraId="75FA1CEB" w14:textId="77777777" w:rsidR="00874EF4" w:rsidRPr="00BB5286" w:rsidRDefault="00874EF4" w:rsidP="00874EF4">
            <w:pPr>
              <w:spacing w:after="60" w:line="259" w:lineRule="auto"/>
              <w:jc w:val="both"/>
              <w:rPr>
                <w:rFonts w:eastAsia="Calibri" w:cs="Times New Roman"/>
                <w:b/>
                <w:noProof/>
                <w:sz w:val="22"/>
                <w:lang w:val="en-GB"/>
              </w:rPr>
            </w:pPr>
            <w:r w:rsidRPr="00BB5286">
              <w:rPr>
                <w:rFonts w:eastAsia="Calibri" w:cs="Times New Roman"/>
                <w:b/>
                <w:noProof/>
                <w:sz w:val="22"/>
                <w:lang w:val="en-GB"/>
              </w:rPr>
              <w:lastRenderedPageBreak/>
              <w:t>119</w:t>
            </w:r>
          </w:p>
        </w:tc>
        <w:tc>
          <w:tcPr>
            <w:tcW w:w="5808" w:type="dxa"/>
            <w:tcBorders>
              <w:top w:val="single" w:sz="4" w:space="0" w:color="auto"/>
              <w:left w:val="single" w:sz="4" w:space="0" w:color="auto"/>
              <w:bottom w:val="single" w:sz="4" w:space="0" w:color="auto"/>
              <w:right w:val="single" w:sz="4" w:space="0" w:color="auto"/>
            </w:tcBorders>
            <w:vAlign w:val="center"/>
          </w:tcPr>
          <w:p w14:paraId="5066C9F1" w14:textId="5683881D" w:rsidR="00874EF4" w:rsidRPr="00BB5286" w:rsidRDefault="00874EF4" w:rsidP="00905A56">
            <w:pPr>
              <w:spacing w:before="60" w:after="60" w:line="259" w:lineRule="auto"/>
              <w:jc w:val="both"/>
              <w:rPr>
                <w:rFonts w:eastAsia="Calibri" w:cs="Times New Roman"/>
                <w:noProof/>
                <w:sz w:val="22"/>
                <w:lang w:val="en-GB"/>
              </w:rPr>
            </w:pPr>
            <w:r w:rsidRPr="00BB5286">
              <w:rPr>
                <w:rFonts w:eastAsia="Calibri" w:cs="Times New Roman"/>
                <w:b/>
                <w:noProof/>
                <w:sz w:val="22"/>
                <w:lang w:val="en-GB"/>
              </w:rPr>
              <w:t>Certification bodies:</w:t>
            </w:r>
            <w:r w:rsidRPr="00BB5286">
              <w:rPr>
                <w:rFonts w:eastAsia="Calibri" w:cs="Times New Roman"/>
                <w:noProof/>
                <w:sz w:val="22"/>
                <w:lang w:val="en-GB"/>
              </w:rPr>
              <w:t xml:space="preserve"> </w:t>
            </w:r>
            <w:r w:rsidR="3345D742" w:rsidRPr="00BB5286">
              <w:rPr>
                <w:rFonts w:eastAsia="Calibri" w:cs="Times New Roman"/>
                <w:noProof/>
                <w:sz w:val="22"/>
                <w:lang w:val="en-GB"/>
              </w:rPr>
              <w:t>w</w:t>
            </w:r>
            <w:r w:rsidRPr="00BB5286">
              <w:rPr>
                <w:rFonts w:eastAsia="Calibri" w:cs="Times New Roman"/>
                <w:noProof/>
                <w:sz w:val="22"/>
                <w:lang w:val="en-GB"/>
              </w:rPr>
              <w:t>e invite the Commission to review and revise the content of guidelines for certification bodies (GL3) and reduce the required amount of information to the minimum necessary. For audit objective 2, the Commission is asked to consider the level of granularity of the information needed regarding the sample size and the sampling approach per intervention.</w:t>
            </w:r>
          </w:p>
          <w:p w14:paraId="125DFCEB" w14:textId="3D84BB50" w:rsidR="00874EF4" w:rsidRPr="00BB5286" w:rsidRDefault="3412B352" w:rsidP="00905A56">
            <w:pPr>
              <w:spacing w:before="60" w:after="60" w:line="259" w:lineRule="auto"/>
              <w:jc w:val="both"/>
              <w:rPr>
                <w:rFonts w:eastAsia="Calibri" w:cs="Times New Roman"/>
                <w:noProof/>
                <w:sz w:val="22"/>
                <w:lang w:val="en-GB"/>
              </w:rPr>
            </w:pPr>
            <w:r w:rsidRPr="00BB5286">
              <w:rPr>
                <w:rFonts w:eastAsia="Calibri" w:cs="Times New Roman"/>
                <w:i/>
                <w:noProof/>
                <w:sz w:val="22"/>
                <w:lang w:val="en-GB"/>
              </w:rPr>
              <w:t>(</w:t>
            </w:r>
            <w:r w:rsidR="00874EF4" w:rsidRPr="00BB5286">
              <w:rPr>
                <w:rFonts w:eastAsia="Calibri" w:cs="Times New Roman"/>
                <w:i/>
                <w:noProof/>
                <w:sz w:val="22"/>
                <w:lang w:val="en-GB"/>
              </w:rPr>
              <w:t>Articles 9 and 51</w:t>
            </w:r>
            <w:r w:rsidR="00874EF4" w:rsidRPr="00BB5286">
              <w:rPr>
                <w:rFonts w:eastAsia="Calibri" w:cs="Times New Roman"/>
                <w:noProof/>
                <w:sz w:val="22"/>
                <w:lang w:val="en-GB"/>
              </w:rPr>
              <w:t xml:space="preserve"> of Regulation (EU) 1306/2013</w:t>
            </w:r>
            <w:r w:rsidR="77C96687" w:rsidRPr="00BB5286">
              <w:rPr>
                <w:rFonts w:eastAsia="Calibri" w:cs="Times New Roman"/>
                <w:noProof/>
                <w:sz w:val="22"/>
                <w:lang w:val="en-GB"/>
              </w:rPr>
              <w:t>,</w:t>
            </w:r>
            <w:r w:rsidR="6562513A" w:rsidRPr="00BB5286">
              <w:rPr>
                <w:rFonts w:eastAsia="Calibri" w:cs="Times New Roman"/>
                <w:noProof/>
                <w:sz w:val="22"/>
                <w:lang w:val="en-GB"/>
              </w:rPr>
              <w:t xml:space="preserve"> </w:t>
            </w:r>
            <w:r w:rsidR="6562513A" w:rsidRPr="00BB5286">
              <w:rPr>
                <w:rFonts w:eastAsia="Calibri" w:cs="Times New Roman"/>
                <w:i/>
                <w:iCs/>
                <w:noProof/>
                <w:sz w:val="22"/>
                <w:lang w:val="en-GB"/>
              </w:rPr>
              <w:t>Art</w:t>
            </w:r>
            <w:r w:rsidR="2F9D555C" w:rsidRPr="00BB5286">
              <w:rPr>
                <w:rFonts w:eastAsia="Calibri" w:cs="Times New Roman"/>
                <w:i/>
                <w:iCs/>
                <w:noProof/>
                <w:sz w:val="22"/>
                <w:lang w:val="en-GB"/>
              </w:rPr>
              <w:t>icles</w:t>
            </w:r>
            <w:r w:rsidR="00874EF4" w:rsidRPr="00BB5286">
              <w:rPr>
                <w:rFonts w:eastAsia="Calibri" w:cs="Times New Roman"/>
                <w:i/>
                <w:noProof/>
                <w:sz w:val="22"/>
                <w:lang w:val="en-GB"/>
              </w:rPr>
              <w:t xml:space="preserve"> 5 to 7 and 29 to 33</w:t>
            </w:r>
            <w:r w:rsidR="00874EF4" w:rsidRPr="00BB5286">
              <w:rPr>
                <w:rFonts w:eastAsia="Calibri" w:cs="Times New Roman"/>
                <w:noProof/>
                <w:sz w:val="22"/>
                <w:lang w:val="en-GB"/>
              </w:rPr>
              <w:t xml:space="preserve"> of </w:t>
            </w:r>
            <w:r w:rsidR="000B5973" w:rsidRPr="00BB5286">
              <w:rPr>
                <w:rFonts w:eastAsia="Calibri" w:cs="Times New Roman"/>
                <w:noProof/>
                <w:sz w:val="22"/>
                <w:lang w:val="en-GB"/>
              </w:rPr>
              <w:t xml:space="preserve">Commission </w:t>
            </w:r>
            <w:r w:rsidR="00874EF4" w:rsidRPr="00BB5286">
              <w:rPr>
                <w:rFonts w:eastAsia="Calibri" w:cs="Times New Roman"/>
                <w:noProof/>
                <w:sz w:val="22"/>
                <w:lang w:val="en-GB"/>
              </w:rPr>
              <w:t>Implementing Regulation (EU) 908/2014</w:t>
            </w:r>
            <w:r w:rsidR="1DCB9C48" w:rsidRPr="00BB5286">
              <w:rPr>
                <w:rFonts w:eastAsia="Calibri" w:cs="Times New Roman"/>
                <w:noProof/>
                <w:sz w:val="22"/>
                <w:lang w:val="en-GB"/>
              </w:rPr>
              <w:t>,</w:t>
            </w:r>
            <w:r w:rsidR="6562513A" w:rsidRPr="00BB5286">
              <w:rPr>
                <w:rFonts w:eastAsia="Calibri" w:cs="Times New Roman"/>
                <w:noProof/>
                <w:sz w:val="22"/>
                <w:lang w:val="en-GB"/>
              </w:rPr>
              <w:t xml:space="preserve"> </w:t>
            </w:r>
            <w:r w:rsidR="6562513A" w:rsidRPr="00BB5286">
              <w:rPr>
                <w:rFonts w:eastAsia="Calibri" w:cs="Times New Roman"/>
                <w:i/>
                <w:iCs/>
                <w:noProof/>
                <w:sz w:val="22"/>
                <w:lang w:val="en-GB"/>
              </w:rPr>
              <w:t>Art</w:t>
            </w:r>
            <w:r w:rsidR="537229EA" w:rsidRPr="00BB5286">
              <w:rPr>
                <w:rFonts w:eastAsia="Calibri" w:cs="Times New Roman"/>
                <w:i/>
                <w:iCs/>
                <w:noProof/>
                <w:sz w:val="22"/>
                <w:lang w:val="en-GB"/>
              </w:rPr>
              <w:t>icles</w:t>
            </w:r>
            <w:r w:rsidR="00874EF4" w:rsidRPr="00BB5286">
              <w:rPr>
                <w:rFonts w:eastAsia="Calibri" w:cs="Times New Roman"/>
                <w:i/>
                <w:noProof/>
                <w:sz w:val="22"/>
                <w:lang w:val="en-GB"/>
              </w:rPr>
              <w:t xml:space="preserve"> 12, 53 and 54</w:t>
            </w:r>
            <w:r w:rsidR="00874EF4" w:rsidRPr="00BB5286">
              <w:rPr>
                <w:rFonts w:eastAsia="Calibri" w:cs="Times New Roman"/>
                <w:noProof/>
                <w:sz w:val="22"/>
                <w:lang w:val="en-GB"/>
              </w:rPr>
              <w:t xml:space="preserve"> of </w:t>
            </w:r>
            <w:r w:rsidR="46B0EFF3" w:rsidRPr="00BB5286">
              <w:rPr>
                <w:rFonts w:eastAsia="Calibri" w:cs="Times New Roman"/>
                <w:noProof/>
                <w:sz w:val="22"/>
                <w:lang w:val="en-GB"/>
              </w:rPr>
              <w:t xml:space="preserve">the Horizontal </w:t>
            </w:r>
            <w:r w:rsidR="00874EF4" w:rsidRPr="00BB5286">
              <w:rPr>
                <w:rFonts w:eastAsia="Calibri" w:cs="Times New Roman"/>
                <w:noProof/>
                <w:sz w:val="22"/>
                <w:lang w:val="en-GB"/>
              </w:rPr>
              <w:t>Regulation</w:t>
            </w:r>
            <w:r w:rsidR="63DEF4CC" w:rsidRPr="00BB5286">
              <w:rPr>
                <w:rFonts w:eastAsia="Calibri" w:cs="Times New Roman"/>
                <w:noProof/>
                <w:sz w:val="22"/>
                <w:lang w:val="en-GB"/>
              </w:rPr>
              <w:t>,</w:t>
            </w:r>
            <w:r w:rsidR="6562513A" w:rsidRPr="00BB5286">
              <w:rPr>
                <w:rFonts w:eastAsia="Calibri" w:cs="Times New Roman"/>
                <w:noProof/>
                <w:sz w:val="22"/>
                <w:lang w:val="en-GB"/>
              </w:rPr>
              <w:t xml:space="preserve"> </w:t>
            </w:r>
            <w:r w:rsidR="6562513A" w:rsidRPr="00BB5286">
              <w:rPr>
                <w:rFonts w:eastAsia="Calibri" w:cs="Times New Roman"/>
                <w:i/>
                <w:iCs/>
                <w:noProof/>
                <w:sz w:val="22"/>
                <w:lang w:val="en-GB"/>
              </w:rPr>
              <w:t>Art</w:t>
            </w:r>
            <w:r w:rsidR="4C45ADE8" w:rsidRPr="00BB5286">
              <w:rPr>
                <w:rFonts w:eastAsia="Calibri" w:cs="Times New Roman"/>
                <w:i/>
                <w:iCs/>
                <w:noProof/>
                <w:sz w:val="22"/>
                <w:lang w:val="en-GB"/>
              </w:rPr>
              <w:t>icles</w:t>
            </w:r>
            <w:r w:rsidR="00874EF4" w:rsidRPr="00BB5286">
              <w:rPr>
                <w:rFonts w:eastAsia="Calibri" w:cs="Times New Roman"/>
                <w:i/>
                <w:noProof/>
                <w:sz w:val="22"/>
                <w:lang w:val="en-GB"/>
              </w:rPr>
              <w:t xml:space="preserve"> 5 to 7 and 32 to 36</w:t>
            </w:r>
            <w:r w:rsidR="00874EF4" w:rsidRPr="00BB5286">
              <w:rPr>
                <w:rFonts w:eastAsia="Calibri" w:cs="Times New Roman"/>
                <w:noProof/>
                <w:sz w:val="22"/>
                <w:lang w:val="en-GB"/>
              </w:rPr>
              <w:t xml:space="preserve"> of </w:t>
            </w:r>
            <w:r w:rsidR="000B5973" w:rsidRPr="00BB5286">
              <w:rPr>
                <w:rFonts w:eastAsia="Calibri" w:cs="Times New Roman"/>
                <w:noProof/>
                <w:sz w:val="22"/>
                <w:lang w:val="en-GB"/>
              </w:rPr>
              <w:t xml:space="preserve">Commission </w:t>
            </w:r>
            <w:r w:rsidR="00874EF4" w:rsidRPr="00BB5286">
              <w:rPr>
                <w:rFonts w:eastAsia="Calibri" w:cs="Times New Roman"/>
                <w:noProof/>
                <w:sz w:val="22"/>
                <w:lang w:val="en-GB"/>
              </w:rPr>
              <w:t>Implementing Regulation (EU) 2022/128</w:t>
            </w:r>
            <w:r w:rsidR="4A163D4B" w:rsidRPr="00BB5286">
              <w:rPr>
                <w:rFonts w:eastAsia="Calibri" w:cs="Times New Roman"/>
                <w:noProof/>
                <w:sz w:val="22"/>
                <w:lang w:val="en-GB"/>
              </w:rPr>
              <w:t>)</w:t>
            </w:r>
          </w:p>
        </w:tc>
        <w:tc>
          <w:tcPr>
            <w:tcW w:w="1562" w:type="dxa"/>
            <w:tcBorders>
              <w:top w:val="single" w:sz="4" w:space="0" w:color="auto"/>
              <w:left w:val="single" w:sz="4" w:space="0" w:color="auto"/>
              <w:bottom w:val="single" w:sz="4" w:space="0" w:color="auto"/>
              <w:right w:val="single" w:sz="4" w:space="0" w:color="auto"/>
            </w:tcBorders>
            <w:vAlign w:val="center"/>
          </w:tcPr>
          <w:p w14:paraId="3ABC7918" w14:textId="77777777" w:rsidR="00874EF4" w:rsidRPr="00BB5286" w:rsidRDefault="00874EF4" w:rsidP="00874EF4">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w:t>
            </w:r>
          </w:p>
        </w:tc>
        <w:tc>
          <w:tcPr>
            <w:tcW w:w="6662" w:type="dxa"/>
            <w:tcBorders>
              <w:top w:val="single" w:sz="4" w:space="0" w:color="auto"/>
              <w:left w:val="single" w:sz="4" w:space="0" w:color="auto"/>
              <w:bottom w:val="single" w:sz="4" w:space="0" w:color="auto"/>
              <w:right w:val="single" w:sz="4" w:space="0" w:color="auto"/>
            </w:tcBorders>
            <w:vAlign w:val="center"/>
          </w:tcPr>
          <w:p w14:paraId="6B7E709F" w14:textId="72DA651D" w:rsidR="00874EF4" w:rsidRPr="00BB5286" w:rsidRDefault="00874EF4" w:rsidP="00874EF4">
            <w:pPr>
              <w:spacing w:after="60" w:line="259" w:lineRule="auto"/>
              <w:jc w:val="both"/>
              <w:rPr>
                <w:rFonts w:eastAsia="Calibri" w:cs="Times New Roman"/>
                <w:noProof/>
                <w:sz w:val="22"/>
                <w:lang w:val="en-GB"/>
              </w:rPr>
            </w:pPr>
            <w:r w:rsidRPr="674B6D4E">
              <w:rPr>
                <w:rFonts w:eastAsia="Calibri" w:cs="Times New Roman"/>
                <w:noProof/>
                <w:sz w:val="22"/>
                <w:lang w:val="en-GB"/>
              </w:rPr>
              <w:t xml:space="preserve">The feasibility and the impact of the proposal is under examination and GL3 for </w:t>
            </w:r>
            <w:r w:rsidR="0063538E" w:rsidRPr="674B6D4E">
              <w:rPr>
                <w:rFonts w:eastAsia="Calibri" w:cs="Times New Roman"/>
                <w:noProof/>
                <w:sz w:val="22"/>
                <w:lang w:val="en-GB"/>
              </w:rPr>
              <w:t>c</w:t>
            </w:r>
            <w:r w:rsidRPr="674B6D4E">
              <w:rPr>
                <w:rFonts w:eastAsia="Calibri" w:cs="Times New Roman"/>
                <w:noProof/>
                <w:sz w:val="22"/>
                <w:lang w:val="en-GB"/>
              </w:rPr>
              <w:t xml:space="preserve">ertification </w:t>
            </w:r>
            <w:r w:rsidR="0063538E" w:rsidRPr="674B6D4E">
              <w:rPr>
                <w:rFonts w:eastAsia="Calibri" w:cs="Times New Roman"/>
                <w:noProof/>
                <w:sz w:val="22"/>
                <w:lang w:val="en-GB"/>
              </w:rPr>
              <w:t>b</w:t>
            </w:r>
            <w:r w:rsidRPr="674B6D4E">
              <w:rPr>
                <w:rFonts w:eastAsia="Calibri" w:cs="Times New Roman"/>
                <w:noProof/>
                <w:sz w:val="22"/>
                <w:lang w:val="en-GB"/>
              </w:rPr>
              <w:t>odies will be updated by autumn 2024.</w:t>
            </w:r>
            <w:r w:rsidRPr="00BB5286">
              <w:rPr>
                <w:rFonts w:eastAsia="Calibri" w:cs="Times New Roman"/>
                <w:noProof/>
                <w:sz w:val="22"/>
                <w:lang w:val="en-GB"/>
              </w:rPr>
              <w:t xml:space="preserve">   </w:t>
            </w:r>
          </w:p>
        </w:tc>
      </w:tr>
      <w:tr w:rsidR="00BD6E31" w:rsidRPr="00BB5286" w14:paraId="6A0D304E" w14:textId="77777777" w:rsidTr="00905A56">
        <w:trPr>
          <w:trHeight w:val="1750"/>
        </w:trPr>
        <w:tc>
          <w:tcPr>
            <w:tcW w:w="716" w:type="dxa"/>
            <w:tcBorders>
              <w:top w:val="single" w:sz="4" w:space="0" w:color="auto"/>
              <w:left w:val="single" w:sz="4" w:space="0" w:color="auto"/>
              <w:bottom w:val="single" w:sz="4" w:space="0" w:color="auto"/>
              <w:right w:val="single" w:sz="4" w:space="0" w:color="auto"/>
            </w:tcBorders>
            <w:vAlign w:val="center"/>
          </w:tcPr>
          <w:p w14:paraId="3C817BFF" w14:textId="77777777" w:rsidR="00874EF4" w:rsidRPr="00BB5286" w:rsidRDefault="00874EF4" w:rsidP="00874EF4">
            <w:pPr>
              <w:spacing w:after="60" w:line="259" w:lineRule="auto"/>
              <w:jc w:val="both"/>
              <w:rPr>
                <w:rFonts w:eastAsia="Calibri" w:cs="Times New Roman"/>
                <w:b/>
                <w:noProof/>
                <w:sz w:val="22"/>
                <w:lang w:val="en-GB"/>
              </w:rPr>
            </w:pPr>
            <w:bookmarkStart w:id="149" w:name="_Hlk183696826"/>
            <w:r w:rsidRPr="00BB5286">
              <w:rPr>
                <w:rFonts w:eastAsia="Calibri" w:cs="Times New Roman"/>
                <w:b/>
                <w:noProof/>
                <w:sz w:val="22"/>
                <w:lang w:val="en-GB"/>
              </w:rPr>
              <w:t>120</w:t>
            </w:r>
          </w:p>
        </w:tc>
        <w:tc>
          <w:tcPr>
            <w:tcW w:w="5808" w:type="dxa"/>
            <w:tcBorders>
              <w:top w:val="single" w:sz="4" w:space="0" w:color="auto"/>
              <w:left w:val="single" w:sz="4" w:space="0" w:color="auto"/>
              <w:bottom w:val="single" w:sz="4" w:space="0" w:color="auto"/>
              <w:right w:val="single" w:sz="4" w:space="0" w:color="auto"/>
            </w:tcBorders>
          </w:tcPr>
          <w:p w14:paraId="6FE078DA" w14:textId="51168A02" w:rsidR="00874EF4" w:rsidRPr="00A36E1E" w:rsidRDefault="00874EF4" w:rsidP="00905A56">
            <w:pPr>
              <w:spacing w:before="60" w:after="60" w:line="259" w:lineRule="auto"/>
              <w:jc w:val="both"/>
              <w:rPr>
                <w:rFonts w:eastAsia="Calibri" w:cs="Times New Roman"/>
                <w:b/>
                <w:noProof/>
                <w:sz w:val="22"/>
                <w:lang w:val="en-GB"/>
              </w:rPr>
            </w:pPr>
            <w:r w:rsidRPr="00A36E1E">
              <w:rPr>
                <w:rFonts w:eastAsia="Calibri" w:cs="Times New Roman"/>
                <w:b/>
                <w:noProof/>
                <w:sz w:val="22"/>
                <w:lang w:val="en-GB"/>
              </w:rPr>
              <w:t>APR/</w:t>
            </w:r>
            <w:r w:rsidRPr="5A20B1A9">
              <w:rPr>
                <w:rFonts w:eastAsia="Calibri" w:cs="Times New Roman"/>
                <w:b/>
                <w:noProof/>
                <w:sz w:val="22"/>
                <w:lang w:val="en-GB"/>
              </w:rPr>
              <w:t xml:space="preserve">justification </w:t>
            </w:r>
            <w:r w:rsidR="0063538E" w:rsidRPr="5A20B1A9">
              <w:rPr>
                <w:rFonts w:eastAsia="Calibri" w:cs="Times New Roman"/>
                <w:b/>
                <w:noProof/>
                <w:sz w:val="22"/>
                <w:lang w:val="en-GB"/>
              </w:rPr>
              <w:t>and</w:t>
            </w:r>
            <w:r w:rsidRPr="5A20B1A9">
              <w:rPr>
                <w:rFonts w:eastAsia="Calibri" w:cs="Times New Roman"/>
                <w:b/>
                <w:noProof/>
                <w:sz w:val="22"/>
                <w:lang w:val="en-GB"/>
              </w:rPr>
              <w:t xml:space="preserve"> unit amount</w:t>
            </w:r>
            <w:r w:rsidRPr="00A36E1E">
              <w:rPr>
                <w:rFonts w:eastAsia="Calibri" w:cs="Times New Roman"/>
                <w:b/>
                <w:noProof/>
                <w:sz w:val="22"/>
                <w:lang w:val="en-GB"/>
              </w:rPr>
              <w:t>:</w:t>
            </w:r>
            <w:r w:rsidRPr="00A36E1E">
              <w:rPr>
                <w:rFonts w:eastAsia="Calibri" w:cs="Times New Roman"/>
                <w:noProof/>
                <w:sz w:val="22"/>
                <w:lang w:val="en-GB"/>
              </w:rPr>
              <w:t xml:space="preserve"> </w:t>
            </w:r>
            <w:r w:rsidR="4E01EA0B" w:rsidRPr="00A36E1E">
              <w:rPr>
                <w:rFonts w:eastAsia="Calibri" w:cs="Times New Roman"/>
                <w:noProof/>
                <w:sz w:val="22"/>
                <w:lang w:val="en-GB"/>
              </w:rPr>
              <w:t>s</w:t>
            </w:r>
            <w:r w:rsidRPr="00A36E1E">
              <w:rPr>
                <w:rFonts w:eastAsia="Calibri" w:cs="Times New Roman"/>
                <w:noProof/>
                <w:sz w:val="22"/>
                <w:lang w:val="en-GB"/>
              </w:rPr>
              <w:t>implify data/ justification requirements for the</w:t>
            </w:r>
            <w:r w:rsidR="000874A6" w:rsidRPr="00A36E1E">
              <w:rPr>
                <w:rFonts w:eastAsia="Calibri" w:cs="Times New Roman"/>
                <w:noProof/>
                <w:sz w:val="22"/>
                <w:lang w:val="en-GB"/>
              </w:rPr>
              <w:t xml:space="preserve"> </w:t>
            </w:r>
            <w:r w:rsidR="0063538E" w:rsidRPr="00A36E1E">
              <w:rPr>
                <w:rFonts w:eastAsia="Calibri" w:cs="Times New Roman"/>
                <w:noProof/>
                <w:sz w:val="22"/>
                <w:lang w:val="en-GB"/>
              </w:rPr>
              <w:t>a</w:t>
            </w:r>
            <w:r w:rsidRPr="00A36E1E">
              <w:rPr>
                <w:rFonts w:eastAsia="Calibri" w:cs="Times New Roman"/>
                <w:noProof/>
                <w:sz w:val="22"/>
                <w:lang w:val="en-GB"/>
              </w:rPr>
              <w:t xml:space="preserve">nnual </w:t>
            </w:r>
            <w:r w:rsidR="0063538E" w:rsidRPr="00A36E1E">
              <w:rPr>
                <w:rFonts w:eastAsia="Calibri" w:cs="Times New Roman"/>
                <w:noProof/>
                <w:sz w:val="22"/>
                <w:lang w:val="en-GB"/>
              </w:rPr>
              <w:t>p</w:t>
            </w:r>
            <w:r w:rsidRPr="00A36E1E">
              <w:rPr>
                <w:rFonts w:eastAsia="Calibri" w:cs="Times New Roman"/>
                <w:noProof/>
                <w:sz w:val="22"/>
                <w:lang w:val="en-GB"/>
              </w:rPr>
              <w:t xml:space="preserve">erformance </w:t>
            </w:r>
            <w:r w:rsidR="0063538E" w:rsidRPr="00A36E1E">
              <w:rPr>
                <w:rFonts w:eastAsia="Calibri" w:cs="Times New Roman"/>
                <w:noProof/>
                <w:sz w:val="22"/>
                <w:lang w:val="en-GB"/>
              </w:rPr>
              <w:t>c</w:t>
            </w:r>
            <w:r w:rsidRPr="00A36E1E">
              <w:rPr>
                <w:rFonts w:eastAsia="Calibri" w:cs="Times New Roman"/>
                <w:noProof/>
                <w:sz w:val="22"/>
                <w:lang w:val="en-GB"/>
              </w:rPr>
              <w:t>learance and/or remove the potential financial consequences for Member States if the realised unit amount of an intervention exceeds the planned</w:t>
            </w:r>
            <w:r w:rsidR="0063538E" w:rsidRPr="00A36E1E">
              <w:rPr>
                <w:rFonts w:eastAsia="Calibri" w:cs="Times New Roman"/>
                <w:noProof/>
                <w:sz w:val="22"/>
                <w:lang w:val="en-GB"/>
              </w:rPr>
              <w:t xml:space="preserve"> </w:t>
            </w:r>
            <w:r w:rsidRPr="00A36E1E">
              <w:rPr>
                <w:rFonts w:eastAsia="Calibri" w:cs="Times New Roman"/>
                <w:noProof/>
                <w:sz w:val="22"/>
                <w:lang w:val="en-GB"/>
              </w:rPr>
              <w:t xml:space="preserve">unit amount. </w:t>
            </w:r>
            <w:r w:rsidR="4CF8D245" w:rsidRPr="00A36E1E">
              <w:rPr>
                <w:rFonts w:eastAsia="Calibri" w:cs="Times New Roman"/>
                <w:noProof/>
                <w:sz w:val="22"/>
                <w:lang w:val="en-GB"/>
              </w:rPr>
              <w:t>(</w:t>
            </w:r>
            <w:r w:rsidRPr="00A36E1E">
              <w:rPr>
                <w:rFonts w:eastAsia="Calibri" w:cs="Times New Roman"/>
                <w:i/>
                <w:noProof/>
                <w:sz w:val="22"/>
                <w:lang w:val="en-GB"/>
              </w:rPr>
              <w:t xml:space="preserve">Article 134(6) </w:t>
            </w:r>
            <w:r w:rsidR="0063538E" w:rsidRPr="00A36E1E">
              <w:rPr>
                <w:rFonts w:eastAsia="Calibri" w:cs="Times New Roman"/>
                <w:i/>
                <w:noProof/>
                <w:sz w:val="22"/>
                <w:lang w:val="en-GB"/>
              </w:rPr>
              <w:t>(</w:t>
            </w:r>
            <w:r w:rsidRPr="00A36E1E">
              <w:rPr>
                <w:rFonts w:eastAsia="Calibri" w:cs="Times New Roman"/>
                <w:i/>
                <w:noProof/>
                <w:sz w:val="22"/>
                <w:lang w:val="en-GB"/>
              </w:rPr>
              <w:t xml:space="preserve">a) and </w:t>
            </w:r>
            <w:r w:rsidR="0063538E" w:rsidRPr="00A36E1E">
              <w:rPr>
                <w:rFonts w:eastAsia="Calibri" w:cs="Times New Roman"/>
                <w:i/>
                <w:noProof/>
                <w:sz w:val="22"/>
                <w:lang w:val="en-GB"/>
              </w:rPr>
              <w:t>(</w:t>
            </w:r>
            <w:r w:rsidRPr="00A36E1E">
              <w:rPr>
                <w:rFonts w:eastAsia="Calibri" w:cs="Times New Roman"/>
                <w:i/>
                <w:noProof/>
                <w:sz w:val="22"/>
                <w:lang w:val="en-GB"/>
              </w:rPr>
              <w:t xml:space="preserve">b) </w:t>
            </w:r>
            <w:r w:rsidRPr="00A36E1E">
              <w:rPr>
                <w:rFonts w:eastAsia="Calibri" w:cs="Times New Roman"/>
                <w:noProof/>
                <w:sz w:val="22"/>
                <w:lang w:val="en-GB"/>
              </w:rPr>
              <w:t xml:space="preserve">of </w:t>
            </w:r>
            <w:r w:rsidR="4A86785F" w:rsidRPr="00A36E1E">
              <w:rPr>
                <w:rFonts w:eastAsia="Calibri" w:cs="Times New Roman"/>
                <w:noProof/>
                <w:sz w:val="22"/>
                <w:lang w:val="en-GB"/>
              </w:rPr>
              <w:t xml:space="preserve">the CSP </w:t>
            </w:r>
            <w:r w:rsidRPr="00A36E1E">
              <w:rPr>
                <w:rFonts w:eastAsia="Calibri" w:cs="Times New Roman"/>
                <w:noProof/>
                <w:sz w:val="22"/>
                <w:lang w:val="en-GB"/>
              </w:rPr>
              <w:t>Regulation)</w:t>
            </w:r>
            <w:r w:rsidR="004C5DD2" w:rsidRPr="00A36E1E">
              <w:rPr>
                <w:rFonts w:eastAsia="Calibri" w:cs="Times New Roman"/>
                <w:noProof/>
                <w:sz w:val="22"/>
                <w:lang w:val="en-GB"/>
              </w:rPr>
              <w:t>.</w:t>
            </w:r>
          </w:p>
        </w:tc>
        <w:tc>
          <w:tcPr>
            <w:tcW w:w="1562" w:type="dxa"/>
            <w:tcBorders>
              <w:top w:val="single" w:sz="4" w:space="0" w:color="auto"/>
              <w:left w:val="single" w:sz="4" w:space="0" w:color="auto"/>
              <w:bottom w:val="single" w:sz="4" w:space="0" w:color="auto"/>
              <w:right w:val="single" w:sz="4" w:space="0" w:color="auto"/>
            </w:tcBorders>
            <w:vAlign w:val="center"/>
          </w:tcPr>
          <w:p w14:paraId="1189322B" w14:textId="77777777" w:rsidR="00874EF4" w:rsidRPr="00A36E1E" w:rsidRDefault="00874EF4" w:rsidP="00874EF4">
            <w:pPr>
              <w:spacing w:after="60" w:line="259" w:lineRule="auto"/>
              <w:jc w:val="center"/>
              <w:rPr>
                <w:rFonts w:eastAsia="MS Gothic" w:cs="Times New Roman"/>
                <w:b/>
                <w:noProof/>
                <w:color w:val="0033CC"/>
                <w:sz w:val="22"/>
                <w:lang w:val="en-GB"/>
              </w:rPr>
            </w:pPr>
            <w:r w:rsidRPr="00A36E1E">
              <w:rPr>
                <w:rFonts w:eastAsia="MS Gothic" w:cs="Times New Roman"/>
                <w:b/>
                <w:noProof/>
                <w:color w:val="0033CC"/>
                <w:sz w:val="22"/>
                <w:lang w:val="en-GB"/>
              </w:rPr>
              <w:t>HU, SI</w:t>
            </w:r>
          </w:p>
          <w:p w14:paraId="57564F8C" w14:textId="77777777" w:rsidR="00874EF4" w:rsidRPr="00A36E1E" w:rsidRDefault="00874EF4" w:rsidP="00874EF4">
            <w:pPr>
              <w:spacing w:after="60" w:line="259" w:lineRule="auto"/>
              <w:jc w:val="center"/>
              <w:rPr>
                <w:rFonts w:eastAsia="MS Gothic" w:cs="Times New Roman"/>
                <w:b/>
                <w:noProof/>
                <w:color w:val="0033CC"/>
                <w:sz w:val="22"/>
                <w:lang w:val="en-GB"/>
              </w:rPr>
            </w:pPr>
          </w:p>
        </w:tc>
        <w:tc>
          <w:tcPr>
            <w:tcW w:w="6662" w:type="dxa"/>
            <w:tcBorders>
              <w:top w:val="single" w:sz="4" w:space="0" w:color="auto"/>
              <w:left w:val="single" w:sz="4" w:space="0" w:color="auto"/>
              <w:bottom w:val="single" w:sz="4" w:space="0" w:color="auto"/>
              <w:right w:val="single" w:sz="4" w:space="0" w:color="auto"/>
            </w:tcBorders>
            <w:vAlign w:val="center"/>
          </w:tcPr>
          <w:p w14:paraId="374B97D9" w14:textId="693D9093" w:rsidR="00874EF4" w:rsidRPr="00A36E1E" w:rsidRDefault="58F4979B" w:rsidP="0022612D">
            <w:pPr>
              <w:spacing w:after="60" w:line="259" w:lineRule="auto"/>
              <w:jc w:val="both"/>
              <w:rPr>
                <w:rFonts w:eastAsia="Times New Roman" w:cs="Times New Roman"/>
                <w:noProof/>
                <w:sz w:val="22"/>
                <w:lang w:val="en-GB"/>
              </w:rPr>
            </w:pPr>
            <w:r w:rsidRPr="00FF77A3">
              <w:rPr>
                <w:rFonts w:eastAsia="Times New Roman" w:cs="Times New Roman"/>
                <w:noProof/>
                <w:color w:val="000000" w:themeColor="text1"/>
                <w:sz w:val="22"/>
                <w:lang w:val="en-GB"/>
              </w:rPr>
              <w:t xml:space="preserve">Based on the first annual performance clearance, there has been discussion with the Member States on the lessons learned in the Expert Group for Horizontal Questions concerning the CAP and the possible ways forward to streamline the exercise in the future. </w:t>
            </w:r>
            <w:r w:rsidR="00AC7306">
              <w:rPr>
                <w:rFonts w:eastAsia="Times New Roman" w:cs="Times New Roman"/>
                <w:noProof/>
                <w:color w:val="000000" w:themeColor="text1"/>
                <w:sz w:val="22"/>
                <w:lang w:val="en-GB"/>
              </w:rPr>
              <w:t xml:space="preserve">Several options to simplify the exercise </w:t>
            </w:r>
            <w:r w:rsidR="009B3CAA">
              <w:rPr>
                <w:rFonts w:eastAsia="Times New Roman" w:cs="Times New Roman"/>
                <w:noProof/>
                <w:color w:val="000000" w:themeColor="text1"/>
                <w:sz w:val="22"/>
                <w:lang w:val="en-GB"/>
              </w:rPr>
              <w:t>were</w:t>
            </w:r>
            <w:r w:rsidRPr="00FF77A3">
              <w:rPr>
                <w:rFonts w:eastAsia="Times New Roman" w:cs="Times New Roman"/>
                <w:noProof/>
                <w:color w:val="000000" w:themeColor="text1"/>
                <w:sz w:val="22"/>
                <w:lang w:val="en-GB"/>
              </w:rPr>
              <w:t xml:space="preserve"> contemplat</w:t>
            </w:r>
            <w:r w:rsidR="00AC7306">
              <w:rPr>
                <w:rFonts w:eastAsia="Times New Roman" w:cs="Times New Roman"/>
                <w:noProof/>
                <w:color w:val="000000" w:themeColor="text1"/>
                <w:sz w:val="22"/>
                <w:lang w:val="en-GB"/>
              </w:rPr>
              <w:t>ed</w:t>
            </w:r>
            <w:r w:rsidRPr="00FF77A3">
              <w:rPr>
                <w:rFonts w:eastAsia="Times New Roman" w:cs="Times New Roman"/>
                <w:noProof/>
                <w:color w:val="000000" w:themeColor="text1"/>
                <w:sz w:val="22"/>
                <w:lang w:val="en-GB"/>
              </w:rPr>
              <w:t xml:space="preserve">, one of which is introduction of a </w:t>
            </w:r>
            <w:r w:rsidRPr="00FF77A3">
              <w:rPr>
                <w:rFonts w:eastAsia="Times New Roman" w:cs="Times New Roman"/>
                <w:i/>
                <w:iCs/>
                <w:noProof/>
                <w:color w:val="000000" w:themeColor="text1"/>
                <w:sz w:val="22"/>
                <w:lang w:val="en-GB"/>
              </w:rPr>
              <w:t>de</w:t>
            </w:r>
            <w:r w:rsidR="00002D2D" w:rsidRPr="00FF77A3">
              <w:rPr>
                <w:rFonts w:eastAsia="Times New Roman" w:cs="Times New Roman"/>
                <w:i/>
                <w:iCs/>
                <w:noProof/>
                <w:color w:val="000000" w:themeColor="text1"/>
                <w:sz w:val="22"/>
                <w:lang w:val="en-GB"/>
              </w:rPr>
              <w:t xml:space="preserve"> </w:t>
            </w:r>
            <w:r w:rsidRPr="00FF77A3">
              <w:rPr>
                <w:rFonts w:eastAsia="Times New Roman" w:cs="Times New Roman"/>
                <w:i/>
                <w:iCs/>
                <w:noProof/>
                <w:color w:val="000000" w:themeColor="text1"/>
                <w:sz w:val="22"/>
                <w:lang w:val="en-GB"/>
              </w:rPr>
              <w:t>mi</w:t>
            </w:r>
            <w:r w:rsidR="00002D2D" w:rsidRPr="00FF77A3">
              <w:rPr>
                <w:rFonts w:eastAsia="Times New Roman" w:cs="Times New Roman"/>
                <w:i/>
                <w:iCs/>
                <w:noProof/>
                <w:color w:val="000000" w:themeColor="text1"/>
                <w:sz w:val="22"/>
                <w:lang w:val="en-GB"/>
              </w:rPr>
              <w:t>ni</w:t>
            </w:r>
            <w:r w:rsidRPr="00FF77A3">
              <w:rPr>
                <w:rFonts w:eastAsia="Times New Roman" w:cs="Times New Roman"/>
                <w:i/>
                <w:iCs/>
                <w:noProof/>
                <w:color w:val="000000" w:themeColor="text1"/>
                <w:sz w:val="22"/>
                <w:lang w:val="en-GB"/>
              </w:rPr>
              <w:t>mis</w:t>
            </w:r>
            <w:r w:rsidRPr="00FF77A3">
              <w:rPr>
                <w:rFonts w:eastAsia="Times New Roman" w:cs="Times New Roman"/>
                <w:noProof/>
                <w:color w:val="000000" w:themeColor="text1"/>
                <w:sz w:val="22"/>
                <w:lang w:val="en-GB"/>
              </w:rPr>
              <w:t xml:space="preserve"> for justifying </w:t>
            </w:r>
            <w:r w:rsidR="00C5089A">
              <w:rPr>
                <w:rFonts w:eastAsia="Times New Roman" w:cs="Times New Roman"/>
                <w:noProof/>
                <w:color w:val="000000" w:themeColor="text1"/>
                <w:sz w:val="22"/>
                <w:lang w:val="en-GB"/>
              </w:rPr>
              <w:t>deviations from</w:t>
            </w:r>
            <w:r w:rsidRPr="00FF77A3">
              <w:rPr>
                <w:rFonts w:eastAsia="Times New Roman" w:cs="Times New Roman"/>
                <w:noProof/>
                <w:color w:val="000000" w:themeColor="text1"/>
                <w:sz w:val="22"/>
                <w:lang w:val="en-GB"/>
              </w:rPr>
              <w:t xml:space="preserve"> planned unit amount</w:t>
            </w:r>
            <w:r w:rsidR="005C0CF2">
              <w:rPr>
                <w:rFonts w:eastAsia="Times New Roman" w:cs="Times New Roman"/>
                <w:noProof/>
                <w:color w:val="000000" w:themeColor="text1"/>
                <w:sz w:val="22"/>
                <w:lang w:val="en-GB"/>
              </w:rPr>
              <w:t>s</w:t>
            </w:r>
            <w:r w:rsidRPr="00FF77A3">
              <w:rPr>
                <w:rFonts w:eastAsia="Times New Roman" w:cs="Times New Roman"/>
                <w:noProof/>
                <w:color w:val="000000" w:themeColor="text1"/>
                <w:sz w:val="22"/>
                <w:lang w:val="en-GB"/>
              </w:rPr>
              <w:t xml:space="preserve"> for the annual performance clearance.</w:t>
            </w:r>
            <w:r w:rsidR="009B3CAA">
              <w:rPr>
                <w:rFonts w:eastAsia="Times New Roman" w:cs="Times New Roman"/>
                <w:noProof/>
                <w:color w:val="000000" w:themeColor="text1"/>
                <w:sz w:val="22"/>
                <w:lang w:val="en-GB"/>
              </w:rPr>
              <w:t xml:space="preserve"> Further steps as regards the annual performance clearance exercise will be considered.</w:t>
            </w:r>
          </w:p>
        </w:tc>
      </w:tr>
      <w:bookmarkEnd w:id="149"/>
    </w:tbl>
    <w:p w14:paraId="68BD1C96" w14:textId="77777777" w:rsidR="00872C68" w:rsidRPr="00BB5286" w:rsidRDefault="00872C68" w:rsidP="00040FD1">
      <w:pPr>
        <w:spacing w:after="60"/>
        <w:rPr>
          <w:rFonts w:ascii="Calibri" w:eastAsia="Calibri" w:hAnsi="Calibri" w:cs="Calibri"/>
          <w:noProof/>
          <w:kern w:val="0"/>
          <w:sz w:val="22"/>
          <w:szCs w:val="20"/>
          <w:lang w:val="en-GB"/>
          <w14:ligatures w14:val="none"/>
        </w:rPr>
      </w:pPr>
    </w:p>
    <w:p w14:paraId="39FE929D" w14:textId="00BA7679" w:rsidR="00872C68" w:rsidRPr="00724676" w:rsidRDefault="00872C68" w:rsidP="00872C68">
      <w:pPr>
        <w:spacing w:after="200" w:line="240" w:lineRule="auto"/>
        <w:rPr>
          <w:rFonts w:ascii="Calibri" w:eastAsia="Calibri" w:hAnsi="Calibri" w:cs="Calibri"/>
          <w:noProof/>
          <w:kern w:val="0"/>
          <w:lang w:val="en-GB"/>
          <w14:ligatures w14:val="none"/>
        </w:rPr>
        <w:sectPr w:rsidR="00872C68" w:rsidRPr="00724676" w:rsidSect="005E54DA">
          <w:headerReference w:type="even" r:id="rId33"/>
          <w:headerReference w:type="default" r:id="rId34"/>
          <w:footerReference w:type="even" r:id="rId35"/>
          <w:footerReference w:type="default" r:id="rId36"/>
          <w:headerReference w:type="first" r:id="rId37"/>
          <w:footerReference w:type="first" r:id="rId38"/>
          <w:pgSz w:w="16838" w:h="11906" w:orient="landscape"/>
          <w:pgMar w:top="1417" w:right="728" w:bottom="2430" w:left="1417" w:header="708" w:footer="708" w:gutter="0"/>
          <w:cols w:space="708"/>
          <w:titlePg/>
          <w:docGrid w:linePitch="360"/>
        </w:sectPr>
      </w:pPr>
    </w:p>
    <w:p w14:paraId="764B6EFE" w14:textId="77777777" w:rsidR="00872C68" w:rsidRPr="00724676" w:rsidRDefault="00872C68" w:rsidP="004C5DD2">
      <w:pPr>
        <w:pStyle w:val="Heading4"/>
        <w:pBdr>
          <w:left w:val="single" w:sz="4" w:space="0" w:color="auto"/>
        </w:pBdr>
        <w:rPr>
          <w:noProof/>
          <w:lang w:val="en-GB"/>
        </w:rPr>
      </w:pPr>
      <w:r w:rsidRPr="00724676">
        <w:rPr>
          <w:noProof/>
          <w:lang w:val="en-GB"/>
        </w:rPr>
        <w:lastRenderedPageBreak/>
        <w:t>II. CAP STRATEGIC PLANS – THE GREEN ARCHITECTURE</w:t>
      </w:r>
    </w:p>
    <w:p w14:paraId="57DEE606" w14:textId="77777777" w:rsidR="00EB272C" w:rsidRPr="00724676" w:rsidRDefault="00EB272C" w:rsidP="00872C68">
      <w:pPr>
        <w:spacing w:after="200" w:line="240" w:lineRule="auto"/>
        <w:rPr>
          <w:rFonts w:ascii="Calibri" w:eastAsia="Calibri" w:hAnsi="Calibri" w:cs="Calibri"/>
          <w:noProof/>
          <w:kern w:val="0"/>
          <w:lang w:val="en-GB"/>
          <w14:ligatures w14:val="none"/>
        </w:rPr>
      </w:pPr>
    </w:p>
    <w:tbl>
      <w:tblPr>
        <w:tblStyle w:val="TableGrid1"/>
        <w:tblpPr w:leftFromText="180" w:rightFromText="180" w:vertAnchor="text" w:tblpY="1"/>
        <w:tblOverlap w:val="never"/>
        <w:tblW w:w="14755" w:type="dxa"/>
        <w:tblBorders>
          <w:bottom w:val="single" w:sz="4" w:space="0" w:color="2E74B5" w:themeColor="accent5" w:themeShade="BF"/>
        </w:tblBorders>
        <w:tblLayout w:type="fixed"/>
        <w:tblLook w:val="04A0" w:firstRow="1" w:lastRow="0" w:firstColumn="1" w:lastColumn="0" w:noHBand="0" w:noVBand="1"/>
      </w:tblPr>
      <w:tblGrid>
        <w:gridCol w:w="588"/>
        <w:gridCol w:w="5887"/>
        <w:gridCol w:w="1620"/>
        <w:gridCol w:w="6660"/>
      </w:tblGrid>
      <w:tr w:rsidR="008976FB" w:rsidRPr="00BB5286" w14:paraId="7E7C97FB" w14:textId="77777777" w:rsidTr="00B57B3C">
        <w:trPr>
          <w:trHeight w:val="733"/>
        </w:trPr>
        <w:tc>
          <w:tcPr>
            <w:tcW w:w="6475" w:type="dxa"/>
            <w:gridSpan w:val="2"/>
            <w:tcBorders>
              <w:bottom w:val="single" w:sz="4" w:space="0" w:color="auto"/>
            </w:tcBorders>
            <w:vAlign w:val="center"/>
          </w:tcPr>
          <w:p w14:paraId="5D2D6CFF" w14:textId="37D195A1" w:rsidR="008976FB" w:rsidRPr="00BB5286" w:rsidRDefault="008976FB" w:rsidP="00040FD1">
            <w:pPr>
              <w:spacing w:after="60" w:line="259" w:lineRule="auto"/>
              <w:jc w:val="center"/>
              <w:rPr>
                <w:rFonts w:eastAsia="Calibri" w:cs="Times New Roman"/>
                <w:noProof/>
                <w:sz w:val="22"/>
                <w:lang w:val="en-GB"/>
              </w:rPr>
            </w:pPr>
            <w:r w:rsidRPr="00BB5286">
              <w:rPr>
                <w:rFonts w:eastAsia="Calibri" w:cs="Times New Roman"/>
                <w:b/>
                <w:bCs/>
                <w:noProof/>
                <w:sz w:val="22"/>
                <w:lang w:val="en-GB"/>
              </w:rPr>
              <w:t>Suggestions</w:t>
            </w:r>
          </w:p>
        </w:tc>
        <w:tc>
          <w:tcPr>
            <w:tcW w:w="1620" w:type="dxa"/>
            <w:tcBorders>
              <w:bottom w:val="single" w:sz="4" w:space="0" w:color="auto"/>
            </w:tcBorders>
            <w:vAlign w:val="center"/>
          </w:tcPr>
          <w:p w14:paraId="32BB5EC2" w14:textId="77777777" w:rsidR="008976FB" w:rsidRPr="00BB5286" w:rsidRDefault="008976FB" w:rsidP="00040FD1">
            <w:pPr>
              <w:spacing w:after="60" w:line="259" w:lineRule="auto"/>
              <w:jc w:val="center"/>
              <w:rPr>
                <w:rFonts w:eastAsia="Calibri" w:cs="Times New Roman"/>
                <w:noProof/>
                <w:sz w:val="22"/>
                <w:lang w:val="en-GB"/>
              </w:rPr>
            </w:pPr>
            <w:r w:rsidRPr="00BB5286">
              <w:rPr>
                <w:rFonts w:eastAsia="Calibri" w:cs="Times New Roman"/>
                <w:b/>
                <w:bCs/>
                <w:noProof/>
                <w:sz w:val="22"/>
                <w:lang w:val="en-GB"/>
              </w:rPr>
              <w:t>Proponents</w:t>
            </w:r>
          </w:p>
        </w:tc>
        <w:tc>
          <w:tcPr>
            <w:tcW w:w="6660" w:type="dxa"/>
            <w:tcBorders>
              <w:bottom w:val="single" w:sz="4" w:space="0" w:color="auto"/>
            </w:tcBorders>
            <w:vAlign w:val="center"/>
          </w:tcPr>
          <w:p w14:paraId="592F166F" w14:textId="5BACD143" w:rsidR="008976FB" w:rsidRPr="00BB5286" w:rsidRDefault="008976FB" w:rsidP="00040FD1">
            <w:pPr>
              <w:spacing w:after="60" w:line="259" w:lineRule="auto"/>
              <w:jc w:val="center"/>
              <w:rPr>
                <w:rFonts w:eastAsia="Calibri" w:cs="Times New Roman"/>
                <w:noProof/>
                <w:sz w:val="22"/>
                <w:lang w:val="en-GB"/>
              </w:rPr>
            </w:pPr>
            <w:r w:rsidRPr="00BB5286">
              <w:rPr>
                <w:rFonts w:eastAsia="Calibri" w:cs="Times New Roman"/>
                <w:b/>
                <w:bCs/>
                <w:noProof/>
                <w:sz w:val="22"/>
                <w:lang w:val="en-GB"/>
              </w:rPr>
              <w:t>Assessment</w:t>
            </w:r>
          </w:p>
        </w:tc>
      </w:tr>
      <w:tr w:rsidR="00872C68" w:rsidRPr="00BB5286" w14:paraId="574F1F1F" w14:textId="77777777" w:rsidTr="00B57B3C">
        <w:tblPrEx>
          <w:tblBorders>
            <w:bottom w:val="single" w:sz="4" w:space="0" w:color="auto"/>
          </w:tblBorders>
        </w:tblPrEx>
        <w:trPr>
          <w:trHeight w:val="463"/>
        </w:trPr>
        <w:tc>
          <w:tcPr>
            <w:tcW w:w="14755" w:type="dxa"/>
            <w:gridSpan w:val="4"/>
            <w:tcBorders>
              <w:top w:val="nil"/>
              <w:left w:val="nil"/>
              <w:bottom w:val="nil"/>
              <w:right w:val="nil"/>
            </w:tcBorders>
            <w:shd w:val="clear" w:color="auto" w:fill="003399"/>
            <w:vAlign w:val="center"/>
          </w:tcPr>
          <w:p w14:paraId="0CDF7B76" w14:textId="77777777" w:rsidR="00872C68" w:rsidRPr="00BB5286" w:rsidRDefault="00872C68" w:rsidP="004B60AF">
            <w:pPr>
              <w:spacing w:before="120" w:line="259" w:lineRule="auto"/>
              <w:jc w:val="center"/>
              <w:rPr>
                <w:rFonts w:eastAsia="Calibri" w:cs="Times New Roman"/>
                <w:b/>
                <w:bCs/>
                <w:noProof/>
                <w:color w:val="FFFFFF"/>
                <w:sz w:val="22"/>
                <w:lang w:val="en-GB"/>
              </w:rPr>
            </w:pPr>
            <w:r w:rsidRPr="00BB5286">
              <w:rPr>
                <w:rFonts w:eastAsia="Calibri" w:cs="Times New Roman"/>
                <w:b/>
                <w:bCs/>
                <w:noProof/>
                <w:color w:val="FFFFFF"/>
                <w:sz w:val="22"/>
                <w:lang w:val="en-GB"/>
              </w:rPr>
              <w:t>Contributions to targets set in the environment and climate legislation set out in Annex XIII of the CSP Regulation</w:t>
            </w:r>
          </w:p>
          <w:p w14:paraId="74901A55" w14:textId="77777777" w:rsidR="00872C68" w:rsidRPr="00BB5286" w:rsidRDefault="00872C68" w:rsidP="004B60AF">
            <w:pPr>
              <w:spacing w:after="120" w:line="259" w:lineRule="auto"/>
              <w:jc w:val="center"/>
              <w:rPr>
                <w:rFonts w:eastAsia="Calibri" w:cs="Times New Roman"/>
                <w:noProof/>
                <w:color w:val="FFFFFF"/>
                <w:sz w:val="22"/>
                <w:highlight w:val="green"/>
                <w:lang w:val="en-GB"/>
              </w:rPr>
            </w:pPr>
            <w:r w:rsidRPr="00BB5286">
              <w:rPr>
                <w:rFonts w:eastAsia="Calibri" w:cs="Times New Roman"/>
                <w:b/>
                <w:bCs/>
                <w:noProof/>
                <w:color w:val="FFFFFF"/>
                <w:sz w:val="22"/>
                <w:lang w:val="en-GB"/>
              </w:rPr>
              <w:t>(Article 120 of the CSP Regulation)</w:t>
            </w:r>
          </w:p>
        </w:tc>
      </w:tr>
      <w:tr w:rsidR="00872C68" w:rsidRPr="00BB5286" w14:paraId="7DAFFB1C" w14:textId="77777777" w:rsidTr="00B57B3C">
        <w:tblPrEx>
          <w:tblBorders>
            <w:bottom w:val="single" w:sz="4" w:space="0" w:color="auto"/>
          </w:tblBorders>
        </w:tblPrEx>
        <w:trPr>
          <w:trHeight w:val="833"/>
        </w:trPr>
        <w:tc>
          <w:tcPr>
            <w:tcW w:w="588" w:type="dxa"/>
            <w:vAlign w:val="center"/>
          </w:tcPr>
          <w:p w14:paraId="1169C600"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121</w:t>
            </w:r>
          </w:p>
        </w:tc>
        <w:tc>
          <w:tcPr>
            <w:tcW w:w="5887" w:type="dxa"/>
            <w:vAlign w:val="center"/>
          </w:tcPr>
          <w:p w14:paraId="21DDAA65" w14:textId="2F409BBF" w:rsidR="00872C68" w:rsidRPr="00BB5286" w:rsidRDefault="38C64AB4" w:rsidP="00040FD1">
            <w:pPr>
              <w:spacing w:after="60" w:line="259" w:lineRule="auto"/>
              <w:jc w:val="both"/>
              <w:rPr>
                <w:rFonts w:eastAsia="Calibri" w:cs="Times New Roman"/>
                <w:noProof/>
                <w:sz w:val="22"/>
                <w:szCs w:val="20"/>
                <w:lang w:val="en-GB"/>
              </w:rPr>
            </w:pPr>
            <w:r w:rsidRPr="00BB5286">
              <w:rPr>
                <w:rFonts w:eastAsia="Calibri" w:cs="Times New Roman"/>
                <w:b/>
                <w:bCs/>
                <w:i/>
                <w:iCs/>
                <w:noProof/>
                <w:sz w:val="22"/>
                <w:szCs w:val="20"/>
                <w:lang w:val="en-GB"/>
              </w:rPr>
              <w:t>Ar</w:t>
            </w:r>
            <w:r w:rsidR="6B76EB6F" w:rsidRPr="00BB5286">
              <w:rPr>
                <w:rFonts w:eastAsia="Calibri" w:cs="Times New Roman"/>
                <w:b/>
                <w:bCs/>
                <w:i/>
                <w:iCs/>
                <w:noProof/>
                <w:sz w:val="22"/>
                <w:szCs w:val="20"/>
                <w:lang w:val="en-GB"/>
              </w:rPr>
              <w:t>t</w:t>
            </w:r>
            <w:r w:rsidR="42FC5A96" w:rsidRPr="00BB5286">
              <w:rPr>
                <w:rFonts w:eastAsia="Calibri" w:cs="Times New Roman"/>
                <w:b/>
                <w:bCs/>
                <w:i/>
                <w:iCs/>
                <w:noProof/>
                <w:sz w:val="22"/>
                <w:szCs w:val="20"/>
                <w:lang w:val="en-GB"/>
              </w:rPr>
              <w:t>icle</w:t>
            </w:r>
            <w:r w:rsidRPr="00BB5286">
              <w:rPr>
                <w:rFonts w:eastAsia="Calibri" w:cs="Times New Roman"/>
                <w:b/>
                <w:bCs/>
                <w:i/>
                <w:iCs/>
                <w:noProof/>
                <w:sz w:val="22"/>
                <w:szCs w:val="20"/>
                <w:lang w:val="en-GB"/>
              </w:rPr>
              <w:t xml:space="preserve"> </w:t>
            </w:r>
            <w:r w:rsidR="00872C68" w:rsidRPr="00BB5286">
              <w:rPr>
                <w:rFonts w:eastAsia="Calibri" w:cs="Times New Roman"/>
                <w:b/>
                <w:i/>
                <w:noProof/>
                <w:sz w:val="22"/>
                <w:szCs w:val="20"/>
                <w:lang w:val="en-GB"/>
              </w:rPr>
              <w:t>120</w:t>
            </w:r>
            <w:r w:rsidR="00872C68" w:rsidRPr="00BB5286">
              <w:rPr>
                <w:rFonts w:eastAsia="Calibri" w:cs="Times New Roman"/>
                <w:b/>
                <w:noProof/>
                <w:sz w:val="22"/>
                <w:szCs w:val="20"/>
                <w:lang w:val="en-GB"/>
              </w:rPr>
              <w:t xml:space="preserve"> of </w:t>
            </w:r>
            <w:r w:rsidR="7592E3C3" w:rsidRPr="00BB5286">
              <w:rPr>
                <w:rFonts w:eastAsia="Calibri" w:cs="Times New Roman"/>
                <w:b/>
                <w:bCs/>
                <w:noProof/>
                <w:sz w:val="22"/>
                <w:szCs w:val="20"/>
                <w:lang w:val="en-GB"/>
              </w:rPr>
              <w:t xml:space="preserve">the CSP </w:t>
            </w:r>
            <w:r w:rsidR="00872C68" w:rsidRPr="00BB5286">
              <w:rPr>
                <w:rFonts w:eastAsia="Calibri" w:cs="Times New Roman"/>
                <w:b/>
                <w:noProof/>
                <w:sz w:val="22"/>
                <w:szCs w:val="20"/>
                <w:lang w:val="en-GB"/>
              </w:rPr>
              <w:t xml:space="preserve">Regulation: </w:t>
            </w:r>
            <w:r w:rsidR="59AB471E" w:rsidRPr="00BB5286">
              <w:rPr>
                <w:rFonts w:eastAsia="Calibri" w:cs="Times New Roman"/>
                <w:noProof/>
                <w:sz w:val="22"/>
                <w:szCs w:val="20"/>
                <w:lang w:val="en-GB"/>
              </w:rPr>
              <w:t>r</w:t>
            </w:r>
            <w:r w:rsidR="00872C68" w:rsidRPr="00BB5286">
              <w:rPr>
                <w:rFonts w:eastAsia="Calibri" w:cs="Times New Roman"/>
                <w:noProof/>
                <w:sz w:val="22"/>
                <w:szCs w:val="20"/>
                <w:lang w:val="en-GB"/>
              </w:rPr>
              <w:t xml:space="preserve">emoval of </w:t>
            </w:r>
            <w:r w:rsidR="74702463" w:rsidRPr="00BB5286">
              <w:rPr>
                <w:rFonts w:eastAsia="Calibri" w:cs="Times New Roman"/>
                <w:noProof/>
                <w:sz w:val="22"/>
                <w:szCs w:val="20"/>
                <w:lang w:val="en-GB"/>
              </w:rPr>
              <w:t xml:space="preserve">this article </w:t>
            </w:r>
            <w:r w:rsidR="00E05337" w:rsidRPr="00BB5286">
              <w:rPr>
                <w:rFonts w:eastAsia="Calibri" w:cs="Times New Roman"/>
                <w:noProof/>
                <w:sz w:val="22"/>
                <w:szCs w:val="20"/>
                <w:lang w:val="en-GB"/>
              </w:rPr>
              <w:t>that requires</w:t>
            </w:r>
            <w:r w:rsidR="00872C68" w:rsidRPr="00BB5286">
              <w:rPr>
                <w:rFonts w:eastAsia="Calibri" w:cs="Times New Roman"/>
                <w:noProof/>
                <w:sz w:val="22"/>
                <w:szCs w:val="20"/>
                <w:lang w:val="en-GB"/>
              </w:rPr>
              <w:t xml:space="preserve"> a review of </w:t>
            </w:r>
            <w:r w:rsidR="00523AA0" w:rsidRPr="00BB5286">
              <w:rPr>
                <w:rFonts w:eastAsia="Calibri" w:cs="Times New Roman"/>
                <w:noProof/>
                <w:sz w:val="22"/>
                <w:szCs w:val="20"/>
                <w:lang w:val="en-GB"/>
              </w:rPr>
              <w:t>CAP Plans</w:t>
            </w:r>
            <w:r w:rsidR="00872C68" w:rsidRPr="00BB5286">
              <w:rPr>
                <w:rFonts w:eastAsia="Calibri" w:cs="Times New Roman"/>
                <w:noProof/>
                <w:sz w:val="22"/>
                <w:szCs w:val="20"/>
                <w:lang w:val="en-GB"/>
              </w:rPr>
              <w:t xml:space="preserve"> in light of changes to the EU legislation in the areas of (mainly) environment and climate.</w:t>
            </w:r>
          </w:p>
        </w:tc>
        <w:tc>
          <w:tcPr>
            <w:tcW w:w="1620" w:type="dxa"/>
            <w:vAlign w:val="center"/>
          </w:tcPr>
          <w:p w14:paraId="4FDEA79A"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BG, CZ, LV, PT, BE</w:t>
            </w:r>
          </w:p>
        </w:tc>
        <w:tc>
          <w:tcPr>
            <w:tcW w:w="6660" w:type="dxa"/>
            <w:vAlign w:val="center"/>
          </w:tcPr>
          <w:p w14:paraId="2BD0A0A7" w14:textId="06B009C2"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Partially addressed by the Commission proposal, which was part of the </w:t>
            </w:r>
            <w:r w:rsidR="0063538E" w:rsidRPr="00BB5286">
              <w:rPr>
                <w:rFonts w:eastAsia="Calibri" w:cs="Times New Roman"/>
                <w:noProof/>
                <w:sz w:val="22"/>
                <w:szCs w:val="20"/>
                <w:lang w:val="en-GB"/>
              </w:rPr>
              <w:t>s</w:t>
            </w:r>
            <w:r w:rsidRPr="00BB5286">
              <w:rPr>
                <w:rFonts w:eastAsia="Calibri" w:cs="Times New Roman"/>
                <w:noProof/>
                <w:sz w:val="22"/>
                <w:szCs w:val="20"/>
                <w:lang w:val="en-GB"/>
              </w:rPr>
              <w:t xml:space="preserve">implification </w:t>
            </w:r>
            <w:r w:rsidR="0063538E" w:rsidRPr="00BB5286">
              <w:rPr>
                <w:rFonts w:eastAsia="Calibri" w:cs="Times New Roman"/>
                <w:noProof/>
                <w:sz w:val="22"/>
                <w:szCs w:val="20"/>
                <w:lang w:val="en-GB"/>
              </w:rPr>
              <w:t>p</w:t>
            </w:r>
            <w:r w:rsidRPr="00BB5286">
              <w:rPr>
                <w:rFonts w:eastAsia="Calibri" w:cs="Times New Roman"/>
                <w:noProof/>
                <w:sz w:val="22"/>
                <w:szCs w:val="20"/>
                <w:lang w:val="en-GB"/>
              </w:rPr>
              <w:t xml:space="preserve">ackage, limiting the application of </w:t>
            </w:r>
            <w:r w:rsidRPr="00BB5286">
              <w:rPr>
                <w:rFonts w:eastAsia="Calibri" w:cs="Times New Roman"/>
                <w:i/>
                <w:noProof/>
                <w:sz w:val="22"/>
                <w:szCs w:val="20"/>
                <w:lang w:val="en-GB"/>
              </w:rPr>
              <w:t xml:space="preserve">Article 120 </w:t>
            </w:r>
            <w:r w:rsidRPr="00BB5286">
              <w:rPr>
                <w:rFonts w:eastAsia="Calibri" w:cs="Times New Roman"/>
                <w:noProof/>
                <w:sz w:val="22"/>
                <w:szCs w:val="20"/>
                <w:lang w:val="en-GB"/>
              </w:rPr>
              <w:t xml:space="preserve">of </w:t>
            </w:r>
            <w:r w:rsidR="3975D7AE"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to amendments of these </w:t>
            </w:r>
            <w:r w:rsidR="00AF7B1A" w:rsidRPr="00BB5286">
              <w:rPr>
                <w:rFonts w:eastAsia="Calibri" w:cs="Times New Roman"/>
                <w:noProof/>
                <w:sz w:val="22"/>
                <w:szCs w:val="20"/>
                <w:lang w:val="en-GB"/>
              </w:rPr>
              <w:t xml:space="preserve">EU </w:t>
            </w:r>
            <w:r w:rsidRPr="00BB5286">
              <w:rPr>
                <w:rFonts w:eastAsia="Calibri" w:cs="Times New Roman"/>
                <w:noProof/>
                <w:sz w:val="22"/>
                <w:szCs w:val="20"/>
                <w:lang w:val="en-GB"/>
              </w:rPr>
              <w:t>legislative acts that enter into force before 1 January 2026</w:t>
            </w:r>
            <w:r w:rsidR="002E78F1" w:rsidRPr="00BB5286">
              <w:rPr>
                <w:rFonts w:eastAsia="Calibri" w:cs="Times New Roman"/>
                <w:noProof/>
                <w:sz w:val="22"/>
                <w:szCs w:val="20"/>
                <w:lang w:val="en-GB"/>
              </w:rPr>
              <w:t xml:space="preserve"> (see </w:t>
            </w:r>
            <w:r w:rsidR="007A41E8" w:rsidRPr="00BB5286">
              <w:rPr>
                <w:rFonts w:eastAsia="Calibri" w:cs="Times New Roman"/>
                <w:noProof/>
                <w:sz w:val="22"/>
                <w:szCs w:val="20"/>
                <w:lang w:val="en-GB"/>
              </w:rPr>
              <w:t xml:space="preserve">also </w:t>
            </w:r>
            <w:r w:rsidR="002E78F1" w:rsidRPr="00BB5286">
              <w:rPr>
                <w:rFonts w:eastAsia="Calibri" w:cs="Times New Roman"/>
                <w:noProof/>
                <w:sz w:val="22"/>
                <w:szCs w:val="20"/>
                <w:lang w:val="en-GB"/>
              </w:rPr>
              <w:t>the adopted Simplification Regulation)</w:t>
            </w:r>
            <w:r w:rsidRPr="00BB5286">
              <w:rPr>
                <w:rFonts w:eastAsia="Calibri" w:cs="Times New Roman"/>
                <w:noProof/>
                <w:sz w:val="22"/>
                <w:szCs w:val="20"/>
                <w:lang w:val="en-GB"/>
              </w:rPr>
              <w:t>.</w:t>
            </w:r>
          </w:p>
        </w:tc>
      </w:tr>
      <w:tr w:rsidR="00872C68" w:rsidRPr="00BB5286" w14:paraId="7DDDB47F" w14:textId="77777777" w:rsidTr="00B57B3C">
        <w:tblPrEx>
          <w:tblBorders>
            <w:bottom w:val="single" w:sz="4" w:space="0" w:color="auto"/>
          </w:tblBorders>
        </w:tblPrEx>
        <w:trPr>
          <w:trHeight w:val="70"/>
        </w:trPr>
        <w:tc>
          <w:tcPr>
            <w:tcW w:w="588" w:type="dxa"/>
            <w:vAlign w:val="center"/>
          </w:tcPr>
          <w:p w14:paraId="63415635"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122</w:t>
            </w:r>
          </w:p>
        </w:tc>
        <w:tc>
          <w:tcPr>
            <w:tcW w:w="5887" w:type="dxa"/>
            <w:tcBorders>
              <w:bottom w:val="single" w:sz="4" w:space="0" w:color="auto"/>
            </w:tcBorders>
            <w:vAlign w:val="center"/>
          </w:tcPr>
          <w:p w14:paraId="5C9524F7" w14:textId="7B0E5173" w:rsidR="00872C68" w:rsidRPr="00BB5286" w:rsidRDefault="00872C68" w:rsidP="00040FD1">
            <w:pPr>
              <w:spacing w:after="60" w:line="259" w:lineRule="auto"/>
              <w:jc w:val="both"/>
              <w:rPr>
                <w:rFonts w:eastAsia="Calibri" w:cs="Times New Roman"/>
                <w:i/>
                <w:noProof/>
                <w:sz w:val="22"/>
                <w:szCs w:val="20"/>
                <w:lang w:val="en-IE"/>
              </w:rPr>
            </w:pPr>
            <w:r w:rsidRPr="00BB5286">
              <w:rPr>
                <w:rFonts w:eastAsia="Calibri" w:cs="Times New Roman"/>
                <w:b/>
                <w:noProof/>
                <w:sz w:val="22"/>
                <w:szCs w:val="20"/>
                <w:lang w:val="en-IE"/>
              </w:rPr>
              <w:t xml:space="preserve">Details for </w:t>
            </w:r>
            <w:r w:rsidR="38C64AB4" w:rsidRPr="00BC3F56">
              <w:rPr>
                <w:rFonts w:eastAsia="Calibri" w:cs="Times New Roman"/>
                <w:b/>
                <w:i/>
                <w:iCs/>
                <w:noProof/>
                <w:sz w:val="22"/>
                <w:szCs w:val="20"/>
                <w:lang w:val="en-IE"/>
              </w:rPr>
              <w:t>Art</w:t>
            </w:r>
            <w:r w:rsidR="603E7B1C" w:rsidRPr="00BC3F56">
              <w:rPr>
                <w:rFonts w:eastAsia="Calibri" w:cs="Times New Roman"/>
                <w:b/>
                <w:i/>
                <w:iCs/>
                <w:noProof/>
                <w:sz w:val="22"/>
                <w:szCs w:val="20"/>
                <w:lang w:val="en-IE"/>
              </w:rPr>
              <w:t>icle</w:t>
            </w:r>
            <w:r w:rsidR="38C64AB4" w:rsidRPr="00BC3F56">
              <w:rPr>
                <w:rFonts w:eastAsia="Calibri" w:cs="Times New Roman"/>
                <w:b/>
                <w:i/>
                <w:iCs/>
                <w:noProof/>
                <w:sz w:val="22"/>
                <w:szCs w:val="20"/>
                <w:lang w:val="en-IE"/>
              </w:rPr>
              <w:t xml:space="preserve"> </w:t>
            </w:r>
            <w:r w:rsidRPr="00BC3F56">
              <w:rPr>
                <w:rFonts w:eastAsia="Calibri" w:cs="Times New Roman"/>
                <w:b/>
                <w:i/>
                <w:iCs/>
                <w:noProof/>
                <w:sz w:val="22"/>
                <w:szCs w:val="20"/>
                <w:lang w:val="en-IE"/>
              </w:rPr>
              <w:t>120</w:t>
            </w:r>
            <w:r w:rsidRPr="00BB5286">
              <w:rPr>
                <w:rFonts w:eastAsia="Calibri" w:cs="Times New Roman"/>
                <w:b/>
                <w:noProof/>
                <w:sz w:val="22"/>
                <w:szCs w:val="20"/>
                <w:lang w:val="en-IE"/>
              </w:rPr>
              <w:t xml:space="preserve"> assessment</w:t>
            </w:r>
            <w:r w:rsidR="49DB6371" w:rsidRPr="00BB5286">
              <w:rPr>
                <w:rFonts w:eastAsia="Calibri" w:cs="Times New Roman"/>
                <w:b/>
                <w:noProof/>
                <w:sz w:val="22"/>
                <w:szCs w:val="20"/>
                <w:lang w:val="en-IE"/>
              </w:rPr>
              <w:t>:</w:t>
            </w:r>
            <w:r w:rsidR="38C64AB4" w:rsidRPr="00BB5286">
              <w:rPr>
                <w:rFonts w:eastAsia="Calibri" w:cs="Times New Roman"/>
                <w:noProof/>
                <w:sz w:val="22"/>
                <w:szCs w:val="20"/>
                <w:lang w:val="en-IE"/>
              </w:rPr>
              <w:t xml:space="preserve"> </w:t>
            </w:r>
            <w:r w:rsidR="3BBC5551" w:rsidRPr="00BB5286">
              <w:rPr>
                <w:rFonts w:eastAsia="Calibri" w:cs="Times New Roman"/>
                <w:noProof/>
                <w:sz w:val="22"/>
                <w:szCs w:val="20"/>
                <w:lang w:val="en-IE"/>
              </w:rPr>
              <w:t>t</w:t>
            </w:r>
            <w:r w:rsidRPr="00BB5286">
              <w:rPr>
                <w:rFonts w:eastAsia="Calibri" w:cs="Times New Roman"/>
                <w:noProof/>
                <w:sz w:val="22"/>
                <w:szCs w:val="20"/>
                <w:lang w:val="en-IE"/>
              </w:rPr>
              <w:t>oo much detail and lack of clarity on the follow-up to the assessment required from Member States</w:t>
            </w:r>
            <w:r w:rsidR="672427AE" w:rsidRPr="00BB5286">
              <w:rPr>
                <w:rFonts w:eastAsia="Calibri" w:cs="Times New Roman"/>
                <w:noProof/>
                <w:sz w:val="22"/>
                <w:szCs w:val="20"/>
                <w:lang w:val="en-IE"/>
              </w:rPr>
              <w:t xml:space="preserve">. </w:t>
            </w:r>
            <w:r w:rsidRPr="00BB5286">
              <w:rPr>
                <w:rFonts w:eastAsia="Calibri" w:cs="Times New Roman"/>
                <w:noProof/>
                <w:sz w:val="22"/>
                <w:szCs w:val="20"/>
                <w:lang w:val="en-IE"/>
              </w:rPr>
              <w:t>.</w:t>
            </w:r>
          </w:p>
        </w:tc>
        <w:tc>
          <w:tcPr>
            <w:tcW w:w="1620" w:type="dxa"/>
            <w:tcBorders>
              <w:bottom w:val="single" w:sz="4" w:space="0" w:color="auto"/>
            </w:tcBorders>
            <w:vAlign w:val="center"/>
          </w:tcPr>
          <w:p w14:paraId="60B7FF48"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LV</w:t>
            </w:r>
          </w:p>
        </w:tc>
        <w:tc>
          <w:tcPr>
            <w:tcW w:w="6660" w:type="dxa"/>
            <w:tcBorders>
              <w:bottom w:val="single" w:sz="4" w:space="0" w:color="auto"/>
            </w:tcBorders>
            <w:vAlign w:val="center"/>
          </w:tcPr>
          <w:p w14:paraId="0DC9480C" w14:textId="27BE80B5" w:rsidR="004C5DD2" w:rsidRPr="00BB5286" w:rsidRDefault="00872C68" w:rsidP="004C5DD2">
            <w:pPr>
              <w:spacing w:after="60" w:line="259" w:lineRule="auto"/>
              <w:jc w:val="both"/>
              <w:rPr>
                <w:rFonts w:eastAsia="Calibri" w:cs="Times New Roman"/>
                <w:noProof/>
                <w:sz w:val="22"/>
                <w:lang w:val="en-GB"/>
              </w:rPr>
            </w:pPr>
            <w:r w:rsidRPr="00BB5286">
              <w:rPr>
                <w:rFonts w:eastAsia="Calibri" w:cs="Times New Roman"/>
                <w:noProof/>
                <w:sz w:val="22"/>
                <w:szCs w:val="20"/>
                <w:lang w:val="en-GB"/>
              </w:rPr>
              <w:t xml:space="preserve">Partially addressed by the Commission proposal </w:t>
            </w:r>
            <w:r w:rsidR="0063538E" w:rsidRPr="00BB5286">
              <w:rPr>
                <w:rFonts w:eastAsia="Calibri" w:cs="Times New Roman"/>
                <w:noProof/>
                <w:sz w:val="22"/>
                <w:szCs w:val="20"/>
                <w:lang w:val="en-GB"/>
              </w:rPr>
              <w:t xml:space="preserve">that </w:t>
            </w:r>
            <w:r w:rsidRPr="00BB5286">
              <w:rPr>
                <w:rFonts w:eastAsia="Calibri" w:cs="Times New Roman"/>
                <w:noProof/>
                <w:sz w:val="22"/>
                <w:szCs w:val="20"/>
                <w:lang w:val="en-GB"/>
              </w:rPr>
              <w:t xml:space="preserve">was part of the </w:t>
            </w:r>
            <w:r w:rsidR="0063538E" w:rsidRPr="00BB5286">
              <w:rPr>
                <w:rFonts w:eastAsia="Calibri" w:cs="Times New Roman"/>
                <w:noProof/>
                <w:sz w:val="22"/>
                <w:szCs w:val="20"/>
                <w:lang w:val="en-GB"/>
              </w:rPr>
              <w:t>s</w:t>
            </w:r>
            <w:r w:rsidRPr="00BB5286">
              <w:rPr>
                <w:rFonts w:eastAsia="Calibri" w:cs="Times New Roman"/>
                <w:noProof/>
                <w:sz w:val="22"/>
                <w:szCs w:val="20"/>
                <w:lang w:val="en-GB"/>
              </w:rPr>
              <w:t xml:space="preserve">implification </w:t>
            </w:r>
            <w:r w:rsidR="0063538E" w:rsidRPr="00BB5286">
              <w:rPr>
                <w:rFonts w:eastAsia="Calibri" w:cs="Times New Roman"/>
                <w:noProof/>
                <w:sz w:val="22"/>
                <w:szCs w:val="20"/>
                <w:lang w:val="en-GB"/>
              </w:rPr>
              <w:t>p</w:t>
            </w:r>
            <w:r w:rsidRPr="00BB5286">
              <w:rPr>
                <w:rFonts w:eastAsia="Calibri" w:cs="Times New Roman"/>
                <w:noProof/>
                <w:sz w:val="22"/>
                <w:szCs w:val="20"/>
                <w:lang w:val="en-GB"/>
              </w:rPr>
              <w:t xml:space="preserve">ackage, which limits </w:t>
            </w:r>
            <w:r w:rsidR="0063538E" w:rsidRPr="00BB5286">
              <w:rPr>
                <w:rFonts w:eastAsia="Calibri" w:cs="Times New Roman"/>
                <w:noProof/>
                <w:sz w:val="22"/>
                <w:szCs w:val="20"/>
                <w:lang w:val="en-GB"/>
              </w:rPr>
              <w:t xml:space="preserve">the </w:t>
            </w:r>
            <w:r w:rsidRPr="00BB5286">
              <w:rPr>
                <w:rFonts w:eastAsia="Calibri" w:cs="Times New Roman"/>
                <w:noProof/>
                <w:sz w:val="22"/>
                <w:szCs w:val="20"/>
                <w:lang w:val="en-GB"/>
              </w:rPr>
              <w:t xml:space="preserve">application of </w:t>
            </w:r>
            <w:r w:rsidRPr="00BB5286">
              <w:rPr>
                <w:rFonts w:eastAsia="Calibri" w:cs="Times New Roman"/>
                <w:i/>
                <w:noProof/>
                <w:sz w:val="22"/>
                <w:szCs w:val="20"/>
                <w:lang w:val="en-GB"/>
              </w:rPr>
              <w:t>Article 120</w:t>
            </w:r>
            <w:r w:rsidRPr="00BB5286">
              <w:rPr>
                <w:rFonts w:eastAsia="Calibri" w:cs="Times New Roman"/>
                <w:noProof/>
                <w:sz w:val="22"/>
                <w:szCs w:val="20"/>
                <w:lang w:val="en-GB"/>
              </w:rPr>
              <w:t xml:space="preserve"> of </w:t>
            </w:r>
            <w:r w:rsidR="3F8CF4F4"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 to acts that enter into force before 1 January 2026</w:t>
            </w:r>
            <w:r w:rsidR="002E78F1" w:rsidRPr="00BB5286">
              <w:rPr>
                <w:rFonts w:eastAsia="Calibri" w:cs="Times New Roman"/>
                <w:noProof/>
                <w:sz w:val="22"/>
                <w:szCs w:val="20"/>
                <w:lang w:val="en-GB"/>
              </w:rPr>
              <w:t xml:space="preserve"> (see </w:t>
            </w:r>
            <w:r w:rsidR="007A41E8" w:rsidRPr="00BB5286">
              <w:rPr>
                <w:rFonts w:eastAsia="Calibri" w:cs="Times New Roman"/>
                <w:noProof/>
                <w:sz w:val="22"/>
                <w:szCs w:val="20"/>
                <w:lang w:val="en-GB"/>
              </w:rPr>
              <w:t xml:space="preserve">also </w:t>
            </w:r>
            <w:r w:rsidR="002E78F1" w:rsidRPr="00BB5286">
              <w:rPr>
                <w:rFonts w:eastAsia="Calibri" w:cs="Times New Roman"/>
                <w:noProof/>
                <w:sz w:val="22"/>
                <w:szCs w:val="20"/>
                <w:lang w:val="en-GB"/>
              </w:rPr>
              <w:t>the adopted Simplification Regulation)</w:t>
            </w:r>
            <w:r w:rsidRPr="00BB5286">
              <w:rPr>
                <w:rFonts w:eastAsia="Calibri" w:cs="Times New Roman"/>
                <w:noProof/>
                <w:sz w:val="22"/>
                <w:szCs w:val="20"/>
                <w:lang w:val="en-GB"/>
              </w:rPr>
              <w:t xml:space="preserve">. Should any further notification under this Article be due before that date, the procedure </w:t>
            </w:r>
            <w:r w:rsidR="16C2590F" w:rsidRPr="00BB5286">
              <w:rPr>
                <w:rFonts w:eastAsia="Calibri" w:cs="Times New Roman"/>
                <w:noProof/>
                <w:sz w:val="22"/>
                <w:szCs w:val="20"/>
                <w:lang w:val="en-GB"/>
              </w:rPr>
              <w:t>will</w:t>
            </w:r>
            <w:r w:rsidRPr="00BB5286">
              <w:rPr>
                <w:rFonts w:eastAsia="Calibri" w:cs="Times New Roman"/>
                <w:noProof/>
                <w:sz w:val="22"/>
                <w:szCs w:val="20"/>
                <w:lang w:val="en-GB"/>
              </w:rPr>
              <w:t xml:space="preserve"> be clarified in advance.</w:t>
            </w:r>
          </w:p>
        </w:tc>
      </w:tr>
      <w:tr w:rsidR="00872C68" w:rsidRPr="00BB5286" w14:paraId="550605A9" w14:textId="77777777" w:rsidTr="00B57B3C">
        <w:tblPrEx>
          <w:tblBorders>
            <w:bottom w:val="single" w:sz="4" w:space="0" w:color="auto"/>
          </w:tblBorders>
        </w:tblPrEx>
        <w:trPr>
          <w:trHeight w:val="530"/>
        </w:trPr>
        <w:tc>
          <w:tcPr>
            <w:tcW w:w="14755" w:type="dxa"/>
            <w:gridSpan w:val="4"/>
            <w:tcBorders>
              <w:bottom w:val="nil"/>
            </w:tcBorders>
            <w:shd w:val="clear" w:color="auto" w:fill="003399"/>
            <w:vAlign w:val="center"/>
          </w:tcPr>
          <w:p w14:paraId="016684EC" w14:textId="1EEC568E" w:rsidR="00872C68" w:rsidRPr="00BB5286" w:rsidRDefault="00872C68" w:rsidP="00040FD1">
            <w:pPr>
              <w:spacing w:after="60" w:line="259" w:lineRule="auto"/>
              <w:jc w:val="center"/>
              <w:rPr>
                <w:rFonts w:eastAsia="Calibri" w:cs="Times New Roman"/>
                <w:noProof/>
                <w:color w:val="FFFFFF"/>
                <w:sz w:val="22"/>
                <w:lang w:val="en-GB"/>
              </w:rPr>
            </w:pPr>
            <w:r w:rsidRPr="00BB5286">
              <w:rPr>
                <w:rFonts w:eastAsia="Calibri" w:cs="Times New Roman"/>
                <w:b/>
                <w:bCs/>
                <w:noProof/>
                <w:color w:val="FFFFFF"/>
                <w:sz w:val="22"/>
                <w:shd w:val="clear" w:color="auto" w:fill="003399"/>
                <w:lang w:val="en-GB"/>
              </w:rPr>
              <w:t>CAP</w:t>
            </w:r>
            <w:r w:rsidRPr="00BB5286">
              <w:rPr>
                <w:rFonts w:eastAsia="Calibri" w:cs="Times New Roman"/>
                <w:b/>
                <w:bCs/>
                <w:noProof/>
                <w:color w:val="FFFFFF"/>
                <w:sz w:val="22"/>
                <w:lang w:val="en-GB"/>
              </w:rPr>
              <w:t xml:space="preserve"> Strategic Plan </w:t>
            </w:r>
            <w:r w:rsidR="00A50B55">
              <w:rPr>
                <w:rFonts w:eastAsia="Calibri" w:cs="Times New Roman"/>
                <w:b/>
                <w:bCs/>
                <w:noProof/>
                <w:color w:val="FFFFFF"/>
                <w:sz w:val="22"/>
                <w:lang w:val="en-GB"/>
              </w:rPr>
              <w:t>–</w:t>
            </w:r>
            <w:r w:rsidRPr="00BB5286">
              <w:rPr>
                <w:rFonts w:eastAsia="Calibri" w:cs="Times New Roman"/>
                <w:b/>
                <w:bCs/>
                <w:noProof/>
                <w:color w:val="FFFFFF"/>
                <w:sz w:val="22"/>
                <w:lang w:val="en-GB"/>
              </w:rPr>
              <w:t xml:space="preserve"> Conditionality</w:t>
            </w:r>
          </w:p>
        </w:tc>
      </w:tr>
      <w:tr w:rsidR="00872C68" w:rsidRPr="00BB5286" w14:paraId="396F1E6E" w14:textId="77777777" w:rsidTr="00B57B3C">
        <w:tblPrEx>
          <w:tblBorders>
            <w:bottom w:val="single" w:sz="4" w:space="0" w:color="auto"/>
          </w:tblBorders>
        </w:tblPrEx>
        <w:trPr>
          <w:trHeight w:val="705"/>
        </w:trPr>
        <w:tc>
          <w:tcPr>
            <w:tcW w:w="588" w:type="dxa"/>
            <w:tcBorders>
              <w:top w:val="nil"/>
            </w:tcBorders>
            <w:vAlign w:val="center"/>
          </w:tcPr>
          <w:p w14:paraId="63140503"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123</w:t>
            </w:r>
          </w:p>
        </w:tc>
        <w:tc>
          <w:tcPr>
            <w:tcW w:w="5887" w:type="dxa"/>
            <w:tcBorders>
              <w:top w:val="nil"/>
            </w:tcBorders>
            <w:vAlign w:val="center"/>
          </w:tcPr>
          <w:p w14:paraId="121122CD" w14:textId="525C61B1"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b/>
                <w:bCs/>
                <w:noProof/>
                <w:sz w:val="22"/>
                <w:lang w:val="en-GB"/>
              </w:rPr>
              <w:t>Level of detail:</w:t>
            </w:r>
            <w:r w:rsidRPr="00BB5286">
              <w:rPr>
                <w:rFonts w:eastAsia="Calibri" w:cs="Times New Roman"/>
                <w:noProof/>
                <w:sz w:val="22"/>
                <w:lang w:val="en-GB"/>
              </w:rPr>
              <w:t xml:space="preserve">  </w:t>
            </w:r>
            <w:r w:rsidR="00523AA0" w:rsidRPr="00BB5286">
              <w:rPr>
                <w:rFonts w:eastAsia="Calibri" w:cs="Times New Roman"/>
                <w:noProof/>
                <w:sz w:val="22"/>
                <w:lang w:val="en-GB"/>
              </w:rPr>
              <w:t>CAP Plans</w:t>
            </w:r>
            <w:r w:rsidRPr="00BB5286">
              <w:rPr>
                <w:rFonts w:eastAsia="Calibri" w:cs="Times New Roman"/>
                <w:noProof/>
                <w:sz w:val="22"/>
                <w:lang w:val="en-GB"/>
              </w:rPr>
              <w:t xml:space="preserve"> should only contain a </w:t>
            </w:r>
            <w:r w:rsidR="004C5DD2" w:rsidRPr="00BB5286">
              <w:rPr>
                <w:rFonts w:eastAsia="Calibri" w:cs="Times New Roman"/>
                <w:noProof/>
                <w:sz w:val="22"/>
                <w:lang w:val="en-GB"/>
              </w:rPr>
              <w:t>‘</w:t>
            </w:r>
            <w:r w:rsidRPr="00BB5286">
              <w:rPr>
                <w:rFonts w:eastAsia="Calibri" w:cs="Times New Roman"/>
                <w:noProof/>
                <w:sz w:val="22"/>
                <w:lang w:val="en-GB"/>
              </w:rPr>
              <w:t>summary of the on-farm practice</w:t>
            </w:r>
            <w:r w:rsidR="004C5DD2" w:rsidRPr="00BB5286">
              <w:rPr>
                <w:rFonts w:eastAsia="Calibri" w:cs="Times New Roman"/>
                <w:noProof/>
                <w:sz w:val="22"/>
                <w:lang w:val="en-GB"/>
              </w:rPr>
              <w:t>’</w:t>
            </w:r>
            <w:r w:rsidRPr="00BB5286">
              <w:rPr>
                <w:rFonts w:eastAsia="Calibri" w:cs="Times New Roman"/>
                <w:noProof/>
                <w:sz w:val="22"/>
                <w:lang w:val="en-GB"/>
              </w:rPr>
              <w:t xml:space="preserve"> for each GAEC standard.</w:t>
            </w:r>
          </w:p>
        </w:tc>
        <w:tc>
          <w:tcPr>
            <w:tcW w:w="1620" w:type="dxa"/>
            <w:tcBorders>
              <w:top w:val="nil"/>
            </w:tcBorders>
            <w:vAlign w:val="center"/>
          </w:tcPr>
          <w:p w14:paraId="3670DCBA"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w:t>
            </w:r>
          </w:p>
        </w:tc>
        <w:tc>
          <w:tcPr>
            <w:tcW w:w="6660" w:type="dxa"/>
            <w:tcBorders>
              <w:top w:val="nil"/>
            </w:tcBorders>
            <w:vAlign w:val="center"/>
          </w:tcPr>
          <w:p w14:paraId="22D0A5A3" w14:textId="0CDF4A19"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Lessons learned from the current period will feed the reflection on the post</w:t>
            </w:r>
            <w:r w:rsidR="00A70876" w:rsidRPr="00BB5286">
              <w:rPr>
                <w:rFonts w:eastAsia="Calibri" w:cs="Times New Roman"/>
                <w:noProof/>
                <w:sz w:val="22"/>
                <w:lang w:val="en-GB"/>
              </w:rPr>
              <w:t>-</w:t>
            </w:r>
            <w:r w:rsidRPr="00BB5286">
              <w:rPr>
                <w:rFonts w:eastAsia="Calibri" w:cs="Times New Roman"/>
                <w:noProof/>
                <w:sz w:val="22"/>
                <w:lang w:val="en-GB"/>
              </w:rPr>
              <w:t>2027</w:t>
            </w:r>
            <w:r w:rsidR="00A70876" w:rsidRPr="00BB5286">
              <w:rPr>
                <w:rFonts w:eastAsia="Calibri" w:cs="Times New Roman"/>
                <w:noProof/>
                <w:sz w:val="22"/>
                <w:lang w:val="en-GB"/>
              </w:rPr>
              <w:t xml:space="preserve"> CAP</w:t>
            </w:r>
            <w:r w:rsidRPr="00BB5286">
              <w:rPr>
                <w:rFonts w:eastAsia="Calibri" w:cs="Times New Roman"/>
                <w:noProof/>
                <w:sz w:val="22"/>
                <w:lang w:val="en-GB"/>
              </w:rPr>
              <w:t>.</w:t>
            </w:r>
          </w:p>
        </w:tc>
      </w:tr>
    </w:tbl>
    <w:p w14:paraId="644074DD" w14:textId="77777777" w:rsidR="004D5525" w:rsidRDefault="004D5525">
      <w:pPr>
        <w:rPr>
          <w:noProof/>
        </w:rPr>
      </w:pPr>
    </w:p>
    <w:tbl>
      <w:tblPr>
        <w:tblStyle w:val="TableGrid1"/>
        <w:tblpPr w:leftFromText="180" w:rightFromText="180" w:vertAnchor="text" w:tblpY="1"/>
        <w:tblOverlap w:val="never"/>
        <w:tblW w:w="14755" w:type="dxa"/>
        <w:tblLayout w:type="fixed"/>
        <w:tblLook w:val="04A0" w:firstRow="1" w:lastRow="0" w:firstColumn="1" w:lastColumn="0" w:noHBand="0" w:noVBand="1"/>
      </w:tblPr>
      <w:tblGrid>
        <w:gridCol w:w="588"/>
        <w:gridCol w:w="5887"/>
        <w:gridCol w:w="1620"/>
        <w:gridCol w:w="6660"/>
      </w:tblGrid>
      <w:tr w:rsidR="00872C68" w:rsidRPr="00BB5286" w14:paraId="13AA29DB" w14:textId="77777777" w:rsidTr="00B57B3C">
        <w:trPr>
          <w:trHeight w:val="1430"/>
        </w:trPr>
        <w:tc>
          <w:tcPr>
            <w:tcW w:w="588" w:type="dxa"/>
            <w:vAlign w:val="center"/>
          </w:tcPr>
          <w:p w14:paraId="76EF2EFC"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124</w:t>
            </w:r>
          </w:p>
        </w:tc>
        <w:tc>
          <w:tcPr>
            <w:tcW w:w="5887" w:type="dxa"/>
            <w:vAlign w:val="center"/>
          </w:tcPr>
          <w:p w14:paraId="50EA6F42" w14:textId="48D01CEC"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Overlap between GAEC standards requirements</w:t>
            </w:r>
            <w:r w:rsidR="649C83D9" w:rsidRPr="00BB5286">
              <w:rPr>
                <w:rFonts w:eastAsia="Calibri" w:cs="Times New Roman"/>
                <w:b/>
                <w:bCs/>
                <w:noProof/>
                <w:sz w:val="22"/>
                <w:szCs w:val="20"/>
                <w:lang w:val="en-GB"/>
              </w:rPr>
              <w:t>:</w:t>
            </w:r>
            <w:r w:rsidR="38C64AB4" w:rsidRPr="00BB5286">
              <w:rPr>
                <w:rFonts w:eastAsia="Calibri" w:cs="Times New Roman"/>
                <w:noProof/>
                <w:sz w:val="22"/>
                <w:szCs w:val="20"/>
                <w:lang w:val="en-GB"/>
              </w:rPr>
              <w:t xml:space="preserve"> </w:t>
            </w:r>
            <w:r w:rsidR="1A058AFF" w:rsidRPr="00BB5286">
              <w:rPr>
                <w:rFonts w:eastAsia="Calibri" w:cs="Times New Roman"/>
                <w:noProof/>
                <w:sz w:val="22"/>
                <w:szCs w:val="20"/>
                <w:lang w:val="en-GB"/>
              </w:rPr>
              <w:t>a</w:t>
            </w:r>
            <w:r w:rsidRPr="00BB5286">
              <w:rPr>
                <w:rFonts w:eastAsia="Calibri" w:cs="Times New Roman"/>
                <w:noProof/>
                <w:sz w:val="22"/>
                <w:szCs w:val="20"/>
                <w:lang w:val="en-GB"/>
              </w:rPr>
              <w:t xml:space="preserve">void overlaps between GAEC standards requirements. Reduce the number of standards that relate to partly redundant </w:t>
            </w:r>
            <w:r w:rsidR="00E05337" w:rsidRPr="00BB5286">
              <w:rPr>
                <w:rFonts w:eastAsia="Calibri" w:cs="Times New Roman"/>
                <w:noProof/>
                <w:sz w:val="22"/>
                <w:szCs w:val="20"/>
                <w:lang w:val="en-GB"/>
              </w:rPr>
              <w:t>requirements, for</w:t>
            </w:r>
            <w:r w:rsidR="004D5D1D" w:rsidRPr="00BB5286">
              <w:rPr>
                <w:rFonts w:eastAsia="Calibri" w:cs="Times New Roman"/>
                <w:noProof/>
                <w:sz w:val="22"/>
                <w:szCs w:val="20"/>
                <w:lang w:val="en-GB"/>
              </w:rPr>
              <w:t xml:space="preserve"> e</w:t>
            </w:r>
            <w:r w:rsidRPr="00BB5286">
              <w:rPr>
                <w:rFonts w:eastAsia="Calibri" w:cs="Times New Roman"/>
                <w:noProof/>
                <w:sz w:val="22"/>
                <w:szCs w:val="20"/>
                <w:lang w:val="en-GB"/>
              </w:rPr>
              <w:t xml:space="preserve">xample GAEC 1 and 9 or even 2 (preservation of grasslands) as well as GAEC 6, 7 and 8 (soil conservation). </w:t>
            </w:r>
          </w:p>
        </w:tc>
        <w:tc>
          <w:tcPr>
            <w:tcW w:w="1620" w:type="dxa"/>
            <w:vAlign w:val="center"/>
          </w:tcPr>
          <w:p w14:paraId="4CBB1E9A" w14:textId="77777777" w:rsidR="00872C68" w:rsidRPr="00BB5286" w:rsidRDefault="00872C68" w:rsidP="00040FD1">
            <w:pPr>
              <w:spacing w:after="60" w:line="259" w:lineRule="auto"/>
              <w:ind w:left="-108"/>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0" w:type="dxa"/>
            <w:vAlign w:val="center"/>
          </w:tcPr>
          <w:p w14:paraId="4191DBCD" w14:textId="5FDD1A1C"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was not taken up. Each GAEC standard has a specific main objective and scope laid down in </w:t>
            </w:r>
            <w:r w:rsidRPr="00BB5286">
              <w:rPr>
                <w:rFonts w:eastAsia="Calibri" w:cs="Times New Roman"/>
                <w:i/>
                <w:noProof/>
                <w:sz w:val="22"/>
                <w:szCs w:val="20"/>
                <w:lang w:val="en-GB"/>
              </w:rPr>
              <w:t>Annex III</w:t>
            </w:r>
            <w:r w:rsidRPr="00BB5286">
              <w:rPr>
                <w:rFonts w:eastAsia="Calibri" w:cs="Times New Roman"/>
                <w:noProof/>
                <w:sz w:val="22"/>
                <w:szCs w:val="20"/>
                <w:lang w:val="en-GB"/>
              </w:rPr>
              <w:t xml:space="preserve"> to </w:t>
            </w:r>
            <w:r w:rsidR="7096F7DD"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 It is the responsibility of Member States to ensure a clear articulation between the requirements of the different GAEC standards.</w:t>
            </w:r>
          </w:p>
        </w:tc>
      </w:tr>
      <w:tr w:rsidR="00872C68" w:rsidRPr="00BB5286" w14:paraId="37AFCFB3" w14:textId="77777777" w:rsidTr="00B57B3C">
        <w:trPr>
          <w:trHeight w:val="740"/>
        </w:trPr>
        <w:tc>
          <w:tcPr>
            <w:tcW w:w="588" w:type="dxa"/>
            <w:vAlign w:val="center"/>
          </w:tcPr>
          <w:p w14:paraId="02147CFF"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noProof/>
                <w:sz w:val="22"/>
                <w:lang w:val="en-GB"/>
              </w:rPr>
              <w:t>125</w:t>
            </w:r>
          </w:p>
        </w:tc>
        <w:tc>
          <w:tcPr>
            <w:tcW w:w="5887" w:type="dxa"/>
            <w:vAlign w:val="center"/>
          </w:tcPr>
          <w:p w14:paraId="670BEC38" w14:textId="60F43230"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Eco-schemes instead of conditionality</w:t>
            </w:r>
            <w:r w:rsidR="00CC6323" w:rsidRPr="00BB5286">
              <w:rPr>
                <w:rFonts w:eastAsia="Calibri" w:cs="Times New Roman"/>
                <w:b/>
                <w:bCs/>
                <w:noProof/>
                <w:sz w:val="22"/>
                <w:szCs w:val="20"/>
                <w:lang w:val="en-GB"/>
              </w:rPr>
              <w:t>:</w:t>
            </w:r>
            <w:r w:rsidR="38C64AB4" w:rsidRPr="00BB5286">
              <w:rPr>
                <w:rFonts w:eastAsia="Calibri" w:cs="Times New Roman"/>
                <w:noProof/>
                <w:sz w:val="22"/>
                <w:szCs w:val="20"/>
                <w:lang w:val="en-GB"/>
              </w:rPr>
              <w:t xml:space="preserve"> </w:t>
            </w:r>
            <w:r w:rsidR="5E6DDCEE" w:rsidRPr="00BB5286">
              <w:rPr>
                <w:rFonts w:eastAsia="Calibri" w:cs="Times New Roman"/>
                <w:noProof/>
                <w:sz w:val="22"/>
                <w:szCs w:val="20"/>
                <w:lang w:val="en-GB"/>
              </w:rPr>
              <w:t>t</w:t>
            </w:r>
            <w:r w:rsidRPr="00BB5286">
              <w:rPr>
                <w:rFonts w:eastAsia="Calibri" w:cs="Times New Roman"/>
                <w:noProof/>
                <w:sz w:val="22"/>
                <w:szCs w:val="20"/>
                <w:lang w:val="en-GB"/>
              </w:rPr>
              <w:t>urn requirements related to GAEC standards (other than GAEC standard 8) into eco-schemes.</w:t>
            </w:r>
          </w:p>
        </w:tc>
        <w:tc>
          <w:tcPr>
            <w:tcW w:w="1620" w:type="dxa"/>
            <w:vAlign w:val="center"/>
          </w:tcPr>
          <w:p w14:paraId="4F721948" w14:textId="77777777" w:rsidR="00872C68" w:rsidRPr="00BB5286" w:rsidRDefault="00872C68" w:rsidP="00040FD1">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CZ, BE, EE, PT, SI, SK</w:t>
            </w:r>
          </w:p>
        </w:tc>
        <w:tc>
          <w:tcPr>
            <w:tcW w:w="6660" w:type="dxa"/>
            <w:vAlign w:val="center"/>
          </w:tcPr>
          <w:p w14:paraId="6740B014" w14:textId="24F99030"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not taken up. This proposal would hamper the achievement of the policy objectives of the CAP in 2023-2027. Conditionality is a key part of the higher environmental ambition of this CAP compared to the previous one. The combination of a higher baseline through conditionality with enhanced funding for eco</w:t>
            </w:r>
            <w:r w:rsidR="004D5D1D" w:rsidRPr="00BB5286">
              <w:rPr>
                <w:rFonts w:eastAsia="Calibri" w:cs="Times New Roman"/>
                <w:noProof/>
                <w:sz w:val="22"/>
                <w:lang w:val="en-GB"/>
              </w:rPr>
              <w:t>-</w:t>
            </w:r>
            <w:r w:rsidRPr="00BB5286">
              <w:rPr>
                <w:rFonts w:eastAsia="Calibri" w:cs="Times New Roman"/>
                <w:noProof/>
                <w:sz w:val="22"/>
                <w:lang w:val="en-GB"/>
              </w:rPr>
              <w:t>schemes is at the heart of the ‘green architecture’ of the CAP 2023-2027.</w:t>
            </w:r>
          </w:p>
        </w:tc>
      </w:tr>
      <w:tr w:rsidR="00872C68" w:rsidRPr="00BB5286" w14:paraId="5F9060A8" w14:textId="77777777" w:rsidTr="00B57B3C">
        <w:trPr>
          <w:trHeight w:val="740"/>
        </w:trPr>
        <w:tc>
          <w:tcPr>
            <w:tcW w:w="588" w:type="dxa"/>
            <w:vAlign w:val="center"/>
          </w:tcPr>
          <w:p w14:paraId="6EBFD719"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126</w:t>
            </w:r>
          </w:p>
        </w:tc>
        <w:tc>
          <w:tcPr>
            <w:tcW w:w="5887" w:type="dxa"/>
            <w:vAlign w:val="center"/>
          </w:tcPr>
          <w:p w14:paraId="50ABC873" w14:textId="1D9D7A02" w:rsidR="00872C68" w:rsidRPr="00BB5286" w:rsidRDefault="00872C68" w:rsidP="00040FD1">
            <w:pPr>
              <w:spacing w:after="60" w:line="259" w:lineRule="auto"/>
              <w:jc w:val="both"/>
              <w:rPr>
                <w:rFonts w:eastAsia="Calibri" w:cs="Times New Roman"/>
                <w:b/>
                <w:noProof/>
                <w:sz w:val="22"/>
                <w:szCs w:val="20"/>
                <w:lang w:val="en-GB"/>
              </w:rPr>
            </w:pPr>
            <w:r w:rsidRPr="00BB5286">
              <w:rPr>
                <w:rFonts w:eastAsia="Calibri" w:cs="Times New Roman"/>
                <w:b/>
                <w:noProof/>
                <w:sz w:val="22"/>
                <w:szCs w:val="20"/>
                <w:lang w:val="en-GB"/>
              </w:rPr>
              <w:t>Make GAEC 8 an eco-scheme</w:t>
            </w:r>
            <w:r w:rsidR="538A47FC" w:rsidRPr="00BB5286">
              <w:rPr>
                <w:rFonts w:eastAsia="Calibri" w:cs="Times New Roman"/>
                <w:b/>
                <w:bCs/>
                <w:noProof/>
                <w:sz w:val="22"/>
                <w:szCs w:val="20"/>
                <w:lang w:val="en-GB"/>
              </w:rPr>
              <w:t>:</w:t>
            </w:r>
            <w:r w:rsidR="38C64AB4" w:rsidRPr="00BB5286">
              <w:rPr>
                <w:rFonts w:eastAsia="Calibri" w:cs="Times New Roman"/>
                <w:noProof/>
                <w:sz w:val="22"/>
                <w:szCs w:val="20"/>
                <w:lang w:val="en-GB"/>
              </w:rPr>
              <w:t xml:space="preserve"> </w:t>
            </w:r>
            <w:r w:rsidR="76868EF0" w:rsidRPr="00BB5286">
              <w:rPr>
                <w:rFonts w:eastAsia="Calibri" w:cs="Times New Roman"/>
                <w:noProof/>
                <w:sz w:val="22"/>
                <w:szCs w:val="20"/>
                <w:lang w:val="en-GB"/>
              </w:rPr>
              <w:t>t</w:t>
            </w:r>
            <w:r w:rsidRPr="00BB5286">
              <w:rPr>
                <w:rFonts w:eastAsia="Calibri" w:cs="Times New Roman"/>
                <w:noProof/>
                <w:sz w:val="22"/>
                <w:szCs w:val="20"/>
                <w:lang w:val="en-GB"/>
              </w:rPr>
              <w:t>urn requirements related to GAEC standard 8 into eco-schemes.</w:t>
            </w:r>
          </w:p>
        </w:tc>
        <w:tc>
          <w:tcPr>
            <w:tcW w:w="1620" w:type="dxa"/>
            <w:vAlign w:val="center"/>
          </w:tcPr>
          <w:p w14:paraId="6935D30B" w14:textId="77777777" w:rsidR="00872C68" w:rsidRPr="00BB5286" w:rsidRDefault="00872C68" w:rsidP="00040FD1">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BE, CZ, PL, EE, SI, DK</w:t>
            </w:r>
          </w:p>
        </w:tc>
        <w:tc>
          <w:tcPr>
            <w:tcW w:w="6660" w:type="dxa"/>
            <w:vAlign w:val="center"/>
          </w:tcPr>
          <w:p w14:paraId="50EE4315" w14:textId="692AC80A"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Addressed by the Commission proposal as a part of the </w:t>
            </w:r>
            <w:r w:rsidR="004D5D1D" w:rsidRPr="00BB5286">
              <w:rPr>
                <w:rFonts w:eastAsia="Calibri" w:cs="Times New Roman"/>
                <w:noProof/>
                <w:sz w:val="22"/>
                <w:lang w:val="en-GB"/>
              </w:rPr>
              <w:t>s</w:t>
            </w:r>
            <w:r w:rsidRPr="00BB5286">
              <w:rPr>
                <w:rFonts w:eastAsia="Calibri" w:cs="Times New Roman"/>
                <w:noProof/>
                <w:sz w:val="22"/>
                <w:lang w:val="en-GB"/>
              </w:rPr>
              <w:t xml:space="preserve">implification </w:t>
            </w:r>
            <w:r w:rsidR="004D5D1D" w:rsidRPr="00BB5286">
              <w:rPr>
                <w:rFonts w:eastAsia="Calibri" w:cs="Times New Roman"/>
                <w:noProof/>
                <w:sz w:val="22"/>
                <w:lang w:val="en-GB"/>
              </w:rPr>
              <w:t>p</w:t>
            </w:r>
            <w:r w:rsidRPr="00BB5286">
              <w:rPr>
                <w:rFonts w:eastAsia="Calibri" w:cs="Times New Roman"/>
                <w:noProof/>
                <w:sz w:val="22"/>
                <w:lang w:val="en-GB"/>
              </w:rPr>
              <w:t>ackage, as regards the first requirement of GAEC 8</w:t>
            </w:r>
            <w:r w:rsidR="0069116D" w:rsidRPr="00BB5286">
              <w:rPr>
                <w:rFonts w:eastAsia="Calibri" w:cs="Times New Roman"/>
                <w:noProof/>
                <w:sz w:val="22"/>
                <w:lang w:val="en-GB"/>
              </w:rPr>
              <w:t xml:space="preserve"> (see</w:t>
            </w:r>
            <w:r w:rsidR="007A41E8" w:rsidRPr="00BB5286">
              <w:rPr>
                <w:rFonts w:eastAsia="Calibri" w:cs="Times New Roman"/>
                <w:noProof/>
                <w:sz w:val="22"/>
                <w:lang w:val="en-GB"/>
              </w:rPr>
              <w:t xml:space="preserve"> also</w:t>
            </w:r>
            <w:r w:rsidR="0069116D" w:rsidRPr="00BB5286">
              <w:rPr>
                <w:rFonts w:eastAsia="Calibri" w:cs="Times New Roman"/>
                <w:noProof/>
                <w:sz w:val="22"/>
                <w:lang w:val="en-GB"/>
              </w:rPr>
              <w:t xml:space="preserve"> the adopted Simplification Regulation)</w:t>
            </w:r>
            <w:r w:rsidRPr="00BB5286">
              <w:rPr>
                <w:rFonts w:eastAsia="Calibri" w:cs="Times New Roman"/>
                <w:noProof/>
                <w:sz w:val="22"/>
                <w:lang w:val="en-GB"/>
              </w:rPr>
              <w:t>.</w:t>
            </w:r>
          </w:p>
        </w:tc>
      </w:tr>
      <w:tr w:rsidR="00872C68" w:rsidRPr="00BB5286" w14:paraId="095FAD61" w14:textId="77777777" w:rsidTr="00B57B3C">
        <w:trPr>
          <w:trHeight w:val="300"/>
        </w:trPr>
        <w:tc>
          <w:tcPr>
            <w:tcW w:w="588" w:type="dxa"/>
            <w:vAlign w:val="center"/>
          </w:tcPr>
          <w:p w14:paraId="40D8F9AD"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127</w:t>
            </w:r>
          </w:p>
        </w:tc>
        <w:tc>
          <w:tcPr>
            <w:tcW w:w="5887" w:type="dxa"/>
            <w:vAlign w:val="center"/>
          </w:tcPr>
          <w:p w14:paraId="5EEF4A39" w14:textId="74736677"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 xml:space="preserve">Make GAEC </w:t>
            </w:r>
            <w:r w:rsidR="000A61C9" w:rsidRPr="00BB5286">
              <w:rPr>
                <w:rFonts w:eastAsia="Calibri" w:cs="Times New Roman"/>
                <w:b/>
                <w:noProof/>
                <w:sz w:val="22"/>
                <w:szCs w:val="20"/>
                <w:lang w:val="en-GB"/>
              </w:rPr>
              <w:t>agri-environment-climate measures (</w:t>
            </w:r>
            <w:r w:rsidRPr="00BB5286">
              <w:rPr>
                <w:rFonts w:eastAsia="Calibri" w:cs="Times New Roman"/>
                <w:b/>
                <w:noProof/>
                <w:sz w:val="22"/>
                <w:szCs w:val="20"/>
                <w:lang w:val="en-GB"/>
              </w:rPr>
              <w:t>AECM</w:t>
            </w:r>
            <w:r w:rsidR="3B48B476" w:rsidRPr="00BB5286">
              <w:rPr>
                <w:rFonts w:eastAsia="Calibri" w:cs="Times New Roman"/>
                <w:b/>
                <w:bCs/>
                <w:noProof/>
                <w:sz w:val="22"/>
                <w:szCs w:val="20"/>
                <w:lang w:val="en-GB"/>
              </w:rPr>
              <w:t>)</w:t>
            </w:r>
            <w:r w:rsidR="11702983" w:rsidRPr="00BB5286">
              <w:rPr>
                <w:rFonts w:eastAsia="Calibri" w:cs="Times New Roman"/>
                <w:b/>
                <w:bCs/>
                <w:noProof/>
                <w:sz w:val="22"/>
                <w:szCs w:val="20"/>
                <w:lang w:val="en-GB"/>
              </w:rPr>
              <w:t>:</w:t>
            </w:r>
            <w:r w:rsidR="38C64AB4" w:rsidRPr="00BB5286">
              <w:rPr>
                <w:rFonts w:eastAsia="Calibri" w:cs="Times New Roman"/>
                <w:noProof/>
                <w:sz w:val="22"/>
                <w:szCs w:val="20"/>
                <w:lang w:val="en-GB"/>
              </w:rPr>
              <w:t xml:space="preserve"> </w:t>
            </w:r>
            <w:r w:rsidR="3CE17CD8" w:rsidRPr="00BB5286">
              <w:rPr>
                <w:rFonts w:eastAsia="Calibri" w:cs="Times New Roman"/>
                <w:noProof/>
                <w:sz w:val="22"/>
                <w:szCs w:val="20"/>
                <w:lang w:val="en-GB"/>
              </w:rPr>
              <w:t>e</w:t>
            </w:r>
            <w:r w:rsidRPr="00BB5286">
              <w:rPr>
                <w:rFonts w:eastAsia="Calibri" w:cs="Times New Roman"/>
                <w:noProof/>
                <w:sz w:val="22"/>
                <w:szCs w:val="20"/>
                <w:lang w:val="en-GB"/>
              </w:rPr>
              <w:t>xclude hectares under AECM from conditionality</w:t>
            </w:r>
            <w:r w:rsidR="2D57D8CF" w:rsidRPr="00BB5286">
              <w:rPr>
                <w:rFonts w:eastAsia="Calibri" w:cs="Times New Roman"/>
                <w:noProof/>
                <w:sz w:val="22"/>
                <w:szCs w:val="20"/>
                <w:lang w:val="en-GB"/>
              </w:rPr>
              <w:t xml:space="preserve"> </w:t>
            </w:r>
            <w:r w:rsidRPr="00BB5286">
              <w:rPr>
                <w:rFonts w:eastAsia="Calibri" w:cs="Times New Roman"/>
                <w:noProof/>
                <w:sz w:val="22"/>
                <w:szCs w:val="20"/>
                <w:lang w:val="en-GB"/>
              </w:rPr>
              <w:t>/ replace GAEC standards by AECM.</w:t>
            </w:r>
          </w:p>
        </w:tc>
        <w:tc>
          <w:tcPr>
            <w:tcW w:w="1620" w:type="dxa"/>
            <w:vAlign w:val="center"/>
          </w:tcPr>
          <w:p w14:paraId="1CFF4786"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 SI</w:t>
            </w:r>
          </w:p>
        </w:tc>
        <w:tc>
          <w:tcPr>
            <w:tcW w:w="6660" w:type="dxa"/>
            <w:vAlign w:val="center"/>
          </w:tcPr>
          <w:p w14:paraId="086798DB" w14:textId="0A2EE23D"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375F16">
              <w:rPr>
                <w:rFonts w:eastAsia="Calibri" w:cs="Times New Roman"/>
                <w:noProof/>
                <w:sz w:val="22"/>
                <w:lang w:val="en-GB"/>
              </w:rPr>
              <w:t xml:space="preserve"> </w:t>
            </w:r>
            <w:r w:rsidRPr="00BB5286">
              <w:rPr>
                <w:rFonts w:eastAsia="Calibri" w:cs="Times New Roman"/>
                <w:noProof/>
                <w:sz w:val="22"/>
                <w:lang w:val="en-GB"/>
              </w:rPr>
              <w:t xml:space="preserve">was not taken up. Conditionality is the basis for all area-based payments. This proposal would hamper the achievement of the policy objectives of the CAP in 2023-2027. </w:t>
            </w:r>
          </w:p>
        </w:tc>
      </w:tr>
      <w:tr w:rsidR="00872C68" w:rsidRPr="00BB5286" w14:paraId="0609A358" w14:textId="77777777" w:rsidTr="00B57B3C">
        <w:trPr>
          <w:trHeight w:val="300"/>
        </w:trPr>
        <w:tc>
          <w:tcPr>
            <w:tcW w:w="588" w:type="dxa"/>
            <w:vAlign w:val="center"/>
          </w:tcPr>
          <w:p w14:paraId="368B0EF9"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noProof/>
                <w:sz w:val="22"/>
                <w:lang w:val="en-GB"/>
              </w:rPr>
              <w:t>128</w:t>
            </w:r>
          </w:p>
        </w:tc>
        <w:tc>
          <w:tcPr>
            <w:tcW w:w="5887" w:type="dxa"/>
            <w:vAlign w:val="center"/>
          </w:tcPr>
          <w:p w14:paraId="0FCA2ACB" w14:textId="43A9ED24"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Flexibility:</w:t>
            </w:r>
            <w:r w:rsidRPr="00BB5286">
              <w:rPr>
                <w:rFonts w:eastAsia="Calibri" w:cs="Times New Roman"/>
                <w:noProof/>
                <w:sz w:val="22"/>
                <w:szCs w:val="20"/>
                <w:lang w:val="en-GB"/>
              </w:rPr>
              <w:t xml:space="preserve"> </w:t>
            </w:r>
            <w:r w:rsidR="191043CA" w:rsidRPr="00BB5286">
              <w:rPr>
                <w:rFonts w:eastAsia="Calibri" w:cs="Times New Roman"/>
                <w:noProof/>
                <w:sz w:val="22"/>
                <w:szCs w:val="20"/>
                <w:lang w:val="en-GB"/>
              </w:rPr>
              <w:t>a</w:t>
            </w:r>
            <w:r w:rsidRPr="00BB5286">
              <w:rPr>
                <w:rFonts w:eastAsia="Calibri" w:cs="Times New Roman"/>
                <w:noProof/>
                <w:sz w:val="22"/>
                <w:szCs w:val="20"/>
                <w:lang w:val="en-GB"/>
              </w:rPr>
              <w:t>llow for GAEC exemptions, and flexibility, taking into account Member State specificities and farming systems and/or following extreme climatic events</w:t>
            </w:r>
            <w:r w:rsidR="004C5DD2" w:rsidRPr="00BB5286">
              <w:rPr>
                <w:rFonts w:eastAsia="Calibri" w:cs="Times New Roman"/>
                <w:noProof/>
                <w:sz w:val="22"/>
                <w:szCs w:val="20"/>
                <w:lang w:val="en-GB"/>
              </w:rPr>
              <w:t>.</w:t>
            </w:r>
            <w:r w:rsidRPr="00BB5286">
              <w:rPr>
                <w:rFonts w:eastAsia="Calibri" w:cs="Times New Roman"/>
                <w:noProof/>
                <w:sz w:val="22"/>
                <w:szCs w:val="20"/>
                <w:lang w:val="en-GB"/>
              </w:rPr>
              <w:t xml:space="preserve"> </w:t>
            </w:r>
          </w:p>
        </w:tc>
        <w:tc>
          <w:tcPr>
            <w:tcW w:w="1620" w:type="dxa"/>
            <w:vAlign w:val="center"/>
          </w:tcPr>
          <w:p w14:paraId="59D87A66" w14:textId="77777777" w:rsidR="00872C68" w:rsidRPr="00BB5286" w:rsidRDefault="00872C68" w:rsidP="00040FD1">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BE, CY, DE, DK, ES, IE, LU, LV, RO, MT</w:t>
            </w:r>
          </w:p>
          <w:p w14:paraId="0371F2E5"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p w14:paraId="457FEDD8"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lastRenderedPageBreak/>
              <w:t>ECVC</w:t>
            </w:r>
          </w:p>
        </w:tc>
        <w:tc>
          <w:tcPr>
            <w:tcW w:w="6660" w:type="dxa"/>
            <w:vAlign w:val="center"/>
          </w:tcPr>
          <w:p w14:paraId="57D44937" w14:textId="76F6AE98" w:rsidR="00872C68" w:rsidRPr="00BB5286" w:rsidRDefault="00872C68" w:rsidP="00AE4510">
            <w:pPr>
              <w:jc w:val="both"/>
              <w:rPr>
                <w:rFonts w:eastAsia="Calibri" w:cs="Times New Roman"/>
                <w:noProof/>
                <w:sz w:val="22"/>
                <w:szCs w:val="20"/>
                <w:lang w:val="en-IE"/>
              </w:rPr>
            </w:pPr>
            <w:r w:rsidRPr="00BB5286">
              <w:rPr>
                <w:rFonts w:eastAsia="Calibri" w:cs="Times New Roman"/>
                <w:i/>
                <w:noProof/>
                <w:sz w:val="22"/>
                <w:szCs w:val="20"/>
                <w:lang w:val="en-IE"/>
              </w:rPr>
              <w:lastRenderedPageBreak/>
              <w:t xml:space="preserve">Article 13 </w:t>
            </w:r>
            <w:r w:rsidRPr="00BB5286">
              <w:rPr>
                <w:rFonts w:eastAsia="Calibri" w:cs="Times New Roman"/>
                <w:noProof/>
                <w:sz w:val="22"/>
                <w:szCs w:val="20"/>
                <w:lang w:val="en-IE"/>
              </w:rPr>
              <w:t>of</w:t>
            </w:r>
            <w:r w:rsidR="38C64AB4" w:rsidRPr="00BB5286">
              <w:rPr>
                <w:rFonts w:eastAsia="Calibri" w:cs="Times New Roman"/>
                <w:noProof/>
                <w:sz w:val="22"/>
                <w:szCs w:val="20"/>
                <w:lang w:val="en-IE"/>
              </w:rPr>
              <w:t xml:space="preserve"> </w:t>
            </w:r>
            <w:r w:rsidR="6CE9CC3F" w:rsidRPr="00BB5286">
              <w:rPr>
                <w:rFonts w:eastAsia="Calibri" w:cs="Times New Roman"/>
                <w:noProof/>
                <w:sz w:val="22"/>
                <w:szCs w:val="20"/>
                <w:lang w:val="en-IE"/>
              </w:rPr>
              <w:t>the CSP</w:t>
            </w:r>
            <w:r w:rsidRPr="00BB5286">
              <w:rPr>
                <w:rFonts w:eastAsia="Calibri" w:cs="Times New Roman"/>
                <w:noProof/>
                <w:sz w:val="22"/>
                <w:szCs w:val="20"/>
                <w:lang w:val="en-IE"/>
              </w:rPr>
              <w:t xml:space="preserve"> Regulation already provides that Member States should take into account, where relevant, specific soil and climatic conditions, farming systems and practices and land use when setting their GAEC standards. The Commission proposal which is part of the </w:t>
            </w:r>
            <w:r w:rsidR="004D5D1D" w:rsidRPr="00BB5286">
              <w:rPr>
                <w:rFonts w:eastAsia="Calibri" w:cs="Times New Roman"/>
                <w:noProof/>
                <w:sz w:val="22"/>
                <w:szCs w:val="20"/>
                <w:lang w:val="en-IE"/>
              </w:rPr>
              <w:t>s</w:t>
            </w:r>
            <w:r w:rsidRPr="00BB5286">
              <w:rPr>
                <w:rFonts w:eastAsia="Calibri" w:cs="Times New Roman"/>
                <w:noProof/>
                <w:sz w:val="22"/>
                <w:szCs w:val="20"/>
                <w:lang w:val="en-IE"/>
              </w:rPr>
              <w:t xml:space="preserve">implification </w:t>
            </w:r>
            <w:r w:rsidR="004D5D1D" w:rsidRPr="00BB5286">
              <w:rPr>
                <w:rFonts w:eastAsia="Calibri" w:cs="Times New Roman"/>
                <w:noProof/>
                <w:sz w:val="22"/>
                <w:szCs w:val="20"/>
                <w:lang w:val="en-IE"/>
              </w:rPr>
              <w:t>p</w:t>
            </w:r>
            <w:r w:rsidRPr="00BB5286">
              <w:rPr>
                <w:rFonts w:eastAsia="Calibri" w:cs="Times New Roman"/>
                <w:noProof/>
                <w:sz w:val="22"/>
                <w:szCs w:val="20"/>
                <w:lang w:val="en-IE"/>
              </w:rPr>
              <w:t xml:space="preserve">ackage provides Member States with additional flexibility in </w:t>
            </w:r>
            <w:r w:rsidR="004D5D1D" w:rsidRPr="00BB5286">
              <w:rPr>
                <w:rFonts w:eastAsia="Calibri" w:cs="Times New Roman"/>
                <w:noProof/>
                <w:sz w:val="22"/>
                <w:szCs w:val="20"/>
                <w:lang w:val="en-IE"/>
              </w:rPr>
              <w:t xml:space="preserve">setting </w:t>
            </w:r>
            <w:r w:rsidRPr="00BB5286">
              <w:rPr>
                <w:rFonts w:eastAsia="Calibri" w:cs="Times New Roman"/>
                <w:noProof/>
                <w:sz w:val="22"/>
                <w:szCs w:val="20"/>
                <w:lang w:val="en-IE"/>
              </w:rPr>
              <w:t xml:space="preserve">GAEC standards and </w:t>
            </w:r>
            <w:r w:rsidR="004D5D1D" w:rsidRPr="00BB5286">
              <w:rPr>
                <w:rFonts w:eastAsia="Calibri" w:cs="Times New Roman"/>
                <w:noProof/>
                <w:sz w:val="22"/>
                <w:szCs w:val="20"/>
                <w:lang w:val="en-IE"/>
              </w:rPr>
              <w:t xml:space="preserve">additional </w:t>
            </w:r>
            <w:r w:rsidRPr="00BB5286">
              <w:rPr>
                <w:rFonts w:eastAsia="Calibri" w:cs="Times New Roman"/>
                <w:noProof/>
                <w:sz w:val="22"/>
                <w:szCs w:val="20"/>
                <w:lang w:val="en-IE"/>
              </w:rPr>
              <w:t xml:space="preserve">possibilities to provide targeted </w:t>
            </w:r>
            <w:r w:rsidRPr="00BB5286">
              <w:rPr>
                <w:rFonts w:eastAsia="Calibri" w:cs="Times New Roman"/>
                <w:noProof/>
                <w:sz w:val="22"/>
                <w:szCs w:val="20"/>
                <w:lang w:val="en-IE"/>
              </w:rPr>
              <w:lastRenderedPageBreak/>
              <w:t>exemptions as well as temporary derogations for weather-related reasons</w:t>
            </w:r>
            <w:r w:rsidR="00F15FF4" w:rsidRPr="00BB5286">
              <w:rPr>
                <w:rFonts w:eastAsia="Calibri" w:cs="Times New Roman"/>
                <w:noProof/>
                <w:sz w:val="22"/>
                <w:szCs w:val="20"/>
                <w:lang w:val="en-IE"/>
              </w:rPr>
              <w:t xml:space="preserve"> (see also the adopted Simplification Regulation)</w:t>
            </w:r>
            <w:r w:rsidRPr="00BB5286">
              <w:rPr>
                <w:rFonts w:eastAsia="Calibri" w:cs="Times New Roman"/>
                <w:noProof/>
                <w:sz w:val="22"/>
                <w:szCs w:val="20"/>
                <w:lang w:val="en-IE"/>
              </w:rPr>
              <w:t xml:space="preserve">.  </w:t>
            </w:r>
          </w:p>
        </w:tc>
      </w:tr>
      <w:tr w:rsidR="00872C68" w:rsidRPr="00BB5286" w14:paraId="37554631" w14:textId="77777777" w:rsidTr="00B57B3C">
        <w:tblPrEx>
          <w:tblBorders>
            <w:bottom w:val="single" w:sz="4" w:space="0" w:color="2E74B5" w:themeColor="accent5" w:themeShade="BF"/>
          </w:tblBorders>
        </w:tblPrEx>
        <w:trPr>
          <w:trHeight w:val="1387"/>
        </w:trPr>
        <w:tc>
          <w:tcPr>
            <w:tcW w:w="588" w:type="dxa"/>
            <w:vAlign w:val="center"/>
          </w:tcPr>
          <w:p w14:paraId="3ACC0AB6"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129</w:t>
            </w:r>
          </w:p>
        </w:tc>
        <w:tc>
          <w:tcPr>
            <w:tcW w:w="5887" w:type="dxa"/>
            <w:vAlign w:val="center"/>
          </w:tcPr>
          <w:p w14:paraId="40C3B43F" w14:textId="7094E7D7"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Flexibility:</w:t>
            </w:r>
            <w:r w:rsidRPr="00BB5286">
              <w:rPr>
                <w:rFonts w:eastAsia="Calibri" w:cs="Times New Roman"/>
                <w:noProof/>
                <w:sz w:val="22"/>
                <w:szCs w:val="20"/>
                <w:lang w:val="en-GB"/>
              </w:rPr>
              <w:t xml:space="preserve"> </w:t>
            </w:r>
            <w:r w:rsidR="60161350" w:rsidRPr="00BB5286">
              <w:rPr>
                <w:rFonts w:eastAsia="Calibri" w:cs="Times New Roman"/>
                <w:noProof/>
                <w:sz w:val="22"/>
                <w:szCs w:val="20"/>
                <w:lang w:val="en-GB"/>
              </w:rPr>
              <w:t>s</w:t>
            </w:r>
            <w:r w:rsidRPr="00BB5286">
              <w:rPr>
                <w:rFonts w:eastAsia="Calibri" w:cs="Times New Roman"/>
                <w:noProof/>
                <w:sz w:val="22"/>
                <w:szCs w:val="20"/>
                <w:lang w:val="en-GB"/>
              </w:rPr>
              <w:t>ubstantial revision of GAEC 6, GAEC 7, GAEC 8 to accommodate the practical possibilities of fulfilling the enhanced conditionalities by farmers and taking into consideration the national specificities from the geographical and meteorological point of view.</w:t>
            </w:r>
          </w:p>
        </w:tc>
        <w:tc>
          <w:tcPr>
            <w:tcW w:w="1620" w:type="dxa"/>
            <w:vAlign w:val="center"/>
          </w:tcPr>
          <w:p w14:paraId="2EE69D58"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 xml:space="preserve">RO, SK, </w:t>
            </w:r>
          </w:p>
          <w:p w14:paraId="602F053E"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COM AGRI</w:t>
            </w:r>
          </w:p>
        </w:tc>
        <w:tc>
          <w:tcPr>
            <w:tcW w:w="6660" w:type="dxa"/>
            <w:vAlign w:val="center"/>
          </w:tcPr>
          <w:p w14:paraId="06E91848" w14:textId="1B8F0F3B"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As regards GAEC 6 and 7, the suggestion was addressed by the Commission proposal that is part of the simplification package. For GAEC 8, the Commission proposal entails deletion of the first requirement from </w:t>
            </w:r>
            <w:r w:rsidRPr="00BB5286">
              <w:rPr>
                <w:rFonts w:eastAsia="Calibri" w:cs="Times New Roman"/>
                <w:i/>
                <w:noProof/>
                <w:sz w:val="22"/>
                <w:szCs w:val="20"/>
                <w:lang w:val="en-GB"/>
              </w:rPr>
              <w:t xml:space="preserve">Annex III </w:t>
            </w:r>
            <w:r w:rsidRPr="00BB5286">
              <w:rPr>
                <w:rFonts w:eastAsia="Calibri" w:cs="Times New Roman"/>
                <w:noProof/>
                <w:sz w:val="22"/>
                <w:szCs w:val="20"/>
                <w:lang w:val="en-GB"/>
              </w:rPr>
              <w:t xml:space="preserve">to </w:t>
            </w:r>
            <w:r w:rsidR="6F7B6702"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w:t>
            </w:r>
            <w:r w:rsidR="00F15FF4" w:rsidRPr="00BB5286">
              <w:rPr>
                <w:rFonts w:eastAsia="Calibri" w:cs="Times New Roman"/>
                <w:noProof/>
                <w:sz w:val="22"/>
                <w:szCs w:val="20"/>
                <w:lang w:val="en-GB"/>
              </w:rPr>
              <w:t>See also the adopted Simplification Regulation.</w:t>
            </w:r>
          </w:p>
        </w:tc>
      </w:tr>
      <w:tr w:rsidR="00872C68" w:rsidRPr="00BB5286" w14:paraId="3F02D9B3" w14:textId="77777777" w:rsidTr="00B57B3C">
        <w:trPr>
          <w:trHeight w:val="1493"/>
        </w:trPr>
        <w:tc>
          <w:tcPr>
            <w:tcW w:w="588" w:type="dxa"/>
            <w:vAlign w:val="center"/>
          </w:tcPr>
          <w:p w14:paraId="5D729CF1"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130</w:t>
            </w:r>
          </w:p>
        </w:tc>
        <w:tc>
          <w:tcPr>
            <w:tcW w:w="5887" w:type="dxa"/>
            <w:vAlign w:val="center"/>
          </w:tcPr>
          <w:p w14:paraId="10FBACE9" w14:textId="5A48021B"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Derogations:</w:t>
            </w:r>
            <w:r w:rsidRPr="00BB5286">
              <w:rPr>
                <w:rFonts w:eastAsia="Calibri" w:cs="Times New Roman"/>
                <w:noProof/>
                <w:sz w:val="22"/>
                <w:szCs w:val="20"/>
                <w:lang w:val="en-GB"/>
              </w:rPr>
              <w:t xml:space="preserve"> </w:t>
            </w:r>
            <w:r w:rsidR="61ED03B2" w:rsidRPr="00BB5286">
              <w:rPr>
                <w:rFonts w:eastAsia="Calibri" w:cs="Times New Roman"/>
                <w:noProof/>
                <w:sz w:val="22"/>
                <w:szCs w:val="20"/>
                <w:lang w:val="en-GB"/>
              </w:rPr>
              <w:t>a</w:t>
            </w:r>
            <w:r w:rsidRPr="00BB5286">
              <w:rPr>
                <w:rFonts w:eastAsia="Calibri" w:cs="Times New Roman"/>
                <w:noProof/>
                <w:sz w:val="22"/>
                <w:szCs w:val="20"/>
                <w:lang w:val="en-GB"/>
              </w:rPr>
              <w:t xml:space="preserve">llow derogations from the GAECs (full or limited in time) </w:t>
            </w:r>
          </w:p>
        </w:tc>
        <w:tc>
          <w:tcPr>
            <w:tcW w:w="1620" w:type="dxa"/>
            <w:vAlign w:val="center"/>
          </w:tcPr>
          <w:p w14:paraId="22251494" w14:textId="77777777" w:rsidR="00872C68" w:rsidRPr="00BB5286" w:rsidRDefault="00872C68" w:rsidP="00040FD1">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SI, EL, BG, CZ, HU, HR, SI, IT</w:t>
            </w:r>
          </w:p>
          <w:p w14:paraId="03933282" w14:textId="77777777" w:rsidR="00872C68" w:rsidRPr="00BB5286" w:rsidRDefault="00872C68" w:rsidP="00040FD1">
            <w:pPr>
              <w:spacing w:after="60" w:line="259" w:lineRule="auto"/>
              <w:jc w:val="center"/>
              <w:rPr>
                <w:rFonts w:eastAsia="MS Gothic" w:cs="Times New Roman"/>
                <w:b/>
                <w:noProof/>
                <w:color w:val="0033CC"/>
                <w:sz w:val="22"/>
                <w:lang w:val="es-CU"/>
              </w:rPr>
            </w:pPr>
          </w:p>
          <w:p w14:paraId="4105564E" w14:textId="77777777" w:rsidR="00872C68" w:rsidRPr="00BB5286" w:rsidRDefault="00872C68" w:rsidP="00040FD1">
            <w:pPr>
              <w:spacing w:after="60" w:line="259" w:lineRule="auto"/>
              <w:jc w:val="center"/>
              <w:rPr>
                <w:rFonts w:eastAsia="MS Gothic" w:cs="Times New Roman"/>
                <w:b/>
                <w:noProof/>
                <w:color w:val="0033CC"/>
                <w:sz w:val="22"/>
                <w:lang w:val="es-ES"/>
              </w:rPr>
            </w:pPr>
            <w:r w:rsidRPr="00BB5286">
              <w:rPr>
                <w:rFonts w:eastAsia="MS Gothic" w:cs="Times New Roman"/>
                <w:b/>
                <w:noProof/>
                <w:color w:val="0033CC"/>
                <w:sz w:val="22"/>
                <w:lang w:val="es-ES"/>
              </w:rPr>
              <w:t>COPA-COGECA</w:t>
            </w:r>
          </w:p>
        </w:tc>
        <w:tc>
          <w:tcPr>
            <w:tcW w:w="6660" w:type="dxa"/>
            <w:vAlign w:val="center"/>
          </w:tcPr>
          <w:p w14:paraId="04CCC734" w14:textId="2F3331A0" w:rsidR="00872C68" w:rsidRPr="00BB5286" w:rsidRDefault="00872C68" w:rsidP="00040FD1">
            <w:pPr>
              <w:spacing w:after="60" w:line="259" w:lineRule="auto"/>
              <w:jc w:val="both"/>
              <w:rPr>
                <w:rFonts w:eastAsia="Calibri" w:cs="Times New Roman"/>
                <w:noProof/>
                <w:sz w:val="22"/>
                <w:szCs w:val="20"/>
                <w:lang w:val="en-IE"/>
              </w:rPr>
            </w:pPr>
            <w:r w:rsidRPr="00BB5286">
              <w:rPr>
                <w:rFonts w:eastAsia="Calibri" w:cs="Times New Roman"/>
                <w:noProof/>
                <w:sz w:val="22"/>
                <w:szCs w:val="20"/>
                <w:lang w:val="en-IE"/>
              </w:rPr>
              <w:t xml:space="preserve">Full derogations from GAEC standards would hamper the achievement of the policy objectives of the 2023-2027 CAP. However, the </w:t>
            </w:r>
            <w:r w:rsidR="004D5D1D" w:rsidRPr="00BB5286">
              <w:rPr>
                <w:rFonts w:eastAsia="Calibri" w:cs="Times New Roman"/>
                <w:noProof/>
                <w:sz w:val="22"/>
                <w:szCs w:val="20"/>
                <w:lang w:val="en-IE"/>
              </w:rPr>
              <w:t>s</w:t>
            </w:r>
            <w:r w:rsidRPr="00BB5286">
              <w:rPr>
                <w:rFonts w:eastAsia="Calibri" w:cs="Times New Roman"/>
                <w:noProof/>
                <w:sz w:val="22"/>
                <w:szCs w:val="20"/>
                <w:lang w:val="en-IE"/>
              </w:rPr>
              <w:t xml:space="preserve">implification </w:t>
            </w:r>
            <w:r w:rsidR="004D5D1D" w:rsidRPr="00BB5286">
              <w:rPr>
                <w:rFonts w:eastAsia="Calibri" w:cs="Times New Roman"/>
                <w:noProof/>
                <w:sz w:val="22"/>
                <w:szCs w:val="20"/>
                <w:lang w:val="en-IE"/>
              </w:rPr>
              <w:t>p</w:t>
            </w:r>
            <w:r w:rsidRPr="00BB5286">
              <w:rPr>
                <w:rFonts w:eastAsia="Calibri" w:cs="Times New Roman"/>
                <w:noProof/>
                <w:sz w:val="22"/>
                <w:szCs w:val="20"/>
                <w:lang w:val="en-IE"/>
              </w:rPr>
              <w:t xml:space="preserve">ackage introduces </w:t>
            </w:r>
            <w:r w:rsidR="00B7514F" w:rsidRPr="00BB5286">
              <w:rPr>
                <w:rFonts w:eastAsia="Calibri" w:cs="Times New Roman"/>
                <w:noProof/>
                <w:sz w:val="22"/>
                <w:szCs w:val="20"/>
                <w:lang w:val="en-IE"/>
              </w:rPr>
              <w:t>the</w:t>
            </w:r>
            <w:r w:rsidRPr="00BB5286">
              <w:rPr>
                <w:rFonts w:eastAsia="Calibri" w:cs="Times New Roman"/>
                <w:noProof/>
                <w:sz w:val="22"/>
                <w:szCs w:val="20"/>
                <w:lang w:val="en-IE"/>
              </w:rPr>
              <w:t xml:space="preserve"> possibility for Member States to grant temporary and targeted derogations from requirements of GAEC standards w</w:t>
            </w:r>
            <w:r w:rsidRPr="00FF77A3">
              <w:rPr>
                <w:rFonts w:eastAsia="Calibri" w:cs="Times New Roman"/>
                <w:noProof/>
                <w:sz w:val="22"/>
                <w:szCs w:val="20"/>
                <w:lang w:val="en-GB"/>
              </w:rPr>
              <w:t>here</w:t>
            </w:r>
            <w:r w:rsidRPr="00BB5286">
              <w:rPr>
                <w:rFonts w:eastAsia="MS Mincho" w:cs="Times New Roman"/>
                <w:noProof/>
                <w:sz w:val="22"/>
                <w:szCs w:val="20"/>
                <w:lang w:val="en-IE"/>
              </w:rPr>
              <w:t xml:space="preserve"> weather conditions prevent farmers and other beneficiaries from complying with those requirements in a given year. </w:t>
            </w:r>
            <w:r w:rsidR="00012B6E" w:rsidRPr="00BB5286">
              <w:rPr>
                <w:rFonts w:eastAsia="Calibri" w:cs="Times New Roman"/>
                <w:noProof/>
                <w:sz w:val="22"/>
                <w:szCs w:val="20"/>
                <w:lang w:val="en-IE"/>
              </w:rPr>
              <w:t>See the adopted Simplification Regulation.</w:t>
            </w:r>
          </w:p>
        </w:tc>
      </w:tr>
      <w:tr w:rsidR="00872C68" w:rsidRPr="00BB5286" w14:paraId="1010CCAD" w14:textId="77777777" w:rsidTr="00B57B3C">
        <w:trPr>
          <w:trHeight w:val="300"/>
        </w:trPr>
        <w:tc>
          <w:tcPr>
            <w:tcW w:w="588" w:type="dxa"/>
            <w:vAlign w:val="center"/>
          </w:tcPr>
          <w:p w14:paraId="6B6690A0"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131</w:t>
            </w:r>
          </w:p>
        </w:tc>
        <w:tc>
          <w:tcPr>
            <w:tcW w:w="5887" w:type="dxa"/>
            <w:vAlign w:val="center"/>
          </w:tcPr>
          <w:p w14:paraId="58C739D8" w14:textId="6435C478"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Exemptions:</w:t>
            </w:r>
            <w:r w:rsidRPr="00BB5286">
              <w:rPr>
                <w:rFonts w:eastAsia="Calibri" w:cs="Times New Roman"/>
                <w:noProof/>
                <w:sz w:val="22"/>
                <w:szCs w:val="20"/>
                <w:lang w:val="en-GB"/>
              </w:rPr>
              <w:t xml:space="preserve"> </w:t>
            </w:r>
            <w:r w:rsidR="7B280465" w:rsidRPr="00BB5286">
              <w:rPr>
                <w:rFonts w:eastAsia="Calibri" w:cs="Times New Roman"/>
                <w:noProof/>
                <w:sz w:val="22"/>
                <w:szCs w:val="20"/>
                <w:lang w:val="en-GB"/>
              </w:rPr>
              <w:t>e</w:t>
            </w:r>
            <w:r w:rsidRPr="00BB5286">
              <w:rPr>
                <w:rFonts w:eastAsia="Calibri" w:cs="Times New Roman"/>
                <w:noProof/>
                <w:sz w:val="22"/>
                <w:szCs w:val="20"/>
                <w:lang w:val="en-GB"/>
              </w:rPr>
              <w:t>xemption from GAEC standards for small farmers</w:t>
            </w:r>
          </w:p>
        </w:tc>
        <w:tc>
          <w:tcPr>
            <w:tcW w:w="1620" w:type="dxa"/>
            <w:vAlign w:val="center"/>
          </w:tcPr>
          <w:p w14:paraId="6E02E6B6" w14:textId="77777777" w:rsidR="00872C68" w:rsidRPr="00BB5286" w:rsidRDefault="00872C68" w:rsidP="00040FD1">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BG, CY, EE, ES, HU, MT, SI</w:t>
            </w:r>
          </w:p>
        </w:tc>
        <w:tc>
          <w:tcPr>
            <w:tcW w:w="6660" w:type="dxa"/>
            <w:vAlign w:val="center"/>
          </w:tcPr>
          <w:p w14:paraId="0059CCC2" w14:textId="7F2000DE"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The</w:t>
            </w:r>
            <w:r w:rsidRPr="00BB5286">
              <w:rPr>
                <w:rFonts w:eastAsia="Calibri" w:cs="Times New Roman"/>
                <w:b/>
                <w:noProof/>
                <w:sz w:val="22"/>
                <w:szCs w:val="20"/>
                <w:lang w:val="en-GB"/>
              </w:rPr>
              <w:t xml:space="preserve"> </w:t>
            </w:r>
            <w:r w:rsidRPr="00BB5286">
              <w:rPr>
                <w:rFonts w:eastAsia="Calibri" w:cs="Times New Roman"/>
                <w:noProof/>
                <w:sz w:val="22"/>
                <w:szCs w:val="20"/>
                <w:lang w:val="en-GB"/>
              </w:rPr>
              <w:t>suggestion</w:t>
            </w:r>
            <w:r w:rsidRPr="00BB5286">
              <w:rPr>
                <w:rFonts w:eastAsia="Calibri" w:cs="Times New Roman"/>
                <w:b/>
                <w:noProof/>
                <w:sz w:val="22"/>
                <w:szCs w:val="20"/>
                <w:lang w:val="en-GB"/>
              </w:rPr>
              <w:t xml:space="preserve"> </w:t>
            </w:r>
            <w:r w:rsidRPr="00BB5286">
              <w:rPr>
                <w:rFonts w:eastAsia="Calibri" w:cs="Times New Roman"/>
                <w:noProof/>
                <w:sz w:val="22"/>
                <w:szCs w:val="20"/>
                <w:lang w:val="en-GB"/>
              </w:rPr>
              <w:t>was partially addressed, as under the Commission proposal that is part of the simplification package, small farmers are exempt from conditionality controls and penalties.</w:t>
            </w:r>
            <w:r w:rsidRPr="00BB5286">
              <w:rPr>
                <w:rFonts w:eastAsia="Calibri" w:cs="Times New Roman"/>
                <w:b/>
                <w:noProof/>
                <w:sz w:val="22"/>
                <w:szCs w:val="20"/>
                <w:lang w:val="en-GB"/>
              </w:rPr>
              <w:t xml:space="preserve"> </w:t>
            </w:r>
            <w:r w:rsidR="00012B6E" w:rsidRPr="00BB5286">
              <w:rPr>
                <w:rFonts w:eastAsia="Calibri" w:cs="Times New Roman"/>
                <w:noProof/>
                <w:sz w:val="22"/>
                <w:szCs w:val="20"/>
                <w:lang w:val="en-IE"/>
              </w:rPr>
              <w:t>See also the adopted Simplification Regulation.</w:t>
            </w:r>
          </w:p>
        </w:tc>
      </w:tr>
      <w:tr w:rsidR="00872C68" w:rsidRPr="00BB5286" w14:paraId="03E0FC28" w14:textId="77777777" w:rsidTr="003731BC">
        <w:trPr>
          <w:trHeight w:val="564"/>
        </w:trPr>
        <w:tc>
          <w:tcPr>
            <w:tcW w:w="588" w:type="dxa"/>
            <w:vAlign w:val="center"/>
          </w:tcPr>
          <w:p w14:paraId="6F88C40A"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noProof/>
                <w:sz w:val="22"/>
                <w:lang w:val="en-GB"/>
              </w:rPr>
              <w:t>132</w:t>
            </w:r>
          </w:p>
        </w:tc>
        <w:tc>
          <w:tcPr>
            <w:tcW w:w="5887" w:type="dxa"/>
            <w:vAlign w:val="center"/>
          </w:tcPr>
          <w:p w14:paraId="6CD5AEDE" w14:textId="7DBF2CA5"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Exemptions:</w:t>
            </w:r>
            <w:r w:rsidRPr="00BB5286">
              <w:rPr>
                <w:rFonts w:eastAsia="Calibri" w:cs="Times New Roman"/>
                <w:noProof/>
                <w:sz w:val="22"/>
                <w:szCs w:val="20"/>
                <w:lang w:val="en-GB"/>
              </w:rPr>
              <w:t xml:space="preserve"> </w:t>
            </w:r>
            <w:r w:rsidR="21CB6A41" w:rsidRPr="00BB5286">
              <w:rPr>
                <w:rFonts w:eastAsia="Calibri" w:cs="Times New Roman"/>
                <w:noProof/>
                <w:sz w:val="22"/>
                <w:szCs w:val="20"/>
                <w:lang w:val="en-GB"/>
              </w:rPr>
              <w:t>o</w:t>
            </w:r>
            <w:r w:rsidRPr="00BB5286">
              <w:rPr>
                <w:rFonts w:eastAsia="Calibri" w:cs="Times New Roman"/>
                <w:noProof/>
                <w:sz w:val="22"/>
                <w:szCs w:val="20"/>
                <w:lang w:val="en-GB"/>
              </w:rPr>
              <w:t xml:space="preserve">rganic farmers should be deemed compliant with GAEC standards (other than GAEC standard 7). </w:t>
            </w:r>
          </w:p>
        </w:tc>
        <w:tc>
          <w:tcPr>
            <w:tcW w:w="1620" w:type="dxa"/>
            <w:vAlign w:val="center"/>
          </w:tcPr>
          <w:p w14:paraId="5CA27B00"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 DE, SE</w:t>
            </w:r>
          </w:p>
          <w:p w14:paraId="60558EAF"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IFOAM</w:t>
            </w:r>
          </w:p>
        </w:tc>
        <w:tc>
          <w:tcPr>
            <w:tcW w:w="6660" w:type="dxa"/>
            <w:vAlign w:val="center"/>
          </w:tcPr>
          <w:p w14:paraId="4D4FA7B0" w14:textId="12DF6212"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Where relevant, organic farmers could also benefit from the new targeted exemptions (simplification package) from GAEC 5, 6 and 9, provided that the Member State setting such exemptions in its CSP </w:t>
            </w:r>
            <w:r w:rsidRPr="00BB5286" w:rsidDel="0015079B">
              <w:rPr>
                <w:rFonts w:eastAsia="Calibri" w:cs="Times New Roman"/>
                <w:noProof/>
                <w:sz w:val="22"/>
                <w:szCs w:val="20"/>
                <w:lang w:val="en-GB"/>
              </w:rPr>
              <w:t>co</w:t>
            </w:r>
            <w:r w:rsidRPr="00BB5286">
              <w:rPr>
                <w:rFonts w:eastAsia="Calibri" w:cs="Times New Roman"/>
                <w:noProof/>
                <w:sz w:val="22"/>
                <w:szCs w:val="20"/>
                <w:lang w:val="en-GB"/>
              </w:rPr>
              <w:t xml:space="preserve">mplies with the conditions of </w:t>
            </w:r>
            <w:r w:rsidRPr="00BB5286">
              <w:rPr>
                <w:rFonts w:eastAsia="Calibri" w:cs="Times New Roman"/>
                <w:i/>
                <w:noProof/>
                <w:sz w:val="22"/>
                <w:szCs w:val="20"/>
                <w:lang w:val="en-GB"/>
              </w:rPr>
              <w:t>Article 13</w:t>
            </w:r>
            <w:r w:rsidRPr="00BB5286">
              <w:rPr>
                <w:rFonts w:eastAsia="Calibri" w:cs="Times New Roman"/>
                <w:noProof/>
                <w:sz w:val="22"/>
                <w:szCs w:val="20"/>
                <w:lang w:val="en-GB"/>
              </w:rPr>
              <w:t xml:space="preserve"> of </w:t>
            </w:r>
            <w:r w:rsidR="46B5682A"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Given the amendments </w:t>
            </w:r>
            <w:r w:rsidR="00B7514F" w:rsidRPr="00BB5286">
              <w:rPr>
                <w:rFonts w:eastAsia="Calibri" w:cs="Times New Roman"/>
                <w:noProof/>
                <w:sz w:val="22"/>
                <w:szCs w:val="20"/>
                <w:lang w:val="en-GB"/>
              </w:rPr>
              <w:t xml:space="preserve">to </w:t>
            </w:r>
            <w:r w:rsidR="0B418F43"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 brought as a part of the simplification package,</w:t>
            </w:r>
            <w:r w:rsidRPr="00BB5286" w:rsidDel="0021074B">
              <w:rPr>
                <w:rFonts w:eastAsia="Calibri" w:cs="Times New Roman"/>
                <w:noProof/>
                <w:sz w:val="22"/>
                <w:szCs w:val="20"/>
                <w:lang w:val="en-GB"/>
              </w:rPr>
              <w:t xml:space="preserve"> </w:t>
            </w:r>
            <w:r w:rsidRPr="00BB5286">
              <w:rPr>
                <w:rFonts w:eastAsia="Calibri" w:cs="Times New Roman"/>
                <w:noProof/>
                <w:sz w:val="22"/>
                <w:szCs w:val="20"/>
                <w:lang w:val="en-GB"/>
              </w:rPr>
              <w:t xml:space="preserve">the </w:t>
            </w:r>
            <w:r w:rsidRPr="00BB5286">
              <w:rPr>
                <w:rFonts w:eastAsia="Calibri" w:cs="Times New Roman"/>
                <w:noProof/>
                <w:sz w:val="22"/>
                <w:szCs w:val="20"/>
                <w:lang w:val="en-GB"/>
              </w:rPr>
              <w:lastRenderedPageBreak/>
              <w:t>request to exempt organic farmers from GAEC 8, first requirement is no longer relevant.</w:t>
            </w:r>
          </w:p>
        </w:tc>
      </w:tr>
      <w:tr w:rsidR="00872C68" w:rsidRPr="00BB5286" w14:paraId="5F75700B" w14:textId="77777777" w:rsidTr="00B57B3C">
        <w:trPr>
          <w:trHeight w:val="1141"/>
        </w:trPr>
        <w:tc>
          <w:tcPr>
            <w:tcW w:w="588" w:type="dxa"/>
            <w:vAlign w:val="center"/>
          </w:tcPr>
          <w:p w14:paraId="69364F9D"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133</w:t>
            </w:r>
          </w:p>
        </w:tc>
        <w:tc>
          <w:tcPr>
            <w:tcW w:w="5887" w:type="dxa"/>
            <w:vAlign w:val="center"/>
          </w:tcPr>
          <w:p w14:paraId="63992601" w14:textId="1EC212C0"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Costs:</w:t>
            </w:r>
            <w:r w:rsidRPr="00BB5286">
              <w:rPr>
                <w:rFonts w:eastAsia="Calibri" w:cs="Times New Roman"/>
                <w:noProof/>
                <w:sz w:val="22"/>
                <w:szCs w:val="20"/>
                <w:lang w:val="en-GB"/>
              </w:rPr>
              <w:t xml:space="preserve"> </w:t>
            </w:r>
            <w:r w:rsidR="3A5A3DC1" w:rsidRPr="00BB5286">
              <w:rPr>
                <w:rFonts w:eastAsia="Calibri" w:cs="Times New Roman"/>
                <w:noProof/>
                <w:sz w:val="22"/>
                <w:szCs w:val="20"/>
                <w:lang w:val="en-GB"/>
              </w:rPr>
              <w:t>a</w:t>
            </w:r>
            <w:r w:rsidRPr="00BB5286">
              <w:rPr>
                <w:rFonts w:eastAsia="Calibri" w:cs="Times New Roman"/>
                <w:noProof/>
                <w:sz w:val="22"/>
                <w:szCs w:val="20"/>
                <w:lang w:val="en-GB"/>
              </w:rPr>
              <w:t>ssess the conditionality requirements when it comes to their impact on the cost and burden for farmers.</w:t>
            </w:r>
          </w:p>
        </w:tc>
        <w:tc>
          <w:tcPr>
            <w:tcW w:w="1620" w:type="dxa"/>
            <w:vAlign w:val="center"/>
          </w:tcPr>
          <w:p w14:paraId="0553EAC1"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0" w:type="dxa"/>
            <w:vAlign w:val="center"/>
          </w:tcPr>
          <w:p w14:paraId="7F61A149" w14:textId="7DE8ECAD"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The Commission is carrying out two complementary studies that will assess the costs for farmers of environmentally sustainable farming practices, including those that are part of conditionality requirements. The first study will look into the economics of the adoption of agro-environmental practices, while the second one will assess what motivates farmers to decide to change their farming practices and possibly their production systems and the role and effectiveness of policy instruments in supporting such a transition.</w:t>
            </w:r>
          </w:p>
        </w:tc>
      </w:tr>
      <w:tr w:rsidR="00872C68" w:rsidRPr="00BB5286" w14:paraId="75FDB581" w14:textId="77777777" w:rsidTr="00B57B3C">
        <w:trPr>
          <w:trHeight w:val="633"/>
        </w:trPr>
        <w:tc>
          <w:tcPr>
            <w:tcW w:w="588" w:type="dxa"/>
            <w:vAlign w:val="center"/>
          </w:tcPr>
          <w:p w14:paraId="37584005"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134</w:t>
            </w:r>
          </w:p>
        </w:tc>
        <w:tc>
          <w:tcPr>
            <w:tcW w:w="5887" w:type="dxa"/>
            <w:vAlign w:val="center"/>
          </w:tcPr>
          <w:p w14:paraId="4F9CDA7B" w14:textId="6BCCAE5E"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GAEC1:</w:t>
            </w:r>
            <w:r w:rsidRPr="00BB5286">
              <w:rPr>
                <w:rFonts w:eastAsia="Calibri" w:cs="Times New Roman"/>
                <w:noProof/>
                <w:sz w:val="22"/>
                <w:szCs w:val="20"/>
                <w:lang w:val="en-GB"/>
              </w:rPr>
              <w:t xml:space="preserve"> </w:t>
            </w:r>
            <w:r w:rsidR="3E87AB64" w:rsidRPr="00BB5286">
              <w:rPr>
                <w:rFonts w:eastAsia="Calibri" w:cs="Times New Roman"/>
                <w:noProof/>
                <w:sz w:val="22"/>
                <w:szCs w:val="20"/>
                <w:lang w:val="en-GB"/>
              </w:rPr>
              <w:t>r</w:t>
            </w:r>
            <w:r w:rsidRPr="00BB5286">
              <w:rPr>
                <w:rFonts w:eastAsia="Calibri" w:cs="Times New Roman"/>
                <w:noProof/>
                <w:sz w:val="22"/>
                <w:szCs w:val="20"/>
                <w:lang w:val="en-GB"/>
              </w:rPr>
              <w:t xml:space="preserve">evision of GAEC 1 rules on the calculation of the permanent grassland ratio. </w:t>
            </w:r>
          </w:p>
        </w:tc>
        <w:tc>
          <w:tcPr>
            <w:tcW w:w="1620" w:type="dxa"/>
            <w:vAlign w:val="center"/>
          </w:tcPr>
          <w:p w14:paraId="4F767248"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 LT</w:t>
            </w:r>
          </w:p>
          <w:p w14:paraId="0E0B0695" w14:textId="77777777" w:rsidR="00872C68" w:rsidRPr="00BB5286" w:rsidRDefault="00872C68" w:rsidP="00040FD1">
            <w:pPr>
              <w:spacing w:after="60" w:line="259" w:lineRule="auto"/>
              <w:jc w:val="center"/>
              <w:rPr>
                <w:rFonts w:eastAsia="MS Gothic" w:cs="Times New Roman"/>
                <w:b/>
                <w:noProof/>
                <w:color w:val="0033CC"/>
                <w:sz w:val="22"/>
                <w:lang w:val="en-GB"/>
              </w:rPr>
            </w:pPr>
          </w:p>
          <w:p w14:paraId="58082E1C"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0" w:type="dxa"/>
            <w:vAlign w:val="center"/>
          </w:tcPr>
          <w:p w14:paraId="4CDDD9EA" w14:textId="25A178E4"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addressed by the amendment of Delegated Regulation (EU) 2022/126 under the simplification package.</w:t>
            </w:r>
          </w:p>
        </w:tc>
      </w:tr>
      <w:tr w:rsidR="00872C68" w:rsidRPr="00BB5286" w14:paraId="6987DBCF" w14:textId="77777777" w:rsidTr="00B57B3C">
        <w:trPr>
          <w:trHeight w:val="633"/>
        </w:trPr>
        <w:tc>
          <w:tcPr>
            <w:tcW w:w="588" w:type="dxa"/>
            <w:vAlign w:val="center"/>
          </w:tcPr>
          <w:p w14:paraId="21290B5A"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135</w:t>
            </w:r>
          </w:p>
        </w:tc>
        <w:tc>
          <w:tcPr>
            <w:tcW w:w="5887" w:type="dxa"/>
            <w:vAlign w:val="center"/>
          </w:tcPr>
          <w:p w14:paraId="3EA54E57" w14:textId="264A405D"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1:</w:t>
            </w:r>
            <w:r w:rsidRPr="00BB5286">
              <w:rPr>
                <w:rFonts w:eastAsia="Calibri" w:cs="Times New Roman"/>
                <w:noProof/>
                <w:sz w:val="22"/>
                <w:szCs w:val="20"/>
                <w:lang w:val="en-GB"/>
              </w:rPr>
              <w:t xml:space="preserve"> </w:t>
            </w:r>
            <w:r w:rsidR="2C087BBA" w:rsidRPr="00BB5286">
              <w:rPr>
                <w:rFonts w:eastAsia="Calibri" w:cs="Times New Roman"/>
                <w:noProof/>
                <w:sz w:val="22"/>
                <w:szCs w:val="20"/>
                <w:lang w:val="en-GB"/>
              </w:rPr>
              <w:t>m</w:t>
            </w:r>
            <w:r w:rsidRPr="00BB5286">
              <w:rPr>
                <w:rFonts w:eastAsia="Calibri" w:cs="Times New Roman"/>
                <w:noProof/>
                <w:sz w:val="22"/>
                <w:szCs w:val="20"/>
                <w:lang w:val="en-GB"/>
              </w:rPr>
              <w:t xml:space="preserve">odification of the rules for the calculation of ratios to replace the admissible surface area by the graphic surface area. </w:t>
            </w:r>
          </w:p>
        </w:tc>
        <w:tc>
          <w:tcPr>
            <w:tcW w:w="1620" w:type="dxa"/>
            <w:vAlign w:val="center"/>
          </w:tcPr>
          <w:p w14:paraId="66BB46DB"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0" w:type="dxa"/>
            <w:vAlign w:val="center"/>
          </w:tcPr>
          <w:p w14:paraId="399A24F0" w14:textId="260952CF"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amendment of Delegated Regulation (EU) 2022/126 under the </w:t>
            </w:r>
            <w:r w:rsidR="0FE0D7F5" w:rsidRPr="00BB5286">
              <w:rPr>
                <w:rFonts w:eastAsia="Calibri" w:cs="Times New Roman"/>
                <w:noProof/>
                <w:sz w:val="22"/>
                <w:szCs w:val="20"/>
                <w:lang w:val="en-GB"/>
              </w:rPr>
              <w:t>s</w:t>
            </w:r>
            <w:r w:rsidRPr="00BB5286">
              <w:rPr>
                <w:rFonts w:eastAsia="Calibri" w:cs="Times New Roman"/>
                <w:noProof/>
                <w:sz w:val="22"/>
                <w:szCs w:val="20"/>
                <w:lang w:val="en-GB"/>
              </w:rPr>
              <w:t xml:space="preserve">implification </w:t>
            </w:r>
            <w:r w:rsidR="766DE768" w:rsidRPr="00BB5286">
              <w:rPr>
                <w:rFonts w:eastAsia="Calibri" w:cs="Times New Roman"/>
                <w:noProof/>
                <w:sz w:val="22"/>
                <w:szCs w:val="20"/>
                <w:lang w:val="en-GB"/>
              </w:rPr>
              <w:t>p</w:t>
            </w:r>
            <w:r w:rsidRPr="00BB5286">
              <w:rPr>
                <w:rFonts w:eastAsia="Calibri" w:cs="Times New Roman"/>
                <w:noProof/>
                <w:sz w:val="22"/>
                <w:szCs w:val="20"/>
                <w:lang w:val="en-GB"/>
              </w:rPr>
              <w:t xml:space="preserve">ackage brought additional flexibility in the calculation of the 2018 reference ratio in case of structural changes to farming systems resulting in </w:t>
            </w:r>
            <w:r w:rsidR="00B7514F" w:rsidRPr="00BB5286">
              <w:rPr>
                <w:rFonts w:eastAsia="Calibri" w:cs="Times New Roman"/>
                <w:noProof/>
                <w:sz w:val="22"/>
                <w:szCs w:val="20"/>
                <w:lang w:val="en-GB"/>
              </w:rPr>
              <w:t xml:space="preserve">a </w:t>
            </w:r>
            <w:r w:rsidRPr="00BB5286">
              <w:rPr>
                <w:rFonts w:eastAsia="Calibri" w:cs="Times New Roman"/>
                <w:noProof/>
                <w:sz w:val="22"/>
                <w:szCs w:val="20"/>
                <w:lang w:val="en-GB"/>
              </w:rPr>
              <w:t xml:space="preserve">reduction of permanent grassland area, as well as changes in the rules concerning reconversion obligations. However, the implementation of GAEC 1 must respect the definition of permanent grassland set by Member States in their </w:t>
            </w:r>
            <w:r w:rsidR="00523AA0" w:rsidRPr="00BB5286">
              <w:rPr>
                <w:rFonts w:eastAsia="Calibri" w:cs="Times New Roman"/>
                <w:noProof/>
                <w:sz w:val="22"/>
                <w:szCs w:val="20"/>
                <w:lang w:val="en-GB"/>
              </w:rPr>
              <w:t>CAP Plans</w:t>
            </w:r>
            <w:r w:rsidRPr="00BB5286">
              <w:rPr>
                <w:rFonts w:eastAsia="Calibri" w:cs="Times New Roman"/>
                <w:noProof/>
                <w:sz w:val="22"/>
                <w:szCs w:val="20"/>
                <w:lang w:val="en-GB"/>
              </w:rPr>
              <w:t xml:space="preserve">, </w:t>
            </w:r>
            <w:r w:rsidR="00B7514F" w:rsidRPr="00BB5286">
              <w:rPr>
                <w:rFonts w:eastAsia="Calibri" w:cs="Times New Roman"/>
                <w:noProof/>
                <w:sz w:val="22"/>
                <w:szCs w:val="20"/>
                <w:lang w:val="en-GB"/>
              </w:rPr>
              <w:t xml:space="preserve">in </w:t>
            </w:r>
            <w:r w:rsidRPr="00BB5286">
              <w:rPr>
                <w:rFonts w:eastAsia="Calibri" w:cs="Times New Roman"/>
                <w:noProof/>
                <w:sz w:val="22"/>
                <w:szCs w:val="20"/>
                <w:lang w:val="en-GB"/>
              </w:rPr>
              <w:t>accordance with Regulation (EU) 2021/2115.</w:t>
            </w:r>
          </w:p>
        </w:tc>
      </w:tr>
      <w:tr w:rsidR="00872C68" w:rsidRPr="00BB5286" w14:paraId="04FBFAFF" w14:textId="77777777" w:rsidTr="00B57B3C">
        <w:trPr>
          <w:trHeight w:val="894"/>
        </w:trPr>
        <w:tc>
          <w:tcPr>
            <w:tcW w:w="588" w:type="dxa"/>
            <w:vAlign w:val="center"/>
          </w:tcPr>
          <w:p w14:paraId="1C087F20"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136</w:t>
            </w:r>
          </w:p>
        </w:tc>
        <w:tc>
          <w:tcPr>
            <w:tcW w:w="5887" w:type="dxa"/>
            <w:vAlign w:val="center"/>
          </w:tcPr>
          <w:p w14:paraId="0D01A9D2" w14:textId="4EBA8F56"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1:</w:t>
            </w:r>
            <w:r w:rsidRPr="00BB5286">
              <w:rPr>
                <w:rFonts w:eastAsia="Calibri" w:cs="Times New Roman"/>
                <w:noProof/>
                <w:sz w:val="22"/>
                <w:szCs w:val="20"/>
                <w:lang w:val="en-GB"/>
              </w:rPr>
              <w:t xml:space="preserve"> </w:t>
            </w:r>
            <w:r w:rsidR="4333A85E" w:rsidRPr="00BB5286">
              <w:rPr>
                <w:rFonts w:eastAsia="Calibri" w:cs="Times New Roman"/>
                <w:noProof/>
                <w:sz w:val="22"/>
                <w:szCs w:val="20"/>
                <w:lang w:val="en-GB"/>
              </w:rPr>
              <w:t>e</w:t>
            </w:r>
            <w:r w:rsidRPr="00BB5286">
              <w:rPr>
                <w:rFonts w:eastAsia="Calibri" w:cs="Times New Roman"/>
                <w:noProof/>
                <w:sz w:val="22"/>
                <w:szCs w:val="20"/>
                <w:lang w:val="en-GB"/>
              </w:rPr>
              <w:t xml:space="preserve">nable Member States to revise the scale used for calculating the ratio if they choose to do so, including during programming (for example to move from a calculation at the farm level to a calculation at the regional level, or from a calculation at the regional level to a calculation at the national level). This type of modification should be applicable immediately. </w:t>
            </w:r>
          </w:p>
        </w:tc>
        <w:tc>
          <w:tcPr>
            <w:tcW w:w="1620" w:type="dxa"/>
            <w:vAlign w:val="center"/>
          </w:tcPr>
          <w:p w14:paraId="13DCA3CD"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0" w:type="dxa"/>
            <w:vAlign w:val="center"/>
          </w:tcPr>
          <w:p w14:paraId="1284A007" w14:textId="32187C86"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level at which the ratio of permanent grassland is calculated is set by Member States in the CSP. It can be modified subject to the applicable procedures and rules for </w:t>
            </w:r>
            <w:r w:rsidR="00B7514F" w:rsidRPr="00BB5286">
              <w:rPr>
                <w:rFonts w:eastAsia="Calibri" w:cs="Times New Roman"/>
                <w:noProof/>
                <w:sz w:val="22"/>
                <w:szCs w:val="20"/>
                <w:lang w:val="en-GB"/>
              </w:rPr>
              <w:t>amending</w:t>
            </w:r>
            <w:r w:rsidRPr="00BB5286">
              <w:rPr>
                <w:rFonts w:eastAsia="Calibri" w:cs="Times New Roman"/>
                <w:noProof/>
                <w:sz w:val="22"/>
                <w:szCs w:val="20"/>
                <w:lang w:val="en-GB"/>
              </w:rPr>
              <w:t xml:space="preserve"> </w:t>
            </w:r>
            <w:r w:rsidR="00523AA0" w:rsidRPr="00BB5286">
              <w:rPr>
                <w:rFonts w:eastAsia="Calibri" w:cs="Times New Roman"/>
                <w:noProof/>
                <w:sz w:val="22"/>
                <w:szCs w:val="20"/>
                <w:lang w:val="en-GB"/>
              </w:rPr>
              <w:t>CAP Plans</w:t>
            </w:r>
            <w:r w:rsidRPr="00BB5286">
              <w:rPr>
                <w:rFonts w:eastAsia="Calibri" w:cs="Times New Roman"/>
                <w:noProof/>
                <w:sz w:val="22"/>
                <w:szCs w:val="20"/>
                <w:lang w:val="en-GB"/>
              </w:rPr>
              <w:t xml:space="preserve"> (</w:t>
            </w:r>
            <w:r w:rsidRPr="00BB5286">
              <w:rPr>
                <w:rFonts w:eastAsia="Calibri" w:cs="Times New Roman"/>
                <w:i/>
                <w:noProof/>
                <w:sz w:val="22"/>
                <w:szCs w:val="20"/>
                <w:lang w:val="en-GB"/>
              </w:rPr>
              <w:t>Article 119</w:t>
            </w:r>
            <w:r w:rsidRPr="00BB5286">
              <w:rPr>
                <w:rFonts w:eastAsia="Calibri" w:cs="Times New Roman"/>
                <w:noProof/>
                <w:sz w:val="22"/>
                <w:szCs w:val="20"/>
                <w:lang w:val="en-GB"/>
              </w:rPr>
              <w:t xml:space="preserve"> of</w:t>
            </w:r>
            <w:r w:rsidR="38C64AB4" w:rsidRPr="00BB5286">
              <w:rPr>
                <w:rFonts w:eastAsia="Calibri" w:cs="Times New Roman"/>
                <w:noProof/>
                <w:sz w:val="22"/>
                <w:szCs w:val="20"/>
                <w:lang w:val="en-GB"/>
              </w:rPr>
              <w:t xml:space="preserve"> </w:t>
            </w:r>
            <w:r w:rsidR="23CCCC90" w:rsidRPr="00BB5286">
              <w:rPr>
                <w:rFonts w:eastAsia="Calibri" w:cs="Times New Roman"/>
                <w:noProof/>
                <w:sz w:val="22"/>
                <w:szCs w:val="20"/>
                <w:lang w:val="en-GB"/>
              </w:rPr>
              <w:t>the CSP</w:t>
            </w:r>
            <w:r w:rsidRPr="00BB5286">
              <w:rPr>
                <w:rFonts w:eastAsia="Calibri" w:cs="Times New Roman"/>
                <w:noProof/>
                <w:sz w:val="22"/>
                <w:szCs w:val="20"/>
                <w:lang w:val="en-GB"/>
              </w:rPr>
              <w:t xml:space="preserve"> Regulation and Delegated Regulation (EU) 2023/370).</w:t>
            </w:r>
          </w:p>
        </w:tc>
      </w:tr>
      <w:tr w:rsidR="00872C68" w:rsidRPr="00BB5286" w14:paraId="42373057" w14:textId="77777777" w:rsidTr="00B57B3C">
        <w:trPr>
          <w:trHeight w:val="564"/>
        </w:trPr>
        <w:tc>
          <w:tcPr>
            <w:tcW w:w="588" w:type="dxa"/>
            <w:vAlign w:val="center"/>
          </w:tcPr>
          <w:p w14:paraId="51D8C2EE"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137</w:t>
            </w:r>
          </w:p>
        </w:tc>
        <w:tc>
          <w:tcPr>
            <w:tcW w:w="5887" w:type="dxa"/>
            <w:vAlign w:val="center"/>
          </w:tcPr>
          <w:p w14:paraId="03BB0A71" w14:textId="4216265A"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2:</w:t>
            </w:r>
            <w:r w:rsidRPr="00BB5286">
              <w:rPr>
                <w:rFonts w:eastAsia="Calibri" w:cs="Times New Roman"/>
                <w:noProof/>
                <w:sz w:val="22"/>
                <w:szCs w:val="20"/>
                <w:lang w:val="en-GB"/>
              </w:rPr>
              <w:t xml:space="preserve"> </w:t>
            </w:r>
            <w:r w:rsidR="1F1F2E02" w:rsidRPr="00BB5286">
              <w:rPr>
                <w:rFonts w:eastAsia="Calibri" w:cs="Times New Roman"/>
                <w:noProof/>
                <w:sz w:val="22"/>
                <w:szCs w:val="20"/>
                <w:lang w:val="en-GB"/>
              </w:rPr>
              <w:t>i</w:t>
            </w:r>
            <w:r w:rsidRPr="00BB5286">
              <w:rPr>
                <w:rFonts w:eastAsia="Calibri" w:cs="Times New Roman"/>
                <w:noProof/>
                <w:sz w:val="22"/>
                <w:szCs w:val="20"/>
                <w:lang w:val="en-GB"/>
              </w:rPr>
              <w:t>n the absence of an EU definition of wetlands, the validation of the CSP by the Commission must respect strict regulatory requirements, without disproportionate requirements on the nature of the expected measures.</w:t>
            </w:r>
          </w:p>
        </w:tc>
        <w:tc>
          <w:tcPr>
            <w:tcW w:w="1620" w:type="dxa"/>
            <w:vAlign w:val="center"/>
          </w:tcPr>
          <w:p w14:paraId="398C4CB2"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0" w:type="dxa"/>
            <w:vAlign w:val="center"/>
          </w:tcPr>
          <w:p w14:paraId="5667129E" w14:textId="281CD580"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It is for the Member States to ensure accurate mapping of wetlands and peatlands </w:t>
            </w:r>
            <w:r w:rsidR="00131A6F" w:rsidRPr="00BB5286">
              <w:rPr>
                <w:rFonts w:eastAsia="Calibri" w:cs="Times New Roman"/>
                <w:noProof/>
                <w:sz w:val="22"/>
                <w:lang w:val="en-GB"/>
              </w:rPr>
              <w:t xml:space="preserve">in </w:t>
            </w:r>
            <w:r w:rsidRPr="00BB5286">
              <w:rPr>
                <w:rFonts w:eastAsia="Calibri" w:cs="Times New Roman"/>
                <w:noProof/>
                <w:sz w:val="22"/>
                <w:lang w:val="en-GB"/>
              </w:rPr>
              <w:t xml:space="preserve">agricultural areas for GAEC 2 purposes. GAEC 2 requirements set in the </w:t>
            </w:r>
            <w:r w:rsidR="00523AA0" w:rsidRPr="00BB5286">
              <w:rPr>
                <w:rFonts w:eastAsia="Calibri" w:cs="Times New Roman"/>
                <w:noProof/>
                <w:sz w:val="22"/>
                <w:lang w:val="en-GB"/>
              </w:rPr>
              <w:t>CAP Plans</w:t>
            </w:r>
            <w:r w:rsidRPr="00BB5286">
              <w:rPr>
                <w:rFonts w:eastAsia="Calibri" w:cs="Times New Roman"/>
                <w:noProof/>
                <w:sz w:val="22"/>
                <w:lang w:val="en-GB"/>
              </w:rPr>
              <w:t xml:space="preserve"> need to be based on such mapping and entail the adequate requirements</w:t>
            </w:r>
            <w:r w:rsidR="00131A6F" w:rsidRPr="00BB5286">
              <w:rPr>
                <w:rFonts w:eastAsia="Calibri" w:cs="Times New Roman"/>
                <w:noProof/>
                <w:sz w:val="22"/>
                <w:lang w:val="en-GB"/>
              </w:rPr>
              <w:t xml:space="preserve"> </w:t>
            </w:r>
            <w:r w:rsidRPr="00BB5286">
              <w:rPr>
                <w:rFonts w:eastAsia="Calibri" w:cs="Times New Roman"/>
                <w:noProof/>
                <w:sz w:val="22"/>
                <w:lang w:val="en-GB"/>
              </w:rPr>
              <w:t>to protect wetlands and peatlands, to be in line with the main objective of that GAEC and to contribute to the climate and environmental objectives of the CAP.</w:t>
            </w:r>
          </w:p>
          <w:p w14:paraId="4B421BF4" w14:textId="2886ABFA"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Footnote 1 to GAEC 2 in </w:t>
            </w:r>
            <w:r w:rsidRPr="00BB5286">
              <w:rPr>
                <w:rFonts w:eastAsia="Calibri" w:cs="Times New Roman"/>
                <w:i/>
                <w:noProof/>
                <w:sz w:val="22"/>
                <w:szCs w:val="20"/>
                <w:lang w:val="en-GB"/>
              </w:rPr>
              <w:t xml:space="preserve">Annex III </w:t>
            </w:r>
            <w:r w:rsidRPr="00BB5286">
              <w:rPr>
                <w:rFonts w:eastAsia="Calibri" w:cs="Times New Roman"/>
                <w:noProof/>
                <w:sz w:val="22"/>
                <w:szCs w:val="20"/>
                <w:lang w:val="en-GB"/>
              </w:rPr>
              <w:t xml:space="preserve">to </w:t>
            </w:r>
            <w:r w:rsidR="4278FF6F"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 states that ‘</w:t>
            </w:r>
            <w:r w:rsidRPr="00BB5286">
              <w:rPr>
                <w:rFonts w:eastAsia="Calibri" w:cs="Times New Roman"/>
                <w:i/>
                <w:noProof/>
                <w:sz w:val="22"/>
                <w:szCs w:val="20"/>
                <w:lang w:val="en-GB"/>
              </w:rPr>
              <w:t>Member States, when establishing GAEC standard 2, shall ensure that on the land concerned an agricultural activity suitable for qualifying the land as agricultural area may be maintained</w:t>
            </w:r>
            <w:r w:rsidRPr="00BB5286">
              <w:rPr>
                <w:rFonts w:eastAsia="Calibri" w:cs="Times New Roman"/>
                <w:noProof/>
                <w:sz w:val="22"/>
                <w:szCs w:val="20"/>
                <w:lang w:val="en-GB"/>
              </w:rPr>
              <w:t xml:space="preserve">’. The Commission assesses the requirements proposed by Member States for GAEC 2 based on this requirement, as well as in the light of their contribution to the main objective of the GAEC standard and </w:t>
            </w:r>
            <w:r w:rsidRPr="00BB5286">
              <w:rPr>
                <w:rFonts w:eastAsia="Calibri" w:cs="Times New Roman"/>
                <w:i/>
                <w:noProof/>
                <w:sz w:val="22"/>
                <w:szCs w:val="20"/>
                <w:lang w:val="en-GB"/>
              </w:rPr>
              <w:t>Article 13</w:t>
            </w:r>
            <w:r w:rsidRPr="00BB5286">
              <w:rPr>
                <w:rFonts w:eastAsia="Calibri" w:cs="Times New Roman"/>
                <w:noProof/>
                <w:sz w:val="22"/>
                <w:szCs w:val="20"/>
                <w:lang w:val="en-GB"/>
              </w:rPr>
              <w:t xml:space="preserve"> of </w:t>
            </w:r>
            <w:r w:rsidR="5E94E282"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w:t>
            </w:r>
          </w:p>
        </w:tc>
      </w:tr>
      <w:tr w:rsidR="00872C68" w:rsidRPr="00BB5286" w14:paraId="04909D4B" w14:textId="77777777" w:rsidTr="00B57B3C">
        <w:trPr>
          <w:trHeight w:val="710"/>
        </w:trPr>
        <w:tc>
          <w:tcPr>
            <w:tcW w:w="588" w:type="dxa"/>
            <w:vAlign w:val="center"/>
          </w:tcPr>
          <w:p w14:paraId="5A464522"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138</w:t>
            </w:r>
          </w:p>
        </w:tc>
        <w:tc>
          <w:tcPr>
            <w:tcW w:w="5887" w:type="dxa"/>
            <w:vAlign w:val="center"/>
          </w:tcPr>
          <w:p w14:paraId="54D706C9" w14:textId="51804C11"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2:</w:t>
            </w:r>
            <w:r w:rsidRPr="00BB5286">
              <w:rPr>
                <w:rFonts w:eastAsia="Calibri" w:cs="Times New Roman"/>
                <w:noProof/>
                <w:sz w:val="22"/>
                <w:szCs w:val="20"/>
                <w:lang w:val="en-GB"/>
              </w:rPr>
              <w:t xml:space="preserve"> </w:t>
            </w:r>
            <w:r w:rsidR="3AEAA77C" w:rsidRPr="00BB5286">
              <w:rPr>
                <w:rFonts w:eastAsia="Calibri" w:cs="Times New Roman"/>
                <w:noProof/>
                <w:sz w:val="22"/>
                <w:szCs w:val="20"/>
                <w:lang w:val="en-GB"/>
              </w:rPr>
              <w:t>p</w:t>
            </w:r>
            <w:r w:rsidRPr="00BB5286">
              <w:rPr>
                <w:rFonts w:eastAsia="Calibri" w:cs="Times New Roman"/>
                <w:noProof/>
                <w:sz w:val="22"/>
                <w:szCs w:val="20"/>
                <w:lang w:val="en-GB"/>
              </w:rPr>
              <w:t>ostpone the 2025 deadline for its application.</w:t>
            </w:r>
          </w:p>
        </w:tc>
        <w:tc>
          <w:tcPr>
            <w:tcW w:w="1620" w:type="dxa"/>
            <w:vAlign w:val="center"/>
          </w:tcPr>
          <w:p w14:paraId="582C3A44"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 IE, HU, SI</w:t>
            </w:r>
          </w:p>
        </w:tc>
        <w:tc>
          <w:tcPr>
            <w:tcW w:w="6660" w:type="dxa"/>
            <w:vMerge w:val="restart"/>
            <w:vAlign w:val="center"/>
          </w:tcPr>
          <w:p w14:paraId="33C41619" w14:textId="1A9DA197"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These suggestions were not taken up. The possibility to delay the implementation of GAEC 2 by 2 years is already provided for by </w:t>
            </w:r>
            <w:r w:rsidR="78DB4E80" w:rsidRPr="00BB5286">
              <w:rPr>
                <w:rFonts w:eastAsia="Calibri" w:cs="Times New Roman"/>
                <w:noProof/>
                <w:sz w:val="22"/>
                <w:szCs w:val="20"/>
                <w:lang w:val="en-GB"/>
              </w:rPr>
              <w:t xml:space="preserve">the CSP </w:t>
            </w:r>
            <w:r w:rsidRPr="00BB5286">
              <w:rPr>
                <w:rFonts w:eastAsia="Calibri" w:cs="Times New Roman"/>
                <w:noProof/>
                <w:sz w:val="22"/>
                <w:szCs w:val="20"/>
                <w:lang w:val="en-GB"/>
              </w:rPr>
              <w:lastRenderedPageBreak/>
              <w:t>Regulation. Further delays would hamper the achi</w:t>
            </w:r>
            <w:r w:rsidRPr="00BB5286">
              <w:rPr>
                <w:rFonts w:eastAsia="MS Mincho" w:cs="Times New Roman"/>
                <w:noProof/>
                <w:sz w:val="22"/>
                <w:szCs w:val="20"/>
                <w:lang w:val="en-GB"/>
              </w:rPr>
              <w:t xml:space="preserve">evement of the policy objectives of the CAP and would undermine the level playing field </w:t>
            </w:r>
            <w:r w:rsidR="4EF07E84" w:rsidRPr="00BB5286">
              <w:rPr>
                <w:rFonts w:eastAsia="MS Mincho" w:cs="Times New Roman"/>
                <w:noProof/>
                <w:sz w:val="22"/>
                <w:szCs w:val="20"/>
                <w:lang w:val="en-GB"/>
              </w:rPr>
              <w:t xml:space="preserve">between </w:t>
            </w:r>
            <w:r w:rsidRPr="00BB5286">
              <w:rPr>
                <w:rFonts w:eastAsia="MS Mincho" w:cs="Times New Roman"/>
                <w:noProof/>
                <w:sz w:val="22"/>
                <w:szCs w:val="20"/>
                <w:lang w:val="en-GB"/>
              </w:rPr>
              <w:t>Member States, penalising farmers in those Member States that introduced the GAEC 2 requirements in compliance with the deadline laid down in that Regulation.</w:t>
            </w:r>
          </w:p>
        </w:tc>
      </w:tr>
      <w:tr w:rsidR="00872C68" w:rsidRPr="00BB5286" w14:paraId="506C147B" w14:textId="77777777" w:rsidTr="00B57B3C">
        <w:trPr>
          <w:trHeight w:val="894"/>
        </w:trPr>
        <w:tc>
          <w:tcPr>
            <w:tcW w:w="588" w:type="dxa"/>
            <w:vAlign w:val="center"/>
          </w:tcPr>
          <w:p w14:paraId="3AEF026A"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139</w:t>
            </w:r>
          </w:p>
        </w:tc>
        <w:tc>
          <w:tcPr>
            <w:tcW w:w="5887" w:type="dxa"/>
            <w:vAlign w:val="center"/>
          </w:tcPr>
          <w:p w14:paraId="7E3C70E0" w14:textId="4B58A2CB"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2:</w:t>
            </w:r>
            <w:r w:rsidRPr="00BB5286">
              <w:rPr>
                <w:rFonts w:eastAsia="Calibri" w:cs="Times New Roman"/>
                <w:noProof/>
                <w:sz w:val="22"/>
                <w:szCs w:val="20"/>
                <w:lang w:val="en-GB"/>
              </w:rPr>
              <w:t xml:space="preserve"> </w:t>
            </w:r>
            <w:r w:rsidR="2DE5C76C" w:rsidRPr="00BB5286">
              <w:rPr>
                <w:rFonts w:eastAsia="Calibri" w:cs="Times New Roman"/>
                <w:noProof/>
                <w:sz w:val="22"/>
                <w:szCs w:val="20"/>
                <w:lang w:val="en-GB"/>
              </w:rPr>
              <w:t>m</w:t>
            </w:r>
            <w:r w:rsidRPr="00BB5286">
              <w:rPr>
                <w:rFonts w:eastAsia="Calibri" w:cs="Times New Roman"/>
                <w:noProof/>
                <w:sz w:val="22"/>
                <w:szCs w:val="20"/>
                <w:lang w:val="en-GB"/>
              </w:rPr>
              <w:t xml:space="preserve">ore legal reliability for farmers in Member States with a staged approach for its implementation. Changing the rules during a CAP-period introduces a lot of misunderstanding and extra complexity for the farmers. Exemptions based on </w:t>
            </w:r>
            <w:r w:rsidR="38C64AB4" w:rsidRPr="00BB5286">
              <w:rPr>
                <w:rFonts w:eastAsia="Calibri" w:cs="Times New Roman"/>
                <w:i/>
                <w:iCs/>
                <w:noProof/>
                <w:sz w:val="22"/>
                <w:szCs w:val="20"/>
                <w:lang w:val="en-GB"/>
              </w:rPr>
              <w:t>Art</w:t>
            </w:r>
            <w:r w:rsidR="23B939F5" w:rsidRPr="00BB5286">
              <w:rPr>
                <w:rFonts w:eastAsia="Calibri" w:cs="Times New Roman"/>
                <w:i/>
                <w:iCs/>
                <w:noProof/>
                <w:sz w:val="22"/>
                <w:szCs w:val="20"/>
                <w:lang w:val="en-GB"/>
              </w:rPr>
              <w:t>icle</w:t>
            </w:r>
            <w:r w:rsidRPr="00BB5286">
              <w:rPr>
                <w:rFonts w:eastAsia="Calibri" w:cs="Times New Roman"/>
                <w:i/>
                <w:noProof/>
                <w:sz w:val="22"/>
                <w:szCs w:val="20"/>
                <w:lang w:val="en-GB"/>
              </w:rPr>
              <w:t xml:space="preserve"> 148</w:t>
            </w:r>
            <w:r w:rsidRPr="00BB5286">
              <w:rPr>
                <w:rFonts w:eastAsia="Calibri" w:cs="Times New Roman"/>
                <w:noProof/>
                <w:sz w:val="22"/>
                <w:szCs w:val="20"/>
                <w:lang w:val="en-GB"/>
              </w:rPr>
              <w:t xml:space="preserve"> of </w:t>
            </w:r>
            <w:r w:rsidR="5DD0D7EC" w:rsidRPr="00BB5286">
              <w:rPr>
                <w:rFonts w:eastAsia="Calibri" w:cs="Times New Roman"/>
                <w:noProof/>
                <w:sz w:val="22"/>
                <w:szCs w:val="20"/>
                <w:lang w:val="en-GB"/>
              </w:rPr>
              <w:t>the CSP</w:t>
            </w:r>
            <w:r w:rsidR="00FF6EE4" w:rsidRPr="00BB5286">
              <w:rPr>
                <w:rFonts w:eastAsia="Calibri" w:cs="Times New Roman"/>
                <w:noProof/>
                <w:sz w:val="22"/>
                <w:szCs w:val="20"/>
                <w:lang w:val="en-GB"/>
              </w:rPr>
              <w:t xml:space="preserve"> </w:t>
            </w:r>
            <w:r w:rsidRPr="00BB5286">
              <w:rPr>
                <w:rFonts w:eastAsia="Calibri" w:cs="Times New Roman"/>
                <w:noProof/>
                <w:sz w:val="22"/>
                <w:szCs w:val="20"/>
                <w:lang w:val="en-GB"/>
              </w:rPr>
              <w:t>Regulation. </w:t>
            </w:r>
          </w:p>
        </w:tc>
        <w:tc>
          <w:tcPr>
            <w:tcW w:w="1620" w:type="dxa"/>
            <w:vAlign w:val="center"/>
          </w:tcPr>
          <w:p w14:paraId="6FC32F71"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w:t>
            </w:r>
          </w:p>
        </w:tc>
        <w:tc>
          <w:tcPr>
            <w:tcW w:w="6660" w:type="dxa"/>
            <w:vMerge/>
            <w:vAlign w:val="center"/>
          </w:tcPr>
          <w:p w14:paraId="2DFFFBD0" w14:textId="77777777" w:rsidR="00872C68" w:rsidRPr="00BB5286" w:rsidRDefault="00872C68" w:rsidP="00040FD1">
            <w:pPr>
              <w:spacing w:after="60" w:line="259" w:lineRule="auto"/>
              <w:jc w:val="both"/>
              <w:rPr>
                <w:rFonts w:eastAsia="Calibri" w:cs="Times New Roman"/>
                <w:noProof/>
                <w:sz w:val="22"/>
                <w:lang w:val="en-GB"/>
              </w:rPr>
            </w:pPr>
          </w:p>
        </w:tc>
      </w:tr>
      <w:tr w:rsidR="00872C68" w:rsidRPr="00BB5286" w14:paraId="12E08609" w14:textId="77777777" w:rsidTr="00B57B3C">
        <w:trPr>
          <w:trHeight w:val="439"/>
        </w:trPr>
        <w:tc>
          <w:tcPr>
            <w:tcW w:w="588" w:type="dxa"/>
            <w:vAlign w:val="center"/>
          </w:tcPr>
          <w:p w14:paraId="5D5A9C2E"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140</w:t>
            </w:r>
          </w:p>
        </w:tc>
        <w:tc>
          <w:tcPr>
            <w:tcW w:w="5887" w:type="dxa"/>
            <w:vAlign w:val="center"/>
          </w:tcPr>
          <w:p w14:paraId="78268752" w14:textId="226A33BE"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2:</w:t>
            </w:r>
            <w:r w:rsidRPr="00BB5286">
              <w:rPr>
                <w:rFonts w:eastAsia="Calibri" w:cs="Times New Roman"/>
                <w:noProof/>
                <w:sz w:val="22"/>
                <w:szCs w:val="20"/>
                <w:lang w:val="en-GB"/>
              </w:rPr>
              <w:t xml:space="preserve"> </w:t>
            </w:r>
            <w:r w:rsidR="1918F90F" w:rsidRPr="00BB5286">
              <w:rPr>
                <w:rFonts w:eastAsia="Calibri" w:cs="Times New Roman"/>
                <w:noProof/>
                <w:sz w:val="22"/>
                <w:szCs w:val="20"/>
                <w:lang w:val="en-GB"/>
              </w:rPr>
              <w:t>a</w:t>
            </w:r>
            <w:r w:rsidRPr="00BB5286">
              <w:rPr>
                <w:rFonts w:eastAsia="Calibri" w:cs="Times New Roman"/>
                <w:noProof/>
                <w:sz w:val="22"/>
                <w:szCs w:val="20"/>
                <w:lang w:val="en-GB"/>
              </w:rPr>
              <w:t>void overinterpretation of the regulation (ban on ploughing peatland).</w:t>
            </w:r>
          </w:p>
        </w:tc>
        <w:tc>
          <w:tcPr>
            <w:tcW w:w="1620" w:type="dxa"/>
            <w:vAlign w:val="center"/>
          </w:tcPr>
          <w:p w14:paraId="7922433B"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 LT</w:t>
            </w:r>
          </w:p>
        </w:tc>
        <w:tc>
          <w:tcPr>
            <w:tcW w:w="6660" w:type="dxa"/>
            <w:vAlign w:val="center"/>
          </w:tcPr>
          <w:p w14:paraId="327A24BF" w14:textId="5B301C79"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requirements to be respected by farmers on peatlands and wetlands are set by the Member States as a part of GAEC 2 in their CAP </w:t>
            </w:r>
            <w:r w:rsidR="4FBD7D93" w:rsidRPr="00BB5286">
              <w:rPr>
                <w:rFonts w:eastAsia="Calibri" w:cs="Times New Roman"/>
                <w:noProof/>
                <w:sz w:val="22"/>
                <w:szCs w:val="20"/>
                <w:lang w:val="en-GB"/>
              </w:rPr>
              <w:t>P</w:t>
            </w:r>
            <w:r w:rsidRPr="00BB5286">
              <w:rPr>
                <w:rFonts w:eastAsia="Calibri" w:cs="Times New Roman"/>
                <w:noProof/>
                <w:sz w:val="22"/>
                <w:szCs w:val="20"/>
                <w:lang w:val="en-GB"/>
              </w:rPr>
              <w:t xml:space="preserve">lans.  Footnote 1 to GAEC 2 in Annex III to </w:t>
            </w:r>
            <w:r w:rsidR="7E4414EE"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states that </w:t>
            </w:r>
            <w:r w:rsidRPr="00BB5286">
              <w:rPr>
                <w:rFonts w:eastAsia="Calibri" w:cs="Times New Roman"/>
                <w:i/>
                <w:noProof/>
                <w:sz w:val="22"/>
                <w:szCs w:val="20"/>
                <w:lang w:val="en-GB"/>
              </w:rPr>
              <w:t>‘Member States, when establishing GAEC standard 2, shall ensure that on the land concerned an agricultural activity suitable for qualifying the land as agricultural area may be maintained’</w:t>
            </w:r>
            <w:r w:rsidRPr="00BB5286">
              <w:rPr>
                <w:rFonts w:eastAsia="Calibri" w:cs="Times New Roman"/>
                <w:noProof/>
                <w:sz w:val="22"/>
                <w:szCs w:val="20"/>
                <w:lang w:val="en-GB"/>
              </w:rPr>
              <w:t xml:space="preserve">. The Commission assesses the requirements proposed by Member States for GAEC 2 based on this requirement, as well as in the light of their contribution to the main objective of the GAEC standard and Article 13 of </w:t>
            </w:r>
            <w:r w:rsidR="605AC33B"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w:t>
            </w:r>
          </w:p>
        </w:tc>
      </w:tr>
      <w:tr w:rsidR="00872C68" w:rsidRPr="00BB5286" w14:paraId="500834AE" w14:textId="77777777" w:rsidTr="00B57B3C">
        <w:trPr>
          <w:trHeight w:val="300"/>
        </w:trPr>
        <w:tc>
          <w:tcPr>
            <w:tcW w:w="588" w:type="dxa"/>
            <w:vAlign w:val="center"/>
          </w:tcPr>
          <w:p w14:paraId="4A82C828"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141</w:t>
            </w:r>
          </w:p>
        </w:tc>
        <w:tc>
          <w:tcPr>
            <w:tcW w:w="5887" w:type="dxa"/>
            <w:vAlign w:val="center"/>
          </w:tcPr>
          <w:p w14:paraId="16458BE9" w14:textId="5C32A960"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2:</w:t>
            </w:r>
            <w:r w:rsidRPr="00BB5286">
              <w:rPr>
                <w:rFonts w:eastAsia="Calibri" w:cs="Times New Roman"/>
                <w:noProof/>
                <w:sz w:val="22"/>
                <w:szCs w:val="20"/>
                <w:lang w:val="en-GB"/>
              </w:rPr>
              <w:t xml:space="preserve"> </w:t>
            </w:r>
            <w:r w:rsidR="5C533CE2" w:rsidRPr="00BB5286">
              <w:rPr>
                <w:rFonts w:eastAsia="Calibri" w:cs="Times New Roman"/>
                <w:noProof/>
                <w:sz w:val="22"/>
                <w:szCs w:val="20"/>
                <w:lang w:val="en-GB"/>
              </w:rPr>
              <w:t>m</w:t>
            </w:r>
            <w:r w:rsidRPr="00BB5286">
              <w:rPr>
                <w:rFonts w:eastAsia="Calibri" w:cs="Times New Roman"/>
                <w:noProof/>
                <w:sz w:val="22"/>
                <w:szCs w:val="20"/>
                <w:lang w:val="en-GB"/>
              </w:rPr>
              <w:t>onitor the implementation of GAEC 2 to take into consideration the impact, at farm level, on the implementation of GAEC 7 and GAEC 8.</w:t>
            </w:r>
          </w:p>
        </w:tc>
        <w:tc>
          <w:tcPr>
            <w:tcW w:w="1620" w:type="dxa"/>
            <w:vAlign w:val="center"/>
          </w:tcPr>
          <w:p w14:paraId="05153A45"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0" w:type="dxa"/>
            <w:vAlign w:val="center"/>
          </w:tcPr>
          <w:p w14:paraId="1A692DA1" w14:textId="77777777"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Each GAEC standard has a specific main objective and scope. It is Member States’ responsibility to avoid overlapping requirements and to design the requirements so as to ensure that they are in line with those main objectives.</w:t>
            </w:r>
          </w:p>
        </w:tc>
      </w:tr>
      <w:tr w:rsidR="00872C68" w:rsidRPr="00BB5286" w14:paraId="5DFCC4E8" w14:textId="77777777" w:rsidTr="00B57B3C">
        <w:trPr>
          <w:trHeight w:val="425"/>
        </w:trPr>
        <w:tc>
          <w:tcPr>
            <w:tcW w:w="588" w:type="dxa"/>
            <w:vAlign w:val="center"/>
          </w:tcPr>
          <w:p w14:paraId="65D9E414"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142</w:t>
            </w:r>
          </w:p>
        </w:tc>
        <w:tc>
          <w:tcPr>
            <w:tcW w:w="5887" w:type="dxa"/>
            <w:vAlign w:val="center"/>
          </w:tcPr>
          <w:p w14:paraId="730FD08B" w14:textId="1E98ACCE"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GAEC4:</w:t>
            </w:r>
            <w:r w:rsidRPr="00BB5286">
              <w:rPr>
                <w:rFonts w:eastAsia="Calibri" w:cs="Times New Roman"/>
                <w:noProof/>
                <w:sz w:val="22"/>
                <w:szCs w:val="20"/>
                <w:lang w:val="en-GB"/>
              </w:rPr>
              <w:t xml:space="preserve"> </w:t>
            </w:r>
            <w:r w:rsidR="1D49A3C2" w:rsidRPr="00BB5286">
              <w:rPr>
                <w:rFonts w:eastAsia="Calibri" w:cs="Times New Roman"/>
                <w:noProof/>
                <w:sz w:val="22"/>
                <w:szCs w:val="20"/>
                <w:lang w:val="en-GB"/>
              </w:rPr>
              <w:t>r</w:t>
            </w:r>
            <w:r w:rsidRPr="00BB5286">
              <w:rPr>
                <w:rFonts w:eastAsia="Calibri" w:cs="Times New Roman"/>
                <w:noProof/>
                <w:sz w:val="22"/>
                <w:szCs w:val="20"/>
                <w:lang w:val="en-GB"/>
              </w:rPr>
              <w:t xml:space="preserve">equest for this GAEC to be removed. </w:t>
            </w:r>
          </w:p>
        </w:tc>
        <w:tc>
          <w:tcPr>
            <w:tcW w:w="1620" w:type="dxa"/>
            <w:vAlign w:val="center"/>
          </w:tcPr>
          <w:p w14:paraId="40C0594F"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LU</w:t>
            </w:r>
          </w:p>
        </w:tc>
        <w:tc>
          <w:tcPr>
            <w:tcW w:w="6660" w:type="dxa"/>
            <w:vAlign w:val="center"/>
          </w:tcPr>
          <w:p w14:paraId="2E2F0C6F" w14:textId="3B8EC7B2"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375F16">
              <w:rPr>
                <w:rFonts w:eastAsia="Calibri" w:cs="Times New Roman"/>
                <w:noProof/>
                <w:sz w:val="22"/>
                <w:lang w:val="en-GB"/>
              </w:rPr>
              <w:t xml:space="preserve"> </w:t>
            </w:r>
            <w:r w:rsidRPr="00BB5286">
              <w:rPr>
                <w:rFonts w:eastAsia="Calibri" w:cs="Times New Roman"/>
                <w:noProof/>
                <w:sz w:val="22"/>
                <w:lang w:val="en-GB"/>
              </w:rPr>
              <w:t xml:space="preserve">was not taken up as this would hamper the achievement of the policy objectives of the CAP 2023-2027. </w:t>
            </w:r>
          </w:p>
        </w:tc>
      </w:tr>
      <w:tr w:rsidR="00872C68" w:rsidRPr="00BB5286" w14:paraId="7711C0EE" w14:textId="77777777" w:rsidTr="00B57B3C">
        <w:trPr>
          <w:trHeight w:val="984"/>
        </w:trPr>
        <w:tc>
          <w:tcPr>
            <w:tcW w:w="588" w:type="dxa"/>
            <w:vAlign w:val="center"/>
          </w:tcPr>
          <w:p w14:paraId="451AD62B"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noProof/>
                <w:sz w:val="22"/>
                <w:lang w:val="en-GB"/>
              </w:rPr>
              <w:t>143</w:t>
            </w:r>
          </w:p>
        </w:tc>
        <w:tc>
          <w:tcPr>
            <w:tcW w:w="5887" w:type="dxa"/>
            <w:vAlign w:val="center"/>
          </w:tcPr>
          <w:p w14:paraId="3196F9F3" w14:textId="622A2803" w:rsidR="00872C68" w:rsidRPr="00BB5286" w:rsidRDefault="00872C68" w:rsidP="00693FA5">
            <w:pPr>
              <w:spacing w:after="60" w:line="259" w:lineRule="auto"/>
              <w:ind w:left="20"/>
              <w:jc w:val="both"/>
              <w:rPr>
                <w:rFonts w:eastAsia="Calibri" w:cs="Times New Roman"/>
                <w:noProof/>
                <w:sz w:val="22"/>
                <w:szCs w:val="20"/>
                <w:lang w:val="en-GB"/>
              </w:rPr>
            </w:pPr>
            <w:r w:rsidRPr="00BB5286">
              <w:rPr>
                <w:rFonts w:eastAsia="Calibri" w:cs="Times New Roman"/>
                <w:b/>
                <w:noProof/>
                <w:sz w:val="22"/>
                <w:szCs w:val="20"/>
                <w:lang w:val="en-GB"/>
              </w:rPr>
              <w:t>GAEC 4:</w:t>
            </w:r>
            <w:r w:rsidRPr="00BB5286">
              <w:rPr>
                <w:rFonts w:eastAsia="Calibri" w:cs="Times New Roman"/>
                <w:noProof/>
                <w:sz w:val="22"/>
                <w:szCs w:val="20"/>
                <w:lang w:val="en-GB"/>
              </w:rPr>
              <w:t xml:space="preserve"> </w:t>
            </w:r>
            <w:r w:rsidR="625BFDF4" w:rsidRPr="00BB5286">
              <w:rPr>
                <w:rFonts w:eastAsia="Calibri" w:cs="Times New Roman"/>
                <w:noProof/>
                <w:sz w:val="22"/>
                <w:szCs w:val="20"/>
                <w:lang w:val="en-GB"/>
              </w:rPr>
              <w:t>m</w:t>
            </w:r>
            <w:r w:rsidRPr="00BB5286">
              <w:rPr>
                <w:rFonts w:eastAsia="Calibri" w:cs="Times New Roman"/>
                <w:noProof/>
                <w:sz w:val="22"/>
                <w:szCs w:val="20"/>
                <w:lang w:val="en-GB"/>
              </w:rPr>
              <w:t>ore flexibility regarding the required limits by taking into account field sizes and different types of water bodies.</w:t>
            </w:r>
          </w:p>
        </w:tc>
        <w:tc>
          <w:tcPr>
            <w:tcW w:w="1620" w:type="dxa"/>
            <w:vAlign w:val="center"/>
          </w:tcPr>
          <w:p w14:paraId="07FFC050"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LV</w:t>
            </w:r>
          </w:p>
        </w:tc>
        <w:tc>
          <w:tcPr>
            <w:tcW w:w="6660" w:type="dxa"/>
            <w:vAlign w:val="center"/>
          </w:tcPr>
          <w:p w14:paraId="79817927" w14:textId="7372BA2E"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Annex III to</w:t>
            </w:r>
            <w:r w:rsidR="38C64AB4" w:rsidRPr="00BB5286">
              <w:rPr>
                <w:rFonts w:eastAsia="Calibri" w:cs="Times New Roman"/>
                <w:noProof/>
                <w:sz w:val="22"/>
                <w:szCs w:val="20"/>
                <w:lang w:val="en-GB"/>
              </w:rPr>
              <w:t xml:space="preserve"> </w:t>
            </w:r>
            <w:r w:rsidR="241C153C" w:rsidRPr="00BB5286">
              <w:rPr>
                <w:rFonts w:eastAsia="Calibri" w:cs="Times New Roman"/>
                <w:noProof/>
                <w:sz w:val="22"/>
                <w:szCs w:val="20"/>
                <w:lang w:val="en-GB"/>
              </w:rPr>
              <w:t>the CSP</w:t>
            </w:r>
            <w:r w:rsidRPr="00BB5286">
              <w:rPr>
                <w:rFonts w:eastAsia="Calibri" w:cs="Times New Roman"/>
                <w:noProof/>
                <w:sz w:val="22"/>
                <w:szCs w:val="20"/>
                <w:lang w:val="en-GB"/>
              </w:rPr>
              <w:t xml:space="preserve"> Regulation sets the minimum requirements for the buffer strips under GAEC</w:t>
            </w:r>
            <w:r w:rsidR="009D795A" w:rsidRPr="00BB5286">
              <w:rPr>
                <w:rFonts w:eastAsia="Calibri" w:cs="Times New Roman"/>
                <w:noProof/>
                <w:sz w:val="22"/>
                <w:szCs w:val="20"/>
                <w:lang w:val="en-GB"/>
              </w:rPr>
              <w:t> </w:t>
            </w:r>
            <w:r w:rsidRPr="00BB5286">
              <w:rPr>
                <w:rFonts w:eastAsia="Calibri" w:cs="Times New Roman"/>
                <w:noProof/>
                <w:sz w:val="22"/>
                <w:szCs w:val="20"/>
                <w:lang w:val="en-GB"/>
              </w:rPr>
              <w:t xml:space="preserve">4 with a view to ensuring the contribution to the main objective of the standard. GAEC 4 as laid down in Annex III to </w:t>
            </w:r>
            <w:r w:rsidRPr="00BB5286">
              <w:rPr>
                <w:rFonts w:eastAsia="Calibri" w:cs="Times New Roman"/>
                <w:noProof/>
                <w:sz w:val="22"/>
                <w:szCs w:val="20"/>
                <w:lang w:val="en-GB"/>
              </w:rPr>
              <w:lastRenderedPageBreak/>
              <w:t>the mentioned Regulation already provides some degree of flexibility in the requirements for the buffer strips.</w:t>
            </w:r>
          </w:p>
        </w:tc>
      </w:tr>
      <w:tr w:rsidR="00872C68" w:rsidRPr="00BB5286" w14:paraId="671F08F2" w14:textId="77777777" w:rsidTr="00B57B3C">
        <w:trPr>
          <w:trHeight w:val="913"/>
        </w:trPr>
        <w:tc>
          <w:tcPr>
            <w:tcW w:w="588" w:type="dxa"/>
            <w:vAlign w:val="center"/>
          </w:tcPr>
          <w:p w14:paraId="7F235CB9"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144</w:t>
            </w:r>
          </w:p>
        </w:tc>
        <w:tc>
          <w:tcPr>
            <w:tcW w:w="5887" w:type="dxa"/>
            <w:vAlign w:val="center"/>
          </w:tcPr>
          <w:p w14:paraId="0AA92590" w14:textId="135D78B7"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GAEC 4:</w:t>
            </w:r>
            <w:r w:rsidRPr="00BB5286">
              <w:rPr>
                <w:rFonts w:eastAsia="Calibri" w:cs="Times New Roman"/>
                <w:noProof/>
                <w:sz w:val="22"/>
                <w:szCs w:val="20"/>
                <w:lang w:val="en-GB"/>
              </w:rPr>
              <w:t xml:space="preserve"> </w:t>
            </w:r>
            <w:r w:rsidR="4A17BB5F" w:rsidRPr="00BB5286">
              <w:rPr>
                <w:rFonts w:eastAsia="Calibri" w:cs="Times New Roman"/>
                <w:noProof/>
                <w:sz w:val="22"/>
                <w:szCs w:val="20"/>
                <w:lang w:val="en-GB"/>
              </w:rPr>
              <w:t>f</w:t>
            </w:r>
            <w:r w:rsidRPr="00BB5286">
              <w:rPr>
                <w:rFonts w:eastAsia="Calibri" w:cs="Times New Roman"/>
                <w:noProof/>
                <w:sz w:val="22"/>
                <w:szCs w:val="20"/>
                <w:lang w:val="en-GB"/>
              </w:rPr>
              <w:t xml:space="preserve">lexibility in the rules of </w:t>
            </w:r>
            <w:r w:rsidR="31BF682F" w:rsidRPr="00BB5286">
              <w:rPr>
                <w:rFonts w:eastAsia="Calibri" w:cs="Times New Roman"/>
                <w:noProof/>
                <w:sz w:val="22"/>
                <w:szCs w:val="20"/>
                <w:lang w:val="en-GB"/>
              </w:rPr>
              <w:t>P</w:t>
            </w:r>
            <w:r w:rsidR="39EDADC2" w:rsidRPr="00BB5286">
              <w:rPr>
                <w:rFonts w:eastAsia="Calibri" w:cs="Times New Roman"/>
                <w:noProof/>
                <w:sz w:val="22"/>
                <w:szCs w:val="20"/>
                <w:lang w:val="en-GB"/>
              </w:rPr>
              <w:t xml:space="preserve">lant </w:t>
            </w:r>
            <w:r w:rsidR="31BF682F" w:rsidRPr="00BB5286">
              <w:rPr>
                <w:rFonts w:eastAsia="Calibri" w:cs="Times New Roman"/>
                <w:noProof/>
                <w:sz w:val="22"/>
                <w:szCs w:val="20"/>
                <w:lang w:val="en-GB"/>
              </w:rPr>
              <w:t>P</w:t>
            </w:r>
            <w:r w:rsidR="7B0EBEE4" w:rsidRPr="00BB5286">
              <w:rPr>
                <w:rFonts w:eastAsia="Calibri" w:cs="Times New Roman"/>
                <w:noProof/>
                <w:sz w:val="22"/>
                <w:szCs w:val="20"/>
                <w:lang w:val="en-GB"/>
              </w:rPr>
              <w:t xml:space="preserve">rotection </w:t>
            </w:r>
            <w:r w:rsidR="31BF682F" w:rsidRPr="00BB5286">
              <w:rPr>
                <w:rFonts w:eastAsia="Calibri" w:cs="Times New Roman"/>
                <w:noProof/>
                <w:sz w:val="22"/>
                <w:szCs w:val="20"/>
                <w:lang w:val="en-GB"/>
              </w:rPr>
              <w:t>P</w:t>
            </w:r>
            <w:r w:rsidR="4D30D31E" w:rsidRPr="00BB5286">
              <w:rPr>
                <w:rFonts w:eastAsia="Calibri" w:cs="Times New Roman"/>
                <w:noProof/>
                <w:sz w:val="22"/>
                <w:szCs w:val="20"/>
                <w:lang w:val="en-GB"/>
              </w:rPr>
              <w:t>roduct (</w:t>
            </w:r>
            <w:r w:rsidRPr="00BB5286">
              <w:rPr>
                <w:rFonts w:eastAsia="Calibri" w:cs="Times New Roman"/>
                <w:noProof/>
                <w:sz w:val="22"/>
                <w:szCs w:val="20"/>
                <w:lang w:val="en-GB"/>
              </w:rPr>
              <w:t>PPP</w:t>
            </w:r>
            <w:r w:rsidR="4D30D31E" w:rsidRPr="00BB5286">
              <w:rPr>
                <w:rFonts w:eastAsia="Calibri" w:cs="Times New Roman"/>
                <w:noProof/>
                <w:sz w:val="22"/>
                <w:szCs w:val="20"/>
                <w:lang w:val="en-GB"/>
              </w:rPr>
              <w:t>)</w:t>
            </w:r>
            <w:r w:rsidR="31BF682F" w:rsidRPr="00BB5286">
              <w:rPr>
                <w:rFonts w:eastAsia="Calibri" w:cs="Times New Roman"/>
                <w:noProof/>
                <w:sz w:val="22"/>
                <w:szCs w:val="20"/>
                <w:lang w:val="en-GB"/>
              </w:rPr>
              <w:t>-</w:t>
            </w:r>
            <w:r w:rsidRPr="00BB5286">
              <w:rPr>
                <w:rFonts w:eastAsia="Calibri" w:cs="Times New Roman"/>
                <w:noProof/>
                <w:sz w:val="22"/>
                <w:szCs w:val="20"/>
                <w:lang w:val="en-GB"/>
              </w:rPr>
              <w:t>free buffer strips, revision of the scope (water bodies definition).</w:t>
            </w:r>
          </w:p>
        </w:tc>
        <w:tc>
          <w:tcPr>
            <w:tcW w:w="1620" w:type="dxa"/>
            <w:vAlign w:val="center"/>
          </w:tcPr>
          <w:p w14:paraId="1612BEA3"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LV, BE</w:t>
            </w:r>
          </w:p>
        </w:tc>
        <w:tc>
          <w:tcPr>
            <w:tcW w:w="6660" w:type="dxa"/>
            <w:vAlign w:val="center"/>
          </w:tcPr>
          <w:p w14:paraId="682824F7" w14:textId="77777777"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was not taken up, as it would hamper the achievement of the policy objectives of the CAP 2023-2027. </w:t>
            </w:r>
          </w:p>
        </w:tc>
      </w:tr>
      <w:tr w:rsidR="00872C68" w:rsidRPr="00BB5286" w14:paraId="70674D48" w14:textId="77777777" w:rsidTr="00B57B3C">
        <w:trPr>
          <w:trHeight w:val="300"/>
        </w:trPr>
        <w:tc>
          <w:tcPr>
            <w:tcW w:w="588" w:type="dxa"/>
            <w:vAlign w:val="center"/>
          </w:tcPr>
          <w:p w14:paraId="2CA7175D"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145</w:t>
            </w:r>
          </w:p>
        </w:tc>
        <w:tc>
          <w:tcPr>
            <w:tcW w:w="5887" w:type="dxa"/>
            <w:vAlign w:val="center"/>
          </w:tcPr>
          <w:p w14:paraId="21381065" w14:textId="03ECBDA8"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6:</w:t>
            </w:r>
            <w:r w:rsidRPr="00BB5286">
              <w:rPr>
                <w:rFonts w:eastAsia="Calibri" w:cs="Times New Roman"/>
                <w:noProof/>
                <w:sz w:val="22"/>
                <w:szCs w:val="20"/>
                <w:lang w:val="en-GB"/>
              </w:rPr>
              <w:t xml:space="preserve"> </w:t>
            </w:r>
            <w:r w:rsidR="02C73003" w:rsidRPr="00BB5286">
              <w:rPr>
                <w:rFonts w:eastAsia="Calibri" w:cs="Times New Roman"/>
                <w:noProof/>
                <w:sz w:val="22"/>
                <w:szCs w:val="20"/>
                <w:lang w:val="en-GB"/>
              </w:rPr>
              <w:t>c</w:t>
            </w:r>
            <w:r w:rsidRPr="00BB5286">
              <w:rPr>
                <w:rFonts w:eastAsia="Calibri" w:cs="Times New Roman"/>
                <w:noProof/>
                <w:sz w:val="22"/>
                <w:szCs w:val="20"/>
                <w:lang w:val="en-GB"/>
              </w:rPr>
              <w:t>hanges to sensitive period, allowed practices, scope, arid area exclusio</w:t>
            </w:r>
            <w:r w:rsidR="00241975" w:rsidRPr="00BB5286">
              <w:rPr>
                <w:rFonts w:eastAsia="Calibri" w:cs="Times New Roman"/>
                <w:noProof/>
                <w:sz w:val="22"/>
                <w:szCs w:val="20"/>
                <w:lang w:val="en-GB"/>
              </w:rPr>
              <w:t>n.</w:t>
            </w:r>
          </w:p>
        </w:tc>
        <w:tc>
          <w:tcPr>
            <w:tcW w:w="1620" w:type="dxa"/>
            <w:vAlign w:val="center"/>
          </w:tcPr>
          <w:p w14:paraId="7ED9C2B6" w14:textId="77777777" w:rsidR="00872C68" w:rsidRPr="00BB5286" w:rsidRDefault="00872C68" w:rsidP="00AE4510">
            <w:pPr>
              <w:spacing w:after="12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AT, ES, PL, MT, BE, BG</w:t>
            </w:r>
          </w:p>
          <w:p w14:paraId="030FC006" w14:textId="77777777" w:rsidR="00872C68" w:rsidRPr="00BB5286" w:rsidRDefault="00872C68" w:rsidP="00040FD1">
            <w:pPr>
              <w:spacing w:after="60" w:line="259" w:lineRule="auto"/>
              <w:jc w:val="center"/>
              <w:rPr>
                <w:rFonts w:eastAsia="MS Gothic" w:cs="Times New Roman"/>
                <w:b/>
                <w:bCs/>
                <w:noProof/>
                <w:color w:val="0033CC"/>
                <w:sz w:val="22"/>
                <w:lang w:val="en-GB"/>
              </w:rPr>
            </w:pPr>
            <w:r w:rsidRPr="00BB5286">
              <w:rPr>
                <w:rFonts w:eastAsia="MS Gothic" w:cs="Times New Roman"/>
                <w:b/>
                <w:noProof/>
                <w:color w:val="0033CC"/>
                <w:sz w:val="22"/>
                <w:lang w:val="en-GB"/>
              </w:rPr>
              <w:t>COPA-COGECA,</w:t>
            </w:r>
          </w:p>
          <w:p w14:paraId="0E465C0E"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CEJA, ECVC</w:t>
            </w:r>
          </w:p>
        </w:tc>
        <w:tc>
          <w:tcPr>
            <w:tcW w:w="6660" w:type="dxa"/>
            <w:vAlign w:val="center"/>
          </w:tcPr>
          <w:p w14:paraId="3C464F91" w14:textId="74334CED"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Partially addressed by the Commission proposal under the </w:t>
            </w:r>
            <w:r w:rsidR="009D795A" w:rsidRPr="00BB5286">
              <w:rPr>
                <w:rFonts w:eastAsia="Calibri" w:cs="Times New Roman"/>
                <w:noProof/>
                <w:sz w:val="22"/>
                <w:lang w:val="en-GB"/>
              </w:rPr>
              <w:t>s</w:t>
            </w:r>
            <w:r w:rsidRPr="00BB5286">
              <w:rPr>
                <w:rFonts w:eastAsia="Calibri" w:cs="Times New Roman"/>
                <w:noProof/>
                <w:sz w:val="22"/>
                <w:lang w:val="en-GB"/>
              </w:rPr>
              <w:t xml:space="preserve">implification </w:t>
            </w:r>
            <w:r w:rsidR="009D795A" w:rsidRPr="00BB5286">
              <w:rPr>
                <w:rFonts w:eastAsia="Calibri" w:cs="Times New Roman"/>
                <w:noProof/>
                <w:sz w:val="22"/>
                <w:lang w:val="en-GB"/>
              </w:rPr>
              <w:t>p</w:t>
            </w:r>
            <w:r w:rsidRPr="00BB5286">
              <w:rPr>
                <w:rFonts w:eastAsia="Calibri" w:cs="Times New Roman"/>
                <w:noProof/>
                <w:sz w:val="22"/>
                <w:lang w:val="en-GB"/>
              </w:rPr>
              <w:t xml:space="preserve">ackage. Member States were given further flexibility to define key elements of the GAEC 6, including the ‘sensitive period’. </w:t>
            </w:r>
            <w:r w:rsidR="00883B66" w:rsidRPr="00BB5286">
              <w:rPr>
                <w:rFonts w:eastAsia="Calibri" w:cs="Times New Roman"/>
                <w:noProof/>
                <w:sz w:val="22"/>
                <w:lang w:val="en-GB"/>
              </w:rPr>
              <w:t>See also the adopted Simplification Regulation.</w:t>
            </w:r>
          </w:p>
        </w:tc>
      </w:tr>
      <w:tr w:rsidR="00872C68" w:rsidRPr="00BB5286" w14:paraId="2F4A49F3" w14:textId="77777777" w:rsidTr="00B57B3C">
        <w:trPr>
          <w:trHeight w:val="561"/>
        </w:trPr>
        <w:tc>
          <w:tcPr>
            <w:tcW w:w="588" w:type="dxa"/>
            <w:vAlign w:val="center"/>
          </w:tcPr>
          <w:p w14:paraId="460CBAAB"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146</w:t>
            </w:r>
          </w:p>
        </w:tc>
        <w:tc>
          <w:tcPr>
            <w:tcW w:w="5887" w:type="dxa"/>
            <w:vAlign w:val="center"/>
          </w:tcPr>
          <w:p w14:paraId="7162012B" w14:textId="7B7A00C2"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6:</w:t>
            </w:r>
            <w:r w:rsidRPr="00BB5286">
              <w:rPr>
                <w:rFonts w:eastAsia="Calibri" w:cs="Times New Roman"/>
                <w:noProof/>
                <w:sz w:val="22"/>
                <w:szCs w:val="20"/>
                <w:lang w:val="en-GB"/>
              </w:rPr>
              <w:t xml:space="preserve"> </w:t>
            </w:r>
            <w:r w:rsidR="0C16469F" w:rsidRPr="00BB5286">
              <w:rPr>
                <w:rFonts w:eastAsia="Calibri" w:cs="Times New Roman"/>
                <w:noProof/>
                <w:sz w:val="22"/>
                <w:szCs w:val="20"/>
                <w:lang w:val="en-GB"/>
              </w:rPr>
              <w:t>t</w:t>
            </w:r>
            <w:r w:rsidRPr="00BB5286">
              <w:rPr>
                <w:rFonts w:eastAsia="Calibri" w:cs="Times New Roman"/>
                <w:noProof/>
                <w:sz w:val="22"/>
                <w:szCs w:val="20"/>
                <w:lang w:val="en-GB"/>
              </w:rPr>
              <w:t>argeted only at areas where water and wind erosion occur (not the entire country).</w:t>
            </w:r>
          </w:p>
        </w:tc>
        <w:tc>
          <w:tcPr>
            <w:tcW w:w="1620" w:type="dxa"/>
            <w:vAlign w:val="center"/>
          </w:tcPr>
          <w:p w14:paraId="57D3C0A9"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PL</w:t>
            </w:r>
          </w:p>
        </w:tc>
        <w:tc>
          <w:tcPr>
            <w:tcW w:w="6660" w:type="dxa"/>
            <w:vAlign w:val="center"/>
          </w:tcPr>
          <w:p w14:paraId="7192FEEA" w14:textId="127C0BCA" w:rsidR="00872C68" w:rsidRPr="00BB5286" w:rsidDel="008606C9"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The changes to the sensitive period and the new possibility to set exemptions in the </w:t>
            </w:r>
            <w:r w:rsidR="00523AA0" w:rsidRPr="00BB5286">
              <w:rPr>
                <w:rFonts w:eastAsia="Calibri" w:cs="Times New Roman"/>
                <w:noProof/>
                <w:sz w:val="22"/>
                <w:lang w:val="en-GB"/>
              </w:rPr>
              <w:t>CAP Plans</w:t>
            </w:r>
            <w:r w:rsidRPr="00BB5286">
              <w:rPr>
                <w:rFonts w:eastAsia="Calibri" w:cs="Times New Roman"/>
                <w:noProof/>
                <w:sz w:val="22"/>
                <w:lang w:val="en-GB"/>
              </w:rPr>
              <w:t xml:space="preserve"> introduced by the Commission proposal within the simplification package provide considerable flexibility to Member States</w:t>
            </w:r>
            <w:r w:rsidR="00883B66" w:rsidRPr="00BB5286">
              <w:rPr>
                <w:rFonts w:eastAsia="Calibri" w:cs="Times New Roman"/>
                <w:noProof/>
                <w:sz w:val="22"/>
                <w:lang w:val="en-GB"/>
              </w:rPr>
              <w:t xml:space="preserve"> (see also the adopted Simplification Regulation)</w:t>
            </w:r>
            <w:r w:rsidRPr="00BB5286">
              <w:rPr>
                <w:rFonts w:eastAsia="Calibri" w:cs="Times New Roman"/>
                <w:noProof/>
                <w:sz w:val="22"/>
                <w:lang w:val="en-GB"/>
              </w:rPr>
              <w:t>. Soil protection is required on all soils, in particular to build up soil organic matter or to prevent its losses.</w:t>
            </w:r>
          </w:p>
        </w:tc>
      </w:tr>
      <w:tr w:rsidR="00872C68" w:rsidRPr="00BB5286" w14:paraId="387BC64C" w14:textId="77777777" w:rsidTr="00B57B3C">
        <w:trPr>
          <w:trHeight w:val="427"/>
        </w:trPr>
        <w:tc>
          <w:tcPr>
            <w:tcW w:w="588" w:type="dxa"/>
            <w:vAlign w:val="center"/>
          </w:tcPr>
          <w:p w14:paraId="5003BB54"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147</w:t>
            </w:r>
          </w:p>
        </w:tc>
        <w:tc>
          <w:tcPr>
            <w:tcW w:w="5887" w:type="dxa"/>
            <w:vAlign w:val="center"/>
          </w:tcPr>
          <w:p w14:paraId="3A366D5E" w14:textId="3BDCFADB"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7:</w:t>
            </w:r>
            <w:r w:rsidRPr="00BB5286">
              <w:rPr>
                <w:rFonts w:eastAsia="Calibri" w:cs="Times New Roman"/>
                <w:noProof/>
                <w:sz w:val="22"/>
                <w:szCs w:val="20"/>
                <w:lang w:val="en-GB"/>
              </w:rPr>
              <w:t xml:space="preserve"> </w:t>
            </w:r>
            <w:r w:rsidR="631F868C" w:rsidRPr="00BB5286">
              <w:rPr>
                <w:rFonts w:eastAsia="Calibri" w:cs="Times New Roman"/>
                <w:noProof/>
                <w:sz w:val="22"/>
                <w:szCs w:val="20"/>
                <w:lang w:val="en-GB"/>
              </w:rPr>
              <w:t>e</w:t>
            </w:r>
            <w:r w:rsidRPr="00BB5286">
              <w:rPr>
                <w:rFonts w:eastAsia="Calibri" w:cs="Times New Roman"/>
                <w:noProof/>
                <w:sz w:val="22"/>
                <w:szCs w:val="20"/>
                <w:lang w:val="en-GB"/>
              </w:rPr>
              <w:t>limination of GAEC 7</w:t>
            </w:r>
            <w:r w:rsidR="00241975" w:rsidRPr="00BB5286">
              <w:rPr>
                <w:rFonts w:eastAsia="Calibri" w:cs="Times New Roman"/>
                <w:noProof/>
                <w:sz w:val="22"/>
                <w:szCs w:val="20"/>
                <w:lang w:val="en-GB"/>
              </w:rPr>
              <w:t>.</w:t>
            </w:r>
          </w:p>
        </w:tc>
        <w:tc>
          <w:tcPr>
            <w:tcW w:w="1620" w:type="dxa"/>
            <w:vAlign w:val="center"/>
          </w:tcPr>
          <w:p w14:paraId="550E7F8C"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IT</w:t>
            </w:r>
          </w:p>
        </w:tc>
        <w:tc>
          <w:tcPr>
            <w:tcW w:w="6660" w:type="dxa"/>
            <w:vAlign w:val="center"/>
          </w:tcPr>
          <w:p w14:paraId="283FF3E1" w14:textId="77777777"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proposal was not taken up as it would hamper the achievement of the policy objectives of the CAP 2023-2027. </w:t>
            </w:r>
          </w:p>
        </w:tc>
      </w:tr>
      <w:tr w:rsidR="00872C68" w:rsidRPr="00BB5286" w14:paraId="5079AAAF" w14:textId="77777777" w:rsidTr="00B57B3C">
        <w:trPr>
          <w:trHeight w:val="1403"/>
        </w:trPr>
        <w:tc>
          <w:tcPr>
            <w:tcW w:w="588" w:type="dxa"/>
            <w:vAlign w:val="center"/>
          </w:tcPr>
          <w:p w14:paraId="7F7316FD"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noProof/>
                <w:sz w:val="22"/>
                <w:lang w:val="en-GB"/>
              </w:rPr>
              <w:lastRenderedPageBreak/>
              <w:t>148</w:t>
            </w:r>
          </w:p>
        </w:tc>
        <w:tc>
          <w:tcPr>
            <w:tcW w:w="5887" w:type="dxa"/>
            <w:vAlign w:val="center"/>
          </w:tcPr>
          <w:p w14:paraId="7D45EFC0" w14:textId="6D75203B"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7:</w:t>
            </w:r>
            <w:r w:rsidRPr="00BB5286">
              <w:rPr>
                <w:rFonts w:eastAsia="Calibri" w:cs="Times New Roman"/>
                <w:noProof/>
                <w:sz w:val="22"/>
                <w:szCs w:val="20"/>
                <w:lang w:val="en-GB"/>
              </w:rPr>
              <w:t xml:space="preserve"> </w:t>
            </w:r>
            <w:r w:rsidR="5341DB68" w:rsidRPr="00BB5286">
              <w:rPr>
                <w:rFonts w:eastAsia="Calibri" w:cs="Times New Roman"/>
                <w:noProof/>
                <w:sz w:val="22"/>
                <w:szCs w:val="20"/>
                <w:lang w:val="en-GB"/>
              </w:rPr>
              <w:t>e</w:t>
            </w:r>
            <w:r w:rsidRPr="00BB5286">
              <w:rPr>
                <w:rFonts w:eastAsia="Calibri" w:cs="Times New Roman"/>
                <w:noProof/>
                <w:sz w:val="22"/>
                <w:szCs w:val="20"/>
                <w:lang w:val="en-GB"/>
              </w:rPr>
              <w:t xml:space="preserve">xempting regions with </w:t>
            </w:r>
            <w:r w:rsidR="0009706E" w:rsidRPr="00BB5286">
              <w:rPr>
                <w:rFonts w:eastAsia="Calibri" w:cs="Times New Roman"/>
                <w:noProof/>
                <w:sz w:val="22"/>
                <w:szCs w:val="20"/>
                <w:lang w:val="en-GB"/>
              </w:rPr>
              <w:t xml:space="preserve">a </w:t>
            </w:r>
            <w:r w:rsidRPr="00BB5286">
              <w:rPr>
                <w:rFonts w:eastAsia="Calibri" w:cs="Times New Roman"/>
                <w:noProof/>
                <w:sz w:val="22"/>
                <w:szCs w:val="20"/>
                <w:lang w:val="en-GB"/>
              </w:rPr>
              <w:t>low share of arable land, changing period for secondary crops</w:t>
            </w:r>
            <w:r w:rsidR="00241975" w:rsidRPr="00BB5286">
              <w:rPr>
                <w:rFonts w:eastAsia="Calibri" w:cs="Times New Roman"/>
                <w:noProof/>
                <w:sz w:val="22"/>
                <w:szCs w:val="20"/>
                <w:lang w:val="en-GB"/>
              </w:rPr>
              <w:t>.</w:t>
            </w:r>
          </w:p>
        </w:tc>
        <w:tc>
          <w:tcPr>
            <w:tcW w:w="1620" w:type="dxa"/>
            <w:vAlign w:val="center"/>
          </w:tcPr>
          <w:p w14:paraId="7F0BA516" w14:textId="415511A2" w:rsidR="00872C68" w:rsidRPr="00BB5286" w:rsidRDefault="00872C68" w:rsidP="00040FD1">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BE, ES, PL, PT, SE, SK</w:t>
            </w:r>
          </w:p>
        </w:tc>
        <w:tc>
          <w:tcPr>
            <w:tcW w:w="6660" w:type="dxa"/>
            <w:vAlign w:val="center"/>
          </w:tcPr>
          <w:p w14:paraId="7CC9456F" w14:textId="58062B1E"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to exempt certain regions </w:t>
            </w:r>
            <w:r w:rsidR="004047A6" w:rsidRPr="00BB5286">
              <w:rPr>
                <w:rFonts w:eastAsia="Calibri" w:cs="Times New Roman"/>
                <w:noProof/>
                <w:sz w:val="22"/>
                <w:szCs w:val="20"/>
                <w:lang w:val="en-GB"/>
              </w:rPr>
              <w:t xml:space="preserve">from GAEC 7 </w:t>
            </w:r>
            <w:r w:rsidRPr="00BB5286">
              <w:rPr>
                <w:rFonts w:eastAsia="Calibri" w:cs="Times New Roman"/>
                <w:noProof/>
                <w:sz w:val="22"/>
                <w:szCs w:val="20"/>
                <w:lang w:val="en-GB"/>
              </w:rPr>
              <w:t xml:space="preserve">was not taken up in the Commission proposal but the amendments of </w:t>
            </w:r>
            <w:r w:rsidR="6AE53806"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brought by the </w:t>
            </w:r>
            <w:r w:rsidR="0009706E" w:rsidRPr="00BB5286">
              <w:rPr>
                <w:rFonts w:eastAsia="Calibri" w:cs="Times New Roman"/>
                <w:noProof/>
                <w:sz w:val="22"/>
                <w:szCs w:val="20"/>
                <w:lang w:val="en-GB"/>
              </w:rPr>
              <w:t>s</w:t>
            </w:r>
            <w:r w:rsidRPr="00BB5286">
              <w:rPr>
                <w:rFonts w:eastAsia="Calibri" w:cs="Times New Roman"/>
                <w:noProof/>
                <w:sz w:val="22"/>
                <w:szCs w:val="20"/>
                <w:lang w:val="en-GB"/>
              </w:rPr>
              <w:t xml:space="preserve">implification package allow </w:t>
            </w:r>
            <w:r w:rsidR="0009706E" w:rsidRPr="00BB5286">
              <w:rPr>
                <w:rFonts w:eastAsia="Calibri" w:cs="Times New Roman"/>
                <w:noProof/>
                <w:sz w:val="22"/>
                <w:szCs w:val="20"/>
                <w:lang w:val="en-GB"/>
              </w:rPr>
              <w:t xml:space="preserve">Member States, </w:t>
            </w:r>
            <w:r w:rsidRPr="00BB5286">
              <w:rPr>
                <w:rFonts w:eastAsia="Calibri" w:cs="Times New Roman"/>
                <w:noProof/>
                <w:sz w:val="22"/>
                <w:szCs w:val="20"/>
                <w:lang w:val="en-GB"/>
              </w:rPr>
              <w:t>under certain conditions</w:t>
            </w:r>
            <w:r w:rsidR="0009706E" w:rsidRPr="00BB5286">
              <w:rPr>
                <w:rFonts w:eastAsia="Calibri" w:cs="Times New Roman"/>
                <w:noProof/>
                <w:sz w:val="22"/>
                <w:szCs w:val="20"/>
                <w:lang w:val="en-GB"/>
              </w:rPr>
              <w:t>,</w:t>
            </w:r>
            <w:r w:rsidRPr="00BB5286">
              <w:rPr>
                <w:rFonts w:eastAsia="Calibri" w:cs="Times New Roman"/>
                <w:noProof/>
                <w:sz w:val="22"/>
                <w:szCs w:val="20"/>
                <w:lang w:val="en-GB"/>
              </w:rPr>
              <w:t xml:space="preserve"> to set targeted exemptions from certain requirements of certain GAEC standards where farmers have specific problems </w:t>
            </w:r>
            <w:r w:rsidR="0009706E" w:rsidRPr="00BB5286">
              <w:rPr>
                <w:rFonts w:eastAsia="Calibri" w:cs="Times New Roman"/>
                <w:noProof/>
                <w:sz w:val="22"/>
                <w:szCs w:val="20"/>
                <w:lang w:val="en-GB"/>
              </w:rPr>
              <w:t xml:space="preserve">in </w:t>
            </w:r>
            <w:r w:rsidRPr="00BB5286">
              <w:rPr>
                <w:rFonts w:eastAsia="Calibri" w:cs="Times New Roman"/>
                <w:noProof/>
                <w:sz w:val="22"/>
                <w:szCs w:val="20"/>
                <w:lang w:val="en-GB"/>
              </w:rPr>
              <w:t>respect</w:t>
            </w:r>
            <w:r w:rsidR="0009706E" w:rsidRPr="00BB5286">
              <w:rPr>
                <w:rFonts w:eastAsia="Calibri" w:cs="Times New Roman"/>
                <w:noProof/>
                <w:sz w:val="22"/>
                <w:szCs w:val="20"/>
                <w:lang w:val="en-GB"/>
              </w:rPr>
              <w:t>ing</w:t>
            </w:r>
            <w:r w:rsidRPr="00BB5286">
              <w:rPr>
                <w:rFonts w:eastAsia="Calibri" w:cs="Times New Roman"/>
                <w:noProof/>
                <w:sz w:val="22"/>
                <w:szCs w:val="20"/>
                <w:lang w:val="en-GB"/>
              </w:rPr>
              <w:t xml:space="preserve"> the requirements. </w:t>
            </w:r>
            <w:r w:rsidR="00883B66" w:rsidRPr="00FF77A3">
              <w:rPr>
                <w:noProof/>
                <w:sz w:val="22"/>
                <w:szCs w:val="20"/>
                <w:lang w:val="en-GB"/>
              </w:rPr>
              <w:t xml:space="preserve"> </w:t>
            </w:r>
            <w:r w:rsidR="00883B66" w:rsidRPr="00BB5286">
              <w:rPr>
                <w:rFonts w:eastAsia="Calibri" w:cs="Times New Roman"/>
                <w:noProof/>
                <w:sz w:val="22"/>
                <w:szCs w:val="20"/>
                <w:lang w:val="en-GB"/>
              </w:rPr>
              <w:t xml:space="preserve">See also the adopted Simplification Regulation </w:t>
            </w:r>
            <w:r w:rsidRPr="00BB5286">
              <w:rPr>
                <w:rFonts w:eastAsia="Calibri" w:cs="Times New Roman"/>
                <w:noProof/>
                <w:sz w:val="22"/>
                <w:szCs w:val="20"/>
                <w:lang w:val="en-GB"/>
              </w:rPr>
              <w:t xml:space="preserve"> </w:t>
            </w:r>
          </w:p>
        </w:tc>
      </w:tr>
      <w:tr w:rsidR="00872C68" w:rsidRPr="00BB5286" w14:paraId="46AD9BB5" w14:textId="77777777" w:rsidTr="00B57B3C">
        <w:trPr>
          <w:trHeight w:val="841"/>
        </w:trPr>
        <w:tc>
          <w:tcPr>
            <w:tcW w:w="588" w:type="dxa"/>
            <w:vAlign w:val="center"/>
          </w:tcPr>
          <w:p w14:paraId="6695E30C"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149</w:t>
            </w:r>
          </w:p>
        </w:tc>
        <w:tc>
          <w:tcPr>
            <w:tcW w:w="5887" w:type="dxa"/>
            <w:vAlign w:val="center"/>
          </w:tcPr>
          <w:p w14:paraId="1F343DA5" w14:textId="7FB10179"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7:</w:t>
            </w:r>
            <w:r w:rsidRPr="00BB5286">
              <w:rPr>
                <w:rFonts w:eastAsia="Calibri" w:cs="Times New Roman"/>
                <w:noProof/>
                <w:sz w:val="22"/>
                <w:szCs w:val="20"/>
                <w:lang w:val="en-GB"/>
              </w:rPr>
              <w:t xml:space="preserve"> </w:t>
            </w:r>
            <w:r w:rsidR="3D1B622B" w:rsidRPr="00BB5286">
              <w:rPr>
                <w:rFonts w:eastAsia="Calibri" w:cs="Times New Roman"/>
                <w:noProof/>
                <w:sz w:val="22"/>
                <w:szCs w:val="20"/>
                <w:lang w:val="en-GB"/>
              </w:rPr>
              <w:t>a</w:t>
            </w:r>
            <w:r w:rsidRPr="00BB5286">
              <w:rPr>
                <w:rFonts w:eastAsia="Calibri" w:cs="Times New Roman"/>
                <w:noProof/>
                <w:sz w:val="22"/>
                <w:szCs w:val="20"/>
                <w:lang w:val="en-GB"/>
              </w:rPr>
              <w:t>llow for crop diversification instead of crop rotation</w:t>
            </w:r>
            <w:r w:rsidR="00241975" w:rsidRPr="00BB5286">
              <w:rPr>
                <w:rFonts w:eastAsia="Calibri" w:cs="Times New Roman"/>
                <w:noProof/>
                <w:sz w:val="22"/>
                <w:szCs w:val="20"/>
                <w:lang w:val="en-GB"/>
              </w:rPr>
              <w:t>.</w:t>
            </w:r>
          </w:p>
        </w:tc>
        <w:tc>
          <w:tcPr>
            <w:tcW w:w="1620" w:type="dxa"/>
            <w:vAlign w:val="center"/>
          </w:tcPr>
          <w:p w14:paraId="322DA734" w14:textId="77777777" w:rsidR="00872C68" w:rsidRPr="00BB5286" w:rsidRDefault="00872C68" w:rsidP="00AE4510">
            <w:pPr>
              <w:spacing w:after="12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 IE</w:t>
            </w:r>
          </w:p>
          <w:p w14:paraId="321E4D65"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0" w:type="dxa"/>
            <w:vAlign w:val="center"/>
          </w:tcPr>
          <w:p w14:paraId="4F8BF11C" w14:textId="610C1FA0"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addressed with</w:t>
            </w:r>
            <w:r w:rsidRPr="00BB5286" w:rsidDel="00A57E63">
              <w:rPr>
                <w:rFonts w:eastAsia="Calibri" w:cs="Times New Roman"/>
                <w:noProof/>
                <w:sz w:val="22"/>
                <w:lang w:val="en-GB"/>
              </w:rPr>
              <w:t>in</w:t>
            </w:r>
            <w:r w:rsidRPr="00BB5286">
              <w:rPr>
                <w:rFonts w:eastAsia="Calibri" w:cs="Times New Roman"/>
                <w:noProof/>
                <w:sz w:val="22"/>
                <w:lang w:val="en-GB"/>
              </w:rPr>
              <w:t xml:space="preserve"> the simplification package. </w:t>
            </w:r>
            <w:r w:rsidR="00883B66" w:rsidRPr="00BB5286">
              <w:rPr>
                <w:rFonts w:eastAsia="Calibri" w:cs="Times New Roman"/>
                <w:noProof/>
                <w:sz w:val="22"/>
                <w:lang w:val="en-GB"/>
              </w:rPr>
              <w:t>See the adopted Simplification Regulation.</w:t>
            </w:r>
          </w:p>
        </w:tc>
      </w:tr>
      <w:tr w:rsidR="00872C68" w:rsidRPr="00BB5286" w14:paraId="39DC396A" w14:textId="77777777" w:rsidTr="00B57B3C">
        <w:trPr>
          <w:trHeight w:val="300"/>
        </w:trPr>
        <w:tc>
          <w:tcPr>
            <w:tcW w:w="588" w:type="dxa"/>
            <w:vAlign w:val="center"/>
          </w:tcPr>
          <w:p w14:paraId="0D3B551C"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150</w:t>
            </w:r>
          </w:p>
        </w:tc>
        <w:tc>
          <w:tcPr>
            <w:tcW w:w="5887" w:type="dxa"/>
            <w:vAlign w:val="center"/>
          </w:tcPr>
          <w:p w14:paraId="383CCB4B" w14:textId="77777777"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b/>
                <w:bCs/>
                <w:noProof/>
                <w:sz w:val="22"/>
                <w:lang w:val="en-GB"/>
              </w:rPr>
              <w:t>GAEC 7:</w:t>
            </w:r>
            <w:r w:rsidRPr="00BB5286">
              <w:rPr>
                <w:rFonts w:eastAsia="Calibri" w:cs="Times New Roman"/>
                <w:noProof/>
                <w:sz w:val="22"/>
                <w:lang w:val="en-GB"/>
              </w:rPr>
              <w:t xml:space="preserve"> Member States should be allowed to adjust the annual crop diversification commitments and/or annual crop rotation cycle commitments due to weather circumstances.</w:t>
            </w:r>
          </w:p>
        </w:tc>
        <w:tc>
          <w:tcPr>
            <w:tcW w:w="1620" w:type="dxa"/>
            <w:vAlign w:val="center"/>
          </w:tcPr>
          <w:p w14:paraId="0F4FD7F6"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IE</w:t>
            </w:r>
          </w:p>
        </w:tc>
        <w:tc>
          <w:tcPr>
            <w:tcW w:w="6660" w:type="dxa"/>
            <w:vAlign w:val="center"/>
          </w:tcPr>
          <w:p w14:paraId="051CB86F" w14:textId="581C59C3"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The suggestion was not taken up, as such. However, the simplification package includes an amendment of GAEC</w:t>
            </w:r>
            <w:r w:rsidR="0009706E" w:rsidRPr="00BB5286">
              <w:rPr>
                <w:rFonts w:eastAsia="Calibri" w:cs="Times New Roman"/>
                <w:noProof/>
                <w:sz w:val="22"/>
                <w:szCs w:val="20"/>
                <w:lang w:val="en-GB"/>
              </w:rPr>
              <w:t> </w:t>
            </w:r>
            <w:r w:rsidRPr="00BB5286">
              <w:rPr>
                <w:rFonts w:eastAsia="Calibri" w:cs="Times New Roman"/>
                <w:noProof/>
                <w:sz w:val="22"/>
                <w:szCs w:val="20"/>
                <w:lang w:val="en-GB"/>
              </w:rPr>
              <w:t>7, enabling Member States to add crop diversification</w:t>
            </w:r>
            <w:r w:rsidR="0009706E" w:rsidRPr="00BB5286">
              <w:rPr>
                <w:rFonts w:eastAsia="Calibri" w:cs="Times New Roman"/>
                <w:noProof/>
                <w:sz w:val="22"/>
                <w:szCs w:val="20"/>
                <w:lang w:val="en-GB"/>
              </w:rPr>
              <w:t xml:space="preserve"> to the </w:t>
            </w:r>
            <w:r w:rsidR="00523AA0" w:rsidRPr="00BB5286">
              <w:rPr>
                <w:rFonts w:eastAsia="Calibri" w:cs="Times New Roman"/>
                <w:noProof/>
                <w:sz w:val="22"/>
                <w:szCs w:val="20"/>
                <w:lang w:val="en-GB"/>
              </w:rPr>
              <w:t>CAP Plans</w:t>
            </w:r>
            <w:r w:rsidRPr="00BB5286">
              <w:rPr>
                <w:rFonts w:eastAsia="Calibri" w:cs="Times New Roman"/>
                <w:noProof/>
                <w:sz w:val="22"/>
                <w:szCs w:val="20"/>
                <w:lang w:val="en-GB"/>
              </w:rPr>
              <w:t xml:space="preserve">, enabling farmers to choose whether they comply with GAEC 7 though crop diversification or crop rotation. The Commission proposal also includes the amendment of </w:t>
            </w:r>
            <w:r w:rsidRPr="00BB5286">
              <w:rPr>
                <w:rFonts w:eastAsia="Calibri" w:cs="Times New Roman"/>
                <w:i/>
                <w:noProof/>
                <w:sz w:val="22"/>
                <w:szCs w:val="20"/>
                <w:lang w:val="en-GB"/>
              </w:rPr>
              <w:t xml:space="preserve">Article 13 </w:t>
            </w:r>
            <w:r w:rsidRPr="00BB5286">
              <w:rPr>
                <w:rFonts w:eastAsia="Calibri" w:cs="Times New Roman"/>
                <w:noProof/>
                <w:sz w:val="22"/>
                <w:szCs w:val="20"/>
                <w:lang w:val="en-GB"/>
              </w:rPr>
              <w:t xml:space="preserve">of </w:t>
            </w:r>
            <w:r w:rsidR="587614F0"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which enables Member States to grant temporary and targeted derogations from GAEC requirements </w:t>
            </w:r>
            <w:r w:rsidRPr="00BB5286">
              <w:rPr>
                <w:rFonts w:eastAsia="MS Mincho" w:cs="Times New Roman"/>
                <w:noProof/>
                <w:sz w:val="22"/>
                <w:szCs w:val="20"/>
                <w:lang w:val="en-GB"/>
              </w:rPr>
              <w:t>where weather conditions prevent farmers and other beneficiaries from complying with those requirements in a given year.</w:t>
            </w:r>
            <w:r w:rsidR="00E17ABA" w:rsidRPr="00BB5286">
              <w:rPr>
                <w:rFonts w:eastAsia="Calibri" w:cs="Times New Roman"/>
                <w:noProof/>
                <w:sz w:val="22"/>
                <w:szCs w:val="20"/>
                <w:lang w:val="en-GB"/>
              </w:rPr>
              <w:t xml:space="preserve"> </w:t>
            </w:r>
            <w:r w:rsidR="00E17ABA" w:rsidRPr="00BB5286">
              <w:rPr>
                <w:rFonts w:eastAsia="Calibri" w:cs="Times New Roman"/>
                <w:noProof/>
                <w:sz w:val="22"/>
                <w:lang w:val="en-GB"/>
              </w:rPr>
              <w:t>See also the adopted Simplification Regulation.</w:t>
            </w:r>
          </w:p>
        </w:tc>
      </w:tr>
      <w:tr w:rsidR="00872C68" w:rsidRPr="00BB5286" w14:paraId="391FE54E" w14:textId="77777777" w:rsidTr="00B57B3C">
        <w:trPr>
          <w:trHeight w:val="277"/>
        </w:trPr>
        <w:tc>
          <w:tcPr>
            <w:tcW w:w="588" w:type="dxa"/>
            <w:vAlign w:val="center"/>
          </w:tcPr>
          <w:p w14:paraId="50936F19"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151</w:t>
            </w:r>
          </w:p>
        </w:tc>
        <w:tc>
          <w:tcPr>
            <w:tcW w:w="5887" w:type="dxa"/>
            <w:vAlign w:val="center"/>
          </w:tcPr>
          <w:p w14:paraId="4319F8E2" w14:textId="3EE3A3EA"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 xml:space="preserve">GAEC 8: </w:t>
            </w:r>
            <w:r w:rsidR="7EE39A0B" w:rsidRPr="00BB5286">
              <w:rPr>
                <w:rFonts w:eastAsia="Calibri" w:cs="Times New Roman"/>
                <w:noProof/>
                <w:sz w:val="22"/>
                <w:szCs w:val="20"/>
                <w:lang w:val="en-GB"/>
              </w:rPr>
              <w:t>c</w:t>
            </w:r>
            <w:r w:rsidRPr="00BB5286">
              <w:rPr>
                <w:rFonts w:eastAsia="Calibri" w:cs="Times New Roman"/>
                <w:noProof/>
                <w:sz w:val="22"/>
                <w:szCs w:val="20"/>
                <w:lang w:val="en-GB"/>
              </w:rPr>
              <w:t xml:space="preserve">ontinuation of the 2024 GAEC 8 derogation, modification of the minimum share of arable land devoted to non-productive areas and features. </w:t>
            </w:r>
          </w:p>
        </w:tc>
        <w:tc>
          <w:tcPr>
            <w:tcW w:w="1620" w:type="dxa"/>
            <w:vAlign w:val="center"/>
          </w:tcPr>
          <w:p w14:paraId="566DD808" w14:textId="77777777" w:rsidR="00872C68" w:rsidRPr="00BB5286" w:rsidRDefault="00872C68" w:rsidP="00AE4510">
            <w:pPr>
              <w:spacing w:after="12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 FR, HU, IT, RO</w:t>
            </w:r>
          </w:p>
          <w:p w14:paraId="24156A4A"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0" w:type="dxa"/>
            <w:vAlign w:val="center"/>
          </w:tcPr>
          <w:p w14:paraId="649B6934" w14:textId="560FE6E2"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417B40">
              <w:rPr>
                <w:rFonts w:eastAsia="Calibri" w:cs="Times New Roman"/>
                <w:noProof/>
                <w:sz w:val="22"/>
                <w:lang w:val="en-GB"/>
              </w:rPr>
              <w:t xml:space="preserve"> </w:t>
            </w:r>
            <w:r w:rsidRPr="00BB5286">
              <w:rPr>
                <w:rFonts w:eastAsia="Calibri" w:cs="Times New Roman"/>
                <w:noProof/>
                <w:sz w:val="22"/>
                <w:lang w:val="en-GB"/>
              </w:rPr>
              <w:t xml:space="preserve">was addressed within the simplification package. </w:t>
            </w:r>
            <w:r w:rsidR="00E17ABA" w:rsidRPr="00BB5286">
              <w:rPr>
                <w:rFonts w:eastAsia="Calibri" w:cs="Times New Roman"/>
                <w:noProof/>
                <w:sz w:val="22"/>
                <w:lang w:val="en-GB"/>
              </w:rPr>
              <w:t>See also the adopted Simplification Regulation.</w:t>
            </w:r>
          </w:p>
        </w:tc>
      </w:tr>
      <w:tr w:rsidR="00872C68" w:rsidRPr="00BB5286" w14:paraId="430938B2" w14:textId="77777777" w:rsidTr="00B57B3C">
        <w:tblPrEx>
          <w:tblBorders>
            <w:bottom w:val="single" w:sz="4" w:space="0" w:color="2E74B5" w:themeColor="accent5" w:themeShade="BF"/>
          </w:tblBorders>
        </w:tblPrEx>
        <w:trPr>
          <w:trHeight w:val="1059"/>
        </w:trPr>
        <w:tc>
          <w:tcPr>
            <w:tcW w:w="588" w:type="dxa"/>
            <w:vAlign w:val="center"/>
          </w:tcPr>
          <w:p w14:paraId="17ACAD04"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152</w:t>
            </w:r>
          </w:p>
        </w:tc>
        <w:tc>
          <w:tcPr>
            <w:tcW w:w="5887" w:type="dxa"/>
            <w:vAlign w:val="center"/>
          </w:tcPr>
          <w:p w14:paraId="56763776" w14:textId="224FB6F1"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8:</w:t>
            </w:r>
            <w:r w:rsidRPr="00BB5286">
              <w:rPr>
                <w:rFonts w:eastAsia="Calibri" w:cs="Times New Roman"/>
                <w:noProof/>
                <w:sz w:val="22"/>
                <w:szCs w:val="20"/>
                <w:lang w:val="en-GB"/>
              </w:rPr>
              <w:t xml:space="preserve"> </w:t>
            </w:r>
            <w:r w:rsidR="6B3B0E8A" w:rsidRPr="00BB5286">
              <w:rPr>
                <w:rFonts w:eastAsia="Calibri" w:cs="Times New Roman"/>
                <w:noProof/>
                <w:sz w:val="22"/>
                <w:szCs w:val="20"/>
                <w:lang w:val="en-GB"/>
              </w:rPr>
              <w:t>a</w:t>
            </w:r>
            <w:r w:rsidRPr="00BB5286">
              <w:rPr>
                <w:rFonts w:eastAsia="Calibri" w:cs="Times New Roman"/>
                <w:noProof/>
                <w:sz w:val="22"/>
                <w:szCs w:val="20"/>
                <w:lang w:val="en-GB"/>
              </w:rPr>
              <w:t>rable land under AEC</w:t>
            </w:r>
            <w:r w:rsidR="0009706E" w:rsidRPr="00BB5286">
              <w:rPr>
                <w:rFonts w:eastAsia="Calibri" w:cs="Times New Roman"/>
                <w:noProof/>
                <w:sz w:val="22"/>
                <w:szCs w:val="20"/>
                <w:lang w:val="en-GB"/>
              </w:rPr>
              <w:t xml:space="preserve"> </w:t>
            </w:r>
            <w:r w:rsidRPr="00BB5286">
              <w:rPr>
                <w:rFonts w:eastAsia="Calibri" w:cs="Times New Roman"/>
                <w:noProof/>
                <w:sz w:val="22"/>
                <w:szCs w:val="20"/>
                <w:lang w:val="en-GB"/>
              </w:rPr>
              <w:t>commitments with management obligations or with obligations to cease production should be excluded from the calculation of GAEC 8 of arable land</w:t>
            </w:r>
          </w:p>
        </w:tc>
        <w:tc>
          <w:tcPr>
            <w:tcW w:w="1620" w:type="dxa"/>
            <w:vAlign w:val="center"/>
          </w:tcPr>
          <w:p w14:paraId="103A8EE0"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w:t>
            </w:r>
          </w:p>
        </w:tc>
        <w:tc>
          <w:tcPr>
            <w:tcW w:w="6660" w:type="dxa"/>
            <w:vAlign w:val="center"/>
          </w:tcPr>
          <w:p w14:paraId="3187D528" w14:textId="5F13D3E7"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not taken up, in view of the deletion of the first requirement from GAEC standard 8, proposed as a part of the simplification package.</w:t>
            </w:r>
            <w:r w:rsidR="00E049B8" w:rsidRPr="00BB5286">
              <w:rPr>
                <w:rFonts w:eastAsia="Calibri" w:cs="Times New Roman"/>
                <w:noProof/>
                <w:sz w:val="22"/>
                <w:lang w:val="en-GB"/>
              </w:rPr>
              <w:t xml:space="preserve"> See also the adopted Simplification Regulation.</w:t>
            </w:r>
          </w:p>
        </w:tc>
      </w:tr>
      <w:tr w:rsidR="00872C68" w:rsidRPr="00BB5286" w14:paraId="45017BF2" w14:textId="77777777" w:rsidTr="00B57B3C">
        <w:trPr>
          <w:trHeight w:val="701"/>
        </w:trPr>
        <w:tc>
          <w:tcPr>
            <w:tcW w:w="588" w:type="dxa"/>
            <w:vAlign w:val="center"/>
          </w:tcPr>
          <w:p w14:paraId="53D0E459"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153</w:t>
            </w:r>
          </w:p>
        </w:tc>
        <w:tc>
          <w:tcPr>
            <w:tcW w:w="5887" w:type="dxa"/>
            <w:vAlign w:val="center"/>
          </w:tcPr>
          <w:p w14:paraId="0FD50273" w14:textId="6729FF35"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8:</w:t>
            </w:r>
            <w:r w:rsidRPr="00BB5286">
              <w:rPr>
                <w:rFonts w:eastAsia="Calibri" w:cs="Times New Roman"/>
                <w:noProof/>
                <w:sz w:val="22"/>
                <w:szCs w:val="20"/>
                <w:lang w:val="en-GB"/>
              </w:rPr>
              <w:t xml:space="preserve"> </w:t>
            </w:r>
            <w:r w:rsidR="7AAF4C75" w:rsidRPr="00BB5286">
              <w:rPr>
                <w:rFonts w:eastAsia="Calibri" w:cs="Times New Roman"/>
                <w:noProof/>
                <w:sz w:val="22"/>
                <w:szCs w:val="20"/>
                <w:lang w:val="en-GB"/>
              </w:rPr>
              <w:t>s</w:t>
            </w:r>
            <w:r w:rsidRPr="00BB5286">
              <w:rPr>
                <w:rFonts w:eastAsia="Calibri" w:cs="Times New Roman"/>
                <w:noProof/>
                <w:sz w:val="22"/>
                <w:szCs w:val="20"/>
                <w:lang w:val="en-GB"/>
              </w:rPr>
              <w:t xml:space="preserve">uggestions for various adjustments (derogations for irrigated land, landscape feature retention, conservation grazing, greenhouses, etc.). </w:t>
            </w:r>
          </w:p>
        </w:tc>
        <w:tc>
          <w:tcPr>
            <w:tcW w:w="1620" w:type="dxa"/>
            <w:vAlign w:val="center"/>
          </w:tcPr>
          <w:p w14:paraId="79CBC0A1" w14:textId="77777777" w:rsidR="00872C68" w:rsidRPr="00BB5286" w:rsidRDefault="00872C68" w:rsidP="00040FD1">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DE, ES, BG, HU, DK, IE</w:t>
            </w:r>
          </w:p>
        </w:tc>
        <w:tc>
          <w:tcPr>
            <w:tcW w:w="6660" w:type="dxa"/>
            <w:vAlign w:val="center"/>
          </w:tcPr>
          <w:p w14:paraId="18A9CBF0" w14:textId="0D0AE917"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was partially addressed in the simplification package. The requirement to devote a minimum share of arable land to non-productive areas or features is removed from GAEC 8, as laid down in </w:t>
            </w:r>
            <w:r w:rsidRPr="00BB5286">
              <w:rPr>
                <w:rFonts w:eastAsia="Calibri" w:cs="Times New Roman"/>
                <w:i/>
                <w:noProof/>
                <w:sz w:val="22"/>
                <w:szCs w:val="20"/>
                <w:lang w:val="en-GB"/>
              </w:rPr>
              <w:t>Annex III</w:t>
            </w:r>
            <w:r w:rsidRPr="00BB5286">
              <w:rPr>
                <w:rFonts w:eastAsia="Calibri" w:cs="Times New Roman"/>
                <w:noProof/>
                <w:sz w:val="22"/>
                <w:szCs w:val="20"/>
                <w:lang w:val="en-GB"/>
              </w:rPr>
              <w:t xml:space="preserve"> to </w:t>
            </w:r>
            <w:r w:rsidR="150CAAC1"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 The requirement to retain landscape features on agricultural areas, which is part of GAEC 8, has not been modified. Instead, Member States are required to establish an eco-scheme to support farmers in keeping non-productive areas, including land lying fallow</w:t>
            </w:r>
            <w:r w:rsidR="0009706E" w:rsidRPr="00BB5286">
              <w:rPr>
                <w:rFonts w:eastAsia="Calibri" w:cs="Times New Roman"/>
                <w:noProof/>
                <w:sz w:val="22"/>
                <w:szCs w:val="20"/>
                <w:lang w:val="en-GB"/>
              </w:rPr>
              <w:t>,</w:t>
            </w:r>
            <w:r w:rsidRPr="00BB5286">
              <w:rPr>
                <w:rFonts w:eastAsia="Calibri" w:cs="Times New Roman"/>
                <w:noProof/>
                <w:sz w:val="22"/>
                <w:szCs w:val="20"/>
                <w:lang w:val="en-GB"/>
              </w:rPr>
              <w:t xml:space="preserve"> and establishing new landscape features, on arable land.</w:t>
            </w:r>
            <w:r w:rsidR="007C32ED" w:rsidRPr="00BB5286">
              <w:rPr>
                <w:rFonts w:eastAsia="Calibri" w:cs="Times New Roman"/>
                <w:noProof/>
                <w:sz w:val="22"/>
                <w:lang w:val="en-GB"/>
              </w:rPr>
              <w:t xml:space="preserve"> See also the adopted Simplification Regulation.</w:t>
            </w:r>
          </w:p>
        </w:tc>
      </w:tr>
      <w:tr w:rsidR="00872C68" w:rsidRPr="00BB5286" w14:paraId="3BEC7F68" w14:textId="77777777" w:rsidTr="00B57B3C">
        <w:tblPrEx>
          <w:tblBorders>
            <w:bottom w:val="single" w:sz="4" w:space="0" w:color="2E74B5" w:themeColor="accent5" w:themeShade="BF"/>
          </w:tblBorders>
        </w:tblPrEx>
        <w:trPr>
          <w:trHeight w:val="565"/>
        </w:trPr>
        <w:tc>
          <w:tcPr>
            <w:tcW w:w="588" w:type="dxa"/>
            <w:vAlign w:val="center"/>
          </w:tcPr>
          <w:p w14:paraId="64FCD0DF"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154</w:t>
            </w:r>
          </w:p>
        </w:tc>
        <w:tc>
          <w:tcPr>
            <w:tcW w:w="5887" w:type="dxa"/>
            <w:vAlign w:val="center"/>
          </w:tcPr>
          <w:p w14:paraId="51E5F2AC" w14:textId="013AFAC3"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8:</w:t>
            </w:r>
            <w:r w:rsidRPr="00BB5286">
              <w:rPr>
                <w:rFonts w:eastAsia="Calibri" w:cs="Times New Roman"/>
                <w:noProof/>
                <w:sz w:val="22"/>
                <w:szCs w:val="20"/>
                <w:lang w:val="en-GB"/>
              </w:rPr>
              <w:t xml:space="preserve"> </w:t>
            </w:r>
            <w:r w:rsidR="33677D56" w:rsidRPr="00BB5286">
              <w:rPr>
                <w:rFonts w:eastAsia="Calibri" w:cs="Times New Roman"/>
                <w:noProof/>
                <w:sz w:val="22"/>
                <w:szCs w:val="20"/>
                <w:lang w:val="en-GB"/>
              </w:rPr>
              <w:t>l</w:t>
            </w:r>
            <w:r w:rsidRPr="00BB5286">
              <w:rPr>
                <w:rFonts w:eastAsia="Calibri" w:cs="Times New Roman"/>
                <w:noProof/>
                <w:sz w:val="22"/>
                <w:szCs w:val="20"/>
                <w:lang w:val="en-GB"/>
              </w:rPr>
              <w:t>ong-term recourse to the alternative proposed by the Commission for the 2024 campaign. Compliance reached</w:t>
            </w:r>
            <w:r w:rsidR="0009706E" w:rsidRPr="00BB5286">
              <w:rPr>
                <w:rFonts w:eastAsia="Calibri" w:cs="Times New Roman"/>
                <w:noProof/>
                <w:sz w:val="22"/>
                <w:szCs w:val="20"/>
                <w:lang w:val="en-GB"/>
              </w:rPr>
              <w:t>,</w:t>
            </w:r>
            <w:r w:rsidRPr="00BB5286">
              <w:rPr>
                <w:rFonts w:eastAsia="Calibri" w:cs="Times New Roman"/>
                <w:noProof/>
                <w:sz w:val="22"/>
                <w:szCs w:val="20"/>
                <w:lang w:val="en-GB"/>
              </w:rPr>
              <w:t xml:space="preserve"> with at least 4% of farms </w:t>
            </w:r>
            <w:r w:rsidR="5DA7C625" w:rsidRPr="00BB5286">
              <w:rPr>
                <w:rFonts w:eastAsia="Calibri" w:cs="Times New Roman"/>
                <w:noProof/>
                <w:sz w:val="22"/>
                <w:szCs w:val="20"/>
                <w:lang w:val="en-GB"/>
              </w:rPr>
              <w:t>utilised agricultural area</w:t>
            </w:r>
            <w:r w:rsidRPr="00BB5286">
              <w:rPr>
                <w:rFonts w:eastAsia="Calibri" w:cs="Times New Roman"/>
                <w:noProof/>
                <w:sz w:val="22"/>
                <w:szCs w:val="20"/>
                <w:lang w:val="en-GB"/>
              </w:rPr>
              <w:t xml:space="preserve"> with non-productive elements through nitrogen-fixing crops or catch crops without the use of phytosanitary products. </w:t>
            </w:r>
          </w:p>
        </w:tc>
        <w:tc>
          <w:tcPr>
            <w:tcW w:w="1620" w:type="dxa"/>
            <w:vAlign w:val="center"/>
          </w:tcPr>
          <w:p w14:paraId="7D9B8D64"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0" w:type="dxa"/>
            <w:vAlign w:val="center"/>
          </w:tcPr>
          <w:p w14:paraId="464764A2" w14:textId="57E212A8" w:rsidR="00872C68" w:rsidRPr="00BB5286" w:rsidRDefault="00872C68" w:rsidP="00AE4510">
            <w:pPr>
              <w:jc w:val="both"/>
              <w:rPr>
                <w:rFonts w:eastAsia="Calibri" w:cs="Times New Roman"/>
                <w:noProof/>
                <w:sz w:val="22"/>
                <w:lang w:val="en-GB"/>
              </w:rPr>
            </w:pPr>
            <w:r w:rsidRPr="00BB5286">
              <w:rPr>
                <w:rFonts w:eastAsia="Calibri" w:cs="Times New Roman"/>
                <w:noProof/>
                <w:sz w:val="22"/>
                <w:lang w:val="en-GB"/>
              </w:rPr>
              <w:t>The suggestion was not taken up in view of the deletion of the first requirement from GAEC standard 8, proposed as a part of the simplification package.</w:t>
            </w:r>
            <w:r w:rsidR="00E049B8" w:rsidRPr="00BB5286">
              <w:rPr>
                <w:rFonts w:eastAsia="Calibri" w:cs="Times New Roman"/>
                <w:noProof/>
                <w:sz w:val="22"/>
                <w:lang w:val="en-GB"/>
              </w:rPr>
              <w:t xml:space="preserve"> See also the adopted Simplification Regulation</w:t>
            </w:r>
            <w:r w:rsidR="007925D3">
              <w:rPr>
                <w:rFonts w:eastAsia="Calibri" w:cs="Times New Roman"/>
                <w:noProof/>
                <w:sz w:val="22"/>
                <w:lang w:val="en-GB"/>
              </w:rPr>
              <w:t>.</w:t>
            </w:r>
          </w:p>
        </w:tc>
      </w:tr>
      <w:tr w:rsidR="00872C68" w:rsidRPr="00BB5286" w14:paraId="2F63587E" w14:textId="77777777" w:rsidTr="00B57B3C">
        <w:trPr>
          <w:trHeight w:val="300"/>
        </w:trPr>
        <w:tc>
          <w:tcPr>
            <w:tcW w:w="588" w:type="dxa"/>
            <w:vAlign w:val="center"/>
          </w:tcPr>
          <w:p w14:paraId="7AE0897A" w14:textId="77777777" w:rsidR="00872C68" w:rsidRPr="00BB5286" w:rsidRDefault="00872C68" w:rsidP="00040FD1">
            <w:pPr>
              <w:spacing w:after="60" w:line="259" w:lineRule="auto"/>
              <w:rPr>
                <w:rFonts w:eastAsia="Calibri" w:cs="Times New Roman"/>
                <w:b/>
                <w:bCs/>
                <w:noProof/>
                <w:sz w:val="22"/>
                <w:lang w:val="en-GB"/>
              </w:rPr>
            </w:pPr>
            <w:r w:rsidRPr="00BB5286">
              <w:rPr>
                <w:rFonts w:eastAsia="Calibri" w:cs="Times New Roman"/>
                <w:b/>
                <w:bCs/>
                <w:noProof/>
                <w:sz w:val="22"/>
                <w:lang w:val="en-GB"/>
              </w:rPr>
              <w:t>155</w:t>
            </w:r>
          </w:p>
        </w:tc>
        <w:tc>
          <w:tcPr>
            <w:tcW w:w="5887" w:type="dxa"/>
            <w:vAlign w:val="center"/>
          </w:tcPr>
          <w:p w14:paraId="1306FF37" w14:textId="7EC1D646" w:rsidR="00872C68" w:rsidRPr="00BB5286" w:rsidRDefault="00872C68" w:rsidP="00241975">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9:</w:t>
            </w:r>
            <w:r w:rsidRPr="00BB5286">
              <w:rPr>
                <w:rFonts w:eastAsia="Calibri" w:cs="Times New Roman"/>
                <w:noProof/>
                <w:sz w:val="22"/>
                <w:szCs w:val="20"/>
                <w:lang w:val="en-GB"/>
              </w:rPr>
              <w:t xml:space="preserve"> </w:t>
            </w:r>
            <w:r w:rsidR="788C79BA" w:rsidRPr="00BB5286">
              <w:rPr>
                <w:rFonts w:eastAsia="Calibri" w:cs="Times New Roman"/>
                <w:noProof/>
                <w:sz w:val="22"/>
                <w:szCs w:val="20"/>
                <w:lang w:val="en-GB"/>
              </w:rPr>
              <w:t>r</w:t>
            </w:r>
            <w:r w:rsidRPr="00BB5286">
              <w:rPr>
                <w:rFonts w:eastAsia="Calibri" w:cs="Times New Roman"/>
                <w:noProof/>
                <w:sz w:val="22"/>
                <w:szCs w:val="20"/>
                <w:lang w:val="en-GB"/>
              </w:rPr>
              <w:t>equests to allow greater management flexibility (allow conversion to EAFRD</w:t>
            </w:r>
            <w:r w:rsidR="00F53989" w:rsidRPr="00BB5286">
              <w:rPr>
                <w:rFonts w:eastAsia="Calibri" w:cs="Times New Roman"/>
                <w:noProof/>
                <w:sz w:val="22"/>
                <w:szCs w:val="20"/>
                <w:lang w:val="en-GB"/>
              </w:rPr>
              <w:t>-</w:t>
            </w:r>
            <w:r w:rsidRPr="00BB5286">
              <w:rPr>
                <w:rFonts w:eastAsia="Calibri" w:cs="Times New Roman"/>
                <w:noProof/>
                <w:sz w:val="22"/>
                <w:szCs w:val="20"/>
                <w:lang w:val="en-GB"/>
              </w:rPr>
              <w:t>supported afforested land, ad hoc interventions, rotation, diversification)</w:t>
            </w:r>
            <w:r w:rsidR="00241975" w:rsidRPr="00BB5286">
              <w:rPr>
                <w:rFonts w:eastAsia="Calibri" w:cs="Times New Roman"/>
                <w:noProof/>
                <w:sz w:val="22"/>
                <w:szCs w:val="20"/>
                <w:lang w:val="en-GB"/>
              </w:rPr>
              <w:t>.</w:t>
            </w:r>
          </w:p>
        </w:tc>
        <w:tc>
          <w:tcPr>
            <w:tcW w:w="1620" w:type="dxa"/>
            <w:vAlign w:val="center"/>
          </w:tcPr>
          <w:p w14:paraId="0E79980E"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 FR, BE</w:t>
            </w:r>
          </w:p>
        </w:tc>
        <w:tc>
          <w:tcPr>
            <w:tcW w:w="6660" w:type="dxa"/>
            <w:vAlign w:val="center"/>
          </w:tcPr>
          <w:p w14:paraId="69CB17F7" w14:textId="1220119F"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as it would hamper the achievement of the policy objectives of the CAP 2023-2027. </w:t>
            </w:r>
          </w:p>
        </w:tc>
      </w:tr>
      <w:tr w:rsidR="00872C68" w:rsidRPr="00BB5286" w14:paraId="1929E251" w14:textId="77777777" w:rsidTr="00B57B3C">
        <w:trPr>
          <w:trHeight w:val="1020"/>
        </w:trPr>
        <w:tc>
          <w:tcPr>
            <w:tcW w:w="588" w:type="dxa"/>
            <w:vAlign w:val="center"/>
          </w:tcPr>
          <w:p w14:paraId="1146939F" w14:textId="77777777" w:rsidR="00872C68" w:rsidRPr="00BB5286" w:rsidRDefault="00872C68" w:rsidP="00040FD1">
            <w:pPr>
              <w:spacing w:after="60" w:line="259" w:lineRule="auto"/>
              <w:rPr>
                <w:rFonts w:eastAsia="Calibri" w:cs="Times New Roman"/>
                <w:b/>
                <w:bCs/>
                <w:noProof/>
                <w:sz w:val="22"/>
                <w:lang w:val="en-GB"/>
              </w:rPr>
            </w:pPr>
            <w:r w:rsidRPr="00BB5286">
              <w:rPr>
                <w:rFonts w:eastAsia="Calibri" w:cs="Times New Roman"/>
                <w:b/>
                <w:noProof/>
                <w:sz w:val="22"/>
                <w:lang w:val="en-GB"/>
              </w:rPr>
              <w:lastRenderedPageBreak/>
              <w:t>156</w:t>
            </w:r>
          </w:p>
        </w:tc>
        <w:tc>
          <w:tcPr>
            <w:tcW w:w="5887" w:type="dxa"/>
            <w:vAlign w:val="center"/>
          </w:tcPr>
          <w:p w14:paraId="5B99F6EE" w14:textId="38DDD972" w:rsidR="00872C68" w:rsidRPr="00BB5286" w:rsidRDefault="00872C68" w:rsidP="00241975">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GAEC 9:</w:t>
            </w:r>
            <w:r w:rsidRPr="00BB5286">
              <w:rPr>
                <w:rFonts w:eastAsia="Calibri" w:cs="Times New Roman"/>
                <w:noProof/>
                <w:sz w:val="22"/>
                <w:szCs w:val="20"/>
                <w:lang w:val="en-GB"/>
              </w:rPr>
              <w:t xml:space="preserve"> </w:t>
            </w:r>
            <w:r w:rsidR="1E01EC0C" w:rsidRPr="00BB5286">
              <w:rPr>
                <w:rFonts w:eastAsia="Calibri" w:cs="Times New Roman"/>
                <w:noProof/>
                <w:sz w:val="22"/>
                <w:szCs w:val="20"/>
                <w:lang w:val="en-GB"/>
              </w:rPr>
              <w:t>a</w:t>
            </w:r>
            <w:r w:rsidRPr="00BB5286">
              <w:rPr>
                <w:rFonts w:eastAsia="Calibri" w:cs="Times New Roman"/>
                <w:noProof/>
                <w:sz w:val="22"/>
                <w:szCs w:val="20"/>
                <w:lang w:val="en-GB"/>
              </w:rPr>
              <w:t>uthori</w:t>
            </w:r>
            <w:r w:rsidR="1E44C69B" w:rsidRPr="00BB5286">
              <w:rPr>
                <w:rFonts w:eastAsia="Calibri" w:cs="Times New Roman"/>
                <w:noProof/>
                <w:sz w:val="22"/>
                <w:szCs w:val="20"/>
                <w:lang w:val="en-GB"/>
              </w:rPr>
              <w:t>s</w:t>
            </w:r>
            <w:r w:rsidRPr="00BB5286">
              <w:rPr>
                <w:rFonts w:eastAsia="Calibri" w:cs="Times New Roman"/>
                <w:noProof/>
                <w:sz w:val="22"/>
                <w:szCs w:val="20"/>
                <w:lang w:val="en-GB"/>
              </w:rPr>
              <w:t>e flexibilities so that Member States can allow the use of one-off management interventions on permanent grasslands designated as sensitive.</w:t>
            </w:r>
          </w:p>
        </w:tc>
        <w:tc>
          <w:tcPr>
            <w:tcW w:w="1620" w:type="dxa"/>
            <w:vAlign w:val="center"/>
          </w:tcPr>
          <w:p w14:paraId="3CA2DCD5"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0" w:type="dxa"/>
            <w:vAlign w:val="center"/>
          </w:tcPr>
          <w:p w14:paraId="4EFE9F16" w14:textId="48153877"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was partially addressed in the simplification package. Changes to </w:t>
            </w:r>
            <w:r w:rsidRPr="00BB5286">
              <w:rPr>
                <w:rFonts w:eastAsia="Calibri" w:cs="Times New Roman"/>
                <w:i/>
                <w:noProof/>
                <w:sz w:val="22"/>
                <w:szCs w:val="20"/>
                <w:lang w:val="en-GB"/>
              </w:rPr>
              <w:t>Article 13</w:t>
            </w:r>
            <w:r w:rsidRPr="00BB5286">
              <w:rPr>
                <w:rFonts w:eastAsia="Calibri" w:cs="Times New Roman"/>
                <w:noProof/>
                <w:sz w:val="22"/>
                <w:szCs w:val="20"/>
                <w:lang w:val="en-GB"/>
              </w:rPr>
              <w:t xml:space="preserve"> of </w:t>
            </w:r>
            <w:r w:rsidR="7F9D1946" w:rsidRPr="00BB5286">
              <w:rPr>
                <w:rFonts w:eastAsia="Calibri" w:cs="Times New Roman"/>
                <w:noProof/>
                <w:sz w:val="22"/>
                <w:szCs w:val="20"/>
                <w:lang w:val="en-GB"/>
              </w:rPr>
              <w:t>the CSP</w:t>
            </w:r>
            <w:r w:rsidRPr="00BB5286">
              <w:rPr>
                <w:rFonts w:eastAsia="Calibri" w:cs="Times New Roman"/>
                <w:noProof/>
                <w:sz w:val="22"/>
                <w:szCs w:val="20"/>
                <w:lang w:val="en-GB"/>
              </w:rPr>
              <w:t xml:space="preserve"> Regulation brought by the Commission proposal of 15 March 2024 provide for </w:t>
            </w:r>
            <w:r w:rsidR="00F53989" w:rsidRPr="00BB5286">
              <w:rPr>
                <w:rFonts w:eastAsia="Calibri" w:cs="Times New Roman"/>
                <w:noProof/>
                <w:sz w:val="22"/>
                <w:szCs w:val="20"/>
                <w:lang w:val="en-GB"/>
              </w:rPr>
              <w:t>the</w:t>
            </w:r>
            <w:r w:rsidRPr="00BB5286">
              <w:rPr>
                <w:rFonts w:eastAsia="Calibri" w:cs="Times New Roman"/>
                <w:noProof/>
                <w:sz w:val="22"/>
                <w:szCs w:val="20"/>
                <w:lang w:val="en-GB"/>
              </w:rPr>
              <w:t xml:space="preserve"> possibility to set </w:t>
            </w:r>
            <w:r w:rsidR="00F53989" w:rsidRPr="00BB5286">
              <w:rPr>
                <w:rFonts w:eastAsia="Calibri" w:cs="Times New Roman"/>
                <w:noProof/>
                <w:sz w:val="22"/>
                <w:szCs w:val="20"/>
                <w:lang w:val="en-GB"/>
              </w:rPr>
              <w:t xml:space="preserve">out </w:t>
            </w:r>
            <w:r w:rsidRPr="00BB5286">
              <w:rPr>
                <w:rFonts w:eastAsia="Calibri" w:cs="Times New Roman"/>
                <w:noProof/>
                <w:sz w:val="22"/>
                <w:szCs w:val="20"/>
                <w:lang w:val="en-GB"/>
              </w:rPr>
              <w:t xml:space="preserve">in the </w:t>
            </w:r>
            <w:r w:rsidR="1D0B3565" w:rsidRPr="00BB5286">
              <w:rPr>
                <w:rFonts w:eastAsia="Calibri" w:cs="Times New Roman"/>
                <w:noProof/>
                <w:sz w:val="22"/>
                <w:szCs w:val="20"/>
                <w:lang w:val="en-GB"/>
              </w:rPr>
              <w:t>C</w:t>
            </w:r>
            <w:r w:rsidR="052587EA" w:rsidRPr="00BB5286">
              <w:rPr>
                <w:rFonts w:eastAsia="Calibri" w:cs="Times New Roman"/>
                <w:noProof/>
                <w:sz w:val="22"/>
                <w:szCs w:val="20"/>
                <w:lang w:val="en-GB"/>
              </w:rPr>
              <w:t>A</w:t>
            </w:r>
            <w:r w:rsidR="1D0B3565" w:rsidRPr="00BB5286">
              <w:rPr>
                <w:rFonts w:eastAsia="Calibri" w:cs="Times New Roman"/>
                <w:noProof/>
                <w:sz w:val="22"/>
                <w:szCs w:val="20"/>
                <w:lang w:val="en-GB"/>
              </w:rPr>
              <w:t>P</w:t>
            </w:r>
            <w:r w:rsidR="47C9B9A4" w:rsidRPr="00BB5286">
              <w:rPr>
                <w:rFonts w:eastAsia="Calibri" w:cs="Times New Roman"/>
                <w:noProof/>
                <w:sz w:val="22"/>
                <w:szCs w:val="20"/>
                <w:lang w:val="en-GB"/>
              </w:rPr>
              <w:t xml:space="preserve"> Plan</w:t>
            </w:r>
            <w:r w:rsidRPr="00BB5286">
              <w:rPr>
                <w:rFonts w:eastAsia="Calibri" w:cs="Times New Roman"/>
                <w:noProof/>
                <w:sz w:val="22"/>
                <w:szCs w:val="20"/>
                <w:lang w:val="en-GB"/>
              </w:rPr>
              <w:t xml:space="preserve"> exemptions from this standard, in particular </w:t>
            </w:r>
            <w:r w:rsidR="00F53989" w:rsidRPr="00BB5286">
              <w:rPr>
                <w:rFonts w:eastAsia="Calibri" w:cs="Times New Roman"/>
                <w:noProof/>
                <w:sz w:val="22"/>
                <w:szCs w:val="20"/>
                <w:lang w:val="en-GB"/>
              </w:rPr>
              <w:t>if</w:t>
            </w:r>
            <w:r w:rsidRPr="00BB5286">
              <w:rPr>
                <w:rFonts w:eastAsia="Calibri" w:cs="Times New Roman"/>
                <w:noProof/>
                <w:sz w:val="22"/>
                <w:szCs w:val="20"/>
                <w:lang w:val="en-GB"/>
              </w:rPr>
              <w:t xml:space="preserve"> interventions are needed to address damage caused to these environmentally sensitive grasslands by wildlife or by invasive species. </w:t>
            </w:r>
            <w:r w:rsidR="006774D0" w:rsidRPr="00FF77A3">
              <w:rPr>
                <w:noProof/>
                <w:sz w:val="22"/>
                <w:szCs w:val="20"/>
                <w:lang w:val="en-GB"/>
              </w:rPr>
              <w:t xml:space="preserve"> </w:t>
            </w:r>
            <w:r w:rsidR="006774D0" w:rsidRPr="00BB5286">
              <w:rPr>
                <w:rFonts w:eastAsia="Calibri" w:cs="Times New Roman"/>
                <w:noProof/>
                <w:sz w:val="22"/>
                <w:szCs w:val="20"/>
                <w:lang w:val="en-GB"/>
              </w:rPr>
              <w:t>See also the adopted Simplification Regulation.</w:t>
            </w:r>
          </w:p>
        </w:tc>
      </w:tr>
      <w:tr w:rsidR="00872C68" w:rsidRPr="00BB5286" w14:paraId="07B9E4FE" w14:textId="77777777" w:rsidTr="00B57B3C">
        <w:tblPrEx>
          <w:tblBorders>
            <w:bottom w:val="single" w:sz="4" w:space="0" w:color="2E74B5" w:themeColor="accent5" w:themeShade="BF"/>
          </w:tblBorders>
        </w:tblPrEx>
        <w:trPr>
          <w:trHeight w:val="1607"/>
        </w:trPr>
        <w:tc>
          <w:tcPr>
            <w:tcW w:w="588" w:type="dxa"/>
            <w:vAlign w:val="center"/>
          </w:tcPr>
          <w:p w14:paraId="76DBF04D" w14:textId="77777777" w:rsidR="00872C68" w:rsidRPr="00BB5286" w:rsidRDefault="00872C68" w:rsidP="00040FD1">
            <w:pPr>
              <w:spacing w:after="60" w:line="259" w:lineRule="auto"/>
              <w:rPr>
                <w:rFonts w:eastAsia="Calibri" w:cs="Times New Roman"/>
                <w:b/>
                <w:bCs/>
                <w:noProof/>
                <w:sz w:val="22"/>
                <w:lang w:val="en-GB"/>
              </w:rPr>
            </w:pPr>
            <w:r w:rsidRPr="00BB5286">
              <w:rPr>
                <w:rFonts w:eastAsia="Calibri" w:cs="Times New Roman"/>
                <w:b/>
                <w:bCs/>
                <w:noProof/>
                <w:sz w:val="22"/>
                <w:lang w:val="en-GB"/>
              </w:rPr>
              <w:t>157</w:t>
            </w:r>
          </w:p>
        </w:tc>
        <w:tc>
          <w:tcPr>
            <w:tcW w:w="5887" w:type="dxa"/>
            <w:vAlign w:val="center"/>
          </w:tcPr>
          <w:p w14:paraId="6E9EA09F" w14:textId="1395C03B" w:rsidR="00872C68" w:rsidRPr="00BB5286" w:rsidRDefault="00872C68" w:rsidP="00AE4510">
            <w:pPr>
              <w:spacing w:line="259" w:lineRule="auto"/>
              <w:jc w:val="both"/>
              <w:rPr>
                <w:rFonts w:eastAsia="Calibri" w:cs="Times New Roman"/>
                <w:noProof/>
                <w:sz w:val="22"/>
                <w:szCs w:val="20"/>
                <w:lang w:val="en-GB"/>
              </w:rPr>
            </w:pPr>
            <w:r w:rsidRPr="00BB5286">
              <w:rPr>
                <w:rFonts w:eastAsia="Calibri" w:cs="Times New Roman"/>
                <w:b/>
                <w:noProof/>
                <w:sz w:val="22"/>
                <w:szCs w:val="20"/>
                <w:lang w:val="en-GB"/>
              </w:rPr>
              <w:t>SMR 1:</w:t>
            </w:r>
            <w:r w:rsidRPr="00BB5286">
              <w:rPr>
                <w:rFonts w:eastAsia="Calibri" w:cs="Times New Roman"/>
                <w:noProof/>
                <w:sz w:val="22"/>
                <w:szCs w:val="20"/>
                <w:lang w:val="en-GB"/>
              </w:rPr>
              <w:t xml:space="preserve"> </w:t>
            </w:r>
            <w:r w:rsidR="599140BE" w:rsidRPr="00BB5286">
              <w:rPr>
                <w:rFonts w:eastAsia="Calibri" w:cs="Times New Roman"/>
                <w:noProof/>
                <w:sz w:val="22"/>
                <w:szCs w:val="20"/>
                <w:lang w:val="en-GB"/>
              </w:rPr>
              <w:t>e</w:t>
            </w:r>
            <w:r w:rsidRPr="00BB5286">
              <w:rPr>
                <w:rFonts w:eastAsia="Calibri" w:cs="Times New Roman"/>
                <w:noProof/>
                <w:sz w:val="22"/>
                <w:szCs w:val="20"/>
                <w:lang w:val="en-GB"/>
              </w:rPr>
              <w:t xml:space="preserve">xclusion from SMR 1 of the part related to </w:t>
            </w:r>
            <w:r w:rsidR="00D73459" w:rsidRPr="00BB5286">
              <w:rPr>
                <w:rFonts w:eastAsia="Calibri" w:cs="Times New Roman"/>
                <w:i/>
                <w:iCs/>
                <w:noProof/>
                <w:sz w:val="22"/>
                <w:szCs w:val="20"/>
                <w:lang w:val="en-GB"/>
              </w:rPr>
              <w:t>A</w:t>
            </w:r>
            <w:r w:rsidRPr="00BB5286">
              <w:rPr>
                <w:rFonts w:eastAsia="Calibri" w:cs="Times New Roman"/>
                <w:i/>
                <w:iCs/>
                <w:noProof/>
                <w:sz w:val="22"/>
                <w:szCs w:val="20"/>
                <w:lang w:val="en-GB"/>
              </w:rPr>
              <w:t>rt</w:t>
            </w:r>
            <w:r w:rsidR="60E65942" w:rsidRPr="00BB5286">
              <w:rPr>
                <w:rFonts w:eastAsia="Calibri" w:cs="Times New Roman"/>
                <w:i/>
                <w:iCs/>
                <w:noProof/>
                <w:sz w:val="22"/>
                <w:szCs w:val="20"/>
                <w:lang w:val="en-GB"/>
              </w:rPr>
              <w:t>icle</w:t>
            </w:r>
            <w:r w:rsidRPr="00BB5286">
              <w:rPr>
                <w:rFonts w:eastAsia="Calibri" w:cs="Times New Roman"/>
                <w:i/>
                <w:noProof/>
                <w:sz w:val="22"/>
                <w:szCs w:val="20"/>
                <w:lang w:val="en-GB"/>
              </w:rPr>
              <w:t xml:space="preserve"> 11, part 3, point </w:t>
            </w:r>
            <w:r w:rsidR="00F53989" w:rsidRPr="00BB5286">
              <w:rPr>
                <w:rFonts w:eastAsia="Calibri" w:cs="Times New Roman"/>
                <w:i/>
                <w:noProof/>
                <w:sz w:val="22"/>
                <w:szCs w:val="20"/>
                <w:lang w:val="en-GB"/>
              </w:rPr>
              <w:t>(</w:t>
            </w:r>
            <w:r w:rsidRPr="00BB5286">
              <w:rPr>
                <w:rFonts w:eastAsia="Calibri" w:cs="Times New Roman"/>
                <w:i/>
                <w:noProof/>
                <w:sz w:val="22"/>
                <w:szCs w:val="20"/>
                <w:lang w:val="en-GB"/>
              </w:rPr>
              <w:t>h</w:t>
            </w:r>
            <w:r w:rsidR="00F53989" w:rsidRPr="00BB5286">
              <w:rPr>
                <w:rFonts w:eastAsia="Calibri" w:cs="Times New Roman"/>
                <w:i/>
                <w:noProof/>
                <w:sz w:val="22"/>
                <w:szCs w:val="20"/>
                <w:lang w:val="en-GB"/>
              </w:rPr>
              <w:t>)</w:t>
            </w:r>
            <w:r w:rsidRPr="00BB5286">
              <w:rPr>
                <w:rFonts w:eastAsia="Calibri" w:cs="Times New Roman"/>
                <w:noProof/>
                <w:sz w:val="22"/>
                <w:szCs w:val="20"/>
                <w:lang w:val="en-GB"/>
              </w:rPr>
              <w:t xml:space="preserve"> as regards mandatory requirements to control diffuse sources of pollution by phosphates of Directive 2000/60/EC, because phosphate pollution in agriculture can result from using manure, mineral fertili</w:t>
            </w:r>
            <w:r w:rsidR="00791722" w:rsidRPr="00BB5286">
              <w:rPr>
                <w:rFonts w:eastAsia="Calibri" w:cs="Times New Roman"/>
                <w:noProof/>
                <w:sz w:val="22"/>
                <w:szCs w:val="20"/>
                <w:lang w:val="en-GB"/>
              </w:rPr>
              <w:t>s</w:t>
            </w:r>
            <w:r w:rsidRPr="00BB5286">
              <w:rPr>
                <w:rFonts w:eastAsia="Calibri" w:cs="Times New Roman"/>
                <w:noProof/>
                <w:sz w:val="22"/>
                <w:szCs w:val="20"/>
                <w:lang w:val="en-GB"/>
              </w:rPr>
              <w:t>ers, and plant protection products.</w:t>
            </w:r>
          </w:p>
        </w:tc>
        <w:tc>
          <w:tcPr>
            <w:tcW w:w="1620" w:type="dxa"/>
            <w:vAlign w:val="center"/>
          </w:tcPr>
          <w:p w14:paraId="5684EE45"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LT</w:t>
            </w:r>
          </w:p>
        </w:tc>
        <w:tc>
          <w:tcPr>
            <w:tcW w:w="6660" w:type="dxa"/>
            <w:vAlign w:val="center"/>
          </w:tcPr>
          <w:p w14:paraId="44B5A64E" w14:textId="77777777"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417B40">
              <w:rPr>
                <w:rFonts w:eastAsia="Calibri" w:cs="Times New Roman"/>
                <w:noProof/>
                <w:sz w:val="22"/>
                <w:lang w:val="en-GB"/>
              </w:rPr>
              <w:t xml:space="preserve"> </w:t>
            </w:r>
            <w:r w:rsidRPr="00BB5286">
              <w:rPr>
                <w:rFonts w:eastAsia="Calibri" w:cs="Times New Roman"/>
                <w:noProof/>
                <w:sz w:val="22"/>
                <w:lang w:val="en-GB"/>
              </w:rPr>
              <w:t>was not taken up, as it would hamper the achievement of the policy objectives of the CAP 2023-2027.</w:t>
            </w:r>
          </w:p>
        </w:tc>
      </w:tr>
      <w:tr w:rsidR="00872C68" w:rsidRPr="00BB5286" w14:paraId="38CC5F9F" w14:textId="77777777" w:rsidTr="00B57B3C">
        <w:trPr>
          <w:trHeight w:val="653"/>
        </w:trPr>
        <w:tc>
          <w:tcPr>
            <w:tcW w:w="588" w:type="dxa"/>
            <w:vAlign w:val="center"/>
          </w:tcPr>
          <w:p w14:paraId="019291E9" w14:textId="77777777" w:rsidR="00872C68" w:rsidRPr="00BB5286" w:rsidRDefault="00872C68" w:rsidP="00040FD1">
            <w:pPr>
              <w:spacing w:after="60" w:line="259" w:lineRule="auto"/>
              <w:rPr>
                <w:rFonts w:eastAsia="Calibri" w:cs="Times New Roman"/>
                <w:b/>
                <w:bCs/>
                <w:noProof/>
                <w:sz w:val="22"/>
                <w:lang w:val="en-GB"/>
              </w:rPr>
            </w:pPr>
            <w:r w:rsidRPr="00BB5286">
              <w:rPr>
                <w:rFonts w:eastAsia="Calibri" w:cs="Times New Roman"/>
                <w:b/>
                <w:bCs/>
                <w:noProof/>
                <w:sz w:val="22"/>
                <w:lang w:val="en-GB"/>
              </w:rPr>
              <w:t>158</w:t>
            </w:r>
          </w:p>
        </w:tc>
        <w:tc>
          <w:tcPr>
            <w:tcW w:w="5887" w:type="dxa"/>
            <w:vAlign w:val="center"/>
          </w:tcPr>
          <w:p w14:paraId="6EF43C82" w14:textId="77777777" w:rsidR="00872C68" w:rsidRPr="00BB5286" w:rsidRDefault="00872C68" w:rsidP="00241975">
            <w:pPr>
              <w:spacing w:after="60" w:line="259" w:lineRule="auto"/>
              <w:jc w:val="both"/>
              <w:rPr>
                <w:rFonts w:eastAsia="Calibri" w:cs="Times New Roman"/>
                <w:noProof/>
                <w:sz w:val="22"/>
                <w:lang w:val="en-GB"/>
              </w:rPr>
            </w:pPr>
            <w:r w:rsidRPr="00BB5286">
              <w:rPr>
                <w:rFonts w:eastAsia="Calibri" w:cs="Times New Roman"/>
                <w:b/>
                <w:bCs/>
                <w:noProof/>
                <w:sz w:val="22"/>
                <w:lang w:val="en-GB"/>
              </w:rPr>
              <w:t>SMR 3</w:t>
            </w:r>
            <w:r w:rsidRPr="00BB5286">
              <w:rPr>
                <w:rFonts w:eastAsia="Calibri" w:cs="Times New Roman"/>
                <w:noProof/>
                <w:sz w:val="22"/>
                <w:lang w:val="en-GB"/>
              </w:rPr>
              <w:t xml:space="preserve"> requirements must only apply to the protection of birds inside protected areas and not outside these areas.</w:t>
            </w:r>
          </w:p>
        </w:tc>
        <w:tc>
          <w:tcPr>
            <w:tcW w:w="1620" w:type="dxa"/>
            <w:vAlign w:val="center"/>
          </w:tcPr>
          <w:p w14:paraId="2AC22F28"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LT</w:t>
            </w:r>
          </w:p>
        </w:tc>
        <w:tc>
          <w:tcPr>
            <w:tcW w:w="6660" w:type="dxa"/>
            <w:vAlign w:val="center"/>
          </w:tcPr>
          <w:p w14:paraId="7697CE25" w14:textId="77777777"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as it would hamper the achievement of the policy objectives of the CAP 2023-2027. </w:t>
            </w:r>
          </w:p>
        </w:tc>
      </w:tr>
      <w:tr w:rsidR="00872C68" w:rsidRPr="00BB5286" w14:paraId="2AA47849" w14:textId="77777777" w:rsidTr="00B57B3C">
        <w:trPr>
          <w:trHeight w:val="300"/>
        </w:trPr>
        <w:tc>
          <w:tcPr>
            <w:tcW w:w="588" w:type="dxa"/>
            <w:vAlign w:val="center"/>
          </w:tcPr>
          <w:p w14:paraId="137D2C1C" w14:textId="77777777" w:rsidR="00872C68" w:rsidRPr="00BB5286" w:rsidRDefault="00872C68" w:rsidP="00040FD1">
            <w:pPr>
              <w:spacing w:after="60" w:line="259" w:lineRule="auto"/>
              <w:rPr>
                <w:rFonts w:eastAsia="Calibri" w:cs="Times New Roman"/>
                <w:b/>
                <w:bCs/>
                <w:noProof/>
                <w:sz w:val="22"/>
                <w:lang w:val="en-GB"/>
              </w:rPr>
            </w:pPr>
            <w:r w:rsidRPr="00BB5286">
              <w:rPr>
                <w:rFonts w:eastAsia="Calibri" w:cs="Times New Roman"/>
                <w:b/>
                <w:bCs/>
                <w:noProof/>
                <w:sz w:val="22"/>
                <w:lang w:val="en-GB"/>
              </w:rPr>
              <w:t>159</w:t>
            </w:r>
          </w:p>
        </w:tc>
        <w:tc>
          <w:tcPr>
            <w:tcW w:w="5887" w:type="dxa"/>
            <w:vAlign w:val="center"/>
          </w:tcPr>
          <w:p w14:paraId="4411DD60" w14:textId="53B63186" w:rsidR="00872C68" w:rsidRPr="00BB5286" w:rsidRDefault="00872C68" w:rsidP="00241975">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SMR 8:</w:t>
            </w:r>
            <w:r w:rsidRPr="00BB5286">
              <w:rPr>
                <w:rFonts w:eastAsia="Calibri" w:cs="Times New Roman"/>
                <w:noProof/>
                <w:sz w:val="22"/>
                <w:szCs w:val="20"/>
                <w:lang w:val="en-GB"/>
              </w:rPr>
              <w:t xml:space="preserve"> </w:t>
            </w:r>
            <w:r w:rsidR="3A53B88C" w:rsidRPr="00BB5286">
              <w:rPr>
                <w:rFonts w:eastAsia="Calibri" w:cs="Times New Roman"/>
                <w:noProof/>
                <w:sz w:val="22"/>
                <w:szCs w:val="20"/>
                <w:lang w:val="en-GB"/>
              </w:rPr>
              <w:t>e</w:t>
            </w:r>
            <w:r w:rsidRPr="00BB5286">
              <w:rPr>
                <w:rFonts w:eastAsia="Calibri" w:cs="Times New Roman"/>
                <w:noProof/>
                <w:sz w:val="22"/>
                <w:szCs w:val="20"/>
                <w:lang w:val="en-GB"/>
              </w:rPr>
              <w:t xml:space="preserve">xclude from SMR 8 the part related to </w:t>
            </w:r>
            <w:r w:rsidR="346F7FBB" w:rsidRPr="00BB5286">
              <w:rPr>
                <w:rFonts w:eastAsia="Calibri" w:cs="Times New Roman"/>
                <w:i/>
                <w:iCs/>
                <w:noProof/>
                <w:sz w:val="22"/>
                <w:szCs w:val="20"/>
                <w:lang w:val="en-GB"/>
              </w:rPr>
              <w:t>A</w:t>
            </w:r>
            <w:r w:rsidRPr="00BB5286">
              <w:rPr>
                <w:rFonts w:eastAsia="Calibri" w:cs="Times New Roman"/>
                <w:i/>
                <w:iCs/>
                <w:noProof/>
                <w:sz w:val="22"/>
                <w:szCs w:val="20"/>
                <w:lang w:val="en-GB"/>
              </w:rPr>
              <w:t>rt</w:t>
            </w:r>
            <w:r w:rsidR="301A69B2" w:rsidRPr="00BB5286">
              <w:rPr>
                <w:rFonts w:eastAsia="Calibri" w:cs="Times New Roman"/>
                <w:i/>
                <w:iCs/>
                <w:noProof/>
                <w:sz w:val="22"/>
                <w:szCs w:val="20"/>
                <w:lang w:val="en-GB"/>
              </w:rPr>
              <w:t>icle</w:t>
            </w:r>
            <w:r w:rsidRPr="00BB5286">
              <w:rPr>
                <w:rFonts w:eastAsia="Calibri" w:cs="Times New Roman"/>
                <w:i/>
                <w:iCs/>
                <w:noProof/>
                <w:sz w:val="22"/>
                <w:szCs w:val="20"/>
                <w:lang w:val="en-GB"/>
              </w:rPr>
              <w:t xml:space="preserve"> 13, part 3</w:t>
            </w:r>
            <w:r w:rsidRPr="00BB5286">
              <w:rPr>
                <w:rFonts w:eastAsia="Calibri" w:cs="Times New Roman"/>
                <w:noProof/>
                <w:sz w:val="22"/>
                <w:szCs w:val="20"/>
                <w:lang w:val="en-GB"/>
              </w:rPr>
              <w:t xml:space="preserve"> of Directive 2009/128/EC, because the size and structures of the plant protection product storage are not related to the agricultural activity.</w:t>
            </w:r>
          </w:p>
        </w:tc>
        <w:tc>
          <w:tcPr>
            <w:tcW w:w="1620" w:type="dxa"/>
            <w:vAlign w:val="center"/>
          </w:tcPr>
          <w:p w14:paraId="7C669658"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LT</w:t>
            </w:r>
          </w:p>
        </w:tc>
        <w:tc>
          <w:tcPr>
            <w:tcW w:w="6660" w:type="dxa"/>
            <w:vAlign w:val="center"/>
          </w:tcPr>
          <w:p w14:paraId="06A2B272" w14:textId="0F96C078"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as it would hamper the achievement of the policy objectives of the CAP 2023-2027. </w:t>
            </w:r>
          </w:p>
        </w:tc>
      </w:tr>
    </w:tbl>
    <w:p w14:paraId="4B2C3325" w14:textId="77777777" w:rsidR="009A4429" w:rsidRDefault="009A4429">
      <w:pPr>
        <w:rPr>
          <w:noProof/>
        </w:rPr>
      </w:pPr>
    </w:p>
    <w:p w14:paraId="61A0867F" w14:textId="77777777" w:rsidR="009A4429" w:rsidRDefault="009A4429">
      <w:pPr>
        <w:rPr>
          <w:noProof/>
        </w:rPr>
      </w:pPr>
    </w:p>
    <w:tbl>
      <w:tblPr>
        <w:tblStyle w:val="TableGrid1"/>
        <w:tblpPr w:leftFromText="180" w:rightFromText="180" w:vertAnchor="text" w:tblpY="1"/>
        <w:tblOverlap w:val="never"/>
        <w:tblW w:w="14755" w:type="dxa"/>
        <w:tblLayout w:type="fixed"/>
        <w:tblLook w:val="04A0" w:firstRow="1" w:lastRow="0" w:firstColumn="1" w:lastColumn="0" w:noHBand="0" w:noVBand="1"/>
      </w:tblPr>
      <w:tblGrid>
        <w:gridCol w:w="588"/>
        <w:gridCol w:w="5977"/>
        <w:gridCol w:w="1530"/>
        <w:gridCol w:w="6660"/>
      </w:tblGrid>
      <w:tr w:rsidR="00872C68" w:rsidRPr="00BB5286" w14:paraId="268C8069" w14:textId="77777777" w:rsidTr="004C4353">
        <w:trPr>
          <w:trHeight w:val="443"/>
        </w:trPr>
        <w:tc>
          <w:tcPr>
            <w:tcW w:w="14755" w:type="dxa"/>
            <w:gridSpan w:val="4"/>
            <w:tcBorders>
              <w:bottom w:val="single" w:sz="4" w:space="0" w:color="auto"/>
            </w:tcBorders>
            <w:shd w:val="clear" w:color="auto" w:fill="003399"/>
            <w:vAlign w:val="center"/>
          </w:tcPr>
          <w:p w14:paraId="748828A7" w14:textId="77777777" w:rsidR="00872C68" w:rsidRPr="00BB5286" w:rsidRDefault="00872C68" w:rsidP="00040FD1">
            <w:pPr>
              <w:spacing w:after="6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lastRenderedPageBreak/>
              <w:t xml:space="preserve">CAP Strategic Plan Regulation – Other elements of the climate and environmental architecture </w:t>
            </w:r>
          </w:p>
        </w:tc>
      </w:tr>
      <w:tr w:rsidR="00872C68" w:rsidRPr="00BB5286" w14:paraId="55B00F2E" w14:textId="77777777" w:rsidTr="009A4429">
        <w:trPr>
          <w:trHeight w:val="1155"/>
        </w:trPr>
        <w:tc>
          <w:tcPr>
            <w:tcW w:w="588" w:type="dxa"/>
            <w:vAlign w:val="center"/>
          </w:tcPr>
          <w:p w14:paraId="77270BCA"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160</w:t>
            </w:r>
          </w:p>
        </w:tc>
        <w:tc>
          <w:tcPr>
            <w:tcW w:w="5977" w:type="dxa"/>
            <w:tcBorders>
              <w:top w:val="nil"/>
            </w:tcBorders>
            <w:vAlign w:val="center"/>
          </w:tcPr>
          <w:p w14:paraId="2FFC47CF" w14:textId="1A693E00"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Green architecture:</w:t>
            </w:r>
            <w:r w:rsidRPr="00BB5286">
              <w:rPr>
                <w:rFonts w:eastAsia="Calibri" w:cs="Times New Roman"/>
                <w:noProof/>
                <w:sz w:val="22"/>
                <w:szCs w:val="20"/>
                <w:lang w:val="en-GB"/>
              </w:rPr>
              <w:t xml:space="preserve"> </w:t>
            </w:r>
            <w:r w:rsidR="4FE8F603" w:rsidRPr="00BB5286">
              <w:rPr>
                <w:rFonts w:eastAsia="Calibri" w:cs="Times New Roman"/>
                <w:noProof/>
                <w:sz w:val="22"/>
                <w:szCs w:val="20"/>
                <w:lang w:val="en-GB"/>
              </w:rPr>
              <w:t>a</w:t>
            </w:r>
            <w:r w:rsidRPr="00BB5286">
              <w:rPr>
                <w:rFonts w:eastAsia="Calibri" w:cs="Times New Roman"/>
                <w:noProof/>
                <w:sz w:val="22"/>
                <w:szCs w:val="20"/>
                <w:lang w:val="en-GB"/>
              </w:rPr>
              <w:t>djustment of environmental and climate requirements for interventions under pillar I and pillar II and for animal welfare</w:t>
            </w:r>
            <w:r w:rsidR="00F53989" w:rsidRPr="00BB5286">
              <w:rPr>
                <w:rFonts w:eastAsia="Calibri" w:cs="Times New Roman"/>
                <w:noProof/>
                <w:sz w:val="22"/>
                <w:szCs w:val="20"/>
                <w:lang w:val="en-GB"/>
              </w:rPr>
              <w:t>,</w:t>
            </w:r>
            <w:r w:rsidRPr="00BB5286">
              <w:rPr>
                <w:rFonts w:eastAsia="Calibri" w:cs="Times New Roman"/>
                <w:noProof/>
                <w:sz w:val="22"/>
                <w:szCs w:val="20"/>
                <w:lang w:val="en-GB"/>
              </w:rPr>
              <w:t xml:space="preserve"> which leads to complex implementation, </w:t>
            </w:r>
            <w:r w:rsidR="006605A0" w:rsidRPr="00BB5286">
              <w:rPr>
                <w:rFonts w:eastAsia="Calibri" w:cs="Times New Roman"/>
                <w:noProof/>
                <w:sz w:val="22"/>
                <w:szCs w:val="20"/>
                <w:lang w:val="en-GB"/>
              </w:rPr>
              <w:t>monitoring,</w:t>
            </w:r>
            <w:r w:rsidRPr="00BB5286">
              <w:rPr>
                <w:rFonts w:eastAsia="Calibri" w:cs="Times New Roman"/>
                <w:noProof/>
                <w:sz w:val="22"/>
                <w:szCs w:val="20"/>
                <w:lang w:val="en-GB"/>
              </w:rPr>
              <w:t xml:space="preserve"> and evaluation</w:t>
            </w:r>
            <w:r w:rsidR="00241975" w:rsidRPr="00BB5286">
              <w:rPr>
                <w:rFonts w:eastAsia="Calibri" w:cs="Times New Roman"/>
                <w:noProof/>
                <w:sz w:val="22"/>
                <w:szCs w:val="20"/>
                <w:lang w:val="en-GB"/>
              </w:rPr>
              <w:t>.</w:t>
            </w:r>
          </w:p>
        </w:tc>
        <w:tc>
          <w:tcPr>
            <w:tcW w:w="1530" w:type="dxa"/>
            <w:vAlign w:val="center"/>
          </w:tcPr>
          <w:p w14:paraId="7C5B9AC0"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RO</w:t>
            </w:r>
          </w:p>
        </w:tc>
        <w:tc>
          <w:tcPr>
            <w:tcW w:w="6660" w:type="dxa"/>
            <w:vAlign w:val="center"/>
          </w:tcPr>
          <w:p w14:paraId="614CADAF" w14:textId="0EB62F3F"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was not taken up. </w:t>
            </w:r>
            <w:r w:rsidR="29F9A988"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w:t>
            </w:r>
            <w:r w:rsidR="65A4EF13" w:rsidRPr="00BB5286">
              <w:rPr>
                <w:rFonts w:eastAsia="Calibri" w:cs="Times New Roman"/>
                <w:noProof/>
                <w:sz w:val="22"/>
                <w:szCs w:val="20"/>
                <w:lang w:val="en-GB"/>
              </w:rPr>
              <w:t xml:space="preserve"> </w:t>
            </w:r>
            <w:r w:rsidRPr="00BB5286">
              <w:rPr>
                <w:rFonts w:eastAsia="Calibri" w:cs="Times New Roman"/>
                <w:noProof/>
                <w:sz w:val="22"/>
                <w:szCs w:val="20"/>
                <w:lang w:val="en-GB"/>
              </w:rPr>
              <w:t xml:space="preserve">lays down few requirements at intervention level, and Member States are responsible </w:t>
            </w:r>
            <w:r w:rsidR="00F53989" w:rsidRPr="00BB5286">
              <w:rPr>
                <w:rFonts w:eastAsia="Calibri" w:cs="Times New Roman"/>
                <w:noProof/>
                <w:sz w:val="22"/>
                <w:szCs w:val="20"/>
                <w:lang w:val="en-GB"/>
              </w:rPr>
              <w:t xml:space="preserve">for </w:t>
            </w:r>
            <w:r w:rsidRPr="00BB5286">
              <w:rPr>
                <w:rFonts w:eastAsia="Calibri" w:cs="Times New Roman"/>
                <w:noProof/>
                <w:sz w:val="22"/>
                <w:szCs w:val="20"/>
                <w:lang w:val="en-GB"/>
              </w:rPr>
              <w:t>design</w:t>
            </w:r>
            <w:r w:rsidR="00F53989" w:rsidRPr="00BB5286">
              <w:rPr>
                <w:rFonts w:eastAsia="Calibri" w:cs="Times New Roman"/>
                <w:noProof/>
                <w:sz w:val="22"/>
                <w:szCs w:val="20"/>
                <w:lang w:val="en-GB"/>
              </w:rPr>
              <w:t>ing</w:t>
            </w:r>
            <w:r w:rsidRPr="00BB5286">
              <w:rPr>
                <w:rFonts w:eastAsia="Calibri" w:cs="Times New Roman"/>
                <w:noProof/>
                <w:sz w:val="22"/>
                <w:szCs w:val="20"/>
                <w:lang w:val="en-GB"/>
              </w:rPr>
              <w:t xml:space="preserve"> the commitments/conditions of the interventions.</w:t>
            </w:r>
          </w:p>
        </w:tc>
      </w:tr>
      <w:tr w:rsidR="00872C68" w:rsidRPr="00BB5286" w14:paraId="363CEFBA" w14:textId="77777777" w:rsidTr="009A4429">
        <w:trPr>
          <w:trHeight w:val="300"/>
        </w:trPr>
        <w:tc>
          <w:tcPr>
            <w:tcW w:w="588" w:type="dxa"/>
            <w:vAlign w:val="center"/>
          </w:tcPr>
          <w:p w14:paraId="5E43342C"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161</w:t>
            </w:r>
          </w:p>
        </w:tc>
        <w:tc>
          <w:tcPr>
            <w:tcW w:w="5977" w:type="dxa"/>
            <w:vAlign w:val="center"/>
          </w:tcPr>
          <w:p w14:paraId="53355B5E" w14:textId="7E3F29B9"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Green architecture:</w:t>
            </w:r>
            <w:r w:rsidRPr="00BB5286">
              <w:rPr>
                <w:rFonts w:eastAsia="Calibri" w:cs="Times New Roman"/>
                <w:noProof/>
                <w:sz w:val="22"/>
                <w:szCs w:val="20"/>
                <w:lang w:val="en-GB"/>
              </w:rPr>
              <w:t xml:space="preserve"> </w:t>
            </w:r>
            <w:r w:rsidR="0AF38D86" w:rsidRPr="00BB5286">
              <w:rPr>
                <w:rFonts w:eastAsia="Calibri" w:cs="Times New Roman"/>
                <w:noProof/>
                <w:sz w:val="22"/>
                <w:szCs w:val="20"/>
                <w:lang w:val="en-GB"/>
              </w:rPr>
              <w:t>m</w:t>
            </w:r>
            <w:r w:rsidRPr="00BB5286">
              <w:rPr>
                <w:rFonts w:eastAsia="Calibri" w:cs="Times New Roman"/>
                <w:noProof/>
                <w:sz w:val="22"/>
                <w:szCs w:val="20"/>
                <w:lang w:val="en-GB"/>
              </w:rPr>
              <w:t>ore synergy between different components of green architecture</w:t>
            </w:r>
            <w:r w:rsidR="00241975" w:rsidRPr="00BB5286">
              <w:rPr>
                <w:rFonts w:eastAsia="Calibri" w:cs="Times New Roman"/>
                <w:noProof/>
                <w:sz w:val="22"/>
                <w:szCs w:val="20"/>
                <w:lang w:val="en-GB"/>
              </w:rPr>
              <w:t>.</w:t>
            </w:r>
          </w:p>
        </w:tc>
        <w:tc>
          <w:tcPr>
            <w:tcW w:w="1530" w:type="dxa"/>
            <w:vAlign w:val="center"/>
          </w:tcPr>
          <w:p w14:paraId="40FF07C1"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w:t>
            </w:r>
          </w:p>
        </w:tc>
        <w:tc>
          <w:tcPr>
            <w:tcW w:w="6660" w:type="dxa"/>
            <w:vAlign w:val="center"/>
          </w:tcPr>
          <w:p w14:paraId="12D95274" w14:textId="3CFDCF78"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Member States have considerable flexibility </w:t>
            </w:r>
            <w:r w:rsidR="00F53989" w:rsidRPr="00BB5286">
              <w:rPr>
                <w:rFonts w:eastAsia="Calibri" w:cs="Times New Roman"/>
                <w:noProof/>
                <w:sz w:val="22"/>
                <w:szCs w:val="20"/>
                <w:lang w:val="en-GB"/>
              </w:rPr>
              <w:t xml:space="preserve">in </w:t>
            </w:r>
            <w:r w:rsidRPr="00BB5286">
              <w:rPr>
                <w:rFonts w:eastAsia="Calibri" w:cs="Times New Roman"/>
                <w:noProof/>
                <w:sz w:val="22"/>
                <w:szCs w:val="20"/>
                <w:lang w:val="en-GB"/>
              </w:rPr>
              <w:t>design</w:t>
            </w:r>
            <w:r w:rsidR="00F53989" w:rsidRPr="00BB5286">
              <w:rPr>
                <w:rFonts w:eastAsia="Calibri" w:cs="Times New Roman"/>
                <w:noProof/>
                <w:sz w:val="22"/>
                <w:szCs w:val="20"/>
                <w:lang w:val="en-GB"/>
              </w:rPr>
              <w:t>ing</w:t>
            </w:r>
            <w:r w:rsidRPr="00BB5286">
              <w:rPr>
                <w:rFonts w:eastAsia="Calibri" w:cs="Times New Roman"/>
                <w:noProof/>
                <w:sz w:val="22"/>
                <w:szCs w:val="20"/>
                <w:lang w:val="en-GB"/>
              </w:rPr>
              <w:t xml:space="preserve"> the intervention strategy of the </w:t>
            </w:r>
            <w:r w:rsidR="00523AA0" w:rsidRPr="00BB5286">
              <w:rPr>
                <w:rFonts w:eastAsia="Calibri" w:cs="Times New Roman"/>
                <w:noProof/>
                <w:sz w:val="22"/>
                <w:szCs w:val="20"/>
                <w:lang w:val="en-GB"/>
              </w:rPr>
              <w:t>CAP Plans</w:t>
            </w:r>
            <w:r w:rsidRPr="00BB5286">
              <w:rPr>
                <w:rFonts w:eastAsia="Calibri" w:cs="Times New Roman"/>
                <w:noProof/>
                <w:sz w:val="22"/>
                <w:szCs w:val="20"/>
                <w:lang w:val="en-GB"/>
              </w:rPr>
              <w:t xml:space="preserve"> so as to ensure synergies between different components of the green architecture. Lessons learned from the current period will feed </w:t>
            </w:r>
            <w:r w:rsidR="2DD4E82C" w:rsidRPr="00BB5286">
              <w:rPr>
                <w:rFonts w:eastAsia="Calibri" w:cs="Times New Roman"/>
                <w:noProof/>
                <w:sz w:val="22"/>
                <w:szCs w:val="20"/>
                <w:lang w:val="en-GB"/>
              </w:rPr>
              <w:t xml:space="preserve">into </w:t>
            </w:r>
            <w:r w:rsidRPr="00BB5286">
              <w:rPr>
                <w:rFonts w:eastAsia="Calibri" w:cs="Times New Roman"/>
                <w:noProof/>
                <w:sz w:val="22"/>
                <w:szCs w:val="20"/>
                <w:lang w:val="en-GB"/>
              </w:rPr>
              <w:t>the reflection on the post</w:t>
            </w:r>
            <w:r w:rsidR="00A70876" w:rsidRPr="00BB5286">
              <w:rPr>
                <w:rFonts w:eastAsia="Calibri" w:cs="Times New Roman"/>
                <w:noProof/>
                <w:sz w:val="22"/>
                <w:szCs w:val="20"/>
                <w:lang w:val="en-GB"/>
              </w:rPr>
              <w:t>-</w:t>
            </w:r>
            <w:r w:rsidRPr="00BB5286">
              <w:rPr>
                <w:rFonts w:eastAsia="Calibri" w:cs="Times New Roman"/>
                <w:noProof/>
                <w:sz w:val="22"/>
                <w:szCs w:val="20"/>
                <w:lang w:val="en-GB"/>
              </w:rPr>
              <w:t>2027</w:t>
            </w:r>
            <w:r w:rsidR="00A70876"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872C68" w:rsidRPr="00BB5286" w14:paraId="31353350" w14:textId="77777777" w:rsidTr="009A4429">
        <w:tblPrEx>
          <w:tblBorders>
            <w:bottom w:val="single" w:sz="4" w:space="0" w:color="2E74B5" w:themeColor="accent5" w:themeShade="BF"/>
          </w:tblBorders>
        </w:tblPrEx>
        <w:trPr>
          <w:trHeight w:val="801"/>
        </w:trPr>
        <w:tc>
          <w:tcPr>
            <w:tcW w:w="588" w:type="dxa"/>
            <w:vAlign w:val="center"/>
          </w:tcPr>
          <w:p w14:paraId="5AC58644"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162</w:t>
            </w:r>
          </w:p>
        </w:tc>
        <w:tc>
          <w:tcPr>
            <w:tcW w:w="5977" w:type="dxa"/>
            <w:vAlign w:val="center"/>
          </w:tcPr>
          <w:p w14:paraId="66BCB46B" w14:textId="700CF121"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Funding:</w:t>
            </w:r>
            <w:r w:rsidRPr="00BB5286">
              <w:rPr>
                <w:rFonts w:eastAsia="Calibri" w:cs="Times New Roman"/>
                <w:noProof/>
                <w:sz w:val="22"/>
                <w:szCs w:val="20"/>
                <w:lang w:val="en-GB"/>
              </w:rPr>
              <w:t xml:space="preserve"> </w:t>
            </w:r>
            <w:r w:rsidR="71128454" w:rsidRPr="00BB5286">
              <w:rPr>
                <w:rFonts w:eastAsia="Calibri" w:cs="Times New Roman"/>
                <w:noProof/>
                <w:sz w:val="22"/>
                <w:szCs w:val="20"/>
                <w:lang w:val="en-GB"/>
              </w:rPr>
              <w:t>m</w:t>
            </w:r>
            <w:r w:rsidRPr="00BB5286">
              <w:rPr>
                <w:rFonts w:eastAsia="Calibri" w:cs="Times New Roman"/>
                <w:noProof/>
                <w:sz w:val="22"/>
                <w:szCs w:val="20"/>
                <w:lang w:val="en-GB"/>
              </w:rPr>
              <w:t>ore flexibility for unspent funds, more flexibility between pillars to manage pillar 2 AECM funds and pillar 1 eco-schemes, prolong the ‘learning period’ for eco-schemes.</w:t>
            </w:r>
          </w:p>
        </w:tc>
        <w:tc>
          <w:tcPr>
            <w:tcW w:w="1530" w:type="dxa"/>
            <w:vAlign w:val="center"/>
          </w:tcPr>
          <w:p w14:paraId="70626547"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 MT, RO</w:t>
            </w:r>
          </w:p>
        </w:tc>
        <w:tc>
          <w:tcPr>
            <w:tcW w:w="6660" w:type="dxa"/>
            <w:vAlign w:val="center"/>
          </w:tcPr>
          <w:p w14:paraId="09D45107" w14:textId="6D907B1A"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F53989" w:rsidRPr="00BB5286">
              <w:rPr>
                <w:rFonts w:eastAsia="Calibri" w:cs="Times New Roman"/>
                <w:noProof/>
                <w:sz w:val="22"/>
                <w:lang w:val="en-GB"/>
              </w:rPr>
              <w:t xml:space="preserve">into </w:t>
            </w:r>
            <w:r w:rsidRPr="00BB5286">
              <w:rPr>
                <w:rFonts w:eastAsia="Calibri" w:cs="Times New Roman"/>
                <w:noProof/>
                <w:sz w:val="22"/>
                <w:lang w:val="en-GB"/>
              </w:rPr>
              <w:t>the reflection on the post</w:t>
            </w:r>
            <w:r w:rsidR="00A70876" w:rsidRPr="00BB5286">
              <w:rPr>
                <w:rFonts w:eastAsia="Calibri" w:cs="Times New Roman"/>
                <w:noProof/>
                <w:sz w:val="22"/>
                <w:lang w:val="en-GB"/>
              </w:rPr>
              <w:t>-</w:t>
            </w:r>
            <w:r w:rsidRPr="00BB5286">
              <w:rPr>
                <w:rFonts w:eastAsia="Calibri" w:cs="Times New Roman"/>
                <w:noProof/>
                <w:sz w:val="22"/>
                <w:lang w:val="en-GB"/>
              </w:rPr>
              <w:t>2027</w:t>
            </w:r>
            <w:r w:rsidR="00A70876" w:rsidRPr="00BB5286">
              <w:rPr>
                <w:rFonts w:eastAsia="Calibri" w:cs="Times New Roman"/>
                <w:noProof/>
                <w:sz w:val="22"/>
                <w:lang w:val="en-GB"/>
              </w:rPr>
              <w:t xml:space="preserve"> CAP</w:t>
            </w:r>
            <w:r w:rsidRPr="00BB5286">
              <w:rPr>
                <w:rFonts w:eastAsia="Calibri" w:cs="Times New Roman"/>
                <w:noProof/>
                <w:sz w:val="22"/>
                <w:lang w:val="en-GB"/>
              </w:rPr>
              <w:t>.</w:t>
            </w:r>
          </w:p>
        </w:tc>
      </w:tr>
      <w:tr w:rsidR="00872C68" w:rsidRPr="00BB5286" w14:paraId="189A42C7" w14:textId="77777777" w:rsidTr="009A4429">
        <w:trPr>
          <w:trHeight w:val="566"/>
        </w:trPr>
        <w:tc>
          <w:tcPr>
            <w:tcW w:w="588" w:type="dxa"/>
            <w:vAlign w:val="center"/>
          </w:tcPr>
          <w:p w14:paraId="60FE5FA0"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163</w:t>
            </w:r>
          </w:p>
        </w:tc>
        <w:tc>
          <w:tcPr>
            <w:tcW w:w="5977" w:type="dxa"/>
            <w:vAlign w:val="center"/>
          </w:tcPr>
          <w:p w14:paraId="19A7559E" w14:textId="5ACF8E94"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Scope:</w:t>
            </w:r>
            <w:r w:rsidRPr="00BB5286">
              <w:rPr>
                <w:rFonts w:eastAsia="Calibri" w:cs="Times New Roman"/>
                <w:noProof/>
                <w:sz w:val="22"/>
                <w:szCs w:val="20"/>
                <w:lang w:val="en-GB"/>
              </w:rPr>
              <w:t xml:space="preserve"> </w:t>
            </w:r>
            <w:r w:rsidR="4C0E108C" w:rsidRPr="00BB5286">
              <w:rPr>
                <w:rFonts w:eastAsia="Calibri" w:cs="Times New Roman"/>
                <w:noProof/>
                <w:sz w:val="22"/>
                <w:szCs w:val="20"/>
                <w:lang w:val="en-GB"/>
              </w:rPr>
              <w:t>e</w:t>
            </w:r>
            <w:r w:rsidRPr="00BB5286">
              <w:rPr>
                <w:rFonts w:eastAsia="Calibri" w:cs="Times New Roman"/>
                <w:noProof/>
                <w:sz w:val="22"/>
                <w:szCs w:val="20"/>
                <w:lang w:val="en-GB"/>
              </w:rPr>
              <w:t>xpand payments for mandatory (national) requirements</w:t>
            </w:r>
          </w:p>
        </w:tc>
        <w:tc>
          <w:tcPr>
            <w:tcW w:w="1530" w:type="dxa"/>
            <w:vAlign w:val="center"/>
          </w:tcPr>
          <w:p w14:paraId="438C55BB"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 SE</w:t>
            </w:r>
          </w:p>
        </w:tc>
        <w:tc>
          <w:tcPr>
            <w:tcW w:w="6660" w:type="dxa"/>
            <w:vAlign w:val="center"/>
          </w:tcPr>
          <w:p w14:paraId="79C1BDC6" w14:textId="738C92D1"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current </w:t>
            </w:r>
            <w:r w:rsidR="00AF7B1A" w:rsidRPr="00BB5286">
              <w:rPr>
                <w:rFonts w:eastAsia="Calibri" w:cs="Times New Roman"/>
                <w:noProof/>
                <w:sz w:val="22"/>
                <w:szCs w:val="20"/>
                <w:lang w:val="en-GB"/>
              </w:rPr>
              <w:t>EU CAP framework</w:t>
            </w:r>
            <w:r w:rsidRPr="00BB5286">
              <w:rPr>
                <w:rFonts w:eastAsia="Calibri" w:cs="Times New Roman"/>
                <w:noProof/>
                <w:sz w:val="22"/>
                <w:szCs w:val="20"/>
                <w:lang w:val="en-GB"/>
              </w:rPr>
              <w:t xml:space="preserve"> already provides certain possibilities to compensate for area</w:t>
            </w:r>
            <w:r w:rsidR="00F53989" w:rsidRPr="00BB5286">
              <w:rPr>
                <w:rFonts w:eastAsia="Calibri" w:cs="Times New Roman"/>
                <w:noProof/>
                <w:sz w:val="22"/>
                <w:szCs w:val="20"/>
                <w:lang w:val="en-GB"/>
              </w:rPr>
              <w:t>-</w:t>
            </w:r>
            <w:r w:rsidRPr="00BB5286">
              <w:rPr>
                <w:rFonts w:eastAsia="Calibri" w:cs="Times New Roman"/>
                <w:noProof/>
                <w:sz w:val="22"/>
                <w:szCs w:val="20"/>
                <w:lang w:val="en-GB"/>
              </w:rPr>
              <w:t xml:space="preserve">specific disadvantages imposed by certain </w:t>
            </w:r>
            <w:r w:rsidR="00AF7B1A" w:rsidRPr="00BB5286">
              <w:rPr>
                <w:rFonts w:eastAsia="Calibri" w:cs="Times New Roman"/>
                <w:noProof/>
                <w:sz w:val="22"/>
                <w:szCs w:val="20"/>
                <w:lang w:val="en-GB"/>
              </w:rPr>
              <w:t xml:space="preserve">EU </w:t>
            </w:r>
            <w:r w:rsidRPr="00BB5286">
              <w:rPr>
                <w:rFonts w:eastAsia="Calibri" w:cs="Times New Roman"/>
                <w:noProof/>
                <w:sz w:val="22"/>
                <w:szCs w:val="20"/>
                <w:lang w:val="en-GB"/>
              </w:rPr>
              <w:t>legislation (</w:t>
            </w:r>
            <w:r w:rsidRPr="00BB5286">
              <w:rPr>
                <w:rFonts w:eastAsia="Calibri" w:cs="Times New Roman"/>
                <w:i/>
                <w:noProof/>
                <w:sz w:val="22"/>
                <w:szCs w:val="20"/>
                <w:lang w:val="en-GB"/>
              </w:rPr>
              <w:t>Article 72</w:t>
            </w:r>
            <w:r w:rsidRPr="00BB5286">
              <w:rPr>
                <w:rFonts w:eastAsia="Calibri" w:cs="Times New Roman"/>
                <w:noProof/>
                <w:sz w:val="22"/>
                <w:szCs w:val="20"/>
                <w:lang w:val="en-GB"/>
              </w:rPr>
              <w:t xml:space="preserve"> of </w:t>
            </w:r>
            <w:r w:rsidR="20499779"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Also, for interventions based on </w:t>
            </w:r>
            <w:r w:rsidRPr="00BB5286">
              <w:rPr>
                <w:rFonts w:eastAsia="Calibri" w:cs="Times New Roman"/>
                <w:i/>
                <w:noProof/>
                <w:sz w:val="22"/>
                <w:szCs w:val="20"/>
                <w:lang w:val="en-GB"/>
              </w:rPr>
              <w:t>Articles 31 and 70</w:t>
            </w:r>
            <w:r w:rsidRPr="00BB5286">
              <w:rPr>
                <w:rFonts w:eastAsia="Calibri" w:cs="Times New Roman"/>
                <w:noProof/>
                <w:sz w:val="22"/>
                <w:szCs w:val="20"/>
                <w:lang w:val="en-GB"/>
              </w:rPr>
              <w:t xml:space="preserve"> of that Regulation, Member States may continue to fund operations for 24</w:t>
            </w:r>
            <w:r w:rsidR="00F53989" w:rsidRPr="00BB5286">
              <w:rPr>
                <w:rFonts w:eastAsia="Calibri" w:cs="Times New Roman"/>
                <w:noProof/>
                <w:sz w:val="22"/>
                <w:szCs w:val="20"/>
                <w:lang w:val="en-GB"/>
              </w:rPr>
              <w:t xml:space="preserve"> </w:t>
            </w:r>
            <w:r w:rsidRPr="00BB5286">
              <w:rPr>
                <w:rFonts w:eastAsia="Calibri" w:cs="Times New Roman"/>
                <w:noProof/>
                <w:sz w:val="22"/>
                <w:szCs w:val="20"/>
                <w:lang w:val="en-GB"/>
              </w:rPr>
              <w:t>month</w:t>
            </w:r>
            <w:r w:rsidR="00F53989" w:rsidRPr="00BB5286">
              <w:rPr>
                <w:rFonts w:eastAsia="Calibri" w:cs="Times New Roman"/>
                <w:noProof/>
                <w:sz w:val="22"/>
                <w:szCs w:val="20"/>
                <w:lang w:val="en-GB"/>
              </w:rPr>
              <w:t>s</w:t>
            </w:r>
            <w:r w:rsidRPr="00BB5286">
              <w:rPr>
                <w:rFonts w:eastAsia="Calibri" w:cs="Times New Roman"/>
                <w:noProof/>
                <w:sz w:val="22"/>
                <w:szCs w:val="20"/>
                <w:lang w:val="en-GB"/>
              </w:rPr>
              <w:t xml:space="preserve"> from the date on which the new requirements became mandatory for farmers.</w:t>
            </w:r>
            <w:r w:rsidRPr="00BB5286">
              <w:rPr>
                <w:rFonts w:eastAsia="Calibri" w:cs="Times New Roman"/>
                <w:noProof/>
                <w:color w:val="D13438"/>
                <w:sz w:val="22"/>
                <w:szCs w:val="20"/>
                <w:lang w:val="en-GB"/>
              </w:rPr>
              <w:t xml:space="preserve"> </w:t>
            </w:r>
            <w:r w:rsidRPr="00BB5286">
              <w:rPr>
                <w:rFonts w:eastAsia="Calibri" w:cs="Times New Roman"/>
                <w:noProof/>
                <w:sz w:val="22"/>
                <w:szCs w:val="20"/>
                <w:lang w:val="en-GB"/>
              </w:rPr>
              <w:t xml:space="preserve">Lessons learned from the current period will feed </w:t>
            </w:r>
            <w:r w:rsidR="51611595" w:rsidRPr="00BB5286">
              <w:rPr>
                <w:rFonts w:eastAsia="Calibri" w:cs="Times New Roman"/>
                <w:noProof/>
                <w:sz w:val="22"/>
                <w:szCs w:val="20"/>
                <w:lang w:val="en-GB"/>
              </w:rPr>
              <w:t>into</w:t>
            </w:r>
            <w:r w:rsidRPr="00BB5286">
              <w:rPr>
                <w:rFonts w:eastAsia="Calibri" w:cs="Times New Roman"/>
                <w:noProof/>
                <w:sz w:val="22"/>
                <w:szCs w:val="20"/>
                <w:lang w:val="en-GB"/>
              </w:rPr>
              <w:t xml:space="preserve"> the reflection on the post</w:t>
            </w:r>
            <w:r w:rsidR="00A70876" w:rsidRPr="00BB5286">
              <w:rPr>
                <w:rFonts w:eastAsia="Calibri" w:cs="Times New Roman"/>
                <w:noProof/>
                <w:sz w:val="22"/>
                <w:szCs w:val="20"/>
                <w:lang w:val="en-GB"/>
              </w:rPr>
              <w:t>-</w:t>
            </w:r>
            <w:r w:rsidRPr="00BB5286">
              <w:rPr>
                <w:rFonts w:eastAsia="Calibri" w:cs="Times New Roman"/>
                <w:noProof/>
                <w:sz w:val="22"/>
                <w:szCs w:val="20"/>
                <w:lang w:val="en-GB"/>
              </w:rPr>
              <w:t>2027</w:t>
            </w:r>
            <w:r w:rsidR="00A70876"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872C68" w:rsidRPr="00BB5286" w14:paraId="174438F2" w14:textId="77777777" w:rsidTr="009A4429">
        <w:trPr>
          <w:trHeight w:val="300"/>
        </w:trPr>
        <w:tc>
          <w:tcPr>
            <w:tcW w:w="588" w:type="dxa"/>
            <w:vAlign w:val="center"/>
          </w:tcPr>
          <w:p w14:paraId="71008ADB"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164</w:t>
            </w:r>
          </w:p>
        </w:tc>
        <w:tc>
          <w:tcPr>
            <w:tcW w:w="5977" w:type="dxa"/>
            <w:vAlign w:val="center"/>
          </w:tcPr>
          <w:p w14:paraId="3CDBE719" w14:textId="79F0F8CE" w:rsidR="00872C68" w:rsidRPr="00BB5286" w:rsidRDefault="00872C68" w:rsidP="00040FD1">
            <w:pPr>
              <w:spacing w:after="60" w:line="259" w:lineRule="auto"/>
              <w:jc w:val="both"/>
              <w:rPr>
                <w:rFonts w:eastAsia="Calibri" w:cs="Times New Roman"/>
                <w:b/>
                <w:noProof/>
                <w:sz w:val="22"/>
                <w:szCs w:val="20"/>
                <w:lang w:val="en-GB"/>
              </w:rPr>
            </w:pPr>
            <w:r w:rsidRPr="00BB5286">
              <w:rPr>
                <w:rFonts w:eastAsia="Calibri" w:cs="Times New Roman"/>
                <w:b/>
                <w:noProof/>
                <w:sz w:val="22"/>
                <w:szCs w:val="20"/>
                <w:lang w:val="en-GB"/>
              </w:rPr>
              <w:t>Scope:</w:t>
            </w:r>
            <w:r w:rsidRPr="00BB5286">
              <w:rPr>
                <w:rFonts w:eastAsia="Calibri" w:cs="Times New Roman"/>
                <w:noProof/>
                <w:sz w:val="22"/>
                <w:szCs w:val="20"/>
                <w:lang w:val="en-GB"/>
              </w:rPr>
              <w:t xml:space="preserve"> </w:t>
            </w:r>
            <w:r w:rsidR="5AE2432D" w:rsidRPr="00BB5286">
              <w:rPr>
                <w:rFonts w:eastAsia="Calibri" w:cs="Times New Roman"/>
                <w:noProof/>
                <w:sz w:val="22"/>
                <w:szCs w:val="20"/>
                <w:lang w:val="en-GB"/>
              </w:rPr>
              <w:t>a</w:t>
            </w:r>
            <w:r w:rsidRPr="00BB5286">
              <w:rPr>
                <w:rFonts w:eastAsia="Calibri" w:cs="Times New Roman"/>
                <w:noProof/>
                <w:sz w:val="22"/>
                <w:szCs w:val="20"/>
                <w:lang w:val="en-GB"/>
              </w:rPr>
              <w:t xml:space="preserve">llow CAP support for farmers to fulfil national legislation that goes further than the EU baseline, including </w:t>
            </w:r>
            <w:r w:rsidR="00F53989" w:rsidRPr="00BB5286">
              <w:rPr>
                <w:rFonts w:eastAsia="Calibri" w:cs="Times New Roman"/>
                <w:noProof/>
                <w:sz w:val="22"/>
                <w:szCs w:val="20"/>
                <w:lang w:val="en-GB"/>
              </w:rPr>
              <w:t xml:space="preserve">on </w:t>
            </w:r>
            <w:r w:rsidRPr="00BB5286">
              <w:rPr>
                <w:rFonts w:eastAsia="Calibri" w:cs="Times New Roman"/>
                <w:noProof/>
                <w:sz w:val="22"/>
                <w:szCs w:val="20"/>
                <w:lang w:val="en-GB"/>
              </w:rPr>
              <w:t>animal welfare. Look into the possibility of supporting farmers for common practice</w:t>
            </w:r>
            <w:r w:rsidR="00F53989" w:rsidRPr="00BB5286">
              <w:rPr>
                <w:rFonts w:eastAsia="Calibri" w:cs="Times New Roman"/>
                <w:noProof/>
                <w:sz w:val="22"/>
                <w:szCs w:val="20"/>
                <w:lang w:val="en-GB"/>
              </w:rPr>
              <w:t>s</w:t>
            </w:r>
            <w:r w:rsidRPr="00BB5286">
              <w:rPr>
                <w:rFonts w:eastAsia="Calibri" w:cs="Times New Roman"/>
                <w:noProof/>
                <w:sz w:val="22"/>
                <w:szCs w:val="20"/>
                <w:lang w:val="en-GB"/>
              </w:rPr>
              <w:t xml:space="preserve"> beneficial </w:t>
            </w:r>
            <w:r w:rsidR="00F53989" w:rsidRPr="00BB5286">
              <w:rPr>
                <w:rFonts w:eastAsia="Calibri" w:cs="Times New Roman"/>
                <w:noProof/>
                <w:sz w:val="22"/>
                <w:szCs w:val="20"/>
                <w:lang w:val="en-GB"/>
              </w:rPr>
              <w:t xml:space="preserve">to </w:t>
            </w:r>
            <w:r w:rsidRPr="00BB5286">
              <w:rPr>
                <w:rFonts w:eastAsia="Calibri" w:cs="Times New Roman"/>
                <w:noProof/>
                <w:sz w:val="22"/>
                <w:szCs w:val="20"/>
                <w:lang w:val="en-GB"/>
              </w:rPr>
              <w:t>the environment and the climate.</w:t>
            </w:r>
          </w:p>
        </w:tc>
        <w:tc>
          <w:tcPr>
            <w:tcW w:w="1530" w:type="dxa"/>
            <w:vAlign w:val="center"/>
          </w:tcPr>
          <w:p w14:paraId="5B3D8784"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SE</w:t>
            </w:r>
          </w:p>
        </w:tc>
        <w:tc>
          <w:tcPr>
            <w:tcW w:w="6660" w:type="dxa"/>
            <w:vAlign w:val="center"/>
          </w:tcPr>
          <w:p w14:paraId="19CE37ED" w14:textId="76CA6512"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i/>
                <w:iCs/>
                <w:noProof/>
                <w:sz w:val="22"/>
                <w:szCs w:val="20"/>
                <w:lang w:val="en-GB"/>
              </w:rPr>
              <w:t>Article</w:t>
            </w:r>
            <w:r w:rsidR="5923D156" w:rsidRPr="00BB5286">
              <w:rPr>
                <w:rFonts w:eastAsia="Calibri" w:cs="Times New Roman"/>
                <w:i/>
                <w:iCs/>
                <w:noProof/>
                <w:sz w:val="22"/>
                <w:szCs w:val="20"/>
                <w:lang w:val="en-GB"/>
              </w:rPr>
              <w:t xml:space="preserve">s </w:t>
            </w:r>
            <w:r w:rsidRPr="00BB5286">
              <w:rPr>
                <w:rFonts w:eastAsia="Calibri" w:cs="Times New Roman"/>
                <w:i/>
                <w:noProof/>
                <w:sz w:val="22"/>
                <w:szCs w:val="20"/>
                <w:lang w:val="en-GB"/>
              </w:rPr>
              <w:t>31 and 70</w:t>
            </w:r>
            <w:r w:rsidRPr="00BB5286">
              <w:rPr>
                <w:rFonts w:eastAsia="Calibri" w:cs="Times New Roman"/>
                <w:noProof/>
                <w:sz w:val="22"/>
                <w:szCs w:val="20"/>
                <w:lang w:val="en-GB"/>
              </w:rPr>
              <w:t xml:space="preserve"> of the CSP Regulation enable support for fulfilling national legislation for a period of 24 months from the introduction of the national requirement. Lessons learned from the current period will feed </w:t>
            </w:r>
            <w:r w:rsidR="0B57ABDE" w:rsidRPr="00BB5286">
              <w:rPr>
                <w:rFonts w:eastAsia="Calibri" w:cs="Times New Roman"/>
                <w:noProof/>
                <w:sz w:val="22"/>
                <w:szCs w:val="20"/>
                <w:lang w:val="en-GB"/>
              </w:rPr>
              <w:t xml:space="preserve">into </w:t>
            </w:r>
            <w:r w:rsidRPr="00BB5286">
              <w:rPr>
                <w:rFonts w:eastAsia="Calibri" w:cs="Times New Roman"/>
                <w:noProof/>
                <w:sz w:val="22"/>
                <w:szCs w:val="20"/>
                <w:lang w:val="en-GB"/>
              </w:rPr>
              <w:t>the reflection on the post</w:t>
            </w:r>
            <w:r w:rsidR="00A70876" w:rsidRPr="00BB5286">
              <w:rPr>
                <w:rFonts w:eastAsia="Calibri" w:cs="Times New Roman"/>
                <w:noProof/>
                <w:sz w:val="22"/>
                <w:szCs w:val="20"/>
                <w:lang w:val="en-GB"/>
              </w:rPr>
              <w:t>-</w:t>
            </w:r>
            <w:r w:rsidRPr="00BB5286">
              <w:rPr>
                <w:rFonts w:eastAsia="Calibri" w:cs="Times New Roman"/>
                <w:noProof/>
                <w:sz w:val="22"/>
                <w:szCs w:val="20"/>
                <w:lang w:val="en-GB"/>
              </w:rPr>
              <w:t>2027</w:t>
            </w:r>
            <w:r w:rsidR="00A70876"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872C68" w:rsidRPr="00BB5286" w14:paraId="22D635BB" w14:textId="77777777" w:rsidTr="009A4429">
        <w:trPr>
          <w:trHeight w:val="417"/>
        </w:trPr>
        <w:tc>
          <w:tcPr>
            <w:tcW w:w="588" w:type="dxa"/>
            <w:vAlign w:val="center"/>
          </w:tcPr>
          <w:p w14:paraId="2F495815"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165</w:t>
            </w:r>
          </w:p>
        </w:tc>
        <w:tc>
          <w:tcPr>
            <w:tcW w:w="5977" w:type="dxa"/>
            <w:vAlign w:val="center"/>
          </w:tcPr>
          <w:p w14:paraId="2BC4F200" w14:textId="4EC34F31"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b/>
                <w:bCs/>
                <w:noProof/>
                <w:sz w:val="22"/>
                <w:lang w:val="en-GB"/>
              </w:rPr>
              <w:t>Extensification of agricultural land:</w:t>
            </w:r>
            <w:r w:rsidRPr="00BB5286">
              <w:rPr>
                <w:rFonts w:eastAsia="Calibri" w:cs="Times New Roman"/>
                <w:noProof/>
                <w:sz w:val="22"/>
                <w:lang w:val="en-GB"/>
              </w:rPr>
              <w:t xml:space="preserve"> </w:t>
            </w:r>
            <w:r w:rsidR="00F53989" w:rsidRPr="00BB5286">
              <w:rPr>
                <w:rFonts w:eastAsia="Calibri" w:cs="Times New Roman"/>
                <w:noProof/>
                <w:sz w:val="22"/>
                <w:lang w:val="en-GB"/>
              </w:rPr>
              <w:t xml:space="preserve">setting </w:t>
            </w:r>
            <w:r w:rsidRPr="00BB5286">
              <w:rPr>
                <w:rFonts w:eastAsia="Calibri" w:cs="Times New Roman"/>
                <w:noProof/>
                <w:sz w:val="22"/>
                <w:lang w:val="en-GB"/>
              </w:rPr>
              <w:t xml:space="preserve">qualitative restrictions linked to depreciation of the land and being able to compensate for that depreciation. </w:t>
            </w:r>
          </w:p>
        </w:tc>
        <w:tc>
          <w:tcPr>
            <w:tcW w:w="1530" w:type="dxa"/>
            <w:vAlign w:val="center"/>
          </w:tcPr>
          <w:p w14:paraId="3D84B1B5"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NL</w:t>
            </w:r>
          </w:p>
        </w:tc>
        <w:tc>
          <w:tcPr>
            <w:tcW w:w="6660" w:type="dxa"/>
            <w:vAlign w:val="center"/>
          </w:tcPr>
          <w:p w14:paraId="3980F225" w14:textId="3D9A5275" w:rsidR="00872C68" w:rsidRPr="00BC3F5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Lessons learned from the current period will feed </w:t>
            </w:r>
            <w:r w:rsidR="23B0380F" w:rsidRPr="00BB5286">
              <w:rPr>
                <w:rFonts w:eastAsia="Calibri" w:cs="Times New Roman"/>
                <w:noProof/>
                <w:sz w:val="22"/>
                <w:szCs w:val="20"/>
                <w:lang w:val="en-GB"/>
              </w:rPr>
              <w:t xml:space="preserve">into </w:t>
            </w:r>
            <w:r w:rsidRPr="00BB5286">
              <w:rPr>
                <w:rFonts w:eastAsia="Calibri" w:cs="Times New Roman"/>
                <w:noProof/>
                <w:sz w:val="22"/>
                <w:szCs w:val="20"/>
                <w:lang w:val="en-GB"/>
              </w:rPr>
              <w:t>the reflection on the post</w:t>
            </w:r>
            <w:r w:rsidR="00A70876" w:rsidRPr="00BB5286">
              <w:rPr>
                <w:rFonts w:eastAsia="Calibri" w:cs="Times New Roman"/>
                <w:noProof/>
                <w:sz w:val="22"/>
                <w:szCs w:val="20"/>
                <w:lang w:val="en-GB"/>
              </w:rPr>
              <w:t>-</w:t>
            </w:r>
            <w:r w:rsidRPr="00BB5286">
              <w:rPr>
                <w:rFonts w:eastAsia="Calibri" w:cs="Times New Roman"/>
                <w:noProof/>
                <w:sz w:val="22"/>
                <w:szCs w:val="20"/>
                <w:lang w:val="en-GB"/>
              </w:rPr>
              <w:t>2027</w:t>
            </w:r>
            <w:r w:rsidR="00A70876"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872C68" w:rsidRPr="00BB5286" w14:paraId="50EF519B" w14:textId="77777777" w:rsidTr="009A4429">
        <w:trPr>
          <w:trHeight w:val="704"/>
        </w:trPr>
        <w:tc>
          <w:tcPr>
            <w:tcW w:w="588" w:type="dxa"/>
            <w:vAlign w:val="center"/>
          </w:tcPr>
          <w:p w14:paraId="0ED81AEE"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166</w:t>
            </w:r>
          </w:p>
        </w:tc>
        <w:tc>
          <w:tcPr>
            <w:tcW w:w="5977" w:type="dxa"/>
            <w:vAlign w:val="center"/>
          </w:tcPr>
          <w:p w14:paraId="45FE32DD" w14:textId="1B9571DB"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b/>
                <w:noProof/>
                <w:sz w:val="22"/>
                <w:szCs w:val="20"/>
                <w:lang w:val="en-GB"/>
              </w:rPr>
              <w:t>Premi</w:t>
            </w:r>
            <w:r w:rsidR="005A61F2" w:rsidRPr="00BB5286">
              <w:rPr>
                <w:rFonts w:eastAsia="Calibri" w:cs="Times New Roman"/>
                <w:b/>
                <w:noProof/>
                <w:sz w:val="22"/>
                <w:szCs w:val="20"/>
                <w:lang w:val="en-GB"/>
              </w:rPr>
              <w:t>ums</w:t>
            </w:r>
            <w:r w:rsidRPr="00BB5286">
              <w:rPr>
                <w:rFonts w:eastAsia="Calibri" w:cs="Times New Roman"/>
                <w:b/>
                <w:noProof/>
                <w:sz w:val="22"/>
                <w:szCs w:val="20"/>
                <w:lang w:val="en-GB"/>
              </w:rPr>
              <w:t>:</w:t>
            </w:r>
            <w:r w:rsidRPr="00BB5286">
              <w:rPr>
                <w:rFonts w:eastAsia="Calibri" w:cs="Times New Roman"/>
                <w:noProof/>
                <w:sz w:val="22"/>
                <w:szCs w:val="20"/>
                <w:lang w:val="en-GB"/>
              </w:rPr>
              <w:t xml:space="preserve"> </w:t>
            </w:r>
            <w:r w:rsidR="00EE7FFA" w:rsidRPr="00BB5286">
              <w:rPr>
                <w:rFonts w:eastAsia="Calibri" w:cs="Times New Roman"/>
                <w:noProof/>
                <w:sz w:val="22"/>
                <w:szCs w:val="20"/>
                <w:lang w:val="en-GB"/>
              </w:rPr>
              <w:t xml:space="preserve">the </w:t>
            </w:r>
            <w:r w:rsidRPr="00BB5286">
              <w:rPr>
                <w:rFonts w:eastAsia="Calibri" w:cs="Times New Roman"/>
                <w:noProof/>
                <w:sz w:val="22"/>
                <w:szCs w:val="20"/>
                <w:lang w:val="en-GB"/>
              </w:rPr>
              <w:t xml:space="preserve">Commission to be more open to eco-schemes with payment for results (ecosystem service). </w:t>
            </w:r>
            <w:r w:rsidRPr="00BB5286">
              <w:rPr>
                <w:rFonts w:eastAsia="Calibri" w:cs="Times New Roman"/>
                <w:noProof/>
                <w:sz w:val="22"/>
                <w:lang w:val="en-GB"/>
              </w:rPr>
              <w:t>Provide guidance for eco-schemes with payments based on results.</w:t>
            </w:r>
          </w:p>
        </w:tc>
        <w:tc>
          <w:tcPr>
            <w:tcW w:w="1530" w:type="dxa"/>
            <w:vAlign w:val="center"/>
          </w:tcPr>
          <w:p w14:paraId="43F21FA7"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 RO</w:t>
            </w:r>
          </w:p>
        </w:tc>
        <w:tc>
          <w:tcPr>
            <w:tcW w:w="6660" w:type="dxa"/>
            <w:vAlign w:val="center"/>
          </w:tcPr>
          <w:p w14:paraId="3AB51B91" w14:textId="76143FA2"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Commission welcomes and supports Member States </w:t>
            </w:r>
            <w:r w:rsidR="00F53989" w:rsidRPr="00BB5286">
              <w:rPr>
                <w:rFonts w:eastAsia="Calibri" w:cs="Times New Roman"/>
                <w:noProof/>
                <w:sz w:val="22"/>
                <w:lang w:val="en-GB"/>
              </w:rPr>
              <w:t xml:space="preserve">that </w:t>
            </w:r>
            <w:r w:rsidRPr="00BB5286">
              <w:rPr>
                <w:rFonts w:eastAsia="Calibri" w:cs="Times New Roman"/>
                <w:noProof/>
                <w:sz w:val="22"/>
                <w:lang w:val="en-GB"/>
              </w:rPr>
              <w:t>develop eco-schemes with payments based on results, several of which already exist. In expert groups and the CAP Network, the Commission promotes exchanges of best practice for result</w:t>
            </w:r>
            <w:r w:rsidR="00F53989" w:rsidRPr="00BB5286">
              <w:rPr>
                <w:rFonts w:eastAsia="Calibri" w:cs="Times New Roman"/>
                <w:noProof/>
                <w:sz w:val="22"/>
                <w:lang w:val="en-GB"/>
              </w:rPr>
              <w:t>-</w:t>
            </w:r>
            <w:r w:rsidRPr="00BB5286">
              <w:rPr>
                <w:rFonts w:eastAsia="Calibri" w:cs="Times New Roman"/>
                <w:noProof/>
                <w:sz w:val="22"/>
                <w:lang w:val="en-GB"/>
              </w:rPr>
              <w:t xml:space="preserve">based schemes and discusses how to </w:t>
            </w:r>
            <w:r w:rsidRPr="00BB5286">
              <w:rPr>
                <w:rFonts w:eastAsia="Times New Roman" w:cs="Times New Roman"/>
                <w:noProof/>
                <w:sz w:val="22"/>
                <w:lang w:val="en-GB"/>
              </w:rPr>
              <w:t xml:space="preserve">simplify interventions and minimize the administrative burden linked with </w:t>
            </w:r>
            <w:r w:rsidR="00F53989" w:rsidRPr="00BB5286">
              <w:rPr>
                <w:rFonts w:eastAsia="Times New Roman" w:cs="Times New Roman"/>
                <w:noProof/>
                <w:sz w:val="22"/>
                <w:lang w:val="en-GB"/>
              </w:rPr>
              <w:t xml:space="preserve">the </w:t>
            </w:r>
            <w:r w:rsidRPr="00BB5286">
              <w:rPr>
                <w:rFonts w:eastAsia="Times New Roman" w:cs="Times New Roman"/>
                <w:noProof/>
                <w:sz w:val="22"/>
                <w:lang w:val="en-GB"/>
              </w:rPr>
              <w:t>implementation of conditionality, eco-</w:t>
            </w:r>
            <w:r w:rsidR="006605A0" w:rsidRPr="00BB5286">
              <w:rPr>
                <w:rFonts w:eastAsia="Times New Roman" w:cs="Times New Roman"/>
                <w:noProof/>
                <w:sz w:val="22"/>
                <w:lang w:val="en-GB"/>
              </w:rPr>
              <w:t>schemes,</w:t>
            </w:r>
            <w:r w:rsidRPr="00BB5286">
              <w:rPr>
                <w:rFonts w:eastAsia="Times New Roman" w:cs="Times New Roman"/>
                <w:noProof/>
                <w:sz w:val="22"/>
                <w:lang w:val="en-GB"/>
              </w:rPr>
              <w:t xml:space="preserve"> and rural development interventions.</w:t>
            </w:r>
          </w:p>
        </w:tc>
      </w:tr>
      <w:tr w:rsidR="00872C68" w:rsidRPr="00BB5286" w14:paraId="28526F71" w14:textId="77777777" w:rsidTr="009A4429">
        <w:trPr>
          <w:trHeight w:val="504"/>
        </w:trPr>
        <w:tc>
          <w:tcPr>
            <w:tcW w:w="588" w:type="dxa"/>
            <w:vAlign w:val="center"/>
          </w:tcPr>
          <w:p w14:paraId="081A8F8A"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167</w:t>
            </w:r>
          </w:p>
        </w:tc>
        <w:tc>
          <w:tcPr>
            <w:tcW w:w="5977" w:type="dxa"/>
            <w:vAlign w:val="center"/>
          </w:tcPr>
          <w:p w14:paraId="7E0147A4" w14:textId="75A1920F"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Premi</w:t>
            </w:r>
            <w:r w:rsidR="005A61F2" w:rsidRPr="00BB5286">
              <w:rPr>
                <w:rFonts w:eastAsia="Calibri" w:cs="Times New Roman"/>
                <w:b/>
                <w:noProof/>
                <w:sz w:val="22"/>
                <w:szCs w:val="20"/>
                <w:lang w:val="en-GB"/>
              </w:rPr>
              <w:t>ums</w:t>
            </w:r>
            <w:r w:rsidRPr="00BB5286">
              <w:rPr>
                <w:rFonts w:eastAsia="Calibri" w:cs="Times New Roman"/>
                <w:b/>
                <w:noProof/>
                <w:sz w:val="22"/>
                <w:szCs w:val="20"/>
                <w:lang w:val="en-GB"/>
              </w:rPr>
              <w:t>:</w:t>
            </w:r>
            <w:r w:rsidRPr="00BB5286">
              <w:rPr>
                <w:rFonts w:eastAsia="Calibri" w:cs="Times New Roman"/>
                <w:noProof/>
                <w:sz w:val="22"/>
                <w:szCs w:val="20"/>
                <w:lang w:val="en-GB"/>
              </w:rPr>
              <w:t xml:space="preserve"> </w:t>
            </w:r>
            <w:r w:rsidR="7B3AE513" w:rsidRPr="00BB5286">
              <w:rPr>
                <w:rFonts w:eastAsia="Calibri" w:cs="Times New Roman"/>
                <w:noProof/>
                <w:sz w:val="22"/>
                <w:szCs w:val="20"/>
                <w:lang w:val="en-GB"/>
              </w:rPr>
              <w:t>a</w:t>
            </w:r>
            <w:r w:rsidRPr="00BB5286">
              <w:rPr>
                <w:rFonts w:eastAsia="Calibri" w:cs="Times New Roman"/>
                <w:noProof/>
                <w:sz w:val="22"/>
                <w:szCs w:val="20"/>
                <w:lang w:val="en-GB"/>
              </w:rPr>
              <w:t>llow for eco-scheme top-up payments</w:t>
            </w:r>
            <w:r w:rsidR="00241975" w:rsidRPr="00BB5286">
              <w:rPr>
                <w:rFonts w:eastAsia="Calibri" w:cs="Times New Roman"/>
                <w:noProof/>
                <w:sz w:val="22"/>
                <w:szCs w:val="20"/>
                <w:lang w:val="en-GB"/>
              </w:rPr>
              <w:t>.</w:t>
            </w:r>
          </w:p>
        </w:tc>
        <w:tc>
          <w:tcPr>
            <w:tcW w:w="1530" w:type="dxa"/>
            <w:vAlign w:val="center"/>
          </w:tcPr>
          <w:p w14:paraId="12266CB8"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w:t>
            </w:r>
          </w:p>
        </w:tc>
        <w:tc>
          <w:tcPr>
            <w:tcW w:w="6660" w:type="dxa"/>
            <w:vAlign w:val="center"/>
          </w:tcPr>
          <w:p w14:paraId="67259859" w14:textId="422E85C4"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Lessons learned from the current period will feed</w:t>
            </w:r>
            <w:r w:rsidR="005A61F2" w:rsidRPr="00BB5286">
              <w:rPr>
                <w:rFonts w:eastAsia="Calibri" w:cs="Times New Roman"/>
                <w:noProof/>
                <w:sz w:val="22"/>
                <w:lang w:val="en-GB"/>
              </w:rPr>
              <w:t xml:space="preserve"> into</w:t>
            </w:r>
            <w:r w:rsidRPr="00BB5286">
              <w:rPr>
                <w:rFonts w:eastAsia="Calibri" w:cs="Times New Roman"/>
                <w:noProof/>
                <w:sz w:val="22"/>
                <w:lang w:val="en-GB"/>
              </w:rPr>
              <w:t xml:space="preserve"> the reflection on the post</w:t>
            </w:r>
            <w:r w:rsidR="00A70876" w:rsidRPr="00BB5286">
              <w:rPr>
                <w:rFonts w:eastAsia="Calibri" w:cs="Times New Roman"/>
                <w:noProof/>
                <w:sz w:val="22"/>
                <w:lang w:val="en-GB"/>
              </w:rPr>
              <w:t>-</w:t>
            </w:r>
            <w:r w:rsidRPr="00BB5286">
              <w:rPr>
                <w:rFonts w:eastAsia="Calibri" w:cs="Times New Roman"/>
                <w:noProof/>
                <w:sz w:val="22"/>
                <w:lang w:val="en-GB"/>
              </w:rPr>
              <w:t>2027</w:t>
            </w:r>
            <w:r w:rsidR="00A70876" w:rsidRPr="00BB5286">
              <w:rPr>
                <w:rFonts w:eastAsia="Calibri" w:cs="Times New Roman"/>
                <w:noProof/>
                <w:sz w:val="22"/>
                <w:lang w:val="en-GB"/>
              </w:rPr>
              <w:t xml:space="preserve"> CAP</w:t>
            </w:r>
            <w:r w:rsidRPr="00BB5286">
              <w:rPr>
                <w:rFonts w:eastAsia="Calibri" w:cs="Times New Roman"/>
                <w:noProof/>
                <w:sz w:val="22"/>
                <w:lang w:val="en-GB"/>
              </w:rPr>
              <w:t>.</w:t>
            </w:r>
          </w:p>
        </w:tc>
      </w:tr>
      <w:tr w:rsidR="00872C68" w:rsidRPr="00BB5286" w14:paraId="7B5AE371" w14:textId="77777777" w:rsidTr="009A4429">
        <w:trPr>
          <w:trHeight w:val="300"/>
        </w:trPr>
        <w:tc>
          <w:tcPr>
            <w:tcW w:w="588" w:type="dxa"/>
            <w:vAlign w:val="center"/>
          </w:tcPr>
          <w:p w14:paraId="7D8A051C"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168</w:t>
            </w:r>
          </w:p>
        </w:tc>
        <w:tc>
          <w:tcPr>
            <w:tcW w:w="5977" w:type="dxa"/>
            <w:vAlign w:val="center"/>
          </w:tcPr>
          <w:p w14:paraId="32F2F2D1" w14:textId="45C3CE7D"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Premi</w:t>
            </w:r>
            <w:r w:rsidR="005A61F2" w:rsidRPr="00BB5286">
              <w:rPr>
                <w:rFonts w:eastAsia="Calibri" w:cs="Times New Roman"/>
                <w:b/>
                <w:noProof/>
                <w:sz w:val="22"/>
                <w:szCs w:val="20"/>
                <w:lang w:val="en-GB"/>
              </w:rPr>
              <w:t>ums</w:t>
            </w:r>
            <w:r w:rsidRPr="00BB5286">
              <w:rPr>
                <w:rFonts w:eastAsia="Calibri" w:cs="Times New Roman"/>
                <w:b/>
                <w:noProof/>
                <w:sz w:val="22"/>
                <w:szCs w:val="20"/>
                <w:lang w:val="en-GB"/>
              </w:rPr>
              <w:t>:</w:t>
            </w:r>
            <w:r w:rsidRPr="00BB5286">
              <w:rPr>
                <w:rFonts w:eastAsia="Calibri" w:cs="Times New Roman"/>
                <w:noProof/>
                <w:sz w:val="22"/>
                <w:szCs w:val="20"/>
                <w:lang w:val="en-GB"/>
              </w:rPr>
              <w:t xml:space="preserve"> </w:t>
            </w:r>
            <w:r w:rsidR="4436D219" w:rsidRPr="00BB5286">
              <w:rPr>
                <w:rFonts w:eastAsia="Calibri" w:cs="Times New Roman"/>
                <w:noProof/>
                <w:sz w:val="22"/>
                <w:szCs w:val="20"/>
                <w:lang w:val="en-GB"/>
              </w:rPr>
              <w:t>t</w:t>
            </w:r>
            <w:r w:rsidRPr="00BB5286">
              <w:rPr>
                <w:rFonts w:eastAsia="Calibri" w:cs="Times New Roman"/>
                <w:noProof/>
                <w:sz w:val="22"/>
                <w:szCs w:val="20"/>
                <w:lang w:val="en-GB"/>
              </w:rPr>
              <w:t>he mechanism for reducing payments provided for at the level of eco-schemes does not respect the principle of balanced and appropriate compensation for the efforts of farmers. It provides a disproportionate advantage for financial management at the expense of fair compensation and balancing environmental impacts.</w:t>
            </w:r>
          </w:p>
        </w:tc>
        <w:tc>
          <w:tcPr>
            <w:tcW w:w="1530" w:type="dxa"/>
            <w:vAlign w:val="center"/>
          </w:tcPr>
          <w:p w14:paraId="2D5A0847"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LU</w:t>
            </w:r>
          </w:p>
        </w:tc>
        <w:tc>
          <w:tcPr>
            <w:tcW w:w="6660" w:type="dxa"/>
            <w:vAlign w:val="center"/>
          </w:tcPr>
          <w:p w14:paraId="71FC6927" w14:textId="691BC140"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Member States have considerable flexibility </w:t>
            </w:r>
            <w:r w:rsidR="005A61F2" w:rsidRPr="00BB5286">
              <w:rPr>
                <w:rFonts w:eastAsia="Calibri" w:cs="Times New Roman"/>
                <w:noProof/>
                <w:sz w:val="22"/>
                <w:szCs w:val="20"/>
                <w:lang w:val="en-GB"/>
              </w:rPr>
              <w:t xml:space="preserve">in </w:t>
            </w:r>
            <w:r w:rsidRPr="00BB5286">
              <w:rPr>
                <w:rFonts w:eastAsia="Calibri" w:cs="Times New Roman"/>
                <w:noProof/>
                <w:sz w:val="22"/>
                <w:szCs w:val="20"/>
                <w:lang w:val="en-GB"/>
              </w:rPr>
              <w:t>set</w:t>
            </w:r>
            <w:r w:rsidR="005A61F2" w:rsidRPr="00BB5286">
              <w:rPr>
                <w:rFonts w:eastAsia="Calibri" w:cs="Times New Roman"/>
                <w:noProof/>
                <w:sz w:val="22"/>
                <w:szCs w:val="20"/>
                <w:lang w:val="en-GB"/>
              </w:rPr>
              <w:t>ting</w:t>
            </w:r>
            <w:r w:rsidRPr="00BB5286">
              <w:rPr>
                <w:rFonts w:eastAsia="Calibri" w:cs="Times New Roman"/>
                <w:noProof/>
                <w:sz w:val="22"/>
                <w:szCs w:val="20"/>
                <w:lang w:val="en-GB"/>
              </w:rPr>
              <w:t xml:space="preserve"> planned unit amounts and their variability, according to the method of compensation</w:t>
            </w:r>
            <w:r w:rsidR="005A61F2" w:rsidRPr="00BB5286">
              <w:rPr>
                <w:rFonts w:eastAsia="Calibri" w:cs="Times New Roman"/>
                <w:noProof/>
                <w:sz w:val="22"/>
                <w:szCs w:val="20"/>
                <w:lang w:val="en-GB"/>
              </w:rPr>
              <w:t>,</w:t>
            </w:r>
            <w:r w:rsidRPr="00BB5286">
              <w:rPr>
                <w:rFonts w:eastAsia="Calibri" w:cs="Times New Roman"/>
                <w:noProof/>
                <w:sz w:val="22"/>
                <w:szCs w:val="20"/>
                <w:lang w:val="en-GB"/>
              </w:rPr>
              <w:t xml:space="preserve"> to ensure an appropriate reward </w:t>
            </w:r>
            <w:r w:rsidR="000A61C9" w:rsidRPr="00BB5286">
              <w:rPr>
                <w:rFonts w:eastAsia="Calibri" w:cs="Times New Roman"/>
                <w:noProof/>
                <w:sz w:val="22"/>
                <w:szCs w:val="20"/>
                <w:lang w:val="en-GB"/>
              </w:rPr>
              <w:t xml:space="preserve">for </w:t>
            </w:r>
            <w:r w:rsidRPr="00BB5286">
              <w:rPr>
                <w:rFonts w:eastAsia="Calibri" w:cs="Times New Roman"/>
                <w:noProof/>
                <w:sz w:val="22"/>
                <w:szCs w:val="20"/>
                <w:lang w:val="en-GB"/>
              </w:rPr>
              <w:t xml:space="preserve">farmers' efforts. Lessons learned from current period will feed </w:t>
            </w:r>
            <w:r w:rsidR="49DE5DA5" w:rsidRPr="00BB5286">
              <w:rPr>
                <w:rFonts w:eastAsia="Calibri" w:cs="Times New Roman"/>
                <w:noProof/>
                <w:sz w:val="22"/>
                <w:szCs w:val="20"/>
                <w:lang w:val="en-GB"/>
              </w:rPr>
              <w:t xml:space="preserve">into </w:t>
            </w:r>
            <w:r w:rsidRPr="00BB5286">
              <w:rPr>
                <w:rFonts w:eastAsia="Calibri" w:cs="Times New Roman"/>
                <w:noProof/>
                <w:sz w:val="22"/>
                <w:szCs w:val="20"/>
                <w:lang w:val="en-GB"/>
              </w:rPr>
              <w:t>the reflection on the post</w:t>
            </w:r>
            <w:r w:rsidR="000A61C9" w:rsidRPr="00BB5286">
              <w:rPr>
                <w:rFonts w:eastAsia="Calibri" w:cs="Times New Roman"/>
                <w:noProof/>
                <w:sz w:val="22"/>
                <w:szCs w:val="20"/>
                <w:lang w:val="en-GB"/>
              </w:rPr>
              <w:t>-</w:t>
            </w:r>
            <w:r w:rsidRPr="00BB5286">
              <w:rPr>
                <w:rFonts w:eastAsia="Calibri" w:cs="Times New Roman"/>
                <w:noProof/>
                <w:sz w:val="22"/>
                <w:szCs w:val="20"/>
                <w:lang w:val="en-GB"/>
              </w:rPr>
              <w:t>2027</w:t>
            </w:r>
            <w:r w:rsidR="00A70876"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872C68" w:rsidRPr="00BB5286" w14:paraId="67F303E5" w14:textId="77777777" w:rsidTr="009A4429">
        <w:trPr>
          <w:trHeight w:val="300"/>
        </w:trPr>
        <w:tc>
          <w:tcPr>
            <w:tcW w:w="588" w:type="dxa"/>
            <w:vAlign w:val="center"/>
          </w:tcPr>
          <w:p w14:paraId="68D46401"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169</w:t>
            </w:r>
          </w:p>
        </w:tc>
        <w:tc>
          <w:tcPr>
            <w:tcW w:w="5977" w:type="dxa"/>
            <w:vAlign w:val="center"/>
          </w:tcPr>
          <w:p w14:paraId="370D613E" w14:textId="6389004C"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Premi</w:t>
            </w:r>
            <w:r w:rsidR="005A61F2" w:rsidRPr="00BB5286">
              <w:rPr>
                <w:rFonts w:eastAsia="Calibri" w:cs="Times New Roman"/>
                <w:b/>
                <w:noProof/>
                <w:sz w:val="22"/>
                <w:szCs w:val="20"/>
                <w:lang w:val="en-GB"/>
              </w:rPr>
              <w:t>ums</w:t>
            </w:r>
            <w:r w:rsidRPr="00BB5286">
              <w:rPr>
                <w:rFonts w:eastAsia="Calibri" w:cs="Times New Roman"/>
                <w:b/>
                <w:noProof/>
                <w:sz w:val="22"/>
                <w:szCs w:val="20"/>
                <w:lang w:val="en-GB"/>
              </w:rPr>
              <w:t>:</w:t>
            </w:r>
            <w:r w:rsidRPr="00BB5286">
              <w:rPr>
                <w:rFonts w:eastAsia="Calibri" w:cs="Times New Roman"/>
                <w:noProof/>
                <w:sz w:val="22"/>
                <w:szCs w:val="20"/>
                <w:lang w:val="en-GB"/>
              </w:rPr>
              <w:t xml:space="preserve"> </w:t>
            </w:r>
            <w:r w:rsidR="23237A33" w:rsidRPr="00BB5286">
              <w:rPr>
                <w:rFonts w:eastAsia="Calibri" w:cs="Times New Roman"/>
                <w:noProof/>
                <w:sz w:val="22"/>
                <w:szCs w:val="20"/>
                <w:lang w:val="en-GB"/>
              </w:rPr>
              <w:t>a</w:t>
            </w:r>
            <w:r w:rsidRPr="00BB5286">
              <w:rPr>
                <w:rFonts w:eastAsia="Calibri" w:cs="Times New Roman"/>
                <w:noProof/>
                <w:sz w:val="22"/>
                <w:szCs w:val="20"/>
                <w:lang w:val="en-GB"/>
              </w:rPr>
              <w:t xml:space="preserve">llow payments for </w:t>
            </w:r>
            <w:r w:rsidR="000A61C9" w:rsidRPr="00FF77A3">
              <w:rPr>
                <w:noProof/>
                <w:sz w:val="22"/>
                <w:szCs w:val="20"/>
                <w:lang w:val="en-GB"/>
              </w:rPr>
              <w:t>agri</w:t>
            </w:r>
            <w:r w:rsidR="000A61C9" w:rsidRPr="00BB5286">
              <w:rPr>
                <w:rFonts w:eastAsia="Calibri" w:cs="Times New Roman"/>
                <w:noProof/>
                <w:sz w:val="22"/>
                <w:szCs w:val="20"/>
                <w:lang w:val="en-GB"/>
              </w:rPr>
              <w:t>-environment-climate measures</w:t>
            </w:r>
            <w:r w:rsidR="000A61C9" w:rsidRPr="00BB5286" w:rsidDel="000A61C9">
              <w:rPr>
                <w:rFonts w:eastAsia="Calibri" w:cs="Times New Roman"/>
                <w:noProof/>
                <w:sz w:val="22"/>
                <w:szCs w:val="20"/>
                <w:lang w:val="en-GB"/>
              </w:rPr>
              <w:t xml:space="preserve"> </w:t>
            </w:r>
            <w:r w:rsidRPr="00BB5286">
              <w:rPr>
                <w:rFonts w:eastAsia="Calibri" w:cs="Times New Roman"/>
                <w:noProof/>
                <w:sz w:val="22"/>
                <w:szCs w:val="20"/>
                <w:lang w:val="en-GB"/>
              </w:rPr>
              <w:t>(AECM) /</w:t>
            </w:r>
            <w:r w:rsidR="00CA53B6" w:rsidRPr="00BB5286">
              <w:rPr>
                <w:rFonts w:eastAsia="Calibri" w:cs="Times New Roman"/>
                <w:noProof/>
                <w:sz w:val="22"/>
                <w:szCs w:val="20"/>
                <w:lang w:val="en-GB"/>
              </w:rPr>
              <w:t xml:space="preserve"> </w:t>
            </w:r>
            <w:r w:rsidRPr="00BB5286">
              <w:rPr>
                <w:rFonts w:eastAsia="Calibri" w:cs="Times New Roman"/>
                <w:noProof/>
                <w:sz w:val="22"/>
                <w:szCs w:val="20"/>
                <w:lang w:val="en-GB"/>
              </w:rPr>
              <w:t xml:space="preserve">eco-scheme measures that exceed </w:t>
            </w:r>
            <w:r w:rsidR="004051F1" w:rsidRPr="00BB5286">
              <w:rPr>
                <w:rFonts w:eastAsia="Calibri" w:cs="Times New Roman"/>
                <w:noProof/>
                <w:sz w:val="22"/>
                <w:szCs w:val="20"/>
                <w:lang w:val="en-GB"/>
              </w:rPr>
              <w:t xml:space="preserve">the </w:t>
            </w:r>
            <w:r w:rsidRPr="00BB5286">
              <w:rPr>
                <w:rFonts w:eastAsia="Calibri" w:cs="Times New Roman"/>
                <w:noProof/>
                <w:sz w:val="22"/>
                <w:szCs w:val="20"/>
                <w:lang w:val="en-GB"/>
              </w:rPr>
              <w:t>additional costs incurred and income foregone</w:t>
            </w:r>
            <w:r w:rsidR="00241975" w:rsidRPr="00BB5286">
              <w:rPr>
                <w:rFonts w:eastAsia="Calibri" w:cs="Times New Roman"/>
                <w:noProof/>
                <w:sz w:val="22"/>
                <w:szCs w:val="20"/>
                <w:lang w:val="en-GB"/>
              </w:rPr>
              <w:t>.</w:t>
            </w:r>
          </w:p>
        </w:tc>
        <w:tc>
          <w:tcPr>
            <w:tcW w:w="1530" w:type="dxa"/>
            <w:vAlign w:val="center"/>
          </w:tcPr>
          <w:p w14:paraId="17584A10"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 BE, LU</w:t>
            </w:r>
          </w:p>
        </w:tc>
        <w:tc>
          <w:tcPr>
            <w:tcW w:w="6660" w:type="dxa"/>
            <w:vAlign w:val="center"/>
          </w:tcPr>
          <w:p w14:paraId="311E06AE" w14:textId="1B754268" w:rsidR="00872C68" w:rsidRPr="00BB5286" w:rsidRDefault="00AB5A2E"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Eco-scheme payments </w:t>
            </w:r>
            <w:r w:rsidR="00872C68" w:rsidRPr="00BB5286">
              <w:rPr>
                <w:rFonts w:eastAsia="Calibri" w:cs="Times New Roman"/>
                <w:noProof/>
                <w:sz w:val="22"/>
                <w:szCs w:val="20"/>
                <w:lang w:val="en-GB"/>
              </w:rPr>
              <w:t xml:space="preserve">beyond </w:t>
            </w:r>
            <w:r w:rsidRPr="00BB5286">
              <w:rPr>
                <w:rFonts w:eastAsia="Calibri" w:cs="Times New Roman"/>
                <w:noProof/>
                <w:sz w:val="22"/>
                <w:szCs w:val="20"/>
                <w:lang w:val="en-GB"/>
              </w:rPr>
              <w:t xml:space="preserve">the </w:t>
            </w:r>
            <w:r w:rsidR="00872C68" w:rsidRPr="00BB5286">
              <w:rPr>
                <w:rFonts w:eastAsia="Calibri" w:cs="Times New Roman"/>
                <w:noProof/>
                <w:sz w:val="22"/>
                <w:szCs w:val="20"/>
                <w:lang w:val="en-GB"/>
              </w:rPr>
              <w:t xml:space="preserve">costs/income foregone compensation principle are possible under </w:t>
            </w:r>
            <w:r w:rsidR="00872C68" w:rsidRPr="00BB5286">
              <w:rPr>
                <w:rFonts w:eastAsia="Calibri" w:cs="Times New Roman"/>
                <w:i/>
                <w:noProof/>
                <w:sz w:val="22"/>
                <w:szCs w:val="20"/>
                <w:lang w:val="en-GB"/>
              </w:rPr>
              <w:t>Article 31 (7), point (a)</w:t>
            </w:r>
            <w:r w:rsidR="00872C68" w:rsidRPr="00BB5286">
              <w:rPr>
                <w:rFonts w:eastAsia="Calibri" w:cs="Times New Roman"/>
                <w:noProof/>
                <w:sz w:val="22"/>
                <w:szCs w:val="20"/>
                <w:lang w:val="en-GB"/>
              </w:rPr>
              <w:t xml:space="preserve"> of </w:t>
            </w:r>
            <w:r w:rsidR="0C75E946" w:rsidRPr="00BB5286">
              <w:rPr>
                <w:rFonts w:eastAsia="Calibri" w:cs="Times New Roman"/>
                <w:noProof/>
                <w:sz w:val="22"/>
                <w:szCs w:val="20"/>
                <w:lang w:val="en-GB"/>
              </w:rPr>
              <w:t xml:space="preserve">the CSP </w:t>
            </w:r>
            <w:r w:rsidR="006605A0" w:rsidRPr="00BB5286">
              <w:rPr>
                <w:rFonts w:eastAsia="Calibri" w:cs="Times New Roman"/>
                <w:noProof/>
                <w:sz w:val="22"/>
                <w:szCs w:val="20"/>
                <w:lang w:val="en-GB"/>
              </w:rPr>
              <w:t>Regulation respecting</w:t>
            </w:r>
            <w:r w:rsidRPr="00BB5286">
              <w:rPr>
                <w:rFonts w:eastAsia="Calibri" w:cs="Times New Roman"/>
                <w:noProof/>
                <w:sz w:val="22"/>
                <w:szCs w:val="20"/>
                <w:lang w:val="en-GB"/>
              </w:rPr>
              <w:t xml:space="preserve"> </w:t>
            </w:r>
            <w:r w:rsidR="00872C68" w:rsidRPr="00BB5286">
              <w:rPr>
                <w:rFonts w:eastAsia="Calibri" w:cs="Times New Roman"/>
                <w:noProof/>
                <w:sz w:val="22"/>
                <w:szCs w:val="20"/>
                <w:lang w:val="en-GB"/>
              </w:rPr>
              <w:t xml:space="preserve">WTO </w:t>
            </w:r>
            <w:r w:rsidRPr="00BB5286">
              <w:rPr>
                <w:rFonts w:eastAsia="Calibri" w:cs="Times New Roman"/>
                <w:noProof/>
                <w:sz w:val="22"/>
                <w:szCs w:val="20"/>
                <w:lang w:val="en-GB"/>
              </w:rPr>
              <w:t xml:space="preserve">“green box” </w:t>
            </w:r>
            <w:r w:rsidR="00872C68" w:rsidRPr="00BB5286">
              <w:rPr>
                <w:rFonts w:eastAsia="Calibri" w:cs="Times New Roman"/>
                <w:noProof/>
                <w:sz w:val="22"/>
                <w:szCs w:val="20"/>
                <w:lang w:val="en-GB"/>
              </w:rPr>
              <w:t>rules</w:t>
            </w:r>
            <w:r w:rsidR="004051F1" w:rsidRPr="00BB5286">
              <w:rPr>
                <w:rFonts w:eastAsia="Calibri" w:cs="Times New Roman"/>
                <w:noProof/>
                <w:sz w:val="22"/>
                <w:szCs w:val="20"/>
                <w:lang w:val="en-GB"/>
              </w:rPr>
              <w:t xml:space="preserve"> </w:t>
            </w:r>
            <w:r w:rsidR="00872C68" w:rsidRPr="00BB5286">
              <w:rPr>
                <w:rFonts w:eastAsia="Calibri" w:cs="Times New Roman"/>
                <w:noProof/>
                <w:sz w:val="22"/>
                <w:szCs w:val="20"/>
                <w:lang w:val="en-GB"/>
              </w:rPr>
              <w:t xml:space="preserve">(no link to specific production). Lessons learned from the </w:t>
            </w:r>
            <w:r w:rsidR="7379CF0C" w:rsidRPr="00BB5286">
              <w:rPr>
                <w:rFonts w:eastAsia="Calibri" w:cs="Times New Roman"/>
                <w:noProof/>
                <w:sz w:val="22"/>
                <w:szCs w:val="20"/>
                <w:lang w:val="en-GB"/>
              </w:rPr>
              <w:t>current period</w:t>
            </w:r>
            <w:r w:rsidR="00872C68" w:rsidRPr="00BB5286">
              <w:rPr>
                <w:rFonts w:eastAsia="Calibri" w:cs="Times New Roman"/>
                <w:noProof/>
                <w:sz w:val="22"/>
                <w:szCs w:val="20"/>
                <w:lang w:val="en-GB"/>
              </w:rPr>
              <w:t xml:space="preserve"> will feed </w:t>
            </w:r>
            <w:r w:rsidR="135B936F" w:rsidRPr="00BB5286">
              <w:rPr>
                <w:rFonts w:eastAsia="Calibri" w:cs="Times New Roman"/>
                <w:noProof/>
                <w:sz w:val="22"/>
                <w:szCs w:val="20"/>
                <w:lang w:val="en-GB"/>
              </w:rPr>
              <w:t xml:space="preserve">into </w:t>
            </w:r>
            <w:r w:rsidR="00872C68" w:rsidRPr="00BB5286">
              <w:rPr>
                <w:rFonts w:eastAsia="Calibri" w:cs="Times New Roman"/>
                <w:noProof/>
                <w:sz w:val="22"/>
                <w:szCs w:val="20"/>
                <w:lang w:val="en-GB"/>
              </w:rPr>
              <w:t>the reflection on the post</w:t>
            </w:r>
            <w:r w:rsidR="004051F1" w:rsidRPr="00BB5286">
              <w:rPr>
                <w:rFonts w:eastAsia="Calibri" w:cs="Times New Roman"/>
                <w:noProof/>
                <w:sz w:val="22"/>
                <w:szCs w:val="20"/>
                <w:lang w:val="en-GB"/>
              </w:rPr>
              <w:t>-</w:t>
            </w:r>
            <w:r w:rsidR="00872C68" w:rsidRPr="00BB5286">
              <w:rPr>
                <w:rFonts w:eastAsia="Calibri" w:cs="Times New Roman"/>
                <w:noProof/>
                <w:sz w:val="22"/>
                <w:szCs w:val="20"/>
                <w:lang w:val="en-GB"/>
              </w:rPr>
              <w:t>2027</w:t>
            </w:r>
            <w:r w:rsidR="00A70876" w:rsidRPr="00BB5286">
              <w:rPr>
                <w:rFonts w:eastAsia="Calibri" w:cs="Times New Roman"/>
                <w:noProof/>
                <w:sz w:val="22"/>
                <w:szCs w:val="20"/>
                <w:lang w:val="en-GB"/>
              </w:rPr>
              <w:t xml:space="preserve"> CAP</w:t>
            </w:r>
            <w:r w:rsidR="00872C68" w:rsidRPr="00BB5286">
              <w:rPr>
                <w:rFonts w:eastAsia="Calibri" w:cs="Times New Roman"/>
                <w:noProof/>
                <w:sz w:val="22"/>
                <w:szCs w:val="20"/>
                <w:lang w:val="en-GB"/>
              </w:rPr>
              <w:t>.</w:t>
            </w:r>
          </w:p>
        </w:tc>
      </w:tr>
      <w:tr w:rsidR="00872C68" w:rsidRPr="00BB5286" w14:paraId="6DB0C9F2" w14:textId="77777777" w:rsidTr="009A4429">
        <w:trPr>
          <w:trHeight w:val="300"/>
        </w:trPr>
        <w:tc>
          <w:tcPr>
            <w:tcW w:w="588" w:type="dxa"/>
            <w:vAlign w:val="center"/>
          </w:tcPr>
          <w:p w14:paraId="70E95B5B"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170</w:t>
            </w:r>
          </w:p>
        </w:tc>
        <w:tc>
          <w:tcPr>
            <w:tcW w:w="5977" w:type="dxa"/>
            <w:vAlign w:val="center"/>
          </w:tcPr>
          <w:p w14:paraId="436292DE" w14:textId="17141E0E"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Financing:</w:t>
            </w:r>
            <w:r w:rsidRPr="00BB5286">
              <w:rPr>
                <w:rFonts w:eastAsia="Calibri" w:cs="Times New Roman"/>
                <w:noProof/>
                <w:sz w:val="22"/>
                <w:szCs w:val="20"/>
                <w:lang w:val="en-GB"/>
              </w:rPr>
              <w:t xml:space="preserve"> </w:t>
            </w:r>
            <w:r w:rsidR="7C0520D6" w:rsidRPr="00BB5286">
              <w:rPr>
                <w:rFonts w:eastAsia="Calibri" w:cs="Times New Roman"/>
                <w:noProof/>
                <w:sz w:val="22"/>
                <w:szCs w:val="20"/>
                <w:lang w:val="en-GB"/>
              </w:rPr>
              <w:t>a</w:t>
            </w:r>
            <w:r w:rsidRPr="00BB5286">
              <w:rPr>
                <w:rFonts w:eastAsia="Calibri" w:cs="Times New Roman"/>
                <w:noProof/>
                <w:sz w:val="22"/>
                <w:szCs w:val="20"/>
                <w:lang w:val="en-GB"/>
              </w:rPr>
              <w:t>llow annual AECM commitments</w:t>
            </w:r>
            <w:r w:rsidR="00241975" w:rsidRPr="00BB5286">
              <w:rPr>
                <w:rFonts w:eastAsia="Calibri" w:cs="Times New Roman"/>
                <w:noProof/>
                <w:sz w:val="22"/>
                <w:szCs w:val="20"/>
                <w:lang w:val="en-GB"/>
              </w:rPr>
              <w:t>.</w:t>
            </w:r>
          </w:p>
        </w:tc>
        <w:tc>
          <w:tcPr>
            <w:tcW w:w="1530" w:type="dxa"/>
            <w:vAlign w:val="center"/>
          </w:tcPr>
          <w:p w14:paraId="37A91C33"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SE</w:t>
            </w:r>
          </w:p>
        </w:tc>
        <w:tc>
          <w:tcPr>
            <w:tcW w:w="6660" w:type="dxa"/>
            <w:vAlign w:val="center"/>
          </w:tcPr>
          <w:p w14:paraId="6DABAA4A" w14:textId="7D404A08"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In addition to eco-schemes, annual commitments are possible for certain AECM interventions in duly justified cases. Lesson learned from the current period will feed the reflection on the post</w:t>
            </w:r>
            <w:r w:rsidR="00A70876" w:rsidRPr="00BB5286">
              <w:rPr>
                <w:rFonts w:eastAsia="Calibri" w:cs="Times New Roman"/>
                <w:noProof/>
                <w:sz w:val="22"/>
                <w:lang w:val="en-GB"/>
              </w:rPr>
              <w:t>-</w:t>
            </w:r>
            <w:r w:rsidRPr="00BB5286">
              <w:rPr>
                <w:rFonts w:eastAsia="Calibri" w:cs="Times New Roman"/>
                <w:noProof/>
                <w:sz w:val="22"/>
                <w:lang w:val="en-GB"/>
              </w:rPr>
              <w:t>2027</w:t>
            </w:r>
            <w:r w:rsidR="00A70876" w:rsidRPr="00BB5286">
              <w:rPr>
                <w:rFonts w:eastAsia="Calibri" w:cs="Times New Roman"/>
                <w:noProof/>
                <w:sz w:val="22"/>
                <w:lang w:val="en-GB"/>
              </w:rPr>
              <w:t xml:space="preserve"> CAP</w:t>
            </w:r>
            <w:r w:rsidRPr="00BB5286">
              <w:rPr>
                <w:rFonts w:eastAsia="Calibri" w:cs="Times New Roman"/>
                <w:noProof/>
                <w:sz w:val="22"/>
                <w:lang w:val="en-GB"/>
              </w:rPr>
              <w:t>.</w:t>
            </w:r>
          </w:p>
        </w:tc>
      </w:tr>
      <w:tr w:rsidR="00872C68" w:rsidRPr="00BB5286" w14:paraId="55B172EB" w14:textId="77777777" w:rsidTr="009A4429">
        <w:trPr>
          <w:trHeight w:val="1050"/>
        </w:trPr>
        <w:tc>
          <w:tcPr>
            <w:tcW w:w="588" w:type="dxa"/>
            <w:vAlign w:val="center"/>
          </w:tcPr>
          <w:p w14:paraId="32404CDD" w14:textId="77777777" w:rsidR="00872C68" w:rsidRPr="00BB5286" w:rsidRDefault="00872C68" w:rsidP="00040FD1">
            <w:pPr>
              <w:spacing w:after="60" w:line="259" w:lineRule="auto"/>
              <w:jc w:val="both"/>
              <w:rPr>
                <w:rFonts w:eastAsia="Calibri" w:cs="Times New Roman"/>
                <w:b/>
                <w:noProof/>
                <w:sz w:val="22"/>
                <w:lang w:val="en-GB"/>
              </w:rPr>
            </w:pPr>
            <w:r w:rsidRPr="00BB5286">
              <w:rPr>
                <w:rFonts w:eastAsia="Calibri" w:cs="Times New Roman"/>
                <w:b/>
                <w:noProof/>
                <w:sz w:val="22"/>
                <w:lang w:val="en-GB"/>
              </w:rPr>
              <w:t>171</w:t>
            </w:r>
          </w:p>
        </w:tc>
        <w:tc>
          <w:tcPr>
            <w:tcW w:w="5977" w:type="dxa"/>
            <w:vAlign w:val="center"/>
          </w:tcPr>
          <w:p w14:paraId="67D18F2D" w14:textId="022673E8"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Environment targets</w:t>
            </w:r>
            <w:r w:rsidRPr="00BB5286">
              <w:rPr>
                <w:rFonts w:eastAsia="Calibri" w:cs="Times New Roman"/>
                <w:noProof/>
                <w:sz w:val="22"/>
                <w:szCs w:val="20"/>
                <w:lang w:val="en-GB"/>
              </w:rPr>
              <w:t xml:space="preserve"> emanating from interventions</w:t>
            </w:r>
            <w:r w:rsidR="004051F1" w:rsidRPr="00BB5286">
              <w:rPr>
                <w:rFonts w:eastAsia="Calibri" w:cs="Times New Roman"/>
                <w:noProof/>
                <w:sz w:val="22"/>
                <w:szCs w:val="20"/>
                <w:lang w:val="en-GB"/>
              </w:rPr>
              <w:t xml:space="preserve"> that</w:t>
            </w:r>
            <w:r w:rsidRPr="00BB5286">
              <w:rPr>
                <w:rFonts w:eastAsia="Calibri" w:cs="Times New Roman"/>
                <w:noProof/>
                <w:sz w:val="22"/>
                <w:szCs w:val="20"/>
                <w:lang w:val="en-GB"/>
              </w:rPr>
              <w:t xml:space="preserve"> address environmental and climate-related </w:t>
            </w:r>
            <w:r w:rsidRPr="00BB5286" w:rsidDel="004051F1">
              <w:rPr>
                <w:rFonts w:eastAsia="Calibri" w:cs="Times New Roman"/>
                <w:noProof/>
                <w:sz w:val="22"/>
                <w:szCs w:val="20"/>
                <w:lang w:val="en-GB"/>
              </w:rPr>
              <w:t xml:space="preserve">specific </w:t>
            </w:r>
            <w:r w:rsidRPr="00BB5286">
              <w:rPr>
                <w:rFonts w:eastAsia="Calibri" w:cs="Times New Roman"/>
                <w:noProof/>
                <w:sz w:val="22"/>
                <w:szCs w:val="20"/>
                <w:lang w:val="en-GB"/>
              </w:rPr>
              <w:t xml:space="preserve">objectives should be simplified for a more </w:t>
            </w:r>
            <w:r w:rsidR="004051F1" w:rsidRPr="00BB5286">
              <w:rPr>
                <w:rFonts w:eastAsia="Calibri" w:cs="Times New Roman"/>
                <w:noProof/>
                <w:sz w:val="22"/>
                <w:szCs w:val="20"/>
                <w:lang w:val="en-GB"/>
              </w:rPr>
              <w:t xml:space="preserve">direct </w:t>
            </w:r>
            <w:r w:rsidRPr="00BB5286">
              <w:rPr>
                <w:rFonts w:eastAsia="Calibri" w:cs="Times New Roman"/>
                <w:noProof/>
                <w:sz w:val="22"/>
                <w:szCs w:val="20"/>
                <w:lang w:val="en-GB"/>
              </w:rPr>
              <w:t>link between the intervention and the target.</w:t>
            </w:r>
          </w:p>
        </w:tc>
        <w:tc>
          <w:tcPr>
            <w:tcW w:w="1530" w:type="dxa"/>
            <w:vAlign w:val="center"/>
          </w:tcPr>
          <w:p w14:paraId="6D6EA9D4"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MT</w:t>
            </w:r>
          </w:p>
        </w:tc>
        <w:tc>
          <w:tcPr>
            <w:tcW w:w="6660" w:type="dxa"/>
            <w:vAlign w:val="center"/>
          </w:tcPr>
          <w:p w14:paraId="49762D37" w14:textId="26BD3599" w:rsidR="00872C68" w:rsidRPr="00BB5286" w:rsidDel="00CE578F" w:rsidRDefault="00872C68" w:rsidP="00040FD1">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Only interventions which partially or fully contribute to these </w:t>
            </w:r>
            <w:r w:rsidR="004047A6" w:rsidRPr="00BB5286">
              <w:rPr>
                <w:rFonts w:eastAsia="Calibri" w:cs="Times New Roman"/>
                <w:noProof/>
                <w:sz w:val="22"/>
                <w:szCs w:val="20"/>
                <w:lang w:val="en-GB"/>
              </w:rPr>
              <w:t xml:space="preserve">specific </w:t>
            </w:r>
            <w:r w:rsidRPr="00BB5286">
              <w:rPr>
                <w:rFonts w:eastAsia="Calibri" w:cs="Times New Roman"/>
                <w:noProof/>
                <w:sz w:val="22"/>
                <w:szCs w:val="20"/>
                <w:lang w:val="en-GB"/>
              </w:rPr>
              <w:t xml:space="preserve">objectives are taken into account </w:t>
            </w:r>
            <w:r w:rsidR="004047A6" w:rsidRPr="00BB5286">
              <w:rPr>
                <w:rFonts w:eastAsia="Calibri" w:cs="Times New Roman"/>
                <w:noProof/>
                <w:sz w:val="22"/>
                <w:szCs w:val="20"/>
                <w:lang w:val="en-GB"/>
              </w:rPr>
              <w:t>in the milestones and targets under these</w:t>
            </w:r>
            <w:r w:rsidRPr="00BB5286">
              <w:rPr>
                <w:rFonts w:eastAsia="Calibri" w:cs="Times New Roman"/>
                <w:noProof/>
                <w:sz w:val="22"/>
                <w:szCs w:val="20"/>
                <w:lang w:val="en-GB"/>
              </w:rPr>
              <w:t xml:space="preserve"> result indicators.  Lessons learned from the </w:t>
            </w:r>
            <w:r w:rsidR="3AB51AAF" w:rsidRPr="00BB5286">
              <w:rPr>
                <w:rFonts w:eastAsia="Calibri" w:cs="Times New Roman"/>
                <w:noProof/>
                <w:sz w:val="22"/>
                <w:szCs w:val="20"/>
                <w:lang w:val="en-GB"/>
              </w:rPr>
              <w:t>current period</w:t>
            </w:r>
            <w:r w:rsidRPr="00BB5286">
              <w:rPr>
                <w:rFonts w:eastAsia="Calibri" w:cs="Times New Roman"/>
                <w:noProof/>
                <w:sz w:val="22"/>
                <w:szCs w:val="20"/>
                <w:lang w:val="en-GB"/>
              </w:rPr>
              <w:t xml:space="preserve"> will feed</w:t>
            </w:r>
            <w:r w:rsidR="00895232" w:rsidRPr="00BB5286">
              <w:rPr>
                <w:rFonts w:eastAsia="Calibri" w:cs="Times New Roman"/>
                <w:noProof/>
                <w:sz w:val="22"/>
                <w:szCs w:val="20"/>
                <w:lang w:val="en-GB"/>
              </w:rPr>
              <w:t xml:space="preserve"> into</w:t>
            </w:r>
            <w:r w:rsidRPr="00BB5286">
              <w:rPr>
                <w:rFonts w:eastAsia="Calibri" w:cs="Times New Roman"/>
                <w:noProof/>
                <w:sz w:val="22"/>
                <w:szCs w:val="20"/>
                <w:lang w:val="en-GB"/>
              </w:rPr>
              <w:t xml:space="preserve"> the reflection on the post</w:t>
            </w:r>
            <w:r w:rsidR="00895232" w:rsidRPr="00BB5286">
              <w:rPr>
                <w:rFonts w:eastAsia="Calibri" w:cs="Times New Roman"/>
                <w:noProof/>
                <w:sz w:val="22"/>
                <w:szCs w:val="20"/>
                <w:lang w:val="en-GB"/>
              </w:rPr>
              <w:t xml:space="preserve"> </w:t>
            </w:r>
            <w:r w:rsidRPr="00BB5286">
              <w:rPr>
                <w:rFonts w:eastAsia="Calibri" w:cs="Times New Roman"/>
                <w:noProof/>
                <w:sz w:val="22"/>
                <w:szCs w:val="20"/>
                <w:lang w:val="en-GB"/>
              </w:rPr>
              <w:t>2027</w:t>
            </w:r>
            <w:r w:rsidR="00A70876" w:rsidRPr="00BB5286">
              <w:rPr>
                <w:rFonts w:eastAsia="Calibri" w:cs="Times New Roman"/>
                <w:noProof/>
                <w:sz w:val="22"/>
                <w:szCs w:val="20"/>
                <w:lang w:val="en-GB"/>
              </w:rPr>
              <w:t>-CAP</w:t>
            </w:r>
            <w:r w:rsidRPr="00BB5286">
              <w:rPr>
                <w:rFonts w:eastAsia="Calibri" w:cs="Times New Roman"/>
                <w:noProof/>
                <w:sz w:val="22"/>
                <w:szCs w:val="20"/>
                <w:lang w:val="en-GB"/>
              </w:rPr>
              <w:t>.</w:t>
            </w:r>
          </w:p>
        </w:tc>
      </w:tr>
      <w:tr w:rsidR="00872C68" w:rsidRPr="00BB5286" w14:paraId="2130B115" w14:textId="77777777" w:rsidTr="009A4429">
        <w:trPr>
          <w:trHeight w:val="300"/>
        </w:trPr>
        <w:tc>
          <w:tcPr>
            <w:tcW w:w="588" w:type="dxa"/>
            <w:vAlign w:val="center"/>
          </w:tcPr>
          <w:p w14:paraId="13927658" w14:textId="77777777" w:rsidR="00872C68" w:rsidRPr="00BB5286" w:rsidRDefault="00872C68" w:rsidP="00040FD1">
            <w:pPr>
              <w:spacing w:after="60" w:line="259" w:lineRule="auto"/>
              <w:ind w:right="-220"/>
              <w:jc w:val="both"/>
              <w:rPr>
                <w:rFonts w:eastAsia="Calibri" w:cs="Times New Roman"/>
                <w:b/>
                <w:bCs/>
                <w:noProof/>
                <w:color w:val="000000"/>
                <w:sz w:val="22"/>
                <w:lang w:val="en-GB"/>
              </w:rPr>
            </w:pPr>
            <w:r w:rsidRPr="00BB5286">
              <w:rPr>
                <w:rFonts w:eastAsia="Calibri" w:cs="Times New Roman"/>
                <w:b/>
                <w:bCs/>
                <w:noProof/>
                <w:color w:val="000000"/>
                <w:sz w:val="22"/>
                <w:lang w:val="en-GB"/>
              </w:rPr>
              <w:t>172</w:t>
            </w:r>
          </w:p>
        </w:tc>
        <w:tc>
          <w:tcPr>
            <w:tcW w:w="5977" w:type="dxa"/>
            <w:vAlign w:val="center"/>
          </w:tcPr>
          <w:p w14:paraId="74D2C0B1" w14:textId="626A4579" w:rsidR="00872C68" w:rsidRPr="00BB5286" w:rsidRDefault="00872C68" w:rsidP="00040FD1">
            <w:pPr>
              <w:spacing w:after="60" w:line="259" w:lineRule="auto"/>
              <w:jc w:val="both"/>
              <w:rPr>
                <w:rFonts w:eastAsia="Calibri" w:cs="Times New Roman"/>
                <w:noProof/>
                <w:color w:val="000000"/>
                <w:sz w:val="22"/>
                <w:szCs w:val="20"/>
                <w:lang w:val="en-GB"/>
              </w:rPr>
            </w:pPr>
            <w:r w:rsidRPr="00BB5286">
              <w:rPr>
                <w:rFonts w:eastAsia="Calibri" w:cs="Times New Roman"/>
                <w:b/>
                <w:noProof/>
                <w:color w:val="000000" w:themeColor="text1"/>
                <w:sz w:val="22"/>
                <w:szCs w:val="20"/>
                <w:lang w:val="en-GB"/>
              </w:rPr>
              <w:t xml:space="preserve">CAP - Forestry carry-over: </w:t>
            </w:r>
            <w:r w:rsidR="7B940C09" w:rsidRPr="00BB5286">
              <w:rPr>
                <w:rFonts w:eastAsia="Calibri" w:cs="Times New Roman"/>
                <w:noProof/>
                <w:color w:val="000000" w:themeColor="text1"/>
                <w:sz w:val="22"/>
                <w:szCs w:val="20"/>
                <w:lang w:val="en-GB"/>
              </w:rPr>
              <w:t>r</w:t>
            </w:r>
            <w:r w:rsidR="00895232" w:rsidRPr="00BB5286">
              <w:rPr>
                <w:rFonts w:eastAsia="Calibri" w:cs="Times New Roman"/>
                <w:noProof/>
                <w:color w:val="000000" w:themeColor="text1"/>
                <w:sz w:val="22"/>
                <w:szCs w:val="20"/>
                <w:lang w:val="en-GB"/>
              </w:rPr>
              <w:t>evision of the</w:t>
            </w:r>
            <w:r w:rsidR="00895232" w:rsidRPr="00BB5286">
              <w:rPr>
                <w:rFonts w:eastAsia="Calibri" w:cs="Times New Roman"/>
                <w:b/>
                <w:noProof/>
                <w:color w:val="000000" w:themeColor="text1"/>
                <w:sz w:val="22"/>
                <w:szCs w:val="20"/>
                <w:lang w:val="en-GB"/>
              </w:rPr>
              <w:t xml:space="preserve"> </w:t>
            </w:r>
            <w:r w:rsidR="00895232" w:rsidRPr="00BB5286">
              <w:rPr>
                <w:rFonts w:eastAsia="Calibri" w:cs="Times New Roman"/>
                <w:noProof/>
                <w:color w:val="000000" w:themeColor="text1"/>
                <w:sz w:val="22"/>
                <w:szCs w:val="20"/>
                <w:lang w:val="en-GB"/>
              </w:rPr>
              <w:t>principle</w:t>
            </w:r>
            <w:r w:rsidR="00895232" w:rsidRPr="00BB5286">
              <w:rPr>
                <w:rFonts w:eastAsia="Calibri" w:cs="Times New Roman"/>
                <w:b/>
                <w:noProof/>
                <w:color w:val="000000" w:themeColor="text1"/>
                <w:sz w:val="22"/>
                <w:szCs w:val="20"/>
                <w:lang w:val="en-GB"/>
              </w:rPr>
              <w:t xml:space="preserve"> </w:t>
            </w:r>
            <w:r w:rsidR="00895232" w:rsidRPr="00BB5286">
              <w:rPr>
                <w:rFonts w:eastAsia="Calibri" w:cs="Times New Roman"/>
                <w:noProof/>
                <w:color w:val="000000" w:themeColor="text1"/>
                <w:sz w:val="22"/>
                <w:szCs w:val="20"/>
                <w:lang w:val="en-GB"/>
              </w:rPr>
              <w:t>of ‘n</w:t>
            </w:r>
            <w:r w:rsidRPr="00BB5286">
              <w:rPr>
                <w:rFonts w:eastAsia="Calibri" w:cs="Times New Roman"/>
                <w:noProof/>
                <w:color w:val="000000" w:themeColor="text1"/>
                <w:sz w:val="22"/>
                <w:szCs w:val="20"/>
                <w:lang w:val="en-GB"/>
              </w:rPr>
              <w:t>ew money, new rules - old money, old rules</w:t>
            </w:r>
            <w:r w:rsidR="006605A0">
              <w:rPr>
                <w:rFonts w:eastAsia="Calibri" w:cs="Times New Roman"/>
                <w:noProof/>
                <w:color w:val="000000" w:themeColor="text1"/>
                <w:sz w:val="22"/>
                <w:szCs w:val="20"/>
                <w:lang w:val="en-GB"/>
              </w:rPr>
              <w:t>’</w:t>
            </w:r>
            <w:r w:rsidR="00895232" w:rsidRPr="00BB5286">
              <w:rPr>
                <w:rFonts w:eastAsia="Calibri" w:cs="Times New Roman"/>
                <w:noProof/>
                <w:color w:val="000000" w:themeColor="text1"/>
                <w:sz w:val="22"/>
                <w:szCs w:val="20"/>
                <w:lang w:val="en-GB"/>
              </w:rPr>
              <w:t>.</w:t>
            </w:r>
            <w:r w:rsidRPr="00BB5286">
              <w:rPr>
                <w:rFonts w:eastAsia="Calibri" w:cs="Times New Roman"/>
                <w:noProof/>
                <w:color w:val="000000" w:themeColor="text1"/>
                <w:sz w:val="22"/>
                <w:szCs w:val="20"/>
                <w:lang w:val="en-GB"/>
              </w:rPr>
              <w:t xml:space="preserve"> The rules of conditionality and cross compliance apply to multiannual area</w:t>
            </w:r>
            <w:r w:rsidR="00895232" w:rsidRPr="00BB5286">
              <w:rPr>
                <w:rFonts w:eastAsia="Calibri" w:cs="Times New Roman"/>
                <w:noProof/>
                <w:color w:val="000000" w:themeColor="text1"/>
                <w:sz w:val="22"/>
                <w:szCs w:val="20"/>
                <w:lang w:val="en-GB"/>
              </w:rPr>
              <w:t>-</w:t>
            </w:r>
            <w:r w:rsidRPr="00BB5286">
              <w:rPr>
                <w:rFonts w:eastAsia="Calibri" w:cs="Times New Roman"/>
                <w:noProof/>
                <w:color w:val="000000" w:themeColor="text1"/>
                <w:sz w:val="22"/>
                <w:szCs w:val="20"/>
                <w:lang w:val="en-GB"/>
              </w:rPr>
              <w:t>based interventions for example AECM</w:t>
            </w:r>
            <w:r w:rsidR="00895232" w:rsidRPr="00BB5286">
              <w:rPr>
                <w:rFonts w:eastAsia="Calibri" w:cs="Times New Roman"/>
                <w:noProof/>
                <w:color w:val="000000" w:themeColor="text1"/>
                <w:sz w:val="22"/>
                <w:szCs w:val="20"/>
                <w:lang w:val="en-GB"/>
              </w:rPr>
              <w:t xml:space="preserve"> or </w:t>
            </w:r>
            <w:r w:rsidRPr="00BB5286">
              <w:rPr>
                <w:rFonts w:eastAsia="Calibri" w:cs="Times New Roman"/>
                <w:noProof/>
                <w:color w:val="000000" w:themeColor="text1"/>
                <w:sz w:val="22"/>
                <w:szCs w:val="20"/>
                <w:lang w:val="en-GB"/>
              </w:rPr>
              <w:t xml:space="preserve">forestry maintenance. The proposal is to apply the </w:t>
            </w:r>
            <w:r w:rsidR="00895232" w:rsidRPr="00BB5286">
              <w:rPr>
                <w:rFonts w:eastAsia="Calibri" w:cs="Times New Roman"/>
                <w:noProof/>
                <w:color w:val="000000" w:themeColor="text1"/>
                <w:sz w:val="22"/>
                <w:szCs w:val="20"/>
                <w:lang w:val="en-GB"/>
              </w:rPr>
              <w:t>r</w:t>
            </w:r>
            <w:r w:rsidRPr="00BB5286">
              <w:rPr>
                <w:rFonts w:eastAsia="Calibri" w:cs="Times New Roman"/>
                <w:noProof/>
                <w:color w:val="000000" w:themeColor="text1"/>
                <w:sz w:val="22"/>
                <w:szCs w:val="20"/>
                <w:lang w:val="en-GB"/>
              </w:rPr>
              <w:t xml:space="preserve">evision clause of </w:t>
            </w:r>
            <w:r w:rsidRPr="00BB5286">
              <w:rPr>
                <w:rFonts w:eastAsia="Calibri" w:cs="Times New Roman"/>
                <w:i/>
                <w:iCs/>
                <w:noProof/>
                <w:color w:val="000000" w:themeColor="text1"/>
                <w:sz w:val="22"/>
                <w:szCs w:val="20"/>
                <w:lang w:val="en-GB"/>
              </w:rPr>
              <w:t>Art</w:t>
            </w:r>
            <w:r w:rsidR="23E185B7" w:rsidRPr="00BB5286">
              <w:rPr>
                <w:rFonts w:eastAsia="Calibri" w:cs="Times New Roman"/>
                <w:i/>
                <w:iCs/>
                <w:noProof/>
                <w:color w:val="000000" w:themeColor="text1"/>
                <w:sz w:val="22"/>
                <w:szCs w:val="20"/>
                <w:lang w:val="en-GB"/>
              </w:rPr>
              <w:t>icle</w:t>
            </w:r>
            <w:r w:rsidRPr="00BB5286">
              <w:rPr>
                <w:rFonts w:eastAsia="Calibri" w:cs="Times New Roman"/>
                <w:i/>
                <w:noProof/>
                <w:color w:val="000000" w:themeColor="text1"/>
                <w:sz w:val="22"/>
                <w:szCs w:val="20"/>
                <w:lang w:val="en-GB"/>
              </w:rPr>
              <w:t xml:space="preserve"> 48</w:t>
            </w:r>
            <w:r w:rsidRPr="00BB5286">
              <w:rPr>
                <w:rFonts w:eastAsia="Calibri" w:cs="Times New Roman"/>
                <w:noProof/>
                <w:color w:val="000000" w:themeColor="text1"/>
                <w:sz w:val="22"/>
                <w:szCs w:val="20"/>
                <w:lang w:val="en-GB"/>
              </w:rPr>
              <w:t xml:space="preserve"> of EU Regulation 1305/2013. The Article set</w:t>
            </w:r>
            <w:r w:rsidR="00895232" w:rsidRPr="00BB5286">
              <w:rPr>
                <w:rFonts w:eastAsia="Calibri" w:cs="Times New Roman"/>
                <w:noProof/>
                <w:color w:val="000000" w:themeColor="text1"/>
                <w:sz w:val="22"/>
                <w:szCs w:val="20"/>
                <w:lang w:val="en-GB"/>
              </w:rPr>
              <w:t>s out</w:t>
            </w:r>
            <w:r w:rsidRPr="00BB5286">
              <w:rPr>
                <w:rFonts w:eastAsia="Calibri" w:cs="Times New Roman"/>
                <w:noProof/>
                <w:color w:val="000000" w:themeColor="text1"/>
                <w:sz w:val="22"/>
                <w:szCs w:val="20"/>
                <w:lang w:val="en-GB"/>
              </w:rPr>
              <w:t xml:space="preserve"> rules for the measures/interventions for </w:t>
            </w:r>
            <w:r w:rsidRPr="00BB5286">
              <w:rPr>
                <w:rFonts w:eastAsia="Calibri" w:cs="Times New Roman"/>
                <w:i/>
                <w:iCs/>
                <w:noProof/>
                <w:color w:val="000000" w:themeColor="text1"/>
                <w:sz w:val="22"/>
                <w:szCs w:val="20"/>
                <w:lang w:val="en-GB"/>
              </w:rPr>
              <w:t>Art</w:t>
            </w:r>
            <w:r w:rsidR="3268A498" w:rsidRPr="00BB5286">
              <w:rPr>
                <w:rFonts w:eastAsia="Calibri" w:cs="Times New Roman"/>
                <w:i/>
                <w:iCs/>
                <w:noProof/>
                <w:color w:val="000000" w:themeColor="text1"/>
                <w:sz w:val="22"/>
                <w:szCs w:val="20"/>
                <w:lang w:val="en-GB"/>
              </w:rPr>
              <w:t>icles</w:t>
            </w:r>
            <w:r w:rsidRPr="00BB5286">
              <w:rPr>
                <w:rFonts w:eastAsia="Calibri" w:cs="Times New Roman"/>
                <w:i/>
                <w:noProof/>
                <w:color w:val="000000" w:themeColor="text1"/>
                <w:sz w:val="22"/>
                <w:szCs w:val="20"/>
                <w:lang w:val="en-GB"/>
              </w:rPr>
              <w:t xml:space="preserve"> 28, 29, 33 and 34</w:t>
            </w:r>
            <w:r w:rsidRPr="00BB5286">
              <w:rPr>
                <w:rFonts w:eastAsia="Calibri" w:cs="Times New Roman"/>
                <w:noProof/>
                <w:color w:val="000000" w:themeColor="text1"/>
                <w:sz w:val="22"/>
                <w:szCs w:val="20"/>
                <w:lang w:val="en-GB"/>
              </w:rPr>
              <w:t xml:space="preserve">, but does not have a rule for </w:t>
            </w:r>
            <w:r w:rsidRPr="00BB5286">
              <w:rPr>
                <w:rFonts w:eastAsia="Calibri" w:cs="Times New Roman"/>
                <w:i/>
                <w:iCs/>
                <w:noProof/>
                <w:color w:val="000000" w:themeColor="text1"/>
                <w:sz w:val="22"/>
                <w:szCs w:val="20"/>
                <w:lang w:val="en-GB"/>
              </w:rPr>
              <w:t>Art</w:t>
            </w:r>
            <w:r w:rsidR="44C70947" w:rsidRPr="00BB5286">
              <w:rPr>
                <w:rFonts w:eastAsia="Calibri" w:cs="Times New Roman"/>
                <w:i/>
                <w:iCs/>
                <w:noProof/>
                <w:color w:val="000000" w:themeColor="text1"/>
                <w:sz w:val="22"/>
                <w:szCs w:val="20"/>
                <w:lang w:val="en-GB"/>
              </w:rPr>
              <w:t>icle</w:t>
            </w:r>
            <w:r w:rsidRPr="00BB5286">
              <w:rPr>
                <w:rFonts w:eastAsia="Calibri" w:cs="Times New Roman"/>
                <w:i/>
                <w:noProof/>
                <w:color w:val="000000" w:themeColor="text1"/>
                <w:sz w:val="22"/>
                <w:szCs w:val="20"/>
                <w:lang w:val="en-GB"/>
              </w:rPr>
              <w:t xml:space="preserve"> 21</w:t>
            </w:r>
            <w:r w:rsidRPr="00BB5286">
              <w:rPr>
                <w:rFonts w:eastAsia="Calibri" w:cs="Times New Roman"/>
                <w:noProof/>
                <w:color w:val="000000" w:themeColor="text1"/>
                <w:sz w:val="22"/>
                <w:szCs w:val="20"/>
                <w:lang w:val="en-GB"/>
              </w:rPr>
              <w:t xml:space="preserve"> </w:t>
            </w:r>
            <w:r w:rsidR="00895232" w:rsidRPr="00BB5286">
              <w:rPr>
                <w:rFonts w:eastAsia="Calibri" w:cs="Times New Roman"/>
                <w:noProof/>
                <w:color w:val="000000" w:themeColor="text1"/>
                <w:sz w:val="22"/>
                <w:szCs w:val="20"/>
                <w:lang w:val="en-GB"/>
              </w:rPr>
              <w:t>on i</w:t>
            </w:r>
            <w:r w:rsidRPr="00BB5286">
              <w:rPr>
                <w:rFonts w:eastAsia="Calibri" w:cs="Times New Roman"/>
                <w:noProof/>
                <w:color w:val="000000" w:themeColor="text1"/>
                <w:sz w:val="22"/>
                <w:szCs w:val="20"/>
                <w:lang w:val="en-GB"/>
              </w:rPr>
              <w:t xml:space="preserve">nvestments in </w:t>
            </w:r>
            <w:r w:rsidR="00895232" w:rsidRPr="00BB5286">
              <w:rPr>
                <w:rFonts w:eastAsia="Calibri" w:cs="Times New Roman"/>
                <w:noProof/>
                <w:color w:val="000000" w:themeColor="text1"/>
                <w:sz w:val="22"/>
                <w:szCs w:val="20"/>
                <w:lang w:val="en-GB"/>
              </w:rPr>
              <w:t xml:space="preserve">developing </w:t>
            </w:r>
            <w:r w:rsidRPr="00BB5286">
              <w:rPr>
                <w:rFonts w:eastAsia="Calibri" w:cs="Times New Roman"/>
                <w:noProof/>
                <w:color w:val="000000" w:themeColor="text1"/>
                <w:sz w:val="22"/>
                <w:szCs w:val="20"/>
                <w:lang w:val="en-GB"/>
              </w:rPr>
              <w:t>forest area</w:t>
            </w:r>
            <w:r w:rsidR="00895232" w:rsidRPr="00BB5286">
              <w:rPr>
                <w:rFonts w:eastAsia="Calibri" w:cs="Times New Roman"/>
                <w:noProof/>
                <w:color w:val="000000" w:themeColor="text1"/>
                <w:sz w:val="22"/>
                <w:szCs w:val="20"/>
                <w:lang w:val="en-GB"/>
              </w:rPr>
              <w:t>s</w:t>
            </w:r>
            <w:r w:rsidRPr="00BB5286">
              <w:rPr>
                <w:rFonts w:eastAsia="Calibri" w:cs="Times New Roman"/>
                <w:noProof/>
                <w:color w:val="000000" w:themeColor="text1"/>
                <w:sz w:val="22"/>
                <w:szCs w:val="20"/>
                <w:lang w:val="en-GB"/>
              </w:rPr>
              <w:t xml:space="preserve"> and improv</w:t>
            </w:r>
            <w:r w:rsidR="00895232" w:rsidRPr="00BB5286">
              <w:rPr>
                <w:rFonts w:eastAsia="Calibri" w:cs="Times New Roman"/>
                <w:noProof/>
                <w:color w:val="000000" w:themeColor="text1"/>
                <w:sz w:val="22"/>
                <w:szCs w:val="20"/>
                <w:lang w:val="en-GB"/>
              </w:rPr>
              <w:t>ing</w:t>
            </w:r>
            <w:r w:rsidRPr="00BB5286">
              <w:rPr>
                <w:rFonts w:eastAsia="Calibri" w:cs="Times New Roman"/>
                <w:noProof/>
                <w:color w:val="000000" w:themeColor="text1"/>
                <w:sz w:val="22"/>
                <w:szCs w:val="20"/>
                <w:lang w:val="en-GB"/>
              </w:rPr>
              <w:t xml:space="preserve"> the viability of forests, </w:t>
            </w:r>
            <w:r w:rsidRPr="00BB5286">
              <w:rPr>
                <w:rFonts w:eastAsia="Calibri" w:cs="Times New Roman"/>
                <w:i/>
                <w:noProof/>
                <w:color w:val="000000" w:themeColor="text1"/>
                <w:sz w:val="22"/>
                <w:szCs w:val="20"/>
                <w:lang w:val="en-GB"/>
              </w:rPr>
              <w:t>paragraph 1. (a), (b), (c) (d).</w:t>
            </w:r>
          </w:p>
        </w:tc>
        <w:tc>
          <w:tcPr>
            <w:tcW w:w="1530" w:type="dxa"/>
            <w:vAlign w:val="center"/>
          </w:tcPr>
          <w:p w14:paraId="54374561"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w:t>
            </w:r>
          </w:p>
        </w:tc>
        <w:tc>
          <w:tcPr>
            <w:tcW w:w="6660" w:type="dxa"/>
            <w:vAlign w:val="center"/>
          </w:tcPr>
          <w:p w14:paraId="6D66F0CC" w14:textId="16F2A5C7" w:rsidR="00872C68" w:rsidRPr="00BB5286" w:rsidRDefault="00872C68" w:rsidP="00AE4510">
            <w:pPr>
              <w:spacing w:after="60" w:line="259" w:lineRule="auto"/>
              <w:jc w:val="both"/>
              <w:rPr>
                <w:rFonts w:eastAsia="Calibri" w:cs="Times New Roman"/>
                <w:noProof/>
                <w:sz w:val="22"/>
                <w:lang w:val="en-GB"/>
              </w:rPr>
            </w:pPr>
            <w:r w:rsidRPr="00BB5286">
              <w:rPr>
                <w:rFonts w:eastAsia="Calibri" w:cs="Times New Roman"/>
                <w:noProof/>
                <w:color w:val="000000" w:themeColor="text1"/>
                <w:sz w:val="22"/>
                <w:szCs w:val="20"/>
                <w:lang w:val="en-GB"/>
              </w:rPr>
              <w:t xml:space="preserve">The revision clause is only relevant for multiannual area-based commitments since rules may change during the contract with the beneficiary and the terms </w:t>
            </w:r>
            <w:r w:rsidR="00895232" w:rsidRPr="00BB5286">
              <w:rPr>
                <w:rFonts w:eastAsia="Calibri" w:cs="Times New Roman"/>
                <w:noProof/>
                <w:color w:val="000000" w:themeColor="text1"/>
                <w:sz w:val="22"/>
                <w:szCs w:val="20"/>
                <w:lang w:val="en-GB"/>
              </w:rPr>
              <w:t xml:space="preserve">may </w:t>
            </w:r>
            <w:r w:rsidRPr="00BB5286">
              <w:rPr>
                <w:rFonts w:eastAsia="Calibri" w:cs="Times New Roman"/>
                <w:noProof/>
                <w:color w:val="000000" w:themeColor="text1"/>
                <w:sz w:val="22"/>
                <w:szCs w:val="20"/>
                <w:lang w:val="en-GB"/>
              </w:rPr>
              <w:t xml:space="preserve">need to be adapted to new conditions or </w:t>
            </w:r>
            <w:r w:rsidR="00895232" w:rsidRPr="00BB5286">
              <w:rPr>
                <w:rFonts w:eastAsia="Calibri" w:cs="Times New Roman"/>
                <w:noProof/>
                <w:color w:val="000000" w:themeColor="text1"/>
                <w:sz w:val="22"/>
                <w:szCs w:val="20"/>
                <w:lang w:val="en-GB"/>
              </w:rPr>
              <w:t xml:space="preserve">a new </w:t>
            </w:r>
            <w:r w:rsidRPr="00BB5286">
              <w:rPr>
                <w:rFonts w:eastAsia="Calibri" w:cs="Times New Roman"/>
                <w:noProof/>
                <w:color w:val="000000" w:themeColor="text1"/>
                <w:sz w:val="22"/>
                <w:szCs w:val="20"/>
                <w:lang w:val="en-GB"/>
              </w:rPr>
              <w:t xml:space="preserve">baseline. </w:t>
            </w:r>
            <w:r w:rsidR="00895232" w:rsidRPr="00BB5286">
              <w:rPr>
                <w:rFonts w:eastAsia="Calibri" w:cs="Times New Roman"/>
                <w:noProof/>
                <w:color w:val="000000" w:themeColor="text1"/>
                <w:sz w:val="22"/>
                <w:szCs w:val="20"/>
                <w:lang w:val="en-GB"/>
              </w:rPr>
              <w:t xml:space="preserve">By </w:t>
            </w:r>
            <w:r w:rsidRPr="00BB5286">
              <w:rPr>
                <w:rFonts w:eastAsia="Calibri" w:cs="Times New Roman"/>
                <w:noProof/>
                <w:color w:val="000000" w:themeColor="text1"/>
                <w:sz w:val="22"/>
                <w:szCs w:val="20"/>
                <w:lang w:val="en-GB"/>
              </w:rPr>
              <w:t xml:space="preserve">contrast, investment support is a one-off operation that is linked </w:t>
            </w:r>
            <w:r w:rsidR="00895232" w:rsidRPr="00BB5286">
              <w:rPr>
                <w:rFonts w:eastAsia="Calibri" w:cs="Times New Roman"/>
                <w:noProof/>
                <w:color w:val="000000" w:themeColor="text1"/>
                <w:sz w:val="22"/>
                <w:szCs w:val="20"/>
                <w:lang w:val="en-GB"/>
              </w:rPr>
              <w:t xml:space="preserve">neither </w:t>
            </w:r>
            <w:r w:rsidRPr="00BB5286">
              <w:rPr>
                <w:rFonts w:eastAsia="Calibri" w:cs="Times New Roman"/>
                <w:noProof/>
                <w:color w:val="000000" w:themeColor="text1"/>
                <w:sz w:val="22"/>
                <w:szCs w:val="20"/>
                <w:lang w:val="en-GB"/>
              </w:rPr>
              <w:t xml:space="preserve">to conditionality (baseline) nor to multiannual </w:t>
            </w:r>
            <w:r w:rsidR="00DD51F6" w:rsidRPr="00BB5286">
              <w:rPr>
                <w:rFonts w:eastAsia="Calibri" w:cs="Times New Roman"/>
                <w:noProof/>
                <w:color w:val="000000" w:themeColor="text1"/>
                <w:sz w:val="22"/>
                <w:szCs w:val="20"/>
                <w:lang w:val="en-GB"/>
              </w:rPr>
              <w:t xml:space="preserve">commitments </w:t>
            </w:r>
            <w:r w:rsidRPr="00BB5286">
              <w:rPr>
                <w:rFonts w:eastAsia="Calibri" w:cs="Times New Roman"/>
                <w:noProof/>
                <w:color w:val="000000" w:themeColor="text1"/>
                <w:sz w:val="22"/>
                <w:szCs w:val="20"/>
                <w:lang w:val="en-GB"/>
              </w:rPr>
              <w:t>(</w:t>
            </w:r>
            <w:r w:rsidR="00DD51F6" w:rsidRPr="00BB5286">
              <w:rPr>
                <w:rFonts w:eastAsia="Calibri" w:cs="Times New Roman"/>
                <w:noProof/>
                <w:color w:val="000000" w:themeColor="text1"/>
                <w:sz w:val="22"/>
                <w:szCs w:val="20"/>
                <w:lang w:val="en-GB"/>
              </w:rPr>
              <w:t xml:space="preserve">with </w:t>
            </w:r>
            <w:r w:rsidRPr="00BB5286">
              <w:rPr>
                <w:rFonts w:eastAsia="Calibri" w:cs="Times New Roman"/>
                <w:noProof/>
                <w:color w:val="000000" w:themeColor="text1"/>
                <w:sz w:val="22"/>
                <w:szCs w:val="20"/>
                <w:lang w:val="en-GB"/>
              </w:rPr>
              <w:t>yearly payments).</w:t>
            </w:r>
          </w:p>
        </w:tc>
      </w:tr>
    </w:tbl>
    <w:p w14:paraId="6406268D" w14:textId="77777777" w:rsidR="00872C68" w:rsidRPr="00BB5286" w:rsidRDefault="00872C68" w:rsidP="00040FD1">
      <w:pPr>
        <w:spacing w:after="60"/>
        <w:rPr>
          <w:rFonts w:eastAsia="Calibri" w:cs="Times New Roman"/>
          <w:noProof/>
          <w:kern w:val="0"/>
          <w:sz w:val="22"/>
          <w:lang w:val="en-GB"/>
          <w14:ligatures w14:val="none"/>
        </w:rPr>
      </w:pPr>
    </w:p>
    <w:p w14:paraId="5B01EAB4" w14:textId="77777777" w:rsidR="00874EF4" w:rsidRPr="00724676" w:rsidRDefault="00874EF4" w:rsidP="00B57B3C">
      <w:pPr>
        <w:framePr w:w="14781" w:wrap="auto" w:hAnchor="text"/>
        <w:spacing w:after="60"/>
        <w:rPr>
          <w:rFonts w:eastAsia="Calibri" w:cs="Times New Roman"/>
          <w:noProof/>
          <w:kern w:val="0"/>
          <w:szCs w:val="24"/>
          <w:lang w:val="en-GB"/>
          <w14:ligatures w14:val="none"/>
        </w:rPr>
        <w:sectPr w:rsidR="00874EF4" w:rsidRPr="00724676" w:rsidSect="00747A67">
          <w:headerReference w:type="even" r:id="rId39"/>
          <w:headerReference w:type="default" r:id="rId40"/>
          <w:footerReference w:type="even" r:id="rId41"/>
          <w:footerReference w:type="default" r:id="rId42"/>
          <w:headerReference w:type="first" r:id="rId43"/>
          <w:footerReference w:type="first" r:id="rId44"/>
          <w:pgSz w:w="16838" w:h="11906" w:orient="landscape"/>
          <w:pgMar w:top="1417" w:right="818" w:bottom="3506" w:left="1417" w:header="708" w:footer="708" w:gutter="0"/>
          <w:cols w:space="708"/>
          <w:titlePg/>
          <w:docGrid w:linePitch="360"/>
        </w:sectPr>
      </w:pPr>
    </w:p>
    <w:p w14:paraId="7395E26A" w14:textId="77777777" w:rsidR="00872C68" w:rsidRPr="00724676" w:rsidRDefault="00872C68" w:rsidP="006B5413">
      <w:pPr>
        <w:pStyle w:val="Heading4"/>
        <w:pBdr>
          <w:left w:val="single" w:sz="4" w:space="0" w:color="auto"/>
          <w:right w:val="single" w:sz="4" w:space="15" w:color="auto"/>
        </w:pBdr>
        <w:spacing w:before="0" w:after="60" w:line="259" w:lineRule="auto"/>
        <w:ind w:left="142" w:right="286" w:hanging="142"/>
        <w:rPr>
          <w:rFonts w:ascii="Times New Roman" w:hAnsi="Times New Roman" w:cs="Times New Roman"/>
          <w:noProof/>
          <w:lang w:val="en-GB"/>
        </w:rPr>
      </w:pPr>
      <w:r w:rsidRPr="00724676">
        <w:rPr>
          <w:rFonts w:ascii="Times New Roman" w:hAnsi="Times New Roman" w:cs="Times New Roman"/>
          <w:noProof/>
          <w:lang w:val="en-GB"/>
        </w:rPr>
        <w:lastRenderedPageBreak/>
        <w:t>III. FARM INCOME AND COMPETITIVENESS</w:t>
      </w:r>
    </w:p>
    <w:p w14:paraId="49CFF971" w14:textId="77777777" w:rsidR="009F3EEC" w:rsidRPr="00724676" w:rsidRDefault="009F3EEC" w:rsidP="00040FD1">
      <w:pPr>
        <w:spacing w:after="60"/>
        <w:rPr>
          <w:rFonts w:eastAsia="Calibri" w:cs="Times New Roman"/>
          <w:b/>
          <w:bCs/>
          <w:noProof/>
          <w:kern w:val="0"/>
          <w:szCs w:val="24"/>
          <w:lang w:val="en-GB"/>
          <w14:ligatures w14:val="none"/>
        </w:rPr>
      </w:pPr>
    </w:p>
    <w:tbl>
      <w:tblPr>
        <w:tblStyle w:val="TableGrid1"/>
        <w:tblpPr w:leftFromText="180" w:rightFromText="180" w:vertAnchor="text" w:tblpY="1"/>
        <w:tblOverlap w:val="never"/>
        <w:tblW w:w="14755" w:type="dxa"/>
        <w:tblBorders>
          <w:bottom w:val="single" w:sz="4" w:space="0" w:color="2E74B5" w:themeColor="accent5" w:themeShade="BF"/>
        </w:tblBorders>
        <w:tblLayout w:type="fixed"/>
        <w:tblLook w:val="04A0" w:firstRow="1" w:lastRow="0" w:firstColumn="1" w:lastColumn="0" w:noHBand="0" w:noVBand="1"/>
      </w:tblPr>
      <w:tblGrid>
        <w:gridCol w:w="6565"/>
        <w:gridCol w:w="1530"/>
        <w:gridCol w:w="6660"/>
      </w:tblGrid>
      <w:tr w:rsidR="009458C2" w:rsidRPr="00BB5286" w14:paraId="714BB939" w14:textId="77777777" w:rsidTr="009F3EEC">
        <w:trPr>
          <w:trHeight w:val="733"/>
        </w:trPr>
        <w:tc>
          <w:tcPr>
            <w:tcW w:w="6565" w:type="dxa"/>
            <w:tcBorders>
              <w:bottom w:val="single" w:sz="4" w:space="0" w:color="auto"/>
            </w:tcBorders>
            <w:vAlign w:val="center"/>
          </w:tcPr>
          <w:p w14:paraId="6F095BCF" w14:textId="77777777" w:rsidR="009458C2" w:rsidRPr="00BB5286" w:rsidRDefault="009458C2">
            <w:pPr>
              <w:spacing w:after="60" w:line="259" w:lineRule="auto"/>
              <w:jc w:val="center"/>
              <w:rPr>
                <w:rFonts w:eastAsia="Calibri" w:cs="Times New Roman"/>
                <w:noProof/>
                <w:sz w:val="22"/>
                <w:lang w:val="en-GB"/>
              </w:rPr>
            </w:pPr>
            <w:r w:rsidRPr="00BB5286">
              <w:rPr>
                <w:rFonts w:eastAsia="Calibri" w:cs="Times New Roman"/>
                <w:b/>
                <w:bCs/>
                <w:noProof/>
                <w:sz w:val="22"/>
                <w:lang w:val="en-GB"/>
              </w:rPr>
              <w:t>Suggestions</w:t>
            </w:r>
          </w:p>
        </w:tc>
        <w:tc>
          <w:tcPr>
            <w:tcW w:w="1530" w:type="dxa"/>
            <w:tcBorders>
              <w:bottom w:val="single" w:sz="4" w:space="0" w:color="auto"/>
            </w:tcBorders>
            <w:vAlign w:val="center"/>
          </w:tcPr>
          <w:p w14:paraId="5513F5D4" w14:textId="77777777" w:rsidR="009458C2" w:rsidRPr="00BB5286" w:rsidRDefault="009458C2">
            <w:pPr>
              <w:spacing w:after="60" w:line="259" w:lineRule="auto"/>
              <w:jc w:val="center"/>
              <w:rPr>
                <w:rFonts w:eastAsia="Calibri" w:cs="Times New Roman"/>
                <w:noProof/>
                <w:sz w:val="22"/>
                <w:lang w:val="en-GB"/>
              </w:rPr>
            </w:pPr>
            <w:r w:rsidRPr="00BB5286">
              <w:rPr>
                <w:rFonts w:eastAsia="Calibri" w:cs="Times New Roman"/>
                <w:b/>
                <w:bCs/>
                <w:noProof/>
                <w:sz w:val="22"/>
                <w:lang w:val="en-GB"/>
              </w:rPr>
              <w:t>Proponents</w:t>
            </w:r>
          </w:p>
        </w:tc>
        <w:tc>
          <w:tcPr>
            <w:tcW w:w="6660" w:type="dxa"/>
            <w:tcBorders>
              <w:bottom w:val="single" w:sz="4" w:space="0" w:color="auto"/>
            </w:tcBorders>
            <w:vAlign w:val="center"/>
          </w:tcPr>
          <w:p w14:paraId="79CAB9ED" w14:textId="77777777" w:rsidR="009458C2" w:rsidRPr="00BB5286" w:rsidRDefault="009458C2">
            <w:pPr>
              <w:spacing w:after="60" w:line="259" w:lineRule="auto"/>
              <w:jc w:val="center"/>
              <w:rPr>
                <w:rFonts w:eastAsia="Calibri" w:cs="Times New Roman"/>
                <w:noProof/>
                <w:sz w:val="22"/>
                <w:lang w:val="en-GB"/>
              </w:rPr>
            </w:pPr>
            <w:r w:rsidRPr="00BB5286">
              <w:rPr>
                <w:rFonts w:eastAsia="Calibri" w:cs="Times New Roman"/>
                <w:b/>
                <w:bCs/>
                <w:noProof/>
                <w:sz w:val="22"/>
                <w:lang w:val="en-GB"/>
              </w:rPr>
              <w:t>Assessment</w:t>
            </w:r>
          </w:p>
        </w:tc>
      </w:tr>
    </w:tbl>
    <w:tbl>
      <w:tblPr>
        <w:tblStyle w:val="TableGrid1"/>
        <w:tblW w:w="14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25"/>
        <w:gridCol w:w="66"/>
        <w:gridCol w:w="5872"/>
        <w:gridCol w:w="1529"/>
        <w:gridCol w:w="6"/>
        <w:gridCol w:w="6651"/>
        <w:gridCol w:w="6"/>
        <w:gridCol w:w="21"/>
      </w:tblGrid>
      <w:tr w:rsidR="00872C68" w:rsidRPr="00BB5286" w14:paraId="794CDD59" w14:textId="77777777" w:rsidTr="009A4429">
        <w:trPr>
          <w:gridAfter w:val="1"/>
          <w:wAfter w:w="21" w:type="dxa"/>
          <w:trHeight w:val="490"/>
        </w:trPr>
        <w:tc>
          <w:tcPr>
            <w:tcW w:w="14755" w:type="dxa"/>
            <w:gridSpan w:val="7"/>
            <w:tcBorders>
              <w:bottom w:val="nil"/>
            </w:tcBorders>
            <w:shd w:val="clear" w:color="auto" w:fill="003399"/>
          </w:tcPr>
          <w:p w14:paraId="3C649249" w14:textId="77777777" w:rsidR="00872C68" w:rsidRPr="00BB5286" w:rsidRDefault="00872C68" w:rsidP="004B60AF">
            <w:pPr>
              <w:spacing w:before="120" w:after="120" w:line="259" w:lineRule="auto"/>
              <w:jc w:val="center"/>
              <w:rPr>
                <w:rFonts w:eastAsia="Calibri" w:cs="Times New Roman"/>
                <w:b/>
                <w:bCs/>
                <w:noProof/>
                <w:color w:val="FFFFFF"/>
                <w:sz w:val="22"/>
                <w:lang w:val="en-GB"/>
              </w:rPr>
            </w:pPr>
            <w:r w:rsidRPr="00BB5286">
              <w:rPr>
                <w:rFonts w:eastAsia="Calibri" w:cs="Times New Roman"/>
                <w:b/>
                <w:bCs/>
                <w:noProof/>
                <w:color w:val="FFFFFF"/>
                <w:sz w:val="22"/>
                <w:lang w:val="en-GB"/>
              </w:rPr>
              <w:t>CAP Strategic Plan - Small Farmers Scheme</w:t>
            </w:r>
          </w:p>
        </w:tc>
      </w:tr>
      <w:tr w:rsidR="00872C68" w:rsidRPr="00BB5286" w14:paraId="3E801B5B" w14:textId="77777777" w:rsidTr="009A4429">
        <w:trPr>
          <w:gridAfter w:val="2"/>
          <w:wAfter w:w="21" w:type="dxa"/>
          <w:trHeight w:val="300"/>
        </w:trPr>
        <w:tc>
          <w:tcPr>
            <w:tcW w:w="625" w:type="dxa"/>
            <w:tcBorders>
              <w:top w:val="nil"/>
              <w:bottom w:val="single" w:sz="4" w:space="0" w:color="000000" w:themeColor="text1"/>
            </w:tcBorders>
            <w:vAlign w:val="center"/>
          </w:tcPr>
          <w:p w14:paraId="14D48F94" w14:textId="77777777"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173</w:t>
            </w:r>
          </w:p>
        </w:tc>
        <w:tc>
          <w:tcPr>
            <w:tcW w:w="5940" w:type="dxa"/>
            <w:gridSpan w:val="2"/>
            <w:tcBorders>
              <w:top w:val="nil"/>
              <w:bottom w:val="single" w:sz="4" w:space="0" w:color="000000" w:themeColor="text1"/>
            </w:tcBorders>
          </w:tcPr>
          <w:p w14:paraId="3994D823" w14:textId="10B50C1A"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Threshold Small Farmer Scheme</w:t>
            </w:r>
            <w:r w:rsidR="07C62266" w:rsidRPr="00BB5286">
              <w:rPr>
                <w:rFonts w:eastAsia="Calibri" w:cs="Times New Roman"/>
                <w:b/>
                <w:bCs/>
                <w:noProof/>
                <w:sz w:val="22"/>
                <w:szCs w:val="20"/>
                <w:lang w:val="en-GB"/>
              </w:rPr>
              <w:t>:</w:t>
            </w:r>
            <w:r w:rsidRPr="00BB5286">
              <w:rPr>
                <w:rFonts w:eastAsia="Calibri" w:cs="Times New Roman"/>
                <w:noProof/>
                <w:sz w:val="22"/>
                <w:szCs w:val="20"/>
                <w:lang w:val="en-GB"/>
              </w:rPr>
              <w:t xml:space="preserve"> </w:t>
            </w:r>
            <w:r w:rsidR="62996F3F" w:rsidRPr="00BB5286">
              <w:rPr>
                <w:rFonts w:eastAsia="Calibri" w:cs="Times New Roman"/>
                <w:noProof/>
                <w:sz w:val="22"/>
                <w:szCs w:val="20"/>
                <w:lang w:val="en-GB"/>
              </w:rPr>
              <w:t>i</w:t>
            </w:r>
            <w:r w:rsidRPr="00BB5286">
              <w:rPr>
                <w:rFonts w:eastAsia="Calibri" w:cs="Times New Roman"/>
                <w:noProof/>
                <w:sz w:val="22"/>
                <w:szCs w:val="20"/>
                <w:lang w:val="en-GB"/>
              </w:rPr>
              <w:t>ncrease the limit of payment for application of the small farmers scheme from EUR 1</w:t>
            </w:r>
            <w:r w:rsidR="00895232" w:rsidRPr="00BB5286">
              <w:rPr>
                <w:rFonts w:eastAsia="Calibri" w:cs="Times New Roman"/>
                <w:noProof/>
                <w:sz w:val="22"/>
                <w:szCs w:val="20"/>
                <w:lang w:val="en-GB"/>
              </w:rPr>
              <w:t> </w:t>
            </w:r>
            <w:r w:rsidRPr="00BB5286">
              <w:rPr>
                <w:rFonts w:eastAsia="Calibri" w:cs="Times New Roman"/>
                <w:noProof/>
                <w:sz w:val="22"/>
                <w:szCs w:val="20"/>
                <w:lang w:val="en-GB"/>
              </w:rPr>
              <w:t>250 to EUR</w:t>
            </w:r>
            <w:r w:rsidR="00895232" w:rsidRPr="00BB5286">
              <w:rPr>
                <w:rFonts w:eastAsia="Calibri" w:cs="Times New Roman"/>
                <w:noProof/>
                <w:sz w:val="22"/>
                <w:szCs w:val="20"/>
                <w:lang w:val="en-GB"/>
              </w:rPr>
              <w:t> </w:t>
            </w:r>
            <w:r w:rsidRPr="00BB5286">
              <w:rPr>
                <w:rFonts w:eastAsia="Calibri" w:cs="Times New Roman"/>
                <w:noProof/>
                <w:sz w:val="22"/>
                <w:szCs w:val="20"/>
                <w:lang w:val="en-GB"/>
              </w:rPr>
              <w:t>5</w:t>
            </w:r>
            <w:r w:rsidR="00895232" w:rsidRPr="00BB5286">
              <w:rPr>
                <w:rFonts w:eastAsia="Calibri" w:cs="Times New Roman"/>
                <w:noProof/>
                <w:sz w:val="22"/>
                <w:szCs w:val="20"/>
                <w:lang w:val="en-GB"/>
              </w:rPr>
              <w:t> </w:t>
            </w:r>
            <w:r w:rsidRPr="00BB5286">
              <w:rPr>
                <w:rFonts w:eastAsia="Calibri" w:cs="Times New Roman"/>
                <w:noProof/>
                <w:sz w:val="22"/>
                <w:szCs w:val="20"/>
                <w:lang w:val="en-GB"/>
              </w:rPr>
              <w:t>000 (</w:t>
            </w:r>
            <w:r w:rsidRPr="00BB5286">
              <w:rPr>
                <w:rFonts w:eastAsia="Calibri" w:cs="Times New Roman"/>
                <w:i/>
                <w:iCs/>
                <w:noProof/>
                <w:sz w:val="22"/>
                <w:szCs w:val="20"/>
                <w:lang w:val="en-GB"/>
              </w:rPr>
              <w:t>Art</w:t>
            </w:r>
            <w:r w:rsidR="276C2C4E" w:rsidRPr="00BB5286">
              <w:rPr>
                <w:rFonts w:eastAsia="Calibri" w:cs="Times New Roman"/>
                <w:i/>
                <w:iCs/>
                <w:noProof/>
                <w:sz w:val="22"/>
                <w:szCs w:val="20"/>
                <w:lang w:val="en-GB"/>
              </w:rPr>
              <w:t>icle</w:t>
            </w:r>
            <w:r w:rsidRPr="00BB5286">
              <w:rPr>
                <w:rFonts w:eastAsia="Calibri" w:cs="Times New Roman"/>
                <w:i/>
                <w:noProof/>
                <w:sz w:val="22"/>
                <w:szCs w:val="20"/>
                <w:lang w:val="en-GB"/>
              </w:rPr>
              <w:t xml:space="preserve"> 28 </w:t>
            </w:r>
            <w:r w:rsidRPr="00BB5286">
              <w:rPr>
                <w:rFonts w:eastAsia="Calibri" w:cs="Times New Roman"/>
                <w:noProof/>
                <w:sz w:val="22"/>
                <w:szCs w:val="20"/>
                <w:lang w:val="en-GB"/>
              </w:rPr>
              <w:t xml:space="preserve">of </w:t>
            </w:r>
            <w:r w:rsidR="51C33B8F" w:rsidRPr="00BB5286">
              <w:rPr>
                <w:rFonts w:eastAsia="Calibri" w:cs="Times New Roman"/>
                <w:noProof/>
                <w:sz w:val="22"/>
                <w:szCs w:val="20"/>
                <w:lang w:val="en-GB"/>
              </w:rPr>
              <w:t>the CSP</w:t>
            </w:r>
            <w:r w:rsidRPr="00BB5286">
              <w:rPr>
                <w:rFonts w:eastAsia="Calibri" w:cs="Times New Roman"/>
                <w:noProof/>
                <w:sz w:val="22"/>
                <w:szCs w:val="20"/>
                <w:lang w:val="en-GB"/>
              </w:rPr>
              <w:t xml:space="preserve"> Regulation).</w:t>
            </w:r>
          </w:p>
        </w:tc>
        <w:tc>
          <w:tcPr>
            <w:tcW w:w="1530" w:type="dxa"/>
            <w:tcBorders>
              <w:top w:val="nil"/>
              <w:bottom w:val="single" w:sz="4" w:space="0" w:color="000000" w:themeColor="text1"/>
            </w:tcBorders>
            <w:vAlign w:val="center"/>
          </w:tcPr>
          <w:p w14:paraId="1E349979"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w:t>
            </w:r>
          </w:p>
        </w:tc>
        <w:tc>
          <w:tcPr>
            <w:tcW w:w="6660" w:type="dxa"/>
            <w:gridSpan w:val="2"/>
            <w:tcBorders>
              <w:top w:val="nil"/>
              <w:bottom w:val="single" w:sz="4" w:space="0" w:color="000000" w:themeColor="text1"/>
            </w:tcBorders>
            <w:vAlign w:val="center"/>
          </w:tcPr>
          <w:p w14:paraId="62F079DE" w14:textId="2196413F"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895232" w:rsidRPr="00BB5286">
              <w:rPr>
                <w:rFonts w:eastAsia="Calibri" w:cs="Times New Roman"/>
                <w:noProof/>
                <w:sz w:val="22"/>
                <w:lang w:val="en-GB"/>
              </w:rPr>
              <w:t xml:space="preserve">into </w:t>
            </w:r>
            <w:r w:rsidRPr="00BB5286">
              <w:rPr>
                <w:rFonts w:eastAsia="Calibri" w:cs="Times New Roman"/>
                <w:noProof/>
                <w:sz w:val="22"/>
                <w:lang w:val="en-GB"/>
              </w:rPr>
              <w:t>the reflection on the post</w:t>
            </w:r>
            <w:r w:rsidR="00A70876" w:rsidRPr="00BB5286">
              <w:rPr>
                <w:rFonts w:eastAsia="Calibri" w:cs="Times New Roman"/>
                <w:noProof/>
                <w:sz w:val="22"/>
                <w:lang w:val="en-GB"/>
              </w:rPr>
              <w:t>-</w:t>
            </w:r>
            <w:r w:rsidRPr="00BB5286">
              <w:rPr>
                <w:rFonts w:eastAsia="Calibri" w:cs="Times New Roman"/>
                <w:noProof/>
                <w:sz w:val="22"/>
                <w:lang w:val="en-GB"/>
              </w:rPr>
              <w:t>2027</w:t>
            </w:r>
            <w:r w:rsidR="00A70876" w:rsidRPr="00BB5286">
              <w:rPr>
                <w:rFonts w:eastAsia="Calibri" w:cs="Times New Roman"/>
                <w:noProof/>
                <w:sz w:val="22"/>
                <w:lang w:val="en-GB"/>
              </w:rPr>
              <w:t xml:space="preserve"> CAP</w:t>
            </w:r>
            <w:r w:rsidRPr="00BB5286">
              <w:rPr>
                <w:rFonts w:eastAsia="Calibri" w:cs="Times New Roman"/>
                <w:noProof/>
                <w:sz w:val="22"/>
                <w:lang w:val="en-GB"/>
              </w:rPr>
              <w:t>.</w:t>
            </w:r>
          </w:p>
        </w:tc>
      </w:tr>
      <w:tr w:rsidR="00872C68" w:rsidRPr="00BB5286" w14:paraId="4CD3D87E" w14:textId="77777777" w:rsidTr="009A4429">
        <w:trPr>
          <w:gridAfter w:val="1"/>
          <w:wAfter w:w="21" w:type="dxa"/>
          <w:trHeight w:val="463"/>
        </w:trPr>
        <w:tc>
          <w:tcPr>
            <w:tcW w:w="14755" w:type="dxa"/>
            <w:gridSpan w:val="7"/>
            <w:shd w:val="clear" w:color="auto" w:fill="003399"/>
          </w:tcPr>
          <w:p w14:paraId="643B2A55" w14:textId="0A39DE84" w:rsidR="00872C68" w:rsidRPr="00BB5286" w:rsidRDefault="00872C68" w:rsidP="004B60AF">
            <w:pPr>
              <w:spacing w:before="120" w:after="120" w:line="259" w:lineRule="auto"/>
              <w:jc w:val="center"/>
              <w:rPr>
                <w:rFonts w:eastAsia="Calibri" w:cs="Times New Roman"/>
                <w:noProof/>
                <w:color w:val="FFFFFF"/>
                <w:sz w:val="22"/>
                <w:lang w:val="en-GB"/>
              </w:rPr>
            </w:pPr>
            <w:r w:rsidRPr="00BB5286">
              <w:rPr>
                <w:rFonts w:eastAsia="Calibri" w:cs="Times New Roman"/>
                <w:b/>
                <w:bCs/>
                <w:noProof/>
                <w:color w:val="FFFFFF"/>
                <w:sz w:val="22"/>
                <w:lang w:val="en-GB"/>
              </w:rPr>
              <w:t xml:space="preserve">CAP </w:t>
            </w:r>
            <w:r w:rsidR="00A70876" w:rsidRPr="00BB5286">
              <w:rPr>
                <w:rFonts w:eastAsia="Calibri" w:cs="Times New Roman"/>
                <w:b/>
                <w:bCs/>
                <w:noProof/>
                <w:color w:val="FFFFFF"/>
                <w:sz w:val="22"/>
                <w:lang w:val="en-GB"/>
              </w:rPr>
              <w:t>s</w:t>
            </w:r>
            <w:r w:rsidRPr="00BB5286">
              <w:rPr>
                <w:rFonts w:eastAsia="Calibri" w:cs="Times New Roman"/>
                <w:b/>
                <w:bCs/>
                <w:noProof/>
                <w:color w:val="FFFFFF"/>
                <w:sz w:val="22"/>
                <w:lang w:val="en-GB"/>
              </w:rPr>
              <w:t xml:space="preserve">trategic </w:t>
            </w:r>
            <w:r w:rsidR="00A70876" w:rsidRPr="00BB5286">
              <w:rPr>
                <w:rFonts w:eastAsia="Calibri" w:cs="Times New Roman"/>
                <w:b/>
                <w:bCs/>
                <w:noProof/>
                <w:color w:val="FFFFFF"/>
                <w:sz w:val="22"/>
                <w:lang w:val="en-GB"/>
              </w:rPr>
              <w:t>p</w:t>
            </w:r>
            <w:r w:rsidRPr="00BB5286">
              <w:rPr>
                <w:rFonts w:eastAsia="Calibri" w:cs="Times New Roman"/>
                <w:b/>
                <w:bCs/>
                <w:noProof/>
                <w:color w:val="FFFFFF"/>
                <w:sz w:val="22"/>
                <w:lang w:val="en-GB"/>
              </w:rPr>
              <w:t>lan - coupled income support interventions</w:t>
            </w:r>
          </w:p>
        </w:tc>
      </w:tr>
      <w:tr w:rsidR="00872C68" w:rsidRPr="00BB5286" w14:paraId="190CC26A" w14:textId="77777777" w:rsidTr="009A4429">
        <w:trPr>
          <w:gridAfter w:val="2"/>
          <w:wAfter w:w="21" w:type="dxa"/>
          <w:trHeight w:val="1017"/>
        </w:trPr>
        <w:tc>
          <w:tcPr>
            <w:tcW w:w="625" w:type="dxa"/>
            <w:vAlign w:val="center"/>
          </w:tcPr>
          <w:p w14:paraId="76253CE7" w14:textId="2731FE89" w:rsidR="00872C68" w:rsidRPr="00BB5286" w:rsidRDefault="00872C68" w:rsidP="00040FD1">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17</w:t>
            </w:r>
            <w:r w:rsidR="00A0403B">
              <w:rPr>
                <w:rFonts w:eastAsia="Calibri" w:cs="Times New Roman"/>
                <w:b/>
                <w:bCs/>
                <w:noProof/>
                <w:sz w:val="22"/>
                <w:lang w:val="en-GB"/>
              </w:rPr>
              <w:t>4</w:t>
            </w:r>
          </w:p>
        </w:tc>
        <w:tc>
          <w:tcPr>
            <w:tcW w:w="5940" w:type="dxa"/>
            <w:gridSpan w:val="2"/>
            <w:vAlign w:val="center"/>
          </w:tcPr>
          <w:p w14:paraId="0D9E4FAD" w14:textId="03ECD1FF" w:rsidR="00872C68" w:rsidRPr="00BB5286" w:rsidRDefault="00872C68" w:rsidP="00040FD1">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Potatoes:</w:t>
            </w:r>
            <w:r w:rsidRPr="00BB5286">
              <w:rPr>
                <w:rFonts w:eastAsia="Calibri" w:cs="Times New Roman"/>
                <w:noProof/>
                <w:sz w:val="22"/>
                <w:szCs w:val="20"/>
                <w:lang w:val="en-GB"/>
              </w:rPr>
              <w:t xml:space="preserve"> </w:t>
            </w:r>
            <w:r w:rsidR="7F3792D2" w:rsidRPr="00BB5286">
              <w:rPr>
                <w:rFonts w:eastAsia="Calibri" w:cs="Times New Roman"/>
                <w:noProof/>
                <w:sz w:val="22"/>
                <w:szCs w:val="20"/>
                <w:lang w:val="en-GB"/>
              </w:rPr>
              <w:t>i</w:t>
            </w:r>
            <w:r w:rsidRPr="00BB5286">
              <w:rPr>
                <w:rFonts w:eastAsia="Calibri" w:cs="Times New Roman"/>
                <w:noProof/>
                <w:sz w:val="22"/>
                <w:szCs w:val="20"/>
                <w:lang w:val="en-GB"/>
              </w:rPr>
              <w:t>nclusion of table potatoes in the list of products eligible for coupled income support (</w:t>
            </w:r>
            <w:r w:rsidRPr="00BB5286">
              <w:rPr>
                <w:rFonts w:eastAsia="Calibri" w:cs="Times New Roman"/>
                <w:i/>
                <w:iCs/>
                <w:noProof/>
                <w:sz w:val="22"/>
                <w:szCs w:val="20"/>
                <w:lang w:val="en-GB"/>
              </w:rPr>
              <w:t>Art</w:t>
            </w:r>
            <w:r w:rsidR="3CAE098A" w:rsidRPr="00BB5286">
              <w:rPr>
                <w:rFonts w:eastAsia="Calibri" w:cs="Times New Roman"/>
                <w:i/>
                <w:iCs/>
                <w:noProof/>
                <w:sz w:val="22"/>
                <w:szCs w:val="20"/>
                <w:lang w:val="en-GB"/>
              </w:rPr>
              <w:t>icle</w:t>
            </w:r>
            <w:r w:rsidRPr="00BB5286">
              <w:rPr>
                <w:rFonts w:eastAsia="Calibri" w:cs="Times New Roman"/>
                <w:i/>
                <w:iCs/>
                <w:noProof/>
                <w:sz w:val="22"/>
                <w:szCs w:val="20"/>
                <w:lang w:val="en-GB"/>
              </w:rPr>
              <w:t xml:space="preserve"> 33</w:t>
            </w:r>
            <w:r w:rsidRPr="00BB5286">
              <w:rPr>
                <w:rFonts w:eastAsia="Calibri" w:cs="Times New Roman"/>
                <w:noProof/>
                <w:sz w:val="22"/>
                <w:szCs w:val="20"/>
                <w:lang w:val="en-GB"/>
              </w:rPr>
              <w:t xml:space="preserve"> of </w:t>
            </w:r>
            <w:r w:rsidR="718DF760"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w:t>
            </w:r>
            <w:r w:rsidR="00241975" w:rsidRPr="00BB5286">
              <w:rPr>
                <w:rFonts w:eastAsia="Calibri" w:cs="Times New Roman"/>
                <w:noProof/>
                <w:sz w:val="22"/>
                <w:szCs w:val="20"/>
                <w:lang w:val="en-GB"/>
              </w:rPr>
              <w:t>.</w:t>
            </w:r>
          </w:p>
        </w:tc>
        <w:tc>
          <w:tcPr>
            <w:tcW w:w="1530" w:type="dxa"/>
            <w:vAlign w:val="center"/>
          </w:tcPr>
          <w:p w14:paraId="0D6346BD"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BG, HU</w:t>
            </w:r>
          </w:p>
        </w:tc>
        <w:tc>
          <w:tcPr>
            <w:tcW w:w="6660" w:type="dxa"/>
            <w:gridSpan w:val="2"/>
            <w:vAlign w:val="center"/>
          </w:tcPr>
          <w:p w14:paraId="349D7E8D" w14:textId="36928FFA" w:rsidR="00872C68" w:rsidRPr="00BB5286" w:rsidRDefault="00872C68" w:rsidP="00040FD1">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implementation of the CAP 2023-2027 interventions, including that of </w:t>
            </w:r>
            <w:r w:rsidR="00A70876" w:rsidRPr="00BB5286">
              <w:rPr>
                <w:rFonts w:eastAsia="Calibri" w:cs="Times New Roman"/>
                <w:noProof/>
                <w:sz w:val="22"/>
                <w:lang w:val="en-GB"/>
              </w:rPr>
              <w:t>coupled income support</w:t>
            </w:r>
            <w:r w:rsidRPr="00BB5286">
              <w:rPr>
                <w:rFonts w:eastAsia="Calibri" w:cs="Times New Roman"/>
                <w:noProof/>
                <w:sz w:val="22"/>
                <w:lang w:val="en-GB"/>
              </w:rPr>
              <w:t xml:space="preserve">, will feed </w:t>
            </w:r>
            <w:r w:rsidR="00A70876" w:rsidRPr="00BB5286">
              <w:rPr>
                <w:rFonts w:eastAsia="Calibri" w:cs="Times New Roman"/>
                <w:noProof/>
                <w:sz w:val="22"/>
                <w:lang w:val="en-GB"/>
              </w:rPr>
              <w:t xml:space="preserve">into </w:t>
            </w:r>
            <w:r w:rsidRPr="00BB5286">
              <w:rPr>
                <w:rFonts w:eastAsia="Calibri" w:cs="Times New Roman"/>
                <w:noProof/>
                <w:sz w:val="22"/>
                <w:lang w:val="en-GB"/>
              </w:rPr>
              <w:t>the reflection on the post</w:t>
            </w:r>
            <w:r w:rsidR="00A70876" w:rsidRPr="00BB5286">
              <w:rPr>
                <w:rFonts w:eastAsia="Calibri" w:cs="Times New Roman"/>
                <w:noProof/>
                <w:sz w:val="22"/>
                <w:lang w:val="en-GB"/>
              </w:rPr>
              <w:t>-</w:t>
            </w:r>
            <w:r w:rsidRPr="00BB5286">
              <w:rPr>
                <w:rFonts w:eastAsia="Calibri" w:cs="Times New Roman"/>
                <w:noProof/>
                <w:sz w:val="22"/>
                <w:lang w:val="en-GB"/>
              </w:rPr>
              <w:t>2027</w:t>
            </w:r>
            <w:r w:rsidR="00A70876" w:rsidRPr="00BB5286">
              <w:rPr>
                <w:rFonts w:eastAsia="Calibri" w:cs="Times New Roman"/>
                <w:noProof/>
                <w:sz w:val="22"/>
                <w:lang w:val="en-GB"/>
              </w:rPr>
              <w:t xml:space="preserve"> CAP</w:t>
            </w:r>
            <w:r w:rsidRPr="00BB5286">
              <w:rPr>
                <w:rFonts w:eastAsia="Calibri" w:cs="Times New Roman"/>
                <w:noProof/>
                <w:sz w:val="22"/>
                <w:lang w:val="en-GB"/>
              </w:rPr>
              <w:t>.</w:t>
            </w:r>
          </w:p>
        </w:tc>
      </w:tr>
      <w:tr w:rsidR="00872C68" w:rsidRPr="00BB5286" w14:paraId="2FB46597" w14:textId="77777777" w:rsidTr="009A4429">
        <w:trPr>
          <w:gridAfter w:val="2"/>
          <w:wAfter w:w="21" w:type="dxa"/>
          <w:trHeight w:val="1199"/>
        </w:trPr>
        <w:tc>
          <w:tcPr>
            <w:tcW w:w="625" w:type="dxa"/>
            <w:vAlign w:val="center"/>
          </w:tcPr>
          <w:p w14:paraId="198B1229" w14:textId="16FE908F" w:rsidR="00872C68" w:rsidRPr="00BB5286" w:rsidRDefault="00872C68" w:rsidP="00040FD1">
            <w:pPr>
              <w:spacing w:after="60" w:line="259" w:lineRule="auto"/>
              <w:rPr>
                <w:rFonts w:eastAsia="Calibri" w:cs="Times New Roman"/>
                <w:b/>
                <w:bCs/>
                <w:noProof/>
                <w:sz w:val="22"/>
                <w:lang w:val="en-GB"/>
              </w:rPr>
            </w:pPr>
            <w:r w:rsidRPr="00BB5286">
              <w:rPr>
                <w:rFonts w:eastAsia="Calibri" w:cs="Times New Roman"/>
                <w:b/>
                <w:bCs/>
                <w:noProof/>
                <w:sz w:val="22"/>
                <w:lang w:val="en-GB"/>
              </w:rPr>
              <w:t>17</w:t>
            </w:r>
            <w:r w:rsidR="00A0403B">
              <w:rPr>
                <w:rFonts w:eastAsia="Calibri" w:cs="Times New Roman"/>
                <w:b/>
                <w:bCs/>
                <w:noProof/>
                <w:sz w:val="22"/>
                <w:lang w:val="en-GB"/>
              </w:rPr>
              <w:t>5</w:t>
            </w:r>
          </w:p>
        </w:tc>
        <w:tc>
          <w:tcPr>
            <w:tcW w:w="5940" w:type="dxa"/>
            <w:gridSpan w:val="2"/>
            <w:vAlign w:val="center"/>
          </w:tcPr>
          <w:p w14:paraId="07446479" w14:textId="5900E5A3" w:rsidR="00872C68" w:rsidRPr="00BB5286" w:rsidRDefault="00872C68" w:rsidP="00241975">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Water Framework Directive:</w:t>
            </w:r>
            <w:r w:rsidRPr="00BB5286">
              <w:rPr>
                <w:rFonts w:eastAsia="Calibri" w:cs="Times New Roman"/>
                <w:noProof/>
                <w:sz w:val="22"/>
                <w:szCs w:val="20"/>
                <w:lang w:val="en-GB"/>
              </w:rPr>
              <w:t xml:space="preserve"> </w:t>
            </w:r>
            <w:r w:rsidR="00CC279B" w:rsidRPr="00BB5286">
              <w:rPr>
                <w:rFonts w:eastAsia="Calibri" w:cs="Times New Roman"/>
                <w:noProof/>
                <w:sz w:val="22"/>
                <w:szCs w:val="20"/>
                <w:lang w:val="en-GB"/>
              </w:rPr>
              <w:t>r</w:t>
            </w:r>
            <w:r w:rsidRPr="00BB5286">
              <w:rPr>
                <w:rFonts w:eastAsia="Calibri" w:cs="Times New Roman"/>
                <w:noProof/>
                <w:sz w:val="22"/>
                <w:szCs w:val="20"/>
                <w:lang w:val="en-GB"/>
              </w:rPr>
              <w:t>emove or reassess the requirement for coupled income support to be consistent with the Water Framework Directive (</w:t>
            </w:r>
            <w:r w:rsidRPr="00BB5286">
              <w:rPr>
                <w:rFonts w:eastAsia="Calibri" w:cs="Times New Roman"/>
                <w:i/>
                <w:iCs/>
                <w:noProof/>
                <w:sz w:val="22"/>
                <w:szCs w:val="20"/>
                <w:lang w:val="en-GB"/>
              </w:rPr>
              <w:t>Art</w:t>
            </w:r>
            <w:r w:rsidR="2A8A09D0" w:rsidRPr="00BB5286">
              <w:rPr>
                <w:rFonts w:eastAsia="Calibri" w:cs="Times New Roman"/>
                <w:i/>
                <w:iCs/>
                <w:noProof/>
                <w:sz w:val="22"/>
                <w:szCs w:val="20"/>
                <w:lang w:val="en-GB"/>
              </w:rPr>
              <w:t>icle</w:t>
            </w:r>
            <w:r w:rsidRPr="00BB5286">
              <w:rPr>
                <w:rFonts w:eastAsia="Calibri" w:cs="Times New Roman"/>
                <w:i/>
                <w:iCs/>
                <w:noProof/>
                <w:sz w:val="22"/>
                <w:szCs w:val="20"/>
                <w:lang w:val="en-GB"/>
              </w:rPr>
              <w:t xml:space="preserve"> 109(2)(c)</w:t>
            </w:r>
            <w:r w:rsidRPr="00BB5286">
              <w:rPr>
                <w:rFonts w:eastAsia="Calibri" w:cs="Times New Roman"/>
                <w:noProof/>
                <w:sz w:val="22"/>
                <w:szCs w:val="20"/>
                <w:lang w:val="en-GB"/>
              </w:rPr>
              <w:t xml:space="preserve"> of </w:t>
            </w:r>
            <w:r w:rsidR="54C16EB1"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w:t>
            </w:r>
            <w:r w:rsidR="00241975" w:rsidRPr="00BB5286">
              <w:rPr>
                <w:rFonts w:eastAsia="Calibri" w:cs="Times New Roman"/>
                <w:noProof/>
                <w:sz w:val="22"/>
                <w:szCs w:val="20"/>
                <w:lang w:val="en-GB"/>
              </w:rPr>
              <w:t>.</w:t>
            </w:r>
          </w:p>
        </w:tc>
        <w:tc>
          <w:tcPr>
            <w:tcW w:w="1530" w:type="dxa"/>
            <w:vAlign w:val="center"/>
          </w:tcPr>
          <w:p w14:paraId="65CF248F" w14:textId="77777777" w:rsidR="00872C68" w:rsidRPr="00BB5286" w:rsidRDefault="00872C68" w:rsidP="00040FD1">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BG, CZ, EL, HR, HU, SK</w:t>
            </w:r>
          </w:p>
        </w:tc>
        <w:tc>
          <w:tcPr>
            <w:tcW w:w="6660" w:type="dxa"/>
            <w:gridSpan w:val="2"/>
            <w:vAlign w:val="center"/>
          </w:tcPr>
          <w:p w14:paraId="4C032522" w14:textId="79020198" w:rsidR="00872C68" w:rsidRPr="00BB5286" w:rsidRDefault="00872C68" w:rsidP="004B60AF">
            <w:pPr>
              <w:spacing w:after="60" w:line="259" w:lineRule="auto"/>
              <w:jc w:val="both"/>
              <w:rPr>
                <w:rFonts w:eastAsia="Calibri" w:cs="Times New Roman"/>
                <w:noProof/>
                <w:sz w:val="22"/>
                <w:lang w:val="en-GB"/>
              </w:rPr>
            </w:pPr>
            <w:r w:rsidRPr="00BB5286">
              <w:rPr>
                <w:rFonts w:eastAsia="Calibri" w:cs="Times New Roman"/>
                <w:noProof/>
                <w:sz w:val="22"/>
                <w:szCs w:val="20"/>
                <w:lang w:val="en-GB"/>
              </w:rPr>
              <w:t xml:space="preserve">The suggestion was not taken up as </w:t>
            </w:r>
            <w:r w:rsidR="00FF1425" w:rsidRPr="00BB5286">
              <w:rPr>
                <w:rFonts w:eastAsia="Calibri" w:cs="Times New Roman"/>
                <w:noProof/>
                <w:sz w:val="22"/>
                <w:szCs w:val="20"/>
                <w:lang w:val="en-GB"/>
              </w:rPr>
              <w:t>this</w:t>
            </w:r>
            <w:r w:rsidRPr="00BB5286">
              <w:rPr>
                <w:rFonts w:eastAsia="Calibri" w:cs="Times New Roman"/>
                <w:noProof/>
                <w:sz w:val="22"/>
                <w:szCs w:val="20"/>
                <w:lang w:val="en-GB"/>
              </w:rPr>
              <w:t xml:space="preserve"> is an important sustainability requirement for coupled income support. Lessons learned from the </w:t>
            </w:r>
            <w:r w:rsidR="080AC731" w:rsidRPr="00BB5286">
              <w:rPr>
                <w:rFonts w:eastAsia="Calibri" w:cs="Times New Roman"/>
                <w:noProof/>
                <w:sz w:val="22"/>
                <w:szCs w:val="20"/>
                <w:lang w:val="en-GB"/>
              </w:rPr>
              <w:t xml:space="preserve">current period </w:t>
            </w:r>
            <w:r w:rsidRPr="00BB5286">
              <w:rPr>
                <w:rFonts w:eastAsia="Calibri" w:cs="Times New Roman"/>
                <w:noProof/>
                <w:sz w:val="22"/>
                <w:szCs w:val="20"/>
                <w:lang w:val="en-GB"/>
              </w:rPr>
              <w:t xml:space="preserve">will feed </w:t>
            </w:r>
            <w:r w:rsidR="33A44B95" w:rsidRPr="00BB5286">
              <w:rPr>
                <w:rFonts w:eastAsia="Calibri" w:cs="Times New Roman"/>
                <w:noProof/>
                <w:sz w:val="22"/>
                <w:szCs w:val="20"/>
                <w:lang w:val="en-GB"/>
              </w:rPr>
              <w:t xml:space="preserve">into </w:t>
            </w:r>
            <w:r w:rsidRPr="00BB5286">
              <w:rPr>
                <w:rFonts w:eastAsia="Calibri" w:cs="Times New Roman"/>
                <w:noProof/>
                <w:sz w:val="22"/>
                <w:szCs w:val="20"/>
                <w:lang w:val="en-GB"/>
              </w:rPr>
              <w:t>the reflection on the post</w:t>
            </w:r>
            <w:r w:rsidR="00FF1425" w:rsidRPr="00BB5286">
              <w:rPr>
                <w:rFonts w:eastAsia="Calibri" w:cs="Times New Roman"/>
                <w:noProof/>
                <w:sz w:val="22"/>
                <w:szCs w:val="20"/>
                <w:lang w:val="en-GB"/>
              </w:rPr>
              <w:t>-</w:t>
            </w:r>
            <w:r w:rsidRPr="00BB5286">
              <w:rPr>
                <w:rFonts w:eastAsia="Calibri" w:cs="Times New Roman"/>
                <w:noProof/>
                <w:sz w:val="22"/>
                <w:szCs w:val="20"/>
                <w:lang w:val="en-GB"/>
              </w:rPr>
              <w:t>2027</w:t>
            </w:r>
            <w:r w:rsidR="00FF1425"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872C68" w:rsidRPr="00BB5286" w14:paraId="5C158CF9" w14:textId="77777777" w:rsidTr="009A4429">
        <w:trPr>
          <w:gridAfter w:val="2"/>
          <w:wAfter w:w="21" w:type="dxa"/>
          <w:trHeight w:val="1096"/>
        </w:trPr>
        <w:tc>
          <w:tcPr>
            <w:tcW w:w="625" w:type="dxa"/>
            <w:vAlign w:val="center"/>
          </w:tcPr>
          <w:p w14:paraId="36AA1C56" w14:textId="78A05159" w:rsidR="00872C68" w:rsidRPr="00BB5286" w:rsidRDefault="00872C68" w:rsidP="00040FD1">
            <w:pPr>
              <w:spacing w:after="60" w:line="259" w:lineRule="auto"/>
              <w:rPr>
                <w:rFonts w:eastAsia="Calibri" w:cs="Times New Roman"/>
                <w:b/>
                <w:bCs/>
                <w:noProof/>
                <w:sz w:val="22"/>
                <w:lang w:val="en-GB"/>
              </w:rPr>
            </w:pPr>
            <w:r w:rsidRPr="00BB5286">
              <w:rPr>
                <w:rFonts w:eastAsia="Calibri" w:cs="Times New Roman"/>
                <w:b/>
                <w:bCs/>
                <w:noProof/>
                <w:sz w:val="22"/>
                <w:lang w:val="en-GB"/>
              </w:rPr>
              <w:t>17</w:t>
            </w:r>
            <w:r w:rsidR="00A0403B">
              <w:rPr>
                <w:rFonts w:eastAsia="Calibri" w:cs="Times New Roman"/>
                <w:b/>
                <w:bCs/>
                <w:noProof/>
                <w:sz w:val="22"/>
                <w:lang w:val="en-GB"/>
              </w:rPr>
              <w:t>6</w:t>
            </w:r>
          </w:p>
        </w:tc>
        <w:tc>
          <w:tcPr>
            <w:tcW w:w="5940" w:type="dxa"/>
            <w:gridSpan w:val="2"/>
            <w:tcBorders>
              <w:bottom w:val="single" w:sz="4" w:space="0" w:color="000000" w:themeColor="text1"/>
            </w:tcBorders>
            <w:vAlign w:val="center"/>
          </w:tcPr>
          <w:p w14:paraId="370DD7D9" w14:textId="60EBDC53" w:rsidR="00872C68" w:rsidRPr="00BB5286" w:rsidRDefault="00872C68" w:rsidP="00040FD1">
            <w:pPr>
              <w:spacing w:after="60" w:line="259" w:lineRule="auto"/>
              <w:rPr>
                <w:rFonts w:eastAsia="Calibri" w:cs="Times New Roman"/>
                <w:noProof/>
                <w:sz w:val="22"/>
                <w:szCs w:val="20"/>
                <w:lang w:val="en-GB"/>
              </w:rPr>
            </w:pPr>
            <w:r w:rsidRPr="00BB5286">
              <w:rPr>
                <w:rFonts w:eastAsia="Calibri" w:cs="Times New Roman"/>
                <w:b/>
                <w:noProof/>
                <w:sz w:val="22"/>
                <w:szCs w:val="20"/>
                <w:lang w:val="en-GB"/>
              </w:rPr>
              <w:t>Animals:</w:t>
            </w:r>
            <w:r w:rsidRPr="00BB5286">
              <w:rPr>
                <w:rFonts w:eastAsia="Calibri" w:cs="Times New Roman"/>
                <w:noProof/>
                <w:sz w:val="22"/>
                <w:szCs w:val="20"/>
                <w:lang w:val="en-GB"/>
              </w:rPr>
              <w:t xml:space="preserve"> </w:t>
            </w:r>
            <w:r w:rsidR="7F73239B" w:rsidRPr="00BB5286">
              <w:rPr>
                <w:rFonts w:eastAsia="Calibri" w:cs="Times New Roman"/>
                <w:noProof/>
                <w:sz w:val="22"/>
                <w:szCs w:val="20"/>
                <w:lang w:val="en-GB"/>
              </w:rPr>
              <w:t>a</w:t>
            </w:r>
            <w:r w:rsidRPr="00BB5286">
              <w:rPr>
                <w:rFonts w:eastAsia="Calibri" w:cs="Times New Roman"/>
                <w:noProof/>
                <w:sz w:val="22"/>
                <w:szCs w:val="20"/>
                <w:lang w:val="en-GB"/>
              </w:rPr>
              <w:t>bolish the condition of identification and registration of animals to access coupled income support (</w:t>
            </w:r>
            <w:r w:rsidRPr="00BB5286">
              <w:rPr>
                <w:rFonts w:eastAsia="Calibri" w:cs="Times New Roman"/>
                <w:i/>
                <w:iCs/>
                <w:noProof/>
                <w:sz w:val="22"/>
                <w:szCs w:val="20"/>
                <w:lang w:val="en-GB"/>
              </w:rPr>
              <w:t>Art</w:t>
            </w:r>
            <w:r w:rsidR="2A6C60A6" w:rsidRPr="00BB5286">
              <w:rPr>
                <w:rFonts w:eastAsia="Calibri" w:cs="Times New Roman"/>
                <w:i/>
                <w:iCs/>
                <w:noProof/>
                <w:sz w:val="22"/>
                <w:szCs w:val="20"/>
                <w:lang w:val="en-GB"/>
              </w:rPr>
              <w:t xml:space="preserve">icle </w:t>
            </w:r>
            <w:r w:rsidRPr="00BB5286">
              <w:rPr>
                <w:rFonts w:eastAsia="Calibri" w:cs="Times New Roman"/>
                <w:i/>
                <w:noProof/>
                <w:sz w:val="22"/>
                <w:szCs w:val="20"/>
                <w:lang w:val="en-GB"/>
              </w:rPr>
              <w:t>34(2)</w:t>
            </w:r>
            <w:r w:rsidRPr="00BB5286">
              <w:rPr>
                <w:rFonts w:eastAsia="Calibri" w:cs="Times New Roman"/>
                <w:noProof/>
                <w:sz w:val="22"/>
                <w:szCs w:val="20"/>
                <w:lang w:val="en-GB"/>
              </w:rPr>
              <w:t xml:space="preserve"> of </w:t>
            </w:r>
            <w:r w:rsidR="0AC015A7"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w:t>
            </w:r>
          </w:p>
        </w:tc>
        <w:tc>
          <w:tcPr>
            <w:tcW w:w="1530" w:type="dxa"/>
            <w:tcBorders>
              <w:bottom w:val="single" w:sz="4" w:space="0" w:color="000000" w:themeColor="text1"/>
            </w:tcBorders>
            <w:vAlign w:val="center"/>
          </w:tcPr>
          <w:p w14:paraId="291E7A0C"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DE</w:t>
            </w:r>
          </w:p>
        </w:tc>
        <w:tc>
          <w:tcPr>
            <w:tcW w:w="6660" w:type="dxa"/>
            <w:gridSpan w:val="2"/>
            <w:tcBorders>
              <w:bottom w:val="single" w:sz="4" w:space="0" w:color="000000" w:themeColor="text1"/>
            </w:tcBorders>
            <w:vAlign w:val="center"/>
          </w:tcPr>
          <w:p w14:paraId="694A225F" w14:textId="243BFF6B" w:rsidR="00872C68" w:rsidRPr="00BB5286" w:rsidRDefault="00872C68" w:rsidP="009327C5">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This rule is necessary to ensure that payments are made for the correct number of eligible animals. Lessons learned from the current period will feed the reflection on the post</w:t>
            </w:r>
            <w:r w:rsidR="00FF1425" w:rsidRPr="00BB5286">
              <w:rPr>
                <w:rFonts w:eastAsia="Calibri" w:cs="Times New Roman"/>
                <w:noProof/>
                <w:sz w:val="22"/>
                <w:szCs w:val="20"/>
                <w:lang w:val="en-GB"/>
              </w:rPr>
              <w:t>-</w:t>
            </w:r>
            <w:r w:rsidRPr="00BB5286">
              <w:rPr>
                <w:rFonts w:eastAsia="Calibri" w:cs="Times New Roman"/>
                <w:noProof/>
                <w:sz w:val="22"/>
                <w:szCs w:val="20"/>
                <w:lang w:val="en-GB"/>
              </w:rPr>
              <w:t>2027</w:t>
            </w:r>
            <w:r w:rsidR="00FF1425"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872C68" w:rsidRPr="00BB5286" w14:paraId="54ECDC09" w14:textId="77777777" w:rsidTr="009A4429">
        <w:trPr>
          <w:gridAfter w:val="2"/>
          <w:wAfter w:w="21" w:type="dxa"/>
          <w:trHeight w:val="1517"/>
        </w:trPr>
        <w:tc>
          <w:tcPr>
            <w:tcW w:w="625" w:type="dxa"/>
            <w:tcBorders>
              <w:bottom w:val="single" w:sz="4" w:space="0" w:color="000000" w:themeColor="text1"/>
            </w:tcBorders>
            <w:vAlign w:val="center"/>
          </w:tcPr>
          <w:p w14:paraId="41CE0CF7" w14:textId="5D0C318D" w:rsidR="00872C68" w:rsidRPr="00BB5286" w:rsidRDefault="00872C68" w:rsidP="00040FD1">
            <w:pPr>
              <w:spacing w:after="60" w:line="259" w:lineRule="auto"/>
              <w:rPr>
                <w:rFonts w:eastAsia="Calibri" w:cs="Times New Roman"/>
                <w:b/>
                <w:bCs/>
                <w:noProof/>
                <w:sz w:val="22"/>
                <w:lang w:val="en-GB"/>
              </w:rPr>
            </w:pPr>
            <w:r w:rsidRPr="00BB5286">
              <w:rPr>
                <w:rFonts w:eastAsia="Calibri" w:cs="Times New Roman"/>
                <w:b/>
                <w:bCs/>
                <w:noProof/>
                <w:sz w:val="22"/>
                <w:lang w:val="en-GB"/>
              </w:rPr>
              <w:lastRenderedPageBreak/>
              <w:t>17</w:t>
            </w:r>
            <w:r w:rsidR="00A0403B">
              <w:rPr>
                <w:rFonts w:eastAsia="Calibri" w:cs="Times New Roman"/>
                <w:b/>
                <w:bCs/>
                <w:noProof/>
                <w:sz w:val="22"/>
                <w:lang w:val="en-GB"/>
              </w:rPr>
              <w:t>7</w:t>
            </w:r>
          </w:p>
        </w:tc>
        <w:tc>
          <w:tcPr>
            <w:tcW w:w="5940" w:type="dxa"/>
            <w:gridSpan w:val="2"/>
            <w:tcBorders>
              <w:bottom w:val="single" w:sz="4" w:space="0" w:color="000000" w:themeColor="text1"/>
            </w:tcBorders>
            <w:vAlign w:val="center"/>
          </w:tcPr>
          <w:p w14:paraId="18D437C6" w14:textId="3C94C67A" w:rsidR="00872C68" w:rsidRPr="00BB5286" w:rsidRDefault="00872C68" w:rsidP="00241975">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Animals:</w:t>
            </w:r>
            <w:r w:rsidRPr="00BB5286">
              <w:rPr>
                <w:rFonts w:eastAsia="Calibri" w:cs="Times New Roman"/>
                <w:noProof/>
                <w:sz w:val="22"/>
                <w:szCs w:val="20"/>
                <w:lang w:val="en-GB"/>
              </w:rPr>
              <w:t xml:space="preserve"> </w:t>
            </w:r>
            <w:r w:rsidR="7EC01E65" w:rsidRPr="00BB5286">
              <w:rPr>
                <w:rFonts w:eastAsia="Calibri" w:cs="Times New Roman"/>
                <w:noProof/>
                <w:sz w:val="22"/>
                <w:szCs w:val="20"/>
                <w:lang w:val="en-GB"/>
              </w:rPr>
              <w:t>l</w:t>
            </w:r>
            <w:r w:rsidRPr="00BB5286">
              <w:rPr>
                <w:rFonts w:eastAsia="Calibri" w:cs="Times New Roman"/>
                <w:noProof/>
                <w:sz w:val="22"/>
                <w:szCs w:val="20"/>
                <w:lang w:val="en-GB"/>
              </w:rPr>
              <w:t xml:space="preserve">ate registration of bovine and ovine animals should not disqualify the animals from coupled income support, provided the identification and registration of animals </w:t>
            </w:r>
            <w:r w:rsidR="00FF1425" w:rsidRPr="00BB5286">
              <w:rPr>
                <w:rFonts w:eastAsia="Calibri" w:cs="Times New Roman"/>
                <w:noProof/>
                <w:sz w:val="22"/>
                <w:szCs w:val="20"/>
                <w:lang w:val="en-GB"/>
              </w:rPr>
              <w:t xml:space="preserve">is </w:t>
            </w:r>
            <w:r w:rsidRPr="00BB5286">
              <w:rPr>
                <w:rFonts w:eastAsia="Calibri" w:cs="Times New Roman"/>
                <w:noProof/>
                <w:sz w:val="22"/>
                <w:szCs w:val="20"/>
                <w:lang w:val="en-GB"/>
              </w:rPr>
              <w:t>performed by a date set by the Member State (</w:t>
            </w:r>
            <w:r w:rsidRPr="00BB5286">
              <w:rPr>
                <w:rFonts w:eastAsia="Calibri" w:cs="Times New Roman"/>
                <w:i/>
                <w:iCs/>
                <w:noProof/>
                <w:sz w:val="22"/>
                <w:szCs w:val="20"/>
                <w:lang w:val="en-GB"/>
              </w:rPr>
              <w:t>Art</w:t>
            </w:r>
            <w:r w:rsidR="5C46B63A" w:rsidRPr="00BB5286">
              <w:rPr>
                <w:rFonts w:eastAsia="Calibri" w:cs="Times New Roman"/>
                <w:i/>
                <w:iCs/>
                <w:noProof/>
                <w:sz w:val="22"/>
                <w:szCs w:val="20"/>
                <w:lang w:val="en-GB"/>
              </w:rPr>
              <w:t>icle</w:t>
            </w:r>
            <w:r w:rsidRPr="00BB5286">
              <w:rPr>
                <w:rFonts w:eastAsia="Calibri" w:cs="Times New Roman"/>
                <w:i/>
                <w:noProof/>
                <w:sz w:val="22"/>
                <w:szCs w:val="20"/>
                <w:lang w:val="en-GB"/>
              </w:rPr>
              <w:t xml:space="preserve"> 34(2)</w:t>
            </w:r>
            <w:r w:rsidRPr="00BB5286">
              <w:rPr>
                <w:rFonts w:eastAsia="Calibri" w:cs="Times New Roman"/>
                <w:noProof/>
                <w:sz w:val="22"/>
                <w:szCs w:val="20"/>
                <w:lang w:val="en-GB"/>
              </w:rPr>
              <w:t xml:space="preserve"> of </w:t>
            </w:r>
            <w:r w:rsidR="4511195A" w:rsidRPr="00BB5286">
              <w:rPr>
                <w:rFonts w:eastAsia="Calibri" w:cs="Times New Roman"/>
                <w:noProof/>
                <w:sz w:val="22"/>
                <w:szCs w:val="20"/>
                <w:lang w:val="en-GB"/>
              </w:rPr>
              <w:t>the CSP</w:t>
            </w:r>
            <w:r w:rsidR="002A675A" w:rsidRPr="00BB5286">
              <w:rPr>
                <w:rFonts w:eastAsia="Calibri" w:cs="Times New Roman"/>
                <w:noProof/>
                <w:sz w:val="22"/>
                <w:szCs w:val="20"/>
                <w:lang w:val="en-GB"/>
              </w:rPr>
              <w:t xml:space="preserve"> Regulation</w:t>
            </w:r>
            <w:r w:rsidRPr="00BB5286">
              <w:rPr>
                <w:rFonts w:eastAsia="Calibri" w:cs="Times New Roman"/>
                <w:noProof/>
                <w:sz w:val="22"/>
                <w:szCs w:val="20"/>
                <w:lang w:val="en-GB"/>
              </w:rPr>
              <w:t>)</w:t>
            </w:r>
            <w:r w:rsidR="00241975" w:rsidRPr="00BB5286">
              <w:rPr>
                <w:rFonts w:eastAsia="Calibri" w:cs="Times New Roman"/>
                <w:noProof/>
                <w:sz w:val="22"/>
                <w:szCs w:val="20"/>
                <w:lang w:val="en-GB"/>
              </w:rPr>
              <w:t>.</w:t>
            </w:r>
            <w:r w:rsidRPr="00BB5286">
              <w:rPr>
                <w:rFonts w:eastAsia="Calibri" w:cs="Times New Roman"/>
                <w:noProof/>
                <w:sz w:val="22"/>
                <w:szCs w:val="20"/>
                <w:lang w:val="en-GB"/>
              </w:rPr>
              <w:t xml:space="preserve"> </w:t>
            </w:r>
          </w:p>
        </w:tc>
        <w:tc>
          <w:tcPr>
            <w:tcW w:w="1530" w:type="dxa"/>
            <w:tcBorders>
              <w:bottom w:val="single" w:sz="4" w:space="0" w:color="000000" w:themeColor="text1"/>
            </w:tcBorders>
            <w:vAlign w:val="center"/>
          </w:tcPr>
          <w:p w14:paraId="206C6AD1" w14:textId="77777777" w:rsidR="00872C68" w:rsidRPr="00BB5286" w:rsidRDefault="00872C68" w:rsidP="00040FD1">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w:t>
            </w:r>
          </w:p>
        </w:tc>
        <w:tc>
          <w:tcPr>
            <w:tcW w:w="6660" w:type="dxa"/>
            <w:gridSpan w:val="2"/>
            <w:tcBorders>
              <w:bottom w:val="single" w:sz="4" w:space="0" w:color="000000" w:themeColor="text1"/>
            </w:tcBorders>
            <w:vAlign w:val="center"/>
          </w:tcPr>
          <w:p w14:paraId="1B7AE696" w14:textId="2FA52A18" w:rsidR="00872C68" w:rsidRPr="00BB5286" w:rsidRDefault="00872C68" w:rsidP="009D2766">
            <w:pPr>
              <w:spacing w:after="60" w:line="259" w:lineRule="auto"/>
              <w:jc w:val="both"/>
              <w:rPr>
                <w:rFonts w:eastAsia="Calibri" w:cs="Times New Roman"/>
                <w:noProof/>
                <w:sz w:val="22"/>
                <w:lang w:val="en-GB"/>
              </w:rPr>
            </w:pPr>
            <w:r w:rsidRPr="00BB5286">
              <w:rPr>
                <w:rFonts w:eastAsia="Calibri" w:cs="Times New Roman"/>
                <w:noProof/>
                <w:sz w:val="22"/>
                <w:lang w:val="en-GB"/>
              </w:rPr>
              <w:t>The registration of animals by a certain date in the claim year concerned is necessary to ensure that payments are made for the correct number of eligible animals, while the actual date is left for the Member States to decide.</w:t>
            </w:r>
          </w:p>
        </w:tc>
      </w:tr>
      <w:tr w:rsidR="00A8762C" w:rsidRPr="00BB5286" w14:paraId="5E343C90"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436"/>
        </w:trPr>
        <w:tc>
          <w:tcPr>
            <w:tcW w:w="14755" w:type="dxa"/>
            <w:gridSpan w:val="7"/>
            <w:tcBorders>
              <w:top w:val="single" w:sz="4" w:space="0" w:color="auto"/>
              <w:left w:val="single" w:sz="4" w:space="0" w:color="auto"/>
              <w:bottom w:val="single" w:sz="4" w:space="0" w:color="auto"/>
              <w:right w:val="single" w:sz="4" w:space="0" w:color="auto"/>
            </w:tcBorders>
            <w:shd w:val="clear" w:color="auto" w:fill="003399"/>
            <w:vAlign w:val="center"/>
          </w:tcPr>
          <w:p w14:paraId="1C17F58F" w14:textId="0EDA4D95" w:rsidR="00A8762C" w:rsidRPr="00BB5286" w:rsidRDefault="00A8762C" w:rsidP="00A8762C">
            <w:pPr>
              <w:spacing w:after="60" w:line="259" w:lineRule="auto"/>
              <w:jc w:val="center"/>
              <w:rPr>
                <w:rFonts w:eastAsia="Calibri" w:cs="Times New Roman"/>
                <w:noProof/>
                <w:color w:val="FFFFFF"/>
                <w:sz w:val="22"/>
                <w:lang w:val="en-GB"/>
              </w:rPr>
            </w:pPr>
            <w:r w:rsidRPr="00BB5286">
              <w:rPr>
                <w:rFonts w:eastAsia="Calibri" w:cs="Times New Roman"/>
                <w:b/>
                <w:bCs/>
                <w:noProof/>
                <w:color w:val="FFFFFF"/>
                <w:sz w:val="22"/>
                <w:lang w:val="en-GB"/>
              </w:rPr>
              <w:t xml:space="preserve">CAP </w:t>
            </w:r>
            <w:r w:rsidR="0082578A" w:rsidRPr="00BB5286">
              <w:rPr>
                <w:rFonts w:eastAsia="Calibri" w:cs="Times New Roman"/>
                <w:b/>
                <w:bCs/>
                <w:noProof/>
                <w:color w:val="FFFFFF"/>
                <w:sz w:val="22"/>
                <w:lang w:val="en-GB"/>
              </w:rPr>
              <w:t>s</w:t>
            </w:r>
            <w:r w:rsidRPr="00BB5286">
              <w:rPr>
                <w:rFonts w:eastAsia="Calibri" w:cs="Times New Roman"/>
                <w:b/>
                <w:bCs/>
                <w:noProof/>
                <w:color w:val="FFFFFF"/>
                <w:sz w:val="22"/>
                <w:lang w:val="en-GB"/>
              </w:rPr>
              <w:t xml:space="preserve">trategic </w:t>
            </w:r>
            <w:r w:rsidR="0082578A" w:rsidRPr="00BB5286">
              <w:rPr>
                <w:rFonts w:eastAsia="Calibri" w:cs="Times New Roman"/>
                <w:b/>
                <w:bCs/>
                <w:noProof/>
                <w:color w:val="FFFFFF"/>
                <w:sz w:val="22"/>
                <w:lang w:val="en-GB"/>
              </w:rPr>
              <w:t>p</w:t>
            </w:r>
            <w:r w:rsidRPr="00BB5286">
              <w:rPr>
                <w:rFonts w:eastAsia="Calibri" w:cs="Times New Roman"/>
                <w:b/>
                <w:bCs/>
                <w:noProof/>
                <w:color w:val="FFFFFF"/>
                <w:sz w:val="22"/>
                <w:lang w:val="en-GB"/>
              </w:rPr>
              <w:t xml:space="preserve">lan - </w:t>
            </w:r>
            <w:r w:rsidRPr="00BB5286">
              <w:rPr>
                <w:rFonts w:eastAsia="Calibri" w:cs="Times New Roman"/>
                <w:b/>
                <w:noProof/>
                <w:color w:val="FFFFFF"/>
                <w:sz w:val="22"/>
                <w:lang w:val="en-GB"/>
              </w:rPr>
              <w:t>Sectoral interventions</w:t>
            </w:r>
          </w:p>
        </w:tc>
      </w:tr>
      <w:tr w:rsidR="00A8762C" w:rsidRPr="00BB5286" w14:paraId="5C82EDF6"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1504582A" w14:textId="1F93FD8C"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17</w:t>
            </w:r>
            <w:r w:rsidR="00A0403B">
              <w:rPr>
                <w:rFonts w:eastAsia="Calibri" w:cs="Times New Roman"/>
                <w:b/>
                <w:bCs/>
                <w:noProof/>
                <w:sz w:val="22"/>
                <w:lang w:val="en-GB"/>
              </w:rPr>
              <w:t>8</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6F801" w14:textId="67DF0AA5"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Financial allocation:</w:t>
            </w:r>
            <w:r w:rsidRPr="00BB5286">
              <w:rPr>
                <w:rFonts w:eastAsia="Calibri" w:cs="Times New Roman"/>
                <w:noProof/>
                <w:sz w:val="22"/>
                <w:szCs w:val="20"/>
                <w:lang w:val="en-GB"/>
              </w:rPr>
              <w:t xml:space="preserve"> </w:t>
            </w:r>
            <w:r w:rsidR="02662D0E" w:rsidRPr="00BB5286">
              <w:rPr>
                <w:rFonts w:eastAsia="Calibri" w:cs="Times New Roman"/>
                <w:noProof/>
                <w:sz w:val="22"/>
                <w:szCs w:val="20"/>
                <w:lang w:val="en-GB"/>
              </w:rPr>
              <w:t>i</w:t>
            </w:r>
            <w:r w:rsidRPr="00BB5286">
              <w:rPr>
                <w:rFonts w:eastAsia="Calibri" w:cs="Times New Roman"/>
                <w:noProof/>
                <w:sz w:val="22"/>
                <w:szCs w:val="20"/>
                <w:lang w:val="en-GB"/>
              </w:rPr>
              <w:t>ncreased transfer from direct payments to sectoral schemes.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05539C6"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SK</w:t>
            </w: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61AA1" w14:textId="45C7EC48" w:rsidR="00A8762C" w:rsidRPr="00BB5286" w:rsidRDefault="2C835D81" w:rsidP="00A8762C">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Modification of the decision to transfer allocations from direct payments to other </w:t>
            </w:r>
            <w:r w:rsidR="45E1F244" w:rsidRPr="00BB5286">
              <w:rPr>
                <w:rFonts w:eastAsia="Calibri" w:cs="Times New Roman"/>
                <w:noProof/>
                <w:sz w:val="22"/>
                <w:szCs w:val="20"/>
                <w:lang w:val="en-GB"/>
              </w:rPr>
              <w:t xml:space="preserve">interventions in </w:t>
            </w:r>
            <w:r w:rsidR="3AD9EB0F" w:rsidRPr="00BB5286">
              <w:rPr>
                <w:rFonts w:eastAsia="Calibri" w:cs="Times New Roman"/>
                <w:noProof/>
                <w:sz w:val="22"/>
                <w:szCs w:val="20"/>
                <w:lang w:val="en-GB"/>
              </w:rPr>
              <w:t xml:space="preserve">certain </w:t>
            </w:r>
            <w:r w:rsidRPr="00BB5286">
              <w:rPr>
                <w:rFonts w:eastAsia="Calibri" w:cs="Times New Roman"/>
                <w:noProof/>
                <w:sz w:val="22"/>
                <w:szCs w:val="20"/>
                <w:lang w:val="en-GB"/>
              </w:rPr>
              <w:t>sectors is allowed in 2025 (</w:t>
            </w:r>
            <w:r w:rsidRPr="00BB5286">
              <w:rPr>
                <w:rFonts w:eastAsia="Calibri" w:cs="Times New Roman"/>
                <w:i/>
                <w:iCs/>
                <w:noProof/>
                <w:sz w:val="22"/>
                <w:szCs w:val="20"/>
                <w:lang w:val="en-GB"/>
              </w:rPr>
              <w:t>Article 88(7)</w:t>
            </w:r>
            <w:r w:rsidRPr="00BB5286">
              <w:rPr>
                <w:rFonts w:eastAsia="Calibri" w:cs="Times New Roman"/>
                <w:noProof/>
                <w:sz w:val="22"/>
                <w:szCs w:val="20"/>
                <w:lang w:val="en-GB"/>
              </w:rPr>
              <w:t xml:space="preserve"> of </w:t>
            </w:r>
            <w:r w:rsidR="0B1514AE"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Such transfer would </w:t>
            </w:r>
            <w:r w:rsidR="45E1F244" w:rsidRPr="00BB5286">
              <w:rPr>
                <w:rFonts w:eastAsia="Calibri" w:cs="Times New Roman"/>
                <w:noProof/>
                <w:sz w:val="22"/>
                <w:szCs w:val="20"/>
                <w:lang w:val="en-GB"/>
              </w:rPr>
              <w:t xml:space="preserve">give producer organisations </w:t>
            </w:r>
            <w:r w:rsidR="5C271D09" w:rsidRPr="00BB5286">
              <w:rPr>
                <w:rFonts w:eastAsia="Calibri" w:cs="Times New Roman"/>
                <w:noProof/>
                <w:sz w:val="22"/>
                <w:szCs w:val="20"/>
                <w:lang w:val="en-GB"/>
              </w:rPr>
              <w:t xml:space="preserve">(POs) </w:t>
            </w:r>
            <w:r w:rsidR="45E1F244" w:rsidRPr="00BB5286">
              <w:rPr>
                <w:rFonts w:eastAsia="Calibri" w:cs="Times New Roman"/>
                <w:noProof/>
                <w:sz w:val="22"/>
                <w:szCs w:val="20"/>
                <w:lang w:val="en-GB"/>
              </w:rPr>
              <w:t>the</w:t>
            </w:r>
            <w:r w:rsidRPr="00BB5286">
              <w:rPr>
                <w:rFonts w:eastAsia="Calibri" w:cs="Times New Roman"/>
                <w:noProof/>
                <w:sz w:val="22"/>
                <w:szCs w:val="20"/>
                <w:lang w:val="en-GB"/>
              </w:rPr>
              <w:t xml:space="preserve"> possibility to implement operational programmes as from 2027, the last claim year of this programming period. </w:t>
            </w:r>
          </w:p>
          <w:p w14:paraId="198840B9" w14:textId="6DB679B8" w:rsidR="00A8762C" w:rsidRPr="005C0CF2" w:rsidDel="00DA1B28"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w:t>
            </w:r>
            <w:r w:rsidR="00FF1425" w:rsidRPr="00BB5286">
              <w:rPr>
                <w:rFonts w:eastAsia="Calibri" w:cs="Times New Roman"/>
                <w:noProof/>
                <w:sz w:val="22"/>
                <w:lang w:val="en-GB"/>
              </w:rPr>
              <w:t>percentage</w:t>
            </w:r>
            <w:r w:rsidRPr="00BB5286">
              <w:rPr>
                <w:rFonts w:eastAsia="Calibri" w:cs="Times New Roman"/>
                <w:noProof/>
                <w:sz w:val="22"/>
                <w:lang w:val="en-GB"/>
              </w:rPr>
              <w:t xml:space="preserve"> level up to which allocations from direct payments can be transferred to interventions in ’other’ sectors (the only option for </w:t>
            </w:r>
            <w:r w:rsidRPr="005C0CF2">
              <w:rPr>
                <w:rFonts w:eastAsia="Calibri" w:cs="Times New Roman"/>
                <w:noProof/>
                <w:sz w:val="22"/>
                <w:lang w:val="en-GB"/>
              </w:rPr>
              <w:t xml:space="preserve">transfer to these sector interventions under current </w:t>
            </w:r>
            <w:r w:rsidR="00AF7B1A" w:rsidRPr="005C0CF2">
              <w:rPr>
                <w:rFonts w:eastAsia="Calibri" w:cs="Times New Roman"/>
                <w:noProof/>
                <w:sz w:val="22"/>
                <w:lang w:val="en-GB"/>
              </w:rPr>
              <w:t xml:space="preserve">EU </w:t>
            </w:r>
            <w:r w:rsidRPr="005C0CF2">
              <w:rPr>
                <w:rFonts w:eastAsia="Calibri" w:cs="Times New Roman"/>
                <w:noProof/>
                <w:sz w:val="22"/>
                <w:lang w:val="en-GB"/>
              </w:rPr>
              <w:t xml:space="preserve">legislation) is limited. However, at this moment, Member States do not even implement the transfer of the already planned amounts. </w:t>
            </w:r>
          </w:p>
          <w:p w14:paraId="1B27AF75" w14:textId="0C687039" w:rsidR="00A8762C" w:rsidRPr="00BB5286" w:rsidRDefault="00FF1425" w:rsidP="00A8762C">
            <w:pPr>
              <w:spacing w:after="60" w:line="259" w:lineRule="auto"/>
              <w:jc w:val="both"/>
              <w:rPr>
                <w:rFonts w:eastAsia="Calibri" w:cs="Times New Roman"/>
                <w:noProof/>
                <w:sz w:val="22"/>
                <w:lang w:val="en-GB"/>
              </w:rPr>
            </w:pPr>
            <w:r w:rsidRPr="005C0CF2">
              <w:rPr>
                <w:rFonts w:eastAsia="Calibri" w:cs="Times New Roman"/>
                <w:noProof/>
                <w:sz w:val="22"/>
                <w:lang w:val="en-GB"/>
              </w:rPr>
              <w:t>The f</w:t>
            </w:r>
            <w:r w:rsidR="00A8762C" w:rsidRPr="005C0CF2">
              <w:rPr>
                <w:rFonts w:eastAsia="Calibri" w:cs="Times New Roman"/>
                <w:noProof/>
                <w:sz w:val="22"/>
                <w:lang w:val="en-GB"/>
              </w:rPr>
              <w:t>easibility and impact of this proposal is being examined.</w:t>
            </w:r>
            <w:r w:rsidR="00A8762C" w:rsidRPr="00BB5286">
              <w:rPr>
                <w:rFonts w:eastAsia="Calibri" w:cs="Times New Roman"/>
                <w:noProof/>
                <w:sz w:val="22"/>
                <w:lang w:val="en-GB"/>
              </w:rPr>
              <w:t xml:space="preserve">  </w:t>
            </w:r>
          </w:p>
        </w:tc>
      </w:tr>
      <w:tr w:rsidR="00A8762C" w:rsidRPr="00BB5286" w14:paraId="42268CD5"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25EFDF62" w14:textId="6521A890"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w:t>
            </w:r>
            <w:r w:rsidR="00A0403B">
              <w:rPr>
                <w:rFonts w:eastAsia="Calibri" w:cs="Times New Roman"/>
                <w:b/>
                <w:bCs/>
                <w:noProof/>
                <w:sz w:val="22"/>
                <w:lang w:val="en-GB"/>
              </w:rPr>
              <w:t>79</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968B2" w14:textId="1DA5EF3C"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b/>
                <w:bCs/>
                <w:noProof/>
                <w:sz w:val="22"/>
                <w:lang w:val="en-GB"/>
              </w:rPr>
              <w:t>Financial allocation:</w:t>
            </w:r>
            <w:r w:rsidRPr="00BB5286">
              <w:rPr>
                <w:rFonts w:eastAsia="Calibri" w:cs="Times New Roman"/>
                <w:noProof/>
                <w:sz w:val="22"/>
                <w:lang w:val="en-GB"/>
              </w:rPr>
              <w:t xml:space="preserve"> Member States should be allowed to increase the allocations for sectoral interventions more than once during the entire CAP period 2023-2027.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7127A69"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SK</w:t>
            </w: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EF0D4" w14:textId="39CC8A3D"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increase in the maximum number of requests for CSP amendments is included in the Commission proposal which is part of the </w:t>
            </w:r>
            <w:r w:rsidR="00FF1425" w:rsidRPr="00BB5286">
              <w:rPr>
                <w:rFonts w:eastAsia="Calibri" w:cs="Times New Roman"/>
                <w:noProof/>
                <w:sz w:val="22"/>
                <w:lang w:val="en-GB"/>
              </w:rPr>
              <w:t>s</w:t>
            </w:r>
            <w:r w:rsidRPr="00BB5286">
              <w:rPr>
                <w:rFonts w:eastAsia="Calibri" w:cs="Times New Roman"/>
                <w:noProof/>
                <w:sz w:val="22"/>
                <w:lang w:val="en-GB"/>
              </w:rPr>
              <w:t xml:space="preserve">implification </w:t>
            </w:r>
            <w:r w:rsidR="00FF1425" w:rsidRPr="00BB5286">
              <w:rPr>
                <w:rFonts w:eastAsia="Calibri" w:cs="Times New Roman"/>
                <w:noProof/>
                <w:sz w:val="22"/>
                <w:lang w:val="en-GB"/>
              </w:rPr>
              <w:t>p</w:t>
            </w:r>
            <w:r w:rsidRPr="00BB5286">
              <w:rPr>
                <w:rFonts w:eastAsia="Calibri" w:cs="Times New Roman"/>
                <w:noProof/>
                <w:sz w:val="22"/>
                <w:lang w:val="en-GB"/>
              </w:rPr>
              <w:t xml:space="preserve">ackage. The Commission proposed to increase the number of requests for amendment of </w:t>
            </w:r>
            <w:r w:rsidR="00523AA0" w:rsidRPr="00BB5286">
              <w:rPr>
                <w:rFonts w:eastAsia="Calibri" w:cs="Times New Roman"/>
                <w:noProof/>
                <w:sz w:val="22"/>
                <w:lang w:val="en-GB"/>
              </w:rPr>
              <w:t>CAP Plans</w:t>
            </w:r>
            <w:r w:rsidRPr="00BB5286">
              <w:rPr>
                <w:rFonts w:eastAsia="Calibri" w:cs="Times New Roman"/>
                <w:noProof/>
                <w:sz w:val="22"/>
                <w:lang w:val="en-GB"/>
              </w:rPr>
              <w:t xml:space="preserve"> which a Member State may submit to two per year (up from one per year).</w:t>
            </w:r>
            <w:r w:rsidR="00A9088C" w:rsidRPr="00BB5286">
              <w:rPr>
                <w:rFonts w:eastAsia="Calibri" w:cs="Times New Roman"/>
                <w:noProof/>
                <w:sz w:val="22"/>
                <w:lang w:val="en-GB"/>
              </w:rPr>
              <w:t xml:space="preserve"> See also the adopted Simplification Regulation.</w:t>
            </w:r>
          </w:p>
          <w:p w14:paraId="2B99B0F6" w14:textId="361ACDB8" w:rsidR="00A8762C" w:rsidRPr="00BB5286" w:rsidRDefault="2C835D81" w:rsidP="00A8762C">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A modification of the decision to transfer allocations from direct payments to interventions </w:t>
            </w:r>
            <w:r w:rsidR="6195E3BA" w:rsidRPr="00BB5286">
              <w:rPr>
                <w:rFonts w:eastAsia="Calibri" w:cs="Times New Roman"/>
                <w:noProof/>
                <w:sz w:val="22"/>
                <w:szCs w:val="20"/>
                <w:lang w:val="en-GB"/>
              </w:rPr>
              <w:t>in certain sectors</w:t>
            </w:r>
            <w:r w:rsidR="0D1525E5" w:rsidRPr="00BB5286">
              <w:rPr>
                <w:rFonts w:eastAsia="Calibri" w:cs="Times New Roman"/>
                <w:noProof/>
                <w:sz w:val="22"/>
                <w:szCs w:val="20"/>
                <w:lang w:val="en-GB"/>
              </w:rPr>
              <w:t xml:space="preserve"> </w:t>
            </w:r>
            <w:r w:rsidRPr="00BB5286">
              <w:rPr>
                <w:rFonts w:eastAsia="Calibri" w:cs="Times New Roman"/>
                <w:noProof/>
                <w:sz w:val="22"/>
                <w:szCs w:val="20"/>
                <w:lang w:val="en-GB"/>
              </w:rPr>
              <w:t>is allowed in 2025 (</w:t>
            </w:r>
            <w:r w:rsidRPr="00BB5286">
              <w:rPr>
                <w:rFonts w:eastAsia="Calibri" w:cs="Times New Roman"/>
                <w:i/>
                <w:iCs/>
                <w:noProof/>
                <w:sz w:val="22"/>
                <w:szCs w:val="20"/>
                <w:lang w:val="en-GB"/>
              </w:rPr>
              <w:t>Article 88(7)</w:t>
            </w:r>
            <w:r w:rsidRPr="00BB5286">
              <w:rPr>
                <w:rFonts w:eastAsia="Calibri" w:cs="Times New Roman"/>
                <w:noProof/>
                <w:sz w:val="22"/>
                <w:szCs w:val="20"/>
                <w:lang w:val="en-GB"/>
              </w:rPr>
              <w:t xml:space="preserve"> of </w:t>
            </w:r>
            <w:r w:rsidR="6C55BBEC"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Such </w:t>
            </w:r>
            <w:r w:rsidR="45E1F244" w:rsidRPr="00BB5286">
              <w:rPr>
                <w:rFonts w:eastAsia="Calibri" w:cs="Times New Roman"/>
                <w:noProof/>
                <w:sz w:val="22"/>
                <w:szCs w:val="20"/>
                <w:lang w:val="en-GB"/>
              </w:rPr>
              <w:t xml:space="preserve">a </w:t>
            </w:r>
            <w:r w:rsidRPr="00BB5286">
              <w:rPr>
                <w:rFonts w:eastAsia="Calibri" w:cs="Times New Roman"/>
                <w:noProof/>
                <w:sz w:val="22"/>
                <w:szCs w:val="20"/>
                <w:lang w:val="en-GB"/>
              </w:rPr>
              <w:t xml:space="preserve">transfer would </w:t>
            </w:r>
            <w:r w:rsidR="45E1F244" w:rsidRPr="00BB5286">
              <w:rPr>
                <w:rFonts w:eastAsia="Calibri" w:cs="Times New Roman"/>
                <w:noProof/>
                <w:sz w:val="22"/>
                <w:szCs w:val="20"/>
                <w:lang w:val="en-GB"/>
              </w:rPr>
              <w:t xml:space="preserve">give </w:t>
            </w:r>
            <w:r w:rsidR="19A03739" w:rsidRPr="00BB5286">
              <w:rPr>
                <w:rFonts w:eastAsia="Calibri" w:cs="Times New Roman"/>
                <w:noProof/>
                <w:sz w:val="22"/>
                <w:szCs w:val="20"/>
                <w:lang w:val="en-GB"/>
              </w:rPr>
              <w:t>POs</w:t>
            </w:r>
            <w:r w:rsidR="45E1F244" w:rsidRPr="00BB5286">
              <w:rPr>
                <w:rFonts w:eastAsia="Calibri" w:cs="Times New Roman"/>
                <w:noProof/>
                <w:sz w:val="22"/>
                <w:szCs w:val="20"/>
                <w:lang w:val="en-GB"/>
              </w:rPr>
              <w:t xml:space="preserve"> the</w:t>
            </w:r>
            <w:r w:rsidRPr="00BB5286">
              <w:rPr>
                <w:rFonts w:eastAsia="Calibri" w:cs="Times New Roman"/>
                <w:noProof/>
                <w:sz w:val="22"/>
                <w:szCs w:val="20"/>
                <w:lang w:val="en-GB"/>
              </w:rPr>
              <w:t xml:space="preserve"> </w:t>
            </w:r>
            <w:r w:rsidRPr="00BB5286">
              <w:rPr>
                <w:rFonts w:eastAsia="Calibri" w:cs="Times New Roman"/>
                <w:noProof/>
                <w:sz w:val="22"/>
                <w:szCs w:val="20"/>
                <w:lang w:val="en-GB"/>
              </w:rPr>
              <w:lastRenderedPageBreak/>
              <w:t xml:space="preserve">possibility to implement operational programmes as from 2027, the last claim year of this programming period. </w:t>
            </w:r>
          </w:p>
        </w:tc>
      </w:tr>
      <w:tr w:rsidR="00A8762C" w:rsidRPr="00BB5286" w14:paraId="0C59AE02"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1381"/>
        </w:trPr>
        <w:tc>
          <w:tcPr>
            <w:tcW w:w="625" w:type="dxa"/>
            <w:tcBorders>
              <w:top w:val="single" w:sz="4" w:space="0" w:color="auto"/>
              <w:left w:val="single" w:sz="4" w:space="0" w:color="auto"/>
              <w:bottom w:val="single" w:sz="4" w:space="0" w:color="auto"/>
              <w:right w:val="single" w:sz="4" w:space="0" w:color="auto"/>
            </w:tcBorders>
            <w:vAlign w:val="center"/>
          </w:tcPr>
          <w:p w14:paraId="5BF59B72" w14:textId="2EDB7F9F"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18</w:t>
            </w:r>
            <w:r w:rsidR="00A0403B">
              <w:rPr>
                <w:rFonts w:eastAsia="Calibri" w:cs="Times New Roman"/>
                <w:b/>
                <w:bCs/>
                <w:noProof/>
                <w:sz w:val="22"/>
                <w:lang w:val="en-GB"/>
              </w:rPr>
              <w:t>0</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78595CF8" w14:textId="2C6288DD" w:rsidR="00A8762C" w:rsidRPr="00BB5286" w:rsidRDefault="2C835D81" w:rsidP="6F217AB4">
            <w:pPr>
              <w:spacing w:after="60" w:line="259" w:lineRule="auto"/>
              <w:jc w:val="both"/>
              <w:rPr>
                <w:rFonts w:eastAsia="Calibri" w:cs="Times New Roman"/>
                <w:b/>
                <w:bCs/>
                <w:noProof/>
                <w:sz w:val="22"/>
                <w:szCs w:val="20"/>
                <w:lang w:val="en-GB"/>
              </w:rPr>
            </w:pPr>
            <w:r w:rsidRPr="00BB5286">
              <w:rPr>
                <w:rFonts w:eastAsia="Calibri" w:cs="Times New Roman"/>
                <w:b/>
                <w:bCs/>
                <w:noProof/>
                <w:sz w:val="22"/>
                <w:szCs w:val="20"/>
                <w:lang w:val="en-GB"/>
              </w:rPr>
              <w:t>Financial allocation:</w:t>
            </w:r>
            <w:r w:rsidRPr="00BB5286">
              <w:rPr>
                <w:rFonts w:eastAsia="Calibri" w:cs="Times New Roman"/>
                <w:noProof/>
                <w:sz w:val="22"/>
                <w:szCs w:val="20"/>
                <w:lang w:val="en-GB"/>
              </w:rPr>
              <w:t xml:space="preserve"> </w:t>
            </w:r>
            <w:r w:rsidR="22AF2911" w:rsidRPr="00BB5286">
              <w:rPr>
                <w:rFonts w:eastAsia="Calibri" w:cs="Times New Roman"/>
                <w:noProof/>
                <w:sz w:val="22"/>
                <w:szCs w:val="20"/>
                <w:lang w:val="en-GB"/>
              </w:rPr>
              <w:t>e</w:t>
            </w:r>
            <w:r w:rsidRPr="00BB5286">
              <w:rPr>
                <w:rFonts w:eastAsia="Calibri" w:cs="Times New Roman"/>
                <w:noProof/>
                <w:sz w:val="22"/>
                <w:szCs w:val="20"/>
                <w:lang w:val="en-GB"/>
              </w:rPr>
              <w:t xml:space="preserve">xclude </w:t>
            </w:r>
            <w:r w:rsidR="45E1F244" w:rsidRPr="00BB5286">
              <w:rPr>
                <w:rFonts w:eastAsia="Calibri" w:cs="Times New Roman"/>
                <w:noProof/>
                <w:sz w:val="22"/>
                <w:szCs w:val="20"/>
                <w:lang w:val="en-GB"/>
              </w:rPr>
              <w:t xml:space="preserve">the </w:t>
            </w:r>
            <w:r w:rsidRPr="00BB5286">
              <w:rPr>
                <w:rFonts w:eastAsia="Calibri" w:cs="Times New Roman"/>
                <w:noProof/>
                <w:sz w:val="22"/>
                <w:szCs w:val="20"/>
                <w:lang w:val="en-GB"/>
              </w:rPr>
              <w:t xml:space="preserve">linking </w:t>
            </w:r>
            <w:r w:rsidR="45E1F244" w:rsidRPr="00BB5286">
              <w:rPr>
                <w:rFonts w:eastAsia="Calibri" w:cs="Times New Roman"/>
                <w:noProof/>
                <w:sz w:val="22"/>
                <w:szCs w:val="20"/>
                <w:lang w:val="en-GB"/>
              </w:rPr>
              <w:t xml:space="preserve">of </w:t>
            </w:r>
            <w:r w:rsidRPr="00BB5286">
              <w:rPr>
                <w:rFonts w:eastAsia="Calibri" w:cs="Times New Roman"/>
                <w:noProof/>
                <w:sz w:val="22"/>
                <w:szCs w:val="20"/>
                <w:lang w:val="en-GB"/>
              </w:rPr>
              <w:t xml:space="preserve">Member States' allocations to the financial year for </w:t>
            </w:r>
            <w:r w:rsidR="45E1F244" w:rsidRPr="00BB5286">
              <w:rPr>
                <w:rFonts w:eastAsia="Calibri" w:cs="Times New Roman"/>
                <w:noProof/>
                <w:sz w:val="22"/>
                <w:szCs w:val="20"/>
                <w:lang w:val="en-GB"/>
              </w:rPr>
              <w:t xml:space="preserve">certain </w:t>
            </w:r>
            <w:r w:rsidRPr="00BB5286">
              <w:rPr>
                <w:rFonts w:eastAsia="Calibri" w:cs="Times New Roman"/>
                <w:noProof/>
                <w:sz w:val="22"/>
                <w:szCs w:val="20"/>
                <w:lang w:val="en-GB"/>
              </w:rPr>
              <w:t xml:space="preserve">types of interventions in </w:t>
            </w:r>
            <w:r w:rsidR="45E1F244" w:rsidRPr="00BB5286">
              <w:rPr>
                <w:rFonts w:eastAsia="Calibri" w:cs="Times New Roman"/>
                <w:noProof/>
                <w:sz w:val="22"/>
                <w:szCs w:val="20"/>
                <w:lang w:val="en-GB"/>
              </w:rPr>
              <w:t xml:space="preserve">the </w:t>
            </w:r>
            <w:r w:rsidRPr="00BB5286">
              <w:rPr>
                <w:rFonts w:eastAsia="Calibri" w:cs="Times New Roman"/>
                <w:noProof/>
                <w:sz w:val="22"/>
                <w:szCs w:val="20"/>
                <w:lang w:val="en-GB"/>
              </w:rPr>
              <w:t xml:space="preserve">wine and apiculture sectors </w:t>
            </w:r>
          </w:p>
        </w:tc>
        <w:tc>
          <w:tcPr>
            <w:tcW w:w="1530" w:type="dxa"/>
            <w:tcBorders>
              <w:top w:val="single" w:sz="4" w:space="0" w:color="auto"/>
              <w:left w:val="single" w:sz="4" w:space="0" w:color="auto"/>
              <w:bottom w:val="single" w:sz="4" w:space="0" w:color="auto"/>
              <w:right w:val="single" w:sz="4" w:space="0" w:color="auto"/>
            </w:tcBorders>
            <w:vAlign w:val="center"/>
          </w:tcPr>
          <w:p w14:paraId="1750A044"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LT</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0B210216" w14:textId="1208FD45" w:rsidR="00A8762C" w:rsidRPr="00BB5286" w:rsidRDefault="00A8762C" w:rsidP="00A8762C">
            <w:pPr>
              <w:spacing w:after="60" w:line="259" w:lineRule="auto"/>
              <w:jc w:val="both"/>
              <w:rPr>
                <w:rFonts w:eastAsia="Calibri" w:cs="Times New Roman"/>
                <w:noProof/>
                <w:sz w:val="22"/>
                <w:szCs w:val="20"/>
                <w:highlight w:val="yellow"/>
                <w:lang w:val="en-GB"/>
              </w:rPr>
            </w:pPr>
            <w:r w:rsidRPr="00BB5286">
              <w:rPr>
                <w:rFonts w:eastAsia="Calibri" w:cs="Times New Roman"/>
                <w:noProof/>
                <w:sz w:val="22"/>
                <w:szCs w:val="20"/>
                <w:lang w:val="en-GB"/>
              </w:rPr>
              <w:t>This is linked to the annual nature of the EAGF allocations</w:t>
            </w:r>
            <w:r w:rsidR="00FF1425" w:rsidRPr="00BB5286">
              <w:rPr>
                <w:rFonts w:eastAsia="Calibri" w:cs="Times New Roman"/>
                <w:noProof/>
                <w:sz w:val="22"/>
                <w:szCs w:val="20"/>
                <w:lang w:val="en-GB"/>
              </w:rPr>
              <w:t>,</w:t>
            </w:r>
            <w:r w:rsidRPr="00BB5286">
              <w:rPr>
                <w:rFonts w:eastAsia="Calibri" w:cs="Times New Roman"/>
                <w:noProof/>
                <w:sz w:val="22"/>
                <w:szCs w:val="20"/>
                <w:lang w:val="en-GB"/>
              </w:rPr>
              <w:t xml:space="preserve"> which the planning per financial year for interventions in certain sectors in the CSP follows throughout the current programming period. Lessons learned from the current period will feed </w:t>
            </w:r>
            <w:r w:rsidR="00FF1425" w:rsidRPr="00BB5286">
              <w:rPr>
                <w:rFonts w:eastAsia="Calibri" w:cs="Times New Roman"/>
                <w:noProof/>
                <w:sz w:val="22"/>
                <w:szCs w:val="20"/>
                <w:lang w:val="en-GB"/>
              </w:rPr>
              <w:t xml:space="preserve">into </w:t>
            </w:r>
            <w:r w:rsidRPr="00BB5286">
              <w:rPr>
                <w:rFonts w:eastAsia="Calibri" w:cs="Times New Roman"/>
                <w:noProof/>
                <w:sz w:val="22"/>
                <w:szCs w:val="20"/>
                <w:lang w:val="en-GB"/>
              </w:rPr>
              <w:t>the reflection on the post</w:t>
            </w:r>
            <w:r w:rsidR="00FF1425" w:rsidRPr="00BB5286">
              <w:rPr>
                <w:rFonts w:eastAsia="Calibri" w:cs="Times New Roman"/>
                <w:noProof/>
                <w:sz w:val="22"/>
                <w:szCs w:val="20"/>
                <w:lang w:val="en-GB"/>
              </w:rPr>
              <w:t>-</w:t>
            </w:r>
            <w:r w:rsidRPr="00BB5286">
              <w:rPr>
                <w:rFonts w:eastAsia="Calibri" w:cs="Times New Roman"/>
                <w:noProof/>
                <w:sz w:val="22"/>
                <w:szCs w:val="20"/>
                <w:lang w:val="en-GB"/>
              </w:rPr>
              <w:t>2027</w:t>
            </w:r>
            <w:r w:rsidR="00FF1425"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A8762C" w:rsidRPr="00BB5286" w14:paraId="7312CC69"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6775360D" w14:textId="7ED4716B"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18</w:t>
            </w:r>
            <w:r w:rsidR="00A0403B">
              <w:rPr>
                <w:rFonts w:eastAsia="Calibri" w:cs="Times New Roman"/>
                <w:b/>
                <w:bCs/>
                <w:noProof/>
                <w:sz w:val="22"/>
                <w:lang w:val="en-GB"/>
              </w:rPr>
              <w:t>1</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16A77AD3" w14:textId="6C7DB10C"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Simplified procedure:</w:t>
            </w:r>
            <w:r w:rsidRPr="00BB5286">
              <w:rPr>
                <w:rFonts w:eastAsia="Calibri" w:cs="Times New Roman"/>
                <w:noProof/>
                <w:sz w:val="22"/>
                <w:szCs w:val="20"/>
                <w:lang w:val="en-GB"/>
              </w:rPr>
              <w:t xml:space="preserve"> </w:t>
            </w:r>
            <w:r w:rsidR="44B1B9DD" w:rsidRPr="00BB5286">
              <w:rPr>
                <w:rFonts w:eastAsia="Calibri" w:cs="Times New Roman"/>
                <w:noProof/>
                <w:sz w:val="22"/>
                <w:szCs w:val="20"/>
                <w:lang w:val="en-GB"/>
              </w:rPr>
              <w:t>t</w:t>
            </w:r>
            <w:r w:rsidRPr="00BB5286">
              <w:rPr>
                <w:rFonts w:eastAsia="Calibri" w:cs="Times New Roman"/>
                <w:noProof/>
                <w:sz w:val="22"/>
                <w:szCs w:val="20"/>
                <w:lang w:val="en-GB"/>
              </w:rPr>
              <w:t xml:space="preserve">he administrative burden of sectoral interventions is disproportionate. If support received by </w:t>
            </w:r>
            <w:r w:rsidR="00FF1425" w:rsidRPr="00BB5286">
              <w:rPr>
                <w:rFonts w:eastAsia="Calibri" w:cs="Times New Roman"/>
                <w:noProof/>
                <w:sz w:val="22"/>
                <w:szCs w:val="20"/>
                <w:lang w:val="en-GB"/>
              </w:rPr>
              <w:t xml:space="preserve">a </w:t>
            </w:r>
            <w:r w:rsidRPr="00BB5286">
              <w:rPr>
                <w:rFonts w:eastAsia="Calibri" w:cs="Times New Roman"/>
                <w:noProof/>
                <w:sz w:val="22"/>
                <w:szCs w:val="20"/>
                <w:lang w:val="en-GB"/>
              </w:rPr>
              <w:t>Member State is less than 2%</w:t>
            </w:r>
            <w:r w:rsidR="00FF1425" w:rsidRPr="00BB5286">
              <w:rPr>
                <w:rFonts w:eastAsia="Calibri" w:cs="Times New Roman"/>
                <w:noProof/>
                <w:sz w:val="22"/>
                <w:szCs w:val="20"/>
                <w:lang w:val="en-GB"/>
              </w:rPr>
              <w:t>, the</w:t>
            </w:r>
            <w:r w:rsidRPr="00BB5286">
              <w:rPr>
                <w:rFonts w:eastAsia="Calibri" w:cs="Times New Roman"/>
                <w:noProof/>
                <w:sz w:val="22"/>
                <w:szCs w:val="20"/>
                <w:lang w:val="en-GB"/>
              </w:rPr>
              <w:t xml:space="preserve"> Member State should be allowed to follow a simplified procedure</w:t>
            </w:r>
          </w:p>
        </w:tc>
        <w:tc>
          <w:tcPr>
            <w:tcW w:w="1530" w:type="dxa"/>
            <w:tcBorders>
              <w:top w:val="single" w:sz="4" w:space="0" w:color="auto"/>
              <w:left w:val="single" w:sz="4" w:space="0" w:color="auto"/>
              <w:bottom w:val="single" w:sz="4" w:space="0" w:color="auto"/>
              <w:right w:val="single" w:sz="4" w:space="0" w:color="auto"/>
            </w:tcBorders>
            <w:vAlign w:val="center"/>
          </w:tcPr>
          <w:p w14:paraId="321FABEC"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FI</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04134A37" w14:textId="269E2F4F"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FF1425" w:rsidRPr="00BB5286">
              <w:rPr>
                <w:rFonts w:eastAsia="Calibri" w:cs="Times New Roman"/>
                <w:noProof/>
                <w:sz w:val="22"/>
                <w:lang w:val="en-GB"/>
              </w:rPr>
              <w:t xml:space="preserve">into </w:t>
            </w:r>
            <w:r w:rsidRPr="00BB5286">
              <w:rPr>
                <w:rFonts w:eastAsia="Calibri" w:cs="Times New Roman"/>
                <w:noProof/>
                <w:sz w:val="22"/>
                <w:lang w:val="en-GB"/>
              </w:rPr>
              <w:t>the reflection on the post</w:t>
            </w:r>
            <w:r w:rsidR="00FF1425" w:rsidRPr="00BB5286">
              <w:rPr>
                <w:rFonts w:eastAsia="Calibri" w:cs="Times New Roman"/>
                <w:noProof/>
                <w:sz w:val="22"/>
                <w:lang w:val="en-GB"/>
              </w:rPr>
              <w:t>-</w:t>
            </w:r>
            <w:r w:rsidRPr="00BB5286">
              <w:rPr>
                <w:rFonts w:eastAsia="Calibri" w:cs="Times New Roman"/>
                <w:noProof/>
                <w:sz w:val="22"/>
                <w:lang w:val="en-GB"/>
              </w:rPr>
              <w:t>2027</w:t>
            </w:r>
            <w:r w:rsidR="00FF1425" w:rsidRPr="00BB5286">
              <w:rPr>
                <w:rFonts w:eastAsia="Calibri" w:cs="Times New Roman"/>
                <w:noProof/>
                <w:sz w:val="22"/>
                <w:lang w:val="en-GB"/>
              </w:rPr>
              <w:t xml:space="preserve"> CAP</w:t>
            </w:r>
            <w:r w:rsidRPr="00BB5286">
              <w:rPr>
                <w:rFonts w:eastAsia="Calibri" w:cs="Times New Roman"/>
                <w:noProof/>
                <w:sz w:val="22"/>
                <w:lang w:val="en-GB"/>
              </w:rPr>
              <w:t>.</w:t>
            </w:r>
          </w:p>
        </w:tc>
      </w:tr>
      <w:tr w:rsidR="00A8762C" w:rsidRPr="00BB5286" w14:paraId="1AA33028"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3338CD55" w14:textId="7FA74329"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18</w:t>
            </w:r>
            <w:r w:rsidR="00A0403B">
              <w:rPr>
                <w:rFonts w:eastAsia="Calibri" w:cs="Times New Roman"/>
                <w:b/>
                <w:bCs/>
                <w:noProof/>
                <w:sz w:val="22"/>
                <w:lang w:val="en-GB"/>
              </w:rPr>
              <w:t>2</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A1304" w14:textId="547EA07C"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Aid intensity:</w:t>
            </w:r>
            <w:r w:rsidR="001C0BCF" w:rsidRPr="00BB5286">
              <w:rPr>
                <w:rFonts w:eastAsia="Calibri" w:cs="Times New Roman"/>
                <w:noProof/>
                <w:sz w:val="22"/>
                <w:szCs w:val="20"/>
                <w:lang w:val="en-GB"/>
              </w:rPr>
              <w:t xml:space="preserve"> </w:t>
            </w:r>
            <w:r w:rsidR="07D34BB0" w:rsidRPr="00BB5286">
              <w:rPr>
                <w:rFonts w:eastAsia="Calibri" w:cs="Times New Roman"/>
                <w:noProof/>
                <w:sz w:val="22"/>
                <w:szCs w:val="20"/>
                <w:lang w:val="en-GB"/>
              </w:rPr>
              <w:t>i</w:t>
            </w:r>
            <w:r w:rsidRPr="00BB5286">
              <w:rPr>
                <w:rFonts w:eastAsia="Calibri" w:cs="Times New Roman"/>
                <w:noProof/>
                <w:sz w:val="22"/>
                <w:szCs w:val="20"/>
                <w:lang w:val="en-GB"/>
              </w:rPr>
              <w:t xml:space="preserve">ncreasing the aid intensity for </w:t>
            </w:r>
            <w:r w:rsidR="00FF1425" w:rsidRPr="00BB5286">
              <w:rPr>
                <w:rFonts w:eastAsia="Calibri" w:cs="Times New Roman"/>
                <w:noProof/>
                <w:sz w:val="22"/>
                <w:szCs w:val="20"/>
                <w:lang w:val="en-GB"/>
              </w:rPr>
              <w:t>p</w:t>
            </w:r>
            <w:r w:rsidRPr="00BB5286">
              <w:rPr>
                <w:rFonts w:eastAsia="Calibri" w:cs="Times New Roman"/>
                <w:noProof/>
                <w:sz w:val="22"/>
                <w:szCs w:val="20"/>
                <w:lang w:val="en-GB"/>
              </w:rPr>
              <w:t xml:space="preserve">roducer </w:t>
            </w:r>
            <w:r w:rsidR="00FF1425" w:rsidRPr="00BB5286">
              <w:rPr>
                <w:rFonts w:eastAsia="Calibri" w:cs="Times New Roman"/>
                <w:noProof/>
                <w:sz w:val="22"/>
                <w:szCs w:val="20"/>
                <w:lang w:val="en-GB"/>
              </w:rPr>
              <w:t>o</w:t>
            </w:r>
            <w:r w:rsidRPr="00BB5286">
              <w:rPr>
                <w:rFonts w:eastAsia="Calibri" w:cs="Times New Roman"/>
                <w:noProof/>
                <w:sz w:val="22"/>
                <w:szCs w:val="20"/>
                <w:lang w:val="en-GB"/>
              </w:rPr>
              <w:t>rganisations from the current 50% to 60%.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2851D3"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IT</w:t>
            </w: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7EF88" w14:textId="19851DC5" w:rsidR="00A8762C" w:rsidRPr="00714EF5" w:rsidRDefault="00A8762C" w:rsidP="00A8762C">
            <w:pPr>
              <w:spacing w:after="60" w:line="259" w:lineRule="auto"/>
              <w:jc w:val="both"/>
              <w:rPr>
                <w:rFonts w:eastAsia="Times New Roman" w:cs="Times New Roman"/>
                <w:noProof/>
                <w:sz w:val="22"/>
                <w:szCs w:val="20"/>
                <w:lang w:val="en-GB" w:eastAsia="en-IE"/>
              </w:rPr>
            </w:pPr>
            <w:r w:rsidRPr="00714EF5">
              <w:rPr>
                <w:rFonts w:eastAsia="Times New Roman" w:cs="Times New Roman"/>
                <w:noProof/>
                <w:sz w:val="22"/>
                <w:szCs w:val="20"/>
                <w:lang w:val="en-GB" w:eastAsia="en-IE"/>
              </w:rPr>
              <w:t xml:space="preserve">The current </w:t>
            </w:r>
            <w:r w:rsidR="00AF7B1A" w:rsidRPr="00714EF5">
              <w:rPr>
                <w:rFonts w:eastAsia="Times New Roman" w:cs="Times New Roman"/>
                <w:noProof/>
                <w:sz w:val="22"/>
                <w:szCs w:val="20"/>
                <w:lang w:val="en-GB" w:eastAsia="en-IE"/>
              </w:rPr>
              <w:t xml:space="preserve">EU </w:t>
            </w:r>
            <w:r w:rsidRPr="00714EF5">
              <w:rPr>
                <w:rFonts w:eastAsia="Times New Roman" w:cs="Times New Roman"/>
                <w:noProof/>
                <w:sz w:val="22"/>
                <w:szCs w:val="20"/>
                <w:lang w:val="en-GB" w:eastAsia="en-IE"/>
              </w:rPr>
              <w:t xml:space="preserve">legislation already sets </w:t>
            </w:r>
            <w:r w:rsidR="00F82311" w:rsidRPr="00714EF5">
              <w:rPr>
                <w:rFonts w:eastAsia="Times New Roman" w:cs="Times New Roman"/>
                <w:noProof/>
                <w:sz w:val="22"/>
                <w:szCs w:val="20"/>
                <w:lang w:val="en-GB" w:eastAsia="en-IE"/>
              </w:rPr>
              <w:t xml:space="preserve">out </w:t>
            </w:r>
            <w:r w:rsidRPr="00714EF5">
              <w:rPr>
                <w:rFonts w:eastAsia="Times New Roman" w:cs="Times New Roman"/>
                <w:noProof/>
                <w:sz w:val="22"/>
                <w:szCs w:val="20"/>
                <w:lang w:val="en-GB" w:eastAsia="en-IE"/>
              </w:rPr>
              <w:t xml:space="preserve">a list of cases where </w:t>
            </w:r>
            <w:r w:rsidR="33679AE4" w:rsidRPr="00714EF5">
              <w:rPr>
                <w:rFonts w:eastAsia="Times New Roman" w:cs="Times New Roman"/>
                <w:noProof/>
                <w:sz w:val="22"/>
                <w:szCs w:val="20"/>
                <w:lang w:val="en-GB" w:eastAsia="en-IE"/>
              </w:rPr>
              <w:t>POs</w:t>
            </w:r>
            <w:r w:rsidRPr="00714EF5">
              <w:rPr>
                <w:rFonts w:eastAsia="Times New Roman" w:cs="Times New Roman"/>
                <w:noProof/>
                <w:sz w:val="22"/>
                <w:szCs w:val="20"/>
                <w:lang w:val="en-GB" w:eastAsia="en-IE"/>
              </w:rPr>
              <w:t xml:space="preserve"> in the fruit and vegetables sector can get 60% instead of 50% </w:t>
            </w:r>
            <w:r w:rsidR="00AF7B1A" w:rsidRPr="00714EF5">
              <w:rPr>
                <w:rFonts w:eastAsia="Times New Roman" w:cs="Times New Roman"/>
                <w:noProof/>
                <w:sz w:val="22"/>
                <w:szCs w:val="20"/>
                <w:lang w:val="en-GB" w:eastAsia="en-IE"/>
              </w:rPr>
              <w:t xml:space="preserve">EU </w:t>
            </w:r>
            <w:r w:rsidRPr="00714EF5">
              <w:rPr>
                <w:rFonts w:eastAsia="Times New Roman" w:cs="Times New Roman"/>
                <w:noProof/>
                <w:sz w:val="22"/>
                <w:szCs w:val="20"/>
                <w:lang w:val="en-GB" w:eastAsia="en-IE"/>
              </w:rPr>
              <w:t>support under specific conditions (</w:t>
            </w:r>
            <w:r w:rsidRPr="00714EF5">
              <w:rPr>
                <w:rFonts w:eastAsia="Times New Roman" w:cs="Times New Roman"/>
                <w:i/>
                <w:noProof/>
                <w:sz w:val="22"/>
                <w:szCs w:val="20"/>
                <w:lang w:val="en-GB" w:eastAsia="en-IE"/>
              </w:rPr>
              <w:t>Article 52(3)</w:t>
            </w:r>
            <w:r w:rsidRPr="00714EF5">
              <w:rPr>
                <w:rFonts w:eastAsia="Times New Roman" w:cs="Times New Roman"/>
                <w:noProof/>
                <w:sz w:val="22"/>
                <w:szCs w:val="20"/>
                <w:lang w:val="en-GB" w:eastAsia="en-IE"/>
              </w:rPr>
              <w:t xml:space="preserve"> of </w:t>
            </w:r>
            <w:r w:rsidR="0C205856" w:rsidRPr="00714EF5">
              <w:rPr>
                <w:rFonts w:eastAsia="Times New Roman" w:cs="Times New Roman"/>
                <w:noProof/>
                <w:sz w:val="22"/>
                <w:szCs w:val="20"/>
                <w:lang w:val="en-GB" w:eastAsia="en-IE"/>
              </w:rPr>
              <w:t xml:space="preserve">the CSP </w:t>
            </w:r>
            <w:r w:rsidRPr="00714EF5">
              <w:rPr>
                <w:rFonts w:eastAsia="Times New Roman" w:cs="Times New Roman"/>
                <w:noProof/>
                <w:sz w:val="22"/>
                <w:szCs w:val="20"/>
                <w:lang w:val="en-GB" w:eastAsia="en-IE"/>
              </w:rPr>
              <w:t xml:space="preserve">Regulation). This list </w:t>
            </w:r>
            <w:r w:rsidR="00F82311" w:rsidRPr="00714EF5">
              <w:rPr>
                <w:rFonts w:eastAsia="Times New Roman" w:cs="Times New Roman"/>
                <w:noProof/>
                <w:sz w:val="22"/>
                <w:szCs w:val="20"/>
                <w:lang w:val="en-GB" w:eastAsia="en-IE"/>
              </w:rPr>
              <w:t xml:space="preserve">of </w:t>
            </w:r>
            <w:r w:rsidRPr="00714EF5">
              <w:rPr>
                <w:rFonts w:eastAsia="Times New Roman" w:cs="Times New Roman"/>
                <w:noProof/>
                <w:sz w:val="22"/>
                <w:szCs w:val="20"/>
                <w:lang w:val="en-GB" w:eastAsia="en-IE"/>
              </w:rPr>
              <w:t xml:space="preserve">situations where an increase is possible </w:t>
            </w:r>
            <w:r w:rsidR="00F82311" w:rsidRPr="00714EF5">
              <w:rPr>
                <w:rFonts w:eastAsia="Times New Roman" w:cs="Times New Roman"/>
                <w:noProof/>
                <w:sz w:val="22"/>
                <w:szCs w:val="20"/>
                <w:lang w:val="en-GB" w:eastAsia="en-IE"/>
              </w:rPr>
              <w:t>had already been</w:t>
            </w:r>
            <w:r w:rsidRPr="00714EF5">
              <w:rPr>
                <w:rFonts w:eastAsia="Times New Roman" w:cs="Times New Roman"/>
                <w:noProof/>
                <w:sz w:val="22"/>
                <w:szCs w:val="20"/>
                <w:lang w:val="en-GB" w:eastAsia="en-IE"/>
              </w:rPr>
              <w:t xml:space="preserve"> extended compared to the previous list in </w:t>
            </w:r>
            <w:r w:rsidRPr="00714EF5">
              <w:rPr>
                <w:rFonts w:eastAsia="Times New Roman" w:cs="Times New Roman"/>
                <w:i/>
                <w:noProof/>
                <w:sz w:val="22"/>
                <w:szCs w:val="20"/>
                <w:lang w:val="en-GB" w:eastAsia="en-IE"/>
              </w:rPr>
              <w:t>Article 34(3)</w:t>
            </w:r>
            <w:r w:rsidRPr="00714EF5">
              <w:rPr>
                <w:rFonts w:eastAsia="Times New Roman" w:cs="Times New Roman"/>
                <w:noProof/>
                <w:sz w:val="22"/>
                <w:szCs w:val="20"/>
                <w:lang w:val="en-GB" w:eastAsia="en-IE"/>
              </w:rPr>
              <w:t xml:space="preserve"> of Regulation (EU) No 1308/2013. </w:t>
            </w:r>
            <w:r w:rsidRPr="00714EF5">
              <w:rPr>
                <w:rFonts w:eastAsia="Calibri" w:cs="Times New Roman"/>
                <w:noProof/>
                <w:sz w:val="22"/>
                <w:szCs w:val="20"/>
                <w:lang w:val="en-GB" w:eastAsia="en-IE"/>
              </w:rPr>
              <w:t xml:space="preserve"> </w:t>
            </w:r>
          </w:p>
          <w:p w14:paraId="120D131E" w14:textId="30075A56" w:rsidR="00A8762C" w:rsidRPr="00714EF5" w:rsidRDefault="00A8762C" w:rsidP="00A8762C">
            <w:pPr>
              <w:spacing w:after="60" w:line="259" w:lineRule="auto"/>
              <w:jc w:val="both"/>
              <w:rPr>
                <w:rFonts w:eastAsia="Calibri" w:cs="Times New Roman"/>
                <w:noProof/>
                <w:sz w:val="22"/>
                <w:lang w:val="en-GB"/>
              </w:rPr>
            </w:pPr>
            <w:r w:rsidRPr="00714EF5">
              <w:rPr>
                <w:rFonts w:eastAsia="Calibri" w:cs="Times New Roman"/>
                <w:noProof/>
                <w:sz w:val="22"/>
                <w:lang w:val="en-GB"/>
              </w:rPr>
              <w:t xml:space="preserve">Lessons learned from the current period will feed </w:t>
            </w:r>
            <w:r w:rsidR="00F82311" w:rsidRPr="00714EF5">
              <w:rPr>
                <w:rFonts w:eastAsia="Calibri" w:cs="Times New Roman"/>
                <w:noProof/>
                <w:sz w:val="22"/>
                <w:lang w:val="en-GB"/>
              </w:rPr>
              <w:t xml:space="preserve">into </w:t>
            </w:r>
            <w:r w:rsidRPr="00714EF5">
              <w:rPr>
                <w:rFonts w:eastAsia="Calibri" w:cs="Times New Roman"/>
                <w:noProof/>
                <w:sz w:val="22"/>
                <w:lang w:val="en-GB"/>
              </w:rPr>
              <w:t>the reflection on the post</w:t>
            </w:r>
            <w:r w:rsidR="00F82311" w:rsidRPr="00714EF5">
              <w:rPr>
                <w:rFonts w:eastAsia="Calibri" w:cs="Times New Roman"/>
                <w:noProof/>
                <w:sz w:val="22"/>
                <w:lang w:val="en-GB"/>
              </w:rPr>
              <w:t>-</w:t>
            </w:r>
            <w:r w:rsidRPr="00714EF5">
              <w:rPr>
                <w:rFonts w:eastAsia="Calibri" w:cs="Times New Roman"/>
                <w:noProof/>
                <w:sz w:val="22"/>
                <w:lang w:val="en-GB"/>
              </w:rPr>
              <w:t>2027</w:t>
            </w:r>
            <w:r w:rsidR="00F82311" w:rsidRPr="00714EF5">
              <w:rPr>
                <w:rFonts w:eastAsia="Calibri" w:cs="Times New Roman"/>
                <w:noProof/>
                <w:sz w:val="22"/>
                <w:lang w:val="en-GB"/>
              </w:rPr>
              <w:t xml:space="preserve"> CAP</w:t>
            </w:r>
            <w:r w:rsidRPr="00714EF5">
              <w:rPr>
                <w:rFonts w:eastAsia="Calibri" w:cs="Times New Roman"/>
                <w:noProof/>
                <w:sz w:val="22"/>
                <w:lang w:val="en-GB"/>
              </w:rPr>
              <w:t>.</w:t>
            </w:r>
          </w:p>
        </w:tc>
      </w:tr>
      <w:tr w:rsidR="00A8762C" w:rsidRPr="00BB5286" w14:paraId="67671285"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017B223C" w14:textId="7AC3CE9E" w:rsidR="00A8762C" w:rsidRPr="00BB5286" w:rsidRDefault="00A8762C" w:rsidP="00A8762C">
            <w:pPr>
              <w:spacing w:after="60" w:line="259" w:lineRule="auto"/>
              <w:rPr>
                <w:rFonts w:eastAsia="Calibri" w:cs="Times New Roman"/>
                <w:b/>
                <w:bCs/>
                <w:noProof/>
                <w:sz w:val="22"/>
                <w:lang w:val="en-GB"/>
              </w:rPr>
            </w:pPr>
            <w:r w:rsidRPr="00BB5286">
              <w:rPr>
                <w:rFonts w:eastAsia="Calibri" w:cs="Times New Roman"/>
                <w:b/>
                <w:bCs/>
                <w:noProof/>
                <w:sz w:val="22"/>
                <w:lang w:val="en-GB"/>
              </w:rPr>
              <w:t>18</w:t>
            </w:r>
            <w:r w:rsidR="00A0403B">
              <w:rPr>
                <w:rFonts w:eastAsia="Calibri" w:cs="Times New Roman"/>
                <w:b/>
                <w:bCs/>
                <w:noProof/>
                <w:sz w:val="22"/>
                <w:lang w:val="en-GB"/>
              </w:rPr>
              <w:t>3</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D1802" w14:textId="16D4A584" w:rsidR="00A8762C" w:rsidRPr="00BB5286" w:rsidRDefault="414D229A" w:rsidP="00241975">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Partial payments</w:t>
            </w:r>
            <w:r w:rsidRPr="00BB5286">
              <w:rPr>
                <w:rFonts w:eastAsia="Calibri" w:cs="Times New Roman"/>
                <w:noProof/>
                <w:sz w:val="22"/>
                <w:szCs w:val="20"/>
                <w:lang w:val="en-GB"/>
              </w:rPr>
              <w:t xml:space="preserve"> for sectoral interventions. Member States </w:t>
            </w:r>
            <w:r w:rsidR="29F7C4FB" w:rsidRPr="00BB5286">
              <w:rPr>
                <w:rFonts w:eastAsia="Calibri" w:cs="Times New Roman"/>
                <w:noProof/>
                <w:sz w:val="22"/>
                <w:szCs w:val="20"/>
                <w:lang w:val="en-GB"/>
              </w:rPr>
              <w:t xml:space="preserve">should be </w:t>
            </w:r>
            <w:r w:rsidR="007F58CB" w:rsidRPr="00BB5286">
              <w:rPr>
                <w:rFonts w:eastAsia="Calibri" w:cs="Times New Roman"/>
                <w:noProof/>
                <w:sz w:val="22"/>
                <w:szCs w:val="20"/>
                <w:lang w:val="en-GB"/>
              </w:rPr>
              <w:t>able to</w:t>
            </w:r>
            <w:r w:rsidRPr="00BB5286">
              <w:rPr>
                <w:rFonts w:eastAsia="Calibri" w:cs="Times New Roman"/>
                <w:noProof/>
                <w:sz w:val="22"/>
                <w:szCs w:val="20"/>
                <w:lang w:val="en-GB"/>
              </w:rPr>
              <w:t xml:space="preserve"> provide partial payments using EU/national funding.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BEEF81F"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 SK, HU</w:t>
            </w: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171CA" w14:textId="6FFE6514" w:rsidR="00A8762C" w:rsidRPr="00714EF5" w:rsidRDefault="414D229A" w:rsidP="447C3D28">
            <w:pPr>
              <w:spacing w:after="60" w:line="259" w:lineRule="auto"/>
              <w:jc w:val="both"/>
              <w:rPr>
                <w:rFonts w:eastAsia="Calibri" w:cs="Times New Roman"/>
                <w:noProof/>
                <w:sz w:val="22"/>
                <w:szCs w:val="20"/>
                <w:lang w:val="en-GB"/>
              </w:rPr>
            </w:pPr>
            <w:r w:rsidRPr="00714EF5">
              <w:rPr>
                <w:rFonts w:eastAsia="Calibri" w:cs="Times New Roman"/>
                <w:noProof/>
                <w:sz w:val="22"/>
                <w:szCs w:val="20"/>
                <w:lang w:val="en-GB"/>
              </w:rPr>
              <w:t>The Commission provide</w:t>
            </w:r>
            <w:r w:rsidR="6D98CD07" w:rsidRPr="00714EF5">
              <w:rPr>
                <w:rFonts w:eastAsia="Calibri" w:cs="Times New Roman"/>
                <w:noProof/>
                <w:sz w:val="22"/>
                <w:szCs w:val="20"/>
                <w:lang w:val="en-GB"/>
              </w:rPr>
              <w:t>d on 25 July</w:t>
            </w:r>
            <w:r w:rsidRPr="00714EF5">
              <w:rPr>
                <w:rFonts w:eastAsia="Calibri" w:cs="Times New Roman"/>
                <w:noProof/>
                <w:sz w:val="22"/>
                <w:szCs w:val="20"/>
                <w:lang w:val="en-GB"/>
              </w:rPr>
              <w:t xml:space="preserve"> </w:t>
            </w:r>
            <w:r w:rsidR="00783F46" w:rsidRPr="00714EF5">
              <w:rPr>
                <w:rFonts w:eastAsia="Calibri" w:cs="Times New Roman"/>
                <w:noProof/>
                <w:sz w:val="22"/>
                <w:szCs w:val="20"/>
                <w:lang w:val="en-GB"/>
              </w:rPr>
              <w:t xml:space="preserve">2024 </w:t>
            </w:r>
            <w:r w:rsidRPr="00714EF5">
              <w:rPr>
                <w:rFonts w:eastAsia="Calibri" w:cs="Times New Roman"/>
                <w:noProof/>
                <w:sz w:val="22"/>
                <w:szCs w:val="20"/>
                <w:lang w:val="en-GB"/>
              </w:rPr>
              <w:t>further clarifications to Member States on the possibility to pay interim payments for sectoral interventions.</w:t>
            </w:r>
          </w:p>
        </w:tc>
      </w:tr>
      <w:tr w:rsidR="00A8762C" w:rsidRPr="00BB5286" w14:paraId="3FA0F0A6"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783E64BC" w14:textId="0E5C183E"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18</w:t>
            </w:r>
            <w:r w:rsidR="00A0403B">
              <w:rPr>
                <w:rFonts w:eastAsia="Calibri" w:cs="Times New Roman"/>
                <w:b/>
                <w:bCs/>
                <w:noProof/>
                <w:sz w:val="22"/>
                <w:lang w:val="en-GB"/>
              </w:rPr>
              <w:t>4</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0CAB7A22" w14:textId="51B57E4F" w:rsidR="00A8762C" w:rsidRPr="00BB5286" w:rsidRDefault="00D73CDD" w:rsidP="00A8762C">
            <w:pPr>
              <w:spacing w:after="60" w:line="259" w:lineRule="auto"/>
              <w:jc w:val="both"/>
              <w:rPr>
                <w:rFonts w:eastAsia="Calibri" w:cs="Times New Roman"/>
                <w:noProof/>
                <w:sz w:val="22"/>
                <w:lang w:val="en-GB"/>
              </w:rPr>
            </w:pPr>
            <w:r w:rsidRPr="00BB5286">
              <w:rPr>
                <w:rFonts w:eastAsia="Calibri" w:cs="Times New Roman"/>
                <w:b/>
                <w:bCs/>
                <w:noProof/>
                <w:sz w:val="22"/>
                <w:lang w:val="en-GB"/>
              </w:rPr>
              <w:t>EAFRD interv</w:t>
            </w:r>
            <w:r w:rsidR="002C2AD9" w:rsidRPr="00BB5286">
              <w:rPr>
                <w:rFonts w:eastAsia="Calibri" w:cs="Times New Roman"/>
                <w:b/>
                <w:bCs/>
                <w:noProof/>
                <w:sz w:val="22"/>
                <w:lang w:val="en-GB"/>
              </w:rPr>
              <w:t>entions:</w:t>
            </w:r>
            <w:r w:rsidR="002C2AD9" w:rsidRPr="00BB5286">
              <w:rPr>
                <w:rFonts w:eastAsia="Calibri" w:cs="Times New Roman"/>
                <w:noProof/>
                <w:sz w:val="22"/>
                <w:lang w:val="en-GB"/>
              </w:rPr>
              <w:t xml:space="preserve"> </w:t>
            </w:r>
            <w:r w:rsidR="007F58CB">
              <w:rPr>
                <w:rFonts w:eastAsia="Calibri" w:cs="Times New Roman"/>
                <w:noProof/>
                <w:sz w:val="22"/>
                <w:lang w:val="en-GB"/>
              </w:rPr>
              <w:t>c</w:t>
            </w:r>
            <w:r w:rsidR="00A8762C" w:rsidRPr="00BB5286">
              <w:rPr>
                <w:rFonts w:eastAsia="Calibri" w:cs="Times New Roman"/>
                <w:noProof/>
                <w:sz w:val="22"/>
                <w:lang w:val="en-GB"/>
              </w:rPr>
              <w:t xml:space="preserve">orrelation between eligibility and implementing rules for sectoral interventions with similar </w:t>
            </w:r>
            <w:r w:rsidR="0082578A" w:rsidRPr="00BB5286">
              <w:rPr>
                <w:rFonts w:eastAsia="Calibri" w:cs="Times New Roman"/>
                <w:noProof/>
                <w:sz w:val="22"/>
                <w:lang w:val="en-GB"/>
              </w:rPr>
              <w:t xml:space="preserve">EAFRD </w:t>
            </w:r>
            <w:r w:rsidR="00A8762C" w:rsidRPr="00BB5286">
              <w:rPr>
                <w:rFonts w:eastAsia="Calibri" w:cs="Times New Roman"/>
                <w:noProof/>
                <w:sz w:val="22"/>
                <w:lang w:val="en-GB"/>
              </w:rPr>
              <w:t>interventions (amendment of the secondary legislation).</w:t>
            </w:r>
          </w:p>
        </w:tc>
        <w:tc>
          <w:tcPr>
            <w:tcW w:w="1530" w:type="dxa"/>
            <w:tcBorders>
              <w:top w:val="single" w:sz="4" w:space="0" w:color="auto"/>
              <w:left w:val="single" w:sz="4" w:space="0" w:color="auto"/>
              <w:bottom w:val="single" w:sz="4" w:space="0" w:color="auto"/>
              <w:right w:val="single" w:sz="4" w:space="0" w:color="auto"/>
            </w:tcBorders>
            <w:vAlign w:val="center"/>
          </w:tcPr>
          <w:p w14:paraId="29792B51" w14:textId="77777777" w:rsidR="00A8762C" w:rsidRPr="00BB5286" w:rsidRDefault="00A8762C" w:rsidP="00A8762C">
            <w:pPr>
              <w:spacing w:after="60" w:line="259" w:lineRule="auto"/>
              <w:jc w:val="center"/>
              <w:rPr>
                <w:rFonts w:eastAsia="MS Gothic" w:cs="Times New Roman"/>
                <w:b/>
                <w:bCs/>
                <w:noProof/>
                <w:color w:val="0033CC"/>
                <w:sz w:val="22"/>
                <w:lang w:val="en-GB"/>
              </w:rPr>
            </w:pPr>
            <w:r w:rsidRPr="00BB5286">
              <w:rPr>
                <w:rFonts w:eastAsia="MS Gothic" w:cs="Times New Roman"/>
                <w:b/>
                <w:bCs/>
                <w:noProof/>
                <w:color w:val="0033CC"/>
                <w:sz w:val="22"/>
                <w:lang w:val="en-GB"/>
              </w:rPr>
              <w:t>RO</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287F8869" w14:textId="065147E4"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This issue has already been addressed in 2022 with the new secondary legislation (</w:t>
            </w:r>
            <w:r w:rsidRPr="00BB5286">
              <w:rPr>
                <w:rFonts w:eastAsia="Calibri" w:cs="Times New Roman"/>
                <w:i/>
                <w:noProof/>
                <w:sz w:val="22"/>
                <w:szCs w:val="20"/>
                <w:lang w:val="en-GB"/>
              </w:rPr>
              <w:t>Article 11(4) to (8)</w:t>
            </w:r>
            <w:r w:rsidRPr="00BB5286">
              <w:rPr>
                <w:rFonts w:eastAsia="Calibri" w:cs="Times New Roman"/>
                <w:noProof/>
                <w:sz w:val="22"/>
                <w:szCs w:val="20"/>
                <w:lang w:val="en-GB"/>
              </w:rPr>
              <w:t xml:space="preserve"> of </w:t>
            </w:r>
            <w:r w:rsidR="002C2AD9" w:rsidRPr="00BB5286">
              <w:rPr>
                <w:rFonts w:eastAsia="Calibri" w:cs="Times New Roman"/>
                <w:noProof/>
                <w:sz w:val="22"/>
                <w:szCs w:val="20"/>
                <w:lang w:val="en-GB"/>
              </w:rPr>
              <w:t xml:space="preserve">Commission </w:t>
            </w:r>
            <w:r w:rsidRPr="00BB5286">
              <w:rPr>
                <w:rFonts w:eastAsia="Calibri" w:cs="Times New Roman"/>
                <w:noProof/>
                <w:sz w:val="22"/>
                <w:szCs w:val="20"/>
                <w:lang w:val="en-GB"/>
              </w:rPr>
              <w:t>Delegated Regulation (EU) 2022/126) as regards water savings for instance.</w:t>
            </w:r>
          </w:p>
        </w:tc>
      </w:tr>
      <w:tr w:rsidR="00A8762C" w:rsidRPr="00BB5286" w14:paraId="4619A1F4"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1C3CD53E" w14:textId="652BE87C"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18</w:t>
            </w:r>
            <w:r w:rsidR="00A0403B">
              <w:rPr>
                <w:rFonts w:eastAsia="Calibri" w:cs="Times New Roman"/>
                <w:b/>
                <w:bCs/>
                <w:noProof/>
                <w:sz w:val="22"/>
                <w:lang w:val="en-GB"/>
              </w:rPr>
              <w:t>5</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64CD6331" w14:textId="5FB3ADFD"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Guarantee:</w:t>
            </w:r>
            <w:r w:rsidRPr="00BB5286">
              <w:rPr>
                <w:rFonts w:eastAsia="Calibri" w:cs="Times New Roman"/>
                <w:noProof/>
                <w:sz w:val="22"/>
                <w:szCs w:val="20"/>
                <w:lang w:val="en-GB"/>
              </w:rPr>
              <w:t xml:space="preserve"> </w:t>
            </w:r>
            <w:r w:rsidR="5899341F" w:rsidRPr="00BB5286">
              <w:rPr>
                <w:rFonts w:eastAsia="Calibri" w:cs="Times New Roman"/>
                <w:noProof/>
                <w:sz w:val="22"/>
                <w:szCs w:val="20"/>
                <w:lang w:val="en-GB"/>
              </w:rPr>
              <w:t>c</w:t>
            </w:r>
            <w:r w:rsidRPr="00BB5286">
              <w:rPr>
                <w:rFonts w:eastAsia="Calibri" w:cs="Times New Roman"/>
                <w:noProof/>
                <w:sz w:val="22"/>
                <w:szCs w:val="20"/>
                <w:lang w:val="en-GB"/>
              </w:rPr>
              <w:t>ancel the condition of lodging a security if a producer organisation is applying for an advance payment in other sectors.</w:t>
            </w:r>
          </w:p>
        </w:tc>
        <w:tc>
          <w:tcPr>
            <w:tcW w:w="1530" w:type="dxa"/>
            <w:tcBorders>
              <w:top w:val="single" w:sz="4" w:space="0" w:color="auto"/>
              <w:left w:val="single" w:sz="4" w:space="0" w:color="auto"/>
              <w:bottom w:val="single" w:sz="4" w:space="0" w:color="auto"/>
              <w:right w:val="single" w:sz="4" w:space="0" w:color="auto"/>
            </w:tcBorders>
            <w:vAlign w:val="center"/>
          </w:tcPr>
          <w:p w14:paraId="36634D6E"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SK</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1A9E4DC1" w14:textId="0B26BB06"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Authorising advance payments without lodging a security would present a risk for </w:t>
            </w:r>
            <w:r w:rsidR="00AF7B1A" w:rsidRPr="00BB5286">
              <w:rPr>
                <w:rFonts w:eastAsia="Calibri" w:cs="Times New Roman"/>
                <w:noProof/>
                <w:sz w:val="22"/>
                <w:lang w:val="en-GB"/>
              </w:rPr>
              <w:t xml:space="preserve">the EU’s </w:t>
            </w:r>
            <w:r w:rsidRPr="00BB5286">
              <w:rPr>
                <w:rFonts w:eastAsia="Calibri" w:cs="Times New Roman"/>
                <w:noProof/>
                <w:sz w:val="22"/>
                <w:lang w:val="en-GB"/>
              </w:rPr>
              <w:t>financial interests (EAGF). All the more considering that for interventions in certain sectors, there is no Member State co-financing involved.</w:t>
            </w:r>
          </w:p>
        </w:tc>
      </w:tr>
      <w:tr w:rsidR="00A8762C" w:rsidRPr="00BB5286" w14:paraId="76ADC81A"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1107"/>
        </w:trPr>
        <w:tc>
          <w:tcPr>
            <w:tcW w:w="625" w:type="dxa"/>
            <w:tcBorders>
              <w:top w:val="single" w:sz="4" w:space="0" w:color="auto"/>
              <w:left w:val="single" w:sz="4" w:space="0" w:color="auto"/>
              <w:bottom w:val="single" w:sz="4" w:space="0" w:color="auto"/>
              <w:right w:val="single" w:sz="4" w:space="0" w:color="auto"/>
            </w:tcBorders>
            <w:vAlign w:val="center"/>
          </w:tcPr>
          <w:p w14:paraId="6066FA5C" w14:textId="143896E9"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t>18</w:t>
            </w:r>
            <w:r w:rsidR="00A0403B">
              <w:rPr>
                <w:rFonts w:eastAsia="Calibri" w:cs="Times New Roman"/>
                <w:b/>
                <w:bCs/>
                <w:noProof/>
                <w:sz w:val="22"/>
                <w:lang w:val="en-GB"/>
              </w:rPr>
              <w:t>6</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699F8AC3" w14:textId="1F12DD45"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Costs:</w:t>
            </w:r>
            <w:r w:rsidRPr="00BB5286">
              <w:rPr>
                <w:rFonts w:eastAsia="Calibri" w:cs="Times New Roman"/>
                <w:noProof/>
                <w:sz w:val="22"/>
                <w:szCs w:val="20"/>
                <w:lang w:val="en-GB"/>
              </w:rPr>
              <w:t xml:space="preserve"> </w:t>
            </w:r>
            <w:r w:rsidR="5B600BFA" w:rsidRPr="00BB5286">
              <w:rPr>
                <w:rFonts w:eastAsia="Calibri" w:cs="Times New Roman"/>
                <w:noProof/>
                <w:sz w:val="22"/>
                <w:szCs w:val="20"/>
                <w:lang w:val="en-GB"/>
              </w:rPr>
              <w:t>t</w:t>
            </w:r>
            <w:r w:rsidRPr="00BB5286">
              <w:rPr>
                <w:rFonts w:eastAsia="Calibri" w:cs="Times New Roman"/>
                <w:noProof/>
                <w:sz w:val="22"/>
                <w:szCs w:val="20"/>
                <w:lang w:val="en-GB"/>
              </w:rPr>
              <w:t xml:space="preserve">he obligation to apply cost moderation to expenditure of any amount hinders the management of aid, </w:t>
            </w:r>
            <w:r w:rsidR="0082578A" w:rsidRPr="00BB5286">
              <w:rPr>
                <w:rFonts w:eastAsia="Calibri" w:cs="Times New Roman"/>
                <w:noProof/>
                <w:sz w:val="22"/>
                <w:szCs w:val="20"/>
                <w:lang w:val="en-GB"/>
              </w:rPr>
              <w:t xml:space="preserve">such as </w:t>
            </w:r>
            <w:r w:rsidRPr="00BB5286">
              <w:rPr>
                <w:rFonts w:eastAsia="Calibri" w:cs="Times New Roman"/>
                <w:noProof/>
                <w:sz w:val="22"/>
                <w:szCs w:val="20"/>
                <w:lang w:val="en-GB"/>
              </w:rPr>
              <w:t xml:space="preserve">in the case of </w:t>
            </w:r>
            <w:r w:rsidR="0082578A" w:rsidRPr="00BB5286">
              <w:rPr>
                <w:rFonts w:eastAsia="Calibri" w:cs="Times New Roman"/>
                <w:noProof/>
                <w:sz w:val="22"/>
                <w:szCs w:val="20"/>
                <w:lang w:val="en-GB"/>
              </w:rPr>
              <w:t>apiculture</w:t>
            </w:r>
            <w:r w:rsidRPr="00BB5286">
              <w:rPr>
                <w:rFonts w:eastAsia="Calibri" w:cs="Times New Roman"/>
                <w:noProof/>
                <w:sz w:val="22"/>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289B57E6"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6A87CC19" w14:textId="381AD992" w:rsidR="00A8762C" w:rsidRPr="00BB5286" w:rsidRDefault="2C835D81" w:rsidP="00A8762C">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Member States can reduce the administrative burden in </w:t>
            </w:r>
            <w:r w:rsidR="18220F2C" w:rsidRPr="00BB5286">
              <w:rPr>
                <w:rFonts w:eastAsia="Calibri" w:cs="Times New Roman"/>
                <w:noProof/>
                <w:sz w:val="22"/>
                <w:szCs w:val="20"/>
                <w:lang w:val="en-GB"/>
              </w:rPr>
              <w:t>how</w:t>
            </w:r>
            <w:r w:rsidRPr="00BB5286">
              <w:rPr>
                <w:rFonts w:eastAsia="Calibri" w:cs="Times New Roman"/>
                <w:noProof/>
                <w:sz w:val="22"/>
                <w:szCs w:val="20"/>
                <w:lang w:val="en-GB"/>
              </w:rPr>
              <w:t xml:space="preserve"> the support is </w:t>
            </w:r>
            <w:r w:rsidR="18220F2C" w:rsidRPr="00BB5286">
              <w:rPr>
                <w:rFonts w:eastAsia="Calibri" w:cs="Times New Roman"/>
                <w:noProof/>
                <w:sz w:val="22"/>
                <w:szCs w:val="20"/>
                <w:lang w:val="en-GB"/>
              </w:rPr>
              <w:t>distributed</w:t>
            </w:r>
            <w:r w:rsidRPr="00BB5286">
              <w:rPr>
                <w:rFonts w:eastAsia="Calibri" w:cs="Times New Roman"/>
                <w:noProof/>
                <w:sz w:val="22"/>
                <w:szCs w:val="20"/>
                <w:lang w:val="en-GB"/>
              </w:rPr>
              <w:t xml:space="preserve">, for example by making use of </w:t>
            </w:r>
            <w:r w:rsidR="18220F2C" w:rsidRPr="00BB5286">
              <w:rPr>
                <w:rFonts w:eastAsia="Calibri" w:cs="Times New Roman"/>
                <w:noProof/>
                <w:sz w:val="22"/>
                <w:szCs w:val="20"/>
                <w:lang w:val="en-GB"/>
              </w:rPr>
              <w:t>s</w:t>
            </w:r>
            <w:r w:rsidRPr="00BB5286">
              <w:rPr>
                <w:rFonts w:eastAsia="Calibri" w:cs="Times New Roman"/>
                <w:noProof/>
                <w:sz w:val="22"/>
                <w:szCs w:val="20"/>
                <w:lang w:val="en-GB"/>
              </w:rPr>
              <w:t xml:space="preserve">implified </w:t>
            </w:r>
            <w:r w:rsidR="18220F2C" w:rsidRPr="00BB5286">
              <w:rPr>
                <w:rFonts w:eastAsia="Calibri" w:cs="Times New Roman"/>
                <w:noProof/>
                <w:sz w:val="22"/>
                <w:szCs w:val="20"/>
                <w:lang w:val="en-GB"/>
              </w:rPr>
              <w:t>c</w:t>
            </w:r>
            <w:r w:rsidRPr="00BB5286">
              <w:rPr>
                <w:rFonts w:eastAsia="Calibri" w:cs="Times New Roman"/>
                <w:noProof/>
                <w:sz w:val="22"/>
                <w:szCs w:val="20"/>
                <w:lang w:val="en-GB"/>
              </w:rPr>
              <w:t xml:space="preserve">ost </w:t>
            </w:r>
            <w:r w:rsidR="18220F2C" w:rsidRPr="00BB5286">
              <w:rPr>
                <w:rFonts w:eastAsia="Calibri" w:cs="Times New Roman"/>
                <w:noProof/>
                <w:sz w:val="22"/>
                <w:szCs w:val="20"/>
                <w:lang w:val="en-GB"/>
              </w:rPr>
              <w:t>o</w:t>
            </w:r>
            <w:r w:rsidRPr="00BB5286">
              <w:rPr>
                <w:rFonts w:eastAsia="Calibri" w:cs="Times New Roman"/>
                <w:noProof/>
                <w:sz w:val="22"/>
                <w:szCs w:val="20"/>
                <w:lang w:val="en-GB"/>
              </w:rPr>
              <w:t xml:space="preserve">ptions </w:t>
            </w:r>
            <w:r w:rsidR="5F4E61E2" w:rsidRPr="00BB5286">
              <w:rPr>
                <w:rFonts w:eastAsia="Calibri" w:cs="Times New Roman"/>
                <w:noProof/>
                <w:sz w:val="22"/>
                <w:szCs w:val="20"/>
                <w:lang w:val="en-GB"/>
              </w:rPr>
              <w:t>(SCOs)</w:t>
            </w:r>
            <w:r w:rsidR="0D1525E5" w:rsidRPr="00BB5286">
              <w:rPr>
                <w:rFonts w:eastAsia="Calibri" w:cs="Times New Roman"/>
                <w:noProof/>
                <w:sz w:val="22"/>
                <w:szCs w:val="20"/>
                <w:lang w:val="en-GB"/>
              </w:rPr>
              <w:t xml:space="preserve"> </w:t>
            </w:r>
            <w:r w:rsidRPr="00BB5286">
              <w:rPr>
                <w:rFonts w:eastAsia="Calibri" w:cs="Times New Roman"/>
                <w:noProof/>
                <w:sz w:val="22"/>
                <w:szCs w:val="20"/>
                <w:lang w:val="en-GB"/>
              </w:rPr>
              <w:t xml:space="preserve">and applying flat rates. </w:t>
            </w:r>
            <w:r w:rsidR="5F92F9E1" w:rsidRPr="00BB5286">
              <w:rPr>
                <w:rFonts w:eastAsia="Calibri" w:cs="Times New Roman"/>
                <w:noProof/>
                <w:sz w:val="22"/>
                <w:szCs w:val="20"/>
                <w:lang w:val="en-GB"/>
              </w:rPr>
              <w:t>SCOs</w:t>
            </w:r>
            <w:r w:rsidRPr="00BB5286">
              <w:rPr>
                <w:rFonts w:eastAsia="Calibri" w:cs="Times New Roman"/>
                <w:noProof/>
                <w:sz w:val="22"/>
                <w:szCs w:val="20"/>
                <w:lang w:val="en-GB"/>
              </w:rPr>
              <w:t xml:space="preserve"> have been extended to all types of sectoral expenditure (</w:t>
            </w:r>
            <w:r w:rsidRPr="00BB5286">
              <w:rPr>
                <w:rFonts w:eastAsia="Calibri" w:cs="Times New Roman"/>
                <w:i/>
                <w:iCs/>
                <w:noProof/>
                <w:sz w:val="22"/>
                <w:szCs w:val="20"/>
                <w:lang w:val="en-GB"/>
              </w:rPr>
              <w:t>Article 44</w:t>
            </w:r>
            <w:r w:rsidRPr="00BB5286">
              <w:rPr>
                <w:rFonts w:eastAsia="Calibri" w:cs="Times New Roman"/>
                <w:noProof/>
                <w:sz w:val="22"/>
                <w:szCs w:val="20"/>
                <w:lang w:val="en-GB"/>
              </w:rPr>
              <w:t xml:space="preserve"> of </w:t>
            </w:r>
            <w:r w:rsidR="54201B2F"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w:t>
            </w:r>
          </w:p>
        </w:tc>
      </w:tr>
      <w:tr w:rsidR="00A8762C" w:rsidRPr="00BB5286" w14:paraId="1E4D4BF2"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03E2724E" w14:textId="2213F3DC" w:rsidR="00A8762C" w:rsidRPr="00BB5286" w:rsidRDefault="00A8762C" w:rsidP="00A8762C">
            <w:pPr>
              <w:spacing w:after="60" w:line="259" w:lineRule="auto"/>
              <w:jc w:val="both"/>
              <w:rPr>
                <w:rFonts w:eastAsia="Calibri" w:cs="Times New Roman"/>
                <w:b/>
                <w:noProof/>
                <w:color w:val="000000"/>
                <w:sz w:val="22"/>
                <w:lang w:val="en-GB"/>
              </w:rPr>
            </w:pPr>
            <w:r w:rsidRPr="00BB5286">
              <w:rPr>
                <w:rFonts w:eastAsia="Calibri" w:cs="Times New Roman"/>
                <w:b/>
                <w:bCs/>
                <w:noProof/>
                <w:color w:val="000000"/>
                <w:sz w:val="22"/>
                <w:lang w:val="en-GB"/>
              </w:rPr>
              <w:t>18</w:t>
            </w:r>
            <w:r w:rsidR="00A0403B">
              <w:rPr>
                <w:rFonts w:eastAsia="Calibri" w:cs="Times New Roman"/>
                <w:b/>
                <w:bCs/>
                <w:noProof/>
                <w:color w:val="000000"/>
                <w:sz w:val="22"/>
                <w:lang w:val="en-GB"/>
              </w:rPr>
              <w:t>7</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2147BA55" w14:textId="6EAF081F" w:rsidR="00A8762C" w:rsidRPr="00BB5286" w:rsidRDefault="2C835D81" w:rsidP="6F217AB4">
            <w:pPr>
              <w:spacing w:after="60" w:line="259" w:lineRule="auto"/>
              <w:jc w:val="both"/>
              <w:rPr>
                <w:rFonts w:eastAsia="Calibri" w:cs="Times New Roman"/>
                <w:b/>
                <w:bCs/>
                <w:noProof/>
                <w:color w:val="000000"/>
                <w:sz w:val="22"/>
                <w:szCs w:val="20"/>
                <w:lang w:val="en-GB"/>
              </w:rPr>
            </w:pPr>
            <w:r w:rsidRPr="00BB5286">
              <w:rPr>
                <w:rFonts w:eastAsia="Calibri" w:cs="Times New Roman"/>
                <w:b/>
                <w:bCs/>
                <w:noProof/>
                <w:color w:val="000000" w:themeColor="text1"/>
                <w:sz w:val="22"/>
                <w:szCs w:val="20"/>
                <w:lang w:val="en-GB"/>
              </w:rPr>
              <w:t>Wine</w:t>
            </w:r>
            <w:r w:rsidRPr="00BB5286">
              <w:rPr>
                <w:rFonts w:eastAsia="Calibri" w:cs="Times New Roman"/>
                <w:noProof/>
                <w:color w:val="000000" w:themeColor="text1"/>
                <w:sz w:val="22"/>
                <w:szCs w:val="20"/>
                <w:lang w:val="en-GB"/>
              </w:rPr>
              <w:t xml:space="preserve">: </w:t>
            </w:r>
            <w:r w:rsidR="4DEF0C86" w:rsidRPr="00BB5286">
              <w:rPr>
                <w:rFonts w:eastAsia="Calibri" w:cs="Times New Roman"/>
                <w:noProof/>
                <w:color w:val="000000" w:themeColor="text1"/>
                <w:sz w:val="22"/>
                <w:szCs w:val="20"/>
                <w:lang w:val="en-GB"/>
              </w:rPr>
              <w:t>s</w:t>
            </w:r>
            <w:r w:rsidRPr="00BB5286">
              <w:rPr>
                <w:rFonts w:eastAsia="Calibri" w:cs="Times New Roman"/>
                <w:noProof/>
                <w:color w:val="000000" w:themeColor="text1"/>
                <w:sz w:val="22"/>
                <w:szCs w:val="20"/>
                <w:lang w:val="en-GB"/>
              </w:rPr>
              <w:t xml:space="preserve">impler management </w:t>
            </w:r>
            <w:r w:rsidR="42E0CB20" w:rsidRPr="00BB5286">
              <w:rPr>
                <w:rFonts w:eastAsia="Calibri" w:cs="Times New Roman"/>
                <w:noProof/>
                <w:color w:val="000000" w:themeColor="text1"/>
                <w:sz w:val="22"/>
                <w:szCs w:val="20"/>
                <w:lang w:val="en-GB"/>
              </w:rPr>
              <w:t xml:space="preserve">of </w:t>
            </w:r>
            <w:r w:rsidRPr="00BB5286">
              <w:rPr>
                <w:rFonts w:eastAsia="Calibri" w:cs="Times New Roman"/>
                <w:noProof/>
                <w:color w:val="000000" w:themeColor="text1"/>
                <w:sz w:val="22"/>
                <w:szCs w:val="20"/>
                <w:lang w:val="en-GB"/>
              </w:rPr>
              <w:t xml:space="preserve">wine promotion measures in third countries, simplification </w:t>
            </w:r>
            <w:r w:rsidR="18220F2C" w:rsidRPr="00BB5286">
              <w:rPr>
                <w:rFonts w:eastAsia="Calibri" w:cs="Times New Roman"/>
                <w:noProof/>
                <w:color w:val="000000" w:themeColor="text1"/>
                <w:sz w:val="22"/>
                <w:szCs w:val="20"/>
                <w:lang w:val="en-GB"/>
              </w:rPr>
              <w:t xml:space="preserve">of </w:t>
            </w:r>
            <w:r w:rsidRPr="00BB5286">
              <w:rPr>
                <w:rFonts w:eastAsia="Calibri" w:cs="Times New Roman"/>
                <w:noProof/>
                <w:color w:val="000000" w:themeColor="text1"/>
                <w:sz w:val="22"/>
                <w:szCs w:val="20"/>
                <w:lang w:val="en-GB"/>
              </w:rPr>
              <w:t>administrative costs, simplified procedure for</w:t>
            </w:r>
            <w:r w:rsidR="43F920B1" w:rsidRPr="00BB5286">
              <w:rPr>
                <w:rFonts w:eastAsia="Calibri" w:cs="Times New Roman"/>
                <w:noProof/>
                <w:color w:val="000000" w:themeColor="text1"/>
                <w:sz w:val="22"/>
                <w:szCs w:val="20"/>
                <w:lang w:val="en-GB"/>
              </w:rPr>
              <w:t xml:space="preserve"> </w:t>
            </w:r>
            <w:r w:rsidR="05FDE3C8" w:rsidRPr="00BB5286">
              <w:rPr>
                <w:rFonts w:eastAsia="Calibri" w:cs="Times New Roman"/>
                <w:noProof/>
                <w:color w:val="000000" w:themeColor="text1"/>
                <w:sz w:val="22"/>
                <w:szCs w:val="20"/>
                <w:lang w:val="en-GB"/>
              </w:rPr>
              <w:t>POs</w:t>
            </w:r>
            <w:r w:rsidRPr="00BB5286">
              <w:rPr>
                <w:rFonts w:eastAsia="Calibri" w:cs="Times New Roman"/>
                <w:noProof/>
                <w:color w:val="000000" w:themeColor="text1"/>
                <w:sz w:val="22"/>
                <w:szCs w:val="20"/>
                <w:lang w:val="en-GB"/>
              </w:rPr>
              <w:t xml:space="preserve"> where support is</w:t>
            </w:r>
            <w:r w:rsidR="18220F2C" w:rsidRPr="00BB5286">
              <w:rPr>
                <w:rFonts w:eastAsia="Calibri" w:cs="Times New Roman"/>
                <w:noProof/>
                <w:color w:val="000000" w:themeColor="text1"/>
                <w:sz w:val="22"/>
                <w:szCs w:val="20"/>
                <w:lang w:val="en-GB"/>
              </w:rPr>
              <w:t xml:space="preserve"> a</w:t>
            </w:r>
            <w:r w:rsidRPr="00BB5286">
              <w:rPr>
                <w:rFonts w:eastAsia="Calibri" w:cs="Times New Roman"/>
                <w:noProof/>
                <w:color w:val="000000" w:themeColor="text1"/>
                <w:sz w:val="22"/>
                <w:szCs w:val="20"/>
                <w:lang w:val="en-GB"/>
              </w:rPr>
              <w:t xml:space="preserve"> small share of turnover</w:t>
            </w:r>
            <w:r w:rsidR="7997B89D" w:rsidRPr="00BB5286">
              <w:rPr>
                <w:rFonts w:eastAsia="Calibri" w:cs="Times New Roman"/>
                <w:noProof/>
                <w:color w:val="000000" w:themeColor="text1"/>
                <w:sz w:val="22"/>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57C417DC"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18D4299E" w14:textId="59577673" w:rsidR="00A8762C" w:rsidRPr="00BB5286" w:rsidRDefault="00A8762C" w:rsidP="00A8762C">
            <w:pPr>
              <w:spacing w:after="60" w:line="259" w:lineRule="auto"/>
              <w:jc w:val="both"/>
              <w:rPr>
                <w:rFonts w:eastAsia="Calibri" w:cs="Times New Roman"/>
                <w:noProof/>
                <w:color w:val="000000" w:themeColor="text1"/>
                <w:sz w:val="22"/>
                <w:szCs w:val="20"/>
                <w:lang w:val="en-GB"/>
              </w:rPr>
            </w:pPr>
            <w:r w:rsidRPr="00BB5286">
              <w:rPr>
                <w:rFonts w:eastAsia="Calibri" w:cs="Times New Roman"/>
                <w:noProof/>
                <w:color w:val="000000" w:themeColor="text1"/>
                <w:sz w:val="22"/>
                <w:szCs w:val="20"/>
                <w:lang w:val="en-GB"/>
              </w:rPr>
              <w:t xml:space="preserve">This </w:t>
            </w:r>
            <w:r w:rsidRPr="00BB5286">
              <w:rPr>
                <w:rFonts w:eastAsia="Calibri" w:cs="Times New Roman"/>
                <w:noProof/>
                <w:sz w:val="22"/>
                <w:szCs w:val="20"/>
                <w:lang w:val="en-GB"/>
              </w:rPr>
              <w:t>suggestion</w:t>
            </w:r>
            <w:r w:rsidRPr="00BB5286">
              <w:rPr>
                <w:rFonts w:eastAsia="Calibri" w:cs="Times New Roman"/>
                <w:noProof/>
                <w:color w:val="000000" w:themeColor="text1"/>
                <w:sz w:val="22"/>
                <w:szCs w:val="20"/>
                <w:lang w:val="en-GB"/>
              </w:rPr>
              <w:t xml:space="preserve"> was not taken up, as the intervention already offers a high level of flexibility to Member States. Further simplification must be weighed against risks to the EU funds, which is considered high for these measures (e.g. requirement of reasonableness of costs</w:t>
            </w:r>
            <w:r w:rsidR="00037884" w:rsidRPr="00BB5286">
              <w:rPr>
                <w:rFonts w:eastAsia="Calibri" w:cs="Times New Roman"/>
                <w:noProof/>
                <w:color w:val="000000" w:themeColor="text1"/>
                <w:sz w:val="22"/>
                <w:szCs w:val="20"/>
                <w:lang w:val="en-GB"/>
              </w:rPr>
              <w:t>, which was</w:t>
            </w:r>
            <w:r w:rsidRPr="00BB5286">
              <w:rPr>
                <w:rFonts w:eastAsia="Calibri" w:cs="Times New Roman"/>
                <w:noProof/>
                <w:color w:val="000000" w:themeColor="text1"/>
                <w:sz w:val="22"/>
                <w:szCs w:val="20"/>
                <w:lang w:val="en-GB"/>
              </w:rPr>
              <w:t xml:space="preserve"> introduced via an amendment of </w:t>
            </w:r>
            <w:r w:rsidRPr="00BB5286">
              <w:rPr>
                <w:rFonts w:eastAsia="Calibri" w:cs="Times New Roman"/>
                <w:i/>
                <w:noProof/>
                <w:color w:val="000000" w:themeColor="text1"/>
                <w:sz w:val="22"/>
                <w:szCs w:val="20"/>
                <w:lang w:val="en-GB"/>
              </w:rPr>
              <w:t>Article 21</w:t>
            </w:r>
            <w:r w:rsidRPr="00BB5286">
              <w:rPr>
                <w:rFonts w:eastAsia="Calibri" w:cs="Times New Roman"/>
                <w:noProof/>
                <w:color w:val="000000" w:themeColor="text1"/>
                <w:sz w:val="22"/>
                <w:szCs w:val="20"/>
                <w:lang w:val="en-GB"/>
              </w:rPr>
              <w:t xml:space="preserve"> of Delegated Regulation (EU) 2022/126). Administrative costs are also covered by </w:t>
            </w:r>
            <w:r w:rsidRPr="00BB5286">
              <w:rPr>
                <w:rFonts w:eastAsia="Calibri" w:cs="Times New Roman"/>
                <w:i/>
                <w:noProof/>
                <w:color w:val="000000" w:themeColor="text1"/>
                <w:sz w:val="22"/>
                <w:szCs w:val="20"/>
                <w:lang w:val="en-GB"/>
              </w:rPr>
              <w:t>Article 23</w:t>
            </w:r>
            <w:r w:rsidRPr="00BB5286">
              <w:rPr>
                <w:rFonts w:eastAsia="Calibri" w:cs="Times New Roman"/>
                <w:noProof/>
                <w:color w:val="000000" w:themeColor="text1"/>
                <w:sz w:val="22"/>
                <w:szCs w:val="20"/>
                <w:lang w:val="en-GB"/>
              </w:rPr>
              <w:t xml:space="preserve"> of </w:t>
            </w:r>
            <w:r w:rsidR="0095011C" w:rsidRPr="00BB5286">
              <w:rPr>
                <w:rFonts w:eastAsia="Calibri" w:cs="Times New Roman"/>
                <w:noProof/>
                <w:color w:val="000000" w:themeColor="text1"/>
                <w:sz w:val="22"/>
                <w:szCs w:val="20"/>
                <w:lang w:val="en-GB"/>
              </w:rPr>
              <w:t xml:space="preserve">Commission </w:t>
            </w:r>
            <w:r w:rsidRPr="00BB5286">
              <w:rPr>
                <w:rFonts w:eastAsia="Calibri" w:cs="Times New Roman"/>
                <w:noProof/>
                <w:color w:val="000000" w:themeColor="text1"/>
                <w:sz w:val="22"/>
                <w:szCs w:val="20"/>
                <w:lang w:val="en-GB"/>
              </w:rPr>
              <w:t>Delegated Regulation (EU)</w:t>
            </w:r>
            <w:r w:rsidR="0095011C" w:rsidRPr="00BB5286">
              <w:rPr>
                <w:rFonts w:eastAsia="Calibri" w:cs="Times New Roman"/>
                <w:noProof/>
                <w:color w:val="000000" w:themeColor="text1"/>
                <w:sz w:val="22"/>
                <w:szCs w:val="20"/>
                <w:lang w:val="en-GB"/>
              </w:rPr>
              <w:t xml:space="preserve"> </w:t>
            </w:r>
            <w:r w:rsidRPr="00BB5286">
              <w:rPr>
                <w:rFonts w:eastAsia="Calibri" w:cs="Times New Roman"/>
                <w:noProof/>
                <w:color w:val="000000" w:themeColor="text1"/>
                <w:sz w:val="22"/>
                <w:szCs w:val="20"/>
                <w:lang w:val="en-GB"/>
              </w:rPr>
              <w:t xml:space="preserve">2022/126, already providing flexibility for Member States. Lessons learned from the </w:t>
            </w:r>
            <w:r w:rsidR="5B08E77E" w:rsidRPr="00BB5286">
              <w:rPr>
                <w:rFonts w:eastAsia="Calibri" w:cs="Times New Roman"/>
                <w:noProof/>
                <w:color w:val="000000" w:themeColor="text1"/>
                <w:sz w:val="22"/>
                <w:szCs w:val="20"/>
                <w:lang w:val="en-GB"/>
              </w:rPr>
              <w:t>current period</w:t>
            </w:r>
            <w:r w:rsidRPr="00BB5286">
              <w:rPr>
                <w:rFonts w:eastAsia="Calibri" w:cs="Times New Roman"/>
                <w:noProof/>
                <w:color w:val="000000" w:themeColor="text1"/>
                <w:sz w:val="22"/>
                <w:szCs w:val="20"/>
                <w:lang w:val="en-GB"/>
              </w:rPr>
              <w:t xml:space="preserve"> will feed </w:t>
            </w:r>
            <w:r w:rsidR="00037884" w:rsidRPr="00BB5286">
              <w:rPr>
                <w:rFonts w:eastAsia="Calibri" w:cs="Times New Roman"/>
                <w:noProof/>
                <w:color w:val="000000" w:themeColor="text1"/>
                <w:sz w:val="22"/>
                <w:szCs w:val="20"/>
                <w:lang w:val="en-GB"/>
              </w:rPr>
              <w:t xml:space="preserve">into </w:t>
            </w:r>
            <w:r w:rsidRPr="00BB5286">
              <w:rPr>
                <w:rFonts w:eastAsia="Calibri" w:cs="Times New Roman"/>
                <w:noProof/>
                <w:color w:val="000000" w:themeColor="text1"/>
                <w:sz w:val="22"/>
                <w:szCs w:val="20"/>
                <w:lang w:val="en-GB"/>
              </w:rPr>
              <w:t>the reflection on the post</w:t>
            </w:r>
            <w:r w:rsidR="00037884" w:rsidRPr="00BB5286">
              <w:rPr>
                <w:rFonts w:eastAsia="Calibri" w:cs="Times New Roman"/>
                <w:noProof/>
                <w:color w:val="000000" w:themeColor="text1"/>
                <w:sz w:val="22"/>
                <w:szCs w:val="20"/>
                <w:lang w:val="en-GB"/>
              </w:rPr>
              <w:t>-</w:t>
            </w:r>
            <w:r w:rsidRPr="00BB5286">
              <w:rPr>
                <w:rFonts w:eastAsia="Calibri" w:cs="Times New Roman"/>
                <w:noProof/>
                <w:color w:val="000000" w:themeColor="text1"/>
                <w:sz w:val="22"/>
                <w:szCs w:val="20"/>
                <w:lang w:val="en-GB"/>
              </w:rPr>
              <w:t>2027</w:t>
            </w:r>
            <w:r w:rsidR="00037884" w:rsidRPr="00BB5286">
              <w:rPr>
                <w:rFonts w:eastAsia="Calibri" w:cs="Times New Roman"/>
                <w:noProof/>
                <w:color w:val="000000" w:themeColor="text1"/>
                <w:sz w:val="22"/>
                <w:szCs w:val="20"/>
                <w:lang w:val="en-GB"/>
              </w:rPr>
              <w:t xml:space="preserve"> CAP</w:t>
            </w:r>
            <w:r w:rsidRPr="00BB5286">
              <w:rPr>
                <w:rFonts w:eastAsia="Calibri" w:cs="Times New Roman"/>
                <w:noProof/>
                <w:color w:val="000000" w:themeColor="text1"/>
                <w:sz w:val="22"/>
                <w:szCs w:val="20"/>
                <w:lang w:val="en-GB"/>
              </w:rPr>
              <w:t>.</w:t>
            </w:r>
          </w:p>
        </w:tc>
      </w:tr>
      <w:tr w:rsidR="00A8762C" w:rsidRPr="00BB5286" w14:paraId="70D150CC"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16674993" w14:textId="103F0A04"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t>18</w:t>
            </w:r>
            <w:r w:rsidR="00A0403B">
              <w:rPr>
                <w:rFonts w:eastAsia="Calibri" w:cs="Times New Roman"/>
                <w:b/>
                <w:bCs/>
                <w:noProof/>
                <w:sz w:val="22"/>
                <w:lang w:val="en-GB"/>
              </w:rPr>
              <w:t>8</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137E4AE5" w14:textId="0B67F45F" w:rsidR="00A8762C" w:rsidRPr="00BB5286" w:rsidRDefault="00A8762C" w:rsidP="00A8762C">
            <w:pPr>
              <w:spacing w:after="60" w:line="259" w:lineRule="auto"/>
              <w:jc w:val="both"/>
              <w:rPr>
                <w:rFonts w:eastAsia="Calibri" w:cs="Times New Roman"/>
                <w:b/>
                <w:noProof/>
                <w:sz w:val="22"/>
                <w:szCs w:val="20"/>
                <w:lang w:val="en-GB"/>
              </w:rPr>
            </w:pPr>
            <w:r w:rsidRPr="00BB5286">
              <w:rPr>
                <w:rFonts w:eastAsia="Calibri" w:cs="Times New Roman"/>
                <w:b/>
                <w:noProof/>
                <w:sz w:val="22"/>
                <w:szCs w:val="20"/>
                <w:lang w:val="en-GB"/>
              </w:rPr>
              <w:t>Wine:</w:t>
            </w:r>
            <w:r w:rsidRPr="00BB5286">
              <w:rPr>
                <w:rFonts w:eastAsia="Calibri" w:cs="Times New Roman"/>
                <w:noProof/>
                <w:sz w:val="22"/>
                <w:szCs w:val="20"/>
                <w:lang w:val="en-GB"/>
              </w:rPr>
              <w:t xml:space="preserve"> </w:t>
            </w:r>
            <w:r w:rsidR="13031C9D" w:rsidRPr="00BB5286">
              <w:rPr>
                <w:rFonts w:eastAsia="Calibri" w:cs="Times New Roman"/>
                <w:noProof/>
                <w:sz w:val="22"/>
                <w:szCs w:val="20"/>
                <w:lang w:val="en-GB"/>
              </w:rPr>
              <w:t>i</w:t>
            </w:r>
            <w:r w:rsidRPr="00BB5286">
              <w:rPr>
                <w:rFonts w:eastAsia="Calibri" w:cs="Times New Roman"/>
                <w:noProof/>
                <w:sz w:val="22"/>
                <w:szCs w:val="20"/>
                <w:lang w:val="en-GB"/>
              </w:rPr>
              <w:t>ntroduce new types of intervention that make it possible to respond to the needs of the sector, such as deferred restructuring.</w:t>
            </w:r>
          </w:p>
        </w:tc>
        <w:tc>
          <w:tcPr>
            <w:tcW w:w="1530" w:type="dxa"/>
            <w:tcBorders>
              <w:top w:val="single" w:sz="4" w:space="0" w:color="auto"/>
              <w:left w:val="single" w:sz="4" w:space="0" w:color="auto"/>
              <w:bottom w:val="single" w:sz="4" w:space="0" w:color="auto"/>
              <w:right w:val="single" w:sz="4" w:space="0" w:color="auto"/>
            </w:tcBorders>
            <w:vAlign w:val="center"/>
          </w:tcPr>
          <w:p w14:paraId="6F0BF966"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96B9F76" w14:textId="30F09CD6"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Lessons learned from the current period will feed</w:t>
            </w:r>
            <w:r w:rsidR="00037884" w:rsidRPr="00BB5286">
              <w:rPr>
                <w:rFonts w:eastAsia="Calibri" w:cs="Times New Roman"/>
                <w:noProof/>
                <w:sz w:val="22"/>
                <w:lang w:val="en-GB"/>
              </w:rPr>
              <w:t xml:space="preserve"> into</w:t>
            </w:r>
            <w:r w:rsidRPr="00BB5286">
              <w:rPr>
                <w:rFonts w:eastAsia="Calibri" w:cs="Times New Roman"/>
                <w:noProof/>
                <w:sz w:val="22"/>
                <w:lang w:val="en-GB"/>
              </w:rPr>
              <w:t xml:space="preserve"> the reflection on the post</w:t>
            </w:r>
            <w:r w:rsidR="00037884" w:rsidRPr="00BB5286">
              <w:rPr>
                <w:rFonts w:eastAsia="Calibri" w:cs="Times New Roman"/>
                <w:noProof/>
                <w:sz w:val="22"/>
                <w:lang w:val="en-GB"/>
              </w:rPr>
              <w:t>-</w:t>
            </w:r>
            <w:r w:rsidRPr="00BB5286">
              <w:rPr>
                <w:rFonts w:eastAsia="Calibri" w:cs="Times New Roman"/>
                <w:noProof/>
                <w:sz w:val="22"/>
                <w:lang w:val="en-GB"/>
              </w:rPr>
              <w:t>2027</w:t>
            </w:r>
            <w:r w:rsidR="00037884" w:rsidRPr="00BB5286">
              <w:rPr>
                <w:rFonts w:eastAsia="Calibri" w:cs="Times New Roman"/>
                <w:noProof/>
                <w:sz w:val="22"/>
                <w:lang w:val="en-GB"/>
              </w:rPr>
              <w:t xml:space="preserve"> CAP</w:t>
            </w:r>
            <w:r w:rsidRPr="00BB5286">
              <w:rPr>
                <w:rFonts w:eastAsia="Calibri" w:cs="Times New Roman"/>
                <w:noProof/>
                <w:sz w:val="22"/>
                <w:lang w:val="en-GB"/>
              </w:rPr>
              <w:t>.</w:t>
            </w:r>
          </w:p>
        </w:tc>
      </w:tr>
      <w:tr w:rsidR="00A8762C" w:rsidRPr="00BB5286" w14:paraId="0D94362A"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2915A7A2" w14:textId="7E7D2F7E"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t>1</w:t>
            </w:r>
            <w:r w:rsidR="00A0403B">
              <w:rPr>
                <w:rFonts w:eastAsia="Calibri" w:cs="Times New Roman"/>
                <w:b/>
                <w:bCs/>
                <w:noProof/>
                <w:sz w:val="22"/>
                <w:lang w:val="en-GB"/>
              </w:rPr>
              <w:t>89</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4FE32BAA" w14:textId="5656AAB4"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 xml:space="preserve">Proof of internal transport of </w:t>
            </w:r>
            <w:r w:rsidR="226C7273" w:rsidRPr="00BB5286">
              <w:rPr>
                <w:rFonts w:eastAsia="Calibri" w:cs="Times New Roman"/>
                <w:b/>
                <w:bCs/>
                <w:noProof/>
                <w:sz w:val="22"/>
                <w:szCs w:val="20"/>
                <w:lang w:val="en-GB"/>
              </w:rPr>
              <w:t>POs</w:t>
            </w:r>
            <w:r w:rsidR="24FE3B9C" w:rsidRPr="00BB5286">
              <w:rPr>
                <w:rFonts w:eastAsia="Calibri" w:cs="Times New Roman"/>
                <w:b/>
                <w:bCs/>
                <w:noProof/>
                <w:sz w:val="22"/>
                <w:szCs w:val="20"/>
                <w:lang w:val="en-GB"/>
              </w:rPr>
              <w:t>:</w:t>
            </w:r>
            <w:r w:rsidR="206E1D87" w:rsidRPr="00BB5286">
              <w:rPr>
                <w:rFonts w:eastAsia="Calibri" w:cs="Times New Roman"/>
                <w:noProof/>
                <w:sz w:val="22"/>
                <w:szCs w:val="20"/>
                <w:lang w:val="en-GB"/>
              </w:rPr>
              <w:t xml:space="preserve"> </w:t>
            </w:r>
            <w:r w:rsidR="5B756676" w:rsidRPr="00BB5286">
              <w:rPr>
                <w:rFonts w:eastAsia="Calibri" w:cs="Times New Roman"/>
                <w:noProof/>
                <w:sz w:val="22"/>
                <w:szCs w:val="20"/>
                <w:lang w:val="en-GB"/>
              </w:rPr>
              <w:t>d</w:t>
            </w:r>
            <w:r w:rsidRPr="00BB5286">
              <w:rPr>
                <w:rFonts w:eastAsia="Calibri" w:cs="Times New Roman"/>
                <w:noProof/>
                <w:sz w:val="22"/>
                <w:szCs w:val="20"/>
                <w:lang w:val="en-GB"/>
              </w:rPr>
              <w:t>ue to complex controls, reintroduce an exemption limit of 300 km</w:t>
            </w:r>
            <w:r w:rsidR="3BF73E4F" w:rsidRPr="00BB5286">
              <w:rPr>
                <w:rFonts w:eastAsia="Calibri" w:cs="Times New Roman"/>
                <w:noProof/>
                <w:sz w:val="22"/>
                <w:szCs w:val="20"/>
                <w:lang w:val="en-GB"/>
              </w:rPr>
              <w:t xml:space="preserve"> (</w:t>
            </w:r>
            <w:r w:rsidR="6A61829D" w:rsidRPr="00BB5286">
              <w:rPr>
                <w:rFonts w:eastAsia="Calibri" w:cs="Times New Roman"/>
                <w:i/>
                <w:iCs/>
                <w:noProof/>
                <w:sz w:val="22"/>
                <w:szCs w:val="20"/>
                <w:lang w:val="en-GB"/>
              </w:rPr>
              <w:t xml:space="preserve">Article 31 (6) b </w:t>
            </w:r>
            <w:r w:rsidR="6A61829D" w:rsidRPr="00BB5286">
              <w:rPr>
                <w:rFonts w:eastAsia="Calibri" w:cs="Times New Roman"/>
                <w:noProof/>
                <w:sz w:val="22"/>
                <w:szCs w:val="20"/>
                <w:lang w:val="en-GB"/>
              </w:rPr>
              <w:t>of</w:t>
            </w:r>
            <w:r w:rsidR="00250548" w:rsidRPr="00BB5286">
              <w:rPr>
                <w:rFonts w:eastAsia="Calibri" w:cs="Times New Roman"/>
                <w:noProof/>
                <w:sz w:val="22"/>
                <w:szCs w:val="20"/>
                <w:lang w:val="en-GB"/>
              </w:rPr>
              <w:t xml:space="preserve"> Commission </w:t>
            </w:r>
            <w:r w:rsidR="20530E35" w:rsidRPr="00BB5286">
              <w:rPr>
                <w:rFonts w:eastAsia="Calibri" w:cs="Times New Roman"/>
                <w:noProof/>
                <w:sz w:val="22"/>
                <w:szCs w:val="20"/>
                <w:lang w:val="en-GB"/>
              </w:rPr>
              <w:t xml:space="preserve">Delegated </w:t>
            </w:r>
            <w:r w:rsidR="206E1D87" w:rsidRPr="00BB5286">
              <w:rPr>
                <w:rFonts w:eastAsia="Calibri" w:cs="Times New Roman"/>
                <w:noProof/>
                <w:sz w:val="22"/>
                <w:szCs w:val="20"/>
                <w:lang w:val="en-GB"/>
              </w:rPr>
              <w:t>Regulation</w:t>
            </w:r>
            <w:r w:rsidRPr="00BB5286">
              <w:rPr>
                <w:rFonts w:eastAsia="Calibri" w:cs="Times New Roman"/>
                <w:noProof/>
                <w:sz w:val="22"/>
                <w:szCs w:val="20"/>
                <w:lang w:val="en-GB"/>
              </w:rPr>
              <w:t xml:space="preserve"> (EU) 2022/126</w:t>
            </w:r>
            <w:r w:rsidR="07C12E0B" w:rsidRPr="00BB5286">
              <w:rPr>
                <w:rFonts w:eastAsia="Calibri" w:cs="Times New Roman"/>
                <w:noProof/>
                <w:sz w:val="22"/>
                <w:szCs w:val="20"/>
                <w:lang w:val="en-GB"/>
              </w:rPr>
              <w:t>)</w:t>
            </w:r>
            <w:r w:rsidRPr="00BB5286">
              <w:rPr>
                <w:rFonts w:eastAsia="Calibri" w:cs="Times New Roman"/>
                <w:noProof/>
                <w:sz w:val="22"/>
                <w:szCs w:val="20"/>
                <w:lang w:val="en-GB"/>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590EF957"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AT</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2E805D9E" w14:textId="7CB1F282"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037884" w:rsidRPr="00BB5286">
              <w:rPr>
                <w:rFonts w:eastAsia="Calibri" w:cs="Times New Roman"/>
                <w:noProof/>
                <w:sz w:val="22"/>
                <w:lang w:val="en-GB"/>
              </w:rPr>
              <w:t xml:space="preserve">into </w:t>
            </w:r>
            <w:r w:rsidRPr="00BB5286">
              <w:rPr>
                <w:rFonts w:eastAsia="Calibri" w:cs="Times New Roman"/>
                <w:noProof/>
                <w:sz w:val="22"/>
                <w:lang w:val="en-GB"/>
              </w:rPr>
              <w:t>the reflection on the post</w:t>
            </w:r>
            <w:r w:rsidR="00037884" w:rsidRPr="00BB5286">
              <w:rPr>
                <w:rFonts w:eastAsia="Calibri" w:cs="Times New Roman"/>
                <w:noProof/>
                <w:sz w:val="22"/>
                <w:lang w:val="en-GB"/>
              </w:rPr>
              <w:t>-</w:t>
            </w:r>
            <w:r w:rsidRPr="00BB5286">
              <w:rPr>
                <w:rFonts w:eastAsia="Calibri" w:cs="Times New Roman"/>
                <w:noProof/>
                <w:sz w:val="22"/>
                <w:lang w:val="en-GB"/>
              </w:rPr>
              <w:t>2027</w:t>
            </w:r>
            <w:r w:rsidR="00037884" w:rsidRPr="00BB5286">
              <w:rPr>
                <w:rFonts w:eastAsia="Calibri" w:cs="Times New Roman"/>
                <w:noProof/>
                <w:sz w:val="22"/>
                <w:lang w:val="en-GB"/>
              </w:rPr>
              <w:t xml:space="preserve"> CAP</w:t>
            </w:r>
            <w:r w:rsidRPr="00BB5286">
              <w:rPr>
                <w:rFonts w:eastAsia="Calibri" w:cs="Times New Roman"/>
                <w:noProof/>
                <w:sz w:val="22"/>
                <w:lang w:val="en-GB"/>
              </w:rPr>
              <w:t>.</w:t>
            </w:r>
          </w:p>
        </w:tc>
      </w:tr>
      <w:tr w:rsidR="00A8762C" w:rsidRPr="00BB5286" w14:paraId="760A161C"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09EEB2D7" w14:textId="7CF65A54"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t>19</w:t>
            </w:r>
            <w:r w:rsidR="00A0403B">
              <w:rPr>
                <w:rFonts w:eastAsia="Calibri" w:cs="Times New Roman"/>
                <w:b/>
                <w:bCs/>
                <w:noProof/>
                <w:sz w:val="22"/>
                <w:lang w:val="en-GB"/>
              </w:rPr>
              <w:t>0</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254FA3D2" w14:textId="161373B6"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Wine:</w:t>
            </w:r>
            <w:r w:rsidRPr="00BB5286">
              <w:rPr>
                <w:rFonts w:eastAsia="Calibri" w:cs="Times New Roman"/>
                <w:noProof/>
                <w:sz w:val="22"/>
                <w:szCs w:val="20"/>
                <w:lang w:val="en-GB"/>
              </w:rPr>
              <w:t xml:space="preserve"> </w:t>
            </w:r>
            <w:r w:rsidR="2460987D" w:rsidRPr="00BB5286">
              <w:rPr>
                <w:rFonts w:eastAsia="Calibri" w:cs="Times New Roman"/>
                <w:noProof/>
                <w:sz w:val="22"/>
                <w:szCs w:val="20"/>
                <w:lang w:val="en-GB"/>
              </w:rPr>
              <w:t>s</w:t>
            </w:r>
            <w:r w:rsidRPr="00BB5286">
              <w:rPr>
                <w:rFonts w:eastAsia="Calibri" w:cs="Times New Roman"/>
                <w:noProof/>
                <w:sz w:val="22"/>
                <w:szCs w:val="20"/>
                <w:lang w:val="en-GB"/>
              </w:rPr>
              <w:t xml:space="preserve">implify the definition of planted areas used for the vineyard restructuring measure, provided for in </w:t>
            </w:r>
            <w:r w:rsidRPr="00BB5286">
              <w:rPr>
                <w:rFonts w:eastAsia="Calibri" w:cs="Times New Roman"/>
                <w:i/>
                <w:noProof/>
                <w:sz w:val="22"/>
                <w:szCs w:val="20"/>
                <w:lang w:val="en-GB"/>
              </w:rPr>
              <w:t>Article 42</w:t>
            </w:r>
            <w:r w:rsidRPr="00BB5286">
              <w:rPr>
                <w:rFonts w:eastAsia="Calibri" w:cs="Times New Roman"/>
                <w:noProof/>
                <w:sz w:val="22"/>
                <w:szCs w:val="20"/>
                <w:lang w:val="en-GB"/>
              </w:rPr>
              <w:t xml:space="preserve"> of </w:t>
            </w:r>
            <w:r w:rsidR="00E6291D" w:rsidRPr="00BB5286">
              <w:rPr>
                <w:rFonts w:eastAsia="Calibri" w:cs="Times New Roman"/>
                <w:noProof/>
                <w:sz w:val="22"/>
                <w:szCs w:val="20"/>
                <w:lang w:val="en-GB"/>
              </w:rPr>
              <w:t xml:space="preserve">Commission </w:t>
            </w:r>
            <w:r w:rsidRPr="00BB5286">
              <w:rPr>
                <w:rFonts w:eastAsia="Calibri" w:cs="Times New Roman"/>
                <w:noProof/>
                <w:sz w:val="22"/>
                <w:szCs w:val="20"/>
                <w:lang w:val="en-GB"/>
              </w:rPr>
              <w:t>Delegated Regulation (EU) 2022/126.</w:t>
            </w:r>
          </w:p>
        </w:tc>
        <w:tc>
          <w:tcPr>
            <w:tcW w:w="1530" w:type="dxa"/>
            <w:tcBorders>
              <w:top w:val="single" w:sz="4" w:space="0" w:color="auto"/>
              <w:left w:val="single" w:sz="4" w:space="0" w:color="auto"/>
              <w:bottom w:val="single" w:sz="4" w:space="0" w:color="auto"/>
              <w:right w:val="single" w:sz="4" w:space="0" w:color="auto"/>
            </w:tcBorders>
            <w:vAlign w:val="center"/>
          </w:tcPr>
          <w:p w14:paraId="7B4C6E3A" w14:textId="77777777" w:rsidR="00A8762C" w:rsidRPr="005B3884" w:rsidRDefault="7A46DC42" w:rsidP="4538020F">
            <w:pPr>
              <w:spacing w:after="60" w:line="259" w:lineRule="auto"/>
              <w:jc w:val="center"/>
              <w:rPr>
                <w:rFonts w:eastAsia="MS Gothic" w:cs="Times New Roman"/>
                <w:b/>
                <w:bCs/>
                <w:noProof/>
                <w:color w:val="0033CC"/>
                <w:sz w:val="22"/>
                <w:lang w:val="en-GB"/>
              </w:rPr>
            </w:pPr>
            <w:r w:rsidRPr="005B3884">
              <w:rPr>
                <w:rFonts w:eastAsia="MS Gothic" w:cs="Times New Roman"/>
                <w:b/>
                <w:bCs/>
                <w:noProof/>
                <w:color w:val="0033CC"/>
                <w:sz w:val="22"/>
                <w:lang w:val="en-GB"/>
              </w:rPr>
              <w:t>FR</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E2D9717" w14:textId="252DDFA1" w:rsidR="00A8762C" w:rsidRPr="005B3884" w:rsidRDefault="006B2D90" w:rsidP="4538020F">
            <w:pPr>
              <w:spacing w:after="60" w:line="259" w:lineRule="auto"/>
              <w:jc w:val="both"/>
              <w:rPr>
                <w:rFonts w:eastAsia="Calibri" w:cs="Times New Roman"/>
                <w:noProof/>
                <w:sz w:val="22"/>
                <w:lang w:val="en-GB"/>
              </w:rPr>
            </w:pPr>
            <w:r w:rsidRPr="00632191">
              <w:rPr>
                <w:noProof/>
                <w:sz w:val="22"/>
                <w:lang w:val="en-GB"/>
              </w:rPr>
              <w:t xml:space="preserve">Lessons learned from the current period will feed into the reflection on the post-2027 CAP </w:t>
            </w:r>
            <w:r w:rsidR="008379F1" w:rsidRPr="00632191">
              <w:rPr>
                <w:noProof/>
                <w:sz w:val="22"/>
                <w:lang w:val="en-GB"/>
              </w:rPr>
              <w:t xml:space="preserve">taking into account </w:t>
            </w:r>
            <w:r w:rsidR="00B46DDC" w:rsidRPr="00632191">
              <w:rPr>
                <w:noProof/>
                <w:sz w:val="22"/>
                <w:lang w:val="en-GB"/>
              </w:rPr>
              <w:t xml:space="preserve">also the provisions </w:t>
            </w:r>
            <w:r w:rsidR="0014222A" w:rsidRPr="00632191">
              <w:rPr>
                <w:rFonts w:eastAsia="Calibri" w:cs="Times New Roman"/>
                <w:noProof/>
                <w:sz w:val="22"/>
                <w:lang w:val="en-GB"/>
              </w:rPr>
              <w:t xml:space="preserve">of </w:t>
            </w:r>
            <w:r w:rsidR="2F51F36E" w:rsidRPr="00632191">
              <w:rPr>
                <w:rFonts w:eastAsia="Calibri" w:cs="Times New Roman"/>
                <w:noProof/>
                <w:sz w:val="22"/>
                <w:lang w:val="en-GB"/>
              </w:rPr>
              <w:t xml:space="preserve">Article </w:t>
            </w:r>
            <w:r w:rsidR="69AE1867" w:rsidRPr="00632191">
              <w:rPr>
                <w:rFonts w:eastAsia="Calibri" w:cs="Times New Roman"/>
                <w:noProof/>
                <w:sz w:val="22"/>
                <w:lang w:val="en-GB"/>
              </w:rPr>
              <w:t xml:space="preserve">66(1) </w:t>
            </w:r>
            <w:r w:rsidR="0014222A" w:rsidRPr="00632191">
              <w:rPr>
                <w:rFonts w:eastAsia="Calibri" w:cs="Times New Roman"/>
                <w:noProof/>
                <w:sz w:val="22"/>
                <w:lang w:val="en-GB"/>
              </w:rPr>
              <w:t xml:space="preserve">of the Common Market Organisation Regulation </w:t>
            </w:r>
            <w:r w:rsidR="0014222A" w:rsidRPr="00FF77A3">
              <w:rPr>
                <w:rFonts w:eastAsia="Calibri" w:cs="Times New Roman"/>
                <w:noProof/>
                <w:sz w:val="22"/>
                <w:lang w:val="en-GB"/>
              </w:rPr>
              <w:t>(</w:t>
            </w:r>
            <w:r w:rsidR="0014222A" w:rsidRPr="00FF77A3">
              <w:rPr>
                <w:rFonts w:eastAsia="Calibri" w:cs="Times New Roman"/>
                <w:i/>
                <w:iCs/>
                <w:noProof/>
                <w:sz w:val="22"/>
                <w:lang w:val="en-GB"/>
              </w:rPr>
              <w:t>Regulation 1308/2013</w:t>
            </w:r>
            <w:r w:rsidR="0014222A" w:rsidRPr="00FF77A3">
              <w:rPr>
                <w:rFonts w:eastAsia="Calibri" w:cs="Times New Roman"/>
                <w:noProof/>
                <w:sz w:val="22"/>
                <w:lang w:val="en-GB"/>
              </w:rPr>
              <w:t xml:space="preserve">) </w:t>
            </w:r>
            <w:r w:rsidR="00B651DC" w:rsidRPr="00FF77A3">
              <w:rPr>
                <w:rFonts w:eastAsia="Calibri" w:cs="Times New Roman"/>
                <w:noProof/>
                <w:sz w:val="22"/>
                <w:lang w:val="en-GB"/>
              </w:rPr>
              <w:t>on</w:t>
            </w:r>
            <w:r w:rsidR="00894D71" w:rsidRPr="00FF77A3">
              <w:rPr>
                <w:rFonts w:eastAsia="Calibri" w:cs="Times New Roman"/>
                <w:noProof/>
                <w:sz w:val="22"/>
                <w:lang w:val="en-GB"/>
              </w:rPr>
              <w:t xml:space="preserve"> replantings. </w:t>
            </w:r>
            <w:r w:rsidR="69AE1867" w:rsidRPr="00FF77A3">
              <w:rPr>
                <w:rFonts w:eastAsia="Calibri" w:cs="Times New Roman"/>
                <w:noProof/>
                <w:sz w:val="22"/>
                <w:lang w:val="en-GB"/>
              </w:rPr>
              <w:t xml:space="preserve">Technical </w:t>
            </w:r>
            <w:r w:rsidR="5B7D900E" w:rsidRPr="00FF77A3">
              <w:rPr>
                <w:rFonts w:eastAsia="Calibri" w:cs="Times New Roman"/>
                <w:noProof/>
                <w:sz w:val="22"/>
                <w:lang w:val="en-GB"/>
              </w:rPr>
              <w:t>d</w:t>
            </w:r>
            <w:r w:rsidR="69AE1867" w:rsidRPr="00FF77A3">
              <w:rPr>
                <w:rFonts w:eastAsia="Calibri" w:cs="Times New Roman"/>
                <w:noProof/>
                <w:sz w:val="22"/>
                <w:lang w:val="en-GB"/>
              </w:rPr>
              <w:t>iscussion with M</w:t>
            </w:r>
            <w:r w:rsidR="008164C9" w:rsidRPr="00FF77A3">
              <w:rPr>
                <w:rFonts w:eastAsia="Calibri" w:cs="Times New Roman"/>
                <w:noProof/>
                <w:sz w:val="22"/>
                <w:lang w:val="en-GB"/>
              </w:rPr>
              <w:t xml:space="preserve">ember </w:t>
            </w:r>
            <w:r w:rsidR="69AE1867" w:rsidRPr="00FF77A3">
              <w:rPr>
                <w:rFonts w:eastAsia="Calibri" w:cs="Times New Roman"/>
                <w:noProof/>
                <w:sz w:val="22"/>
                <w:lang w:val="en-GB"/>
              </w:rPr>
              <w:t>S</w:t>
            </w:r>
            <w:r w:rsidR="008164C9" w:rsidRPr="00FF77A3">
              <w:rPr>
                <w:rFonts w:eastAsia="Calibri" w:cs="Times New Roman"/>
                <w:noProof/>
                <w:sz w:val="22"/>
                <w:lang w:val="en-GB"/>
              </w:rPr>
              <w:t xml:space="preserve">tates </w:t>
            </w:r>
            <w:r w:rsidR="00894D71" w:rsidRPr="00FF77A3">
              <w:rPr>
                <w:rFonts w:eastAsia="Calibri" w:cs="Times New Roman"/>
                <w:noProof/>
                <w:sz w:val="22"/>
                <w:lang w:val="en-GB"/>
              </w:rPr>
              <w:t xml:space="preserve">are planned </w:t>
            </w:r>
            <w:r w:rsidR="69AE1867" w:rsidRPr="00FF77A3">
              <w:rPr>
                <w:rFonts w:eastAsia="Calibri" w:cs="Times New Roman"/>
                <w:noProof/>
                <w:sz w:val="22"/>
                <w:lang w:val="en-GB"/>
              </w:rPr>
              <w:t xml:space="preserve"> in </w:t>
            </w:r>
            <w:r w:rsidR="008A2064" w:rsidRPr="00FF77A3">
              <w:rPr>
                <w:rFonts w:eastAsia="Calibri" w:cs="Times New Roman"/>
                <w:noProof/>
                <w:sz w:val="22"/>
                <w:lang w:val="en-GB"/>
              </w:rPr>
              <w:lastRenderedPageBreak/>
              <w:t>expert group</w:t>
            </w:r>
            <w:r w:rsidR="00126750" w:rsidRPr="00FF77A3">
              <w:rPr>
                <w:rFonts w:eastAsia="Calibri" w:cs="Times New Roman"/>
                <w:noProof/>
                <w:sz w:val="22"/>
                <w:lang w:val="en-GB"/>
              </w:rPr>
              <w:t xml:space="preserve"> setting</w:t>
            </w:r>
            <w:r w:rsidR="008A2064" w:rsidRPr="00FF77A3">
              <w:rPr>
                <w:rFonts w:eastAsia="Calibri" w:cs="Times New Roman"/>
                <w:noProof/>
                <w:sz w:val="22"/>
                <w:lang w:val="en-GB"/>
              </w:rPr>
              <w:t xml:space="preserve"> (</w:t>
            </w:r>
            <w:r w:rsidR="00126750" w:rsidRPr="005B3884">
              <w:rPr>
                <w:rFonts w:eastAsia="Calibri" w:cs="Times New Roman"/>
                <w:noProof/>
                <w:sz w:val="22"/>
                <w:lang w:val="en-GB"/>
              </w:rPr>
              <w:t>Expert Group for Agricultural Markets /</w:t>
            </w:r>
            <w:r w:rsidR="00622DD4" w:rsidRPr="005B3884">
              <w:rPr>
                <w:rFonts w:eastAsia="Calibri" w:cs="Times New Roman"/>
                <w:noProof/>
                <w:sz w:val="22"/>
                <w:lang w:val="en-GB"/>
              </w:rPr>
              <w:t xml:space="preserve"> Expert Group on the Implementation of the CAP Strategic Plans Regulation).</w:t>
            </w:r>
            <w:r w:rsidR="00126750" w:rsidRPr="005B3884">
              <w:rPr>
                <w:rFonts w:eastAsia="Calibri" w:cs="Times New Roman"/>
                <w:noProof/>
                <w:sz w:val="22"/>
                <w:lang w:val="en-GB"/>
              </w:rPr>
              <w:t xml:space="preserve"> </w:t>
            </w:r>
            <w:r w:rsidR="69AE1867" w:rsidRPr="005B3884">
              <w:rPr>
                <w:rFonts w:eastAsia="Calibri" w:cs="Times New Roman"/>
                <w:i/>
                <w:iCs/>
                <w:noProof/>
                <w:sz w:val="22"/>
                <w:lang w:val="en-GB"/>
              </w:rPr>
              <w:t>.</w:t>
            </w:r>
          </w:p>
        </w:tc>
      </w:tr>
      <w:tr w:rsidR="00A8762C" w:rsidRPr="00BB5286" w14:paraId="695269EB"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7BFF1852" w14:textId="609CCEEF"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lastRenderedPageBreak/>
              <w:t>19</w:t>
            </w:r>
            <w:r w:rsidR="00A0403B">
              <w:rPr>
                <w:rFonts w:eastAsia="Calibri" w:cs="Times New Roman"/>
                <w:b/>
                <w:bCs/>
                <w:noProof/>
                <w:sz w:val="22"/>
                <w:lang w:val="en-GB"/>
              </w:rPr>
              <w:t>1</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0454EE37" w14:textId="65D9B83E"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b/>
                <w:noProof/>
                <w:sz w:val="22"/>
                <w:szCs w:val="20"/>
                <w:lang w:val="en-GB"/>
              </w:rPr>
              <w:t>Apiculture:</w:t>
            </w:r>
            <w:r w:rsidRPr="00BB5286">
              <w:rPr>
                <w:rFonts w:eastAsia="Calibri" w:cs="Times New Roman"/>
                <w:noProof/>
                <w:sz w:val="22"/>
                <w:szCs w:val="20"/>
                <w:lang w:val="en-GB"/>
              </w:rPr>
              <w:t xml:space="preserve"> </w:t>
            </w:r>
            <w:r w:rsidR="7DB044B1" w:rsidRPr="00BB5286">
              <w:rPr>
                <w:rFonts w:eastAsia="Calibri" w:cs="Times New Roman"/>
                <w:noProof/>
                <w:sz w:val="22"/>
                <w:szCs w:val="20"/>
                <w:lang w:val="en-GB"/>
              </w:rPr>
              <w:t>u</w:t>
            </w:r>
            <w:r w:rsidRPr="00BB5286">
              <w:rPr>
                <w:rFonts w:eastAsia="Calibri" w:cs="Times New Roman"/>
                <w:noProof/>
                <w:sz w:val="22"/>
                <w:szCs w:val="20"/>
                <w:lang w:val="en-GB"/>
              </w:rPr>
              <w:t>pdating the list of eligible expenditures in sectoral interventions for apiculture to include vehicles for transhumance.</w:t>
            </w:r>
          </w:p>
        </w:tc>
        <w:tc>
          <w:tcPr>
            <w:tcW w:w="1530" w:type="dxa"/>
            <w:tcBorders>
              <w:top w:val="single" w:sz="4" w:space="0" w:color="auto"/>
              <w:left w:val="single" w:sz="4" w:space="0" w:color="auto"/>
              <w:bottom w:val="single" w:sz="4" w:space="0" w:color="auto"/>
              <w:right w:val="single" w:sz="4" w:space="0" w:color="auto"/>
            </w:tcBorders>
            <w:vAlign w:val="center"/>
          </w:tcPr>
          <w:p w14:paraId="49436129"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HR</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8F3500A" w14:textId="276F5FEF"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The suggestion</w:t>
            </w:r>
            <w:r w:rsidRPr="00BB5286" w:rsidDel="00A57522">
              <w:rPr>
                <w:rFonts w:eastAsia="Calibri" w:cs="Times New Roman"/>
                <w:noProof/>
                <w:sz w:val="22"/>
                <w:lang w:val="en-GB"/>
              </w:rPr>
              <w:t xml:space="preserve"> </w:t>
            </w:r>
            <w:r w:rsidRPr="00BB5286">
              <w:rPr>
                <w:rFonts w:eastAsia="Calibri" w:cs="Times New Roman"/>
                <w:noProof/>
                <w:sz w:val="22"/>
                <w:lang w:val="en-GB"/>
              </w:rPr>
              <w:t xml:space="preserve">was not taken up. In apiculture, vehicles are only used twice </w:t>
            </w:r>
            <w:r w:rsidR="00037884" w:rsidRPr="00BB5286">
              <w:rPr>
                <w:rFonts w:eastAsia="Calibri" w:cs="Times New Roman"/>
                <w:noProof/>
                <w:sz w:val="22"/>
                <w:lang w:val="en-GB"/>
              </w:rPr>
              <w:t xml:space="preserve">a </w:t>
            </w:r>
            <w:r w:rsidRPr="00BB5286">
              <w:rPr>
                <w:rFonts w:eastAsia="Calibri" w:cs="Times New Roman"/>
                <w:noProof/>
                <w:sz w:val="22"/>
                <w:lang w:val="en-GB"/>
              </w:rPr>
              <w:t xml:space="preserve">year for the transhumance of beehives. Allowing vehicles to be eligible could lead to abuse. The possibility </w:t>
            </w:r>
            <w:r w:rsidR="00037884" w:rsidRPr="00BB5286">
              <w:rPr>
                <w:rFonts w:eastAsia="Calibri" w:cs="Times New Roman"/>
                <w:noProof/>
                <w:sz w:val="22"/>
                <w:lang w:val="en-GB"/>
              </w:rPr>
              <w:t xml:space="preserve">of </w:t>
            </w:r>
            <w:r w:rsidRPr="00BB5286">
              <w:rPr>
                <w:rFonts w:eastAsia="Calibri" w:cs="Times New Roman"/>
                <w:noProof/>
                <w:sz w:val="22"/>
                <w:lang w:val="en-GB"/>
              </w:rPr>
              <w:t xml:space="preserve">support </w:t>
            </w:r>
            <w:r w:rsidR="00037884" w:rsidRPr="00BB5286">
              <w:rPr>
                <w:rFonts w:eastAsia="Calibri" w:cs="Times New Roman"/>
                <w:noProof/>
                <w:sz w:val="22"/>
                <w:lang w:val="en-GB"/>
              </w:rPr>
              <w:t xml:space="preserve">for the </w:t>
            </w:r>
            <w:r w:rsidRPr="00BB5286">
              <w:rPr>
                <w:rFonts w:eastAsia="Calibri" w:cs="Times New Roman"/>
                <w:noProof/>
                <w:sz w:val="22"/>
                <w:lang w:val="en-GB"/>
              </w:rPr>
              <w:t xml:space="preserve">leasing of transport services for transhumance should address the needs of the sector in this regard. </w:t>
            </w:r>
          </w:p>
        </w:tc>
      </w:tr>
      <w:tr w:rsidR="00A8762C" w:rsidRPr="00BB5286" w14:paraId="7FC01E76"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19B657DB" w14:textId="0AF8353F"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t>19</w:t>
            </w:r>
            <w:r w:rsidR="00A0403B">
              <w:rPr>
                <w:rFonts w:eastAsia="Calibri" w:cs="Times New Roman"/>
                <w:b/>
                <w:bCs/>
                <w:noProof/>
                <w:sz w:val="22"/>
                <w:lang w:val="en-GB"/>
              </w:rPr>
              <w:t>2</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03552D3A" w14:textId="3EB188D9"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Olive oil:</w:t>
            </w:r>
            <w:r w:rsidRPr="00BB5286">
              <w:rPr>
                <w:rFonts w:eastAsia="Calibri" w:cs="Times New Roman"/>
                <w:noProof/>
                <w:sz w:val="22"/>
                <w:szCs w:val="20"/>
                <w:lang w:val="en-GB"/>
              </w:rPr>
              <w:t xml:space="preserve"> </w:t>
            </w:r>
            <w:r w:rsidR="6848D294" w:rsidRPr="00BB5286">
              <w:rPr>
                <w:rFonts w:eastAsia="Calibri" w:cs="Times New Roman"/>
                <w:noProof/>
                <w:sz w:val="22"/>
                <w:szCs w:val="20"/>
                <w:lang w:val="en-GB"/>
              </w:rPr>
              <w:t>n</w:t>
            </w:r>
            <w:r w:rsidRPr="00BB5286">
              <w:rPr>
                <w:rFonts w:eastAsia="Calibri" w:cs="Times New Roman"/>
                <w:noProof/>
                <w:sz w:val="22"/>
                <w:szCs w:val="20"/>
                <w:lang w:val="en-GB"/>
              </w:rPr>
              <w:t xml:space="preserve">ot to limit the financial assistance </w:t>
            </w:r>
            <w:r w:rsidR="00E46343" w:rsidRPr="00BB5286">
              <w:rPr>
                <w:rFonts w:eastAsia="Calibri" w:cs="Times New Roman"/>
                <w:noProof/>
                <w:sz w:val="22"/>
                <w:szCs w:val="20"/>
                <w:lang w:val="en-GB"/>
              </w:rPr>
              <w:t xml:space="preserve">to the </w:t>
            </w:r>
            <w:r w:rsidRPr="00BB5286">
              <w:rPr>
                <w:rFonts w:eastAsia="Calibri" w:cs="Times New Roman"/>
                <w:noProof/>
                <w:sz w:val="22"/>
                <w:szCs w:val="20"/>
                <w:lang w:val="en-GB"/>
              </w:rPr>
              <w:t>olive oil sector to less than 15%</w:t>
            </w:r>
            <w:r w:rsidR="7CC00829" w:rsidRPr="00BB5286">
              <w:rPr>
                <w:rFonts w:eastAsia="Times New Roman" w:cs="Times New Roman"/>
                <w:noProof/>
                <w:sz w:val="22"/>
                <w:szCs w:val="20"/>
                <w:lang w:val="en-GB"/>
              </w:rPr>
              <w:t xml:space="preserve"> (of the value of marketed production of each </w:t>
            </w:r>
            <w:r w:rsidR="095D64F4" w:rsidRPr="00BB5286">
              <w:rPr>
                <w:rFonts w:eastAsia="Times New Roman" w:cs="Times New Roman"/>
                <w:noProof/>
                <w:sz w:val="22"/>
                <w:szCs w:val="20"/>
                <w:lang w:val="en-GB"/>
              </w:rPr>
              <w:t>PO</w:t>
            </w:r>
            <w:r w:rsidR="7CC00829" w:rsidRPr="00BB5286">
              <w:rPr>
                <w:rFonts w:eastAsia="Times New Roman" w:cs="Times New Roman"/>
                <w:noProof/>
                <w:sz w:val="22"/>
                <w:szCs w:val="20"/>
                <w:lang w:val="en-GB"/>
              </w:rPr>
              <w:t xml:space="preserve"> or association of </w:t>
            </w:r>
            <w:r w:rsidR="2D72CB02" w:rsidRPr="00BB5286">
              <w:rPr>
                <w:rFonts w:eastAsia="Times New Roman" w:cs="Times New Roman"/>
                <w:noProof/>
                <w:sz w:val="22"/>
                <w:szCs w:val="20"/>
                <w:lang w:val="en-GB"/>
              </w:rPr>
              <w:t>POs</w:t>
            </w:r>
            <w:r w:rsidR="422EECDC" w:rsidRPr="00BB5286">
              <w:rPr>
                <w:rFonts w:eastAsia="Calibri" w:cs="Times New Roman"/>
                <w:noProof/>
                <w:sz w:val="22"/>
                <w:szCs w:val="20"/>
                <w:lang w:val="en-GB"/>
              </w:rPr>
              <w:t xml:space="preserve">) </w:t>
            </w:r>
            <w:r w:rsidRPr="00BB5286">
              <w:rPr>
                <w:rFonts w:eastAsia="Calibri" w:cs="Times New Roman"/>
                <w:noProof/>
                <w:sz w:val="22"/>
                <w:szCs w:val="20"/>
                <w:lang w:val="en-GB"/>
              </w:rPr>
              <w:t>from 2025 onward</w:t>
            </w:r>
            <w:r w:rsidR="00241975" w:rsidRPr="00BB5286">
              <w:rPr>
                <w:rFonts w:eastAsia="Calibri" w:cs="Times New Roman"/>
                <w:noProof/>
                <w:sz w:val="22"/>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75B4B42D"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IT</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07125B3" w14:textId="6D6B9D12"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15% applies in 2025 and 2026. In 2027, 10% applies (</w:t>
            </w:r>
            <w:r w:rsidRPr="00BB5286">
              <w:rPr>
                <w:rFonts w:eastAsia="Calibri" w:cs="Times New Roman"/>
                <w:i/>
                <w:noProof/>
                <w:sz w:val="22"/>
                <w:szCs w:val="20"/>
                <w:lang w:val="en-GB"/>
              </w:rPr>
              <w:t xml:space="preserve">Article 65(2) </w:t>
            </w:r>
            <w:r w:rsidRPr="00BB5286">
              <w:rPr>
                <w:rFonts w:eastAsia="Calibri" w:cs="Times New Roman"/>
                <w:noProof/>
                <w:sz w:val="22"/>
                <w:szCs w:val="20"/>
                <w:lang w:val="en-GB"/>
              </w:rPr>
              <w:t xml:space="preserve">of </w:t>
            </w:r>
            <w:r w:rsidR="5A37994E"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Lessons learned from the current period will feed </w:t>
            </w:r>
            <w:r w:rsidR="00E46343" w:rsidRPr="00BB5286">
              <w:rPr>
                <w:rFonts w:eastAsia="Calibri" w:cs="Times New Roman"/>
                <w:noProof/>
                <w:sz w:val="22"/>
                <w:szCs w:val="20"/>
                <w:lang w:val="en-GB"/>
              </w:rPr>
              <w:t xml:space="preserve">into </w:t>
            </w:r>
            <w:r w:rsidRPr="00BB5286">
              <w:rPr>
                <w:rFonts w:eastAsia="Calibri" w:cs="Times New Roman"/>
                <w:noProof/>
                <w:sz w:val="22"/>
                <w:szCs w:val="20"/>
                <w:lang w:val="en-GB"/>
              </w:rPr>
              <w:t>the reflection on the post</w:t>
            </w:r>
            <w:r w:rsidR="00E46343" w:rsidRPr="00BB5286">
              <w:rPr>
                <w:rFonts w:eastAsia="Calibri" w:cs="Times New Roman"/>
                <w:noProof/>
                <w:sz w:val="22"/>
                <w:szCs w:val="20"/>
                <w:lang w:val="en-GB"/>
              </w:rPr>
              <w:t>-</w:t>
            </w:r>
            <w:r w:rsidRPr="00BB5286">
              <w:rPr>
                <w:rFonts w:eastAsia="Calibri" w:cs="Times New Roman"/>
                <w:noProof/>
                <w:sz w:val="22"/>
                <w:szCs w:val="20"/>
                <w:lang w:val="en-GB"/>
              </w:rPr>
              <w:t>2027</w:t>
            </w:r>
            <w:r w:rsidR="00E46343"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A8762C" w:rsidRPr="00BB5286" w14:paraId="2CD55B30"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085D9E4A" w14:textId="2263B3C1"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t>19</w:t>
            </w:r>
            <w:r w:rsidR="00A0403B">
              <w:rPr>
                <w:rFonts w:eastAsia="Calibri" w:cs="Times New Roman"/>
                <w:b/>
                <w:bCs/>
                <w:noProof/>
                <w:sz w:val="22"/>
                <w:lang w:val="en-GB"/>
              </w:rPr>
              <w:t>3</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0A8E3575" w14:textId="1AFFE474"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 xml:space="preserve">Fruit and </w:t>
            </w:r>
            <w:r w:rsidR="00E46343" w:rsidRPr="00BB5286">
              <w:rPr>
                <w:rFonts w:eastAsia="Calibri" w:cs="Times New Roman"/>
                <w:b/>
                <w:bCs/>
                <w:noProof/>
                <w:sz w:val="22"/>
                <w:szCs w:val="20"/>
                <w:lang w:val="en-GB"/>
              </w:rPr>
              <w:t>v</w:t>
            </w:r>
            <w:r w:rsidRPr="00BB5286">
              <w:rPr>
                <w:rFonts w:eastAsia="Calibri" w:cs="Times New Roman"/>
                <w:b/>
                <w:bCs/>
                <w:noProof/>
                <w:sz w:val="22"/>
                <w:szCs w:val="20"/>
                <w:lang w:val="en-GB"/>
              </w:rPr>
              <w:t>egetables:</w:t>
            </w:r>
            <w:r w:rsidRPr="00BB5286">
              <w:rPr>
                <w:rFonts w:eastAsia="Calibri" w:cs="Times New Roman"/>
                <w:noProof/>
                <w:sz w:val="22"/>
                <w:szCs w:val="20"/>
                <w:lang w:val="en-GB"/>
              </w:rPr>
              <w:t xml:space="preserve"> </w:t>
            </w:r>
            <w:r w:rsidR="3565FFB0" w:rsidRPr="00BB5286">
              <w:rPr>
                <w:rFonts w:eastAsia="Calibri" w:cs="Times New Roman"/>
                <w:noProof/>
                <w:sz w:val="22"/>
                <w:szCs w:val="20"/>
                <w:lang w:val="en-GB"/>
              </w:rPr>
              <w:t>s</w:t>
            </w:r>
            <w:r w:rsidRPr="00BB5286">
              <w:rPr>
                <w:rFonts w:eastAsia="Calibri" w:cs="Times New Roman"/>
                <w:noProof/>
                <w:sz w:val="22"/>
                <w:szCs w:val="20"/>
                <w:lang w:val="en-GB"/>
              </w:rPr>
              <w:t xml:space="preserve">implify the system of objectives </w:t>
            </w:r>
            <w:r w:rsidR="00E46343" w:rsidRPr="00BB5286">
              <w:rPr>
                <w:rFonts w:eastAsia="Calibri" w:cs="Times New Roman"/>
                <w:noProof/>
                <w:sz w:val="22"/>
                <w:szCs w:val="20"/>
                <w:lang w:val="en-GB"/>
              </w:rPr>
              <w:t xml:space="preserve">for </w:t>
            </w:r>
            <w:r w:rsidRPr="00BB5286">
              <w:rPr>
                <w:rFonts w:eastAsia="Calibri" w:cs="Times New Roman"/>
                <w:noProof/>
                <w:sz w:val="22"/>
                <w:szCs w:val="20"/>
                <w:lang w:val="en-GB"/>
              </w:rPr>
              <w:t xml:space="preserve">POs in </w:t>
            </w:r>
            <w:r w:rsidR="00E46343" w:rsidRPr="00BB5286">
              <w:rPr>
                <w:rFonts w:eastAsia="Calibri" w:cs="Times New Roman"/>
                <w:noProof/>
                <w:sz w:val="22"/>
                <w:szCs w:val="20"/>
                <w:lang w:val="en-GB"/>
              </w:rPr>
              <w:t>the fruit and vegetables</w:t>
            </w:r>
            <w:r w:rsidRPr="00BB5286">
              <w:rPr>
                <w:rFonts w:eastAsia="Calibri" w:cs="Times New Roman"/>
                <w:noProof/>
                <w:sz w:val="22"/>
                <w:szCs w:val="20"/>
                <w:lang w:val="en-GB"/>
              </w:rPr>
              <w:t xml:space="preserve"> </w:t>
            </w:r>
            <w:r w:rsidR="00E46343" w:rsidRPr="00BB5286">
              <w:rPr>
                <w:rFonts w:eastAsia="Calibri" w:cs="Times New Roman"/>
                <w:noProof/>
                <w:sz w:val="22"/>
                <w:szCs w:val="20"/>
                <w:lang w:val="en-GB"/>
              </w:rPr>
              <w:t xml:space="preserve">sector as regards </w:t>
            </w:r>
            <w:r w:rsidRPr="00BB5286">
              <w:rPr>
                <w:rFonts w:eastAsia="Calibri" w:cs="Times New Roman"/>
                <w:noProof/>
                <w:sz w:val="22"/>
                <w:szCs w:val="20"/>
                <w:lang w:val="en-GB"/>
              </w:rPr>
              <w:t xml:space="preserve">applying recognition, </w:t>
            </w:r>
            <w:r w:rsidR="00E46343" w:rsidRPr="00BB5286">
              <w:rPr>
                <w:rFonts w:eastAsia="Calibri" w:cs="Times New Roman"/>
                <w:noProof/>
                <w:sz w:val="22"/>
                <w:szCs w:val="20"/>
                <w:lang w:val="en-GB"/>
              </w:rPr>
              <w:t xml:space="preserve">and </w:t>
            </w:r>
            <w:r w:rsidRPr="00BB5286">
              <w:rPr>
                <w:rFonts w:eastAsia="Calibri" w:cs="Times New Roman"/>
                <w:noProof/>
                <w:sz w:val="22"/>
                <w:szCs w:val="20"/>
                <w:lang w:val="en-GB"/>
              </w:rPr>
              <w:t>for operational programmes for specific interventions</w:t>
            </w:r>
            <w:r w:rsidR="00241975" w:rsidRPr="00BB5286">
              <w:rPr>
                <w:rFonts w:eastAsia="Calibri" w:cs="Times New Roman"/>
                <w:noProof/>
                <w:sz w:val="22"/>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0CA5824E"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LV, PL</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448491AC" w14:textId="65B71751" w:rsidR="00A8762C" w:rsidRPr="00BB5286" w:rsidRDefault="00A8762C" w:rsidP="00A8762C">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was not taken </w:t>
            </w:r>
            <w:r w:rsidR="00E46343" w:rsidRPr="00BB5286">
              <w:rPr>
                <w:rFonts w:eastAsia="Calibri" w:cs="Times New Roman"/>
                <w:noProof/>
                <w:sz w:val="22"/>
                <w:szCs w:val="20"/>
                <w:lang w:val="en-GB"/>
              </w:rPr>
              <w:t xml:space="preserve">up </w:t>
            </w:r>
            <w:r w:rsidRPr="00BB5286">
              <w:rPr>
                <w:rFonts w:eastAsia="Calibri" w:cs="Times New Roman"/>
                <w:noProof/>
                <w:sz w:val="22"/>
                <w:szCs w:val="20"/>
                <w:lang w:val="en-GB"/>
              </w:rPr>
              <w:t>to maintain a level playing field between PO</w:t>
            </w:r>
            <w:r w:rsidR="206E1D87" w:rsidRPr="00BB5286">
              <w:rPr>
                <w:rFonts w:eastAsia="Calibri" w:cs="Times New Roman"/>
                <w:noProof/>
                <w:sz w:val="22"/>
                <w:szCs w:val="20"/>
                <w:lang w:val="en-GB"/>
              </w:rPr>
              <w:t>s.</w:t>
            </w:r>
            <w:r w:rsidRPr="00BB5286">
              <w:rPr>
                <w:rFonts w:eastAsia="Calibri" w:cs="Times New Roman"/>
                <w:noProof/>
                <w:sz w:val="22"/>
                <w:szCs w:val="20"/>
                <w:lang w:val="en-GB"/>
              </w:rPr>
              <w:t xml:space="preserve"> Lessons learned from the current period will feed </w:t>
            </w:r>
            <w:r w:rsidR="00E46343" w:rsidRPr="00BB5286">
              <w:rPr>
                <w:rFonts w:eastAsia="Calibri" w:cs="Times New Roman"/>
                <w:noProof/>
                <w:sz w:val="22"/>
                <w:szCs w:val="20"/>
                <w:lang w:val="en-GB"/>
              </w:rPr>
              <w:t xml:space="preserve">into </w:t>
            </w:r>
            <w:r w:rsidRPr="00BB5286">
              <w:rPr>
                <w:rFonts w:eastAsia="Calibri" w:cs="Times New Roman"/>
                <w:noProof/>
                <w:sz w:val="22"/>
                <w:szCs w:val="20"/>
                <w:lang w:val="en-GB"/>
              </w:rPr>
              <w:t>the reflection on the post</w:t>
            </w:r>
            <w:r w:rsidR="00E46343" w:rsidRPr="00BB5286">
              <w:rPr>
                <w:rFonts w:eastAsia="Calibri" w:cs="Times New Roman"/>
                <w:noProof/>
                <w:sz w:val="22"/>
                <w:szCs w:val="20"/>
                <w:lang w:val="en-GB"/>
              </w:rPr>
              <w:t>-</w:t>
            </w:r>
            <w:r w:rsidRPr="00BB5286">
              <w:rPr>
                <w:rFonts w:eastAsia="Calibri" w:cs="Times New Roman"/>
                <w:noProof/>
                <w:sz w:val="22"/>
                <w:szCs w:val="20"/>
                <w:lang w:val="en-GB"/>
              </w:rPr>
              <w:t>2027</w:t>
            </w:r>
            <w:r w:rsidR="00E46343"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A8762C" w:rsidRPr="00BB5286" w14:paraId="76EDD888"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101802E7" w14:textId="4FA6BC63" w:rsidR="00A8762C" w:rsidRPr="00BB5286" w:rsidRDefault="00A8762C" w:rsidP="00A8762C">
            <w:pPr>
              <w:spacing w:after="60" w:line="259" w:lineRule="auto"/>
              <w:rPr>
                <w:rFonts w:eastAsia="Calibri" w:cs="Times New Roman"/>
                <w:b/>
                <w:noProof/>
                <w:sz w:val="22"/>
                <w:lang w:val="en-GB"/>
              </w:rPr>
            </w:pPr>
            <w:r w:rsidRPr="00BB5286">
              <w:rPr>
                <w:rFonts w:eastAsia="Calibri" w:cs="Times New Roman"/>
                <w:b/>
                <w:bCs/>
                <w:noProof/>
                <w:sz w:val="22"/>
                <w:lang w:val="en-GB"/>
              </w:rPr>
              <w:t>19</w:t>
            </w:r>
            <w:r w:rsidR="00A0403B">
              <w:rPr>
                <w:rFonts w:eastAsia="Calibri" w:cs="Times New Roman"/>
                <w:b/>
                <w:bCs/>
                <w:noProof/>
                <w:sz w:val="22"/>
                <w:lang w:val="en-GB"/>
              </w:rPr>
              <w:t>4</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04340FD2" w14:textId="6DCED361" w:rsidR="00A8762C" w:rsidRPr="00BB5286" w:rsidRDefault="00A8762C" w:rsidP="00A8762C">
            <w:pPr>
              <w:spacing w:after="60" w:line="259" w:lineRule="auto"/>
              <w:rPr>
                <w:rFonts w:eastAsia="Calibri" w:cs="Times New Roman"/>
                <w:noProof/>
                <w:sz w:val="22"/>
                <w:szCs w:val="20"/>
                <w:lang w:val="en-GB"/>
              </w:rPr>
            </w:pPr>
            <w:r w:rsidRPr="00BB5286">
              <w:rPr>
                <w:rFonts w:eastAsia="Calibri" w:cs="Times New Roman"/>
                <w:b/>
                <w:bCs/>
                <w:noProof/>
                <w:sz w:val="22"/>
                <w:szCs w:val="20"/>
                <w:lang w:val="en-GB"/>
              </w:rPr>
              <w:t xml:space="preserve">Fruit and </w:t>
            </w:r>
            <w:r w:rsidR="00E46343" w:rsidRPr="00BB5286">
              <w:rPr>
                <w:rFonts w:eastAsia="Calibri" w:cs="Times New Roman"/>
                <w:b/>
                <w:bCs/>
                <w:noProof/>
                <w:sz w:val="22"/>
                <w:szCs w:val="20"/>
                <w:lang w:val="en-GB"/>
              </w:rPr>
              <w:t>v</w:t>
            </w:r>
            <w:r w:rsidRPr="00BB5286">
              <w:rPr>
                <w:rFonts w:eastAsia="Calibri" w:cs="Times New Roman"/>
                <w:b/>
                <w:bCs/>
                <w:noProof/>
                <w:sz w:val="22"/>
                <w:szCs w:val="20"/>
                <w:lang w:val="en-GB"/>
              </w:rPr>
              <w:t>egetables:</w:t>
            </w:r>
            <w:r w:rsidRPr="00BB5286">
              <w:rPr>
                <w:rFonts w:eastAsia="Calibri" w:cs="Times New Roman"/>
                <w:noProof/>
                <w:sz w:val="22"/>
                <w:szCs w:val="20"/>
                <w:lang w:val="en-GB"/>
              </w:rPr>
              <w:t xml:space="preserve"> </w:t>
            </w:r>
            <w:r w:rsidR="0FF52EE7" w:rsidRPr="00BB5286">
              <w:rPr>
                <w:rFonts w:eastAsia="Calibri" w:cs="Times New Roman"/>
                <w:noProof/>
                <w:sz w:val="22"/>
                <w:szCs w:val="20"/>
                <w:lang w:val="en-GB"/>
              </w:rPr>
              <w:t>t</w:t>
            </w:r>
            <w:r w:rsidRPr="00BB5286">
              <w:rPr>
                <w:rFonts w:eastAsia="Calibri" w:cs="Times New Roman"/>
                <w:noProof/>
                <w:sz w:val="22"/>
                <w:szCs w:val="20"/>
                <w:lang w:val="en-GB"/>
              </w:rPr>
              <w:t>o revise the requirements imposed on POs in</w:t>
            </w:r>
            <w:r w:rsidR="00E46343" w:rsidRPr="00BB5286">
              <w:rPr>
                <w:rFonts w:eastAsia="Calibri" w:cs="Times New Roman"/>
                <w:noProof/>
                <w:sz w:val="22"/>
                <w:szCs w:val="20"/>
                <w:lang w:val="en-GB"/>
              </w:rPr>
              <w:t xml:space="preserve"> the</w:t>
            </w:r>
            <w:r w:rsidRPr="00BB5286">
              <w:rPr>
                <w:rFonts w:eastAsia="Calibri" w:cs="Times New Roman"/>
                <w:noProof/>
                <w:sz w:val="22"/>
                <w:szCs w:val="20"/>
                <w:lang w:val="en-GB"/>
              </w:rPr>
              <w:t xml:space="preserve"> fruit and vegetable sector, to make the aid measure more </w:t>
            </w:r>
            <w:r w:rsidR="00E46343" w:rsidRPr="00BB5286">
              <w:rPr>
                <w:rFonts w:eastAsia="Calibri" w:cs="Times New Roman"/>
                <w:noProof/>
                <w:sz w:val="22"/>
                <w:szCs w:val="20"/>
                <w:lang w:val="en-GB"/>
              </w:rPr>
              <w:t>accessible to</w:t>
            </w:r>
            <w:r w:rsidRPr="00BB5286">
              <w:rPr>
                <w:rFonts w:eastAsia="Calibri" w:cs="Times New Roman"/>
                <w:noProof/>
                <w:sz w:val="22"/>
                <w:szCs w:val="20"/>
                <w:lang w:val="en-GB"/>
              </w:rPr>
              <w:t xml:space="preserve"> POs with small operational funds</w:t>
            </w:r>
            <w:r w:rsidR="00241975" w:rsidRPr="00BB5286">
              <w:rPr>
                <w:rFonts w:eastAsia="Calibri" w:cs="Times New Roman"/>
                <w:noProof/>
                <w:sz w:val="22"/>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5C4F8BBB"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LV</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72B077B9" w14:textId="31040C66" w:rsidR="00A8762C" w:rsidRPr="00BB5286" w:rsidRDefault="00A8762C" w:rsidP="1684862A">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was not taken up. Small POs should abide by the same rules as bigger POs, for example, </w:t>
            </w:r>
            <w:r w:rsidR="00E46343" w:rsidRPr="00BB5286">
              <w:rPr>
                <w:rFonts w:eastAsia="Calibri" w:cs="Times New Roman"/>
                <w:noProof/>
                <w:sz w:val="22"/>
                <w:szCs w:val="20"/>
                <w:lang w:val="en-GB"/>
              </w:rPr>
              <w:t xml:space="preserve">on </w:t>
            </w:r>
            <w:r w:rsidRPr="00BB5286">
              <w:rPr>
                <w:rFonts w:eastAsia="Calibri" w:cs="Times New Roman"/>
                <w:noProof/>
                <w:sz w:val="22"/>
                <w:szCs w:val="20"/>
                <w:lang w:val="en-GB"/>
              </w:rPr>
              <w:t xml:space="preserve">environmental ring fencing. Moreover, POs are free to concentrate their operational programmes in </w:t>
            </w:r>
            <w:r w:rsidR="00E46343" w:rsidRPr="00BB5286">
              <w:rPr>
                <w:rFonts w:eastAsia="Calibri" w:cs="Times New Roman"/>
                <w:noProof/>
                <w:sz w:val="22"/>
                <w:szCs w:val="20"/>
                <w:lang w:val="en-GB"/>
              </w:rPr>
              <w:t xml:space="preserve">a </w:t>
            </w:r>
            <w:r w:rsidRPr="00BB5286">
              <w:rPr>
                <w:rFonts w:eastAsia="Calibri" w:cs="Times New Roman"/>
                <w:noProof/>
                <w:sz w:val="22"/>
                <w:szCs w:val="20"/>
                <w:lang w:val="en-GB"/>
              </w:rPr>
              <w:t xml:space="preserve">few interventions that respond to their main priorities and </w:t>
            </w:r>
            <w:r w:rsidR="00E46343" w:rsidRPr="00BB5286">
              <w:rPr>
                <w:rFonts w:eastAsia="Calibri" w:cs="Times New Roman"/>
                <w:noProof/>
                <w:sz w:val="22"/>
                <w:szCs w:val="20"/>
                <w:lang w:val="en-GB"/>
              </w:rPr>
              <w:t xml:space="preserve">are </w:t>
            </w:r>
            <w:r w:rsidRPr="00BB5286">
              <w:rPr>
                <w:rFonts w:eastAsia="Calibri" w:cs="Times New Roman"/>
                <w:noProof/>
                <w:sz w:val="22"/>
                <w:szCs w:val="20"/>
                <w:lang w:val="en-GB"/>
              </w:rPr>
              <w:t>adjust</w:t>
            </w:r>
            <w:r w:rsidR="00E46343" w:rsidRPr="00BB5286">
              <w:rPr>
                <w:rFonts w:eastAsia="Calibri" w:cs="Times New Roman"/>
                <w:noProof/>
                <w:sz w:val="22"/>
                <w:szCs w:val="20"/>
                <w:lang w:val="en-GB"/>
              </w:rPr>
              <w:t>ed</w:t>
            </w:r>
            <w:r w:rsidRPr="00BB5286">
              <w:rPr>
                <w:rFonts w:eastAsia="Calibri" w:cs="Times New Roman"/>
                <w:noProof/>
                <w:sz w:val="22"/>
                <w:szCs w:val="20"/>
                <w:lang w:val="en-GB"/>
              </w:rPr>
              <w:t xml:space="preserve"> to their own resources. </w:t>
            </w:r>
            <w:r w:rsidRPr="00BB5286">
              <w:rPr>
                <w:rFonts w:eastAsia="Calibri" w:cs="Times New Roman"/>
                <w:i/>
                <w:iCs/>
                <w:noProof/>
                <w:sz w:val="22"/>
                <w:szCs w:val="20"/>
                <w:lang w:val="en-GB"/>
              </w:rPr>
              <w:t xml:space="preserve">Article 52(3) </w:t>
            </w:r>
            <w:r w:rsidRPr="00BB5286">
              <w:rPr>
                <w:rFonts w:eastAsia="Calibri" w:cs="Times New Roman"/>
                <w:noProof/>
                <w:sz w:val="22"/>
                <w:szCs w:val="20"/>
                <w:lang w:val="en-GB"/>
              </w:rPr>
              <w:t xml:space="preserve">of </w:t>
            </w:r>
            <w:r w:rsidR="01D4BD0D" w:rsidRPr="00BB5286">
              <w:rPr>
                <w:rFonts w:eastAsia="Calibri" w:cs="Times New Roman"/>
                <w:noProof/>
                <w:sz w:val="22"/>
                <w:szCs w:val="20"/>
                <w:lang w:val="en-GB"/>
              </w:rPr>
              <w:t xml:space="preserve">the CSP </w:t>
            </w:r>
            <w:r w:rsidRPr="00BB5286">
              <w:rPr>
                <w:rFonts w:eastAsia="Calibri" w:cs="Times New Roman"/>
                <w:noProof/>
                <w:sz w:val="22"/>
                <w:szCs w:val="20"/>
                <w:lang w:val="en-GB"/>
              </w:rPr>
              <w:t>Regulation  already provides financial incentives for POs under certain conditions.</w:t>
            </w:r>
          </w:p>
        </w:tc>
      </w:tr>
      <w:tr w:rsidR="00A8762C" w:rsidRPr="00BB5286" w14:paraId="54D64496"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1D98E201" w14:textId="7A147B09"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t>19</w:t>
            </w:r>
            <w:r w:rsidR="00A0403B">
              <w:rPr>
                <w:rFonts w:eastAsia="Calibri" w:cs="Times New Roman"/>
                <w:b/>
                <w:bCs/>
                <w:noProof/>
                <w:sz w:val="22"/>
                <w:lang w:val="en-GB"/>
              </w:rPr>
              <w:t>5</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0D22F8F0" w14:textId="6913BCDB" w:rsidR="00A8762C" w:rsidRPr="00BB5286" w:rsidRDefault="00A8762C" w:rsidP="1684862A">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 xml:space="preserve">Fruit and </w:t>
            </w:r>
            <w:r w:rsidR="00E46343" w:rsidRPr="00BB5286">
              <w:rPr>
                <w:rFonts w:eastAsia="Calibri" w:cs="Times New Roman"/>
                <w:b/>
                <w:bCs/>
                <w:noProof/>
                <w:sz w:val="22"/>
                <w:szCs w:val="20"/>
                <w:lang w:val="en-GB"/>
              </w:rPr>
              <w:t>v</w:t>
            </w:r>
            <w:r w:rsidRPr="00BB5286">
              <w:rPr>
                <w:rFonts w:eastAsia="Calibri" w:cs="Times New Roman"/>
                <w:b/>
                <w:bCs/>
                <w:noProof/>
                <w:sz w:val="22"/>
                <w:szCs w:val="20"/>
                <w:lang w:val="en-GB"/>
              </w:rPr>
              <w:t>egetables:</w:t>
            </w:r>
            <w:r w:rsidRPr="00BB5286">
              <w:rPr>
                <w:rFonts w:eastAsia="Calibri" w:cs="Times New Roman"/>
                <w:noProof/>
                <w:sz w:val="22"/>
                <w:szCs w:val="20"/>
                <w:lang w:val="en-GB"/>
              </w:rPr>
              <w:t xml:space="preserve"> </w:t>
            </w:r>
            <w:r w:rsidR="47D0EFBF" w:rsidRPr="00BB5286">
              <w:rPr>
                <w:rFonts w:eastAsia="Calibri" w:cs="Times New Roman"/>
                <w:noProof/>
                <w:sz w:val="22"/>
                <w:szCs w:val="20"/>
                <w:lang w:val="en-GB"/>
              </w:rPr>
              <w:t>r</w:t>
            </w:r>
            <w:r w:rsidRPr="00BB5286">
              <w:rPr>
                <w:rFonts w:eastAsia="Calibri" w:cs="Times New Roman"/>
                <w:noProof/>
                <w:sz w:val="22"/>
                <w:szCs w:val="20"/>
                <w:lang w:val="en-GB"/>
              </w:rPr>
              <w:t>equirements for POs are too burdensome</w:t>
            </w:r>
            <w:r w:rsidR="00AD1B95" w:rsidRPr="00BB5286">
              <w:rPr>
                <w:rFonts w:eastAsia="Calibri" w:cs="Times New Roman"/>
                <w:noProof/>
                <w:sz w:val="22"/>
                <w:szCs w:val="20"/>
                <w:lang w:val="en-GB"/>
              </w:rPr>
              <w:t>,</w:t>
            </w:r>
            <w:r w:rsidRPr="00BB5286">
              <w:rPr>
                <w:rFonts w:eastAsia="Calibri" w:cs="Times New Roman"/>
                <w:noProof/>
                <w:sz w:val="22"/>
                <w:szCs w:val="20"/>
                <w:lang w:val="en-GB"/>
              </w:rPr>
              <w:t xml:space="preserve"> especially on small farmers in the</w:t>
            </w:r>
            <w:r w:rsidR="00E46343" w:rsidRPr="00BB5286">
              <w:rPr>
                <w:rFonts w:eastAsia="Calibri" w:cs="Times New Roman"/>
                <w:noProof/>
                <w:sz w:val="22"/>
                <w:szCs w:val="20"/>
                <w:lang w:val="en-GB"/>
              </w:rPr>
              <w:t xml:space="preserve"> fruit and vegetables</w:t>
            </w:r>
            <w:r w:rsidRPr="00BB5286">
              <w:rPr>
                <w:rFonts w:eastAsia="Calibri" w:cs="Times New Roman"/>
                <w:noProof/>
                <w:sz w:val="22"/>
                <w:szCs w:val="20"/>
                <w:lang w:val="en-GB"/>
              </w:rPr>
              <w:t xml:space="preserve"> sector.</w:t>
            </w:r>
          </w:p>
        </w:tc>
        <w:tc>
          <w:tcPr>
            <w:tcW w:w="1530" w:type="dxa"/>
            <w:tcBorders>
              <w:top w:val="single" w:sz="4" w:space="0" w:color="auto"/>
              <w:left w:val="single" w:sz="4" w:space="0" w:color="auto"/>
              <w:bottom w:val="single" w:sz="4" w:space="0" w:color="auto"/>
              <w:right w:val="single" w:sz="4" w:space="0" w:color="auto"/>
            </w:tcBorders>
            <w:vAlign w:val="center"/>
          </w:tcPr>
          <w:p w14:paraId="11B4C7FC"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MT</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5F68DC3F" w14:textId="50A87F4A"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Encouraging small farmers to form bigger economic structures to get a better position in the supply chain is the very purpose of this policy. It is the PO that has to assume the management of the operational programme</w:t>
            </w:r>
            <w:r w:rsidR="00AD1B95" w:rsidRPr="00BB5286">
              <w:rPr>
                <w:rFonts w:eastAsia="Calibri" w:cs="Times New Roman"/>
                <w:noProof/>
                <w:sz w:val="22"/>
                <w:lang w:val="en-GB"/>
              </w:rPr>
              <w:t>,</w:t>
            </w:r>
            <w:r w:rsidRPr="00BB5286">
              <w:rPr>
                <w:rFonts w:eastAsia="Calibri" w:cs="Times New Roman"/>
                <w:noProof/>
                <w:sz w:val="22"/>
                <w:lang w:val="en-GB"/>
              </w:rPr>
              <w:t xml:space="preserve"> not the individual producer members.</w:t>
            </w:r>
          </w:p>
        </w:tc>
      </w:tr>
      <w:tr w:rsidR="00A8762C" w:rsidRPr="00BB5286" w14:paraId="762F90E3"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3B121751" w14:textId="4CAE6FE1"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t>19</w:t>
            </w:r>
            <w:r w:rsidR="00A0403B">
              <w:rPr>
                <w:rFonts w:eastAsia="Calibri" w:cs="Times New Roman"/>
                <w:b/>
                <w:bCs/>
                <w:noProof/>
                <w:sz w:val="22"/>
                <w:lang w:val="en-GB"/>
              </w:rPr>
              <w:t>6</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40155CB0" w14:textId="5CB767A8" w:rsidR="00A8762C" w:rsidRPr="00BB5286" w:rsidRDefault="00A8762C" w:rsidP="1684862A">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 xml:space="preserve">Fruit and </w:t>
            </w:r>
            <w:r w:rsidR="00E46343" w:rsidRPr="00BB5286">
              <w:rPr>
                <w:rFonts w:eastAsia="Calibri" w:cs="Times New Roman"/>
                <w:b/>
                <w:bCs/>
                <w:noProof/>
                <w:sz w:val="22"/>
                <w:szCs w:val="20"/>
                <w:lang w:val="en-GB"/>
              </w:rPr>
              <w:t>v</w:t>
            </w:r>
            <w:r w:rsidRPr="00BB5286">
              <w:rPr>
                <w:rFonts w:eastAsia="Calibri" w:cs="Times New Roman"/>
                <w:b/>
                <w:bCs/>
                <w:noProof/>
                <w:sz w:val="22"/>
                <w:szCs w:val="20"/>
                <w:lang w:val="en-GB"/>
              </w:rPr>
              <w:t>egetables:</w:t>
            </w:r>
            <w:r w:rsidRPr="00BB5286">
              <w:rPr>
                <w:rFonts w:eastAsia="Calibri" w:cs="Times New Roman"/>
                <w:noProof/>
                <w:sz w:val="22"/>
                <w:szCs w:val="20"/>
                <w:lang w:val="en-GB"/>
              </w:rPr>
              <w:t xml:space="preserve"> </w:t>
            </w:r>
            <w:r w:rsidR="7DEB2C6F" w:rsidRPr="00BB5286">
              <w:rPr>
                <w:rFonts w:eastAsia="Calibri" w:cs="Times New Roman"/>
                <w:noProof/>
                <w:sz w:val="22"/>
                <w:szCs w:val="20"/>
                <w:lang w:val="en-GB"/>
              </w:rPr>
              <w:t>e</w:t>
            </w:r>
            <w:r w:rsidRPr="00BB5286">
              <w:rPr>
                <w:rFonts w:eastAsia="Calibri" w:cs="Times New Roman"/>
                <w:noProof/>
                <w:sz w:val="22"/>
                <w:szCs w:val="20"/>
                <w:lang w:val="en-GB"/>
              </w:rPr>
              <w:t xml:space="preserve">xtend the </w:t>
            </w:r>
            <w:r w:rsidR="00AD1B95" w:rsidRPr="00BB5286">
              <w:rPr>
                <w:rFonts w:eastAsia="Calibri" w:cs="Times New Roman"/>
                <w:noProof/>
                <w:sz w:val="22"/>
                <w:szCs w:val="20"/>
                <w:lang w:val="en-GB"/>
              </w:rPr>
              <w:t xml:space="preserve">list </w:t>
            </w:r>
            <w:r w:rsidRPr="00BB5286">
              <w:rPr>
                <w:rFonts w:eastAsia="Calibri" w:cs="Times New Roman"/>
                <w:noProof/>
                <w:sz w:val="22"/>
                <w:szCs w:val="20"/>
                <w:lang w:val="en-GB"/>
              </w:rPr>
              <w:t xml:space="preserve">of cases in which it is assumed that a PO </w:t>
            </w:r>
            <w:r w:rsidR="00AD1B95" w:rsidRPr="00BB5286">
              <w:rPr>
                <w:rFonts w:eastAsia="Calibri" w:cs="Times New Roman"/>
                <w:noProof/>
                <w:sz w:val="22"/>
                <w:szCs w:val="20"/>
                <w:lang w:val="en-GB"/>
              </w:rPr>
              <w:t xml:space="preserve">has </w:t>
            </w:r>
            <w:r w:rsidRPr="00BB5286">
              <w:rPr>
                <w:rFonts w:eastAsia="Calibri" w:cs="Times New Roman"/>
                <w:noProof/>
                <w:sz w:val="22"/>
                <w:szCs w:val="20"/>
                <w:lang w:val="en-GB"/>
              </w:rPr>
              <w:t>implemented one of at least three obligatory actions (environment, animal welfare, climate) with eco</w:t>
            </w:r>
            <w:r w:rsidR="00AD1B95" w:rsidRPr="00BB5286">
              <w:rPr>
                <w:rFonts w:eastAsia="Calibri" w:cs="Times New Roman"/>
                <w:noProof/>
                <w:sz w:val="22"/>
                <w:szCs w:val="20"/>
                <w:lang w:val="en-GB"/>
              </w:rPr>
              <w:t>-</w:t>
            </w:r>
            <w:r w:rsidRPr="00BB5286">
              <w:rPr>
                <w:rFonts w:eastAsia="Calibri" w:cs="Times New Roman"/>
                <w:noProof/>
                <w:sz w:val="22"/>
                <w:szCs w:val="20"/>
                <w:lang w:val="en-GB"/>
              </w:rPr>
              <w:t>schemes.</w:t>
            </w:r>
          </w:p>
        </w:tc>
        <w:tc>
          <w:tcPr>
            <w:tcW w:w="1530" w:type="dxa"/>
            <w:tcBorders>
              <w:top w:val="single" w:sz="4" w:space="0" w:color="auto"/>
              <w:left w:val="single" w:sz="4" w:space="0" w:color="auto"/>
              <w:bottom w:val="single" w:sz="4" w:space="0" w:color="auto"/>
              <w:right w:val="single" w:sz="4" w:space="0" w:color="auto"/>
            </w:tcBorders>
            <w:vAlign w:val="center"/>
          </w:tcPr>
          <w:p w14:paraId="0E9192C0"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PL, PT</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01B775D1" w14:textId="26A88CD0" w:rsidR="00A8762C" w:rsidRPr="00BB5286" w:rsidRDefault="00A8762C" w:rsidP="1684862A">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was not taken up, since it is considered important to preserve the environmental contribution </w:t>
            </w:r>
            <w:r w:rsidR="007F58CB" w:rsidRPr="00BB5286">
              <w:rPr>
                <w:rFonts w:eastAsia="Calibri" w:cs="Times New Roman"/>
                <w:noProof/>
                <w:sz w:val="22"/>
                <w:szCs w:val="20"/>
                <w:lang w:val="en-GB"/>
              </w:rPr>
              <w:t>of</w:t>
            </w:r>
            <w:r w:rsidR="007F58CB">
              <w:rPr>
                <w:rFonts w:eastAsia="Calibri" w:cs="Times New Roman"/>
                <w:noProof/>
                <w:sz w:val="22"/>
                <w:szCs w:val="20"/>
                <w:lang w:val="en-GB"/>
              </w:rPr>
              <w:t xml:space="preserve"> </w:t>
            </w:r>
            <w:r w:rsidR="007F58CB" w:rsidRPr="00BB5286">
              <w:rPr>
                <w:rFonts w:eastAsia="Calibri" w:cs="Times New Roman"/>
                <w:noProof/>
                <w:sz w:val="22"/>
                <w:szCs w:val="20"/>
                <w:lang w:val="en-GB"/>
              </w:rPr>
              <w:t>POs</w:t>
            </w:r>
            <w:r w:rsidRPr="00BB5286">
              <w:rPr>
                <w:rFonts w:eastAsia="Calibri" w:cs="Times New Roman"/>
                <w:noProof/>
                <w:sz w:val="22"/>
                <w:szCs w:val="20"/>
                <w:lang w:val="en-GB"/>
              </w:rPr>
              <w:t xml:space="preserve">. Lessons learned from the current period will feed </w:t>
            </w:r>
            <w:r w:rsidR="660CFBA4" w:rsidRPr="00BB5286">
              <w:rPr>
                <w:rFonts w:eastAsia="Calibri" w:cs="Times New Roman"/>
                <w:noProof/>
                <w:sz w:val="22"/>
                <w:szCs w:val="20"/>
                <w:lang w:val="en-GB"/>
              </w:rPr>
              <w:t xml:space="preserve">into </w:t>
            </w:r>
            <w:r w:rsidRPr="00BB5286">
              <w:rPr>
                <w:rFonts w:eastAsia="Calibri" w:cs="Times New Roman"/>
                <w:noProof/>
                <w:sz w:val="22"/>
                <w:szCs w:val="20"/>
                <w:lang w:val="en-GB"/>
              </w:rPr>
              <w:t>the reflection on the post</w:t>
            </w:r>
            <w:r w:rsidR="00AD1B95" w:rsidRPr="00BB5286">
              <w:rPr>
                <w:rFonts w:eastAsia="Calibri" w:cs="Times New Roman"/>
                <w:noProof/>
                <w:sz w:val="22"/>
                <w:szCs w:val="20"/>
                <w:lang w:val="en-GB"/>
              </w:rPr>
              <w:t>-</w:t>
            </w:r>
            <w:r w:rsidRPr="00BB5286">
              <w:rPr>
                <w:rFonts w:eastAsia="Calibri" w:cs="Times New Roman"/>
                <w:noProof/>
                <w:sz w:val="22"/>
                <w:szCs w:val="20"/>
                <w:lang w:val="en-GB"/>
              </w:rPr>
              <w:t>2027</w:t>
            </w:r>
            <w:r w:rsidR="00AD1B95" w:rsidRPr="00BB5286">
              <w:rPr>
                <w:rFonts w:eastAsia="Calibri" w:cs="Times New Roman"/>
                <w:noProof/>
                <w:sz w:val="22"/>
                <w:szCs w:val="20"/>
                <w:lang w:val="en-GB"/>
              </w:rPr>
              <w:t xml:space="preserve"> CAP</w:t>
            </w:r>
            <w:r w:rsidRPr="00BB5286">
              <w:rPr>
                <w:rFonts w:eastAsia="Calibri" w:cs="Times New Roman"/>
                <w:noProof/>
                <w:sz w:val="22"/>
                <w:szCs w:val="20"/>
                <w:lang w:val="en-GB"/>
              </w:rPr>
              <w:t>.</w:t>
            </w:r>
          </w:p>
        </w:tc>
      </w:tr>
      <w:tr w:rsidR="00A8762C" w:rsidRPr="00BB5286" w14:paraId="040A0B95"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19D65CFD" w14:textId="32145818"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lastRenderedPageBreak/>
              <w:t>19</w:t>
            </w:r>
            <w:r w:rsidR="00A0403B">
              <w:rPr>
                <w:rFonts w:eastAsia="Calibri" w:cs="Times New Roman"/>
                <w:b/>
                <w:bCs/>
                <w:noProof/>
                <w:sz w:val="22"/>
                <w:lang w:val="en-GB"/>
              </w:rPr>
              <w:t>7</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4FBA1E84" w14:textId="0C4864B5" w:rsidR="00A8762C" w:rsidRPr="00BB5286" w:rsidRDefault="00A8762C" w:rsidP="1684862A">
            <w:pPr>
              <w:spacing w:after="60" w:line="259" w:lineRule="auto"/>
              <w:jc w:val="both"/>
              <w:rPr>
                <w:rFonts w:eastAsia="Times New Roman" w:cs="Times New Roman"/>
                <w:b/>
                <w:bCs/>
                <w:noProof/>
                <w:sz w:val="22"/>
                <w:szCs w:val="20"/>
                <w:lang w:val="en-GB" w:eastAsia="en-IE"/>
              </w:rPr>
            </w:pPr>
            <w:r w:rsidRPr="00BB5286">
              <w:rPr>
                <w:rFonts w:eastAsia="Calibri" w:cs="Times New Roman"/>
                <w:b/>
                <w:bCs/>
                <w:noProof/>
                <w:sz w:val="22"/>
                <w:szCs w:val="20"/>
                <w:lang w:val="en-GB"/>
              </w:rPr>
              <w:t xml:space="preserve">Fruit and </w:t>
            </w:r>
            <w:r w:rsidR="00E46343" w:rsidRPr="00BB5286">
              <w:rPr>
                <w:rFonts w:eastAsia="Calibri" w:cs="Times New Roman"/>
                <w:b/>
                <w:noProof/>
                <w:sz w:val="22"/>
                <w:szCs w:val="20"/>
                <w:lang w:val="en-GB"/>
              </w:rPr>
              <w:t>v</w:t>
            </w:r>
            <w:r w:rsidRPr="00BB5286">
              <w:rPr>
                <w:rFonts w:eastAsia="Calibri" w:cs="Times New Roman"/>
                <w:b/>
                <w:noProof/>
                <w:sz w:val="22"/>
                <w:szCs w:val="20"/>
                <w:lang w:val="en-GB"/>
              </w:rPr>
              <w:t>egetables - irrigation:</w:t>
            </w:r>
            <w:r w:rsidRPr="00BB5286">
              <w:rPr>
                <w:rFonts w:eastAsia="Calibri" w:cs="Times New Roman"/>
                <w:noProof/>
                <w:sz w:val="22"/>
                <w:szCs w:val="20"/>
                <w:lang w:val="en-GB"/>
              </w:rPr>
              <w:t xml:space="preserve"> </w:t>
            </w:r>
            <w:r w:rsidR="00EE7FFA" w:rsidRPr="00BB5286">
              <w:rPr>
                <w:rFonts w:eastAsia="Calibri" w:cs="Times New Roman"/>
                <w:noProof/>
                <w:sz w:val="22"/>
                <w:szCs w:val="20"/>
                <w:lang w:val="en-GB"/>
              </w:rPr>
              <w:t>p</w:t>
            </w:r>
            <w:r w:rsidRPr="00BB5286">
              <w:rPr>
                <w:rFonts w:eastAsia="Calibri" w:cs="Times New Roman"/>
                <w:noProof/>
                <w:sz w:val="22"/>
                <w:szCs w:val="20"/>
                <w:lang w:val="en-GB"/>
              </w:rPr>
              <w:t>rocedure for accessing irrigation investments in fruit and vegetables interventions should be simplified, avoiding reference to documentation proving water</w:t>
            </w:r>
            <w:r w:rsidR="00241975" w:rsidRPr="00BB5286">
              <w:rPr>
                <w:rFonts w:eastAsia="Calibri" w:cs="Times New Roman"/>
                <w:noProof/>
                <w:sz w:val="22"/>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3231882B"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IT</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ECE1BB7" w14:textId="50FA40AF"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not taken up. Provisions for irrigation investments are aligned with rules for similar rural development interventions.</w:t>
            </w:r>
          </w:p>
        </w:tc>
      </w:tr>
      <w:tr w:rsidR="00A8762C" w:rsidRPr="00BB5286" w14:paraId="0E2DAFD3"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106B0D47" w14:textId="5F240B31" w:rsidR="00A8762C" w:rsidRPr="00BB5286" w:rsidRDefault="00A8762C" w:rsidP="00A8762C">
            <w:pPr>
              <w:spacing w:after="60" w:line="259" w:lineRule="auto"/>
              <w:jc w:val="both"/>
              <w:rPr>
                <w:rFonts w:eastAsia="Times New Roman" w:cs="Times New Roman"/>
                <w:b/>
                <w:bCs/>
                <w:noProof/>
                <w:sz w:val="22"/>
                <w:lang w:val="en-GB" w:eastAsia="en-IE"/>
              </w:rPr>
            </w:pPr>
            <w:r w:rsidRPr="00BB5286">
              <w:rPr>
                <w:rFonts w:eastAsia="Times New Roman" w:cs="Times New Roman"/>
                <w:b/>
                <w:bCs/>
                <w:noProof/>
                <w:sz w:val="22"/>
                <w:lang w:val="en-GB" w:eastAsia="en-IE"/>
              </w:rPr>
              <w:t>19</w:t>
            </w:r>
            <w:r w:rsidR="00A0403B">
              <w:rPr>
                <w:rFonts w:eastAsia="Times New Roman" w:cs="Times New Roman"/>
                <w:b/>
                <w:bCs/>
                <w:noProof/>
                <w:sz w:val="22"/>
                <w:lang w:val="en-GB" w:eastAsia="en-IE"/>
              </w:rPr>
              <w:t>8</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75E90E78" w14:textId="41368EFC" w:rsidR="00A8762C" w:rsidRPr="00BB5286" w:rsidRDefault="00A8762C" w:rsidP="1684862A">
            <w:pPr>
              <w:spacing w:after="60" w:line="259" w:lineRule="auto"/>
              <w:jc w:val="both"/>
              <w:rPr>
                <w:rFonts w:eastAsia="Calibri" w:cs="Times New Roman"/>
                <w:b/>
                <w:bCs/>
                <w:noProof/>
                <w:sz w:val="22"/>
                <w:szCs w:val="20"/>
                <w:lang w:val="en-GB"/>
              </w:rPr>
            </w:pPr>
            <w:r w:rsidRPr="00BB5286">
              <w:rPr>
                <w:rFonts w:eastAsia="Calibri" w:cs="Times New Roman"/>
                <w:b/>
                <w:bCs/>
                <w:noProof/>
                <w:sz w:val="22"/>
                <w:szCs w:val="20"/>
                <w:lang w:val="en-GB"/>
              </w:rPr>
              <w:t xml:space="preserve">Fruit and </w:t>
            </w:r>
            <w:r w:rsidR="00E46343" w:rsidRPr="00BB5286">
              <w:rPr>
                <w:rFonts w:eastAsia="Calibri" w:cs="Times New Roman"/>
                <w:b/>
                <w:bCs/>
                <w:noProof/>
                <w:sz w:val="22"/>
                <w:szCs w:val="20"/>
                <w:lang w:val="en-GB"/>
              </w:rPr>
              <w:t>v</w:t>
            </w:r>
            <w:r w:rsidRPr="00BB5286">
              <w:rPr>
                <w:rFonts w:eastAsia="Calibri" w:cs="Times New Roman"/>
                <w:b/>
                <w:bCs/>
                <w:noProof/>
                <w:sz w:val="22"/>
                <w:szCs w:val="20"/>
                <w:lang w:val="en-GB"/>
              </w:rPr>
              <w:t>egetables</w:t>
            </w:r>
            <w:r w:rsidRPr="00BB5286">
              <w:rPr>
                <w:rFonts w:eastAsia="Times New Roman" w:cs="Times New Roman"/>
                <w:b/>
                <w:bCs/>
                <w:noProof/>
                <w:sz w:val="22"/>
                <w:szCs w:val="20"/>
                <w:lang w:val="en-GB" w:eastAsia="en-IE"/>
              </w:rPr>
              <w:t>:</w:t>
            </w:r>
            <w:r w:rsidRPr="00BB5286">
              <w:rPr>
                <w:rFonts w:eastAsia="Times New Roman" w:cs="Times New Roman"/>
                <w:noProof/>
                <w:sz w:val="22"/>
                <w:szCs w:val="20"/>
                <w:lang w:val="en-GB" w:eastAsia="en-IE"/>
              </w:rPr>
              <w:t xml:space="preserve"> </w:t>
            </w:r>
            <w:r w:rsidR="5BF5DF29" w:rsidRPr="00BB5286">
              <w:rPr>
                <w:rFonts w:eastAsia="Times New Roman" w:cs="Times New Roman"/>
                <w:noProof/>
                <w:sz w:val="22"/>
                <w:szCs w:val="20"/>
                <w:lang w:val="en-GB" w:eastAsia="en-IE"/>
              </w:rPr>
              <w:t>d</w:t>
            </w:r>
            <w:r w:rsidR="0058559D" w:rsidRPr="00BB5286">
              <w:rPr>
                <w:rFonts w:eastAsia="Times New Roman" w:cs="Times New Roman"/>
                <w:noProof/>
                <w:sz w:val="22"/>
                <w:szCs w:val="20"/>
                <w:lang w:val="en-GB" w:eastAsia="en-IE"/>
              </w:rPr>
              <w:t xml:space="preserve">o not change </w:t>
            </w:r>
            <w:r w:rsidRPr="00BB5286">
              <w:rPr>
                <w:rFonts w:eastAsia="Times New Roman" w:cs="Times New Roman"/>
                <w:noProof/>
                <w:sz w:val="22"/>
                <w:szCs w:val="20"/>
                <w:lang w:val="en-GB" w:eastAsia="en-IE"/>
              </w:rPr>
              <w:t xml:space="preserve">the objectives of POs' operational programmes, but make them much more flexible and simpler, </w:t>
            </w:r>
            <w:r w:rsidR="0058559D" w:rsidRPr="00BB5286">
              <w:rPr>
                <w:rFonts w:eastAsia="Times New Roman" w:cs="Times New Roman"/>
                <w:noProof/>
                <w:sz w:val="22"/>
                <w:szCs w:val="20"/>
                <w:lang w:val="en-GB" w:eastAsia="en-IE"/>
              </w:rPr>
              <w:t>by amending</w:t>
            </w:r>
            <w:r w:rsidRPr="00BB5286">
              <w:rPr>
                <w:rFonts w:eastAsia="Times New Roman" w:cs="Times New Roman"/>
                <w:noProof/>
                <w:sz w:val="22"/>
                <w:szCs w:val="20"/>
                <w:lang w:val="en-GB" w:eastAsia="en-IE"/>
              </w:rPr>
              <w:t xml:space="preserve"> Commission Delegated Regulation (EU) 2022/126. </w:t>
            </w:r>
            <w:r w:rsidR="0058559D" w:rsidRPr="00BB5286">
              <w:rPr>
                <w:rFonts w:eastAsia="Times New Roman" w:cs="Times New Roman"/>
                <w:noProof/>
                <w:sz w:val="22"/>
                <w:szCs w:val="20"/>
                <w:lang w:val="en-GB" w:eastAsia="en-IE"/>
              </w:rPr>
              <w:t xml:space="preserve">This includes the </w:t>
            </w:r>
            <w:r w:rsidRPr="00BB5286">
              <w:rPr>
                <w:rFonts w:eastAsia="Times New Roman" w:cs="Times New Roman"/>
                <w:noProof/>
                <w:sz w:val="22"/>
                <w:szCs w:val="20"/>
                <w:lang w:val="en-GB" w:eastAsia="en-IE"/>
              </w:rPr>
              <w:t xml:space="preserve">financing of irrigation, </w:t>
            </w:r>
            <w:r w:rsidR="0058559D" w:rsidRPr="00BB5286">
              <w:rPr>
                <w:rFonts w:eastAsia="Times New Roman" w:cs="Times New Roman"/>
                <w:noProof/>
                <w:sz w:val="22"/>
                <w:szCs w:val="20"/>
                <w:lang w:val="en-GB" w:eastAsia="en-IE"/>
              </w:rPr>
              <w:t xml:space="preserve">and the </w:t>
            </w:r>
            <w:r w:rsidRPr="00BB5286">
              <w:rPr>
                <w:rFonts w:eastAsia="Times New Roman" w:cs="Times New Roman"/>
                <w:noProof/>
                <w:sz w:val="22"/>
                <w:szCs w:val="20"/>
                <w:lang w:val="en-GB" w:eastAsia="en-IE"/>
              </w:rPr>
              <w:t xml:space="preserve">reduction of </w:t>
            </w:r>
            <w:r w:rsidR="0058559D" w:rsidRPr="00BB5286">
              <w:rPr>
                <w:rFonts w:eastAsia="Times New Roman" w:cs="Times New Roman"/>
                <w:noProof/>
                <w:sz w:val="22"/>
                <w:szCs w:val="20"/>
                <w:lang w:val="en-GB" w:eastAsia="en-IE"/>
              </w:rPr>
              <w:t xml:space="preserve">the </w:t>
            </w:r>
            <w:r w:rsidRPr="00BB5286">
              <w:rPr>
                <w:rFonts w:eastAsia="Times New Roman" w:cs="Times New Roman"/>
                <w:noProof/>
                <w:sz w:val="22"/>
                <w:szCs w:val="20"/>
                <w:lang w:val="en-GB" w:eastAsia="en-IE"/>
              </w:rPr>
              <w:t xml:space="preserve">carbon footprint and </w:t>
            </w:r>
            <w:r w:rsidR="0058559D" w:rsidRPr="00BB5286">
              <w:rPr>
                <w:rFonts w:eastAsia="Times New Roman" w:cs="Times New Roman"/>
                <w:noProof/>
                <w:sz w:val="22"/>
                <w:szCs w:val="20"/>
                <w:lang w:val="en-GB" w:eastAsia="en-IE"/>
              </w:rPr>
              <w:t xml:space="preserve">plastic packaging based on </w:t>
            </w:r>
            <w:r w:rsidRPr="00BB5286">
              <w:rPr>
                <w:rFonts w:eastAsia="Times New Roman" w:cs="Times New Roman"/>
                <w:noProof/>
                <w:sz w:val="22"/>
                <w:szCs w:val="20"/>
                <w:lang w:val="en-GB" w:eastAsia="en-IE"/>
              </w:rPr>
              <w:t>fossil fuel</w:t>
            </w:r>
            <w:r w:rsidR="0058559D" w:rsidRPr="00BB5286">
              <w:rPr>
                <w:rFonts w:eastAsia="Times New Roman" w:cs="Times New Roman"/>
                <w:noProof/>
                <w:sz w:val="22"/>
                <w:szCs w:val="20"/>
                <w:lang w:val="en-GB" w:eastAsia="en-IE"/>
              </w:rPr>
              <w:t>s</w:t>
            </w:r>
            <w:r w:rsidRPr="00BB5286">
              <w:rPr>
                <w:rFonts w:eastAsia="Times New Roman" w:cs="Times New Roman"/>
                <w:noProof/>
                <w:sz w:val="22"/>
                <w:szCs w:val="20"/>
                <w:lang w:val="en-GB" w:eastAsia="en-IE"/>
              </w:rPr>
              <w:t>. Requirements should be adapted to consider exceptional circumstances of drought.</w:t>
            </w:r>
          </w:p>
        </w:tc>
        <w:tc>
          <w:tcPr>
            <w:tcW w:w="1530" w:type="dxa"/>
            <w:tcBorders>
              <w:top w:val="single" w:sz="4" w:space="0" w:color="auto"/>
              <w:left w:val="single" w:sz="4" w:space="0" w:color="auto"/>
              <w:bottom w:val="single" w:sz="4" w:space="0" w:color="auto"/>
              <w:right w:val="single" w:sz="4" w:space="0" w:color="auto"/>
            </w:tcBorders>
            <w:vAlign w:val="center"/>
          </w:tcPr>
          <w:p w14:paraId="08DCFBD9"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20B656D3" w14:textId="6C2D71FF" w:rsidR="00A8762C" w:rsidRPr="00BB5286" w:rsidRDefault="00A8762C" w:rsidP="1684862A">
            <w:pPr>
              <w:spacing w:after="60" w:line="259" w:lineRule="auto"/>
              <w:jc w:val="both"/>
              <w:rPr>
                <w:rFonts w:eastAsia="Calibri" w:cs="Times New Roman"/>
                <w:noProof/>
                <w:sz w:val="22"/>
                <w:szCs w:val="20"/>
                <w:lang w:val="en-GB"/>
              </w:rPr>
            </w:pPr>
            <w:r w:rsidRPr="00BB5286">
              <w:rPr>
                <w:rFonts w:eastAsia="Times New Roman" w:cs="Times New Roman"/>
                <w:noProof/>
                <w:sz w:val="22"/>
                <w:szCs w:val="20"/>
                <w:lang w:val="en-GB"/>
              </w:rPr>
              <w:t xml:space="preserve">Objectives of the sectoral interventions are laid down in </w:t>
            </w:r>
            <w:r w:rsidR="730996F3" w:rsidRPr="00BB5286">
              <w:rPr>
                <w:rFonts w:eastAsia="Times New Roman" w:cs="Times New Roman"/>
                <w:noProof/>
                <w:sz w:val="22"/>
                <w:szCs w:val="20"/>
                <w:lang w:val="en-GB"/>
              </w:rPr>
              <w:t xml:space="preserve">the CSP </w:t>
            </w:r>
            <w:r w:rsidRPr="00BB5286">
              <w:rPr>
                <w:rFonts w:eastAsia="Times New Roman" w:cs="Times New Roman"/>
                <w:noProof/>
                <w:sz w:val="22"/>
                <w:szCs w:val="20"/>
                <w:lang w:val="en-GB"/>
              </w:rPr>
              <w:t xml:space="preserve">Regulation. Lessons learned from the current period will feed </w:t>
            </w:r>
            <w:r w:rsidR="7E7C7E1F" w:rsidRPr="00BB5286">
              <w:rPr>
                <w:rFonts w:eastAsia="Times New Roman" w:cs="Times New Roman"/>
                <w:noProof/>
                <w:sz w:val="22"/>
                <w:szCs w:val="20"/>
                <w:lang w:val="en-GB"/>
              </w:rPr>
              <w:t xml:space="preserve">into </w:t>
            </w:r>
            <w:r w:rsidRPr="00BB5286">
              <w:rPr>
                <w:rFonts w:eastAsia="Times New Roman" w:cs="Times New Roman"/>
                <w:noProof/>
                <w:sz w:val="22"/>
                <w:szCs w:val="20"/>
                <w:lang w:val="en-GB"/>
              </w:rPr>
              <w:t xml:space="preserve">the reflection on </w:t>
            </w:r>
            <w:r w:rsidR="0058559D" w:rsidRPr="00BB5286">
              <w:rPr>
                <w:rFonts w:eastAsia="Times New Roman" w:cs="Times New Roman"/>
                <w:noProof/>
                <w:sz w:val="22"/>
                <w:szCs w:val="20"/>
                <w:lang w:val="en-GB"/>
              </w:rPr>
              <w:t xml:space="preserve">the </w:t>
            </w:r>
            <w:r w:rsidRPr="00BB5286">
              <w:rPr>
                <w:rFonts w:eastAsia="Times New Roman" w:cs="Times New Roman"/>
                <w:noProof/>
                <w:sz w:val="22"/>
                <w:szCs w:val="20"/>
                <w:lang w:val="en-GB"/>
              </w:rPr>
              <w:t>post-2027</w:t>
            </w:r>
            <w:r w:rsidR="0058559D" w:rsidRPr="00BB5286">
              <w:rPr>
                <w:rFonts w:eastAsia="Times New Roman" w:cs="Times New Roman"/>
                <w:noProof/>
                <w:sz w:val="22"/>
                <w:szCs w:val="20"/>
                <w:lang w:val="en-GB"/>
              </w:rPr>
              <w:t xml:space="preserve"> CAP</w:t>
            </w:r>
            <w:r w:rsidRPr="00BB5286">
              <w:rPr>
                <w:rFonts w:eastAsia="Times New Roman" w:cs="Times New Roman"/>
                <w:noProof/>
                <w:sz w:val="22"/>
                <w:szCs w:val="20"/>
                <w:lang w:val="en-GB"/>
              </w:rPr>
              <w:t xml:space="preserve">. </w:t>
            </w:r>
          </w:p>
        </w:tc>
      </w:tr>
      <w:tr w:rsidR="00A8762C" w:rsidRPr="00BB5286" w14:paraId="6BCC0CEC"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09BEFCF5" w14:textId="61D64863" w:rsidR="00A8762C" w:rsidRPr="00BB5286" w:rsidRDefault="00A0403B" w:rsidP="00A8762C">
            <w:pPr>
              <w:spacing w:after="60" w:line="259" w:lineRule="auto"/>
              <w:jc w:val="both"/>
              <w:rPr>
                <w:rFonts w:eastAsia="Calibri" w:cs="Times New Roman"/>
                <w:b/>
                <w:bCs/>
                <w:noProof/>
                <w:sz w:val="22"/>
                <w:lang w:val="en-GB"/>
              </w:rPr>
            </w:pPr>
            <w:r>
              <w:rPr>
                <w:rFonts w:eastAsia="Calibri" w:cs="Times New Roman"/>
                <w:b/>
                <w:bCs/>
                <w:noProof/>
                <w:sz w:val="22"/>
                <w:lang w:val="en-GB"/>
              </w:rPr>
              <w:t>199</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7EFB0B88" w14:textId="1CA40ECF" w:rsidR="00A8762C" w:rsidRPr="00BB5286" w:rsidRDefault="00A8762C" w:rsidP="1684862A">
            <w:pPr>
              <w:spacing w:after="60" w:line="259" w:lineRule="auto"/>
              <w:jc w:val="both"/>
              <w:rPr>
                <w:rFonts w:eastAsia="Calibri" w:cs="Times New Roman"/>
                <w:b/>
                <w:bCs/>
                <w:noProof/>
                <w:sz w:val="22"/>
                <w:szCs w:val="20"/>
                <w:lang w:val="en-GB"/>
              </w:rPr>
            </w:pPr>
            <w:r w:rsidRPr="00BB5286">
              <w:rPr>
                <w:rFonts w:eastAsia="Calibri" w:cs="Times New Roman"/>
                <w:b/>
                <w:bCs/>
                <w:noProof/>
                <w:sz w:val="22"/>
                <w:szCs w:val="20"/>
                <w:lang w:val="en-GB"/>
              </w:rPr>
              <w:t xml:space="preserve">Fruit and </w:t>
            </w:r>
            <w:r w:rsidR="00E46343" w:rsidRPr="00BB5286">
              <w:rPr>
                <w:rFonts w:eastAsia="Calibri" w:cs="Times New Roman"/>
                <w:b/>
                <w:bCs/>
                <w:noProof/>
                <w:sz w:val="22"/>
                <w:szCs w:val="20"/>
                <w:lang w:val="en-GB"/>
              </w:rPr>
              <w:t>v</w:t>
            </w:r>
            <w:r w:rsidRPr="00BB5286">
              <w:rPr>
                <w:rFonts w:eastAsia="Calibri" w:cs="Times New Roman"/>
                <w:b/>
                <w:bCs/>
                <w:noProof/>
                <w:sz w:val="22"/>
                <w:szCs w:val="20"/>
                <w:lang w:val="en-GB"/>
              </w:rPr>
              <w:t>egetables:</w:t>
            </w:r>
            <w:r w:rsidRPr="00BB5286">
              <w:rPr>
                <w:rFonts w:eastAsia="Calibri" w:cs="Times New Roman"/>
                <w:noProof/>
                <w:sz w:val="22"/>
                <w:szCs w:val="20"/>
                <w:lang w:val="en-GB"/>
              </w:rPr>
              <w:t xml:space="preserve"> </w:t>
            </w:r>
            <w:r w:rsidR="32A6465F" w:rsidRPr="00BB5286">
              <w:rPr>
                <w:rFonts w:eastAsia="Calibri" w:cs="Times New Roman"/>
                <w:noProof/>
                <w:sz w:val="22"/>
                <w:szCs w:val="20"/>
                <w:lang w:val="en-GB"/>
              </w:rPr>
              <w:t>c</w:t>
            </w:r>
            <w:r w:rsidRPr="00BB5286">
              <w:rPr>
                <w:rFonts w:eastAsia="Calibri" w:cs="Times New Roman"/>
                <w:noProof/>
                <w:sz w:val="22"/>
                <w:szCs w:val="20"/>
                <w:lang w:val="en-GB"/>
              </w:rPr>
              <w:t xml:space="preserve">larification of </w:t>
            </w:r>
            <w:r w:rsidR="0058559D" w:rsidRPr="00BB5286">
              <w:rPr>
                <w:rFonts w:eastAsia="Calibri" w:cs="Times New Roman"/>
                <w:noProof/>
                <w:sz w:val="22"/>
                <w:szCs w:val="20"/>
                <w:lang w:val="en-GB"/>
              </w:rPr>
              <w:t>A</w:t>
            </w:r>
            <w:r w:rsidRPr="00BB5286">
              <w:rPr>
                <w:rFonts w:eastAsia="Calibri" w:cs="Times New Roman"/>
                <w:i/>
                <w:iCs/>
                <w:noProof/>
                <w:sz w:val="22"/>
                <w:szCs w:val="20"/>
                <w:lang w:val="en-GB"/>
              </w:rPr>
              <w:t>rticle 22(4)</w:t>
            </w:r>
            <w:r w:rsidRPr="00BB5286">
              <w:rPr>
                <w:rFonts w:eastAsia="Calibri" w:cs="Times New Roman"/>
                <w:noProof/>
                <w:sz w:val="22"/>
                <w:szCs w:val="20"/>
                <w:lang w:val="en-GB"/>
              </w:rPr>
              <w:t xml:space="preserve"> of the </w:t>
            </w:r>
            <w:r w:rsidR="009809A1" w:rsidRPr="00BB5286">
              <w:rPr>
                <w:rFonts w:eastAsia="Calibri" w:cs="Times New Roman"/>
                <w:noProof/>
                <w:sz w:val="22"/>
                <w:szCs w:val="20"/>
                <w:lang w:val="en-GB"/>
              </w:rPr>
              <w:t xml:space="preserve">Commission </w:t>
            </w:r>
            <w:r w:rsidRPr="00BB5286">
              <w:rPr>
                <w:rFonts w:eastAsia="Calibri" w:cs="Times New Roman"/>
                <w:noProof/>
                <w:sz w:val="22"/>
                <w:szCs w:val="20"/>
                <w:lang w:val="en-GB"/>
              </w:rPr>
              <w:t xml:space="preserve">Delegated Regulation (EU) 2022/126. To more effectively pursue the goals of </w:t>
            </w:r>
            <w:r w:rsidR="0058559D" w:rsidRPr="00BB5286">
              <w:rPr>
                <w:rFonts w:eastAsia="Calibri" w:cs="Times New Roman"/>
                <w:noProof/>
                <w:sz w:val="22"/>
                <w:szCs w:val="20"/>
                <w:lang w:val="en-GB"/>
              </w:rPr>
              <w:t xml:space="preserve">reducing </w:t>
            </w:r>
            <w:bookmarkStart w:id="150" w:name="_Hlk175215808"/>
            <w:r w:rsidR="005F28E1" w:rsidRPr="00BB5286">
              <w:rPr>
                <w:rFonts w:eastAsia="Calibri" w:cs="Times New Roman"/>
                <w:noProof/>
                <w:sz w:val="22"/>
                <w:szCs w:val="20"/>
                <w:lang w:val="en-GB"/>
              </w:rPr>
              <w:t>CO₂</w:t>
            </w:r>
            <w:bookmarkEnd w:id="150"/>
            <w:r w:rsidRPr="00BB5286">
              <w:rPr>
                <w:rFonts w:eastAsia="Calibri" w:cs="Times New Roman"/>
                <w:noProof/>
                <w:sz w:val="22"/>
                <w:szCs w:val="20"/>
                <w:lang w:val="en-GB"/>
              </w:rPr>
              <w:t xml:space="preserve"> emission</w:t>
            </w:r>
            <w:r w:rsidR="0058559D" w:rsidRPr="00BB5286">
              <w:rPr>
                <w:rFonts w:eastAsia="Calibri" w:cs="Times New Roman"/>
                <w:noProof/>
                <w:sz w:val="22"/>
                <w:szCs w:val="20"/>
                <w:lang w:val="en-GB"/>
              </w:rPr>
              <w:t>s and</w:t>
            </w:r>
            <w:r w:rsidR="005F28E1" w:rsidRPr="00BB5286">
              <w:rPr>
                <w:rFonts w:eastAsia="Calibri" w:cs="Times New Roman"/>
                <w:noProof/>
                <w:sz w:val="22"/>
                <w:szCs w:val="20"/>
                <w:lang w:val="en-GB"/>
              </w:rPr>
              <w:t xml:space="preserve"> </w:t>
            </w:r>
            <w:r w:rsidRPr="00BB5286">
              <w:rPr>
                <w:rFonts w:eastAsia="Calibri" w:cs="Times New Roman"/>
                <w:noProof/>
                <w:sz w:val="22"/>
                <w:szCs w:val="20"/>
                <w:lang w:val="en-GB"/>
              </w:rPr>
              <w:t xml:space="preserve">plastics, in accordance with the objectives of the proposed Packaging and Packaging </w:t>
            </w:r>
            <w:r w:rsidR="005F28E1" w:rsidRPr="00BB5286">
              <w:rPr>
                <w:rFonts w:eastAsia="Calibri" w:cs="Times New Roman"/>
                <w:noProof/>
                <w:sz w:val="22"/>
                <w:szCs w:val="20"/>
                <w:lang w:val="en-GB"/>
              </w:rPr>
              <w:t>W</w:t>
            </w:r>
            <w:r w:rsidRPr="00BB5286">
              <w:rPr>
                <w:rFonts w:eastAsia="Calibri" w:cs="Times New Roman"/>
                <w:noProof/>
                <w:sz w:val="22"/>
                <w:szCs w:val="20"/>
                <w:lang w:val="en-GB"/>
              </w:rPr>
              <w:t xml:space="preserve">aste Regulation, it is necessary to allow Member States to make the use of re-usable </w:t>
            </w:r>
            <w:r w:rsidR="005F28E1" w:rsidRPr="00BB5286">
              <w:rPr>
                <w:rFonts w:eastAsia="Calibri" w:cs="Times New Roman"/>
                <w:noProof/>
                <w:sz w:val="22"/>
                <w:szCs w:val="20"/>
                <w:lang w:val="en-GB"/>
              </w:rPr>
              <w:t>‘</w:t>
            </w:r>
            <w:r w:rsidRPr="00BB5286">
              <w:rPr>
                <w:rFonts w:eastAsia="Calibri" w:cs="Times New Roman"/>
                <w:noProof/>
                <w:sz w:val="22"/>
                <w:szCs w:val="20"/>
                <w:lang w:val="en-GB"/>
              </w:rPr>
              <w:t>green</w:t>
            </w:r>
            <w:r w:rsidR="005F28E1" w:rsidRPr="00BB5286">
              <w:rPr>
                <w:rFonts w:eastAsia="Calibri" w:cs="Times New Roman"/>
                <w:noProof/>
                <w:sz w:val="22"/>
                <w:szCs w:val="20"/>
                <w:lang w:val="en-GB"/>
              </w:rPr>
              <w:t>’</w:t>
            </w:r>
            <w:r w:rsidRPr="00BB5286">
              <w:rPr>
                <w:rFonts w:eastAsia="Calibri" w:cs="Times New Roman"/>
                <w:noProof/>
                <w:sz w:val="22"/>
                <w:szCs w:val="20"/>
                <w:lang w:val="en-GB"/>
              </w:rPr>
              <w:t xml:space="preserve"> packaging eligible for the purpose of combating and adapting to climate change</w:t>
            </w:r>
            <w:r w:rsidR="005F28E1" w:rsidRPr="00BB5286">
              <w:rPr>
                <w:rFonts w:eastAsia="Calibri" w:cs="Times New Roman"/>
                <w:noProof/>
                <w:sz w:val="22"/>
                <w:szCs w:val="20"/>
                <w:lang w:val="en-GB"/>
              </w:rPr>
              <w:t>,</w:t>
            </w:r>
            <w:r w:rsidRPr="00BB5286">
              <w:rPr>
                <w:rFonts w:eastAsia="Calibri" w:cs="Times New Roman"/>
                <w:noProof/>
                <w:sz w:val="22"/>
                <w:szCs w:val="20"/>
                <w:lang w:val="en-GB"/>
              </w:rPr>
              <w:t xml:space="preserve"> and to count this towards the 15% minimum spend on the environment.</w:t>
            </w:r>
          </w:p>
        </w:tc>
        <w:tc>
          <w:tcPr>
            <w:tcW w:w="1530" w:type="dxa"/>
            <w:tcBorders>
              <w:top w:val="single" w:sz="4" w:space="0" w:color="auto"/>
              <w:left w:val="single" w:sz="4" w:space="0" w:color="auto"/>
              <w:bottom w:val="single" w:sz="4" w:space="0" w:color="auto"/>
              <w:right w:val="single" w:sz="4" w:space="0" w:color="auto"/>
            </w:tcBorders>
            <w:vAlign w:val="center"/>
          </w:tcPr>
          <w:p w14:paraId="7FF65A03"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28E81DCD" w14:textId="08DEA216"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Re-usable ‘green’ packaging </w:t>
            </w:r>
            <w:r w:rsidR="005F28E1" w:rsidRPr="00BB5286">
              <w:rPr>
                <w:rFonts w:eastAsia="Calibri" w:cs="Times New Roman"/>
                <w:noProof/>
                <w:sz w:val="22"/>
                <w:lang w:val="en-GB"/>
              </w:rPr>
              <w:t xml:space="preserve">counts as </w:t>
            </w:r>
            <w:r w:rsidRPr="00BB5286">
              <w:rPr>
                <w:rFonts w:eastAsia="Calibri" w:cs="Times New Roman"/>
                <w:noProof/>
                <w:sz w:val="22"/>
                <w:lang w:val="en-GB"/>
              </w:rPr>
              <w:t xml:space="preserve">production costs and should not be eligible. However, investments in innovative assets, methods and actions relating to re-usable ‘green’ packaging </w:t>
            </w:r>
            <w:r w:rsidR="005F28E1" w:rsidRPr="00BB5286">
              <w:rPr>
                <w:rFonts w:eastAsia="Calibri" w:cs="Times New Roman"/>
                <w:noProof/>
                <w:sz w:val="22"/>
                <w:lang w:val="en-GB"/>
              </w:rPr>
              <w:t xml:space="preserve">are </w:t>
            </w:r>
            <w:r w:rsidRPr="00BB5286">
              <w:rPr>
                <w:rFonts w:eastAsia="Calibri" w:cs="Times New Roman"/>
                <w:noProof/>
                <w:sz w:val="22"/>
                <w:lang w:val="en-GB"/>
              </w:rPr>
              <w:t>eligible.</w:t>
            </w:r>
          </w:p>
        </w:tc>
      </w:tr>
      <w:tr w:rsidR="00A8762C" w:rsidRPr="00BB5286" w14:paraId="4FC098DD"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0E18B691" w14:textId="50ED79B7"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20</w:t>
            </w:r>
            <w:r w:rsidR="00A0403B">
              <w:rPr>
                <w:rFonts w:eastAsia="Calibri" w:cs="Times New Roman"/>
                <w:b/>
                <w:bCs/>
                <w:noProof/>
                <w:sz w:val="22"/>
                <w:lang w:val="en-GB"/>
              </w:rPr>
              <w:t>0</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6520A3D4" w14:textId="3BA04C6D"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noProof/>
                <w:sz w:val="22"/>
                <w:lang w:val="en-GB"/>
              </w:rPr>
              <w:t xml:space="preserve">Fruit and </w:t>
            </w:r>
            <w:r w:rsidR="00E46343" w:rsidRPr="00BB5286">
              <w:rPr>
                <w:rFonts w:eastAsia="Calibri" w:cs="Times New Roman"/>
                <w:b/>
                <w:noProof/>
                <w:sz w:val="22"/>
                <w:lang w:val="en-GB"/>
              </w:rPr>
              <w:t>v</w:t>
            </w:r>
            <w:r w:rsidRPr="00BB5286">
              <w:rPr>
                <w:rFonts w:eastAsia="Calibri" w:cs="Times New Roman"/>
                <w:b/>
                <w:noProof/>
                <w:sz w:val="22"/>
                <w:lang w:val="en-GB"/>
              </w:rPr>
              <w:t>egetables</w:t>
            </w:r>
            <w:r w:rsidRPr="00BB5286">
              <w:rPr>
                <w:rFonts w:eastAsia="Calibri" w:cs="Times New Roman"/>
                <w:b/>
                <w:bCs/>
                <w:noProof/>
                <w:sz w:val="22"/>
                <w:lang w:val="en-GB"/>
              </w:rPr>
              <w:t xml:space="preserve">: </w:t>
            </w:r>
            <w:r w:rsidR="00195142" w:rsidRPr="00BB5286">
              <w:rPr>
                <w:rFonts w:eastAsia="Calibri" w:cs="Times New Roman"/>
                <w:noProof/>
                <w:sz w:val="22"/>
                <w:lang w:val="en-GB"/>
              </w:rPr>
              <w:t>t</w:t>
            </w:r>
            <w:r w:rsidRPr="00BB5286">
              <w:rPr>
                <w:rFonts w:eastAsia="Calibri" w:cs="Times New Roman"/>
                <w:noProof/>
                <w:sz w:val="22"/>
                <w:lang w:val="en-GB"/>
              </w:rPr>
              <w:t xml:space="preserve">he sorting and packaging costs reimbursed to fruit and vegetable POs as compensation for the costs incurred in withdrawing products from the market for free distribution have been changed from </w:t>
            </w:r>
            <w:r w:rsidR="005F28E1" w:rsidRPr="00BB5286">
              <w:rPr>
                <w:rFonts w:eastAsia="Calibri" w:cs="Times New Roman"/>
                <w:noProof/>
                <w:sz w:val="22"/>
                <w:lang w:val="en-GB"/>
              </w:rPr>
              <w:t>‘</w:t>
            </w:r>
            <w:r w:rsidRPr="00BB5286">
              <w:rPr>
                <w:rFonts w:eastAsia="Calibri" w:cs="Times New Roman"/>
                <w:noProof/>
                <w:sz w:val="22"/>
                <w:lang w:val="en-GB"/>
              </w:rPr>
              <w:t>lump sums</w:t>
            </w:r>
            <w:r w:rsidR="005F28E1" w:rsidRPr="00BB5286">
              <w:rPr>
                <w:rFonts w:eastAsia="Calibri" w:cs="Times New Roman"/>
                <w:noProof/>
                <w:sz w:val="22"/>
                <w:lang w:val="en-GB"/>
              </w:rPr>
              <w:t>’</w:t>
            </w:r>
            <w:r w:rsidRPr="00BB5286">
              <w:rPr>
                <w:rFonts w:eastAsia="Calibri" w:cs="Times New Roman"/>
                <w:noProof/>
                <w:sz w:val="22"/>
                <w:lang w:val="en-GB"/>
              </w:rPr>
              <w:t xml:space="preserve"> to </w:t>
            </w:r>
            <w:r w:rsidR="005F28E1" w:rsidRPr="00BB5286">
              <w:rPr>
                <w:rFonts w:eastAsia="Calibri" w:cs="Times New Roman"/>
                <w:noProof/>
                <w:sz w:val="22"/>
                <w:lang w:val="en-GB"/>
              </w:rPr>
              <w:t>‘</w:t>
            </w:r>
            <w:r w:rsidRPr="00BB5286">
              <w:rPr>
                <w:rFonts w:eastAsia="Calibri" w:cs="Times New Roman"/>
                <w:noProof/>
                <w:sz w:val="22"/>
                <w:lang w:val="en-GB"/>
              </w:rPr>
              <w:t>maximum values</w:t>
            </w:r>
            <w:r w:rsidR="005F28E1" w:rsidRPr="00BB5286">
              <w:rPr>
                <w:rFonts w:eastAsia="Calibri" w:cs="Times New Roman"/>
                <w:noProof/>
                <w:sz w:val="22"/>
                <w:lang w:val="en-GB"/>
              </w:rPr>
              <w:t>’</w:t>
            </w:r>
            <w:r w:rsidRPr="00BB5286">
              <w:rPr>
                <w:rFonts w:eastAsia="Calibri" w:cs="Times New Roman"/>
                <w:noProof/>
                <w:sz w:val="22"/>
                <w:lang w:val="en-GB"/>
              </w:rPr>
              <w:t xml:space="preserve"> (</w:t>
            </w:r>
            <w:r w:rsidRPr="00BB5286">
              <w:rPr>
                <w:rFonts w:eastAsia="Calibri" w:cs="Times New Roman"/>
                <w:i/>
                <w:iCs/>
                <w:noProof/>
                <w:sz w:val="22"/>
                <w:lang w:val="en-GB"/>
              </w:rPr>
              <w:t>Art</w:t>
            </w:r>
            <w:r w:rsidR="009809A1" w:rsidRPr="00BB5286">
              <w:rPr>
                <w:rFonts w:eastAsia="Calibri" w:cs="Times New Roman"/>
                <w:i/>
                <w:iCs/>
                <w:noProof/>
                <w:sz w:val="22"/>
                <w:lang w:val="en-GB"/>
              </w:rPr>
              <w:t>icle</w:t>
            </w:r>
            <w:r w:rsidRPr="00BB5286">
              <w:rPr>
                <w:rFonts w:eastAsia="Calibri" w:cs="Times New Roman"/>
                <w:i/>
                <w:iCs/>
                <w:noProof/>
                <w:sz w:val="22"/>
                <w:lang w:val="en-GB"/>
              </w:rPr>
              <w:t xml:space="preserve"> 33</w:t>
            </w:r>
            <w:r w:rsidRPr="00BB5286">
              <w:rPr>
                <w:rFonts w:eastAsia="Calibri" w:cs="Times New Roman"/>
                <w:noProof/>
                <w:sz w:val="22"/>
                <w:lang w:val="en-GB"/>
              </w:rPr>
              <w:t xml:space="preserve"> </w:t>
            </w:r>
            <w:r w:rsidR="009809A1" w:rsidRPr="00BB5286">
              <w:rPr>
                <w:rFonts w:eastAsia="Calibri" w:cs="Times New Roman"/>
                <w:noProof/>
                <w:sz w:val="22"/>
                <w:lang w:val="en-GB"/>
              </w:rPr>
              <w:t xml:space="preserve">of </w:t>
            </w:r>
            <w:r w:rsidR="00700CD0" w:rsidRPr="00BB5286">
              <w:rPr>
                <w:rFonts w:eastAsia="Calibri" w:cs="Times New Roman"/>
                <w:noProof/>
                <w:sz w:val="22"/>
                <w:lang w:val="en-GB"/>
              </w:rPr>
              <w:t xml:space="preserve">Commission Delegated </w:t>
            </w:r>
            <w:r w:rsidRPr="00BB5286">
              <w:rPr>
                <w:rFonts w:eastAsia="Calibri" w:cs="Times New Roman"/>
                <w:noProof/>
                <w:sz w:val="22"/>
                <w:lang w:val="en-GB"/>
              </w:rPr>
              <w:t xml:space="preserve">Regulation (EU) 2022/126). Therefore, these costs must be demonstrated in detail during the assessment. This represents a considerable administrative and bureaucratic burden for POs that is </w:t>
            </w:r>
            <w:r w:rsidRPr="00BB5286">
              <w:rPr>
                <w:rFonts w:eastAsia="Calibri" w:cs="Times New Roman"/>
                <w:noProof/>
                <w:sz w:val="22"/>
                <w:lang w:val="en-GB"/>
              </w:rPr>
              <w:lastRenderedPageBreak/>
              <w:t xml:space="preserve">disproportionate to the modest scale of withdrawal operations, with the risk of favouring alternative destinations (e.g. animal feed) to the detriment of free distribution to </w:t>
            </w:r>
            <w:r w:rsidR="00DE2532" w:rsidRPr="00BB5286">
              <w:rPr>
                <w:rFonts w:eastAsia="Calibri" w:cs="Times New Roman"/>
                <w:noProof/>
                <w:sz w:val="22"/>
                <w:lang w:val="en-GB"/>
              </w:rPr>
              <w:t xml:space="preserve">people in </w:t>
            </w:r>
            <w:r w:rsidRPr="00BB5286">
              <w:rPr>
                <w:rFonts w:eastAsia="Calibri" w:cs="Times New Roman"/>
                <w:noProof/>
                <w:sz w:val="22"/>
                <w:lang w:val="en-GB"/>
              </w:rPr>
              <w:t>need.</w:t>
            </w:r>
          </w:p>
        </w:tc>
        <w:tc>
          <w:tcPr>
            <w:tcW w:w="1530" w:type="dxa"/>
            <w:tcBorders>
              <w:top w:val="single" w:sz="4" w:space="0" w:color="auto"/>
              <w:left w:val="single" w:sz="4" w:space="0" w:color="auto"/>
              <w:bottom w:val="single" w:sz="4" w:space="0" w:color="auto"/>
              <w:right w:val="single" w:sz="4" w:space="0" w:color="auto"/>
            </w:tcBorders>
            <w:vAlign w:val="center"/>
          </w:tcPr>
          <w:p w14:paraId="3039DCF9"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lastRenderedPageBreak/>
              <w:t>PT</w:t>
            </w:r>
          </w:p>
          <w:p w14:paraId="533D1E00" w14:textId="77777777" w:rsidR="00E410BE" w:rsidRPr="00BB5286" w:rsidRDefault="00E410BE" w:rsidP="00A8762C">
            <w:pPr>
              <w:spacing w:after="60" w:line="259" w:lineRule="auto"/>
              <w:jc w:val="center"/>
              <w:rPr>
                <w:rFonts w:eastAsia="MS Gothic" w:cs="Times New Roman"/>
                <w:b/>
                <w:noProof/>
                <w:color w:val="0033CC"/>
                <w:sz w:val="22"/>
                <w:lang w:val="en-GB"/>
              </w:rPr>
            </w:pPr>
          </w:p>
          <w:p w14:paraId="27A67070"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6B26EF8B" w14:textId="2D72968B" w:rsidR="00A8762C" w:rsidRPr="00BB5286" w:rsidRDefault="00A8762C" w:rsidP="009D2766">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2F1B4E" w:rsidRPr="00BB5286">
              <w:rPr>
                <w:rFonts w:eastAsia="Calibri" w:cs="Times New Roman"/>
                <w:noProof/>
                <w:sz w:val="22"/>
                <w:lang w:val="en-GB"/>
              </w:rPr>
              <w:t xml:space="preserve">into </w:t>
            </w:r>
            <w:r w:rsidRPr="00BB5286">
              <w:rPr>
                <w:rFonts w:eastAsia="Calibri" w:cs="Times New Roman"/>
                <w:noProof/>
                <w:sz w:val="22"/>
                <w:lang w:val="en-GB"/>
              </w:rPr>
              <w:t>the reflection on the post</w:t>
            </w:r>
            <w:r w:rsidR="002F1B4E" w:rsidRPr="00BB5286">
              <w:rPr>
                <w:rFonts w:eastAsia="Calibri" w:cs="Times New Roman"/>
                <w:noProof/>
                <w:sz w:val="22"/>
                <w:lang w:val="en-GB"/>
              </w:rPr>
              <w:t>-</w:t>
            </w:r>
            <w:r w:rsidRPr="00BB5286">
              <w:rPr>
                <w:rFonts w:eastAsia="Calibri" w:cs="Times New Roman"/>
                <w:noProof/>
                <w:sz w:val="22"/>
                <w:lang w:val="en-GB"/>
              </w:rPr>
              <w:t>2027</w:t>
            </w:r>
            <w:r w:rsidR="002F1B4E" w:rsidRPr="00BB5286">
              <w:rPr>
                <w:rFonts w:eastAsia="Calibri" w:cs="Times New Roman"/>
                <w:noProof/>
                <w:sz w:val="22"/>
                <w:lang w:val="en-GB"/>
              </w:rPr>
              <w:t xml:space="preserve"> CAP</w:t>
            </w:r>
            <w:r w:rsidRPr="00BB5286">
              <w:rPr>
                <w:rFonts w:eastAsia="Calibri" w:cs="Times New Roman"/>
                <w:noProof/>
                <w:sz w:val="22"/>
                <w:lang w:val="en-GB"/>
              </w:rPr>
              <w:t>.</w:t>
            </w:r>
          </w:p>
        </w:tc>
      </w:tr>
      <w:tr w:rsidR="00A8762C" w:rsidRPr="00BB5286" w14:paraId="2411D89E"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2AB52962" w14:textId="1A8AE090"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20</w:t>
            </w:r>
            <w:r w:rsidR="00A0403B">
              <w:rPr>
                <w:rFonts w:eastAsia="Calibri" w:cs="Times New Roman"/>
                <w:b/>
                <w:bCs/>
                <w:noProof/>
                <w:sz w:val="22"/>
                <w:lang w:val="en-GB"/>
              </w:rPr>
              <w:t>1</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030158F1" w14:textId="77777777"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noProof/>
                <w:sz w:val="22"/>
                <w:lang w:val="en-GB"/>
              </w:rPr>
              <w:t xml:space="preserve">Support for POs under the cooperation measures must make it possible to support not only installation, but also </w:t>
            </w:r>
            <w:r w:rsidRPr="00BB5286">
              <w:rPr>
                <w:rFonts w:eastAsia="Calibri" w:cs="Times New Roman"/>
                <w:b/>
                <w:bCs/>
                <w:noProof/>
                <w:sz w:val="22"/>
                <w:lang w:val="en-GB"/>
              </w:rPr>
              <w:t>maintenance</w:t>
            </w:r>
            <w:r w:rsidRPr="00BB5286">
              <w:rPr>
                <w:rFonts w:eastAsia="Calibri" w:cs="Times New Roman"/>
                <w:noProof/>
                <w:sz w:val="22"/>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65BDBBD6"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PL</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ADBF9FB" w14:textId="08106026"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The current </w:t>
            </w:r>
            <w:r w:rsidR="00AF7B1A" w:rsidRPr="00BB5286">
              <w:rPr>
                <w:rFonts w:eastAsia="Calibri" w:cs="Times New Roman"/>
                <w:noProof/>
                <w:sz w:val="22"/>
                <w:lang w:val="en-GB"/>
              </w:rPr>
              <w:t xml:space="preserve">EU </w:t>
            </w:r>
            <w:r w:rsidRPr="00BB5286">
              <w:rPr>
                <w:rFonts w:eastAsia="Calibri" w:cs="Times New Roman"/>
                <w:noProof/>
                <w:sz w:val="22"/>
                <w:lang w:val="en-GB"/>
              </w:rPr>
              <w:t>legal framework allows support for setting-up producer groups, producer organisations and interbranch organisations</w:t>
            </w:r>
            <w:r w:rsidR="002F1B4E" w:rsidRPr="00BB5286">
              <w:rPr>
                <w:rFonts w:eastAsia="Calibri" w:cs="Times New Roman"/>
                <w:noProof/>
                <w:sz w:val="22"/>
                <w:lang w:val="en-GB"/>
              </w:rPr>
              <w:t>,</w:t>
            </w:r>
            <w:r w:rsidRPr="00BB5286">
              <w:rPr>
                <w:rFonts w:eastAsia="Calibri" w:cs="Times New Roman"/>
                <w:noProof/>
                <w:sz w:val="22"/>
                <w:lang w:val="en-GB"/>
              </w:rPr>
              <w:t xml:space="preserve"> limited to the first </w:t>
            </w:r>
            <w:r w:rsidR="002F1B4E" w:rsidRPr="00BB5286">
              <w:rPr>
                <w:rFonts w:eastAsia="Calibri" w:cs="Times New Roman"/>
                <w:noProof/>
                <w:sz w:val="22"/>
                <w:lang w:val="en-GB"/>
              </w:rPr>
              <w:t xml:space="preserve">5 </w:t>
            </w:r>
            <w:r w:rsidRPr="00BB5286">
              <w:rPr>
                <w:rFonts w:eastAsia="Calibri" w:cs="Times New Roman"/>
                <w:noProof/>
                <w:sz w:val="22"/>
                <w:lang w:val="en-GB"/>
              </w:rPr>
              <w:t xml:space="preserve">years following recognition. After this period the expectation would be that the cooperation </w:t>
            </w:r>
            <w:r w:rsidR="002F1B4E" w:rsidRPr="00BB5286">
              <w:rPr>
                <w:rFonts w:eastAsia="Calibri" w:cs="Times New Roman"/>
                <w:noProof/>
                <w:sz w:val="22"/>
                <w:lang w:val="en-GB"/>
              </w:rPr>
              <w:t xml:space="preserve">between </w:t>
            </w:r>
            <w:r w:rsidRPr="00BB5286">
              <w:rPr>
                <w:rFonts w:eastAsia="Calibri" w:cs="Times New Roman"/>
                <w:noProof/>
                <w:sz w:val="22"/>
                <w:lang w:val="en-GB"/>
              </w:rPr>
              <w:t>POs, if profitable for participants, would remain in operation with the costs of continued cooperation funded by the participants</w:t>
            </w:r>
            <w:r w:rsidR="002F1B4E" w:rsidRPr="00BB5286">
              <w:rPr>
                <w:rFonts w:eastAsia="Calibri" w:cs="Times New Roman"/>
                <w:noProof/>
                <w:sz w:val="22"/>
                <w:lang w:val="en-GB"/>
              </w:rPr>
              <w:t xml:space="preserve"> themselves</w:t>
            </w:r>
            <w:r w:rsidRPr="00BB5286">
              <w:rPr>
                <w:rFonts w:eastAsia="Calibri" w:cs="Times New Roman"/>
                <w:noProof/>
                <w:sz w:val="22"/>
                <w:lang w:val="en-GB"/>
              </w:rPr>
              <w:t xml:space="preserve">. </w:t>
            </w:r>
            <w:r w:rsidR="002F1B4E" w:rsidRPr="00BB5286">
              <w:rPr>
                <w:rFonts w:eastAsia="Calibri" w:cs="Times New Roman"/>
                <w:noProof/>
                <w:sz w:val="22"/>
                <w:lang w:val="en-GB"/>
              </w:rPr>
              <w:t>Maintaining</w:t>
            </w:r>
            <w:r w:rsidRPr="00BB5286">
              <w:rPr>
                <w:rFonts w:eastAsia="Calibri" w:cs="Times New Roman"/>
                <w:noProof/>
                <w:sz w:val="22"/>
                <w:lang w:val="en-GB"/>
              </w:rPr>
              <w:t xml:space="preserve"> the cooperation after the </w:t>
            </w:r>
            <w:r w:rsidR="002F1B4E" w:rsidRPr="00BB5286">
              <w:rPr>
                <w:rFonts w:eastAsia="Calibri" w:cs="Times New Roman"/>
                <w:noProof/>
                <w:sz w:val="22"/>
                <w:lang w:val="en-GB"/>
              </w:rPr>
              <w:t>5</w:t>
            </w:r>
            <w:r w:rsidRPr="00BB5286">
              <w:rPr>
                <w:rFonts w:eastAsia="Calibri" w:cs="Times New Roman"/>
                <w:noProof/>
                <w:sz w:val="22"/>
                <w:lang w:val="en-GB"/>
              </w:rPr>
              <w:t>-year period would be considered as an operational cost for</w:t>
            </w:r>
            <w:r w:rsidRPr="00BB5286">
              <w:rPr>
                <w:rFonts w:eastAsia="Calibri" w:cs="Times New Roman"/>
                <w:noProof/>
                <w:color w:val="4F6BED"/>
                <w:sz w:val="22"/>
                <w:lang w:val="en-GB"/>
              </w:rPr>
              <w:t xml:space="preserve"> </w:t>
            </w:r>
            <w:r w:rsidRPr="00BB5286">
              <w:rPr>
                <w:rFonts w:eastAsia="Calibri" w:cs="Times New Roman"/>
                <w:noProof/>
                <w:sz w:val="22"/>
                <w:lang w:val="en-GB"/>
              </w:rPr>
              <w:t>participating producers and not eligible for support.</w:t>
            </w:r>
          </w:p>
        </w:tc>
      </w:tr>
      <w:tr w:rsidR="00A8762C" w:rsidRPr="00BB5286" w14:paraId="5F6270D0"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5BAFF558" w14:textId="0CA0F5E7"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20</w:t>
            </w:r>
            <w:r w:rsidR="00A0403B">
              <w:rPr>
                <w:rFonts w:eastAsia="Calibri" w:cs="Times New Roman"/>
                <w:b/>
                <w:bCs/>
                <w:noProof/>
                <w:sz w:val="22"/>
                <w:lang w:val="en-GB"/>
              </w:rPr>
              <w:t>2</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086429E8" w14:textId="3568B953" w:rsidR="00A8762C" w:rsidRPr="00BB5286" w:rsidRDefault="00A8762C"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Simplify PO support</w:t>
            </w:r>
            <w:r w:rsidR="002F1B4E" w:rsidRPr="00BB5286">
              <w:rPr>
                <w:rFonts w:eastAsia="Calibri" w:cs="Times New Roman"/>
                <w:b/>
                <w:bCs/>
                <w:noProof/>
                <w:sz w:val="22"/>
                <w:szCs w:val="20"/>
                <w:lang w:val="en-GB"/>
              </w:rPr>
              <w:t>:</w:t>
            </w:r>
            <w:r w:rsidRPr="00BB5286">
              <w:rPr>
                <w:rFonts w:eastAsia="Calibri" w:cs="Times New Roman"/>
                <w:noProof/>
                <w:sz w:val="22"/>
                <w:szCs w:val="20"/>
                <w:lang w:val="en-GB"/>
              </w:rPr>
              <w:t xml:space="preserve"> </w:t>
            </w:r>
            <w:r w:rsidR="003B0D9F" w:rsidRPr="00BB5286">
              <w:rPr>
                <w:rFonts w:eastAsia="Calibri" w:cs="Times New Roman"/>
                <w:noProof/>
                <w:sz w:val="22"/>
                <w:szCs w:val="20"/>
                <w:lang w:val="en-GB"/>
              </w:rPr>
              <w:t>s</w:t>
            </w:r>
            <w:r w:rsidRPr="00BB5286">
              <w:rPr>
                <w:rFonts w:eastAsia="Calibri" w:cs="Times New Roman"/>
                <w:noProof/>
                <w:sz w:val="22"/>
                <w:szCs w:val="20"/>
                <w:lang w:val="en-GB"/>
              </w:rPr>
              <w:t xml:space="preserve">implify the support for producer </w:t>
            </w:r>
            <w:r w:rsidR="002F1B4E" w:rsidRPr="00BB5286">
              <w:rPr>
                <w:rFonts w:eastAsia="Calibri" w:cs="Times New Roman"/>
                <w:noProof/>
                <w:sz w:val="22"/>
                <w:szCs w:val="20"/>
                <w:lang w:val="en-GB"/>
              </w:rPr>
              <w:t xml:space="preserve">organisations </w:t>
            </w:r>
            <w:r w:rsidRPr="00BB5286">
              <w:rPr>
                <w:rFonts w:eastAsia="Calibri" w:cs="Times New Roman"/>
                <w:noProof/>
                <w:sz w:val="22"/>
                <w:szCs w:val="20"/>
                <w:lang w:val="en-GB"/>
              </w:rPr>
              <w:t>by making them eligible for support in other interventions</w:t>
            </w:r>
            <w:r w:rsidR="002F1B4E" w:rsidRPr="00BB5286">
              <w:rPr>
                <w:rFonts w:eastAsia="Calibri" w:cs="Times New Roman"/>
                <w:noProof/>
                <w:sz w:val="22"/>
                <w:szCs w:val="20"/>
                <w:lang w:val="en-GB"/>
              </w:rPr>
              <w:t>,</w:t>
            </w:r>
            <w:r w:rsidRPr="00BB5286">
              <w:rPr>
                <w:rFonts w:eastAsia="Calibri" w:cs="Times New Roman"/>
                <w:noProof/>
                <w:sz w:val="22"/>
                <w:szCs w:val="20"/>
                <w:lang w:val="en-GB"/>
              </w:rPr>
              <w:t xml:space="preserve"> combined with ringfencing of the EU-funding</w:t>
            </w:r>
            <w:r w:rsidR="002F1B4E" w:rsidRPr="00BB5286">
              <w:rPr>
                <w:rFonts w:eastAsia="Calibri" w:cs="Times New Roman"/>
                <w:noProof/>
                <w:sz w:val="22"/>
                <w:szCs w:val="20"/>
                <w:lang w:val="en-GB"/>
              </w:rPr>
              <w:t>,</w:t>
            </w:r>
            <w:r w:rsidRPr="00BB5286">
              <w:rPr>
                <w:rFonts w:eastAsia="Calibri" w:cs="Times New Roman"/>
                <w:noProof/>
                <w:sz w:val="22"/>
                <w:szCs w:val="20"/>
                <w:lang w:val="en-GB"/>
              </w:rPr>
              <w:t xml:space="preserve"> instead of having separate sectoral interventions with requirements </w:t>
            </w:r>
            <w:r w:rsidR="002F1B4E" w:rsidRPr="00BB5286">
              <w:rPr>
                <w:rFonts w:eastAsia="Calibri" w:cs="Times New Roman"/>
                <w:noProof/>
                <w:sz w:val="22"/>
                <w:szCs w:val="20"/>
                <w:lang w:val="en-GB"/>
              </w:rPr>
              <w:t xml:space="preserve">that are different to </w:t>
            </w:r>
            <w:r w:rsidRPr="00BB5286">
              <w:rPr>
                <w:rFonts w:eastAsia="Calibri" w:cs="Times New Roman"/>
                <w:noProof/>
                <w:sz w:val="22"/>
                <w:szCs w:val="20"/>
                <w:lang w:val="en-GB"/>
              </w:rPr>
              <w:t>similar interventions in the strategic plan</w:t>
            </w:r>
            <w:r w:rsidR="00241975" w:rsidRPr="00BB5286">
              <w:rPr>
                <w:rFonts w:eastAsia="Calibri" w:cs="Times New Roman"/>
                <w:noProof/>
                <w:sz w:val="22"/>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05A86334"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SE</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22778CD4" w14:textId="2F0395E5"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2F1B4E" w:rsidRPr="00BB5286">
              <w:rPr>
                <w:rFonts w:eastAsia="Calibri" w:cs="Times New Roman"/>
                <w:noProof/>
                <w:sz w:val="22"/>
                <w:lang w:val="en-GB"/>
              </w:rPr>
              <w:t xml:space="preserve">into </w:t>
            </w:r>
            <w:r w:rsidRPr="00BB5286">
              <w:rPr>
                <w:rFonts w:eastAsia="Calibri" w:cs="Times New Roman"/>
                <w:noProof/>
                <w:sz w:val="22"/>
                <w:lang w:val="en-GB"/>
              </w:rPr>
              <w:t>the reflection on the post</w:t>
            </w:r>
            <w:r w:rsidR="002F1B4E" w:rsidRPr="00BB5286">
              <w:rPr>
                <w:rFonts w:eastAsia="Calibri" w:cs="Times New Roman"/>
                <w:noProof/>
                <w:sz w:val="22"/>
                <w:lang w:val="en-GB"/>
              </w:rPr>
              <w:t>-</w:t>
            </w:r>
            <w:r w:rsidRPr="00BB5286">
              <w:rPr>
                <w:rFonts w:eastAsia="Calibri" w:cs="Times New Roman"/>
                <w:noProof/>
                <w:sz w:val="22"/>
                <w:lang w:val="en-GB"/>
              </w:rPr>
              <w:t>2027</w:t>
            </w:r>
            <w:r w:rsidR="002F1B4E" w:rsidRPr="00BB5286">
              <w:rPr>
                <w:rFonts w:eastAsia="Calibri" w:cs="Times New Roman"/>
                <w:noProof/>
                <w:sz w:val="22"/>
                <w:lang w:val="en-GB"/>
              </w:rPr>
              <w:t xml:space="preserve"> CAP</w:t>
            </w:r>
            <w:r w:rsidRPr="00BB5286">
              <w:rPr>
                <w:rFonts w:eastAsia="Calibri" w:cs="Times New Roman"/>
                <w:noProof/>
                <w:sz w:val="22"/>
                <w:lang w:val="en-GB"/>
              </w:rPr>
              <w:t>.</w:t>
            </w:r>
          </w:p>
        </w:tc>
      </w:tr>
      <w:tr w:rsidR="00A8762C" w:rsidRPr="00BB5286" w14:paraId="6B3042E1"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5E8EC68F" w14:textId="0AF2C59C"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t>20</w:t>
            </w:r>
            <w:r w:rsidR="00A0403B">
              <w:rPr>
                <w:rFonts w:eastAsia="Calibri" w:cs="Times New Roman"/>
                <w:b/>
                <w:bCs/>
                <w:noProof/>
                <w:sz w:val="22"/>
                <w:lang w:val="en-GB"/>
              </w:rPr>
              <w:t>3</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2664447A" w14:textId="27CCDA4A" w:rsidR="00A8762C" w:rsidRPr="00BB5286" w:rsidRDefault="00A8762C" w:rsidP="365B9462">
            <w:pPr>
              <w:spacing w:after="60" w:line="259" w:lineRule="auto"/>
              <w:rPr>
                <w:rFonts w:eastAsia="Calibri" w:cs="Times New Roman"/>
                <w:b/>
                <w:bCs/>
                <w:noProof/>
                <w:sz w:val="22"/>
                <w:szCs w:val="20"/>
                <w:lang w:val="en-GB"/>
              </w:rPr>
            </w:pPr>
            <w:r w:rsidRPr="00BB5286">
              <w:rPr>
                <w:rFonts w:eastAsia="Calibri" w:cs="Times New Roman"/>
                <w:b/>
                <w:bCs/>
                <w:noProof/>
                <w:sz w:val="22"/>
                <w:szCs w:val="20"/>
                <w:lang w:val="en-GB"/>
              </w:rPr>
              <w:t>Financing POs:</w:t>
            </w:r>
            <w:r w:rsidRPr="00BB5286">
              <w:rPr>
                <w:rFonts w:eastAsia="Calibri" w:cs="Times New Roman"/>
                <w:noProof/>
                <w:sz w:val="22"/>
                <w:szCs w:val="20"/>
                <w:lang w:val="en-GB"/>
              </w:rPr>
              <w:t xml:space="preserve"> </w:t>
            </w:r>
            <w:r w:rsidR="2CD7C19A" w:rsidRPr="00BB5286">
              <w:rPr>
                <w:rFonts w:eastAsia="Calibri" w:cs="Times New Roman"/>
                <w:noProof/>
                <w:sz w:val="22"/>
                <w:szCs w:val="20"/>
                <w:lang w:val="en-GB"/>
              </w:rPr>
              <w:t>a</w:t>
            </w:r>
            <w:r w:rsidRPr="00BB5286">
              <w:rPr>
                <w:rFonts w:eastAsia="Calibri" w:cs="Times New Roman"/>
                <w:noProof/>
                <w:sz w:val="22"/>
                <w:szCs w:val="20"/>
                <w:lang w:val="en-GB"/>
              </w:rPr>
              <w:t xml:space="preserve">llow financing before 2026 </w:t>
            </w:r>
            <w:r w:rsidR="002F1B4E" w:rsidRPr="00BB5286">
              <w:rPr>
                <w:rFonts w:eastAsia="Calibri" w:cs="Times New Roman"/>
                <w:noProof/>
                <w:sz w:val="22"/>
                <w:szCs w:val="20"/>
                <w:lang w:val="en-GB"/>
              </w:rPr>
              <w:t xml:space="preserve">of </w:t>
            </w:r>
            <w:r w:rsidRPr="00BB5286">
              <w:rPr>
                <w:rFonts w:eastAsia="Calibri" w:cs="Times New Roman"/>
                <w:noProof/>
                <w:sz w:val="22"/>
                <w:szCs w:val="20"/>
                <w:lang w:val="en-GB"/>
              </w:rPr>
              <w:t xml:space="preserve">commitments in the M09 measure (setting up producer groups and </w:t>
            </w:r>
            <w:r w:rsidR="13EBC70F" w:rsidRPr="00BB5286">
              <w:rPr>
                <w:rFonts w:eastAsia="Calibri" w:cs="Times New Roman"/>
                <w:noProof/>
                <w:sz w:val="22"/>
                <w:szCs w:val="20"/>
                <w:lang w:val="en-GB"/>
              </w:rPr>
              <w:t>POs</w:t>
            </w:r>
            <w:r w:rsidRPr="00BB5286">
              <w:rPr>
                <w:rFonts w:eastAsia="Calibri" w:cs="Times New Roman"/>
                <w:noProof/>
                <w:sz w:val="22"/>
                <w:szCs w:val="20"/>
                <w:lang w:val="en-GB"/>
              </w:rPr>
              <w:t xml:space="preserve">) of the RDP 2014-2020 in the framework of the CAP </w:t>
            </w:r>
            <w:r w:rsidR="62A13D70" w:rsidRPr="00BB5286">
              <w:rPr>
                <w:rFonts w:eastAsia="Calibri" w:cs="Times New Roman"/>
                <w:noProof/>
                <w:sz w:val="22"/>
                <w:szCs w:val="20"/>
                <w:lang w:val="en-GB"/>
              </w:rPr>
              <w:t>Plan</w:t>
            </w:r>
            <w:r w:rsidRPr="00BB5286">
              <w:rPr>
                <w:rFonts w:eastAsia="Calibri" w:cs="Times New Roman"/>
                <w:noProof/>
                <w:sz w:val="22"/>
                <w:szCs w:val="20"/>
                <w:lang w:val="en-GB"/>
              </w:rPr>
              <w:t xml:space="preserve"> 2023-2027 (</w:t>
            </w:r>
            <w:r w:rsidRPr="00BB5286">
              <w:rPr>
                <w:rFonts w:eastAsia="Calibri" w:cs="Times New Roman"/>
                <w:i/>
                <w:iCs/>
                <w:noProof/>
                <w:sz w:val="22"/>
                <w:szCs w:val="20"/>
                <w:lang w:val="en-GB"/>
              </w:rPr>
              <w:t>Art</w:t>
            </w:r>
            <w:r w:rsidR="4A0E613C" w:rsidRPr="00BB5286">
              <w:rPr>
                <w:rFonts w:eastAsia="Calibri" w:cs="Times New Roman"/>
                <w:i/>
                <w:iCs/>
                <w:noProof/>
                <w:sz w:val="22"/>
                <w:szCs w:val="20"/>
                <w:lang w:val="en-GB"/>
              </w:rPr>
              <w:t>icle</w:t>
            </w:r>
            <w:r w:rsidRPr="00BB5286">
              <w:rPr>
                <w:rFonts w:eastAsia="Calibri" w:cs="Times New Roman"/>
                <w:i/>
                <w:iCs/>
                <w:noProof/>
                <w:sz w:val="22"/>
                <w:szCs w:val="20"/>
                <w:lang w:val="en-GB"/>
              </w:rPr>
              <w:t xml:space="preserve"> 155 (4) and (5)</w:t>
            </w:r>
            <w:r w:rsidR="00241975" w:rsidRPr="00BB5286">
              <w:rPr>
                <w:rFonts w:eastAsia="Calibri" w:cs="Times New Roman"/>
                <w:noProof/>
                <w:sz w:val="22"/>
                <w:szCs w:val="20"/>
                <w:lang w:val="en-GB"/>
              </w:rPr>
              <w:t xml:space="preserve"> </w:t>
            </w:r>
            <w:r w:rsidRPr="00BB5286">
              <w:rPr>
                <w:rFonts w:eastAsia="Calibri" w:cs="Times New Roman"/>
                <w:noProof/>
                <w:sz w:val="22"/>
                <w:szCs w:val="20"/>
                <w:lang w:val="en-GB"/>
              </w:rPr>
              <w:t xml:space="preserve">of the </w:t>
            </w:r>
            <w:r w:rsidR="66E9BBB0" w:rsidRPr="00BB5286">
              <w:rPr>
                <w:rFonts w:eastAsia="Calibri" w:cs="Times New Roman"/>
                <w:noProof/>
                <w:sz w:val="22"/>
                <w:szCs w:val="20"/>
                <w:lang w:val="en-GB"/>
              </w:rPr>
              <w:t xml:space="preserve">CSP </w:t>
            </w:r>
            <w:r w:rsidRPr="00BB5286">
              <w:rPr>
                <w:rFonts w:eastAsia="Calibri" w:cs="Times New Roman"/>
                <w:noProof/>
                <w:sz w:val="22"/>
                <w:szCs w:val="20"/>
                <w:lang w:val="en-GB"/>
              </w:rPr>
              <w:t>Regulation).</w:t>
            </w:r>
          </w:p>
        </w:tc>
        <w:tc>
          <w:tcPr>
            <w:tcW w:w="1530" w:type="dxa"/>
            <w:tcBorders>
              <w:top w:val="single" w:sz="4" w:space="0" w:color="auto"/>
              <w:left w:val="single" w:sz="4" w:space="0" w:color="auto"/>
              <w:bottom w:val="single" w:sz="4" w:space="0" w:color="auto"/>
              <w:right w:val="single" w:sz="4" w:space="0" w:color="auto"/>
            </w:tcBorders>
            <w:vAlign w:val="center"/>
          </w:tcPr>
          <w:p w14:paraId="6FA3BEB4" w14:textId="78DF1861" w:rsidR="00A8762C" w:rsidRPr="00BB5286" w:rsidRDefault="00232E01" w:rsidP="365B9462">
            <w:pPr>
              <w:spacing w:after="60" w:line="259" w:lineRule="auto"/>
              <w:jc w:val="center"/>
              <w:rPr>
                <w:rFonts w:eastAsia="Calibri" w:cs="Times New Roman"/>
                <w:b/>
                <w:bCs/>
                <w:noProof/>
                <w:sz w:val="22"/>
                <w:szCs w:val="20"/>
                <w:highlight w:val="yellow"/>
                <w:lang w:val="en-GB"/>
              </w:rPr>
            </w:pPr>
            <w:r w:rsidRPr="00BB5286">
              <w:rPr>
                <w:rFonts w:eastAsia="MS Gothic" w:cs="Times New Roman"/>
                <w:b/>
                <w:noProof/>
                <w:color w:val="0033CC"/>
                <w:sz w:val="22"/>
                <w:lang w:val="en-GB"/>
              </w:rPr>
              <w:t>PL</w:t>
            </w:r>
            <w:r w:rsidRPr="00BB5286" w:rsidDel="00232E01">
              <w:rPr>
                <w:rFonts w:eastAsia="Calibri" w:cs="Times New Roman"/>
                <w:b/>
                <w:noProof/>
                <w:sz w:val="22"/>
                <w:szCs w:val="20"/>
                <w:highlight w:val="yellow"/>
                <w:lang w:val="en-GB"/>
              </w:rPr>
              <w:t xml:space="preserve"> </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77D7FD0B" w14:textId="5285F1CF" w:rsidR="00A8762C" w:rsidRPr="00BB5286" w:rsidDel="009A2218" w:rsidRDefault="00A8762C" w:rsidP="365B9462">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was not taken up. Support for setting-up POs may be paid pursuant to Regulation (EU) No 1305/2013 until 31 December 2025. The support shall be paid in annual instalments for no more than </w:t>
            </w:r>
            <w:r w:rsidR="002F1B4E" w:rsidRPr="00BB5286">
              <w:rPr>
                <w:rFonts w:eastAsia="Calibri" w:cs="Times New Roman"/>
                <w:noProof/>
                <w:sz w:val="22"/>
                <w:szCs w:val="20"/>
                <w:lang w:val="en-GB"/>
              </w:rPr>
              <w:t xml:space="preserve">5 </w:t>
            </w:r>
            <w:r w:rsidRPr="00BB5286">
              <w:rPr>
                <w:rFonts w:eastAsia="Calibri" w:cs="Times New Roman"/>
                <w:noProof/>
                <w:sz w:val="22"/>
                <w:szCs w:val="20"/>
                <w:lang w:val="en-GB"/>
              </w:rPr>
              <w:t>years following the date on which the PO was recognised. Remaining payments of such instalments after 31</w:t>
            </w:r>
            <w:r w:rsidR="002F1B4E" w:rsidRPr="00BB5286">
              <w:rPr>
                <w:rFonts w:eastAsia="Calibri" w:cs="Times New Roman"/>
                <w:noProof/>
                <w:sz w:val="22"/>
                <w:szCs w:val="20"/>
                <w:lang w:val="en-GB"/>
              </w:rPr>
              <w:t> </w:t>
            </w:r>
            <w:r w:rsidRPr="00BB5286">
              <w:rPr>
                <w:rFonts w:eastAsia="Calibri" w:cs="Times New Roman"/>
                <w:noProof/>
                <w:sz w:val="22"/>
                <w:szCs w:val="20"/>
                <w:lang w:val="en-GB"/>
              </w:rPr>
              <w:t xml:space="preserve">December 2025 may be financed under the CAP </w:t>
            </w:r>
            <w:r w:rsidR="27405FE9" w:rsidRPr="00BB5286">
              <w:rPr>
                <w:rFonts w:eastAsia="Calibri" w:cs="Times New Roman"/>
                <w:noProof/>
                <w:sz w:val="22"/>
                <w:szCs w:val="20"/>
                <w:lang w:val="en-GB"/>
              </w:rPr>
              <w:t>P</w:t>
            </w:r>
            <w:r w:rsidRPr="00BB5286">
              <w:rPr>
                <w:rFonts w:eastAsia="Calibri" w:cs="Times New Roman"/>
                <w:noProof/>
                <w:sz w:val="22"/>
                <w:szCs w:val="20"/>
                <w:lang w:val="en-GB"/>
              </w:rPr>
              <w:t xml:space="preserve">lans pursuant to the conditions in </w:t>
            </w:r>
            <w:r w:rsidRPr="00BB5286">
              <w:rPr>
                <w:rFonts w:eastAsia="Calibri" w:cs="Times New Roman"/>
                <w:i/>
                <w:iCs/>
                <w:noProof/>
                <w:sz w:val="22"/>
                <w:szCs w:val="20"/>
                <w:lang w:val="en-GB"/>
              </w:rPr>
              <w:t>Article 155(4)</w:t>
            </w:r>
            <w:r w:rsidRPr="00BB5286">
              <w:rPr>
                <w:rFonts w:eastAsia="Calibri" w:cs="Times New Roman"/>
                <w:noProof/>
                <w:sz w:val="22"/>
                <w:szCs w:val="20"/>
                <w:lang w:val="en-GB"/>
              </w:rPr>
              <w:t xml:space="preserve"> of </w:t>
            </w:r>
            <w:r w:rsidR="0BBB19FB"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However, it is not possible to pay for carry-over commitments before 31 December 2025 under the CAP  </w:t>
            </w:r>
            <w:r w:rsidR="2A1CA756" w:rsidRPr="00BB5286">
              <w:rPr>
                <w:rFonts w:eastAsia="Calibri" w:cs="Times New Roman"/>
                <w:noProof/>
                <w:sz w:val="22"/>
                <w:szCs w:val="20"/>
                <w:lang w:val="en-GB"/>
              </w:rPr>
              <w:t>P</w:t>
            </w:r>
            <w:r w:rsidRPr="00BB5286">
              <w:rPr>
                <w:rFonts w:eastAsia="Calibri" w:cs="Times New Roman"/>
                <w:noProof/>
                <w:sz w:val="22"/>
                <w:szCs w:val="20"/>
                <w:lang w:val="en-GB"/>
              </w:rPr>
              <w:t>lans.</w:t>
            </w:r>
          </w:p>
          <w:p w14:paraId="3413805D" w14:textId="77777777"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noProof/>
                <w:sz w:val="22"/>
                <w:lang w:val="en-GB"/>
              </w:rPr>
              <w:lastRenderedPageBreak/>
              <w:t>The current rules seem to be flexible enough and therefore no change is envisaged.</w:t>
            </w:r>
          </w:p>
        </w:tc>
      </w:tr>
      <w:tr w:rsidR="00A8762C" w:rsidRPr="00BB5286" w14:paraId="45F3D84B"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35829C70" w14:textId="21393438"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20</w:t>
            </w:r>
            <w:r w:rsidR="00A0403B">
              <w:rPr>
                <w:rFonts w:eastAsia="Calibri" w:cs="Times New Roman"/>
                <w:b/>
                <w:bCs/>
                <w:noProof/>
                <w:sz w:val="22"/>
                <w:lang w:val="en-GB"/>
              </w:rPr>
              <w:t>4</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6EB84156" w14:textId="7C51B4BB" w:rsidR="00A8762C" w:rsidRPr="00BB5286" w:rsidRDefault="00A8762C"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Costs:</w:t>
            </w:r>
            <w:r w:rsidRPr="00BB5286">
              <w:rPr>
                <w:rFonts w:eastAsia="Calibri" w:cs="Times New Roman"/>
                <w:noProof/>
                <w:sz w:val="22"/>
                <w:szCs w:val="20"/>
                <w:lang w:val="en-GB"/>
              </w:rPr>
              <w:t xml:space="preserve"> </w:t>
            </w:r>
            <w:r w:rsidR="4A81377D" w:rsidRPr="00BB5286">
              <w:rPr>
                <w:rFonts w:eastAsia="Calibri" w:cs="Times New Roman"/>
                <w:noProof/>
                <w:sz w:val="22"/>
                <w:szCs w:val="20"/>
                <w:lang w:val="en-GB"/>
              </w:rPr>
              <w:t>i</w:t>
            </w:r>
            <w:r w:rsidRPr="00BB5286">
              <w:rPr>
                <w:rFonts w:eastAsia="Calibri" w:cs="Times New Roman"/>
                <w:noProof/>
                <w:sz w:val="22"/>
                <w:szCs w:val="20"/>
                <w:lang w:val="en-GB"/>
              </w:rPr>
              <w:t>ntroduction of a general approach for the calculation of eligible costs in connection with the examination of the appropriateness of costs:</w:t>
            </w:r>
            <w:r w:rsidR="00EF6A73" w:rsidRPr="00BB5286">
              <w:rPr>
                <w:rFonts w:eastAsia="Calibri" w:cs="Times New Roman"/>
                <w:noProof/>
                <w:sz w:val="22"/>
                <w:szCs w:val="20"/>
                <w:lang w:val="en-GB"/>
              </w:rPr>
              <w:t xml:space="preserve"> d</w:t>
            </w:r>
            <w:r w:rsidRPr="00BB5286">
              <w:rPr>
                <w:rFonts w:eastAsia="Calibri" w:cs="Times New Roman"/>
                <w:noProof/>
                <w:sz w:val="22"/>
                <w:szCs w:val="20"/>
                <w:lang w:val="en-GB"/>
              </w:rPr>
              <w:t>efinition of a general percentage for the reduction of costs, e.g. on the basis of past projects, graduated according to the type and size of the projects.</w:t>
            </w:r>
          </w:p>
        </w:tc>
        <w:tc>
          <w:tcPr>
            <w:tcW w:w="1530" w:type="dxa"/>
            <w:tcBorders>
              <w:top w:val="single" w:sz="4" w:space="0" w:color="auto"/>
              <w:left w:val="single" w:sz="4" w:space="0" w:color="auto"/>
              <w:bottom w:val="single" w:sz="4" w:space="0" w:color="auto"/>
              <w:right w:val="single" w:sz="4" w:space="0" w:color="auto"/>
            </w:tcBorders>
            <w:vAlign w:val="center"/>
          </w:tcPr>
          <w:p w14:paraId="2DAF797A"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AT</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FD41343" w14:textId="1857DA54" w:rsidR="00A8762C" w:rsidRPr="00BB5286" w:rsidRDefault="00A8762C" w:rsidP="00A8762C">
            <w:pPr>
              <w:spacing w:after="60" w:line="259" w:lineRule="auto"/>
              <w:jc w:val="both"/>
              <w:rPr>
                <w:rFonts w:eastAsia="Times New Roman" w:cs="Times New Roman"/>
                <w:noProof/>
                <w:sz w:val="22"/>
                <w:lang w:val="en-GB"/>
              </w:rPr>
            </w:pPr>
            <w:r w:rsidRPr="00BB5286">
              <w:rPr>
                <w:rFonts w:eastAsia="Times New Roman" w:cs="Times New Roman"/>
                <w:noProof/>
                <w:sz w:val="22"/>
                <w:lang w:val="en-GB"/>
              </w:rPr>
              <w:t xml:space="preserve">Lessons learned from the current period will feed </w:t>
            </w:r>
            <w:r w:rsidR="00EF6A73" w:rsidRPr="00BB5286">
              <w:rPr>
                <w:rFonts w:eastAsia="Times New Roman" w:cs="Times New Roman"/>
                <w:noProof/>
                <w:sz w:val="22"/>
                <w:lang w:val="en-GB"/>
              </w:rPr>
              <w:t xml:space="preserve">into </w:t>
            </w:r>
            <w:r w:rsidRPr="00BB5286">
              <w:rPr>
                <w:rFonts w:eastAsia="Times New Roman" w:cs="Times New Roman"/>
                <w:noProof/>
                <w:sz w:val="22"/>
                <w:lang w:val="en-GB"/>
              </w:rPr>
              <w:t xml:space="preserve">the reflection on the post-2027 CAP. </w:t>
            </w:r>
          </w:p>
        </w:tc>
      </w:tr>
      <w:tr w:rsidR="00A8762C" w:rsidRPr="00BB5286" w14:paraId="27CFEAD4"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220"/>
        </w:trPr>
        <w:tc>
          <w:tcPr>
            <w:tcW w:w="14755" w:type="dxa"/>
            <w:gridSpan w:val="7"/>
            <w:tcBorders>
              <w:top w:val="single" w:sz="4" w:space="0" w:color="auto"/>
              <w:left w:val="single" w:sz="4" w:space="0" w:color="auto"/>
              <w:bottom w:val="nil"/>
              <w:right w:val="single" w:sz="4" w:space="0" w:color="auto"/>
            </w:tcBorders>
            <w:shd w:val="clear" w:color="auto" w:fill="003399"/>
          </w:tcPr>
          <w:p w14:paraId="0AC0F6FC" w14:textId="7316A3EA" w:rsidR="00A8762C" w:rsidRPr="00BB5286" w:rsidRDefault="00A8762C" w:rsidP="009D2766">
            <w:pPr>
              <w:spacing w:before="120" w:after="120" w:line="259" w:lineRule="auto"/>
              <w:jc w:val="center"/>
              <w:rPr>
                <w:rFonts w:eastAsia="Calibri" w:cs="Times New Roman"/>
                <w:noProof/>
                <w:color w:val="FFFFFF"/>
                <w:sz w:val="22"/>
                <w:lang w:val="en-GB"/>
              </w:rPr>
            </w:pPr>
            <w:r w:rsidRPr="00BB5286">
              <w:rPr>
                <w:rFonts w:eastAsia="Calibri" w:cs="Times New Roman"/>
                <w:b/>
                <w:bCs/>
                <w:noProof/>
                <w:color w:val="FFFFFF"/>
                <w:sz w:val="22"/>
                <w:lang w:val="en-GB"/>
              </w:rPr>
              <w:t xml:space="preserve">CAP Strategic Plan Regulation </w:t>
            </w:r>
            <w:r w:rsidR="00E410BE" w:rsidRPr="00BB5286">
              <w:rPr>
                <w:rFonts w:eastAsia="Calibri" w:cs="Times New Roman"/>
                <w:b/>
                <w:bCs/>
                <w:noProof/>
                <w:color w:val="FFFFFF"/>
                <w:sz w:val="22"/>
                <w:lang w:val="en-GB"/>
              </w:rPr>
              <w:t xml:space="preserve">- </w:t>
            </w:r>
            <w:r w:rsidRPr="00BB5286">
              <w:rPr>
                <w:rFonts w:eastAsia="Calibri" w:cs="Times New Roman"/>
                <w:b/>
                <w:bCs/>
                <w:noProof/>
                <w:color w:val="FFFFFF"/>
                <w:sz w:val="22"/>
                <w:lang w:val="en-GB"/>
              </w:rPr>
              <w:t>Investment interventions</w:t>
            </w:r>
          </w:p>
        </w:tc>
      </w:tr>
      <w:tr w:rsidR="00A8762C" w:rsidRPr="00BB5286" w14:paraId="75898134" w14:textId="77777777" w:rsidTr="009A4429">
        <w:trPr>
          <w:gridAfter w:val="2"/>
          <w:wAfter w:w="21" w:type="dxa"/>
          <w:trHeight w:val="300"/>
        </w:trPr>
        <w:tc>
          <w:tcPr>
            <w:tcW w:w="625" w:type="dxa"/>
            <w:tcBorders>
              <w:top w:val="nil"/>
              <w:left w:val="single" w:sz="4" w:space="0" w:color="auto"/>
              <w:bottom w:val="single" w:sz="4" w:space="0" w:color="auto"/>
              <w:right w:val="single" w:sz="4" w:space="0" w:color="auto"/>
            </w:tcBorders>
            <w:vAlign w:val="center"/>
          </w:tcPr>
          <w:p w14:paraId="6E709337" w14:textId="0FF44700" w:rsidR="00A8762C" w:rsidRPr="00BB5286" w:rsidRDefault="00A8762C" w:rsidP="00A8762C">
            <w:pPr>
              <w:spacing w:after="60" w:line="259" w:lineRule="auto"/>
              <w:rPr>
                <w:rFonts w:eastAsia="Calibri" w:cs="Times New Roman"/>
                <w:b/>
                <w:noProof/>
                <w:sz w:val="22"/>
                <w:lang w:val="en-GB"/>
              </w:rPr>
            </w:pPr>
            <w:r w:rsidRPr="00BB5286">
              <w:rPr>
                <w:rFonts w:eastAsia="Calibri" w:cs="Times New Roman"/>
                <w:b/>
                <w:bCs/>
                <w:noProof/>
                <w:sz w:val="22"/>
                <w:lang w:val="en-GB"/>
              </w:rPr>
              <w:t>20</w:t>
            </w:r>
            <w:r w:rsidR="00A0403B">
              <w:rPr>
                <w:rFonts w:eastAsia="Calibri" w:cs="Times New Roman"/>
                <w:b/>
                <w:bCs/>
                <w:noProof/>
                <w:sz w:val="22"/>
                <w:lang w:val="en-GB"/>
              </w:rPr>
              <w:t>5</w:t>
            </w:r>
          </w:p>
        </w:tc>
        <w:tc>
          <w:tcPr>
            <w:tcW w:w="5940" w:type="dxa"/>
            <w:gridSpan w:val="2"/>
            <w:tcBorders>
              <w:top w:val="nil"/>
              <w:left w:val="single" w:sz="4" w:space="0" w:color="auto"/>
              <w:bottom w:val="single" w:sz="4" w:space="0" w:color="auto"/>
              <w:right w:val="single" w:sz="4" w:space="0" w:color="auto"/>
            </w:tcBorders>
            <w:vAlign w:val="center"/>
          </w:tcPr>
          <w:p w14:paraId="6FCC9AC4" w14:textId="4794A2C6" w:rsidR="00A8762C" w:rsidRPr="00BB5286" w:rsidRDefault="00A8762C"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Support rate:</w:t>
            </w:r>
            <w:r w:rsidRPr="00BB5286">
              <w:rPr>
                <w:rFonts w:eastAsia="Calibri" w:cs="Times New Roman"/>
                <w:noProof/>
                <w:sz w:val="22"/>
                <w:szCs w:val="20"/>
                <w:lang w:val="en-GB"/>
              </w:rPr>
              <w:t xml:space="preserve"> </w:t>
            </w:r>
            <w:r w:rsidR="57377825" w:rsidRPr="00BB5286">
              <w:rPr>
                <w:rFonts w:eastAsia="Calibri" w:cs="Times New Roman"/>
                <w:noProof/>
                <w:sz w:val="22"/>
                <w:szCs w:val="20"/>
                <w:lang w:val="en-GB"/>
              </w:rPr>
              <w:t>i</w:t>
            </w:r>
            <w:r w:rsidRPr="00BB5286">
              <w:rPr>
                <w:rFonts w:eastAsia="Calibri" w:cs="Times New Roman"/>
                <w:noProof/>
                <w:sz w:val="22"/>
                <w:szCs w:val="20"/>
                <w:lang w:val="en-GB"/>
              </w:rPr>
              <w:t>ncrease support rate for collective investments and organic farming</w:t>
            </w:r>
            <w:r w:rsidR="00241975" w:rsidRPr="00BB5286">
              <w:rPr>
                <w:rFonts w:eastAsia="Calibri" w:cs="Times New Roman"/>
                <w:noProof/>
                <w:sz w:val="22"/>
                <w:szCs w:val="20"/>
                <w:lang w:val="en-GB"/>
              </w:rPr>
              <w:t>.</w:t>
            </w:r>
          </w:p>
        </w:tc>
        <w:tc>
          <w:tcPr>
            <w:tcW w:w="1530" w:type="dxa"/>
            <w:tcBorders>
              <w:top w:val="nil"/>
              <w:left w:val="single" w:sz="4" w:space="0" w:color="auto"/>
              <w:bottom w:val="single" w:sz="4" w:space="0" w:color="auto"/>
              <w:right w:val="single" w:sz="4" w:space="0" w:color="auto"/>
            </w:tcBorders>
            <w:vAlign w:val="center"/>
          </w:tcPr>
          <w:p w14:paraId="175A3FBA"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LT</w:t>
            </w:r>
          </w:p>
        </w:tc>
        <w:tc>
          <w:tcPr>
            <w:tcW w:w="6660" w:type="dxa"/>
            <w:gridSpan w:val="2"/>
            <w:tcBorders>
              <w:top w:val="nil"/>
              <w:left w:val="single" w:sz="4" w:space="0" w:color="auto"/>
              <w:bottom w:val="single" w:sz="4" w:space="0" w:color="auto"/>
              <w:right w:val="single" w:sz="4" w:space="0" w:color="auto"/>
            </w:tcBorders>
            <w:vAlign w:val="center"/>
          </w:tcPr>
          <w:p w14:paraId="7C4B730C" w14:textId="433B7719" w:rsidR="00A8762C" w:rsidRPr="00BB5286" w:rsidRDefault="00A8762C" w:rsidP="00A8762C">
            <w:pPr>
              <w:spacing w:after="60" w:line="259" w:lineRule="auto"/>
              <w:rPr>
                <w:rFonts w:eastAsia="Calibri" w:cs="Times New Roman"/>
                <w:noProof/>
                <w:sz w:val="22"/>
                <w:lang w:val="en-GB"/>
              </w:rPr>
            </w:pPr>
            <w:r w:rsidRPr="00BB5286">
              <w:rPr>
                <w:rFonts w:eastAsia="Calibri" w:cs="Times New Roman"/>
                <w:noProof/>
                <w:sz w:val="22"/>
                <w:lang w:val="en-GB"/>
              </w:rPr>
              <w:t>The suggestion</w:t>
            </w:r>
            <w:r w:rsidRPr="00BB5286" w:rsidDel="0044231C">
              <w:rPr>
                <w:rFonts w:eastAsia="Calibri" w:cs="Times New Roman"/>
                <w:noProof/>
                <w:sz w:val="22"/>
                <w:lang w:val="en-GB"/>
              </w:rPr>
              <w:t xml:space="preserve"> </w:t>
            </w:r>
            <w:r w:rsidRPr="00BB5286">
              <w:rPr>
                <w:rFonts w:eastAsia="Calibri" w:cs="Times New Roman"/>
                <w:noProof/>
                <w:sz w:val="22"/>
                <w:lang w:val="en-GB"/>
              </w:rPr>
              <w:t xml:space="preserve">was not taken up. </w:t>
            </w:r>
            <w:r w:rsidRPr="00BB5286">
              <w:rPr>
                <w:rFonts w:eastAsia="Times New Roman" w:cs="Times New Roman"/>
                <w:noProof/>
                <w:sz w:val="22"/>
                <w:lang w:val="en-GB"/>
              </w:rPr>
              <w:t xml:space="preserve">Lessons learned from the current period will feed </w:t>
            </w:r>
            <w:r w:rsidR="00EF6A73" w:rsidRPr="00BB5286">
              <w:rPr>
                <w:rFonts w:eastAsia="Times New Roman" w:cs="Times New Roman"/>
                <w:noProof/>
                <w:sz w:val="22"/>
                <w:lang w:val="en-GB"/>
              </w:rPr>
              <w:t xml:space="preserve">into </w:t>
            </w:r>
            <w:r w:rsidRPr="00BB5286">
              <w:rPr>
                <w:rFonts w:eastAsia="Times New Roman" w:cs="Times New Roman"/>
                <w:noProof/>
                <w:sz w:val="22"/>
                <w:lang w:val="en-GB"/>
              </w:rPr>
              <w:t xml:space="preserve">the reflection on the post-2027 CAP. </w:t>
            </w:r>
          </w:p>
        </w:tc>
      </w:tr>
      <w:tr w:rsidR="00A8762C" w:rsidRPr="00BB5286" w14:paraId="7F87AA07" w14:textId="77777777" w:rsidTr="009A4429">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372E8CD2" w14:textId="2B22CD5F" w:rsidR="00A8762C" w:rsidRPr="00BB5286" w:rsidRDefault="00A8762C" w:rsidP="00A8762C">
            <w:pPr>
              <w:spacing w:after="60" w:line="259" w:lineRule="auto"/>
              <w:rPr>
                <w:rFonts w:eastAsia="Calibri" w:cs="Times New Roman"/>
                <w:b/>
                <w:bCs/>
                <w:noProof/>
                <w:sz w:val="22"/>
                <w:lang w:val="en-GB"/>
              </w:rPr>
            </w:pPr>
            <w:r w:rsidRPr="00BB5286">
              <w:rPr>
                <w:rFonts w:eastAsia="Calibri" w:cs="Times New Roman"/>
                <w:b/>
                <w:bCs/>
                <w:noProof/>
                <w:sz w:val="22"/>
                <w:lang w:val="en-GB"/>
              </w:rPr>
              <w:t>20</w:t>
            </w:r>
            <w:r w:rsidR="00A0403B">
              <w:rPr>
                <w:rFonts w:eastAsia="Calibri" w:cs="Times New Roman"/>
                <w:b/>
                <w:bCs/>
                <w:noProof/>
                <w:sz w:val="22"/>
                <w:lang w:val="en-GB"/>
              </w:rPr>
              <w:t>6</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0FDD218B" w14:textId="1423F736" w:rsidR="00A8762C" w:rsidRPr="00BB5286" w:rsidRDefault="00A8762C"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Irrigation:</w:t>
            </w:r>
            <w:r w:rsidRPr="00BB5286">
              <w:rPr>
                <w:rFonts w:eastAsia="Calibri" w:cs="Times New Roman"/>
                <w:noProof/>
                <w:sz w:val="22"/>
                <w:szCs w:val="20"/>
                <w:lang w:val="en-GB"/>
              </w:rPr>
              <w:t xml:space="preserve"> </w:t>
            </w:r>
            <w:r w:rsidR="3D5B2804" w:rsidRPr="00BB5286">
              <w:rPr>
                <w:rFonts w:eastAsia="Calibri" w:cs="Times New Roman"/>
                <w:noProof/>
                <w:sz w:val="22"/>
                <w:szCs w:val="20"/>
                <w:lang w:val="en-GB"/>
              </w:rPr>
              <w:t>s</w:t>
            </w:r>
            <w:r w:rsidRPr="00BB5286">
              <w:rPr>
                <w:rFonts w:eastAsia="Calibri" w:cs="Times New Roman"/>
                <w:noProof/>
                <w:sz w:val="22"/>
                <w:szCs w:val="20"/>
                <w:lang w:val="en-GB"/>
              </w:rPr>
              <w:t xml:space="preserve">implify conditions for irrigation investments (alignment with </w:t>
            </w:r>
            <w:r w:rsidR="000233A4" w:rsidRPr="00BB5286">
              <w:rPr>
                <w:rFonts w:eastAsia="Calibri" w:cs="Times New Roman"/>
                <w:noProof/>
                <w:sz w:val="22"/>
                <w:szCs w:val="20"/>
                <w:lang w:val="en-GB"/>
              </w:rPr>
              <w:t>S</w:t>
            </w:r>
            <w:r w:rsidRPr="00BB5286">
              <w:rPr>
                <w:rFonts w:eastAsia="Calibri" w:cs="Times New Roman"/>
                <w:noProof/>
                <w:sz w:val="22"/>
                <w:szCs w:val="20"/>
                <w:lang w:val="en-GB"/>
              </w:rPr>
              <w:t>tate aid rules, simpler eligibility conditions).</w:t>
            </w:r>
          </w:p>
          <w:p w14:paraId="315C8F63" w14:textId="77777777" w:rsidR="00A8762C" w:rsidRPr="00BB5286" w:rsidRDefault="00A8762C" w:rsidP="00A8762C">
            <w:pPr>
              <w:spacing w:after="60" w:line="259" w:lineRule="auto"/>
              <w:ind w:left="360"/>
              <w:jc w:val="both"/>
              <w:rPr>
                <w:rFonts w:eastAsia="Calibri" w:cs="Times New Roman"/>
                <w:noProof/>
                <w:sz w:val="22"/>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14:paraId="46F5A427" w14:textId="77777777" w:rsidR="00A8762C" w:rsidRPr="00BB5286" w:rsidRDefault="00A8762C" w:rsidP="00A8762C">
            <w:pPr>
              <w:spacing w:after="60" w:line="259" w:lineRule="auto"/>
              <w:jc w:val="center"/>
              <w:rPr>
                <w:rFonts w:eastAsia="MS Gothic" w:cs="Times New Roman"/>
                <w:b/>
                <w:bCs/>
                <w:noProof/>
                <w:color w:val="0033CC"/>
                <w:sz w:val="22"/>
                <w:lang w:val="en-GB"/>
              </w:rPr>
            </w:pPr>
            <w:r w:rsidRPr="00BB5286">
              <w:rPr>
                <w:rFonts w:eastAsia="MS Gothic" w:cs="Times New Roman"/>
                <w:b/>
                <w:noProof/>
                <w:color w:val="0033CC"/>
                <w:sz w:val="22"/>
                <w:lang w:val="en-GB"/>
              </w:rPr>
              <w:t>CY, FR, HU,</w:t>
            </w:r>
          </w:p>
          <w:p w14:paraId="58A7482E"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MT, LT</w:t>
            </w:r>
          </w:p>
          <w:p w14:paraId="2488E8A6" w14:textId="77777777" w:rsidR="00A8762C" w:rsidRPr="00BB5286" w:rsidRDefault="00A8762C" w:rsidP="00A8762C">
            <w:pPr>
              <w:spacing w:after="60" w:line="259" w:lineRule="auto"/>
              <w:jc w:val="center"/>
              <w:rPr>
                <w:rFonts w:eastAsia="MS Gothic" w:cs="Times New Roman"/>
                <w:b/>
                <w:noProof/>
                <w:color w:val="0033CC"/>
                <w:sz w:val="22"/>
                <w:lang w:val="en-GB"/>
              </w:rPr>
            </w:pPr>
          </w:p>
          <w:p w14:paraId="3351FD46"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6B6E3F84" w14:textId="660A4FE2" w:rsidR="00A8762C" w:rsidRPr="00BB5286" w:rsidRDefault="00A8762C" w:rsidP="00A8762C">
            <w:pPr>
              <w:spacing w:after="60" w:line="259" w:lineRule="auto"/>
              <w:jc w:val="both"/>
              <w:rPr>
                <w:rFonts w:eastAsia="Calibri" w:cs="Times New Roman"/>
                <w:noProof/>
                <w:color w:val="D13438"/>
                <w:sz w:val="22"/>
                <w:lang w:val="en-GB"/>
              </w:rPr>
            </w:pPr>
            <w:r w:rsidRPr="00BB5286">
              <w:rPr>
                <w:rFonts w:eastAsia="Calibri" w:cs="Times New Roman"/>
                <w:noProof/>
                <w:sz w:val="22"/>
                <w:lang w:val="en-GB"/>
              </w:rPr>
              <w:t>The suggestion was not taken up</w:t>
            </w:r>
            <w:r w:rsidR="00EF6A73" w:rsidRPr="00BB5286">
              <w:rPr>
                <w:rFonts w:eastAsia="Calibri" w:cs="Times New Roman"/>
                <w:noProof/>
                <w:sz w:val="22"/>
                <w:lang w:val="en-GB"/>
              </w:rPr>
              <w:t xml:space="preserve"> since it</w:t>
            </w:r>
            <w:r w:rsidRPr="00BB5286">
              <w:rPr>
                <w:rFonts w:eastAsia="Calibri" w:cs="Times New Roman"/>
                <w:noProof/>
                <w:sz w:val="22"/>
                <w:lang w:val="en-GB"/>
              </w:rPr>
              <w:t xml:space="preserve"> would hamper the achievement of the policy objectives of the CAP 2023-2027. Detailed rules for investments in irrigation are needed to ensure that agricultural water use does not put </w:t>
            </w:r>
            <w:r w:rsidR="00EF6A73" w:rsidRPr="00BB5286">
              <w:rPr>
                <w:rFonts w:eastAsia="Calibri" w:cs="Times New Roman"/>
                <w:noProof/>
                <w:sz w:val="22"/>
                <w:lang w:val="en-GB"/>
              </w:rPr>
              <w:t xml:space="preserve">the </w:t>
            </w:r>
            <w:r w:rsidRPr="00BB5286">
              <w:rPr>
                <w:rFonts w:eastAsia="Calibri" w:cs="Times New Roman"/>
                <w:noProof/>
                <w:sz w:val="22"/>
                <w:lang w:val="en-GB"/>
              </w:rPr>
              <w:t xml:space="preserve">good status of water bodies at risk. The requirements ensure that investments are aligned with the objectives of the Water Framework Directive. The requirements for </w:t>
            </w:r>
            <w:r w:rsidR="000233A4" w:rsidRPr="00BB5286">
              <w:rPr>
                <w:rFonts w:eastAsia="Calibri" w:cs="Times New Roman"/>
                <w:noProof/>
                <w:sz w:val="22"/>
                <w:lang w:val="en-GB"/>
              </w:rPr>
              <w:t>S</w:t>
            </w:r>
            <w:r w:rsidRPr="00BB5286">
              <w:rPr>
                <w:rFonts w:eastAsia="Calibri" w:cs="Times New Roman"/>
                <w:noProof/>
                <w:sz w:val="22"/>
                <w:lang w:val="en-GB"/>
              </w:rPr>
              <w:t xml:space="preserve">tate aid are also aligned with those of </w:t>
            </w:r>
            <w:r w:rsidR="00D9725D" w:rsidRPr="00BB5286">
              <w:rPr>
                <w:rFonts w:eastAsia="Calibri" w:cs="Times New Roman"/>
                <w:noProof/>
                <w:sz w:val="22"/>
                <w:lang w:val="en-GB"/>
              </w:rPr>
              <w:t>the CSP Regulation</w:t>
            </w:r>
            <w:r w:rsidRPr="00BB5286">
              <w:rPr>
                <w:rFonts w:eastAsia="Calibri" w:cs="Times New Roman"/>
                <w:noProof/>
                <w:sz w:val="22"/>
                <w:lang w:val="en-GB"/>
              </w:rPr>
              <w:t>.</w:t>
            </w:r>
          </w:p>
        </w:tc>
      </w:tr>
      <w:tr w:rsidR="00A8762C" w:rsidRPr="00BB5286" w14:paraId="52252DA4" w14:textId="77777777" w:rsidTr="009A4429">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1292D125" w14:textId="791E212E" w:rsidR="00A8762C" w:rsidRPr="00BB5286" w:rsidRDefault="00A8762C" w:rsidP="00A8762C">
            <w:pPr>
              <w:spacing w:after="60" w:line="259" w:lineRule="auto"/>
              <w:rPr>
                <w:rFonts w:eastAsia="Calibri" w:cs="Times New Roman"/>
                <w:b/>
                <w:noProof/>
                <w:sz w:val="22"/>
                <w:lang w:val="en-GB"/>
              </w:rPr>
            </w:pPr>
            <w:r w:rsidRPr="00BB5286">
              <w:rPr>
                <w:rFonts w:eastAsia="Calibri" w:cs="Times New Roman"/>
                <w:b/>
                <w:bCs/>
                <w:noProof/>
                <w:sz w:val="22"/>
                <w:lang w:val="en-GB"/>
              </w:rPr>
              <w:t>20</w:t>
            </w:r>
            <w:r w:rsidR="00A0403B">
              <w:rPr>
                <w:rFonts w:eastAsia="Calibri" w:cs="Times New Roman"/>
                <w:b/>
                <w:bCs/>
                <w:noProof/>
                <w:sz w:val="22"/>
                <w:lang w:val="en-GB"/>
              </w:rPr>
              <w:t>7</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256E42FF" w14:textId="34A784CB" w:rsidR="00A8762C" w:rsidRPr="00BB5286" w:rsidRDefault="00A8762C"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Irrigation:</w:t>
            </w:r>
            <w:r w:rsidRPr="00BB5286">
              <w:rPr>
                <w:rFonts w:eastAsia="Calibri" w:cs="Times New Roman"/>
                <w:noProof/>
                <w:sz w:val="22"/>
                <w:szCs w:val="20"/>
                <w:lang w:val="en-GB"/>
              </w:rPr>
              <w:t xml:space="preserve"> </w:t>
            </w:r>
            <w:r w:rsidR="1FC283D5" w:rsidRPr="00BB5286">
              <w:rPr>
                <w:rFonts w:eastAsia="Calibri" w:cs="Times New Roman"/>
                <w:noProof/>
                <w:sz w:val="22"/>
                <w:szCs w:val="20"/>
                <w:lang w:val="en-GB"/>
              </w:rPr>
              <w:t>t</w:t>
            </w:r>
            <w:r w:rsidRPr="00BB5286">
              <w:rPr>
                <w:rFonts w:eastAsia="Calibri" w:cs="Times New Roman"/>
                <w:noProof/>
                <w:sz w:val="22"/>
                <w:szCs w:val="20"/>
                <w:lang w:val="en-GB"/>
              </w:rPr>
              <w:t>he Commission should develop guidelines for the interpretation of eligibility criteria for investments in irrigation</w:t>
            </w:r>
            <w:r w:rsidR="00241975" w:rsidRPr="00BB5286">
              <w:rPr>
                <w:rFonts w:eastAsia="Calibri" w:cs="Times New Roman"/>
                <w:noProof/>
                <w:sz w:val="22"/>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120D0037"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17CDEDB6" w14:textId="01811CD8" w:rsidR="00A8762C" w:rsidRPr="00BB5286" w:rsidRDefault="00A8762C" w:rsidP="365B9462">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suggestion was not taken up. </w:t>
            </w:r>
            <w:r w:rsidR="00AF7B1A" w:rsidRPr="00BB5286">
              <w:rPr>
                <w:rFonts w:eastAsia="Calibri" w:cs="Times New Roman"/>
                <w:noProof/>
                <w:sz w:val="22"/>
                <w:szCs w:val="20"/>
                <w:lang w:val="en-GB"/>
              </w:rPr>
              <w:t xml:space="preserve">EU </w:t>
            </w:r>
            <w:r w:rsidRPr="00BB5286">
              <w:rPr>
                <w:rFonts w:eastAsia="Calibri" w:cs="Times New Roman"/>
                <w:noProof/>
                <w:sz w:val="22"/>
                <w:szCs w:val="20"/>
                <w:lang w:val="en-GB"/>
              </w:rPr>
              <w:t xml:space="preserve">rules on interventions on investments in irrigation (e.g. </w:t>
            </w:r>
            <w:r w:rsidRPr="00BB5286">
              <w:rPr>
                <w:rFonts w:eastAsia="Calibri" w:cs="Times New Roman"/>
                <w:i/>
                <w:iCs/>
                <w:noProof/>
                <w:sz w:val="22"/>
                <w:szCs w:val="20"/>
                <w:lang w:val="en-GB"/>
              </w:rPr>
              <w:t xml:space="preserve">Article 74 </w:t>
            </w:r>
            <w:r w:rsidRPr="00BB5286">
              <w:rPr>
                <w:rFonts w:eastAsia="Calibri" w:cs="Times New Roman"/>
                <w:noProof/>
                <w:sz w:val="22"/>
                <w:szCs w:val="20"/>
                <w:lang w:val="en-GB"/>
              </w:rPr>
              <w:t xml:space="preserve">of </w:t>
            </w:r>
            <w:r w:rsidR="3B823245"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already provide sufficiently detailed requirements </w:t>
            </w:r>
            <w:r w:rsidR="00EF6A73" w:rsidRPr="00BB5286">
              <w:rPr>
                <w:rFonts w:eastAsia="Calibri" w:cs="Times New Roman"/>
                <w:noProof/>
                <w:sz w:val="22"/>
                <w:szCs w:val="20"/>
                <w:lang w:val="en-GB"/>
              </w:rPr>
              <w:t xml:space="preserve">that enable </w:t>
            </w:r>
            <w:r w:rsidRPr="00BB5286">
              <w:rPr>
                <w:rFonts w:eastAsia="Calibri" w:cs="Times New Roman"/>
                <w:noProof/>
                <w:sz w:val="22"/>
                <w:szCs w:val="20"/>
                <w:lang w:val="en-GB"/>
              </w:rPr>
              <w:t xml:space="preserve">Member States to design such interventions. </w:t>
            </w:r>
          </w:p>
        </w:tc>
      </w:tr>
      <w:tr w:rsidR="00A8762C" w:rsidRPr="00BB5286" w14:paraId="5366F8BB" w14:textId="77777777" w:rsidTr="009A4429">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7754D433" w14:textId="57E8468D" w:rsidR="00A8762C" w:rsidRPr="00BB5286" w:rsidRDefault="00A8762C" w:rsidP="00A8762C">
            <w:pPr>
              <w:spacing w:after="60" w:line="259" w:lineRule="auto"/>
              <w:rPr>
                <w:rFonts w:eastAsia="Calibri" w:cs="Times New Roman"/>
                <w:b/>
                <w:noProof/>
                <w:sz w:val="22"/>
                <w:lang w:val="en-GB"/>
              </w:rPr>
            </w:pPr>
            <w:r w:rsidRPr="00BB5286">
              <w:rPr>
                <w:rFonts w:eastAsia="Calibri" w:cs="Times New Roman"/>
                <w:b/>
                <w:bCs/>
                <w:noProof/>
                <w:sz w:val="22"/>
                <w:lang w:val="en-GB"/>
              </w:rPr>
              <w:t>20</w:t>
            </w:r>
            <w:r w:rsidR="00A0403B">
              <w:rPr>
                <w:rFonts w:eastAsia="Calibri" w:cs="Times New Roman"/>
                <w:b/>
                <w:bCs/>
                <w:noProof/>
                <w:sz w:val="22"/>
                <w:lang w:val="en-GB"/>
              </w:rPr>
              <w:t>8</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0C5DB0C0" w14:textId="3D2C2F47" w:rsidR="00A8762C" w:rsidRPr="00BB5286" w:rsidRDefault="00A8762C"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Irrigation:</w:t>
            </w:r>
            <w:r w:rsidRPr="00BB5286">
              <w:rPr>
                <w:rFonts w:eastAsia="Calibri" w:cs="Times New Roman"/>
                <w:noProof/>
                <w:sz w:val="22"/>
                <w:szCs w:val="20"/>
                <w:lang w:val="en-GB"/>
              </w:rPr>
              <w:t xml:space="preserve"> </w:t>
            </w:r>
            <w:r w:rsidR="00D9725D" w:rsidRPr="00BB5286">
              <w:rPr>
                <w:rFonts w:eastAsia="Calibri" w:cs="Times New Roman"/>
                <w:noProof/>
                <w:sz w:val="22"/>
                <w:szCs w:val="20"/>
                <w:lang w:val="en-GB"/>
              </w:rPr>
              <w:t>e</w:t>
            </w:r>
            <w:r w:rsidR="00F22A97" w:rsidRPr="00BB5286">
              <w:rPr>
                <w:rFonts w:eastAsia="Calibri" w:cs="Times New Roman"/>
                <w:noProof/>
                <w:sz w:val="22"/>
                <w:szCs w:val="20"/>
                <w:lang w:val="en-GB"/>
              </w:rPr>
              <w:t xml:space="preserve">xempt irrigated areas from the obligation to rotate (GAEC 7) and from having to allocate 4% to non-productive areas (GAEC 8). </w:t>
            </w:r>
          </w:p>
        </w:tc>
        <w:tc>
          <w:tcPr>
            <w:tcW w:w="1530" w:type="dxa"/>
            <w:tcBorders>
              <w:top w:val="single" w:sz="4" w:space="0" w:color="auto"/>
              <w:left w:val="single" w:sz="4" w:space="0" w:color="auto"/>
              <w:bottom w:val="single" w:sz="4" w:space="0" w:color="auto"/>
              <w:right w:val="single" w:sz="4" w:space="0" w:color="auto"/>
            </w:tcBorders>
            <w:vAlign w:val="center"/>
          </w:tcPr>
          <w:p w14:paraId="015271EC"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52E918BD" w14:textId="294A892D" w:rsidR="00A8762C" w:rsidRPr="00BB5286" w:rsidRDefault="00F22A97" w:rsidP="00A8762C">
            <w:pPr>
              <w:spacing w:after="60" w:line="259" w:lineRule="auto"/>
              <w:jc w:val="both"/>
              <w:rPr>
                <w:rFonts w:eastAsia="Calibri" w:cs="Times New Roman"/>
                <w:noProof/>
                <w:sz w:val="22"/>
                <w:lang w:val="en-GB"/>
              </w:rPr>
            </w:pPr>
            <w:r w:rsidRPr="00BB5286">
              <w:rPr>
                <w:rFonts w:eastAsia="Calibri" w:cs="Times New Roman"/>
                <w:noProof/>
                <w:sz w:val="22"/>
                <w:lang w:val="en-GB"/>
              </w:rPr>
              <w:t>Partially addressed through the Simplification package.</w:t>
            </w:r>
            <w:r w:rsidR="00D9725D" w:rsidRPr="00BB5286">
              <w:rPr>
                <w:rFonts w:eastAsia="Calibri" w:cs="Times New Roman"/>
                <w:noProof/>
                <w:sz w:val="22"/>
                <w:lang w:val="en-GB"/>
              </w:rPr>
              <w:t xml:space="preserve"> See the Simplification Regulation.</w:t>
            </w:r>
          </w:p>
        </w:tc>
      </w:tr>
      <w:tr w:rsidR="00A8762C" w:rsidRPr="00BB5286" w14:paraId="4466C7B3" w14:textId="77777777" w:rsidTr="009A4429">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3060FCB8" w14:textId="2CDCD23E" w:rsidR="00A8762C" w:rsidRPr="00BB5286" w:rsidRDefault="00A8762C" w:rsidP="00A8762C">
            <w:pPr>
              <w:spacing w:after="60" w:line="259" w:lineRule="auto"/>
              <w:jc w:val="both"/>
              <w:rPr>
                <w:rFonts w:eastAsia="Calibri" w:cs="Times New Roman"/>
                <w:b/>
                <w:noProof/>
                <w:sz w:val="22"/>
                <w:lang w:val="en-GB"/>
              </w:rPr>
            </w:pPr>
            <w:r w:rsidRPr="00BB5286">
              <w:rPr>
                <w:rFonts w:eastAsia="Calibri" w:cs="Times New Roman"/>
                <w:b/>
                <w:bCs/>
                <w:noProof/>
                <w:sz w:val="22"/>
                <w:lang w:val="en-GB"/>
              </w:rPr>
              <w:t>2</w:t>
            </w:r>
            <w:r w:rsidR="00A0403B">
              <w:rPr>
                <w:rFonts w:eastAsia="Calibri" w:cs="Times New Roman"/>
                <w:b/>
                <w:bCs/>
                <w:noProof/>
                <w:sz w:val="22"/>
                <w:lang w:val="en-GB"/>
              </w:rPr>
              <w:t>09</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13CBF012" w14:textId="7F173E07" w:rsidR="00A8762C" w:rsidRPr="00BB5286" w:rsidRDefault="00A8762C" w:rsidP="00A8762C">
            <w:pPr>
              <w:spacing w:after="60" w:line="259" w:lineRule="auto"/>
              <w:jc w:val="both"/>
              <w:rPr>
                <w:rFonts w:eastAsia="Calibri" w:cs="Times New Roman"/>
                <w:noProof/>
                <w:sz w:val="22"/>
                <w:lang w:val="en-GB"/>
              </w:rPr>
            </w:pPr>
            <w:r w:rsidRPr="00BB5286">
              <w:rPr>
                <w:rFonts w:eastAsia="Calibri" w:cs="Times New Roman"/>
                <w:b/>
                <w:bCs/>
                <w:noProof/>
                <w:sz w:val="22"/>
                <w:lang w:val="en-GB"/>
              </w:rPr>
              <w:t>Costs:</w:t>
            </w:r>
            <w:r w:rsidRPr="00BB5286">
              <w:rPr>
                <w:rFonts w:eastAsia="Calibri" w:cs="Times New Roman"/>
                <w:noProof/>
                <w:sz w:val="22"/>
                <w:lang w:val="en-GB"/>
              </w:rPr>
              <w:t xml:space="preserve"> </w:t>
            </w:r>
            <w:r w:rsidR="00D9725D" w:rsidRPr="00BB5286">
              <w:rPr>
                <w:rFonts w:eastAsia="Calibri" w:cs="Times New Roman"/>
                <w:noProof/>
                <w:sz w:val="22"/>
                <w:lang w:val="en-GB"/>
              </w:rPr>
              <w:t>l</w:t>
            </w:r>
            <w:r w:rsidRPr="00BB5286">
              <w:rPr>
                <w:rFonts w:eastAsia="Calibri" w:cs="Times New Roman"/>
                <w:noProof/>
                <w:sz w:val="22"/>
                <w:lang w:val="en-GB"/>
              </w:rPr>
              <w:t xml:space="preserve">ift the obligation </w:t>
            </w:r>
            <w:r w:rsidR="00EF6A73" w:rsidRPr="00BB5286">
              <w:rPr>
                <w:rFonts w:eastAsia="Calibri" w:cs="Times New Roman"/>
                <w:noProof/>
                <w:sz w:val="22"/>
                <w:lang w:val="en-GB"/>
              </w:rPr>
              <w:t xml:space="preserve">to have </w:t>
            </w:r>
            <w:r w:rsidRPr="00BB5286">
              <w:rPr>
                <w:rFonts w:eastAsia="Calibri" w:cs="Times New Roman"/>
                <w:noProof/>
                <w:sz w:val="22"/>
                <w:lang w:val="en-GB"/>
              </w:rPr>
              <w:t>three offers for checking the reasonableness of the cost of investments</w:t>
            </w:r>
            <w:r w:rsidR="00241975" w:rsidRPr="00BB5286">
              <w:rPr>
                <w:rFonts w:eastAsia="Calibri" w:cs="Times New Roman"/>
                <w:noProof/>
                <w:sz w:val="22"/>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11C5921F"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63836FD9" w14:textId="5086A48E" w:rsidR="00A8762C" w:rsidRPr="00BB5286" w:rsidRDefault="649E7670" w:rsidP="365B9462">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CSP and the Horizontal </w:t>
            </w:r>
            <w:r w:rsidR="00A8762C" w:rsidRPr="00BB5286">
              <w:rPr>
                <w:rFonts w:eastAsia="Calibri" w:cs="Times New Roman"/>
                <w:noProof/>
                <w:sz w:val="22"/>
                <w:szCs w:val="20"/>
                <w:lang w:val="en-GB"/>
              </w:rPr>
              <w:t xml:space="preserve">Regulations no longer provide for rules on the reasonableness of costs, unlike the legislation for the previous </w:t>
            </w:r>
            <w:r w:rsidR="00A8762C" w:rsidRPr="00BB5286">
              <w:rPr>
                <w:rFonts w:eastAsia="Calibri" w:cs="Times New Roman"/>
                <w:noProof/>
                <w:sz w:val="22"/>
                <w:szCs w:val="20"/>
                <w:lang w:val="en-GB"/>
              </w:rPr>
              <w:lastRenderedPageBreak/>
              <w:t xml:space="preserve">planning period. However, Member States have an obligation to take measures to ensure sound financial management and effective protection of the </w:t>
            </w:r>
            <w:r w:rsidR="00AF7B1A" w:rsidRPr="00BB5286">
              <w:rPr>
                <w:rFonts w:eastAsia="Calibri" w:cs="Times New Roman"/>
                <w:noProof/>
                <w:sz w:val="22"/>
                <w:szCs w:val="20"/>
                <w:lang w:val="en-GB"/>
              </w:rPr>
              <w:t xml:space="preserve">EU's </w:t>
            </w:r>
            <w:r w:rsidR="00A8762C" w:rsidRPr="00BB5286">
              <w:rPr>
                <w:rFonts w:eastAsia="Calibri" w:cs="Times New Roman"/>
                <w:noProof/>
                <w:sz w:val="22"/>
                <w:szCs w:val="20"/>
                <w:lang w:val="en-GB"/>
              </w:rPr>
              <w:t xml:space="preserve">financial interests based on Regulation (EU) 2018/1046 and </w:t>
            </w:r>
            <w:r w:rsidR="00A8762C" w:rsidRPr="00BB5286">
              <w:rPr>
                <w:rFonts w:eastAsia="Calibri" w:cs="Times New Roman"/>
                <w:i/>
                <w:iCs/>
                <w:noProof/>
                <w:sz w:val="22"/>
                <w:szCs w:val="20"/>
                <w:lang w:val="en-GB"/>
              </w:rPr>
              <w:t>Art</w:t>
            </w:r>
            <w:r w:rsidR="1D375234" w:rsidRPr="00BB5286">
              <w:rPr>
                <w:rFonts w:eastAsia="Calibri" w:cs="Times New Roman"/>
                <w:i/>
                <w:iCs/>
                <w:noProof/>
                <w:sz w:val="22"/>
                <w:szCs w:val="20"/>
                <w:lang w:val="en-GB"/>
              </w:rPr>
              <w:t>icles</w:t>
            </w:r>
            <w:r w:rsidR="00A8762C" w:rsidRPr="00BB5286">
              <w:rPr>
                <w:rFonts w:eastAsia="Calibri" w:cs="Times New Roman"/>
                <w:i/>
                <w:iCs/>
                <w:noProof/>
                <w:sz w:val="22"/>
                <w:szCs w:val="20"/>
                <w:lang w:val="en-GB"/>
              </w:rPr>
              <w:t xml:space="preserve"> 59(2) and 60(1)</w:t>
            </w:r>
            <w:r w:rsidR="00A8762C" w:rsidRPr="00BB5286">
              <w:rPr>
                <w:rFonts w:eastAsia="Calibri" w:cs="Times New Roman"/>
                <w:noProof/>
                <w:sz w:val="22"/>
                <w:szCs w:val="20"/>
                <w:lang w:val="en-GB"/>
              </w:rPr>
              <w:t xml:space="preserve"> of </w:t>
            </w:r>
            <w:r w:rsidR="740C7BDC" w:rsidRPr="00BB5286">
              <w:rPr>
                <w:rFonts w:eastAsia="Calibri" w:cs="Times New Roman"/>
                <w:noProof/>
                <w:sz w:val="22"/>
                <w:szCs w:val="20"/>
                <w:lang w:val="en-GB"/>
              </w:rPr>
              <w:t xml:space="preserve">the Horizontal </w:t>
            </w:r>
            <w:r w:rsidR="00A8762C" w:rsidRPr="00BB5286">
              <w:rPr>
                <w:rFonts w:eastAsia="Calibri" w:cs="Times New Roman"/>
                <w:noProof/>
                <w:sz w:val="22"/>
                <w:szCs w:val="20"/>
                <w:lang w:val="en-GB"/>
              </w:rPr>
              <w:t>Regulation. It is therefore for Member States to determine appropriate measures to comply with these obligations, such as the verification of the reasonableness of costs for subsidi</w:t>
            </w:r>
            <w:r w:rsidR="00EF6A73" w:rsidRPr="00BB5286">
              <w:rPr>
                <w:rFonts w:eastAsia="Calibri" w:cs="Times New Roman"/>
                <w:noProof/>
                <w:sz w:val="22"/>
                <w:szCs w:val="20"/>
                <w:lang w:val="en-GB"/>
              </w:rPr>
              <w:t>s</w:t>
            </w:r>
            <w:r w:rsidR="00A8762C" w:rsidRPr="00BB5286">
              <w:rPr>
                <w:rFonts w:eastAsia="Calibri" w:cs="Times New Roman"/>
                <w:noProof/>
                <w:sz w:val="22"/>
                <w:szCs w:val="20"/>
                <w:lang w:val="en-GB"/>
              </w:rPr>
              <w:t>ed operations</w:t>
            </w:r>
            <w:r w:rsidR="00241975" w:rsidRPr="00BB5286">
              <w:rPr>
                <w:rFonts w:eastAsia="Calibri" w:cs="Times New Roman"/>
                <w:noProof/>
                <w:sz w:val="22"/>
                <w:szCs w:val="20"/>
                <w:lang w:val="en-GB"/>
              </w:rPr>
              <w:t>.</w:t>
            </w:r>
          </w:p>
        </w:tc>
      </w:tr>
      <w:tr w:rsidR="00A8762C" w:rsidRPr="00BB5286" w14:paraId="2F47577A" w14:textId="77777777" w:rsidTr="009A4429">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3607FF23" w14:textId="28114CAB"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lastRenderedPageBreak/>
              <w:t>21</w:t>
            </w:r>
            <w:r w:rsidR="00A0403B">
              <w:rPr>
                <w:rFonts w:eastAsia="Calibri" w:cs="Times New Roman"/>
                <w:b/>
                <w:bCs/>
                <w:noProof/>
                <w:sz w:val="22"/>
                <w:lang w:val="en-GB"/>
              </w:rPr>
              <w:t>0</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6BD3A4C6" w14:textId="038D9DC0" w:rsidR="00A8762C" w:rsidRPr="00BB5286" w:rsidRDefault="00A8762C"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Forestry carryover:</w:t>
            </w:r>
            <w:r w:rsidRPr="00BB5286">
              <w:rPr>
                <w:rFonts w:eastAsia="Calibri" w:cs="Times New Roman"/>
                <w:noProof/>
                <w:sz w:val="22"/>
                <w:szCs w:val="20"/>
                <w:lang w:val="en-GB"/>
              </w:rPr>
              <w:t xml:space="preserve"> </w:t>
            </w:r>
            <w:r w:rsidR="4F55B7C2" w:rsidRPr="00BB5286">
              <w:rPr>
                <w:rFonts w:eastAsia="Calibri" w:cs="Times New Roman"/>
                <w:noProof/>
                <w:sz w:val="22"/>
                <w:szCs w:val="20"/>
                <w:lang w:val="en-GB"/>
              </w:rPr>
              <w:t>a</w:t>
            </w:r>
            <w:r w:rsidRPr="00BB5286">
              <w:rPr>
                <w:rFonts w:eastAsia="Calibri" w:cs="Times New Roman"/>
                <w:noProof/>
                <w:sz w:val="22"/>
                <w:szCs w:val="20"/>
                <w:lang w:val="en-GB"/>
              </w:rPr>
              <w:t xml:space="preserve">ccording to </w:t>
            </w:r>
            <w:r w:rsidRPr="00BB5286">
              <w:rPr>
                <w:rFonts w:eastAsia="Calibri" w:cs="Times New Roman"/>
                <w:i/>
                <w:iCs/>
                <w:noProof/>
                <w:sz w:val="22"/>
                <w:szCs w:val="20"/>
                <w:lang w:val="en-GB"/>
              </w:rPr>
              <w:t>Art</w:t>
            </w:r>
            <w:r w:rsidR="5576D90D" w:rsidRPr="00BB5286">
              <w:rPr>
                <w:rFonts w:eastAsia="Calibri" w:cs="Times New Roman"/>
                <w:i/>
                <w:iCs/>
                <w:noProof/>
                <w:sz w:val="22"/>
                <w:szCs w:val="20"/>
                <w:lang w:val="en-GB"/>
              </w:rPr>
              <w:t xml:space="preserve">icle </w:t>
            </w:r>
            <w:r w:rsidRPr="00BB5286">
              <w:rPr>
                <w:rFonts w:eastAsia="Calibri" w:cs="Times New Roman"/>
                <w:i/>
                <w:iCs/>
                <w:noProof/>
                <w:sz w:val="22"/>
                <w:szCs w:val="20"/>
                <w:lang w:val="en-GB"/>
              </w:rPr>
              <w:t>155</w:t>
            </w:r>
            <w:r w:rsidRPr="00BB5286">
              <w:rPr>
                <w:rFonts w:eastAsia="Calibri" w:cs="Times New Roman"/>
                <w:noProof/>
                <w:sz w:val="22"/>
                <w:szCs w:val="20"/>
                <w:lang w:val="en-GB"/>
              </w:rPr>
              <w:t xml:space="preserve"> of </w:t>
            </w:r>
            <w:r w:rsidR="3E25C3C9"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w:t>
            </w:r>
            <w:r w:rsidR="00EA3BD4" w:rsidRPr="00BB5286">
              <w:rPr>
                <w:rFonts w:eastAsia="Calibri" w:cs="Times New Roman"/>
                <w:noProof/>
                <w:sz w:val="22"/>
                <w:szCs w:val="20"/>
                <w:lang w:val="en-GB"/>
              </w:rPr>
              <w:t xml:space="preserve">on the </w:t>
            </w:r>
            <w:r w:rsidRPr="00BB5286">
              <w:rPr>
                <w:rFonts w:eastAsia="Calibri" w:cs="Times New Roman"/>
                <w:noProof/>
                <w:sz w:val="22"/>
                <w:szCs w:val="20"/>
                <w:lang w:val="en-GB"/>
              </w:rPr>
              <w:t xml:space="preserve">eligibility of certain types of expenditure relating to the </w:t>
            </w:r>
            <w:r w:rsidR="007F58CB" w:rsidRPr="00BB5286">
              <w:rPr>
                <w:rFonts w:eastAsia="Calibri" w:cs="Times New Roman"/>
                <w:noProof/>
                <w:sz w:val="22"/>
                <w:szCs w:val="20"/>
                <w:lang w:val="en-GB"/>
              </w:rPr>
              <w:t>CAP Plan</w:t>
            </w:r>
            <w:r w:rsidRPr="00BB5286">
              <w:rPr>
                <w:rFonts w:eastAsia="Calibri" w:cs="Times New Roman"/>
                <w:noProof/>
                <w:sz w:val="22"/>
                <w:szCs w:val="20"/>
                <w:lang w:val="en-GB"/>
              </w:rPr>
              <w:t xml:space="preserve"> period,</w:t>
            </w:r>
            <w:r w:rsidR="00EA3BD4" w:rsidRPr="00BB5286">
              <w:rPr>
                <w:rFonts w:eastAsia="Calibri" w:cs="Times New Roman"/>
                <w:noProof/>
                <w:sz w:val="22"/>
                <w:szCs w:val="20"/>
                <w:lang w:val="en-GB"/>
              </w:rPr>
              <w:t xml:space="preserve"> the</w:t>
            </w:r>
            <w:r w:rsidRPr="00BB5286">
              <w:rPr>
                <w:rFonts w:eastAsia="Calibri" w:cs="Times New Roman"/>
                <w:noProof/>
                <w:sz w:val="22"/>
                <w:szCs w:val="20"/>
                <w:lang w:val="en-GB"/>
              </w:rPr>
              <w:t xml:space="preserve"> carry-over of expenditure is only available for area-based interventions</w:t>
            </w:r>
            <w:r w:rsidR="00EA3BD4" w:rsidRPr="00BB5286">
              <w:rPr>
                <w:rFonts w:eastAsia="Calibri" w:cs="Times New Roman"/>
                <w:noProof/>
                <w:sz w:val="22"/>
                <w:szCs w:val="20"/>
                <w:lang w:val="en-GB"/>
              </w:rPr>
              <w:t>.</w:t>
            </w:r>
            <w:r w:rsidRPr="00BB5286">
              <w:rPr>
                <w:rFonts w:eastAsia="Calibri" w:cs="Times New Roman"/>
                <w:noProof/>
                <w:sz w:val="22"/>
                <w:szCs w:val="20"/>
                <w:lang w:val="en-GB"/>
              </w:rPr>
              <w:t xml:space="preserve"> </w:t>
            </w:r>
            <w:r w:rsidR="00EA3BD4" w:rsidRPr="00BB5286">
              <w:rPr>
                <w:rFonts w:eastAsia="Calibri" w:cs="Times New Roman"/>
                <w:noProof/>
                <w:sz w:val="22"/>
                <w:szCs w:val="20"/>
                <w:lang w:val="en-GB"/>
              </w:rPr>
              <w:t>T</w:t>
            </w:r>
            <w:r w:rsidRPr="00BB5286">
              <w:rPr>
                <w:rFonts w:eastAsia="Calibri" w:cs="Times New Roman"/>
                <w:noProof/>
                <w:sz w:val="22"/>
                <w:szCs w:val="20"/>
                <w:lang w:val="en-GB"/>
              </w:rPr>
              <w:t xml:space="preserve">his should be expanded to forestry interventions. </w:t>
            </w:r>
          </w:p>
        </w:tc>
        <w:tc>
          <w:tcPr>
            <w:tcW w:w="1530" w:type="dxa"/>
            <w:tcBorders>
              <w:top w:val="single" w:sz="4" w:space="0" w:color="auto"/>
              <w:left w:val="single" w:sz="4" w:space="0" w:color="auto"/>
              <w:bottom w:val="single" w:sz="4" w:space="0" w:color="auto"/>
              <w:right w:val="single" w:sz="4" w:space="0" w:color="auto"/>
            </w:tcBorders>
            <w:vAlign w:val="center"/>
          </w:tcPr>
          <w:p w14:paraId="31652F93" w14:textId="77777777" w:rsidR="00A8762C" w:rsidRPr="00BB5286" w:rsidRDefault="00A8762C" w:rsidP="00A8762C">
            <w:pPr>
              <w:spacing w:after="60" w:line="259" w:lineRule="auto"/>
              <w:jc w:val="center"/>
              <w:rPr>
                <w:rFonts w:eastAsia="MS Gothic" w:cs="Times New Roman"/>
                <w:b/>
                <w:bCs/>
                <w:noProof/>
                <w:color w:val="0033CC"/>
                <w:sz w:val="22"/>
                <w:lang w:val="en-GB"/>
              </w:rPr>
            </w:pPr>
            <w:r w:rsidRPr="00BB5286">
              <w:rPr>
                <w:rFonts w:eastAsia="MS Gothic" w:cs="Times New Roman"/>
                <w:b/>
                <w:bCs/>
                <w:noProof/>
                <w:color w:val="0033CC"/>
                <w:sz w:val="22"/>
                <w:lang w:val="en-GB"/>
              </w:rPr>
              <w:t>HU</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11DEE6C2" w14:textId="6061B686" w:rsidR="00A8762C" w:rsidRPr="00BB5286" w:rsidRDefault="00A8762C" w:rsidP="365B9462">
            <w:pPr>
              <w:spacing w:after="60" w:line="259" w:lineRule="auto"/>
              <w:jc w:val="both"/>
              <w:rPr>
                <w:rFonts w:eastAsia="Calibri" w:cs="Times New Roman"/>
                <w:noProof/>
                <w:color w:val="000000"/>
                <w:sz w:val="22"/>
                <w:szCs w:val="20"/>
                <w:lang w:val="en-GB"/>
              </w:rPr>
            </w:pPr>
            <w:r w:rsidRPr="00BB5286">
              <w:rPr>
                <w:rFonts w:eastAsia="Calibri" w:cs="Times New Roman"/>
                <w:noProof/>
                <w:color w:val="000000" w:themeColor="text1"/>
                <w:sz w:val="22"/>
                <w:szCs w:val="20"/>
                <w:lang w:val="en-GB"/>
              </w:rPr>
              <w:t xml:space="preserve">The </w:t>
            </w:r>
            <w:r w:rsidRPr="00BB5286">
              <w:rPr>
                <w:rFonts w:eastAsia="Calibri" w:cs="Times New Roman"/>
                <w:noProof/>
                <w:sz w:val="22"/>
                <w:szCs w:val="20"/>
                <w:lang w:val="en-GB"/>
              </w:rPr>
              <w:t>suggestion</w:t>
            </w:r>
            <w:r w:rsidRPr="00BB5286">
              <w:rPr>
                <w:rFonts w:eastAsia="Calibri" w:cs="Times New Roman"/>
                <w:noProof/>
                <w:color w:val="000000" w:themeColor="text1"/>
                <w:sz w:val="22"/>
                <w:szCs w:val="20"/>
                <w:lang w:val="en-GB"/>
              </w:rPr>
              <w:t xml:space="preserve"> was not taken up. According to </w:t>
            </w:r>
            <w:r w:rsidRPr="00BB5286">
              <w:rPr>
                <w:rFonts w:eastAsia="Calibri" w:cs="Times New Roman"/>
                <w:i/>
                <w:iCs/>
                <w:noProof/>
                <w:color w:val="000000" w:themeColor="text1"/>
                <w:sz w:val="22"/>
                <w:szCs w:val="20"/>
                <w:lang w:val="en-GB"/>
              </w:rPr>
              <w:t>Article 155(4)</w:t>
            </w:r>
            <w:r w:rsidRPr="00BB5286">
              <w:rPr>
                <w:rFonts w:eastAsia="Calibri" w:cs="Times New Roman"/>
                <w:noProof/>
                <w:color w:val="000000" w:themeColor="text1"/>
                <w:sz w:val="22"/>
                <w:szCs w:val="20"/>
                <w:lang w:val="en-GB"/>
              </w:rPr>
              <w:t xml:space="preserve"> of </w:t>
            </w:r>
            <w:r w:rsidR="79FDDB30" w:rsidRPr="00BB5286">
              <w:rPr>
                <w:rFonts w:eastAsia="Calibri" w:cs="Times New Roman"/>
                <w:noProof/>
                <w:color w:val="000000" w:themeColor="text1"/>
                <w:sz w:val="22"/>
                <w:szCs w:val="20"/>
                <w:lang w:val="en-GB"/>
              </w:rPr>
              <w:t xml:space="preserve">the CSP </w:t>
            </w:r>
            <w:r w:rsidRPr="00BB5286">
              <w:rPr>
                <w:rFonts w:eastAsia="Calibri" w:cs="Times New Roman"/>
                <w:noProof/>
                <w:color w:val="000000" w:themeColor="text1"/>
                <w:sz w:val="22"/>
                <w:szCs w:val="20"/>
                <w:lang w:val="en-GB"/>
              </w:rPr>
              <w:t xml:space="preserve">Regulation, Member States already </w:t>
            </w:r>
            <w:r w:rsidR="00EA3BD4" w:rsidRPr="00BB5286">
              <w:rPr>
                <w:rFonts w:eastAsia="Calibri" w:cs="Times New Roman"/>
                <w:noProof/>
                <w:color w:val="000000" w:themeColor="text1"/>
                <w:sz w:val="22"/>
                <w:szCs w:val="20"/>
                <w:lang w:val="en-GB"/>
              </w:rPr>
              <w:t xml:space="preserve">have </w:t>
            </w:r>
            <w:r w:rsidRPr="00BB5286">
              <w:rPr>
                <w:rFonts w:eastAsia="Calibri" w:cs="Times New Roman"/>
                <w:noProof/>
                <w:color w:val="000000" w:themeColor="text1"/>
                <w:sz w:val="22"/>
                <w:szCs w:val="20"/>
                <w:lang w:val="en-GB"/>
              </w:rPr>
              <w:t xml:space="preserve">the possibility </w:t>
            </w:r>
            <w:r w:rsidR="00EA3BD4" w:rsidRPr="00BB5286">
              <w:rPr>
                <w:rFonts w:eastAsia="Calibri" w:cs="Times New Roman"/>
                <w:noProof/>
                <w:color w:val="000000" w:themeColor="text1"/>
                <w:sz w:val="22"/>
                <w:szCs w:val="20"/>
                <w:lang w:val="en-GB"/>
              </w:rPr>
              <w:t xml:space="preserve">to </w:t>
            </w:r>
            <w:r w:rsidRPr="00BB5286">
              <w:rPr>
                <w:rFonts w:eastAsia="Calibri" w:cs="Times New Roman"/>
                <w:noProof/>
                <w:color w:val="000000" w:themeColor="text1"/>
                <w:sz w:val="22"/>
                <w:szCs w:val="20"/>
                <w:lang w:val="en-GB"/>
              </w:rPr>
              <w:t>carry</w:t>
            </w:r>
            <w:r w:rsidR="00EA3BD4" w:rsidRPr="00BB5286">
              <w:rPr>
                <w:rFonts w:eastAsia="Calibri" w:cs="Times New Roman"/>
                <w:noProof/>
                <w:color w:val="000000" w:themeColor="text1"/>
                <w:sz w:val="22"/>
                <w:szCs w:val="20"/>
                <w:lang w:val="en-GB"/>
              </w:rPr>
              <w:t xml:space="preserve"> </w:t>
            </w:r>
            <w:r w:rsidRPr="00BB5286">
              <w:rPr>
                <w:rFonts w:eastAsia="Calibri" w:cs="Times New Roman"/>
                <w:noProof/>
                <w:color w:val="000000" w:themeColor="text1"/>
                <w:sz w:val="22"/>
                <w:szCs w:val="20"/>
                <w:lang w:val="en-GB"/>
              </w:rPr>
              <w:t xml:space="preserve">over certain non-IACS interventions under the conditions in that Article. This </w:t>
            </w:r>
            <w:r w:rsidR="00EA3BD4" w:rsidRPr="00BB5286">
              <w:rPr>
                <w:rFonts w:eastAsia="Calibri" w:cs="Times New Roman"/>
                <w:noProof/>
                <w:color w:val="000000" w:themeColor="text1"/>
                <w:sz w:val="22"/>
                <w:szCs w:val="20"/>
                <w:lang w:val="en-GB"/>
              </w:rPr>
              <w:t xml:space="preserve">also </w:t>
            </w:r>
            <w:r w:rsidRPr="00BB5286">
              <w:rPr>
                <w:rFonts w:eastAsia="Calibri" w:cs="Times New Roman"/>
                <w:noProof/>
                <w:color w:val="000000" w:themeColor="text1"/>
                <w:sz w:val="22"/>
                <w:szCs w:val="20"/>
                <w:lang w:val="en-GB"/>
              </w:rPr>
              <w:t>includes non-IACS forestry interventions (</w:t>
            </w:r>
            <w:r w:rsidRPr="00BB5286">
              <w:rPr>
                <w:rFonts w:eastAsia="Calibri" w:cs="Times New Roman"/>
                <w:i/>
                <w:iCs/>
                <w:noProof/>
                <w:color w:val="000000" w:themeColor="text1"/>
                <w:sz w:val="22"/>
                <w:szCs w:val="20"/>
                <w:lang w:val="en-GB"/>
              </w:rPr>
              <w:t>Article</w:t>
            </w:r>
            <w:r w:rsidR="01F7E18A" w:rsidRPr="00BB5286">
              <w:rPr>
                <w:rFonts w:eastAsia="Calibri" w:cs="Times New Roman"/>
                <w:i/>
                <w:iCs/>
                <w:noProof/>
                <w:color w:val="000000" w:themeColor="text1"/>
                <w:sz w:val="22"/>
                <w:szCs w:val="20"/>
                <w:lang w:val="en-GB"/>
              </w:rPr>
              <w:t>s</w:t>
            </w:r>
            <w:r w:rsidRPr="00BB5286">
              <w:rPr>
                <w:rFonts w:eastAsia="Calibri" w:cs="Times New Roman"/>
                <w:i/>
                <w:iCs/>
                <w:noProof/>
                <w:color w:val="000000" w:themeColor="text1"/>
                <w:sz w:val="22"/>
                <w:szCs w:val="20"/>
                <w:lang w:val="en-GB"/>
              </w:rPr>
              <w:t xml:space="preserve"> 23 </w:t>
            </w:r>
            <w:r w:rsidR="4E9AEB7E" w:rsidRPr="00BB5286">
              <w:rPr>
                <w:rFonts w:eastAsia="Calibri" w:cs="Times New Roman"/>
                <w:i/>
                <w:iCs/>
                <w:noProof/>
                <w:color w:val="000000" w:themeColor="text1"/>
                <w:sz w:val="22"/>
                <w:szCs w:val="20"/>
                <w:lang w:val="en-GB"/>
              </w:rPr>
              <w:t>to</w:t>
            </w:r>
            <w:r w:rsidRPr="00BB5286">
              <w:rPr>
                <w:rFonts w:eastAsia="Calibri" w:cs="Times New Roman"/>
                <w:i/>
                <w:iCs/>
                <w:noProof/>
                <w:color w:val="000000" w:themeColor="text1"/>
                <w:sz w:val="22"/>
                <w:szCs w:val="20"/>
                <w:lang w:val="en-GB"/>
              </w:rPr>
              <w:t xml:space="preserve"> 26 </w:t>
            </w:r>
            <w:r w:rsidRPr="00BB5286">
              <w:rPr>
                <w:rFonts w:eastAsia="Calibri" w:cs="Times New Roman"/>
                <w:noProof/>
                <w:color w:val="000000" w:themeColor="text1"/>
                <w:sz w:val="22"/>
                <w:szCs w:val="20"/>
                <w:lang w:val="en-GB"/>
              </w:rPr>
              <w:t>of Regulation (EU) 1305/2013).</w:t>
            </w:r>
          </w:p>
        </w:tc>
      </w:tr>
      <w:tr w:rsidR="00A8762C" w:rsidRPr="00BB5286" w14:paraId="52AA267F" w14:textId="77777777" w:rsidTr="009A4429">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vAlign w:val="center"/>
          </w:tcPr>
          <w:p w14:paraId="5EF3A33C" w14:textId="1A8DAA2A"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sz w:val="22"/>
                <w:lang w:val="en-GB"/>
              </w:rPr>
              <w:t>21</w:t>
            </w:r>
            <w:r w:rsidR="00A0403B">
              <w:rPr>
                <w:rFonts w:eastAsia="Calibri" w:cs="Times New Roman"/>
                <w:b/>
                <w:bCs/>
                <w:noProof/>
                <w:sz w:val="22"/>
                <w:lang w:val="en-GB"/>
              </w:rPr>
              <w:t>1</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43CA0C50" w14:textId="23CE785D" w:rsidR="00A8762C" w:rsidRPr="00BB5286" w:rsidRDefault="00A8762C" w:rsidP="365B9462">
            <w:pPr>
              <w:spacing w:after="60" w:line="259" w:lineRule="auto"/>
              <w:jc w:val="both"/>
              <w:rPr>
                <w:rFonts w:eastAsia="Calibri" w:cs="Times New Roman"/>
                <w:b/>
                <w:bCs/>
                <w:noProof/>
                <w:sz w:val="22"/>
                <w:szCs w:val="20"/>
                <w:lang w:val="en-GB"/>
              </w:rPr>
            </w:pPr>
            <w:r w:rsidRPr="00BB5286">
              <w:rPr>
                <w:rFonts w:eastAsia="Calibri" w:cs="Times New Roman"/>
                <w:b/>
                <w:bCs/>
                <w:noProof/>
                <w:sz w:val="22"/>
                <w:szCs w:val="20"/>
                <w:lang w:val="en-GB"/>
              </w:rPr>
              <w:t>Young farmers</w:t>
            </w:r>
            <w:r w:rsidRPr="00BB5286">
              <w:rPr>
                <w:rFonts w:eastAsia="Calibri" w:cs="Times New Roman"/>
                <w:noProof/>
                <w:sz w:val="22"/>
                <w:szCs w:val="20"/>
                <w:lang w:val="en-GB"/>
              </w:rPr>
              <w:t xml:space="preserve">: </w:t>
            </w:r>
            <w:r w:rsidR="2D9ECA93" w:rsidRPr="00BB5286">
              <w:rPr>
                <w:rFonts w:eastAsia="Calibri" w:cs="Times New Roman"/>
                <w:noProof/>
                <w:sz w:val="22"/>
                <w:szCs w:val="20"/>
                <w:lang w:val="en-GB"/>
              </w:rPr>
              <w:t>y</w:t>
            </w:r>
            <w:r w:rsidRPr="00BB5286">
              <w:rPr>
                <w:rFonts w:eastAsia="Calibri" w:cs="Times New Roman"/>
                <w:noProof/>
                <w:sz w:val="22"/>
                <w:szCs w:val="20"/>
                <w:lang w:val="en-GB"/>
              </w:rPr>
              <w:t>oung farmers should be able to receive investment support if the investment serves to comply with the applicable EU standards</w:t>
            </w:r>
            <w:r w:rsidR="00EA3BD4" w:rsidRPr="00BB5286">
              <w:rPr>
                <w:rFonts w:eastAsia="Calibri" w:cs="Times New Roman"/>
                <w:noProof/>
                <w:sz w:val="22"/>
                <w:szCs w:val="20"/>
                <w:lang w:val="en-GB"/>
              </w:rPr>
              <w:t>, o</w:t>
            </w:r>
            <w:r w:rsidRPr="00BB5286">
              <w:rPr>
                <w:rFonts w:eastAsia="Calibri" w:cs="Times New Roman"/>
                <w:noProof/>
                <w:sz w:val="22"/>
                <w:szCs w:val="20"/>
                <w:lang w:val="en-GB"/>
              </w:rPr>
              <w:t xml:space="preserve">n the condition that the investment is implemented within 24 months </w:t>
            </w:r>
            <w:r w:rsidR="00EA3BD4" w:rsidRPr="00BB5286">
              <w:rPr>
                <w:rFonts w:eastAsia="Calibri" w:cs="Times New Roman"/>
                <w:noProof/>
                <w:sz w:val="22"/>
                <w:szCs w:val="20"/>
                <w:lang w:val="en-GB"/>
              </w:rPr>
              <w:t xml:space="preserve">of </w:t>
            </w:r>
            <w:r w:rsidRPr="00BB5286">
              <w:rPr>
                <w:rFonts w:eastAsia="Calibri" w:cs="Times New Roman"/>
                <w:noProof/>
                <w:sz w:val="22"/>
                <w:szCs w:val="20"/>
                <w:lang w:val="en-GB"/>
              </w:rPr>
              <w:t xml:space="preserve">the establishment of the young farmer's farm, or during the period of implementation of the measures specified in </w:t>
            </w:r>
            <w:r w:rsidR="00EA3BD4" w:rsidRPr="00BB5286">
              <w:rPr>
                <w:rFonts w:eastAsia="Calibri" w:cs="Times New Roman"/>
                <w:noProof/>
                <w:sz w:val="22"/>
                <w:szCs w:val="20"/>
                <w:lang w:val="en-GB"/>
              </w:rPr>
              <w:t xml:space="preserve">their </w:t>
            </w:r>
            <w:r w:rsidRPr="00BB5286">
              <w:rPr>
                <w:rFonts w:eastAsia="Calibri" w:cs="Times New Roman"/>
                <w:noProof/>
                <w:sz w:val="22"/>
                <w:szCs w:val="20"/>
                <w:lang w:val="en-GB"/>
              </w:rPr>
              <w:t xml:space="preserve">business plan. </w:t>
            </w:r>
            <w:r w:rsidR="00EA3BD4" w:rsidRPr="00BB5286">
              <w:rPr>
                <w:rFonts w:eastAsia="Calibri" w:cs="Times New Roman"/>
                <w:noProof/>
                <w:sz w:val="22"/>
                <w:szCs w:val="20"/>
                <w:lang w:val="en-GB"/>
              </w:rPr>
              <w:t xml:space="preserve">This </w:t>
            </w:r>
            <w:r w:rsidRPr="00BB5286">
              <w:rPr>
                <w:rFonts w:eastAsia="Calibri" w:cs="Times New Roman"/>
                <w:noProof/>
                <w:sz w:val="22"/>
                <w:szCs w:val="20"/>
                <w:lang w:val="en-GB"/>
              </w:rPr>
              <w:t xml:space="preserve">would be especially important for young animal farmers (wastewater treatment). </w:t>
            </w:r>
          </w:p>
        </w:tc>
        <w:tc>
          <w:tcPr>
            <w:tcW w:w="1530" w:type="dxa"/>
            <w:tcBorders>
              <w:top w:val="single" w:sz="4" w:space="0" w:color="auto"/>
              <w:left w:val="single" w:sz="4" w:space="0" w:color="auto"/>
              <w:bottom w:val="single" w:sz="4" w:space="0" w:color="auto"/>
              <w:right w:val="single" w:sz="4" w:space="0" w:color="auto"/>
            </w:tcBorders>
            <w:vAlign w:val="center"/>
          </w:tcPr>
          <w:p w14:paraId="394738E6"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 HU</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7C5E8F3E" w14:textId="323974EC" w:rsidR="00A8762C" w:rsidRPr="00BB5286" w:rsidRDefault="00A8762C" w:rsidP="365B9462">
            <w:pPr>
              <w:spacing w:after="60" w:line="259" w:lineRule="auto"/>
              <w:jc w:val="both"/>
              <w:rPr>
                <w:rFonts w:eastAsia="Calibri" w:cs="Times New Roman"/>
                <w:noProof/>
                <w:color w:val="000000"/>
                <w:sz w:val="22"/>
                <w:szCs w:val="20"/>
                <w:lang w:val="en-GB"/>
              </w:rPr>
            </w:pPr>
            <w:r w:rsidRPr="00BB5286">
              <w:rPr>
                <w:rFonts w:eastAsia="Times New Roman" w:cs="Times New Roman"/>
                <w:noProof/>
                <w:sz w:val="22"/>
                <w:szCs w:val="20"/>
                <w:lang w:val="en-GB"/>
              </w:rPr>
              <w:t xml:space="preserve">Under CAP </w:t>
            </w:r>
            <w:r w:rsidR="6140FC9E" w:rsidRPr="00BB5286">
              <w:rPr>
                <w:rFonts w:eastAsia="Times New Roman" w:cs="Times New Roman"/>
                <w:noProof/>
                <w:sz w:val="22"/>
                <w:szCs w:val="20"/>
                <w:lang w:val="en-GB"/>
              </w:rPr>
              <w:t>P</w:t>
            </w:r>
            <w:r w:rsidRPr="00BB5286">
              <w:rPr>
                <w:rFonts w:eastAsia="Times New Roman" w:cs="Times New Roman"/>
                <w:noProof/>
                <w:sz w:val="22"/>
                <w:szCs w:val="20"/>
                <w:lang w:val="en-GB"/>
              </w:rPr>
              <w:t xml:space="preserve">lans considerable investment support is available for young farmers. To </w:t>
            </w:r>
            <w:r w:rsidR="00EA3BD4" w:rsidRPr="00BB5286">
              <w:rPr>
                <w:rFonts w:eastAsia="Times New Roman" w:cs="Times New Roman"/>
                <w:noProof/>
                <w:sz w:val="22"/>
                <w:szCs w:val="20"/>
                <w:lang w:val="en-GB"/>
              </w:rPr>
              <w:t xml:space="preserve">strengthen </w:t>
            </w:r>
            <w:r w:rsidRPr="00BB5286">
              <w:rPr>
                <w:rFonts w:eastAsia="Times New Roman" w:cs="Times New Roman"/>
                <w:noProof/>
                <w:sz w:val="22"/>
                <w:szCs w:val="20"/>
                <w:lang w:val="en-GB"/>
              </w:rPr>
              <w:t xml:space="preserve">generational renewal in farming, lessons learned from the current period will feed </w:t>
            </w:r>
            <w:r w:rsidR="00EA3BD4" w:rsidRPr="00BB5286">
              <w:rPr>
                <w:rFonts w:eastAsia="Times New Roman" w:cs="Times New Roman"/>
                <w:noProof/>
                <w:sz w:val="22"/>
                <w:szCs w:val="20"/>
                <w:lang w:val="en-GB"/>
              </w:rPr>
              <w:t xml:space="preserve">into </w:t>
            </w:r>
            <w:r w:rsidRPr="00BB5286">
              <w:rPr>
                <w:rFonts w:eastAsia="Times New Roman" w:cs="Times New Roman"/>
                <w:noProof/>
                <w:sz w:val="22"/>
                <w:szCs w:val="20"/>
                <w:lang w:val="en-GB"/>
              </w:rPr>
              <w:t>the reflection on the post-2027 CAP.</w:t>
            </w:r>
          </w:p>
        </w:tc>
      </w:tr>
      <w:tr w:rsidR="00A8762C" w:rsidRPr="00BB5286" w14:paraId="738384B8"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300"/>
        </w:trPr>
        <w:tc>
          <w:tcPr>
            <w:tcW w:w="625" w:type="dxa"/>
            <w:tcBorders>
              <w:top w:val="single" w:sz="4" w:space="0" w:color="auto"/>
              <w:left w:val="single" w:sz="4" w:space="0" w:color="auto"/>
              <w:bottom w:val="single" w:sz="4" w:space="0" w:color="auto"/>
              <w:right w:val="single" w:sz="4" w:space="0" w:color="auto"/>
            </w:tcBorders>
          </w:tcPr>
          <w:p w14:paraId="6493C268" w14:textId="0C739073" w:rsidR="00A8762C" w:rsidRPr="00BB5286" w:rsidRDefault="00A8762C" w:rsidP="00A8762C">
            <w:pPr>
              <w:spacing w:after="60" w:line="259" w:lineRule="auto"/>
              <w:jc w:val="both"/>
              <w:rPr>
                <w:rFonts w:eastAsia="Calibri" w:cs="Times New Roman"/>
                <w:b/>
                <w:noProof/>
                <w:color w:val="000000"/>
                <w:sz w:val="22"/>
                <w:lang w:val="en-GB"/>
              </w:rPr>
            </w:pPr>
            <w:r w:rsidRPr="00BB5286">
              <w:rPr>
                <w:rFonts w:eastAsia="Calibri" w:cs="Times New Roman"/>
                <w:b/>
                <w:bCs/>
                <w:noProof/>
                <w:color w:val="000000"/>
                <w:sz w:val="22"/>
                <w:lang w:val="en-GB"/>
              </w:rPr>
              <w:t>21</w:t>
            </w:r>
            <w:r w:rsidR="00A0403B">
              <w:rPr>
                <w:rFonts w:eastAsia="Calibri" w:cs="Times New Roman"/>
                <w:b/>
                <w:bCs/>
                <w:noProof/>
                <w:color w:val="000000"/>
                <w:sz w:val="22"/>
                <w:lang w:val="en-GB"/>
              </w:rPr>
              <w:t>2</w:t>
            </w:r>
          </w:p>
        </w:tc>
        <w:tc>
          <w:tcPr>
            <w:tcW w:w="5940" w:type="dxa"/>
            <w:gridSpan w:val="2"/>
            <w:tcBorders>
              <w:top w:val="single" w:sz="4" w:space="0" w:color="auto"/>
              <w:left w:val="single" w:sz="4" w:space="0" w:color="auto"/>
              <w:bottom w:val="single" w:sz="4" w:space="0" w:color="auto"/>
              <w:right w:val="single" w:sz="4" w:space="0" w:color="auto"/>
            </w:tcBorders>
          </w:tcPr>
          <w:p w14:paraId="1395FBAE" w14:textId="27FD24F2" w:rsidR="00A8762C" w:rsidRPr="00BB5286" w:rsidRDefault="00A8762C" w:rsidP="00A8762C">
            <w:pPr>
              <w:spacing w:after="60" w:line="259" w:lineRule="auto"/>
              <w:jc w:val="both"/>
              <w:rPr>
                <w:rFonts w:eastAsia="Calibri" w:cs="Times New Roman"/>
                <w:b/>
                <w:bCs/>
                <w:noProof/>
                <w:sz w:val="22"/>
                <w:lang w:val="en-GB"/>
              </w:rPr>
            </w:pPr>
            <w:r w:rsidRPr="00BB5286">
              <w:rPr>
                <w:rFonts w:eastAsia="Calibri" w:cs="Times New Roman"/>
                <w:b/>
                <w:bCs/>
                <w:noProof/>
                <w:color w:val="000000"/>
                <w:sz w:val="22"/>
                <w:lang w:val="en-GB"/>
              </w:rPr>
              <w:t>Type of beneficiar</w:t>
            </w:r>
            <w:r w:rsidR="00CE0A44" w:rsidRPr="00BB5286">
              <w:rPr>
                <w:rFonts w:eastAsia="Calibri" w:cs="Times New Roman"/>
                <w:b/>
                <w:bCs/>
                <w:noProof/>
                <w:color w:val="000000"/>
                <w:sz w:val="22"/>
                <w:lang w:val="en-GB"/>
              </w:rPr>
              <w:t>y</w:t>
            </w:r>
            <w:r w:rsidRPr="00BB5286">
              <w:rPr>
                <w:rFonts w:eastAsia="Calibri" w:cs="Times New Roman"/>
                <w:b/>
                <w:bCs/>
                <w:noProof/>
                <w:color w:val="000000"/>
                <w:sz w:val="22"/>
                <w:lang w:val="en-GB"/>
              </w:rPr>
              <w:t>:</w:t>
            </w:r>
            <w:r w:rsidRPr="00BB5286">
              <w:rPr>
                <w:rFonts w:eastAsia="Calibri" w:cs="Times New Roman"/>
                <w:noProof/>
                <w:color w:val="000000"/>
                <w:sz w:val="22"/>
                <w:lang w:val="en-GB"/>
              </w:rPr>
              <w:t xml:space="preserve"> </w:t>
            </w:r>
            <w:r w:rsidR="00AA5C97" w:rsidRPr="00BB5286">
              <w:rPr>
                <w:rFonts w:eastAsia="Calibri" w:cs="Times New Roman"/>
                <w:noProof/>
                <w:color w:val="000000"/>
                <w:sz w:val="22"/>
                <w:lang w:val="en-GB"/>
              </w:rPr>
              <w:t>a</w:t>
            </w:r>
            <w:r w:rsidRPr="00BB5286">
              <w:rPr>
                <w:rFonts w:eastAsia="Calibri" w:cs="Times New Roman"/>
                <w:noProof/>
                <w:color w:val="000000"/>
                <w:sz w:val="22"/>
                <w:lang w:val="en-GB"/>
              </w:rPr>
              <w:t xml:space="preserve">llow collectives to be beneficiaries of subsidies, for example a cooperative. At the moment, only individuals </w:t>
            </w:r>
            <w:r w:rsidRPr="00BB5286">
              <w:rPr>
                <w:rFonts w:eastAsia="Calibri" w:cs="Times New Roman"/>
                <w:noProof/>
                <w:sz w:val="22"/>
                <w:lang w:val="en-GB"/>
              </w:rPr>
              <w:t>may</w:t>
            </w:r>
            <w:r w:rsidRPr="00BB5286">
              <w:rPr>
                <w:rFonts w:eastAsia="Calibri" w:cs="Times New Roman"/>
                <w:noProof/>
                <w:color w:val="000000"/>
                <w:sz w:val="22"/>
                <w:lang w:val="en-GB"/>
              </w:rPr>
              <w:t xml:space="preserve"> request subsidies</w:t>
            </w:r>
          </w:p>
        </w:tc>
        <w:tc>
          <w:tcPr>
            <w:tcW w:w="1530" w:type="dxa"/>
            <w:tcBorders>
              <w:top w:val="single" w:sz="4" w:space="0" w:color="auto"/>
              <w:left w:val="single" w:sz="4" w:space="0" w:color="auto"/>
              <w:bottom w:val="single" w:sz="4" w:space="0" w:color="auto"/>
              <w:right w:val="single" w:sz="4" w:space="0" w:color="auto"/>
            </w:tcBorders>
            <w:vAlign w:val="center"/>
          </w:tcPr>
          <w:p w14:paraId="7BE50B43" w14:textId="77777777" w:rsidR="00A8762C" w:rsidRPr="00BB5286" w:rsidRDefault="00A8762C" w:rsidP="00A8762C">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NL</w:t>
            </w:r>
          </w:p>
        </w:tc>
        <w:tc>
          <w:tcPr>
            <w:tcW w:w="6660" w:type="dxa"/>
            <w:gridSpan w:val="2"/>
            <w:tcBorders>
              <w:top w:val="single" w:sz="4" w:space="0" w:color="auto"/>
              <w:left w:val="single" w:sz="4" w:space="0" w:color="auto"/>
              <w:bottom w:val="single" w:sz="4" w:space="0" w:color="auto"/>
              <w:right w:val="single" w:sz="4" w:space="0" w:color="auto"/>
            </w:tcBorders>
          </w:tcPr>
          <w:p w14:paraId="1CEE0D5E" w14:textId="63CDA724" w:rsidR="00A8762C" w:rsidRPr="00BB5286" w:rsidRDefault="00A8762C" w:rsidP="365B9462">
            <w:pPr>
              <w:spacing w:after="60" w:line="259" w:lineRule="auto"/>
              <w:jc w:val="both"/>
              <w:rPr>
                <w:rFonts w:eastAsia="Times New Roman" w:cs="Times New Roman"/>
                <w:noProof/>
                <w:sz w:val="22"/>
                <w:szCs w:val="20"/>
                <w:lang w:val="en-GB"/>
              </w:rPr>
            </w:pPr>
            <w:r w:rsidRPr="00BB5286">
              <w:rPr>
                <w:rFonts w:eastAsia="Calibri" w:cs="Times New Roman"/>
                <w:i/>
                <w:iCs/>
                <w:noProof/>
                <w:sz w:val="22"/>
                <w:szCs w:val="20"/>
                <w:lang w:val="en-GB"/>
              </w:rPr>
              <w:t>Article 73</w:t>
            </w:r>
            <w:r w:rsidRPr="00BB5286">
              <w:rPr>
                <w:rFonts w:eastAsia="Calibri" w:cs="Times New Roman"/>
                <w:noProof/>
                <w:sz w:val="22"/>
                <w:szCs w:val="20"/>
                <w:lang w:val="en-GB"/>
              </w:rPr>
              <w:t xml:space="preserve"> of </w:t>
            </w:r>
            <w:r w:rsidR="34770DC2"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does not exclude cooperatives or other </w:t>
            </w:r>
            <w:r w:rsidR="00EA3BD4" w:rsidRPr="00BB5286">
              <w:rPr>
                <w:rFonts w:eastAsia="Calibri" w:cs="Times New Roman"/>
                <w:noProof/>
                <w:sz w:val="22"/>
                <w:szCs w:val="20"/>
                <w:lang w:val="en-GB"/>
              </w:rPr>
              <w:t xml:space="preserve">similar </w:t>
            </w:r>
            <w:r w:rsidRPr="00BB5286">
              <w:rPr>
                <w:rFonts w:eastAsia="Calibri" w:cs="Times New Roman"/>
                <w:noProof/>
                <w:sz w:val="22"/>
                <w:szCs w:val="20"/>
                <w:lang w:val="en-GB"/>
              </w:rPr>
              <w:t>type</w:t>
            </w:r>
            <w:r w:rsidR="00EA3BD4" w:rsidRPr="00BB5286">
              <w:rPr>
                <w:rFonts w:eastAsia="Calibri" w:cs="Times New Roman"/>
                <w:noProof/>
                <w:sz w:val="22"/>
                <w:szCs w:val="20"/>
                <w:lang w:val="en-GB"/>
              </w:rPr>
              <w:t>s</w:t>
            </w:r>
            <w:r w:rsidRPr="00BB5286">
              <w:rPr>
                <w:rFonts w:eastAsia="Calibri" w:cs="Times New Roman"/>
                <w:noProof/>
                <w:sz w:val="22"/>
                <w:szCs w:val="20"/>
                <w:lang w:val="en-GB"/>
              </w:rPr>
              <w:t xml:space="preserve"> of organisations from investment support. </w:t>
            </w:r>
          </w:p>
        </w:tc>
      </w:tr>
      <w:tr w:rsidR="008C38EE" w:rsidRPr="00BB5286" w14:paraId="1264B570"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553"/>
        </w:trPr>
        <w:tc>
          <w:tcPr>
            <w:tcW w:w="14755" w:type="dxa"/>
            <w:gridSpan w:val="7"/>
            <w:tcBorders>
              <w:top w:val="single" w:sz="4" w:space="0" w:color="auto"/>
              <w:left w:val="single" w:sz="4" w:space="0" w:color="auto"/>
              <w:bottom w:val="single" w:sz="4" w:space="0" w:color="auto"/>
              <w:right w:val="single" w:sz="4" w:space="0" w:color="auto"/>
            </w:tcBorders>
            <w:shd w:val="clear" w:color="auto" w:fill="003399"/>
            <w:vAlign w:val="center"/>
          </w:tcPr>
          <w:p w14:paraId="5C0A4E24" w14:textId="43A26BA5" w:rsidR="008C38EE" w:rsidRPr="00BB5286" w:rsidRDefault="008C38EE" w:rsidP="008C38EE">
            <w:pPr>
              <w:spacing w:after="60" w:line="259" w:lineRule="auto"/>
              <w:jc w:val="center"/>
              <w:rPr>
                <w:rFonts w:eastAsia="Calibri" w:cs="Times New Roman"/>
                <w:noProof/>
                <w:sz w:val="22"/>
                <w:lang w:val="en-GB"/>
              </w:rPr>
            </w:pPr>
            <w:r w:rsidRPr="00BB5286">
              <w:rPr>
                <w:rFonts w:eastAsia="Calibri" w:cs="Times New Roman"/>
                <w:b/>
                <w:bCs/>
                <w:noProof/>
                <w:sz w:val="22"/>
                <w:lang w:val="en-GB"/>
              </w:rPr>
              <w:t xml:space="preserve">Financial </w:t>
            </w:r>
            <w:r w:rsidRPr="00BB5286">
              <w:rPr>
                <w:rFonts w:eastAsia="Calibri" w:cs="Times New Roman"/>
                <w:b/>
                <w:bCs/>
                <w:noProof/>
                <w:color w:val="FFFFFF"/>
                <w:sz w:val="22"/>
                <w:shd w:val="clear" w:color="auto" w:fill="003399"/>
                <w:lang w:val="en-GB"/>
              </w:rPr>
              <w:t>instruments</w:t>
            </w:r>
          </w:p>
        </w:tc>
      </w:tr>
      <w:tr w:rsidR="00B51814" w:rsidRPr="00BB5286" w14:paraId="61EDD3F5" w14:textId="77777777" w:rsidTr="009A4429">
        <w:trPr>
          <w:gridAfter w:val="2"/>
          <w:wAfter w:w="21" w:type="dxa"/>
          <w:trHeight w:val="401"/>
        </w:trPr>
        <w:tc>
          <w:tcPr>
            <w:tcW w:w="625" w:type="dxa"/>
            <w:tcBorders>
              <w:top w:val="single" w:sz="4" w:space="0" w:color="auto"/>
              <w:left w:val="single" w:sz="4" w:space="0" w:color="auto"/>
              <w:bottom w:val="single" w:sz="4" w:space="0" w:color="auto"/>
              <w:right w:val="single" w:sz="4" w:space="0" w:color="auto"/>
            </w:tcBorders>
            <w:vAlign w:val="center"/>
          </w:tcPr>
          <w:p w14:paraId="3C9154EB" w14:textId="6F7F26A5" w:rsidR="008C38EE" w:rsidRPr="00BB5286" w:rsidRDefault="008C38EE" w:rsidP="008C38EE">
            <w:pPr>
              <w:spacing w:after="60" w:line="259" w:lineRule="auto"/>
              <w:rPr>
                <w:rFonts w:eastAsia="Calibri" w:cs="Times New Roman"/>
                <w:b/>
                <w:noProof/>
                <w:sz w:val="22"/>
                <w:lang w:val="en-GB"/>
              </w:rPr>
            </w:pPr>
            <w:r w:rsidRPr="00BB5286">
              <w:rPr>
                <w:rFonts w:eastAsia="Calibri" w:cs="Times New Roman"/>
                <w:b/>
                <w:bCs/>
                <w:noProof/>
                <w:sz w:val="22"/>
                <w:lang w:val="en-GB"/>
              </w:rPr>
              <w:t>21</w:t>
            </w:r>
            <w:r w:rsidR="00A0403B">
              <w:rPr>
                <w:rFonts w:eastAsia="Calibri" w:cs="Times New Roman"/>
                <w:b/>
                <w:bCs/>
                <w:noProof/>
                <w:sz w:val="22"/>
                <w:lang w:val="en-GB"/>
              </w:rPr>
              <w:t>3</w:t>
            </w:r>
          </w:p>
        </w:tc>
        <w:tc>
          <w:tcPr>
            <w:tcW w:w="5940" w:type="dxa"/>
            <w:gridSpan w:val="2"/>
            <w:tcBorders>
              <w:top w:val="single" w:sz="4" w:space="0" w:color="auto"/>
              <w:left w:val="single" w:sz="4" w:space="0" w:color="auto"/>
              <w:bottom w:val="single" w:sz="4" w:space="0" w:color="auto"/>
              <w:right w:val="single" w:sz="4" w:space="0" w:color="auto"/>
            </w:tcBorders>
            <w:vAlign w:val="center"/>
          </w:tcPr>
          <w:p w14:paraId="2E737CEF" w14:textId="308D4976" w:rsidR="008C38EE" w:rsidRPr="00BB5286" w:rsidRDefault="008C38EE" w:rsidP="7AD98673">
            <w:pPr>
              <w:spacing w:after="60" w:line="259" w:lineRule="auto"/>
              <w:jc w:val="both"/>
              <w:rPr>
                <w:rFonts w:eastAsia="Calibri" w:cs="Times New Roman"/>
                <w:noProof/>
                <w:sz w:val="22"/>
                <w:lang w:val="en-GB"/>
              </w:rPr>
            </w:pPr>
            <w:r w:rsidRPr="7AD98673">
              <w:rPr>
                <w:rFonts w:eastAsia="Calibri" w:cs="Times New Roman"/>
                <w:noProof/>
                <w:sz w:val="22"/>
                <w:lang w:val="en-GB"/>
              </w:rPr>
              <w:t xml:space="preserve">Increasing </w:t>
            </w:r>
            <w:r w:rsidR="00EA3BD4" w:rsidRPr="7AD98673">
              <w:rPr>
                <w:rFonts w:eastAsia="Calibri" w:cs="Times New Roman"/>
                <w:noProof/>
                <w:sz w:val="22"/>
                <w:lang w:val="en-GB"/>
              </w:rPr>
              <w:t xml:space="preserve">the </w:t>
            </w:r>
            <w:r w:rsidRPr="7AD98673">
              <w:rPr>
                <w:rFonts w:eastAsia="Calibri" w:cs="Times New Roman"/>
                <w:noProof/>
                <w:sz w:val="22"/>
                <w:lang w:val="en-GB"/>
              </w:rPr>
              <w:t xml:space="preserve">ceiling for working capital to align with </w:t>
            </w:r>
            <w:r w:rsidR="00EA3BD4" w:rsidRPr="7AD98673">
              <w:rPr>
                <w:rFonts w:eastAsia="Calibri" w:cs="Times New Roman"/>
                <w:i/>
                <w:iCs/>
                <w:noProof/>
                <w:sz w:val="22"/>
                <w:lang w:val="en-GB"/>
              </w:rPr>
              <w:t>d</w:t>
            </w:r>
            <w:r w:rsidRPr="7AD98673">
              <w:rPr>
                <w:rFonts w:eastAsia="Calibri" w:cs="Times New Roman"/>
                <w:i/>
                <w:iCs/>
                <w:noProof/>
                <w:sz w:val="22"/>
                <w:lang w:val="en-GB"/>
              </w:rPr>
              <w:t>e minimis</w:t>
            </w:r>
            <w:r w:rsidRPr="7AD98673">
              <w:rPr>
                <w:rFonts w:eastAsia="Calibri" w:cs="Times New Roman"/>
                <w:noProof/>
                <w:sz w:val="22"/>
                <w:lang w:val="en-GB"/>
              </w:rPr>
              <w:t xml:space="preserve"> rules</w:t>
            </w:r>
            <w:r w:rsidR="00967CF8" w:rsidRPr="7AD98673">
              <w:rPr>
                <w:rFonts w:eastAsia="Calibri" w:cs="Times New Roman"/>
                <w:noProof/>
                <w:sz w:val="22"/>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1F8CB431" w14:textId="37480D55" w:rsidR="008C38EE" w:rsidRPr="00FF77A3" w:rsidRDefault="009D11BF" w:rsidP="7AD98673">
            <w:pPr>
              <w:spacing w:after="60" w:line="259" w:lineRule="auto"/>
              <w:jc w:val="center"/>
              <w:rPr>
                <w:rFonts w:eastAsia="MS Gothic" w:cs="Times New Roman"/>
                <w:b/>
                <w:bCs/>
                <w:noProof/>
                <w:sz w:val="22"/>
                <w:lang w:val="en-GB"/>
              </w:rPr>
            </w:pPr>
            <w:r w:rsidRPr="7AD98673">
              <w:rPr>
                <w:rFonts w:eastAsia="MS Gothic" w:cs="Times New Roman"/>
                <w:b/>
                <w:bCs/>
                <w:noProof/>
                <w:color w:val="0033CC"/>
                <w:sz w:val="22"/>
                <w:lang w:val="en-GB"/>
              </w:rPr>
              <w:t>LT</w:t>
            </w:r>
            <w:r w:rsidRPr="00FF77A3">
              <w:rPr>
                <w:rFonts w:eastAsia="MS Gothic" w:cs="Times New Roman"/>
                <w:b/>
                <w:bCs/>
                <w:noProof/>
                <w:sz w:val="22"/>
                <w:lang w:val="en-GB"/>
              </w:rPr>
              <w:t xml:space="preserve"> </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73E98DB2" w14:textId="0E0A2362" w:rsidR="008C38EE" w:rsidRPr="00BB5286" w:rsidRDefault="008C38EE" w:rsidP="7AD98673">
            <w:pPr>
              <w:spacing w:after="60" w:line="259" w:lineRule="auto"/>
              <w:jc w:val="both"/>
              <w:rPr>
                <w:rFonts w:eastAsia="Calibri" w:cs="Times New Roman"/>
                <w:noProof/>
                <w:sz w:val="22"/>
                <w:lang w:val="en-GB"/>
              </w:rPr>
            </w:pPr>
            <w:r w:rsidRPr="7AD98673">
              <w:rPr>
                <w:rFonts w:eastAsia="Times New Roman" w:cs="Times New Roman"/>
                <w:noProof/>
                <w:sz w:val="22"/>
                <w:lang w:val="en-GB"/>
              </w:rPr>
              <w:t>Lessons learned from the current period will feed</w:t>
            </w:r>
            <w:r w:rsidR="00B51814" w:rsidRPr="7AD98673">
              <w:rPr>
                <w:rFonts w:eastAsia="Times New Roman" w:cs="Times New Roman"/>
                <w:noProof/>
                <w:sz w:val="22"/>
                <w:lang w:val="en-GB"/>
              </w:rPr>
              <w:t xml:space="preserve"> into</w:t>
            </w:r>
            <w:r w:rsidRPr="7AD98673">
              <w:rPr>
                <w:rFonts w:eastAsia="Times New Roman" w:cs="Times New Roman"/>
                <w:noProof/>
                <w:sz w:val="22"/>
                <w:lang w:val="en-GB"/>
              </w:rPr>
              <w:t xml:space="preserve"> the reflection on the post-2027 CAP.</w:t>
            </w:r>
          </w:p>
        </w:tc>
      </w:tr>
      <w:tr w:rsidR="008C38EE" w:rsidRPr="00BB5286" w14:paraId="4302C8BC" w14:textId="77777777" w:rsidTr="009A4429">
        <w:trPr>
          <w:gridAfter w:val="2"/>
          <w:wAfter w:w="21" w:type="dxa"/>
          <w:trHeight w:val="300"/>
        </w:trPr>
        <w:tc>
          <w:tcPr>
            <w:tcW w:w="625" w:type="dxa"/>
            <w:tcBorders>
              <w:top w:val="single" w:sz="4" w:space="0" w:color="auto"/>
              <w:left w:val="single" w:sz="4" w:space="0" w:color="auto"/>
              <w:bottom w:val="single" w:sz="4" w:space="0" w:color="000000" w:themeColor="text1"/>
              <w:right w:val="single" w:sz="4" w:space="0" w:color="auto"/>
            </w:tcBorders>
            <w:vAlign w:val="center"/>
          </w:tcPr>
          <w:p w14:paraId="7BE9463A" w14:textId="515D7231" w:rsidR="008C38EE" w:rsidRPr="00BB5286" w:rsidRDefault="008C38EE" w:rsidP="008C38EE">
            <w:pPr>
              <w:spacing w:after="60" w:line="259" w:lineRule="auto"/>
              <w:rPr>
                <w:rFonts w:eastAsia="Calibri" w:cs="Times New Roman"/>
                <w:b/>
                <w:noProof/>
                <w:sz w:val="22"/>
                <w:lang w:val="en-GB"/>
              </w:rPr>
            </w:pPr>
            <w:r w:rsidRPr="00BB5286">
              <w:rPr>
                <w:rFonts w:eastAsia="Calibri" w:cs="Times New Roman"/>
                <w:b/>
                <w:bCs/>
                <w:noProof/>
                <w:sz w:val="22"/>
                <w:lang w:val="en-GB"/>
              </w:rPr>
              <w:lastRenderedPageBreak/>
              <w:t>21</w:t>
            </w:r>
            <w:r w:rsidR="00A0403B">
              <w:rPr>
                <w:rFonts w:eastAsia="Calibri" w:cs="Times New Roman"/>
                <w:b/>
                <w:bCs/>
                <w:noProof/>
                <w:sz w:val="22"/>
                <w:lang w:val="en-GB"/>
              </w:rPr>
              <w:t>4</w:t>
            </w:r>
          </w:p>
        </w:tc>
        <w:tc>
          <w:tcPr>
            <w:tcW w:w="5940" w:type="dxa"/>
            <w:gridSpan w:val="2"/>
            <w:tcBorders>
              <w:top w:val="single" w:sz="4" w:space="0" w:color="auto"/>
              <w:left w:val="single" w:sz="4" w:space="0" w:color="auto"/>
              <w:bottom w:val="single" w:sz="4" w:space="0" w:color="000000" w:themeColor="text1"/>
              <w:right w:val="single" w:sz="4" w:space="0" w:color="auto"/>
            </w:tcBorders>
            <w:vAlign w:val="center"/>
          </w:tcPr>
          <w:p w14:paraId="6523489F" w14:textId="1D4298B8" w:rsidR="008C38EE" w:rsidRPr="00BB5286" w:rsidRDefault="008C38EE" w:rsidP="7AD98673">
            <w:pPr>
              <w:spacing w:after="60" w:line="259" w:lineRule="auto"/>
              <w:jc w:val="both"/>
              <w:rPr>
                <w:rFonts w:eastAsia="Calibri" w:cs="Times New Roman"/>
                <w:noProof/>
                <w:sz w:val="22"/>
                <w:lang w:val="en-GB"/>
              </w:rPr>
            </w:pPr>
            <w:r w:rsidRPr="7AD98673">
              <w:rPr>
                <w:rFonts w:eastAsia="Calibri" w:cs="Times New Roman"/>
                <w:noProof/>
                <w:sz w:val="22"/>
                <w:lang w:val="en-GB"/>
              </w:rPr>
              <w:t xml:space="preserve">Reduce </w:t>
            </w:r>
            <w:r w:rsidR="002954A4" w:rsidRPr="7AD98673">
              <w:rPr>
                <w:rFonts w:eastAsia="Calibri" w:cs="Times New Roman"/>
                <w:noProof/>
                <w:sz w:val="22"/>
                <w:lang w:val="en-GB"/>
              </w:rPr>
              <w:t xml:space="preserve">the </w:t>
            </w:r>
            <w:r w:rsidRPr="7AD98673">
              <w:rPr>
                <w:rFonts w:eastAsia="Calibri" w:cs="Times New Roman"/>
                <w:noProof/>
                <w:sz w:val="22"/>
                <w:lang w:val="en-GB"/>
              </w:rPr>
              <w:t>administrative and control requirements for the use of financial instruments (purchase of land).</w:t>
            </w:r>
          </w:p>
        </w:tc>
        <w:tc>
          <w:tcPr>
            <w:tcW w:w="1530" w:type="dxa"/>
            <w:tcBorders>
              <w:top w:val="single" w:sz="4" w:space="0" w:color="auto"/>
              <w:left w:val="single" w:sz="4" w:space="0" w:color="auto"/>
              <w:bottom w:val="single" w:sz="4" w:space="0" w:color="000000" w:themeColor="text1"/>
              <w:right w:val="single" w:sz="4" w:space="0" w:color="auto"/>
            </w:tcBorders>
            <w:vAlign w:val="center"/>
          </w:tcPr>
          <w:p w14:paraId="15A5F97F" w14:textId="77777777" w:rsidR="008C38EE" w:rsidRPr="00BB5286" w:rsidRDefault="008C38EE" w:rsidP="7AD98673">
            <w:pPr>
              <w:spacing w:after="60" w:line="259" w:lineRule="auto"/>
              <w:jc w:val="center"/>
              <w:rPr>
                <w:rFonts w:eastAsia="MS Gothic" w:cs="Times New Roman"/>
                <w:b/>
                <w:bCs/>
                <w:noProof/>
                <w:color w:val="0033CC"/>
                <w:sz w:val="22"/>
                <w:lang w:val="en-GB"/>
              </w:rPr>
            </w:pPr>
            <w:r w:rsidRPr="7AD98673">
              <w:rPr>
                <w:rFonts w:eastAsia="MS Gothic" w:cs="Times New Roman"/>
                <w:b/>
                <w:bCs/>
                <w:noProof/>
                <w:color w:val="0033CC"/>
                <w:sz w:val="22"/>
                <w:lang w:val="en-GB"/>
              </w:rPr>
              <w:t>EE</w:t>
            </w:r>
          </w:p>
        </w:tc>
        <w:tc>
          <w:tcPr>
            <w:tcW w:w="6660" w:type="dxa"/>
            <w:gridSpan w:val="2"/>
            <w:tcBorders>
              <w:top w:val="single" w:sz="4" w:space="0" w:color="auto"/>
              <w:left w:val="single" w:sz="4" w:space="0" w:color="auto"/>
              <w:bottom w:val="single" w:sz="4" w:space="0" w:color="000000" w:themeColor="text1"/>
              <w:right w:val="single" w:sz="4" w:space="0" w:color="auto"/>
            </w:tcBorders>
            <w:vAlign w:val="center"/>
          </w:tcPr>
          <w:p w14:paraId="7962166A" w14:textId="62344B12" w:rsidR="008C38EE" w:rsidRPr="00BB5286" w:rsidRDefault="008C38EE" w:rsidP="7AD98673">
            <w:pPr>
              <w:spacing w:after="60" w:line="259" w:lineRule="auto"/>
              <w:jc w:val="both"/>
              <w:rPr>
                <w:rFonts w:eastAsia="Calibri" w:cs="Times New Roman"/>
                <w:noProof/>
                <w:color w:val="000000"/>
                <w:sz w:val="22"/>
                <w:lang w:val="en-GB"/>
              </w:rPr>
            </w:pPr>
            <w:r w:rsidRPr="7AD98673">
              <w:rPr>
                <w:rFonts w:eastAsia="Calibri" w:cs="Times New Roman"/>
                <w:noProof/>
                <w:color w:val="000000" w:themeColor="text1"/>
                <w:sz w:val="22"/>
                <w:lang w:val="en-GB"/>
              </w:rPr>
              <w:t xml:space="preserve">The </w:t>
            </w:r>
            <w:r w:rsidRPr="7AD98673">
              <w:rPr>
                <w:rFonts w:eastAsia="Calibri" w:cs="Times New Roman"/>
                <w:noProof/>
                <w:sz w:val="22"/>
                <w:lang w:val="en-GB"/>
              </w:rPr>
              <w:t>suggestion</w:t>
            </w:r>
            <w:r w:rsidRPr="7AD98673">
              <w:rPr>
                <w:rFonts w:eastAsia="Calibri" w:cs="Times New Roman"/>
                <w:noProof/>
                <w:color w:val="000000" w:themeColor="text1"/>
                <w:sz w:val="22"/>
                <w:lang w:val="en-GB"/>
              </w:rPr>
              <w:t xml:space="preserve"> was not </w:t>
            </w:r>
            <w:r w:rsidRPr="7AD98673">
              <w:rPr>
                <w:rFonts w:eastAsia="Calibri" w:cs="Times New Roman"/>
                <w:noProof/>
                <w:sz w:val="22"/>
                <w:lang w:val="en-GB"/>
              </w:rPr>
              <w:t>taken up</w:t>
            </w:r>
            <w:r w:rsidRPr="7AD98673">
              <w:rPr>
                <w:rFonts w:eastAsia="Calibri" w:cs="Times New Roman"/>
                <w:noProof/>
                <w:color w:val="000000" w:themeColor="text1"/>
                <w:sz w:val="22"/>
                <w:lang w:val="en-GB"/>
              </w:rPr>
              <w:t xml:space="preserve">. Rules regulating the creation and implementation of financial instruments </w:t>
            </w:r>
            <w:r w:rsidR="002954A4" w:rsidRPr="7AD98673">
              <w:rPr>
                <w:rFonts w:eastAsia="Calibri" w:cs="Times New Roman"/>
                <w:noProof/>
                <w:color w:val="000000" w:themeColor="text1"/>
                <w:sz w:val="22"/>
                <w:lang w:val="en-GB"/>
              </w:rPr>
              <w:t xml:space="preserve">have </w:t>
            </w:r>
            <w:r w:rsidRPr="7AD98673">
              <w:rPr>
                <w:rFonts w:eastAsia="Calibri" w:cs="Times New Roman"/>
                <w:noProof/>
                <w:color w:val="000000" w:themeColor="text1"/>
                <w:sz w:val="22"/>
                <w:lang w:val="en-GB"/>
              </w:rPr>
              <w:t xml:space="preserve">already </w:t>
            </w:r>
            <w:r w:rsidR="002954A4" w:rsidRPr="7AD98673">
              <w:rPr>
                <w:rFonts w:eastAsia="Calibri" w:cs="Times New Roman"/>
                <w:noProof/>
                <w:color w:val="000000" w:themeColor="text1"/>
                <w:sz w:val="22"/>
                <w:lang w:val="en-GB"/>
              </w:rPr>
              <w:t xml:space="preserve">been </w:t>
            </w:r>
            <w:r w:rsidRPr="7AD98673">
              <w:rPr>
                <w:rFonts w:eastAsia="Calibri" w:cs="Times New Roman"/>
                <w:noProof/>
                <w:color w:val="000000" w:themeColor="text1"/>
                <w:sz w:val="22"/>
                <w:lang w:val="en-GB"/>
              </w:rPr>
              <w:t xml:space="preserve">considerably simplified. </w:t>
            </w:r>
          </w:p>
        </w:tc>
      </w:tr>
      <w:tr w:rsidR="008C38EE" w:rsidRPr="00BB5286" w14:paraId="7C8FBABF" w14:textId="77777777" w:rsidTr="009A4429">
        <w:trPr>
          <w:gridAfter w:val="2"/>
          <w:wAfter w:w="21" w:type="dxa"/>
          <w:trHeight w:val="300"/>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BA13F" w14:textId="617A0F85" w:rsidR="008C38EE" w:rsidRPr="00BB5286" w:rsidRDefault="008C38EE" w:rsidP="008C38EE">
            <w:pPr>
              <w:spacing w:after="60" w:line="259" w:lineRule="auto"/>
              <w:rPr>
                <w:rFonts w:eastAsia="Calibri" w:cs="Times New Roman"/>
                <w:b/>
                <w:noProof/>
                <w:sz w:val="22"/>
                <w:lang w:val="en-GB"/>
              </w:rPr>
            </w:pPr>
            <w:r w:rsidRPr="00BB5286">
              <w:rPr>
                <w:rFonts w:eastAsia="Calibri" w:cs="Times New Roman"/>
                <w:b/>
                <w:bCs/>
                <w:noProof/>
                <w:sz w:val="22"/>
                <w:lang w:val="en-GB"/>
              </w:rPr>
              <w:t>21</w:t>
            </w:r>
            <w:r w:rsidR="00A0403B">
              <w:rPr>
                <w:rFonts w:eastAsia="Calibri" w:cs="Times New Roman"/>
                <w:b/>
                <w:bCs/>
                <w:noProof/>
                <w:sz w:val="22"/>
                <w:lang w:val="en-GB"/>
              </w:rPr>
              <w:t>5</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5DCA1" w14:textId="71D55A6A" w:rsidR="008C38EE" w:rsidRPr="00BB5286" w:rsidRDefault="008C38EE" w:rsidP="7AD98673">
            <w:pPr>
              <w:spacing w:after="60" w:line="259" w:lineRule="auto"/>
              <w:jc w:val="both"/>
              <w:rPr>
                <w:rFonts w:eastAsia="Calibri" w:cs="Times New Roman"/>
                <w:noProof/>
                <w:sz w:val="22"/>
                <w:lang w:val="en-GB"/>
              </w:rPr>
            </w:pPr>
            <w:r w:rsidRPr="7AD98673">
              <w:rPr>
                <w:rFonts w:eastAsia="Calibri" w:cs="Times New Roman"/>
                <w:noProof/>
                <w:sz w:val="22"/>
                <w:lang w:val="en-GB"/>
              </w:rPr>
              <w:t>Reduce the information burden for final recipients under financial instruments</w:t>
            </w:r>
            <w:r w:rsidR="00967CF8" w:rsidRPr="7AD98673">
              <w:rPr>
                <w:rFonts w:eastAsia="Calibri" w:cs="Times New Roman"/>
                <w:noProof/>
                <w:sz w:val="22"/>
                <w:lang w:val="en-GB"/>
              </w:rPr>
              <w:t>.</w:t>
            </w:r>
            <w:r w:rsidRPr="7AD98673">
              <w:rPr>
                <w:rFonts w:eastAsia="Calibri" w:cs="Times New Roman"/>
                <w:noProof/>
                <w:sz w:val="22"/>
                <w:lang w:val="en-GB"/>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DF828" w14:textId="0B30DF8A" w:rsidR="008C38EE" w:rsidRPr="00FF77A3" w:rsidRDefault="009D11BF" w:rsidP="7AD98673">
            <w:pPr>
              <w:spacing w:after="60" w:line="259" w:lineRule="auto"/>
              <w:jc w:val="center"/>
              <w:rPr>
                <w:rFonts w:eastAsia="Calibri" w:cs="Times New Roman"/>
                <w:b/>
                <w:bCs/>
                <w:noProof/>
                <w:sz w:val="22"/>
                <w:lang w:val="en-GB"/>
              </w:rPr>
            </w:pPr>
            <w:r w:rsidRPr="7AD98673">
              <w:rPr>
                <w:rFonts w:eastAsia="MS Gothic" w:cs="Times New Roman"/>
                <w:b/>
                <w:bCs/>
                <w:noProof/>
                <w:color w:val="0033CC"/>
                <w:sz w:val="22"/>
                <w:lang w:val="en-GB"/>
              </w:rPr>
              <w:t>PL</w:t>
            </w:r>
            <w:r w:rsidRPr="00FF77A3">
              <w:rPr>
                <w:rFonts w:eastAsia="Calibri" w:cs="Times New Roman"/>
                <w:b/>
                <w:bCs/>
                <w:noProof/>
                <w:sz w:val="22"/>
                <w:lang w:val="en-GB"/>
              </w:rPr>
              <w:t xml:space="preserve"> </w:t>
            </w:r>
          </w:p>
        </w:tc>
        <w:tc>
          <w:tcPr>
            <w:tcW w:w="6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6177C" w14:textId="02E71031" w:rsidR="008C38EE" w:rsidRPr="00BB5286" w:rsidRDefault="008C38EE" w:rsidP="7AD98673">
            <w:pPr>
              <w:spacing w:after="60" w:line="259" w:lineRule="auto"/>
              <w:jc w:val="both"/>
              <w:rPr>
                <w:rFonts w:eastAsia="Calibri" w:cs="Times New Roman"/>
                <w:noProof/>
                <w:sz w:val="22"/>
                <w:lang w:val="en-GB"/>
              </w:rPr>
            </w:pPr>
            <w:r w:rsidRPr="7AD98673">
              <w:rPr>
                <w:rFonts w:eastAsia="Calibri" w:cs="Times New Roman"/>
                <w:noProof/>
                <w:sz w:val="22"/>
                <w:lang w:val="en-GB"/>
              </w:rPr>
              <w:t>The suggestion was not taken up. This would result in a considerable reduction of the visibility of EU program</w:t>
            </w:r>
            <w:r w:rsidR="002954A4" w:rsidRPr="7AD98673">
              <w:rPr>
                <w:rFonts w:eastAsia="Calibri" w:cs="Times New Roman"/>
                <w:noProof/>
                <w:sz w:val="22"/>
                <w:lang w:val="en-GB"/>
              </w:rPr>
              <w:t>me</w:t>
            </w:r>
            <w:r w:rsidRPr="7AD98673">
              <w:rPr>
                <w:rFonts w:eastAsia="Calibri" w:cs="Times New Roman"/>
                <w:noProof/>
                <w:sz w:val="22"/>
                <w:lang w:val="en-GB"/>
              </w:rPr>
              <w:t>s that benefit the public.</w:t>
            </w:r>
          </w:p>
        </w:tc>
      </w:tr>
      <w:tr w:rsidR="008C38EE" w:rsidRPr="00BB5286" w14:paraId="52759036" w14:textId="77777777" w:rsidTr="009A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trHeight w:val="427"/>
        </w:trPr>
        <w:tc>
          <w:tcPr>
            <w:tcW w:w="14755" w:type="dxa"/>
            <w:gridSpan w:val="6"/>
            <w:tcBorders>
              <w:top w:val="single" w:sz="4" w:space="0" w:color="000000" w:themeColor="text1"/>
              <w:left w:val="single" w:sz="4" w:space="0" w:color="000000" w:themeColor="text1"/>
              <w:bottom w:val="nil"/>
              <w:right w:val="single" w:sz="4" w:space="0" w:color="000000" w:themeColor="text1"/>
            </w:tcBorders>
            <w:shd w:val="clear" w:color="auto" w:fill="003399"/>
          </w:tcPr>
          <w:p w14:paraId="0155C50F" w14:textId="156CD8BA" w:rsidR="008C38EE" w:rsidRPr="00BB5286" w:rsidRDefault="008C38EE" w:rsidP="00CD54D8">
            <w:pPr>
              <w:spacing w:before="120" w:after="120" w:line="259" w:lineRule="auto"/>
              <w:jc w:val="center"/>
              <w:rPr>
                <w:rFonts w:eastAsia="Calibri" w:cs="Times New Roman"/>
                <w:noProof/>
                <w:color w:val="FFFFFF"/>
                <w:sz w:val="22"/>
                <w:lang w:val="en-GB"/>
              </w:rPr>
            </w:pPr>
            <w:r w:rsidRPr="00BB5286">
              <w:rPr>
                <w:rFonts w:eastAsia="Calibri" w:cs="Times New Roman"/>
                <w:b/>
                <w:bCs/>
                <w:noProof/>
                <w:color w:val="FFFFFF"/>
                <w:sz w:val="22"/>
                <w:lang w:val="en-GB"/>
              </w:rPr>
              <w:t xml:space="preserve">Risk </w:t>
            </w:r>
            <w:r w:rsidR="002954A4" w:rsidRPr="00BB5286">
              <w:rPr>
                <w:rFonts w:eastAsia="Calibri" w:cs="Times New Roman"/>
                <w:b/>
                <w:bCs/>
                <w:noProof/>
                <w:color w:val="FFFFFF"/>
                <w:sz w:val="22"/>
                <w:lang w:val="en-GB"/>
              </w:rPr>
              <w:t>and</w:t>
            </w:r>
            <w:r w:rsidRPr="00BB5286">
              <w:rPr>
                <w:rFonts w:eastAsia="Calibri" w:cs="Times New Roman"/>
                <w:b/>
                <w:bCs/>
                <w:noProof/>
                <w:color w:val="FFFFFF"/>
                <w:sz w:val="22"/>
                <w:lang w:val="en-GB"/>
              </w:rPr>
              <w:t xml:space="preserve"> crisis management</w:t>
            </w:r>
          </w:p>
        </w:tc>
      </w:tr>
      <w:tr w:rsidR="008C38EE" w:rsidRPr="00BB5286" w14:paraId="1AB1666D" w14:textId="77777777" w:rsidTr="009A4429">
        <w:trPr>
          <w:gridAfter w:val="2"/>
          <w:wAfter w:w="21" w:type="dxa"/>
          <w:trHeight w:val="300"/>
        </w:trPr>
        <w:tc>
          <w:tcPr>
            <w:tcW w:w="691" w:type="dxa"/>
            <w:gridSpan w:val="2"/>
            <w:tcBorders>
              <w:top w:val="nil"/>
              <w:left w:val="single" w:sz="4" w:space="0" w:color="auto"/>
              <w:bottom w:val="single" w:sz="4" w:space="0" w:color="auto"/>
              <w:right w:val="single" w:sz="4" w:space="0" w:color="auto"/>
            </w:tcBorders>
            <w:vAlign w:val="center"/>
          </w:tcPr>
          <w:p w14:paraId="032A5791" w14:textId="2D575F64"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21</w:t>
            </w:r>
            <w:r w:rsidR="00A0403B">
              <w:rPr>
                <w:rFonts w:eastAsia="Calibri" w:cs="Times New Roman"/>
                <w:b/>
                <w:bCs/>
                <w:noProof/>
                <w:sz w:val="22"/>
                <w:lang w:val="en-GB"/>
              </w:rPr>
              <w:t>6</w:t>
            </w:r>
          </w:p>
        </w:tc>
        <w:tc>
          <w:tcPr>
            <w:tcW w:w="5874" w:type="dxa"/>
            <w:tcBorders>
              <w:top w:val="nil"/>
              <w:left w:val="single" w:sz="4" w:space="0" w:color="auto"/>
              <w:bottom w:val="single" w:sz="4" w:space="0" w:color="auto"/>
              <w:right w:val="single" w:sz="4" w:space="0" w:color="auto"/>
            </w:tcBorders>
            <w:vAlign w:val="center"/>
          </w:tcPr>
          <w:p w14:paraId="0A6DFC7E" w14:textId="3C3B9A0F" w:rsidR="008C38EE" w:rsidRPr="00BB5286" w:rsidRDefault="008C38EE"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Derogations:</w:t>
            </w:r>
            <w:r w:rsidRPr="00BB5286">
              <w:rPr>
                <w:rFonts w:eastAsia="Calibri" w:cs="Times New Roman"/>
                <w:noProof/>
                <w:sz w:val="22"/>
                <w:szCs w:val="20"/>
                <w:lang w:val="en-GB"/>
              </w:rPr>
              <w:t xml:space="preserve"> </w:t>
            </w:r>
            <w:r w:rsidR="1F66019F" w:rsidRPr="00BB5286">
              <w:rPr>
                <w:rFonts w:eastAsia="Calibri" w:cs="Times New Roman"/>
                <w:noProof/>
                <w:sz w:val="22"/>
                <w:szCs w:val="20"/>
                <w:lang w:val="en-GB"/>
              </w:rPr>
              <w:t>a</w:t>
            </w:r>
            <w:r w:rsidRPr="00BB5286">
              <w:rPr>
                <w:rFonts w:eastAsia="Calibri" w:cs="Times New Roman"/>
                <w:noProof/>
                <w:sz w:val="22"/>
                <w:szCs w:val="20"/>
                <w:lang w:val="en-GB"/>
              </w:rPr>
              <w:t>llow</w:t>
            </w:r>
            <w:r w:rsidR="002954A4" w:rsidRPr="00BB5286">
              <w:rPr>
                <w:rFonts w:eastAsia="Calibri" w:cs="Times New Roman"/>
                <w:noProof/>
                <w:sz w:val="22"/>
                <w:szCs w:val="20"/>
                <w:lang w:val="en-GB"/>
              </w:rPr>
              <w:t xml:space="preserve"> the</w:t>
            </w:r>
            <w:r w:rsidRPr="00BB5286">
              <w:rPr>
                <w:rFonts w:eastAsia="Calibri" w:cs="Times New Roman"/>
                <w:noProof/>
                <w:sz w:val="22"/>
                <w:szCs w:val="20"/>
                <w:lang w:val="en-GB"/>
              </w:rPr>
              <w:t xml:space="preserve"> use of </w:t>
            </w:r>
            <w:r w:rsidRPr="00BB5286">
              <w:rPr>
                <w:rFonts w:eastAsia="Calibri" w:cs="Times New Roman"/>
                <w:i/>
                <w:iCs/>
                <w:noProof/>
                <w:sz w:val="22"/>
                <w:szCs w:val="20"/>
                <w:lang w:val="en-GB"/>
              </w:rPr>
              <w:t>Art</w:t>
            </w:r>
            <w:r w:rsidR="1577A886" w:rsidRPr="00BB5286">
              <w:rPr>
                <w:rFonts w:eastAsia="Calibri" w:cs="Times New Roman"/>
                <w:i/>
                <w:iCs/>
                <w:noProof/>
                <w:sz w:val="22"/>
                <w:szCs w:val="20"/>
                <w:lang w:val="en-GB"/>
              </w:rPr>
              <w:t>icle</w:t>
            </w:r>
            <w:r w:rsidRPr="00BB5286">
              <w:rPr>
                <w:rFonts w:eastAsia="Calibri" w:cs="Times New Roman"/>
                <w:i/>
                <w:iCs/>
                <w:noProof/>
                <w:sz w:val="22"/>
                <w:szCs w:val="20"/>
                <w:lang w:val="en-GB"/>
              </w:rPr>
              <w:t xml:space="preserve"> 148</w:t>
            </w:r>
            <w:r w:rsidRPr="00BB5286">
              <w:rPr>
                <w:rFonts w:eastAsia="Calibri" w:cs="Times New Roman"/>
                <w:noProof/>
                <w:sz w:val="22"/>
                <w:szCs w:val="20"/>
                <w:lang w:val="en-GB"/>
              </w:rPr>
              <w:t xml:space="preserve"> </w:t>
            </w:r>
            <w:r w:rsidR="4377180F" w:rsidRPr="00BB5286">
              <w:rPr>
                <w:rFonts w:eastAsia="Calibri" w:cs="Times New Roman"/>
                <w:noProof/>
                <w:sz w:val="22"/>
                <w:szCs w:val="20"/>
                <w:lang w:val="en-GB"/>
              </w:rPr>
              <w:t xml:space="preserve">of the </w:t>
            </w:r>
            <w:r w:rsidRPr="00BB5286">
              <w:rPr>
                <w:rFonts w:eastAsia="Calibri" w:cs="Times New Roman"/>
                <w:noProof/>
                <w:sz w:val="22"/>
                <w:szCs w:val="20"/>
                <w:lang w:val="en-GB"/>
              </w:rPr>
              <w:t>CSP</w:t>
            </w:r>
            <w:r w:rsidR="76D289CE" w:rsidRPr="00BB5286">
              <w:rPr>
                <w:rFonts w:eastAsia="Calibri" w:cs="Times New Roman"/>
                <w:noProof/>
                <w:sz w:val="22"/>
                <w:szCs w:val="20"/>
                <w:lang w:val="en-GB"/>
              </w:rPr>
              <w:t xml:space="preserve"> </w:t>
            </w:r>
            <w:r w:rsidRPr="00BB5286">
              <w:rPr>
                <w:rFonts w:eastAsia="Calibri" w:cs="Times New Roman"/>
                <w:noProof/>
                <w:sz w:val="22"/>
                <w:szCs w:val="20"/>
                <w:lang w:val="en-GB"/>
              </w:rPr>
              <w:t>R</w:t>
            </w:r>
            <w:r w:rsidR="76D289CE" w:rsidRPr="00BB5286">
              <w:rPr>
                <w:rFonts w:eastAsia="Calibri" w:cs="Times New Roman"/>
                <w:noProof/>
                <w:sz w:val="22"/>
                <w:szCs w:val="20"/>
                <w:lang w:val="en-GB"/>
              </w:rPr>
              <w:t>egulation</w:t>
            </w:r>
            <w:r w:rsidRPr="00BB5286">
              <w:rPr>
                <w:rFonts w:eastAsia="Calibri" w:cs="Times New Roman"/>
                <w:noProof/>
                <w:sz w:val="22"/>
                <w:szCs w:val="20"/>
                <w:lang w:val="en-GB"/>
              </w:rPr>
              <w:t xml:space="preserve"> (adoption of implementing acts) to introduce derogations beyond a period of 12 months</w:t>
            </w:r>
            <w:r w:rsidR="00967CF8" w:rsidRPr="00BB5286">
              <w:rPr>
                <w:rFonts w:eastAsia="Calibri" w:cs="Times New Roman"/>
                <w:noProof/>
                <w:sz w:val="22"/>
                <w:szCs w:val="20"/>
                <w:lang w:val="en-GB"/>
              </w:rPr>
              <w:t>.</w:t>
            </w:r>
          </w:p>
        </w:tc>
        <w:tc>
          <w:tcPr>
            <w:tcW w:w="1530" w:type="dxa"/>
            <w:tcBorders>
              <w:top w:val="nil"/>
              <w:left w:val="single" w:sz="4" w:space="0" w:color="auto"/>
              <w:bottom w:val="single" w:sz="4" w:space="0" w:color="auto"/>
              <w:right w:val="single" w:sz="4" w:space="0" w:color="auto"/>
            </w:tcBorders>
            <w:vAlign w:val="center"/>
          </w:tcPr>
          <w:p w14:paraId="387C24B3"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 HR, PT</w:t>
            </w:r>
          </w:p>
        </w:tc>
        <w:tc>
          <w:tcPr>
            <w:tcW w:w="6660" w:type="dxa"/>
            <w:gridSpan w:val="2"/>
            <w:tcBorders>
              <w:top w:val="nil"/>
              <w:left w:val="single" w:sz="4" w:space="0" w:color="auto"/>
              <w:bottom w:val="single" w:sz="4" w:space="0" w:color="auto"/>
              <w:right w:val="single" w:sz="4" w:space="0" w:color="auto"/>
            </w:tcBorders>
            <w:vAlign w:val="center"/>
          </w:tcPr>
          <w:p w14:paraId="36B00B61" w14:textId="17E61947" w:rsidR="008C38EE" w:rsidRPr="00BB5286" w:rsidRDefault="008C38EE" w:rsidP="365B9462">
            <w:pPr>
              <w:spacing w:after="60" w:line="259" w:lineRule="auto"/>
              <w:jc w:val="both"/>
              <w:rPr>
                <w:rFonts w:eastAsia="Calibri" w:cs="Times New Roman"/>
                <w:noProof/>
                <w:sz w:val="22"/>
                <w:szCs w:val="20"/>
                <w:highlight w:val="yellow"/>
                <w:lang w:val="en-GB"/>
              </w:rPr>
            </w:pPr>
            <w:r w:rsidRPr="00C341F5">
              <w:rPr>
                <w:rFonts w:eastAsia="Calibri" w:cs="Times New Roman"/>
                <w:noProof/>
                <w:sz w:val="22"/>
                <w:szCs w:val="20"/>
                <w:lang w:val="en-GB"/>
              </w:rPr>
              <w:t xml:space="preserve">The suggestion was not taken up. The aim of </w:t>
            </w:r>
            <w:r w:rsidRPr="00C341F5">
              <w:rPr>
                <w:rFonts w:eastAsia="Calibri" w:cs="Times New Roman"/>
                <w:i/>
                <w:iCs/>
                <w:noProof/>
                <w:sz w:val="22"/>
                <w:szCs w:val="20"/>
                <w:lang w:val="en-GB"/>
              </w:rPr>
              <w:t xml:space="preserve">Article 148 </w:t>
            </w:r>
            <w:r w:rsidRPr="00C341F5">
              <w:rPr>
                <w:rFonts w:eastAsia="Calibri" w:cs="Times New Roman"/>
                <w:noProof/>
                <w:sz w:val="22"/>
                <w:szCs w:val="20"/>
                <w:lang w:val="en-GB"/>
              </w:rPr>
              <w:t xml:space="preserve">of </w:t>
            </w:r>
            <w:r w:rsidR="0CD62839" w:rsidRPr="00C341F5">
              <w:rPr>
                <w:rFonts w:eastAsia="Calibri" w:cs="Times New Roman"/>
                <w:noProof/>
                <w:sz w:val="22"/>
                <w:szCs w:val="20"/>
                <w:lang w:val="en-GB"/>
              </w:rPr>
              <w:t xml:space="preserve">the CSP </w:t>
            </w:r>
            <w:r w:rsidRPr="00C341F5">
              <w:rPr>
                <w:rFonts w:eastAsia="Calibri" w:cs="Times New Roman"/>
                <w:noProof/>
                <w:sz w:val="22"/>
                <w:szCs w:val="20"/>
                <w:lang w:val="en-GB"/>
              </w:rPr>
              <w:t>Regulation is to provide quick but temporary response</w:t>
            </w:r>
            <w:r w:rsidR="002954A4" w:rsidRPr="00C341F5">
              <w:rPr>
                <w:rFonts w:eastAsia="Calibri" w:cs="Times New Roman"/>
                <w:noProof/>
                <w:sz w:val="22"/>
                <w:szCs w:val="20"/>
                <w:lang w:val="en-GB"/>
              </w:rPr>
              <w:t>s</w:t>
            </w:r>
            <w:r w:rsidRPr="00C341F5">
              <w:rPr>
                <w:rFonts w:eastAsia="Calibri" w:cs="Times New Roman"/>
                <w:noProof/>
                <w:sz w:val="22"/>
                <w:szCs w:val="20"/>
                <w:lang w:val="en-GB"/>
              </w:rPr>
              <w:t xml:space="preserve"> to problems which arise during the implementation of the Regulation</w:t>
            </w:r>
            <w:r w:rsidR="009F717F" w:rsidRPr="00C341F5">
              <w:rPr>
                <w:rFonts w:eastAsia="Calibri" w:cs="Times New Roman"/>
                <w:noProof/>
                <w:sz w:val="22"/>
                <w:szCs w:val="20"/>
                <w:lang w:val="en-GB"/>
              </w:rPr>
              <w:t>.</w:t>
            </w:r>
            <w:r w:rsidRPr="00C341F5">
              <w:rPr>
                <w:rFonts w:eastAsia="Calibri" w:cs="Times New Roman"/>
                <w:noProof/>
                <w:sz w:val="22"/>
                <w:szCs w:val="20"/>
                <w:lang w:val="en-GB"/>
              </w:rPr>
              <w:t xml:space="preserve"> </w:t>
            </w:r>
            <w:r w:rsidR="00F35AA0" w:rsidRPr="00C341F5">
              <w:rPr>
                <w:rFonts w:eastAsia="Calibri" w:cs="Times New Roman"/>
                <w:noProof/>
                <w:sz w:val="22"/>
                <w:szCs w:val="20"/>
                <w:lang w:val="en-GB"/>
              </w:rPr>
              <w:t xml:space="preserve">If the problem persists </w:t>
            </w:r>
            <w:r w:rsidR="009F717F" w:rsidRPr="00C341F5">
              <w:rPr>
                <w:rFonts w:eastAsia="Calibri" w:cs="Times New Roman"/>
                <w:noProof/>
                <w:sz w:val="22"/>
                <w:szCs w:val="20"/>
                <w:lang w:val="en-GB"/>
              </w:rPr>
              <w:t xml:space="preserve">there is time for </w:t>
            </w:r>
            <w:r w:rsidRPr="00C341F5">
              <w:rPr>
                <w:rFonts w:eastAsia="Calibri" w:cs="Times New Roman"/>
                <w:noProof/>
                <w:sz w:val="22"/>
                <w:szCs w:val="20"/>
                <w:lang w:val="en-GB"/>
              </w:rPr>
              <w:t xml:space="preserve">an amendment of that Regulation </w:t>
            </w:r>
            <w:r w:rsidR="009F717F" w:rsidRPr="00C341F5">
              <w:rPr>
                <w:rFonts w:eastAsia="Calibri" w:cs="Times New Roman"/>
                <w:noProof/>
                <w:sz w:val="22"/>
                <w:szCs w:val="20"/>
                <w:lang w:val="en-GB"/>
              </w:rPr>
              <w:t xml:space="preserve">to establish </w:t>
            </w:r>
            <w:r w:rsidRPr="00C341F5">
              <w:rPr>
                <w:rFonts w:eastAsia="Calibri" w:cs="Times New Roman"/>
                <w:noProof/>
                <w:sz w:val="22"/>
                <w:szCs w:val="20"/>
                <w:lang w:val="en-GB"/>
              </w:rPr>
              <w:t xml:space="preserve">a </w:t>
            </w:r>
            <w:r w:rsidR="00967CF8" w:rsidRPr="00C341F5">
              <w:rPr>
                <w:rFonts w:eastAsia="Calibri" w:cs="Times New Roman"/>
                <w:noProof/>
                <w:sz w:val="22"/>
                <w:szCs w:val="20"/>
                <w:lang w:val="en-GB"/>
              </w:rPr>
              <w:t>longer-term</w:t>
            </w:r>
            <w:r w:rsidRPr="00C341F5">
              <w:rPr>
                <w:rFonts w:eastAsia="Calibri" w:cs="Times New Roman"/>
                <w:noProof/>
                <w:sz w:val="22"/>
                <w:szCs w:val="20"/>
                <w:lang w:val="en-GB"/>
              </w:rPr>
              <w:t xml:space="preserve"> solution</w:t>
            </w:r>
            <w:r w:rsidR="002954A4" w:rsidRPr="00C341F5">
              <w:rPr>
                <w:rFonts w:eastAsia="Calibri" w:cs="Times New Roman"/>
                <w:noProof/>
                <w:sz w:val="22"/>
                <w:szCs w:val="20"/>
                <w:lang w:val="en-GB"/>
              </w:rPr>
              <w:t>, using</w:t>
            </w:r>
            <w:r w:rsidRPr="00C341F5">
              <w:rPr>
                <w:rFonts w:eastAsia="Calibri" w:cs="Times New Roman"/>
                <w:noProof/>
                <w:sz w:val="22"/>
                <w:szCs w:val="20"/>
                <w:lang w:val="en-GB"/>
              </w:rPr>
              <w:t xml:space="preserve"> an ordinary legislative procedure. </w:t>
            </w:r>
          </w:p>
        </w:tc>
      </w:tr>
      <w:tr w:rsidR="008C38EE" w:rsidRPr="00BB5286" w14:paraId="7C5D9A2A" w14:textId="77777777" w:rsidTr="009A4429">
        <w:trPr>
          <w:gridAfter w:val="2"/>
          <w:wAfter w:w="21" w:type="dxa"/>
          <w:trHeight w:val="300"/>
        </w:trPr>
        <w:tc>
          <w:tcPr>
            <w:tcW w:w="691" w:type="dxa"/>
            <w:gridSpan w:val="2"/>
            <w:tcBorders>
              <w:top w:val="single" w:sz="4" w:space="0" w:color="auto"/>
              <w:left w:val="single" w:sz="4" w:space="0" w:color="auto"/>
              <w:bottom w:val="single" w:sz="4" w:space="0" w:color="auto"/>
              <w:right w:val="single" w:sz="4" w:space="0" w:color="auto"/>
            </w:tcBorders>
            <w:vAlign w:val="center"/>
          </w:tcPr>
          <w:p w14:paraId="22B32370" w14:textId="0F2CB544"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21</w:t>
            </w:r>
            <w:r w:rsidR="00A0403B">
              <w:rPr>
                <w:rFonts w:eastAsia="Calibri" w:cs="Times New Roman"/>
                <w:b/>
                <w:bCs/>
                <w:noProof/>
                <w:sz w:val="22"/>
                <w:lang w:val="en-GB"/>
              </w:rPr>
              <w:t>7</w:t>
            </w:r>
          </w:p>
        </w:tc>
        <w:tc>
          <w:tcPr>
            <w:tcW w:w="5874" w:type="dxa"/>
            <w:tcBorders>
              <w:top w:val="single" w:sz="4" w:space="0" w:color="auto"/>
              <w:left w:val="single" w:sz="4" w:space="0" w:color="auto"/>
              <w:bottom w:val="single" w:sz="4" w:space="0" w:color="auto"/>
              <w:right w:val="single" w:sz="4" w:space="0" w:color="auto"/>
            </w:tcBorders>
            <w:vAlign w:val="center"/>
          </w:tcPr>
          <w:p w14:paraId="4D63503C" w14:textId="19589237" w:rsidR="008C38EE" w:rsidRPr="00BB5286" w:rsidRDefault="008C38EE"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 xml:space="preserve">Create </w:t>
            </w:r>
            <w:r w:rsidR="002954A4" w:rsidRPr="00BB5286">
              <w:rPr>
                <w:rFonts w:eastAsia="Calibri" w:cs="Times New Roman"/>
                <w:b/>
                <w:bCs/>
                <w:noProof/>
                <w:sz w:val="22"/>
                <w:szCs w:val="20"/>
                <w:lang w:val="en-GB"/>
              </w:rPr>
              <w:t xml:space="preserve">a </w:t>
            </w:r>
            <w:r w:rsidRPr="00BB5286">
              <w:rPr>
                <w:rFonts w:eastAsia="Calibri" w:cs="Times New Roman"/>
                <w:b/>
                <w:bCs/>
                <w:noProof/>
                <w:sz w:val="22"/>
                <w:szCs w:val="20"/>
                <w:lang w:val="en-GB"/>
              </w:rPr>
              <w:t>national crisis payment envelope</w:t>
            </w:r>
            <w:r w:rsidR="007F58CB">
              <w:rPr>
                <w:rFonts w:eastAsia="Calibri" w:cs="Times New Roman"/>
                <w:b/>
                <w:bCs/>
                <w:noProof/>
                <w:sz w:val="22"/>
                <w:szCs w:val="20"/>
                <w:lang w:val="en-GB"/>
              </w:rPr>
              <w:t>:</w:t>
            </w:r>
            <w:r w:rsidRPr="00BB5286">
              <w:rPr>
                <w:rFonts w:eastAsia="Calibri" w:cs="Times New Roman"/>
                <w:noProof/>
                <w:sz w:val="22"/>
                <w:szCs w:val="20"/>
                <w:lang w:val="en-GB"/>
              </w:rPr>
              <w:t xml:space="preserve"> </w:t>
            </w:r>
            <w:r w:rsidR="77871A98" w:rsidRPr="00BB5286">
              <w:rPr>
                <w:rFonts w:eastAsia="Calibri" w:cs="Times New Roman"/>
                <w:noProof/>
                <w:sz w:val="22"/>
                <w:szCs w:val="20"/>
                <w:lang w:val="en-GB"/>
              </w:rPr>
              <w:t>i</w:t>
            </w:r>
            <w:r w:rsidRPr="00BB5286">
              <w:rPr>
                <w:rFonts w:eastAsia="Calibri" w:cs="Times New Roman"/>
                <w:noProof/>
                <w:sz w:val="22"/>
                <w:szCs w:val="20"/>
                <w:lang w:val="en-GB"/>
              </w:rPr>
              <w:t>ncrease C</w:t>
            </w:r>
            <w:r w:rsidR="36C2071C" w:rsidRPr="00BB5286">
              <w:rPr>
                <w:rFonts w:eastAsia="Calibri" w:cs="Times New Roman"/>
                <w:noProof/>
                <w:sz w:val="22"/>
                <w:szCs w:val="20"/>
                <w:lang w:val="en-GB"/>
              </w:rPr>
              <w:t xml:space="preserve">AP Plan </w:t>
            </w:r>
            <w:r w:rsidRPr="00BB5286">
              <w:rPr>
                <w:rFonts w:eastAsia="Calibri" w:cs="Times New Roman"/>
                <w:noProof/>
                <w:sz w:val="22"/>
                <w:szCs w:val="20"/>
                <w:lang w:val="en-GB"/>
              </w:rPr>
              <w:t>allocations for crisis payments (e.g. 2% of a Member State</w:t>
            </w:r>
            <w:r w:rsidR="002954A4" w:rsidRPr="00BB5286">
              <w:rPr>
                <w:rFonts w:eastAsia="Calibri" w:cs="Times New Roman"/>
                <w:noProof/>
                <w:sz w:val="22"/>
                <w:szCs w:val="20"/>
                <w:lang w:val="en-GB"/>
              </w:rPr>
              <w:t>’s</w:t>
            </w:r>
            <w:r w:rsidRPr="00BB5286">
              <w:rPr>
                <w:rFonts w:eastAsia="Calibri" w:cs="Times New Roman"/>
                <w:noProof/>
                <w:sz w:val="22"/>
                <w:szCs w:val="20"/>
                <w:lang w:val="en-GB"/>
              </w:rPr>
              <w:t xml:space="preserve"> C</w:t>
            </w:r>
            <w:r w:rsidR="2BB8E8A9" w:rsidRPr="00BB5286">
              <w:rPr>
                <w:rFonts w:eastAsia="Calibri" w:cs="Times New Roman"/>
                <w:noProof/>
                <w:sz w:val="22"/>
                <w:szCs w:val="20"/>
                <w:lang w:val="en-GB"/>
              </w:rPr>
              <w:t>A</w:t>
            </w:r>
            <w:r w:rsidRPr="00BB5286">
              <w:rPr>
                <w:rFonts w:eastAsia="Calibri" w:cs="Times New Roman"/>
                <w:noProof/>
                <w:sz w:val="22"/>
                <w:szCs w:val="20"/>
                <w:lang w:val="en-GB"/>
              </w:rPr>
              <w:t>P</w:t>
            </w:r>
            <w:r w:rsidR="29FEA934" w:rsidRPr="00BB5286">
              <w:rPr>
                <w:rFonts w:eastAsia="Calibri" w:cs="Times New Roman"/>
                <w:noProof/>
                <w:sz w:val="22"/>
                <w:szCs w:val="20"/>
                <w:lang w:val="en-GB"/>
              </w:rPr>
              <w:t xml:space="preserve"> Plan</w:t>
            </w:r>
            <w:r w:rsidRPr="00BB5286">
              <w:rPr>
                <w:rFonts w:eastAsia="Calibri" w:cs="Times New Roman"/>
                <w:noProof/>
                <w:sz w:val="22"/>
                <w:szCs w:val="20"/>
                <w:lang w:val="en-GB"/>
              </w:rPr>
              <w:t xml:space="preserve"> envelope for crisis measures), as </w:t>
            </w:r>
            <w:r w:rsidR="002954A4" w:rsidRPr="00BB5286">
              <w:rPr>
                <w:rFonts w:eastAsia="Calibri" w:cs="Times New Roman"/>
                <w:noProof/>
                <w:sz w:val="22"/>
                <w:szCs w:val="20"/>
                <w:lang w:val="en-GB"/>
              </w:rPr>
              <w:t xml:space="preserve">an </w:t>
            </w:r>
            <w:r w:rsidRPr="00BB5286">
              <w:rPr>
                <w:rFonts w:eastAsia="Calibri" w:cs="Times New Roman"/>
                <w:noProof/>
                <w:sz w:val="22"/>
                <w:szCs w:val="20"/>
                <w:lang w:val="en-GB"/>
              </w:rPr>
              <w:t xml:space="preserve">exceptional temporary relief measure. </w:t>
            </w:r>
          </w:p>
        </w:tc>
        <w:tc>
          <w:tcPr>
            <w:tcW w:w="1530" w:type="dxa"/>
            <w:tcBorders>
              <w:top w:val="single" w:sz="4" w:space="0" w:color="auto"/>
              <w:left w:val="single" w:sz="4" w:space="0" w:color="auto"/>
              <w:bottom w:val="single" w:sz="4" w:space="0" w:color="auto"/>
              <w:right w:val="single" w:sz="4" w:space="0" w:color="auto"/>
            </w:tcBorders>
            <w:vAlign w:val="center"/>
          </w:tcPr>
          <w:p w14:paraId="7609F1C0" w14:textId="391F7F00" w:rsidR="008C38EE" w:rsidRPr="00BB5286" w:rsidRDefault="008C38EE" w:rsidP="008C38EE">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EL, HR, HU, CY, BG</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768C386D" w14:textId="41ABA62F" w:rsidR="008C38EE" w:rsidRPr="00BB5286" w:rsidRDefault="008C38EE" w:rsidP="008C38EE">
            <w:pPr>
              <w:spacing w:after="60" w:line="259" w:lineRule="auto"/>
              <w:jc w:val="both"/>
              <w:rPr>
                <w:rFonts w:eastAsia="Calibri" w:cs="Times New Roman"/>
                <w:noProof/>
                <w:sz w:val="22"/>
                <w:lang w:val="en-GB"/>
              </w:rPr>
            </w:pPr>
            <w:r w:rsidRPr="00BB5286">
              <w:rPr>
                <w:rFonts w:eastAsia="Times New Roman" w:cs="Times New Roman"/>
                <w:noProof/>
                <w:sz w:val="22"/>
                <w:lang w:val="en-GB"/>
              </w:rPr>
              <w:t xml:space="preserve">The </w:t>
            </w:r>
            <w:r w:rsidRPr="00BB5286">
              <w:rPr>
                <w:rFonts w:eastAsia="Calibri" w:cs="Times New Roman"/>
                <w:noProof/>
                <w:sz w:val="22"/>
                <w:lang w:val="en-GB"/>
              </w:rPr>
              <w:t>suggestion</w:t>
            </w:r>
            <w:r w:rsidRPr="00BB5286">
              <w:rPr>
                <w:rFonts w:eastAsia="Times New Roman" w:cs="Times New Roman"/>
                <w:noProof/>
                <w:sz w:val="22"/>
                <w:lang w:val="en-GB"/>
              </w:rPr>
              <w:t xml:space="preserve"> was not taken up. Lessons learned from the current period will feed </w:t>
            </w:r>
            <w:r w:rsidR="002954A4" w:rsidRPr="00BB5286">
              <w:rPr>
                <w:rFonts w:eastAsia="Times New Roman" w:cs="Times New Roman"/>
                <w:noProof/>
                <w:sz w:val="22"/>
                <w:lang w:val="en-GB"/>
              </w:rPr>
              <w:t xml:space="preserve">into </w:t>
            </w:r>
            <w:r w:rsidRPr="00BB5286">
              <w:rPr>
                <w:rFonts w:eastAsia="Times New Roman" w:cs="Times New Roman"/>
                <w:noProof/>
                <w:sz w:val="22"/>
                <w:lang w:val="en-GB"/>
              </w:rPr>
              <w:t>the reflection on the post-2027 CAP.</w:t>
            </w:r>
          </w:p>
        </w:tc>
      </w:tr>
      <w:tr w:rsidR="008C38EE" w:rsidRPr="00BB5286" w14:paraId="6B5315DF" w14:textId="77777777" w:rsidTr="009A4429">
        <w:trPr>
          <w:gridAfter w:val="2"/>
          <w:wAfter w:w="21" w:type="dxa"/>
          <w:trHeight w:val="300"/>
        </w:trPr>
        <w:tc>
          <w:tcPr>
            <w:tcW w:w="691" w:type="dxa"/>
            <w:gridSpan w:val="2"/>
            <w:tcBorders>
              <w:top w:val="single" w:sz="4" w:space="0" w:color="auto"/>
              <w:left w:val="single" w:sz="4" w:space="0" w:color="auto"/>
              <w:bottom w:val="single" w:sz="4" w:space="0" w:color="auto"/>
              <w:right w:val="single" w:sz="4" w:space="0" w:color="auto"/>
            </w:tcBorders>
            <w:vAlign w:val="center"/>
          </w:tcPr>
          <w:p w14:paraId="2DF0451B" w14:textId="4F426405"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21</w:t>
            </w:r>
            <w:r w:rsidR="00A0403B">
              <w:rPr>
                <w:rFonts w:eastAsia="Calibri" w:cs="Times New Roman"/>
                <w:b/>
                <w:bCs/>
                <w:noProof/>
                <w:sz w:val="22"/>
                <w:lang w:val="en-GB"/>
              </w:rPr>
              <w:t>8</w:t>
            </w:r>
          </w:p>
        </w:tc>
        <w:tc>
          <w:tcPr>
            <w:tcW w:w="5874" w:type="dxa"/>
            <w:tcBorders>
              <w:top w:val="single" w:sz="4" w:space="0" w:color="auto"/>
              <w:left w:val="single" w:sz="4" w:space="0" w:color="auto"/>
              <w:bottom w:val="single" w:sz="4" w:space="0" w:color="auto"/>
              <w:right w:val="single" w:sz="4" w:space="0" w:color="auto"/>
            </w:tcBorders>
            <w:vAlign w:val="center"/>
          </w:tcPr>
          <w:p w14:paraId="7597DC6B" w14:textId="5BA4CFBC" w:rsidR="008C38EE" w:rsidRPr="00BB5286" w:rsidRDefault="008C38EE"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Crisis reserve:</w:t>
            </w:r>
            <w:r w:rsidRPr="00BB5286">
              <w:rPr>
                <w:rFonts w:eastAsia="Calibri" w:cs="Times New Roman"/>
                <w:noProof/>
                <w:sz w:val="22"/>
                <w:szCs w:val="20"/>
                <w:lang w:val="en-GB"/>
              </w:rPr>
              <w:t xml:space="preserve"> </w:t>
            </w:r>
            <w:r w:rsidR="2137AC77" w:rsidRPr="00BB5286">
              <w:rPr>
                <w:rFonts w:eastAsia="Calibri" w:cs="Times New Roman"/>
                <w:noProof/>
                <w:sz w:val="22"/>
                <w:szCs w:val="20"/>
                <w:lang w:val="en-GB"/>
              </w:rPr>
              <w:t>s</w:t>
            </w:r>
            <w:r w:rsidRPr="00BB5286">
              <w:rPr>
                <w:rFonts w:eastAsia="Calibri" w:cs="Times New Roman"/>
                <w:noProof/>
                <w:sz w:val="22"/>
                <w:szCs w:val="20"/>
                <w:lang w:val="en-GB"/>
              </w:rPr>
              <w:t>etting up of a reinforced crisis reserve to be financed from non-CAP resources.</w:t>
            </w:r>
          </w:p>
        </w:tc>
        <w:tc>
          <w:tcPr>
            <w:tcW w:w="1530" w:type="dxa"/>
            <w:tcBorders>
              <w:top w:val="single" w:sz="4" w:space="0" w:color="auto"/>
              <w:left w:val="single" w:sz="4" w:space="0" w:color="auto"/>
              <w:bottom w:val="single" w:sz="4" w:space="0" w:color="auto"/>
              <w:right w:val="single" w:sz="4" w:space="0" w:color="auto"/>
            </w:tcBorders>
            <w:vAlign w:val="center"/>
          </w:tcPr>
          <w:p w14:paraId="5DEFFD3D"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IT</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5AD2FD7A" w14:textId="708BB34F" w:rsidR="008C38EE" w:rsidRPr="00BB5286" w:rsidRDefault="008C38EE" w:rsidP="008C38EE">
            <w:pPr>
              <w:spacing w:after="60" w:line="259" w:lineRule="auto"/>
              <w:jc w:val="both"/>
              <w:rPr>
                <w:rFonts w:eastAsia="Calibri" w:cs="Times New Roman"/>
                <w:noProof/>
                <w:sz w:val="22"/>
                <w:lang w:val="en-GB"/>
              </w:rPr>
            </w:pPr>
            <w:r w:rsidRPr="00BB5286">
              <w:rPr>
                <w:rFonts w:eastAsia="Times New Roman" w:cs="Times New Roman"/>
                <w:noProof/>
                <w:sz w:val="22"/>
                <w:lang w:val="en-GB"/>
              </w:rPr>
              <w:t xml:space="preserve">The </w:t>
            </w:r>
            <w:r w:rsidRPr="00BB5286">
              <w:rPr>
                <w:rFonts w:eastAsia="Calibri" w:cs="Times New Roman"/>
                <w:noProof/>
                <w:sz w:val="22"/>
                <w:lang w:val="en-GB"/>
              </w:rPr>
              <w:t>suggestion</w:t>
            </w:r>
            <w:r w:rsidRPr="00BB5286" w:rsidDel="0044231C">
              <w:rPr>
                <w:rFonts w:eastAsia="Times New Roman" w:cs="Times New Roman"/>
                <w:noProof/>
                <w:sz w:val="22"/>
                <w:lang w:val="en-GB"/>
              </w:rPr>
              <w:t xml:space="preserve"> </w:t>
            </w:r>
            <w:r w:rsidRPr="00BB5286">
              <w:rPr>
                <w:rFonts w:eastAsia="Times New Roman" w:cs="Times New Roman"/>
                <w:noProof/>
                <w:sz w:val="22"/>
                <w:lang w:val="en-GB"/>
              </w:rPr>
              <w:t xml:space="preserve">was not taken up. Lessons learned from the current period will feed </w:t>
            </w:r>
            <w:r w:rsidR="002954A4" w:rsidRPr="00BB5286">
              <w:rPr>
                <w:rFonts w:eastAsia="Times New Roman" w:cs="Times New Roman"/>
                <w:noProof/>
                <w:sz w:val="22"/>
                <w:lang w:val="en-GB"/>
              </w:rPr>
              <w:t xml:space="preserve">into </w:t>
            </w:r>
            <w:r w:rsidRPr="00BB5286">
              <w:rPr>
                <w:rFonts w:eastAsia="Times New Roman" w:cs="Times New Roman"/>
                <w:noProof/>
                <w:sz w:val="22"/>
                <w:lang w:val="en-GB"/>
              </w:rPr>
              <w:t>the reflection on the post-2027 CAP.</w:t>
            </w:r>
          </w:p>
        </w:tc>
      </w:tr>
      <w:tr w:rsidR="008C38EE" w:rsidRPr="00BB5286" w14:paraId="16FF7FAE" w14:textId="77777777" w:rsidTr="009A4429">
        <w:trPr>
          <w:gridAfter w:val="2"/>
          <w:wAfter w:w="21" w:type="dxa"/>
          <w:trHeight w:val="300"/>
        </w:trPr>
        <w:tc>
          <w:tcPr>
            <w:tcW w:w="691" w:type="dxa"/>
            <w:gridSpan w:val="2"/>
            <w:tcBorders>
              <w:top w:val="single" w:sz="4" w:space="0" w:color="auto"/>
              <w:left w:val="single" w:sz="4" w:space="0" w:color="auto"/>
              <w:bottom w:val="single" w:sz="4" w:space="0" w:color="auto"/>
              <w:right w:val="single" w:sz="4" w:space="0" w:color="auto"/>
            </w:tcBorders>
            <w:vAlign w:val="center"/>
          </w:tcPr>
          <w:p w14:paraId="6D7B0312" w14:textId="38337429"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w:t>
            </w:r>
            <w:r w:rsidR="00A0403B">
              <w:rPr>
                <w:rFonts w:eastAsia="Calibri" w:cs="Times New Roman"/>
                <w:b/>
                <w:bCs/>
                <w:noProof/>
                <w:sz w:val="22"/>
                <w:lang w:val="en-GB"/>
              </w:rPr>
              <w:t>19</w:t>
            </w:r>
          </w:p>
        </w:tc>
        <w:tc>
          <w:tcPr>
            <w:tcW w:w="5874" w:type="dxa"/>
            <w:tcBorders>
              <w:top w:val="single" w:sz="4" w:space="0" w:color="auto"/>
              <w:left w:val="single" w:sz="4" w:space="0" w:color="auto"/>
              <w:bottom w:val="single" w:sz="4" w:space="0" w:color="auto"/>
              <w:right w:val="single" w:sz="4" w:space="0" w:color="auto"/>
            </w:tcBorders>
            <w:vAlign w:val="center"/>
          </w:tcPr>
          <w:p w14:paraId="2331BB82" w14:textId="77777777" w:rsidR="008C38EE" w:rsidRPr="00BB5286" w:rsidRDefault="008C38EE" w:rsidP="008C38EE">
            <w:pPr>
              <w:spacing w:after="60" w:line="259" w:lineRule="auto"/>
              <w:jc w:val="both"/>
              <w:rPr>
                <w:rFonts w:eastAsia="Calibri" w:cs="Times New Roman"/>
                <w:noProof/>
                <w:sz w:val="22"/>
                <w:lang w:val="en-GB"/>
              </w:rPr>
            </w:pPr>
            <w:r w:rsidRPr="00BB5286">
              <w:rPr>
                <w:rFonts w:eastAsia="Calibri" w:cs="Times New Roman"/>
                <w:b/>
                <w:bCs/>
                <w:noProof/>
                <w:sz w:val="22"/>
                <w:lang w:val="en-GB"/>
              </w:rPr>
              <w:t>Activate dynamic crisis management measures</w:t>
            </w:r>
            <w:r w:rsidRPr="00BB5286">
              <w:rPr>
                <w:rFonts w:eastAsia="Calibri" w:cs="Times New Roman"/>
                <w:noProof/>
                <w:sz w:val="22"/>
                <w:lang w:val="en-GB"/>
              </w:rPr>
              <w:t xml:space="preserve"> (storage and other measures).  </w:t>
            </w:r>
          </w:p>
        </w:tc>
        <w:tc>
          <w:tcPr>
            <w:tcW w:w="1530" w:type="dxa"/>
            <w:tcBorders>
              <w:top w:val="single" w:sz="4" w:space="0" w:color="auto"/>
              <w:left w:val="single" w:sz="4" w:space="0" w:color="auto"/>
              <w:bottom w:val="single" w:sz="4" w:space="0" w:color="auto"/>
              <w:right w:val="single" w:sz="4" w:space="0" w:color="auto"/>
            </w:tcBorders>
            <w:vAlign w:val="center"/>
          </w:tcPr>
          <w:p w14:paraId="45F32858"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1C5F81B3" w14:textId="5CC2559B" w:rsidR="008C38EE" w:rsidRPr="00BB5286" w:rsidRDefault="008C38EE" w:rsidP="008C38EE">
            <w:pPr>
              <w:spacing w:after="60" w:line="259" w:lineRule="auto"/>
              <w:jc w:val="both"/>
              <w:rPr>
                <w:rFonts w:eastAsia="Calibri" w:cs="Times New Roman"/>
                <w:noProof/>
                <w:sz w:val="22"/>
                <w:lang w:val="en-GB"/>
              </w:rPr>
            </w:pPr>
            <w:r w:rsidRPr="00BB5286">
              <w:rPr>
                <w:rFonts w:eastAsia="Calibri" w:cs="Times New Roman"/>
                <w:noProof/>
                <w:sz w:val="22"/>
                <w:lang w:val="en-GB"/>
              </w:rPr>
              <w:t>Market safety</w:t>
            </w:r>
            <w:r w:rsidR="002954A4" w:rsidRPr="00BB5286">
              <w:rPr>
                <w:rFonts w:eastAsia="Calibri" w:cs="Times New Roman"/>
                <w:noProof/>
                <w:sz w:val="22"/>
                <w:lang w:val="en-GB"/>
              </w:rPr>
              <w:t>-</w:t>
            </w:r>
            <w:r w:rsidRPr="00BB5286">
              <w:rPr>
                <w:rFonts w:eastAsia="Calibri" w:cs="Times New Roman"/>
                <w:noProof/>
                <w:sz w:val="22"/>
                <w:lang w:val="en-GB"/>
              </w:rPr>
              <w:t xml:space="preserve">net measures are activated when required by the market situation. The Commission continuously monitors the situation on EU agricultural markets. </w:t>
            </w:r>
          </w:p>
        </w:tc>
      </w:tr>
      <w:tr w:rsidR="008C38EE" w:rsidRPr="00BB5286" w14:paraId="6DBE1440" w14:textId="77777777" w:rsidTr="009A4429">
        <w:trPr>
          <w:gridAfter w:val="2"/>
          <w:wAfter w:w="21" w:type="dxa"/>
          <w:trHeight w:val="300"/>
        </w:trPr>
        <w:tc>
          <w:tcPr>
            <w:tcW w:w="691" w:type="dxa"/>
            <w:gridSpan w:val="2"/>
            <w:tcBorders>
              <w:top w:val="single" w:sz="4" w:space="0" w:color="auto"/>
              <w:left w:val="single" w:sz="4" w:space="0" w:color="auto"/>
              <w:bottom w:val="single" w:sz="4" w:space="0" w:color="auto"/>
              <w:right w:val="single" w:sz="4" w:space="0" w:color="auto"/>
            </w:tcBorders>
            <w:vAlign w:val="center"/>
          </w:tcPr>
          <w:p w14:paraId="62D1ECE8" w14:textId="73B9107F"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w:t>
            </w:r>
            <w:r w:rsidR="00A0403B">
              <w:rPr>
                <w:rFonts w:eastAsia="Calibri" w:cs="Times New Roman"/>
                <w:b/>
                <w:bCs/>
                <w:noProof/>
                <w:sz w:val="22"/>
                <w:lang w:val="en-GB"/>
              </w:rPr>
              <w:t>20</w:t>
            </w:r>
          </w:p>
        </w:tc>
        <w:tc>
          <w:tcPr>
            <w:tcW w:w="5874" w:type="dxa"/>
            <w:tcBorders>
              <w:top w:val="single" w:sz="4" w:space="0" w:color="auto"/>
              <w:left w:val="single" w:sz="4" w:space="0" w:color="auto"/>
              <w:bottom w:val="single" w:sz="4" w:space="0" w:color="auto"/>
              <w:right w:val="single" w:sz="4" w:space="0" w:color="auto"/>
            </w:tcBorders>
            <w:vAlign w:val="center"/>
          </w:tcPr>
          <w:p w14:paraId="2A7A710D" w14:textId="03BBBE57" w:rsidR="008C38EE" w:rsidRPr="00BB5286" w:rsidRDefault="008C38EE"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Risk management:</w:t>
            </w:r>
            <w:r w:rsidRPr="00BB5286">
              <w:rPr>
                <w:rFonts w:eastAsia="Calibri" w:cs="Times New Roman"/>
                <w:noProof/>
                <w:sz w:val="22"/>
                <w:szCs w:val="20"/>
                <w:lang w:val="en-GB"/>
              </w:rPr>
              <w:t xml:space="preserve"> </w:t>
            </w:r>
            <w:r w:rsidR="3EE403DA" w:rsidRPr="00BB5286">
              <w:rPr>
                <w:rFonts w:eastAsia="Calibri" w:cs="Times New Roman"/>
                <w:noProof/>
                <w:sz w:val="22"/>
                <w:szCs w:val="20"/>
                <w:lang w:val="en-GB"/>
              </w:rPr>
              <w:t>m</w:t>
            </w:r>
            <w:r w:rsidRPr="00BB5286">
              <w:rPr>
                <w:rFonts w:eastAsia="Calibri" w:cs="Times New Roman"/>
                <w:noProof/>
                <w:sz w:val="22"/>
                <w:szCs w:val="20"/>
                <w:lang w:val="en-GB"/>
              </w:rPr>
              <w:t xml:space="preserve">ore flexible rules for </w:t>
            </w:r>
            <w:r w:rsidR="002954A4" w:rsidRPr="00BB5286">
              <w:rPr>
                <w:rFonts w:eastAsia="Calibri" w:cs="Times New Roman"/>
                <w:noProof/>
                <w:sz w:val="22"/>
                <w:szCs w:val="20"/>
                <w:lang w:val="en-GB"/>
              </w:rPr>
              <w:t>using</w:t>
            </w:r>
            <w:r w:rsidRPr="00BB5286">
              <w:rPr>
                <w:rFonts w:eastAsia="Calibri" w:cs="Times New Roman"/>
                <w:noProof/>
                <w:sz w:val="22"/>
                <w:szCs w:val="20"/>
                <w:lang w:val="en-GB"/>
              </w:rPr>
              <w:t xml:space="preserve"> DP for risk management (Art</w:t>
            </w:r>
            <w:r w:rsidR="66300071" w:rsidRPr="00BB5286">
              <w:rPr>
                <w:rFonts w:eastAsia="Calibri" w:cs="Times New Roman"/>
                <w:noProof/>
                <w:sz w:val="22"/>
                <w:szCs w:val="20"/>
                <w:lang w:val="en-GB"/>
              </w:rPr>
              <w:t>icle</w:t>
            </w:r>
            <w:r w:rsidRPr="00BB5286">
              <w:rPr>
                <w:rFonts w:eastAsia="Calibri" w:cs="Times New Roman"/>
                <w:noProof/>
                <w:sz w:val="22"/>
                <w:szCs w:val="20"/>
                <w:lang w:val="en-GB"/>
              </w:rPr>
              <w:t xml:space="preserve"> 19 </w:t>
            </w:r>
            <w:r w:rsidR="04F4508D" w:rsidRPr="00BB5286">
              <w:rPr>
                <w:rFonts w:eastAsia="Calibri" w:cs="Times New Roman"/>
                <w:noProof/>
                <w:sz w:val="22"/>
                <w:szCs w:val="20"/>
                <w:lang w:val="en-GB"/>
              </w:rPr>
              <w:t xml:space="preserve">of the </w:t>
            </w:r>
            <w:r w:rsidRPr="00BB5286">
              <w:rPr>
                <w:rFonts w:eastAsia="Calibri" w:cs="Times New Roman"/>
                <w:noProof/>
                <w:sz w:val="22"/>
                <w:szCs w:val="20"/>
                <w:lang w:val="en-GB"/>
              </w:rPr>
              <w:t>C</w:t>
            </w:r>
            <w:r w:rsidR="20BA68C9" w:rsidRPr="00BB5286">
              <w:rPr>
                <w:rFonts w:eastAsia="Calibri" w:cs="Times New Roman"/>
                <w:noProof/>
                <w:sz w:val="22"/>
                <w:szCs w:val="20"/>
                <w:lang w:val="en-GB"/>
              </w:rPr>
              <w:t>A</w:t>
            </w:r>
            <w:r w:rsidRPr="00BB5286">
              <w:rPr>
                <w:rFonts w:eastAsia="Calibri" w:cs="Times New Roman"/>
                <w:noProof/>
                <w:sz w:val="22"/>
                <w:szCs w:val="20"/>
                <w:lang w:val="en-GB"/>
              </w:rPr>
              <w:t>P</w:t>
            </w:r>
            <w:r w:rsidR="20BA68C9" w:rsidRPr="00BB5286">
              <w:rPr>
                <w:rFonts w:eastAsia="Calibri" w:cs="Times New Roman"/>
                <w:noProof/>
                <w:sz w:val="22"/>
                <w:szCs w:val="20"/>
                <w:lang w:val="en-GB"/>
              </w:rPr>
              <w:t xml:space="preserve"> </w:t>
            </w:r>
            <w:r w:rsidRPr="00BB5286">
              <w:rPr>
                <w:rFonts w:eastAsia="Calibri" w:cs="Times New Roman"/>
                <w:noProof/>
                <w:sz w:val="22"/>
                <w:szCs w:val="20"/>
                <w:lang w:val="en-GB"/>
              </w:rPr>
              <w:t>R</w:t>
            </w:r>
            <w:r w:rsidR="21F4309C" w:rsidRPr="00BB5286">
              <w:rPr>
                <w:rFonts w:eastAsia="Calibri" w:cs="Times New Roman"/>
                <w:noProof/>
                <w:sz w:val="22"/>
                <w:szCs w:val="20"/>
                <w:lang w:val="en-GB"/>
              </w:rPr>
              <w:t>egulation</w:t>
            </w:r>
            <w:r w:rsidRPr="00BB5286">
              <w:rPr>
                <w:rFonts w:eastAsia="Calibri" w:cs="Times New Roman"/>
                <w:noProof/>
                <w:sz w:val="22"/>
                <w:szCs w:val="20"/>
                <w:lang w:val="en-GB"/>
              </w:rPr>
              <w:t>)</w:t>
            </w:r>
            <w:r w:rsidR="00967CF8" w:rsidRPr="00BB5286">
              <w:rPr>
                <w:rFonts w:eastAsia="Calibri" w:cs="Times New Roman"/>
                <w:noProof/>
                <w:sz w:val="22"/>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364FC15C"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HU</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2CB9C4C2" w14:textId="6F1C36A2" w:rsidR="008C38EE" w:rsidRPr="00BB5286" w:rsidRDefault="008C38EE" w:rsidP="008C38EE">
            <w:pPr>
              <w:spacing w:after="60" w:line="259" w:lineRule="auto"/>
              <w:jc w:val="both"/>
              <w:rPr>
                <w:rFonts w:eastAsia="Calibri" w:cs="Times New Roman"/>
                <w:noProof/>
                <w:sz w:val="22"/>
                <w:lang w:val="en-GB"/>
              </w:rPr>
            </w:pPr>
            <w:r w:rsidRPr="00BB5286">
              <w:rPr>
                <w:rFonts w:eastAsia="Times New Roman" w:cs="Times New Roman"/>
                <w:noProof/>
                <w:sz w:val="22"/>
                <w:lang w:val="en-GB"/>
              </w:rPr>
              <w:t xml:space="preserve">Lessons learned from the current period will feed </w:t>
            </w:r>
            <w:r w:rsidR="002954A4" w:rsidRPr="00BB5286">
              <w:rPr>
                <w:rFonts w:eastAsia="Times New Roman" w:cs="Times New Roman"/>
                <w:noProof/>
                <w:sz w:val="22"/>
                <w:lang w:val="en-GB"/>
              </w:rPr>
              <w:t xml:space="preserve">into </w:t>
            </w:r>
            <w:r w:rsidRPr="00BB5286">
              <w:rPr>
                <w:rFonts w:eastAsia="Times New Roman" w:cs="Times New Roman"/>
                <w:noProof/>
                <w:sz w:val="22"/>
                <w:lang w:val="en-GB"/>
              </w:rPr>
              <w:t>the reflection on the post-2027 CAP.</w:t>
            </w:r>
          </w:p>
        </w:tc>
      </w:tr>
      <w:tr w:rsidR="008C38EE" w:rsidRPr="00BB5286" w14:paraId="19259843" w14:textId="77777777" w:rsidTr="009A4429">
        <w:trPr>
          <w:gridAfter w:val="2"/>
          <w:wAfter w:w="21" w:type="dxa"/>
          <w:trHeight w:val="300"/>
        </w:trPr>
        <w:tc>
          <w:tcPr>
            <w:tcW w:w="691" w:type="dxa"/>
            <w:gridSpan w:val="2"/>
            <w:tcBorders>
              <w:top w:val="single" w:sz="4" w:space="0" w:color="auto"/>
              <w:left w:val="single" w:sz="4" w:space="0" w:color="auto"/>
              <w:bottom w:val="single" w:sz="4" w:space="0" w:color="auto"/>
              <w:right w:val="single" w:sz="4" w:space="0" w:color="auto"/>
            </w:tcBorders>
            <w:vAlign w:val="center"/>
          </w:tcPr>
          <w:p w14:paraId="301BC9EC" w14:textId="45A7E13A"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w:t>
            </w:r>
            <w:r w:rsidR="00A0403B">
              <w:rPr>
                <w:rFonts w:eastAsia="Calibri" w:cs="Times New Roman"/>
                <w:b/>
                <w:bCs/>
                <w:noProof/>
                <w:sz w:val="22"/>
                <w:lang w:val="en-GB"/>
              </w:rPr>
              <w:t>21</w:t>
            </w:r>
          </w:p>
        </w:tc>
        <w:tc>
          <w:tcPr>
            <w:tcW w:w="5874" w:type="dxa"/>
            <w:tcBorders>
              <w:top w:val="single" w:sz="4" w:space="0" w:color="auto"/>
              <w:left w:val="single" w:sz="4" w:space="0" w:color="auto"/>
              <w:bottom w:val="single" w:sz="4" w:space="0" w:color="auto"/>
              <w:right w:val="single" w:sz="4" w:space="0" w:color="auto"/>
            </w:tcBorders>
            <w:vAlign w:val="center"/>
          </w:tcPr>
          <w:p w14:paraId="351E2127" w14:textId="44CC1513" w:rsidR="008C38EE" w:rsidRPr="00BB5286" w:rsidRDefault="008C38EE"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Risk management:</w:t>
            </w:r>
            <w:r w:rsidRPr="00BB5286">
              <w:rPr>
                <w:rFonts w:eastAsia="Calibri" w:cs="Times New Roman"/>
                <w:noProof/>
                <w:sz w:val="22"/>
                <w:szCs w:val="20"/>
                <w:lang w:val="en-GB"/>
              </w:rPr>
              <w:t xml:space="preserve"> </w:t>
            </w:r>
            <w:r w:rsidR="1679CB4C" w:rsidRPr="00BB5286">
              <w:rPr>
                <w:rFonts w:eastAsia="Calibri" w:cs="Times New Roman"/>
                <w:noProof/>
                <w:sz w:val="22"/>
                <w:szCs w:val="20"/>
                <w:lang w:val="en-GB"/>
              </w:rPr>
              <w:t>a</w:t>
            </w:r>
            <w:r w:rsidRPr="00BB5286">
              <w:rPr>
                <w:rFonts w:eastAsia="Calibri" w:cs="Times New Roman"/>
                <w:noProof/>
                <w:sz w:val="22"/>
                <w:szCs w:val="20"/>
                <w:lang w:val="en-GB"/>
              </w:rPr>
              <w:t xml:space="preserve">llow alternative calculation of losses under </w:t>
            </w:r>
            <w:r w:rsidR="002954A4" w:rsidRPr="00BB5286">
              <w:rPr>
                <w:rFonts w:eastAsia="Calibri" w:cs="Times New Roman"/>
                <w:noProof/>
                <w:sz w:val="22"/>
                <w:szCs w:val="20"/>
                <w:lang w:val="en-GB"/>
              </w:rPr>
              <w:t xml:space="preserve">a </w:t>
            </w:r>
            <w:r w:rsidRPr="00BB5286">
              <w:rPr>
                <w:rFonts w:eastAsia="Calibri" w:cs="Times New Roman"/>
                <w:noProof/>
                <w:sz w:val="22"/>
                <w:szCs w:val="20"/>
                <w:lang w:val="en-GB"/>
              </w:rPr>
              <w:t xml:space="preserve">risk management scheme (flexibility </w:t>
            </w:r>
            <w:r w:rsidR="002954A4" w:rsidRPr="00BB5286">
              <w:rPr>
                <w:rFonts w:eastAsia="Calibri" w:cs="Times New Roman"/>
                <w:noProof/>
                <w:sz w:val="22"/>
                <w:szCs w:val="20"/>
                <w:lang w:val="en-GB"/>
              </w:rPr>
              <w:t>in calculating</w:t>
            </w:r>
            <w:r w:rsidRPr="00BB5286">
              <w:rPr>
                <w:rFonts w:eastAsia="Calibri" w:cs="Times New Roman"/>
                <w:noProof/>
                <w:sz w:val="22"/>
                <w:szCs w:val="20"/>
                <w:lang w:val="en-GB"/>
              </w:rPr>
              <w:t xml:space="preserve"> income loss, </w:t>
            </w:r>
            <w:r w:rsidR="002954A4" w:rsidRPr="00BB5286">
              <w:rPr>
                <w:rFonts w:eastAsia="Calibri" w:cs="Times New Roman"/>
                <w:noProof/>
                <w:sz w:val="22"/>
                <w:szCs w:val="20"/>
                <w:lang w:val="en-GB"/>
              </w:rPr>
              <w:t xml:space="preserve">with the </w:t>
            </w:r>
            <w:r w:rsidRPr="00BB5286">
              <w:rPr>
                <w:rFonts w:eastAsia="Calibri" w:cs="Times New Roman"/>
                <w:noProof/>
                <w:sz w:val="22"/>
                <w:szCs w:val="20"/>
                <w:lang w:val="en-GB"/>
              </w:rPr>
              <w:t xml:space="preserve">calculation based on turnover instead of yield </w:t>
            </w:r>
            <w:r w:rsidR="007F58CB" w:rsidRPr="00BB5286">
              <w:rPr>
                <w:rFonts w:eastAsia="Calibri" w:cs="Times New Roman"/>
                <w:noProof/>
                <w:sz w:val="22"/>
                <w:szCs w:val="20"/>
                <w:lang w:val="en-GB"/>
              </w:rPr>
              <w:t>loss or</w:t>
            </w:r>
            <w:r w:rsidRPr="00BB5286">
              <w:rPr>
                <w:rFonts w:eastAsia="Calibri" w:cs="Times New Roman"/>
                <w:noProof/>
                <w:sz w:val="22"/>
                <w:szCs w:val="20"/>
                <w:lang w:val="en-GB"/>
              </w:rPr>
              <w:t xml:space="preserve"> based on 4- or 8- year Olympic average</w:t>
            </w:r>
            <w:r w:rsidR="002954A4" w:rsidRPr="00BB5286">
              <w:rPr>
                <w:rFonts w:eastAsia="Calibri" w:cs="Times New Roman"/>
                <w:noProof/>
                <w:sz w:val="22"/>
                <w:szCs w:val="20"/>
                <w:lang w:val="en-GB"/>
              </w:rPr>
              <w:t>s</w:t>
            </w:r>
            <w:r w:rsidRPr="00BB5286">
              <w:rPr>
                <w:rFonts w:eastAsia="Calibri" w:cs="Times New Roman"/>
                <w:noProof/>
                <w:sz w:val="22"/>
                <w:szCs w:val="20"/>
                <w:lang w:val="en-GB"/>
              </w:rPr>
              <w:t>)</w:t>
            </w:r>
            <w:r w:rsidR="00967CF8" w:rsidRPr="00BB5286">
              <w:rPr>
                <w:rFonts w:eastAsia="Calibri" w:cs="Times New Roman"/>
                <w:noProof/>
                <w:sz w:val="22"/>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5FEA9468"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 PL</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454C3F4F" w14:textId="465469DF" w:rsidR="008C38EE" w:rsidRPr="00BB5286" w:rsidRDefault="008C38EE" w:rsidP="008C38EE">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current </w:t>
            </w:r>
            <w:r w:rsidR="00AF7B1A" w:rsidRPr="00BB5286">
              <w:rPr>
                <w:rFonts w:eastAsia="Calibri" w:cs="Times New Roman"/>
                <w:noProof/>
                <w:sz w:val="22"/>
                <w:lang w:val="en-GB"/>
              </w:rPr>
              <w:t xml:space="preserve">EU </w:t>
            </w:r>
            <w:r w:rsidRPr="00BB5286">
              <w:rPr>
                <w:rFonts w:eastAsia="Calibri" w:cs="Times New Roman"/>
                <w:noProof/>
                <w:sz w:val="22"/>
                <w:lang w:val="en-GB"/>
              </w:rPr>
              <w:t xml:space="preserve">legal framework already grants a lot of flexibility for Member States to calculate losses. For instance, a calculation based on loss of farm income instead of loss in production yield is already possible. For other rules such as the 3-year or Olympic average, the lessons learnt </w:t>
            </w:r>
            <w:r w:rsidR="002954A4" w:rsidRPr="00BB5286">
              <w:rPr>
                <w:rFonts w:eastAsia="Calibri" w:cs="Times New Roman"/>
                <w:noProof/>
                <w:sz w:val="22"/>
                <w:lang w:val="en-GB"/>
              </w:rPr>
              <w:lastRenderedPageBreak/>
              <w:t xml:space="preserve">from </w:t>
            </w:r>
            <w:r w:rsidRPr="00BB5286">
              <w:rPr>
                <w:rFonts w:eastAsia="Calibri" w:cs="Times New Roman"/>
                <w:noProof/>
                <w:sz w:val="22"/>
                <w:lang w:val="en-GB"/>
              </w:rPr>
              <w:t xml:space="preserve">CAP implementation in the current period will feed </w:t>
            </w:r>
            <w:r w:rsidR="002954A4" w:rsidRPr="00BB5286">
              <w:rPr>
                <w:rFonts w:eastAsia="Calibri" w:cs="Times New Roman"/>
                <w:noProof/>
                <w:sz w:val="22"/>
                <w:lang w:val="en-GB"/>
              </w:rPr>
              <w:t xml:space="preserve">into </w:t>
            </w:r>
            <w:r w:rsidRPr="00BB5286">
              <w:rPr>
                <w:rFonts w:eastAsia="Calibri" w:cs="Times New Roman"/>
                <w:noProof/>
                <w:sz w:val="22"/>
                <w:lang w:val="en-GB"/>
              </w:rPr>
              <w:t>the reflection on the post</w:t>
            </w:r>
            <w:r w:rsidR="002954A4" w:rsidRPr="00BB5286">
              <w:rPr>
                <w:rFonts w:eastAsia="Calibri" w:cs="Times New Roman"/>
                <w:noProof/>
                <w:sz w:val="22"/>
                <w:lang w:val="en-GB"/>
              </w:rPr>
              <w:t>-</w:t>
            </w:r>
            <w:r w:rsidRPr="00BB5286">
              <w:rPr>
                <w:rFonts w:eastAsia="Calibri" w:cs="Times New Roman"/>
                <w:noProof/>
                <w:sz w:val="22"/>
                <w:lang w:val="en-GB"/>
              </w:rPr>
              <w:t>2027 CAP.</w:t>
            </w:r>
          </w:p>
        </w:tc>
      </w:tr>
      <w:tr w:rsidR="008C38EE" w:rsidRPr="00BB5286" w14:paraId="60755ADE" w14:textId="77777777" w:rsidTr="009A4429">
        <w:trPr>
          <w:gridAfter w:val="2"/>
          <w:wAfter w:w="21" w:type="dxa"/>
          <w:trHeight w:val="300"/>
        </w:trPr>
        <w:tc>
          <w:tcPr>
            <w:tcW w:w="691" w:type="dxa"/>
            <w:gridSpan w:val="2"/>
            <w:tcBorders>
              <w:top w:val="single" w:sz="4" w:space="0" w:color="auto"/>
              <w:left w:val="single" w:sz="4" w:space="0" w:color="auto"/>
              <w:bottom w:val="single" w:sz="4" w:space="0" w:color="auto"/>
              <w:right w:val="single" w:sz="4" w:space="0" w:color="auto"/>
            </w:tcBorders>
            <w:vAlign w:val="center"/>
          </w:tcPr>
          <w:p w14:paraId="524EFEA8" w14:textId="26F83579"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lastRenderedPageBreak/>
              <w:t>22</w:t>
            </w:r>
            <w:r w:rsidR="00A0403B">
              <w:rPr>
                <w:rFonts w:eastAsia="Calibri" w:cs="Times New Roman"/>
                <w:b/>
                <w:bCs/>
                <w:noProof/>
                <w:sz w:val="22"/>
                <w:lang w:val="en-GB"/>
              </w:rPr>
              <w:t>2</w:t>
            </w:r>
          </w:p>
        </w:tc>
        <w:tc>
          <w:tcPr>
            <w:tcW w:w="5874" w:type="dxa"/>
            <w:tcBorders>
              <w:top w:val="single" w:sz="4" w:space="0" w:color="auto"/>
              <w:left w:val="single" w:sz="4" w:space="0" w:color="auto"/>
              <w:bottom w:val="single" w:sz="4" w:space="0" w:color="auto"/>
              <w:right w:val="single" w:sz="4" w:space="0" w:color="auto"/>
            </w:tcBorders>
            <w:vAlign w:val="center"/>
          </w:tcPr>
          <w:p w14:paraId="3B8C5556" w14:textId="2F6E7A7C" w:rsidR="008C38EE" w:rsidRPr="00BB5286" w:rsidRDefault="008C38EE" w:rsidP="008C38EE">
            <w:pPr>
              <w:spacing w:after="60" w:line="259" w:lineRule="auto"/>
              <w:jc w:val="both"/>
              <w:rPr>
                <w:rFonts w:eastAsia="Calibri" w:cs="Times New Roman"/>
                <w:noProof/>
                <w:sz w:val="22"/>
                <w:lang w:val="en-GB"/>
              </w:rPr>
            </w:pPr>
            <w:r w:rsidRPr="00BB5286">
              <w:rPr>
                <w:rFonts w:eastAsia="Calibri" w:cs="Times New Roman"/>
                <w:b/>
                <w:bCs/>
                <w:noProof/>
                <w:sz w:val="22"/>
                <w:lang w:val="en-GB"/>
              </w:rPr>
              <w:t>Risk management guidance:</w:t>
            </w:r>
            <w:r w:rsidRPr="00BB5286">
              <w:rPr>
                <w:rFonts w:eastAsia="Calibri" w:cs="Times New Roman"/>
                <w:noProof/>
                <w:sz w:val="22"/>
                <w:lang w:val="en-GB"/>
              </w:rPr>
              <w:t xml:space="preserve"> Commission guidance for </w:t>
            </w:r>
            <w:r w:rsidR="001675D8" w:rsidRPr="00BB5286">
              <w:rPr>
                <w:rFonts w:eastAsia="Calibri" w:cs="Times New Roman"/>
                <w:noProof/>
                <w:sz w:val="22"/>
                <w:lang w:val="en-GB"/>
              </w:rPr>
              <w:t xml:space="preserve">the </w:t>
            </w:r>
            <w:r w:rsidRPr="00BB5286">
              <w:rPr>
                <w:rFonts w:eastAsia="Calibri" w:cs="Times New Roman"/>
                <w:noProof/>
                <w:sz w:val="22"/>
                <w:lang w:val="en-GB"/>
              </w:rPr>
              <w:t xml:space="preserve">implementation of risk management tools in </w:t>
            </w:r>
            <w:r w:rsidR="002954A4" w:rsidRPr="00BB5286">
              <w:rPr>
                <w:rFonts w:eastAsia="Calibri" w:cs="Times New Roman"/>
                <w:noProof/>
                <w:sz w:val="22"/>
                <w:lang w:val="en-GB"/>
              </w:rPr>
              <w:t xml:space="preserve">the </w:t>
            </w:r>
            <w:r w:rsidRPr="00BB5286">
              <w:rPr>
                <w:rFonts w:eastAsia="Calibri" w:cs="Times New Roman"/>
                <w:noProof/>
                <w:sz w:val="22"/>
                <w:lang w:val="en-GB"/>
              </w:rPr>
              <w:t xml:space="preserve">form of </w:t>
            </w:r>
            <w:r w:rsidR="002954A4" w:rsidRPr="00BB5286">
              <w:rPr>
                <w:rFonts w:eastAsia="Calibri" w:cs="Times New Roman"/>
                <w:noProof/>
                <w:sz w:val="22"/>
                <w:lang w:val="en-GB"/>
              </w:rPr>
              <w:t xml:space="preserve">a </w:t>
            </w:r>
            <w:r w:rsidRPr="00BB5286">
              <w:rPr>
                <w:rFonts w:eastAsia="Calibri" w:cs="Times New Roman"/>
                <w:noProof/>
                <w:sz w:val="22"/>
                <w:lang w:val="en-GB"/>
              </w:rPr>
              <w:t>measure sheet</w:t>
            </w:r>
            <w:r w:rsidR="001675D8" w:rsidRPr="00BB5286">
              <w:rPr>
                <w:rFonts w:eastAsia="Calibri" w:cs="Times New Roman"/>
                <w:noProof/>
                <w:sz w:val="22"/>
                <w:lang w:val="en-GB"/>
              </w:rPr>
              <w:t>,</w:t>
            </w:r>
            <w:r w:rsidRPr="00BB5286">
              <w:rPr>
                <w:rFonts w:eastAsia="Calibri" w:cs="Times New Roman"/>
                <w:noProof/>
                <w:sz w:val="22"/>
                <w:lang w:val="en-GB"/>
              </w:rPr>
              <w:t xml:space="preserve"> as was </w:t>
            </w:r>
            <w:r w:rsidRPr="00BB5286">
              <w:rPr>
                <w:rFonts w:eastAsia="Arial" w:cs="Times New Roman"/>
                <w:noProof/>
                <w:sz w:val="22"/>
                <w:lang w:val="en-GB"/>
              </w:rPr>
              <w:t xml:space="preserve">done </w:t>
            </w:r>
            <w:r w:rsidRPr="00BB5286">
              <w:rPr>
                <w:rFonts w:eastAsia="Calibri" w:cs="Times New Roman"/>
                <w:noProof/>
                <w:sz w:val="22"/>
                <w:lang w:val="en-GB"/>
              </w:rPr>
              <w:t>for the previous programming period.</w:t>
            </w:r>
          </w:p>
        </w:tc>
        <w:tc>
          <w:tcPr>
            <w:tcW w:w="1530" w:type="dxa"/>
            <w:tcBorders>
              <w:top w:val="single" w:sz="4" w:space="0" w:color="auto"/>
              <w:left w:val="single" w:sz="4" w:space="0" w:color="auto"/>
              <w:bottom w:val="single" w:sz="4" w:space="0" w:color="auto"/>
              <w:right w:val="single" w:sz="4" w:space="0" w:color="auto"/>
            </w:tcBorders>
            <w:vAlign w:val="center"/>
          </w:tcPr>
          <w:p w14:paraId="11B2AA13"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0E33489D" w14:textId="58E329DF" w:rsidR="008C38EE" w:rsidRPr="00BB5286" w:rsidRDefault="008C38EE" w:rsidP="008C38EE">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Guidance </w:t>
            </w:r>
            <w:r w:rsidR="001675D8" w:rsidRPr="00BB5286">
              <w:rPr>
                <w:rFonts w:eastAsia="Calibri" w:cs="Times New Roman"/>
                <w:noProof/>
                <w:sz w:val="22"/>
                <w:lang w:val="en-GB"/>
              </w:rPr>
              <w:t xml:space="preserve">has </w:t>
            </w:r>
            <w:r w:rsidRPr="00BB5286">
              <w:rPr>
                <w:rFonts w:eastAsia="Calibri" w:cs="Times New Roman"/>
                <w:noProof/>
                <w:sz w:val="22"/>
                <w:lang w:val="en-GB"/>
              </w:rPr>
              <w:t xml:space="preserve">already </w:t>
            </w:r>
            <w:r w:rsidR="001675D8" w:rsidRPr="00BB5286">
              <w:rPr>
                <w:rFonts w:eastAsia="Calibri" w:cs="Times New Roman"/>
                <w:noProof/>
                <w:sz w:val="22"/>
                <w:lang w:val="en-GB"/>
              </w:rPr>
              <w:t xml:space="preserve">been </w:t>
            </w:r>
            <w:r w:rsidRPr="00BB5286">
              <w:rPr>
                <w:rFonts w:eastAsia="Calibri" w:cs="Times New Roman"/>
                <w:noProof/>
                <w:sz w:val="22"/>
                <w:lang w:val="en-GB"/>
              </w:rPr>
              <w:t xml:space="preserve">provided to Member States on </w:t>
            </w:r>
            <w:r w:rsidR="001675D8" w:rsidRPr="00BB5286">
              <w:rPr>
                <w:rFonts w:eastAsia="Calibri" w:cs="Times New Roman"/>
                <w:noProof/>
                <w:sz w:val="22"/>
                <w:lang w:val="en-GB"/>
              </w:rPr>
              <w:t>r</w:t>
            </w:r>
            <w:r w:rsidRPr="00BB5286">
              <w:rPr>
                <w:rFonts w:eastAsia="Calibri" w:cs="Times New Roman"/>
                <w:noProof/>
                <w:sz w:val="22"/>
                <w:lang w:val="en-GB"/>
              </w:rPr>
              <w:t>isk management. The Commission will</w:t>
            </w:r>
            <w:r w:rsidRPr="00BB5286">
              <w:rPr>
                <w:rFonts w:eastAsia="Calibri" w:cs="Times New Roman"/>
                <w:noProof/>
                <w:color w:val="00B050"/>
                <w:sz w:val="22"/>
                <w:lang w:val="en-GB"/>
              </w:rPr>
              <w:t xml:space="preserve"> </w:t>
            </w:r>
            <w:r w:rsidRPr="00BB5286">
              <w:rPr>
                <w:rFonts w:eastAsia="Calibri" w:cs="Times New Roman"/>
                <w:noProof/>
                <w:sz w:val="22"/>
                <w:lang w:val="en-GB"/>
              </w:rPr>
              <w:t xml:space="preserve">engage with Member States to </w:t>
            </w:r>
            <w:r w:rsidR="001675D8" w:rsidRPr="00BB5286">
              <w:rPr>
                <w:rFonts w:eastAsia="Calibri" w:cs="Times New Roman"/>
                <w:noProof/>
                <w:sz w:val="22"/>
                <w:lang w:val="en-GB"/>
              </w:rPr>
              <w:t>discuss the</w:t>
            </w:r>
            <w:r w:rsidRPr="00BB5286">
              <w:rPr>
                <w:rFonts w:eastAsia="Calibri" w:cs="Times New Roman"/>
                <w:noProof/>
                <w:sz w:val="22"/>
                <w:lang w:val="en-GB"/>
              </w:rPr>
              <w:t xml:space="preserve"> lessons learnt from </w:t>
            </w:r>
            <w:r w:rsidR="001675D8" w:rsidRPr="00BB5286">
              <w:rPr>
                <w:rFonts w:eastAsia="Calibri" w:cs="Times New Roman"/>
                <w:noProof/>
                <w:sz w:val="22"/>
                <w:lang w:val="en-GB"/>
              </w:rPr>
              <w:t xml:space="preserve">the </w:t>
            </w:r>
            <w:r w:rsidRPr="00BB5286">
              <w:rPr>
                <w:rFonts w:eastAsia="Calibri" w:cs="Times New Roman"/>
                <w:noProof/>
                <w:sz w:val="22"/>
                <w:lang w:val="en-GB"/>
              </w:rPr>
              <w:t>first years of implementation.</w:t>
            </w:r>
          </w:p>
        </w:tc>
      </w:tr>
      <w:tr w:rsidR="008C38EE" w:rsidRPr="00BB5286" w14:paraId="3DABB3E7" w14:textId="77777777" w:rsidTr="009A4429">
        <w:trPr>
          <w:gridAfter w:val="2"/>
          <w:wAfter w:w="21" w:type="dxa"/>
          <w:trHeight w:val="300"/>
        </w:trPr>
        <w:tc>
          <w:tcPr>
            <w:tcW w:w="691" w:type="dxa"/>
            <w:gridSpan w:val="2"/>
            <w:tcBorders>
              <w:top w:val="single" w:sz="4" w:space="0" w:color="auto"/>
              <w:left w:val="single" w:sz="4" w:space="0" w:color="auto"/>
              <w:bottom w:val="single" w:sz="4" w:space="0" w:color="auto"/>
              <w:right w:val="single" w:sz="4" w:space="0" w:color="auto"/>
            </w:tcBorders>
            <w:vAlign w:val="center"/>
          </w:tcPr>
          <w:p w14:paraId="112BDA75" w14:textId="6CE2E721"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22</w:t>
            </w:r>
            <w:r w:rsidR="00A0403B">
              <w:rPr>
                <w:rFonts w:eastAsia="Calibri" w:cs="Times New Roman"/>
                <w:b/>
                <w:bCs/>
                <w:noProof/>
                <w:sz w:val="22"/>
                <w:lang w:val="en-GB"/>
              </w:rPr>
              <w:t>3</w:t>
            </w:r>
          </w:p>
        </w:tc>
        <w:tc>
          <w:tcPr>
            <w:tcW w:w="5874" w:type="dxa"/>
            <w:tcBorders>
              <w:top w:val="single" w:sz="4" w:space="0" w:color="auto"/>
              <w:left w:val="single" w:sz="4" w:space="0" w:color="auto"/>
              <w:bottom w:val="single" w:sz="4" w:space="0" w:color="auto"/>
              <w:right w:val="single" w:sz="4" w:space="0" w:color="auto"/>
            </w:tcBorders>
            <w:vAlign w:val="center"/>
          </w:tcPr>
          <w:p w14:paraId="5A686BE1" w14:textId="1DCA33BE" w:rsidR="008C38EE" w:rsidRPr="00BB5286" w:rsidRDefault="008C38EE"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Risk management:</w:t>
            </w:r>
            <w:r w:rsidRPr="00BB5286">
              <w:rPr>
                <w:rFonts w:eastAsia="Calibri" w:cs="Times New Roman"/>
                <w:noProof/>
                <w:sz w:val="22"/>
                <w:szCs w:val="20"/>
                <w:lang w:val="en-GB"/>
              </w:rPr>
              <w:t xml:space="preserve"> </w:t>
            </w:r>
            <w:r w:rsidR="692C2436" w:rsidRPr="00BB5286">
              <w:rPr>
                <w:rFonts w:eastAsia="Calibri" w:cs="Times New Roman"/>
                <w:noProof/>
                <w:sz w:val="22"/>
                <w:szCs w:val="20"/>
                <w:lang w:val="en-GB"/>
              </w:rPr>
              <w:t>a</w:t>
            </w:r>
            <w:r w:rsidRPr="00BB5286">
              <w:rPr>
                <w:rFonts w:eastAsia="Calibri" w:cs="Times New Roman"/>
                <w:noProof/>
                <w:sz w:val="22"/>
                <w:szCs w:val="20"/>
                <w:lang w:val="en-GB"/>
              </w:rPr>
              <w:t xml:space="preserve">llow verification of </w:t>
            </w:r>
            <w:r w:rsidR="001675D8" w:rsidRPr="00BB5286">
              <w:rPr>
                <w:rFonts w:eastAsia="Calibri" w:cs="Times New Roman"/>
                <w:noProof/>
                <w:sz w:val="22"/>
                <w:szCs w:val="20"/>
                <w:lang w:val="en-GB"/>
              </w:rPr>
              <w:t xml:space="preserve">the </w:t>
            </w:r>
            <w:r w:rsidRPr="00BB5286">
              <w:rPr>
                <w:rFonts w:eastAsia="Calibri" w:cs="Times New Roman"/>
                <w:noProof/>
                <w:sz w:val="22"/>
                <w:szCs w:val="20"/>
                <w:lang w:val="en-GB"/>
              </w:rPr>
              <w:t>reasonableness of costs for insurance premia at the level of the insurance company offering the products.</w:t>
            </w:r>
          </w:p>
        </w:tc>
        <w:tc>
          <w:tcPr>
            <w:tcW w:w="1530" w:type="dxa"/>
            <w:tcBorders>
              <w:top w:val="single" w:sz="4" w:space="0" w:color="auto"/>
              <w:left w:val="single" w:sz="4" w:space="0" w:color="auto"/>
              <w:bottom w:val="single" w:sz="4" w:space="0" w:color="auto"/>
              <w:right w:val="single" w:sz="4" w:space="0" w:color="auto"/>
            </w:tcBorders>
            <w:vAlign w:val="center"/>
          </w:tcPr>
          <w:p w14:paraId="72FF8B79"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FR</w:t>
            </w:r>
          </w:p>
        </w:tc>
        <w:tc>
          <w:tcPr>
            <w:tcW w:w="6660" w:type="dxa"/>
            <w:gridSpan w:val="2"/>
            <w:tcBorders>
              <w:top w:val="single" w:sz="4" w:space="0" w:color="auto"/>
              <w:left w:val="single" w:sz="4" w:space="0" w:color="auto"/>
              <w:bottom w:val="single" w:sz="4" w:space="0" w:color="auto"/>
              <w:right w:val="single" w:sz="4" w:space="0" w:color="auto"/>
            </w:tcBorders>
          </w:tcPr>
          <w:p w14:paraId="5096A102" w14:textId="1E4E79F9" w:rsidR="008C38EE" w:rsidRPr="00BB5286" w:rsidRDefault="63400859" w:rsidP="365B9462">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CSP and the Horizontal </w:t>
            </w:r>
            <w:r w:rsidR="007F58CB" w:rsidRPr="00BB5286">
              <w:rPr>
                <w:rFonts w:eastAsia="Calibri" w:cs="Times New Roman"/>
                <w:noProof/>
                <w:sz w:val="22"/>
                <w:szCs w:val="20"/>
                <w:lang w:val="en-GB"/>
              </w:rPr>
              <w:t>Regulations no</w:t>
            </w:r>
            <w:r w:rsidR="008C38EE" w:rsidRPr="00BB5286">
              <w:rPr>
                <w:rFonts w:eastAsia="Calibri" w:cs="Times New Roman"/>
                <w:noProof/>
                <w:sz w:val="22"/>
                <w:szCs w:val="20"/>
                <w:lang w:val="en-GB"/>
              </w:rPr>
              <w:t xml:space="preserve"> longer provide for rules on the reasonableness of costs, unlike the legislation for the previous planning period. However, Member States have an obligation to take measures to ensure sound financial management and effective protection of the </w:t>
            </w:r>
            <w:r w:rsidR="00AF7B1A" w:rsidRPr="00BB5286">
              <w:rPr>
                <w:rFonts w:eastAsia="Calibri" w:cs="Times New Roman"/>
                <w:noProof/>
                <w:sz w:val="22"/>
                <w:szCs w:val="20"/>
                <w:lang w:val="en-GB"/>
              </w:rPr>
              <w:t xml:space="preserve">EU's </w:t>
            </w:r>
            <w:r w:rsidR="008C38EE" w:rsidRPr="00BB5286">
              <w:rPr>
                <w:rFonts w:eastAsia="Calibri" w:cs="Times New Roman"/>
                <w:noProof/>
                <w:sz w:val="22"/>
                <w:szCs w:val="20"/>
                <w:lang w:val="en-GB"/>
              </w:rPr>
              <w:t xml:space="preserve">financial interests based on Regulation (EU) 2018/1046 and </w:t>
            </w:r>
            <w:r w:rsidR="008C38EE" w:rsidRPr="00BB5286">
              <w:rPr>
                <w:rFonts w:eastAsia="Calibri" w:cs="Times New Roman"/>
                <w:i/>
                <w:iCs/>
                <w:noProof/>
                <w:sz w:val="22"/>
                <w:szCs w:val="20"/>
                <w:lang w:val="en-GB"/>
              </w:rPr>
              <w:t>Article 59(2) and 60(1)</w:t>
            </w:r>
            <w:r w:rsidR="008C38EE" w:rsidRPr="00BB5286">
              <w:rPr>
                <w:rFonts w:eastAsia="Calibri" w:cs="Times New Roman"/>
                <w:noProof/>
                <w:sz w:val="22"/>
                <w:szCs w:val="20"/>
                <w:lang w:val="en-GB"/>
              </w:rPr>
              <w:t xml:space="preserve"> of </w:t>
            </w:r>
            <w:r w:rsidR="37DC952D" w:rsidRPr="00BB5286">
              <w:rPr>
                <w:rFonts w:eastAsia="Calibri" w:cs="Times New Roman"/>
                <w:noProof/>
                <w:sz w:val="22"/>
                <w:szCs w:val="20"/>
                <w:lang w:val="en-GB"/>
              </w:rPr>
              <w:t xml:space="preserve">the Horizontal </w:t>
            </w:r>
            <w:r w:rsidR="008C38EE" w:rsidRPr="00BB5286">
              <w:rPr>
                <w:rFonts w:eastAsia="Calibri" w:cs="Times New Roman"/>
                <w:noProof/>
                <w:sz w:val="22"/>
                <w:szCs w:val="20"/>
                <w:lang w:val="en-GB"/>
              </w:rPr>
              <w:t>Regulation. It is therefore for Member States to put in place appropriate measures to comply with these obligations, such as the verification of the reasonableness of costs for subsidi</w:t>
            </w:r>
            <w:r w:rsidR="001675D8" w:rsidRPr="00BB5286">
              <w:rPr>
                <w:rFonts w:eastAsia="Calibri" w:cs="Times New Roman"/>
                <w:noProof/>
                <w:sz w:val="22"/>
                <w:szCs w:val="20"/>
                <w:lang w:val="en-GB"/>
              </w:rPr>
              <w:t>s</w:t>
            </w:r>
            <w:r w:rsidR="008C38EE" w:rsidRPr="00BB5286">
              <w:rPr>
                <w:rFonts w:eastAsia="Calibri" w:cs="Times New Roman"/>
                <w:noProof/>
                <w:sz w:val="22"/>
                <w:szCs w:val="20"/>
                <w:lang w:val="en-GB"/>
              </w:rPr>
              <w:t>ed operations.</w:t>
            </w:r>
          </w:p>
        </w:tc>
      </w:tr>
      <w:tr w:rsidR="008C38EE" w:rsidRPr="00BB5286" w14:paraId="7FC8C35A" w14:textId="77777777" w:rsidTr="009A4429">
        <w:trPr>
          <w:gridAfter w:val="2"/>
          <w:wAfter w:w="21" w:type="dxa"/>
          <w:trHeight w:val="300"/>
        </w:trPr>
        <w:tc>
          <w:tcPr>
            <w:tcW w:w="691" w:type="dxa"/>
            <w:gridSpan w:val="2"/>
            <w:tcBorders>
              <w:top w:val="single" w:sz="4" w:space="0" w:color="auto"/>
              <w:left w:val="single" w:sz="4" w:space="0" w:color="auto"/>
              <w:bottom w:val="single" w:sz="4" w:space="0" w:color="auto"/>
              <w:right w:val="single" w:sz="4" w:space="0" w:color="auto"/>
            </w:tcBorders>
            <w:vAlign w:val="center"/>
          </w:tcPr>
          <w:p w14:paraId="7F216727" w14:textId="7603B4DF" w:rsidR="008C38EE" w:rsidRPr="00BB5286" w:rsidRDefault="008C38EE" w:rsidP="008C38EE">
            <w:pPr>
              <w:spacing w:after="60" w:line="259" w:lineRule="auto"/>
              <w:rPr>
                <w:rFonts w:eastAsia="Calibri" w:cs="Times New Roman"/>
                <w:b/>
                <w:bCs/>
                <w:noProof/>
                <w:sz w:val="22"/>
                <w:lang w:val="en-GB"/>
              </w:rPr>
            </w:pPr>
            <w:r w:rsidRPr="00BB5286">
              <w:rPr>
                <w:rFonts w:eastAsia="Calibri" w:cs="Times New Roman"/>
                <w:b/>
                <w:bCs/>
                <w:noProof/>
                <w:sz w:val="22"/>
                <w:lang w:val="en-GB"/>
              </w:rPr>
              <w:t>22</w:t>
            </w:r>
            <w:r w:rsidR="00A0403B">
              <w:rPr>
                <w:rFonts w:eastAsia="Calibri" w:cs="Times New Roman"/>
                <w:b/>
                <w:bCs/>
                <w:noProof/>
                <w:sz w:val="22"/>
                <w:lang w:val="en-GB"/>
              </w:rPr>
              <w:t>4</w:t>
            </w:r>
          </w:p>
        </w:tc>
        <w:tc>
          <w:tcPr>
            <w:tcW w:w="5874" w:type="dxa"/>
            <w:tcBorders>
              <w:top w:val="single" w:sz="4" w:space="0" w:color="auto"/>
              <w:left w:val="single" w:sz="4" w:space="0" w:color="auto"/>
              <w:bottom w:val="single" w:sz="4" w:space="0" w:color="auto"/>
              <w:right w:val="single" w:sz="4" w:space="0" w:color="auto"/>
            </w:tcBorders>
            <w:vAlign w:val="center"/>
          </w:tcPr>
          <w:p w14:paraId="3F7F32E3" w14:textId="0C33C716" w:rsidR="008C38EE" w:rsidRPr="00BB5286" w:rsidRDefault="008C38EE" w:rsidP="008C38EE">
            <w:pPr>
              <w:spacing w:after="60" w:line="259" w:lineRule="auto"/>
              <w:jc w:val="both"/>
              <w:rPr>
                <w:rFonts w:eastAsia="Calibri" w:cs="Times New Roman"/>
                <w:noProof/>
                <w:sz w:val="22"/>
                <w:lang w:val="en-GB"/>
              </w:rPr>
            </w:pPr>
            <w:r w:rsidRPr="00BB5286">
              <w:rPr>
                <w:rFonts w:eastAsia="Calibri" w:cs="Times New Roman"/>
                <w:b/>
                <w:bCs/>
                <w:noProof/>
                <w:sz w:val="22"/>
                <w:lang w:val="en-GB"/>
              </w:rPr>
              <w:t>Risk management:</w:t>
            </w:r>
            <w:r w:rsidRPr="00BB5286">
              <w:rPr>
                <w:rFonts w:eastAsia="Calibri" w:cs="Times New Roman"/>
                <w:noProof/>
                <w:sz w:val="22"/>
                <w:lang w:val="en-GB"/>
              </w:rPr>
              <w:t xml:space="preserve"> </w:t>
            </w:r>
            <w:r w:rsidR="00CB447E" w:rsidRPr="00BB5286">
              <w:rPr>
                <w:rFonts w:eastAsia="Calibri" w:cs="Times New Roman"/>
                <w:noProof/>
                <w:sz w:val="22"/>
                <w:lang w:val="en-GB"/>
              </w:rPr>
              <w:t>a</w:t>
            </w:r>
            <w:r w:rsidRPr="00BB5286">
              <w:rPr>
                <w:rFonts w:eastAsia="Calibri" w:cs="Times New Roman"/>
                <w:noProof/>
                <w:sz w:val="22"/>
                <w:lang w:val="en-GB"/>
              </w:rPr>
              <w:t xml:space="preserve">llow </w:t>
            </w:r>
            <w:r w:rsidR="001675D8" w:rsidRPr="00BB5286">
              <w:rPr>
                <w:rFonts w:eastAsia="Calibri" w:cs="Times New Roman"/>
                <w:noProof/>
                <w:sz w:val="22"/>
                <w:lang w:val="en-GB"/>
              </w:rPr>
              <w:t xml:space="preserve">risk management tools to calculate </w:t>
            </w:r>
            <w:r w:rsidRPr="00BB5286">
              <w:rPr>
                <w:rFonts w:eastAsia="Calibri" w:cs="Times New Roman"/>
                <w:noProof/>
                <w:sz w:val="22"/>
                <w:lang w:val="en-GB"/>
              </w:rPr>
              <w:t>production loss per crop/animal</w:t>
            </w:r>
            <w:r w:rsidR="00967CF8" w:rsidRPr="00BB5286">
              <w:rPr>
                <w:rFonts w:eastAsia="Calibri" w:cs="Times New Roman"/>
                <w:noProof/>
                <w:sz w:val="22"/>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14:paraId="0DD001B7" w14:textId="77777777" w:rsidR="008C38EE" w:rsidRPr="00BB5286" w:rsidRDefault="008C38EE" w:rsidP="008C38EE">
            <w:pPr>
              <w:spacing w:after="60" w:line="259" w:lineRule="auto"/>
              <w:jc w:val="center"/>
              <w:rPr>
                <w:rFonts w:eastAsia="MS Gothic" w:cs="Times New Roman"/>
                <w:b/>
                <w:bCs/>
                <w:noProof/>
                <w:color w:val="0033CC"/>
                <w:sz w:val="22"/>
                <w:lang w:val="en-GB"/>
              </w:rPr>
            </w:pPr>
            <w:r w:rsidRPr="00BB5286">
              <w:rPr>
                <w:rFonts w:eastAsia="MS Gothic" w:cs="Times New Roman"/>
                <w:b/>
                <w:bCs/>
                <w:noProof/>
                <w:color w:val="0033CC"/>
                <w:sz w:val="22"/>
                <w:lang w:val="en-GB"/>
              </w:rPr>
              <w:t>RO</w:t>
            </w:r>
          </w:p>
        </w:tc>
        <w:tc>
          <w:tcPr>
            <w:tcW w:w="6660" w:type="dxa"/>
            <w:gridSpan w:val="2"/>
            <w:tcBorders>
              <w:top w:val="single" w:sz="4" w:space="0" w:color="auto"/>
              <w:left w:val="single" w:sz="4" w:space="0" w:color="auto"/>
              <w:bottom w:val="single" w:sz="4" w:space="0" w:color="auto"/>
              <w:right w:val="single" w:sz="4" w:space="0" w:color="auto"/>
            </w:tcBorders>
          </w:tcPr>
          <w:p w14:paraId="7FDE7563" w14:textId="66332D23" w:rsidR="008C38EE" w:rsidRPr="00BB5286" w:rsidRDefault="008C38EE" w:rsidP="365B9462">
            <w:pPr>
              <w:spacing w:after="60" w:line="259" w:lineRule="auto"/>
              <w:jc w:val="both"/>
              <w:rPr>
                <w:rFonts w:eastAsia="Calibri" w:cs="Times New Roman"/>
                <w:noProof/>
                <w:sz w:val="22"/>
                <w:szCs w:val="20"/>
                <w:lang w:val="en-GB"/>
              </w:rPr>
            </w:pPr>
            <w:r w:rsidRPr="00BB5286">
              <w:rPr>
                <w:rFonts w:eastAsia="Arial" w:cs="Times New Roman"/>
                <w:noProof/>
                <w:sz w:val="22"/>
                <w:szCs w:val="20"/>
                <w:lang w:val="en-GB"/>
              </w:rPr>
              <w:t xml:space="preserve">Subject to </w:t>
            </w:r>
            <w:r w:rsidR="001675D8" w:rsidRPr="00BB5286">
              <w:rPr>
                <w:rFonts w:eastAsia="Arial" w:cs="Times New Roman"/>
                <w:noProof/>
                <w:sz w:val="22"/>
                <w:szCs w:val="20"/>
                <w:lang w:val="en-GB"/>
              </w:rPr>
              <w:t xml:space="preserve">a </w:t>
            </w:r>
            <w:r w:rsidRPr="00BB5286">
              <w:rPr>
                <w:rFonts w:eastAsia="Arial" w:cs="Times New Roman"/>
                <w:noProof/>
                <w:sz w:val="22"/>
                <w:szCs w:val="20"/>
                <w:lang w:val="en-GB"/>
              </w:rPr>
              <w:t>SWOT</w:t>
            </w:r>
            <w:r w:rsidR="001675D8" w:rsidRPr="00BB5286">
              <w:rPr>
                <w:rFonts w:eastAsia="Arial" w:cs="Times New Roman"/>
                <w:noProof/>
                <w:sz w:val="22"/>
                <w:szCs w:val="20"/>
                <w:lang w:val="en-GB"/>
              </w:rPr>
              <w:t xml:space="preserve"> analysis</w:t>
            </w:r>
            <w:r w:rsidRPr="00BB5286">
              <w:rPr>
                <w:rFonts w:eastAsia="Arial" w:cs="Times New Roman"/>
                <w:noProof/>
                <w:sz w:val="22"/>
                <w:szCs w:val="20"/>
                <w:lang w:val="en-GB"/>
              </w:rPr>
              <w:t xml:space="preserve"> and needs assessment of the CAP </w:t>
            </w:r>
            <w:r w:rsidR="667639DA" w:rsidRPr="00BB5286">
              <w:rPr>
                <w:rFonts w:eastAsia="Arial" w:cs="Times New Roman"/>
                <w:noProof/>
                <w:sz w:val="22"/>
                <w:szCs w:val="20"/>
                <w:lang w:val="en-GB"/>
              </w:rPr>
              <w:t>P</w:t>
            </w:r>
            <w:r w:rsidRPr="00BB5286">
              <w:rPr>
                <w:rFonts w:eastAsia="Arial" w:cs="Times New Roman"/>
                <w:noProof/>
                <w:sz w:val="22"/>
                <w:szCs w:val="20"/>
                <w:lang w:val="en-GB"/>
              </w:rPr>
              <w:t xml:space="preserve">lan, Member States could introduce a sectoral intervention in sectors referred to in </w:t>
            </w:r>
            <w:r w:rsidRPr="00BB5286">
              <w:rPr>
                <w:rFonts w:eastAsia="Arial" w:cs="Times New Roman"/>
                <w:i/>
                <w:iCs/>
                <w:noProof/>
                <w:sz w:val="22"/>
                <w:szCs w:val="20"/>
                <w:lang w:val="en-GB"/>
              </w:rPr>
              <w:t>Article 42</w:t>
            </w:r>
            <w:r w:rsidR="00783F46">
              <w:rPr>
                <w:rFonts w:eastAsia="Arial" w:cs="Times New Roman"/>
                <w:i/>
                <w:iCs/>
                <w:noProof/>
                <w:sz w:val="22"/>
                <w:szCs w:val="20"/>
                <w:lang w:val="en-GB"/>
              </w:rPr>
              <w:t xml:space="preserve">, point </w:t>
            </w:r>
            <w:r w:rsidRPr="00BB5286">
              <w:rPr>
                <w:rFonts w:eastAsia="Arial" w:cs="Times New Roman"/>
                <w:i/>
                <w:iCs/>
                <w:noProof/>
                <w:sz w:val="22"/>
                <w:szCs w:val="20"/>
                <w:lang w:val="en-GB"/>
              </w:rPr>
              <w:t>(f)</w:t>
            </w:r>
            <w:r w:rsidRPr="00BB5286">
              <w:rPr>
                <w:rFonts w:eastAsia="Arial" w:cs="Times New Roman"/>
                <w:noProof/>
                <w:sz w:val="22"/>
                <w:szCs w:val="20"/>
                <w:lang w:val="en-GB"/>
              </w:rPr>
              <w:t xml:space="preserve"> </w:t>
            </w:r>
            <w:r w:rsidR="001675D8" w:rsidRPr="00BB5286">
              <w:rPr>
                <w:rFonts w:eastAsia="Arial" w:cs="Times New Roman"/>
                <w:noProof/>
                <w:sz w:val="22"/>
                <w:szCs w:val="20"/>
                <w:lang w:val="en-GB"/>
              </w:rPr>
              <w:t xml:space="preserve">of the </w:t>
            </w:r>
            <w:r w:rsidR="12712577" w:rsidRPr="00BB5286">
              <w:rPr>
                <w:rFonts w:eastAsia="Arial" w:cs="Times New Roman"/>
                <w:noProof/>
                <w:sz w:val="22"/>
                <w:szCs w:val="20"/>
                <w:lang w:val="en-GB"/>
              </w:rPr>
              <w:t>CSP Regulation</w:t>
            </w:r>
            <w:r w:rsidR="001675D8" w:rsidRPr="00BB5286">
              <w:rPr>
                <w:rFonts w:eastAsia="Arial" w:cs="Times New Roman"/>
                <w:noProof/>
                <w:sz w:val="22"/>
                <w:szCs w:val="20"/>
                <w:lang w:val="en-GB"/>
              </w:rPr>
              <w:t>,</w:t>
            </w:r>
            <w:r w:rsidRPr="00BB5286">
              <w:rPr>
                <w:rFonts w:eastAsia="Arial" w:cs="Times New Roman"/>
                <w:noProof/>
                <w:sz w:val="22"/>
                <w:szCs w:val="20"/>
                <w:lang w:val="en-GB"/>
              </w:rPr>
              <w:t xml:space="preserve"> comprising a production </w:t>
            </w:r>
            <w:r w:rsidR="001675D8" w:rsidRPr="00BB5286">
              <w:rPr>
                <w:rFonts w:eastAsia="Arial" w:cs="Times New Roman"/>
                <w:noProof/>
                <w:sz w:val="22"/>
                <w:szCs w:val="20"/>
                <w:lang w:val="en-GB"/>
              </w:rPr>
              <w:t xml:space="preserve">loss </w:t>
            </w:r>
            <w:r w:rsidRPr="00BB5286">
              <w:rPr>
                <w:rFonts w:eastAsia="Arial" w:cs="Times New Roman"/>
                <w:noProof/>
                <w:sz w:val="22"/>
                <w:szCs w:val="20"/>
                <w:lang w:val="en-GB"/>
              </w:rPr>
              <w:t>risk management tool for a certain sector, such as production insurance. In this case</w:t>
            </w:r>
            <w:r w:rsidR="001675D8" w:rsidRPr="00BB5286">
              <w:rPr>
                <w:rFonts w:eastAsia="Arial" w:cs="Times New Roman"/>
                <w:noProof/>
                <w:sz w:val="22"/>
                <w:szCs w:val="20"/>
                <w:lang w:val="en-GB"/>
              </w:rPr>
              <w:t xml:space="preserve"> the</w:t>
            </w:r>
            <w:r w:rsidRPr="00BB5286">
              <w:rPr>
                <w:rFonts w:eastAsia="Arial" w:cs="Times New Roman"/>
                <w:noProof/>
                <w:sz w:val="22"/>
                <w:szCs w:val="20"/>
                <w:lang w:val="en-GB"/>
              </w:rPr>
              <w:t xml:space="preserve"> </w:t>
            </w:r>
            <w:r w:rsidRPr="00BB5286">
              <w:rPr>
                <w:rFonts w:eastAsia="Calibri" w:cs="Times New Roman"/>
                <w:noProof/>
                <w:sz w:val="22"/>
                <w:szCs w:val="20"/>
                <w:lang w:val="en-GB"/>
              </w:rPr>
              <w:t xml:space="preserve">calculation of losses should be either at a holding level or at the level of the holding’s activity in the sector. </w:t>
            </w:r>
          </w:p>
          <w:p w14:paraId="144A41BE" w14:textId="3364493F" w:rsidR="008C38EE" w:rsidRPr="00BB5286" w:rsidRDefault="008C38EE" w:rsidP="008C38EE">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learnt from the current period will feed </w:t>
            </w:r>
            <w:r w:rsidR="001675D8" w:rsidRPr="00BB5286">
              <w:rPr>
                <w:rFonts w:eastAsia="Calibri" w:cs="Times New Roman"/>
                <w:noProof/>
                <w:sz w:val="22"/>
                <w:lang w:val="en-GB"/>
              </w:rPr>
              <w:t xml:space="preserve">into </w:t>
            </w:r>
            <w:r w:rsidRPr="00BB5286">
              <w:rPr>
                <w:rFonts w:eastAsia="Calibri" w:cs="Times New Roman"/>
                <w:noProof/>
                <w:sz w:val="22"/>
                <w:lang w:val="en-GB"/>
              </w:rPr>
              <w:t>the reflection on the post</w:t>
            </w:r>
            <w:r w:rsidR="001675D8" w:rsidRPr="00BB5286">
              <w:rPr>
                <w:rFonts w:eastAsia="Calibri" w:cs="Times New Roman"/>
                <w:noProof/>
                <w:sz w:val="22"/>
                <w:lang w:val="en-GB"/>
              </w:rPr>
              <w:t>-</w:t>
            </w:r>
            <w:r w:rsidRPr="00BB5286">
              <w:rPr>
                <w:rFonts w:eastAsia="Calibri" w:cs="Times New Roman"/>
                <w:noProof/>
                <w:sz w:val="22"/>
                <w:lang w:val="en-GB"/>
              </w:rPr>
              <w:t>2027</w:t>
            </w:r>
            <w:r w:rsidR="001675D8" w:rsidRPr="00BB5286">
              <w:rPr>
                <w:rFonts w:eastAsia="Calibri" w:cs="Times New Roman"/>
                <w:noProof/>
                <w:sz w:val="22"/>
                <w:lang w:val="en-GB"/>
              </w:rPr>
              <w:t xml:space="preserve"> CAP</w:t>
            </w:r>
            <w:r w:rsidRPr="00BB5286">
              <w:rPr>
                <w:rFonts w:eastAsia="Calibri" w:cs="Times New Roman"/>
                <w:noProof/>
                <w:sz w:val="22"/>
                <w:lang w:val="en-GB"/>
              </w:rPr>
              <w:t>.</w:t>
            </w:r>
          </w:p>
        </w:tc>
      </w:tr>
      <w:tr w:rsidR="008C38EE" w:rsidRPr="00BB5286" w14:paraId="698DFCDC" w14:textId="77777777" w:rsidTr="009A4429">
        <w:trPr>
          <w:gridAfter w:val="2"/>
          <w:wAfter w:w="21" w:type="dxa"/>
          <w:trHeight w:val="300"/>
        </w:trPr>
        <w:tc>
          <w:tcPr>
            <w:tcW w:w="691" w:type="dxa"/>
            <w:gridSpan w:val="2"/>
            <w:tcBorders>
              <w:top w:val="single" w:sz="4" w:space="0" w:color="auto"/>
              <w:left w:val="single" w:sz="4" w:space="0" w:color="auto"/>
              <w:bottom w:val="single" w:sz="4" w:space="0" w:color="000000" w:themeColor="text1"/>
              <w:right w:val="single" w:sz="4" w:space="0" w:color="auto"/>
            </w:tcBorders>
            <w:vAlign w:val="center"/>
          </w:tcPr>
          <w:p w14:paraId="53FB4FC7" w14:textId="10389BCD" w:rsidR="008C38EE" w:rsidRPr="00BB5286" w:rsidRDefault="008C38EE" w:rsidP="008C38EE">
            <w:pPr>
              <w:spacing w:after="60" w:line="259" w:lineRule="auto"/>
              <w:rPr>
                <w:rFonts w:eastAsia="Calibri" w:cs="Times New Roman"/>
                <w:b/>
                <w:noProof/>
                <w:sz w:val="22"/>
                <w:lang w:val="en-GB"/>
              </w:rPr>
            </w:pPr>
            <w:r w:rsidRPr="00BB5286">
              <w:rPr>
                <w:rFonts w:eastAsia="Calibri" w:cs="Times New Roman"/>
                <w:b/>
                <w:bCs/>
                <w:noProof/>
                <w:sz w:val="22"/>
                <w:lang w:val="en-GB"/>
              </w:rPr>
              <w:t>22</w:t>
            </w:r>
            <w:r w:rsidR="00A0403B">
              <w:rPr>
                <w:rFonts w:eastAsia="Calibri" w:cs="Times New Roman"/>
                <w:b/>
                <w:bCs/>
                <w:noProof/>
                <w:sz w:val="22"/>
                <w:lang w:val="en-GB"/>
              </w:rPr>
              <w:t>5</w:t>
            </w:r>
          </w:p>
        </w:tc>
        <w:tc>
          <w:tcPr>
            <w:tcW w:w="5874" w:type="dxa"/>
            <w:tcBorders>
              <w:top w:val="single" w:sz="4" w:space="0" w:color="auto"/>
              <w:left w:val="single" w:sz="4" w:space="0" w:color="auto"/>
              <w:bottom w:val="single" w:sz="4" w:space="0" w:color="000000" w:themeColor="text1"/>
              <w:right w:val="single" w:sz="4" w:space="0" w:color="auto"/>
            </w:tcBorders>
            <w:vAlign w:val="center"/>
          </w:tcPr>
          <w:p w14:paraId="6B305756" w14:textId="1C727DA6" w:rsidR="008C38EE" w:rsidRPr="00BB5286" w:rsidRDefault="008C38EE"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Top-up crisis payments</w:t>
            </w:r>
            <w:r w:rsidR="00CB447E" w:rsidRPr="00BB5286">
              <w:rPr>
                <w:rFonts w:eastAsia="Calibri" w:cs="Times New Roman"/>
                <w:b/>
                <w:bCs/>
                <w:noProof/>
                <w:sz w:val="22"/>
                <w:szCs w:val="20"/>
                <w:lang w:val="en-GB"/>
              </w:rPr>
              <w:t>:</w:t>
            </w:r>
            <w:r w:rsidRPr="00BB5286">
              <w:rPr>
                <w:rFonts w:eastAsia="Calibri" w:cs="Times New Roman"/>
                <w:noProof/>
                <w:sz w:val="22"/>
                <w:szCs w:val="20"/>
                <w:lang w:val="en-GB"/>
              </w:rPr>
              <w:t xml:space="preserve"> </w:t>
            </w:r>
            <w:r w:rsidR="114E7299" w:rsidRPr="00BB5286">
              <w:rPr>
                <w:rFonts w:eastAsia="Calibri" w:cs="Times New Roman"/>
                <w:noProof/>
                <w:sz w:val="22"/>
                <w:szCs w:val="20"/>
                <w:lang w:val="en-GB"/>
              </w:rPr>
              <w:t>f</w:t>
            </w:r>
            <w:r w:rsidRPr="00BB5286">
              <w:rPr>
                <w:rFonts w:eastAsia="Calibri" w:cs="Times New Roman"/>
                <w:noProof/>
                <w:sz w:val="22"/>
                <w:szCs w:val="20"/>
                <w:lang w:val="en-GB"/>
              </w:rPr>
              <w:t>uture crisis payments as top-ups to existing support schemes</w:t>
            </w:r>
          </w:p>
        </w:tc>
        <w:tc>
          <w:tcPr>
            <w:tcW w:w="1530" w:type="dxa"/>
            <w:tcBorders>
              <w:top w:val="single" w:sz="4" w:space="0" w:color="auto"/>
              <w:left w:val="single" w:sz="4" w:space="0" w:color="auto"/>
              <w:bottom w:val="single" w:sz="4" w:space="0" w:color="000000" w:themeColor="text1"/>
              <w:right w:val="single" w:sz="4" w:space="0" w:color="auto"/>
            </w:tcBorders>
            <w:vAlign w:val="center"/>
          </w:tcPr>
          <w:p w14:paraId="38937A79"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FI</w:t>
            </w:r>
          </w:p>
        </w:tc>
        <w:tc>
          <w:tcPr>
            <w:tcW w:w="6660" w:type="dxa"/>
            <w:gridSpan w:val="2"/>
            <w:tcBorders>
              <w:top w:val="single" w:sz="4" w:space="0" w:color="auto"/>
              <w:left w:val="single" w:sz="4" w:space="0" w:color="auto"/>
              <w:bottom w:val="single" w:sz="4" w:space="0" w:color="000000" w:themeColor="text1"/>
              <w:right w:val="single" w:sz="4" w:space="0" w:color="auto"/>
            </w:tcBorders>
          </w:tcPr>
          <w:p w14:paraId="0CCE5418" w14:textId="6091A756" w:rsidR="008C38EE" w:rsidRPr="00BB5286" w:rsidRDefault="008C38EE" w:rsidP="365B9462">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Exceptional measures based on Regulation (EU) No 1308/2013 and providing emergency support funded through the agricultural reserve aim to address market disturbances</w:t>
            </w:r>
            <w:r w:rsidR="001675D8" w:rsidRPr="00BB5286">
              <w:rPr>
                <w:rFonts w:eastAsia="Calibri" w:cs="Times New Roman"/>
                <w:noProof/>
                <w:sz w:val="22"/>
                <w:szCs w:val="20"/>
                <w:lang w:val="en-GB"/>
              </w:rPr>
              <w:t xml:space="preserve"> or </w:t>
            </w:r>
            <w:r w:rsidRPr="00BB5286">
              <w:rPr>
                <w:rFonts w:eastAsia="Calibri" w:cs="Times New Roman"/>
                <w:noProof/>
                <w:sz w:val="22"/>
                <w:szCs w:val="20"/>
                <w:lang w:val="en-GB"/>
              </w:rPr>
              <w:t>cris</w:t>
            </w:r>
            <w:r w:rsidR="001675D8" w:rsidRPr="00BB5286">
              <w:rPr>
                <w:rFonts w:eastAsia="Calibri" w:cs="Times New Roman"/>
                <w:noProof/>
                <w:sz w:val="22"/>
                <w:szCs w:val="20"/>
                <w:lang w:val="en-GB"/>
              </w:rPr>
              <w:t>e</w:t>
            </w:r>
            <w:r w:rsidRPr="00BB5286">
              <w:rPr>
                <w:rFonts w:eastAsia="Calibri" w:cs="Times New Roman"/>
                <w:noProof/>
                <w:sz w:val="22"/>
                <w:szCs w:val="20"/>
                <w:lang w:val="en-GB"/>
              </w:rPr>
              <w:t>s</w:t>
            </w:r>
            <w:r w:rsidR="001675D8" w:rsidRPr="00BB5286">
              <w:rPr>
                <w:rFonts w:eastAsia="Calibri" w:cs="Times New Roman"/>
                <w:noProof/>
                <w:sz w:val="22"/>
                <w:szCs w:val="20"/>
                <w:lang w:val="en-GB"/>
              </w:rPr>
              <w:t>.</w:t>
            </w:r>
            <w:r w:rsidRPr="00BB5286">
              <w:rPr>
                <w:rFonts w:eastAsia="Calibri" w:cs="Times New Roman"/>
                <w:noProof/>
                <w:sz w:val="22"/>
                <w:szCs w:val="20"/>
                <w:lang w:val="en-GB"/>
              </w:rPr>
              <w:t xml:space="preserve"> </w:t>
            </w:r>
            <w:r w:rsidR="001675D8" w:rsidRPr="00BB5286">
              <w:rPr>
                <w:rFonts w:eastAsia="Calibri" w:cs="Times New Roman"/>
                <w:noProof/>
                <w:sz w:val="22"/>
                <w:szCs w:val="20"/>
                <w:lang w:val="en-GB"/>
              </w:rPr>
              <w:t>U</w:t>
            </w:r>
            <w:r w:rsidRPr="00BB5286">
              <w:rPr>
                <w:rFonts w:eastAsia="Calibri" w:cs="Times New Roman"/>
                <w:noProof/>
                <w:sz w:val="22"/>
                <w:szCs w:val="20"/>
                <w:lang w:val="en-GB"/>
              </w:rPr>
              <w:t xml:space="preserve">sing the </w:t>
            </w:r>
            <w:r w:rsidR="00AF7B1A" w:rsidRPr="00BB5286">
              <w:rPr>
                <w:rFonts w:eastAsia="Calibri" w:cs="Times New Roman"/>
                <w:noProof/>
                <w:sz w:val="22"/>
                <w:szCs w:val="20"/>
                <w:lang w:val="en-GB"/>
              </w:rPr>
              <w:t xml:space="preserve">EU </w:t>
            </w:r>
            <w:r w:rsidRPr="00BB5286">
              <w:rPr>
                <w:rFonts w:eastAsia="Calibri" w:cs="Times New Roman"/>
                <w:noProof/>
                <w:sz w:val="22"/>
                <w:szCs w:val="20"/>
                <w:lang w:val="en-GB"/>
              </w:rPr>
              <w:t xml:space="preserve">agricultural reserve </w:t>
            </w:r>
            <w:r w:rsidRPr="00BB5286">
              <w:rPr>
                <w:rFonts w:eastAsia="Calibri" w:cs="Times New Roman"/>
                <w:noProof/>
                <w:sz w:val="22"/>
                <w:szCs w:val="20"/>
                <w:lang w:val="en-GB"/>
              </w:rPr>
              <w:lastRenderedPageBreak/>
              <w:t xml:space="preserve">to top-up interventions in the CAP </w:t>
            </w:r>
            <w:r w:rsidR="18208841" w:rsidRPr="00BB5286">
              <w:rPr>
                <w:rFonts w:eastAsia="Calibri" w:cs="Times New Roman"/>
                <w:noProof/>
                <w:sz w:val="22"/>
                <w:szCs w:val="20"/>
                <w:lang w:val="en-GB"/>
              </w:rPr>
              <w:t>P</w:t>
            </w:r>
            <w:r w:rsidRPr="00BB5286">
              <w:rPr>
                <w:rFonts w:eastAsia="Calibri" w:cs="Times New Roman"/>
                <w:noProof/>
                <w:sz w:val="22"/>
                <w:szCs w:val="20"/>
                <w:lang w:val="en-GB"/>
              </w:rPr>
              <w:t>lans would deviate from the objective</w:t>
            </w:r>
            <w:r w:rsidRPr="00BB5286">
              <w:rPr>
                <w:rFonts w:cs="Times New Roman"/>
                <w:noProof/>
                <w:sz w:val="22"/>
                <w:szCs w:val="20"/>
                <w:lang w:val="en-GB"/>
              </w:rPr>
              <w:t xml:space="preserve"> </w:t>
            </w:r>
            <w:r w:rsidRPr="00BB5286">
              <w:rPr>
                <w:rFonts w:eastAsia="Calibri" w:cs="Times New Roman"/>
                <w:noProof/>
                <w:sz w:val="22"/>
                <w:szCs w:val="20"/>
                <w:lang w:val="en-GB"/>
              </w:rPr>
              <w:t xml:space="preserve">of the reserve. </w:t>
            </w:r>
          </w:p>
          <w:p w14:paraId="627CD1EB" w14:textId="3C06931F" w:rsidR="008C38EE" w:rsidRPr="00BB5286" w:rsidRDefault="008C38EE" w:rsidP="008C38EE">
            <w:pPr>
              <w:spacing w:after="60" w:line="259" w:lineRule="auto"/>
              <w:jc w:val="both"/>
              <w:rPr>
                <w:rFonts w:eastAsia="Calibri" w:cs="Times New Roman"/>
                <w:noProof/>
                <w:sz w:val="22"/>
                <w:lang w:val="en-GB"/>
              </w:rPr>
            </w:pPr>
            <w:r w:rsidRPr="00BB5286">
              <w:rPr>
                <w:rFonts w:eastAsia="Calibri" w:cs="Times New Roman"/>
                <w:noProof/>
                <w:sz w:val="22"/>
                <w:lang w:val="en-GB"/>
              </w:rPr>
              <w:t>Lessons learned on the use of the agricultural reserve and crisis management measures will feed</w:t>
            </w:r>
            <w:r w:rsidR="001675D8" w:rsidRPr="00BB5286">
              <w:rPr>
                <w:rFonts w:eastAsia="Calibri" w:cs="Times New Roman"/>
                <w:noProof/>
                <w:sz w:val="22"/>
                <w:lang w:val="en-GB"/>
              </w:rPr>
              <w:t xml:space="preserve"> into</w:t>
            </w:r>
            <w:r w:rsidRPr="00BB5286">
              <w:rPr>
                <w:rFonts w:eastAsia="Calibri" w:cs="Times New Roman"/>
                <w:noProof/>
                <w:sz w:val="22"/>
                <w:lang w:val="en-GB"/>
              </w:rPr>
              <w:t xml:space="preserve"> </w:t>
            </w:r>
            <w:r w:rsidR="001675D8" w:rsidRPr="00BB5286">
              <w:rPr>
                <w:rFonts w:eastAsia="Calibri" w:cs="Times New Roman"/>
                <w:noProof/>
                <w:sz w:val="22"/>
                <w:lang w:val="en-GB"/>
              </w:rPr>
              <w:t>the</w:t>
            </w:r>
            <w:r w:rsidRPr="00BB5286">
              <w:rPr>
                <w:rFonts w:eastAsia="Calibri" w:cs="Times New Roman"/>
                <w:noProof/>
                <w:sz w:val="22"/>
                <w:lang w:val="en-GB"/>
              </w:rPr>
              <w:t xml:space="preserve"> reflection on the post</w:t>
            </w:r>
            <w:r w:rsidR="001675D8" w:rsidRPr="00BB5286">
              <w:rPr>
                <w:rFonts w:eastAsia="Calibri" w:cs="Times New Roman"/>
                <w:noProof/>
                <w:sz w:val="22"/>
                <w:lang w:val="en-GB"/>
              </w:rPr>
              <w:t>-</w:t>
            </w:r>
            <w:r w:rsidRPr="00BB5286">
              <w:rPr>
                <w:rFonts w:eastAsia="Calibri" w:cs="Times New Roman"/>
                <w:noProof/>
                <w:sz w:val="22"/>
                <w:lang w:val="en-GB"/>
              </w:rPr>
              <w:t>2027</w:t>
            </w:r>
            <w:r w:rsidR="001675D8" w:rsidRPr="00BB5286">
              <w:rPr>
                <w:rFonts w:eastAsia="Calibri" w:cs="Times New Roman"/>
                <w:noProof/>
                <w:sz w:val="22"/>
                <w:lang w:val="en-GB"/>
              </w:rPr>
              <w:t xml:space="preserve"> CAP</w:t>
            </w:r>
            <w:r w:rsidRPr="00BB5286">
              <w:rPr>
                <w:rFonts w:eastAsia="Calibri" w:cs="Times New Roman"/>
                <w:noProof/>
                <w:sz w:val="22"/>
                <w:lang w:val="en-GB"/>
              </w:rPr>
              <w:t>.</w:t>
            </w:r>
          </w:p>
        </w:tc>
      </w:tr>
      <w:tr w:rsidR="008C38EE" w:rsidRPr="00BB5286" w14:paraId="440357AF" w14:textId="77777777" w:rsidTr="009A4429">
        <w:trPr>
          <w:gridAfter w:val="2"/>
          <w:wAfter w:w="21" w:type="dxa"/>
          <w:trHeight w:val="1686"/>
        </w:trPr>
        <w:tc>
          <w:tcPr>
            <w:tcW w:w="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A719F" w14:textId="196BDA6C" w:rsidR="008C38EE" w:rsidRPr="00BB5286" w:rsidRDefault="008C38EE" w:rsidP="008C38EE">
            <w:pPr>
              <w:spacing w:after="60" w:line="259" w:lineRule="auto"/>
              <w:rPr>
                <w:rFonts w:eastAsia="Calibri" w:cs="Times New Roman"/>
                <w:b/>
                <w:noProof/>
                <w:sz w:val="22"/>
                <w:lang w:val="en-GB"/>
              </w:rPr>
            </w:pPr>
            <w:r w:rsidRPr="00BB5286">
              <w:rPr>
                <w:rFonts w:eastAsia="Calibri" w:cs="Times New Roman"/>
                <w:b/>
                <w:bCs/>
                <w:noProof/>
                <w:sz w:val="22"/>
                <w:lang w:val="en-GB"/>
              </w:rPr>
              <w:lastRenderedPageBreak/>
              <w:t>22</w:t>
            </w:r>
            <w:r w:rsidR="00A0403B">
              <w:rPr>
                <w:rFonts w:eastAsia="Calibri" w:cs="Times New Roman"/>
                <w:b/>
                <w:bCs/>
                <w:noProof/>
                <w:sz w:val="22"/>
                <w:lang w:val="en-GB"/>
              </w:rPr>
              <w:t>6</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5913F" w14:textId="15362757" w:rsidR="008C38EE" w:rsidRPr="00BB5286" w:rsidRDefault="008C38EE" w:rsidP="365B9462">
            <w:pPr>
              <w:spacing w:after="60" w:line="259" w:lineRule="auto"/>
              <w:rPr>
                <w:rFonts w:eastAsia="Calibri" w:cs="Times New Roman"/>
                <w:noProof/>
                <w:sz w:val="22"/>
                <w:szCs w:val="20"/>
                <w:lang w:val="en-GB"/>
              </w:rPr>
            </w:pPr>
            <w:r w:rsidRPr="00BB5286">
              <w:rPr>
                <w:rFonts w:eastAsia="Calibri" w:cs="Times New Roman"/>
                <w:b/>
                <w:bCs/>
                <w:noProof/>
                <w:sz w:val="22"/>
                <w:szCs w:val="20"/>
                <w:lang w:val="en-GB"/>
              </w:rPr>
              <w:t>Declarations</w:t>
            </w:r>
            <w:r w:rsidR="00410BF3" w:rsidRPr="00BB5286">
              <w:rPr>
                <w:rFonts w:eastAsia="Calibri" w:cs="Times New Roman"/>
                <w:b/>
                <w:bCs/>
                <w:noProof/>
                <w:sz w:val="22"/>
                <w:szCs w:val="20"/>
                <w:lang w:val="en-GB"/>
              </w:rPr>
              <w:t>:</w:t>
            </w:r>
            <w:r w:rsidRPr="00BB5286">
              <w:rPr>
                <w:rFonts w:eastAsia="Calibri" w:cs="Times New Roman"/>
                <w:noProof/>
                <w:sz w:val="22"/>
                <w:szCs w:val="20"/>
                <w:lang w:val="en-GB"/>
              </w:rPr>
              <w:t xml:space="preserve"> </w:t>
            </w:r>
            <w:r w:rsidR="7BB03FDF" w:rsidRPr="00BB5286">
              <w:rPr>
                <w:rFonts w:eastAsia="Calibri" w:cs="Times New Roman"/>
                <w:noProof/>
                <w:sz w:val="22"/>
                <w:szCs w:val="20"/>
                <w:lang w:val="en-GB"/>
              </w:rPr>
              <w:t>s</w:t>
            </w:r>
            <w:r w:rsidRPr="00BB5286">
              <w:rPr>
                <w:rFonts w:eastAsia="Calibri" w:cs="Times New Roman"/>
                <w:noProof/>
                <w:sz w:val="22"/>
                <w:szCs w:val="20"/>
                <w:lang w:val="en-GB"/>
              </w:rPr>
              <w:t>implify declarations for disasters and crop damage.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1BF02"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w:t>
            </w:r>
          </w:p>
        </w:tc>
        <w:tc>
          <w:tcPr>
            <w:tcW w:w="6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6E24" w14:textId="6BF0384B" w:rsidR="008C38EE" w:rsidRPr="00BB5286" w:rsidRDefault="008C38EE" w:rsidP="365B9462">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This matter falls under </w:t>
            </w:r>
            <w:r w:rsidR="001675D8" w:rsidRPr="00BB5286">
              <w:rPr>
                <w:rFonts w:eastAsia="Calibri" w:cs="Times New Roman"/>
                <w:noProof/>
                <w:sz w:val="22"/>
                <w:szCs w:val="20"/>
                <w:lang w:val="en-GB"/>
              </w:rPr>
              <w:t xml:space="preserve">the </w:t>
            </w:r>
            <w:r w:rsidRPr="00BB5286">
              <w:rPr>
                <w:rFonts w:eastAsia="Calibri" w:cs="Times New Roman"/>
                <w:noProof/>
                <w:sz w:val="22"/>
                <w:szCs w:val="20"/>
                <w:lang w:val="en-GB"/>
              </w:rPr>
              <w:t>Member States’ responsibility. For compensation under the interventions</w:t>
            </w:r>
            <w:r w:rsidR="001675D8" w:rsidRPr="00BB5286">
              <w:rPr>
                <w:rFonts w:eastAsia="Calibri" w:cs="Times New Roman"/>
                <w:noProof/>
                <w:sz w:val="22"/>
                <w:szCs w:val="20"/>
                <w:lang w:val="en-GB"/>
              </w:rPr>
              <w:t>’</w:t>
            </w:r>
            <w:r w:rsidRPr="00BB5286">
              <w:rPr>
                <w:rFonts w:eastAsia="Calibri" w:cs="Times New Roman"/>
                <w:noProof/>
                <w:sz w:val="22"/>
                <w:szCs w:val="20"/>
                <w:lang w:val="en-GB"/>
              </w:rPr>
              <w:t xml:space="preserve"> </w:t>
            </w:r>
            <w:r w:rsidR="001675D8" w:rsidRPr="00BB5286">
              <w:rPr>
                <w:rFonts w:eastAsia="Calibri" w:cs="Times New Roman"/>
                <w:noProof/>
                <w:sz w:val="22"/>
                <w:szCs w:val="20"/>
                <w:lang w:val="en-GB"/>
              </w:rPr>
              <w:t>r</w:t>
            </w:r>
            <w:r w:rsidRPr="00BB5286">
              <w:rPr>
                <w:rFonts w:eastAsia="Calibri" w:cs="Times New Roman"/>
                <w:noProof/>
                <w:sz w:val="22"/>
                <w:szCs w:val="20"/>
                <w:lang w:val="en-GB"/>
              </w:rPr>
              <w:t>isk management tools (</w:t>
            </w:r>
            <w:r w:rsidRPr="00BB5286">
              <w:rPr>
                <w:rFonts w:eastAsia="Calibri" w:cs="Times New Roman"/>
                <w:i/>
                <w:iCs/>
                <w:noProof/>
                <w:sz w:val="22"/>
                <w:szCs w:val="20"/>
                <w:lang w:val="en-GB"/>
              </w:rPr>
              <w:t>Article 76</w:t>
            </w:r>
            <w:r w:rsidRPr="00BB5286">
              <w:rPr>
                <w:rFonts w:eastAsia="Calibri" w:cs="Times New Roman"/>
                <w:noProof/>
                <w:sz w:val="22"/>
                <w:szCs w:val="20"/>
                <w:lang w:val="en-GB"/>
              </w:rPr>
              <w:t xml:space="preserve"> of </w:t>
            </w:r>
            <w:r w:rsidR="0A928C0B" w:rsidRPr="00BB5286">
              <w:rPr>
                <w:rFonts w:eastAsia="Calibri" w:cs="Times New Roman"/>
                <w:noProof/>
                <w:sz w:val="22"/>
                <w:szCs w:val="20"/>
                <w:lang w:val="en-GB"/>
              </w:rPr>
              <w:t xml:space="preserve">the CSP </w:t>
            </w:r>
            <w:r w:rsidRPr="00BB5286">
              <w:rPr>
                <w:rFonts w:eastAsia="Calibri" w:cs="Times New Roman"/>
                <w:noProof/>
                <w:sz w:val="22"/>
                <w:szCs w:val="20"/>
                <w:lang w:val="en-GB"/>
              </w:rPr>
              <w:t xml:space="preserve">Regulation), a formal recognition of the risk event in relation to production losses is no longer required </w:t>
            </w:r>
            <w:r w:rsidR="001675D8" w:rsidRPr="00BB5286">
              <w:rPr>
                <w:rFonts w:eastAsia="Calibri" w:cs="Times New Roman"/>
                <w:noProof/>
                <w:sz w:val="22"/>
                <w:szCs w:val="20"/>
                <w:lang w:val="en-GB"/>
              </w:rPr>
              <w:t>(</w:t>
            </w:r>
            <w:r w:rsidRPr="00BB5286">
              <w:rPr>
                <w:rFonts w:eastAsia="Calibri" w:cs="Times New Roman"/>
                <w:noProof/>
                <w:sz w:val="22"/>
                <w:szCs w:val="20"/>
                <w:lang w:val="en-GB"/>
              </w:rPr>
              <w:t xml:space="preserve">as was </w:t>
            </w:r>
            <w:r w:rsidR="001675D8" w:rsidRPr="00BB5286">
              <w:rPr>
                <w:rFonts w:eastAsia="Calibri" w:cs="Times New Roman"/>
                <w:noProof/>
                <w:sz w:val="22"/>
                <w:szCs w:val="20"/>
                <w:lang w:val="en-GB"/>
              </w:rPr>
              <w:t xml:space="preserve">the case </w:t>
            </w:r>
            <w:r w:rsidRPr="00BB5286">
              <w:rPr>
                <w:rFonts w:eastAsia="Calibri" w:cs="Times New Roman"/>
                <w:noProof/>
                <w:sz w:val="22"/>
                <w:szCs w:val="20"/>
                <w:lang w:val="en-GB"/>
              </w:rPr>
              <w:t>in the previous CAP programming period</w:t>
            </w:r>
            <w:r w:rsidR="001675D8" w:rsidRPr="00BB5286">
              <w:rPr>
                <w:rFonts w:eastAsia="Calibri" w:cs="Times New Roman"/>
                <w:noProof/>
                <w:sz w:val="22"/>
                <w:szCs w:val="20"/>
                <w:lang w:val="en-GB"/>
              </w:rPr>
              <w:t>)</w:t>
            </w:r>
            <w:r w:rsidRPr="00BB5286">
              <w:rPr>
                <w:rFonts w:eastAsia="Calibri" w:cs="Times New Roman"/>
                <w:noProof/>
                <w:sz w:val="22"/>
                <w:szCs w:val="20"/>
                <w:lang w:val="en-GB"/>
              </w:rPr>
              <w:t>.</w:t>
            </w:r>
          </w:p>
        </w:tc>
      </w:tr>
      <w:tr w:rsidR="008C38EE" w:rsidRPr="00BB5286" w14:paraId="0FA36AC5" w14:textId="77777777" w:rsidTr="008A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14776" w:type="dxa"/>
            <w:gridSpan w:val="8"/>
            <w:tcBorders>
              <w:top w:val="single" w:sz="4" w:space="0" w:color="auto"/>
              <w:left w:val="single" w:sz="4" w:space="0" w:color="auto"/>
              <w:bottom w:val="single" w:sz="4" w:space="0" w:color="auto"/>
              <w:right w:val="single" w:sz="4" w:space="0" w:color="auto"/>
            </w:tcBorders>
            <w:shd w:val="clear" w:color="auto" w:fill="003399"/>
          </w:tcPr>
          <w:p w14:paraId="47973A46" w14:textId="6C8992F9" w:rsidR="008C38EE" w:rsidRPr="00BB5286" w:rsidRDefault="008C38EE" w:rsidP="00482086">
            <w:pPr>
              <w:spacing w:before="120" w:after="12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t xml:space="preserve">Common </w:t>
            </w:r>
            <w:r w:rsidR="001675D8" w:rsidRPr="00BB5286">
              <w:rPr>
                <w:rFonts w:eastAsia="Calibri" w:cs="Times New Roman"/>
                <w:b/>
                <w:noProof/>
                <w:color w:val="FFFFFF"/>
                <w:sz w:val="22"/>
                <w:lang w:val="en-GB"/>
              </w:rPr>
              <w:t>m</w:t>
            </w:r>
            <w:r w:rsidRPr="00BB5286">
              <w:rPr>
                <w:rFonts w:eastAsia="Calibri" w:cs="Times New Roman"/>
                <w:b/>
                <w:noProof/>
                <w:color w:val="FFFFFF"/>
                <w:sz w:val="22"/>
                <w:lang w:val="en-GB"/>
              </w:rPr>
              <w:t xml:space="preserve">arket </w:t>
            </w:r>
            <w:r w:rsidR="001675D8" w:rsidRPr="00BB5286">
              <w:rPr>
                <w:rFonts w:eastAsia="Calibri" w:cs="Times New Roman"/>
                <w:b/>
                <w:noProof/>
                <w:color w:val="FFFFFF"/>
                <w:sz w:val="22"/>
                <w:lang w:val="en-GB"/>
              </w:rPr>
              <w:t>o</w:t>
            </w:r>
            <w:r w:rsidRPr="00BB5286">
              <w:rPr>
                <w:rFonts w:eastAsia="Calibri" w:cs="Times New Roman"/>
                <w:b/>
                <w:noProof/>
                <w:color w:val="FFFFFF"/>
                <w:sz w:val="22"/>
                <w:lang w:val="en-GB"/>
              </w:rPr>
              <w:t>rganisation</w:t>
            </w:r>
          </w:p>
        </w:tc>
      </w:tr>
      <w:tr w:rsidR="008C38EE" w:rsidRPr="00BB5286" w14:paraId="12D65004" w14:textId="77777777" w:rsidTr="008A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1294"/>
        </w:trPr>
        <w:tc>
          <w:tcPr>
            <w:tcW w:w="691" w:type="dxa"/>
            <w:gridSpan w:val="2"/>
            <w:tcBorders>
              <w:top w:val="single" w:sz="4" w:space="0" w:color="auto"/>
              <w:left w:val="single" w:sz="4" w:space="0" w:color="auto"/>
              <w:bottom w:val="single" w:sz="4" w:space="0" w:color="auto"/>
              <w:right w:val="single" w:sz="4" w:space="0" w:color="auto"/>
            </w:tcBorders>
            <w:vAlign w:val="center"/>
          </w:tcPr>
          <w:p w14:paraId="0B43CB28" w14:textId="77777777"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22</w:t>
            </w:r>
            <w:r w:rsidR="00A0403B">
              <w:rPr>
                <w:rFonts w:eastAsia="Calibri" w:cs="Times New Roman"/>
                <w:b/>
                <w:bCs/>
                <w:noProof/>
                <w:sz w:val="22"/>
                <w:lang w:val="en-GB"/>
              </w:rPr>
              <w:t>7</w:t>
            </w:r>
          </w:p>
        </w:tc>
        <w:tc>
          <w:tcPr>
            <w:tcW w:w="5868" w:type="dxa"/>
            <w:tcBorders>
              <w:top w:val="single" w:sz="4" w:space="0" w:color="auto"/>
              <w:left w:val="single" w:sz="4" w:space="0" w:color="auto"/>
              <w:bottom w:val="single" w:sz="4" w:space="0" w:color="auto"/>
              <w:right w:val="single" w:sz="4" w:space="0" w:color="auto"/>
            </w:tcBorders>
            <w:vAlign w:val="center"/>
          </w:tcPr>
          <w:p w14:paraId="42D56ADD" w14:textId="74D85111" w:rsidR="008C38EE" w:rsidRPr="00BB5286" w:rsidRDefault="008C38EE" w:rsidP="365B9462">
            <w:pPr>
              <w:spacing w:after="60" w:line="259" w:lineRule="auto"/>
              <w:jc w:val="both"/>
              <w:rPr>
                <w:rFonts w:eastAsia="Calibri" w:cs="Times New Roman"/>
                <w:b/>
                <w:bCs/>
                <w:noProof/>
                <w:sz w:val="22"/>
                <w:szCs w:val="20"/>
                <w:lang w:val="en-GB"/>
              </w:rPr>
            </w:pPr>
            <w:r w:rsidRPr="00BB5286">
              <w:rPr>
                <w:rFonts w:eastAsia="Calibri" w:cs="Times New Roman"/>
                <w:b/>
                <w:bCs/>
                <w:noProof/>
                <w:sz w:val="22"/>
                <w:szCs w:val="20"/>
                <w:lang w:val="en-GB"/>
              </w:rPr>
              <w:t>Wine</w:t>
            </w:r>
            <w:r w:rsidRPr="00BB5286">
              <w:rPr>
                <w:rFonts w:eastAsia="Calibri" w:cs="Times New Roman"/>
                <w:noProof/>
                <w:sz w:val="22"/>
                <w:szCs w:val="20"/>
                <w:lang w:val="en-GB"/>
              </w:rPr>
              <w:t xml:space="preserve">: </w:t>
            </w:r>
            <w:r w:rsidR="1DBF60D6" w:rsidRPr="00BB5286">
              <w:rPr>
                <w:rFonts w:eastAsia="Calibri" w:cs="Times New Roman"/>
                <w:noProof/>
                <w:sz w:val="22"/>
                <w:szCs w:val="20"/>
                <w:lang w:val="en-GB"/>
              </w:rPr>
              <w:t>e</w:t>
            </w:r>
            <w:r w:rsidRPr="00BB5286">
              <w:rPr>
                <w:rFonts w:eastAsia="Calibri" w:cs="Times New Roman"/>
                <w:noProof/>
                <w:sz w:val="22"/>
                <w:szCs w:val="20"/>
                <w:lang w:val="en-GB"/>
              </w:rPr>
              <w:t>xtend the validity of all vineyard planting authorisations to 8 years instead of 3 years. Elimination of the validity limit of replanting rights</w:t>
            </w:r>
            <w:r w:rsidR="00967CF8" w:rsidRPr="00BB5286">
              <w:rPr>
                <w:rFonts w:eastAsia="Calibri" w:cs="Times New Roman"/>
                <w:noProof/>
                <w:sz w:val="22"/>
                <w:szCs w:val="20"/>
                <w:lang w:val="en-GB"/>
              </w:rPr>
              <w:t>.</w:t>
            </w:r>
            <w:r w:rsidRPr="00BB5286">
              <w:rPr>
                <w:rFonts w:eastAsia="Calibri" w:cs="Times New Roman"/>
                <w:noProof/>
                <w:sz w:val="22"/>
                <w:szCs w:val="20"/>
                <w:lang w:val="en-GB"/>
              </w:rPr>
              <w:t xml:space="preserve"> </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10717602"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 IT</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6BC8D668" w14:textId="54CE512C" w:rsidR="008C38EE" w:rsidRPr="00BB5286" w:rsidRDefault="008C38EE" w:rsidP="008C38EE">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This suggestion was not taken up. Extending </w:t>
            </w:r>
            <w:r w:rsidR="001675D8" w:rsidRPr="00BB5286">
              <w:rPr>
                <w:rFonts w:eastAsia="Calibri" w:cs="Times New Roman"/>
                <w:noProof/>
                <w:sz w:val="22"/>
                <w:lang w:val="en-GB"/>
              </w:rPr>
              <w:t xml:space="preserve">the </w:t>
            </w:r>
            <w:r w:rsidRPr="00BB5286">
              <w:rPr>
                <w:rFonts w:eastAsia="Calibri" w:cs="Times New Roman"/>
                <w:noProof/>
                <w:sz w:val="22"/>
                <w:lang w:val="en-GB"/>
              </w:rPr>
              <w:t xml:space="preserve">validity of </w:t>
            </w:r>
            <w:r w:rsidR="001675D8" w:rsidRPr="00BB5286">
              <w:rPr>
                <w:rFonts w:eastAsia="Calibri" w:cs="Times New Roman"/>
                <w:noProof/>
                <w:sz w:val="22"/>
                <w:lang w:val="en-GB"/>
              </w:rPr>
              <w:t xml:space="preserve">authorisations for </w:t>
            </w:r>
            <w:r w:rsidRPr="00BB5286">
              <w:rPr>
                <w:rFonts w:eastAsia="Calibri" w:cs="Times New Roman"/>
                <w:noProof/>
                <w:sz w:val="22"/>
                <w:lang w:val="en-GB"/>
              </w:rPr>
              <w:t xml:space="preserve">new plantings would add more uncertainty to the evolution of production potential. </w:t>
            </w:r>
            <w:r w:rsidR="001675D8" w:rsidRPr="00BB5286">
              <w:rPr>
                <w:rFonts w:eastAsia="Calibri" w:cs="Times New Roman"/>
                <w:noProof/>
                <w:sz w:val="22"/>
                <w:lang w:val="en-GB"/>
              </w:rPr>
              <w:t>A w</w:t>
            </w:r>
            <w:r w:rsidRPr="00BB5286">
              <w:rPr>
                <w:rFonts w:eastAsia="Calibri" w:cs="Times New Roman"/>
                <w:noProof/>
                <w:sz w:val="22"/>
                <w:lang w:val="en-GB"/>
              </w:rPr>
              <w:t xml:space="preserve">ider discussion on wine-related issues will take place in the </w:t>
            </w:r>
            <w:r w:rsidR="001675D8" w:rsidRPr="00BB5286">
              <w:rPr>
                <w:rFonts w:eastAsia="Calibri" w:cs="Times New Roman"/>
                <w:noProof/>
                <w:sz w:val="22"/>
                <w:lang w:val="en-GB"/>
              </w:rPr>
              <w:t>h</w:t>
            </w:r>
            <w:r w:rsidRPr="00BB5286">
              <w:rPr>
                <w:rFonts w:eastAsia="Calibri" w:cs="Times New Roman"/>
                <w:noProof/>
                <w:sz w:val="22"/>
                <w:lang w:val="en-GB"/>
              </w:rPr>
              <w:t xml:space="preserve">igh-level group on wine that the Commission is </w:t>
            </w:r>
            <w:r w:rsidR="001675D8" w:rsidRPr="00BB5286">
              <w:rPr>
                <w:rFonts w:eastAsia="Calibri" w:cs="Times New Roman"/>
                <w:noProof/>
                <w:sz w:val="22"/>
                <w:lang w:val="en-GB"/>
              </w:rPr>
              <w:t>setting up</w:t>
            </w:r>
            <w:r w:rsidRPr="00BB5286">
              <w:rPr>
                <w:rFonts w:eastAsia="Calibri" w:cs="Times New Roman"/>
                <w:noProof/>
                <w:sz w:val="22"/>
                <w:lang w:val="en-GB"/>
              </w:rPr>
              <w:t xml:space="preserve">, which will provide an input for future reflections on the </w:t>
            </w:r>
            <w:r w:rsidR="00AF7B1A" w:rsidRPr="00BB5286">
              <w:rPr>
                <w:rFonts w:eastAsia="Calibri" w:cs="Times New Roman"/>
                <w:noProof/>
                <w:sz w:val="22"/>
                <w:lang w:val="en-GB"/>
              </w:rPr>
              <w:t xml:space="preserve">EU </w:t>
            </w:r>
            <w:r w:rsidRPr="00BB5286">
              <w:rPr>
                <w:rFonts w:eastAsia="Calibri" w:cs="Times New Roman"/>
                <w:noProof/>
                <w:sz w:val="22"/>
                <w:lang w:val="en-GB"/>
              </w:rPr>
              <w:t xml:space="preserve">wine policy </w:t>
            </w:r>
            <w:r w:rsidR="001675D8" w:rsidRPr="00BB5286">
              <w:rPr>
                <w:rFonts w:eastAsia="Calibri" w:cs="Times New Roman"/>
                <w:noProof/>
                <w:sz w:val="22"/>
                <w:lang w:val="en-GB"/>
              </w:rPr>
              <w:t xml:space="preserve">under the </w:t>
            </w:r>
            <w:r w:rsidRPr="00BB5286">
              <w:rPr>
                <w:rFonts w:eastAsia="Calibri" w:cs="Times New Roman"/>
                <w:noProof/>
                <w:sz w:val="22"/>
                <w:lang w:val="en-GB"/>
              </w:rPr>
              <w:t>post-2027</w:t>
            </w:r>
            <w:r w:rsidR="001675D8" w:rsidRPr="00BB5286">
              <w:rPr>
                <w:rFonts w:eastAsia="Calibri" w:cs="Times New Roman"/>
                <w:noProof/>
                <w:sz w:val="22"/>
                <w:lang w:val="en-GB"/>
              </w:rPr>
              <w:t xml:space="preserve"> CAP</w:t>
            </w:r>
            <w:r w:rsidRPr="00BB5286">
              <w:rPr>
                <w:rFonts w:eastAsia="Calibri" w:cs="Times New Roman"/>
                <w:noProof/>
                <w:sz w:val="22"/>
                <w:lang w:val="en-GB"/>
              </w:rPr>
              <w:t>.</w:t>
            </w:r>
          </w:p>
        </w:tc>
      </w:tr>
      <w:tr w:rsidR="008C38EE" w:rsidRPr="00BB5286" w14:paraId="54D299FF" w14:textId="77777777" w:rsidTr="008A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832"/>
        </w:trPr>
        <w:tc>
          <w:tcPr>
            <w:tcW w:w="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86339" w14:textId="48C7F2FE"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22</w:t>
            </w:r>
            <w:r w:rsidR="00A0403B">
              <w:rPr>
                <w:rFonts w:eastAsia="Calibri" w:cs="Times New Roman"/>
                <w:b/>
                <w:bCs/>
                <w:noProof/>
                <w:sz w:val="22"/>
                <w:lang w:val="en-GB"/>
              </w:rPr>
              <w:t>8</w:t>
            </w:r>
          </w:p>
        </w:tc>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1C935D46" w14:textId="2623EC23" w:rsidR="008C38EE" w:rsidRPr="00BB5286" w:rsidRDefault="5C6C48A8" w:rsidP="6F217AB4">
            <w:pPr>
              <w:spacing w:after="60" w:line="259" w:lineRule="auto"/>
              <w:jc w:val="both"/>
              <w:rPr>
                <w:rFonts w:eastAsia="Calibri" w:cs="Times New Roman"/>
                <w:b/>
                <w:bCs/>
                <w:noProof/>
                <w:sz w:val="22"/>
                <w:szCs w:val="20"/>
                <w:lang w:val="en-GB"/>
              </w:rPr>
            </w:pPr>
            <w:r w:rsidRPr="00BB5286">
              <w:rPr>
                <w:rFonts w:eastAsia="Calibri" w:cs="Times New Roman"/>
                <w:b/>
                <w:bCs/>
                <w:noProof/>
                <w:sz w:val="22"/>
                <w:szCs w:val="20"/>
                <w:lang w:val="en-GB"/>
              </w:rPr>
              <w:t>Wine</w:t>
            </w:r>
            <w:r w:rsidRPr="00BB5286">
              <w:rPr>
                <w:rFonts w:eastAsia="Calibri" w:cs="Times New Roman"/>
                <w:noProof/>
                <w:sz w:val="22"/>
                <w:szCs w:val="20"/>
                <w:lang w:val="en-GB"/>
              </w:rPr>
              <w:t xml:space="preserve">: </w:t>
            </w:r>
            <w:r w:rsidR="6ABB9E0A" w:rsidRPr="00BB5286">
              <w:rPr>
                <w:rFonts w:eastAsia="Calibri" w:cs="Times New Roman"/>
                <w:noProof/>
                <w:sz w:val="22"/>
                <w:szCs w:val="20"/>
                <w:lang w:val="en-GB"/>
              </w:rPr>
              <w:t>a</w:t>
            </w:r>
            <w:r w:rsidRPr="00BB5286">
              <w:rPr>
                <w:rFonts w:eastAsia="Calibri" w:cs="Times New Roman"/>
                <w:noProof/>
                <w:sz w:val="22"/>
                <w:szCs w:val="20"/>
                <w:lang w:val="en-GB"/>
              </w:rPr>
              <w:t>llow modifications of authorisation</w:t>
            </w:r>
            <w:r w:rsidR="0D5B1CEE" w:rsidRPr="00BB5286">
              <w:rPr>
                <w:rFonts w:eastAsia="Calibri" w:cs="Times New Roman"/>
                <w:noProof/>
                <w:sz w:val="22"/>
                <w:szCs w:val="20"/>
                <w:lang w:val="en-GB"/>
              </w:rPr>
              <w:t>s for the</w:t>
            </w:r>
            <w:r w:rsidRPr="00BB5286">
              <w:rPr>
                <w:rFonts w:eastAsia="Calibri" w:cs="Times New Roman"/>
                <w:noProof/>
                <w:sz w:val="22"/>
                <w:szCs w:val="20"/>
                <w:lang w:val="en-GB"/>
              </w:rPr>
              <w:t xml:space="preserve"> location of vineyard plantings to be requested and approved without prior justification, as long as the </w:t>
            </w:r>
            <w:r w:rsidR="0D5B1CEE" w:rsidRPr="00BB5286">
              <w:rPr>
                <w:rFonts w:eastAsia="Calibri" w:cs="Times New Roman"/>
                <w:noProof/>
                <w:sz w:val="22"/>
                <w:szCs w:val="20"/>
                <w:lang w:val="en-GB"/>
              </w:rPr>
              <w:t>other</w:t>
            </w:r>
            <w:r w:rsidRPr="00BB5286">
              <w:rPr>
                <w:rFonts w:eastAsia="Calibri" w:cs="Times New Roman"/>
                <w:noProof/>
                <w:sz w:val="22"/>
                <w:szCs w:val="20"/>
                <w:lang w:val="en-GB"/>
              </w:rPr>
              <w:t xml:space="preserve"> requirements are met.</w:t>
            </w: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DF88E" w14:textId="77777777" w:rsidR="008C38EE" w:rsidRPr="00BB5286" w:rsidRDefault="5C6C48A8" w:rsidP="6F217AB4">
            <w:pPr>
              <w:spacing w:after="60" w:line="259" w:lineRule="auto"/>
              <w:jc w:val="center"/>
              <w:rPr>
                <w:rFonts w:eastAsia="MS Gothic" w:cs="Times New Roman"/>
                <w:b/>
                <w:bCs/>
                <w:noProof/>
                <w:color w:val="0033CC"/>
                <w:sz w:val="22"/>
                <w:szCs w:val="20"/>
                <w:lang w:val="en-GB"/>
              </w:rPr>
            </w:pPr>
            <w:r w:rsidRPr="00BB5286">
              <w:rPr>
                <w:rFonts w:eastAsia="MS Gothic" w:cs="Times New Roman"/>
                <w:b/>
                <w:bCs/>
                <w:noProof/>
                <w:color w:val="0033CC"/>
                <w:sz w:val="22"/>
                <w:szCs w:val="20"/>
                <w:lang w:val="en-GB"/>
              </w:rPr>
              <w:t>ES</w:t>
            </w: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54D49" w14:textId="4B26C438" w:rsidR="008C38EE" w:rsidRPr="00BB5286" w:rsidRDefault="0D5B1CEE" w:rsidP="6F217AB4">
            <w:pPr>
              <w:spacing w:after="60" w:line="259" w:lineRule="auto"/>
              <w:jc w:val="both"/>
              <w:rPr>
                <w:rFonts w:eastAsia="Calibri" w:cs="Times New Roman"/>
                <w:noProof/>
                <w:sz w:val="22"/>
                <w:szCs w:val="20"/>
                <w:lang w:val="en-GB"/>
              </w:rPr>
            </w:pPr>
            <w:r w:rsidRPr="00CD48A7">
              <w:rPr>
                <w:rFonts w:eastAsia="Calibri" w:cs="Times New Roman"/>
                <w:noProof/>
                <w:sz w:val="22"/>
                <w:szCs w:val="20"/>
                <w:lang w:val="en-GB"/>
              </w:rPr>
              <w:t>The f</w:t>
            </w:r>
            <w:r w:rsidR="5C6C48A8" w:rsidRPr="00CD48A7">
              <w:rPr>
                <w:rFonts w:eastAsia="Calibri" w:cs="Times New Roman"/>
                <w:noProof/>
                <w:sz w:val="22"/>
                <w:szCs w:val="20"/>
                <w:lang w:val="en-GB"/>
              </w:rPr>
              <w:t>easibility and impact of this suggestion is being examined.</w:t>
            </w:r>
          </w:p>
        </w:tc>
      </w:tr>
      <w:tr w:rsidR="008C38EE" w:rsidRPr="00BB5286" w14:paraId="3C58F6AD" w14:textId="77777777" w:rsidTr="008A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571"/>
        </w:trPr>
        <w:tc>
          <w:tcPr>
            <w:tcW w:w="691" w:type="dxa"/>
            <w:gridSpan w:val="2"/>
            <w:tcBorders>
              <w:top w:val="single" w:sz="4" w:space="0" w:color="auto"/>
              <w:left w:val="single" w:sz="4" w:space="0" w:color="auto"/>
              <w:bottom w:val="single" w:sz="4" w:space="0" w:color="auto"/>
              <w:right w:val="single" w:sz="4" w:space="0" w:color="auto"/>
            </w:tcBorders>
            <w:vAlign w:val="center"/>
          </w:tcPr>
          <w:p w14:paraId="2E6AB97C" w14:textId="71F98B20" w:rsidR="008C38EE" w:rsidRPr="00BB5286" w:rsidRDefault="008C38EE"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w:t>
            </w:r>
            <w:r w:rsidR="00A0403B">
              <w:rPr>
                <w:rFonts w:eastAsia="Calibri" w:cs="Times New Roman"/>
                <w:b/>
                <w:bCs/>
                <w:noProof/>
                <w:sz w:val="22"/>
                <w:lang w:val="en-GB"/>
              </w:rPr>
              <w:t>29</w:t>
            </w:r>
          </w:p>
        </w:tc>
        <w:tc>
          <w:tcPr>
            <w:tcW w:w="5868" w:type="dxa"/>
            <w:tcBorders>
              <w:top w:val="single" w:sz="4" w:space="0" w:color="auto"/>
              <w:left w:val="single" w:sz="4" w:space="0" w:color="auto"/>
              <w:bottom w:val="single" w:sz="4" w:space="0" w:color="auto"/>
              <w:right w:val="single" w:sz="4" w:space="0" w:color="auto"/>
            </w:tcBorders>
            <w:vAlign w:val="center"/>
          </w:tcPr>
          <w:p w14:paraId="4F5A9F77" w14:textId="30576BC9" w:rsidR="008C38EE" w:rsidRPr="00BB5286" w:rsidRDefault="001675D8" w:rsidP="365B9462">
            <w:pPr>
              <w:spacing w:after="60" w:line="259" w:lineRule="auto"/>
              <w:jc w:val="both"/>
              <w:rPr>
                <w:rFonts w:eastAsia="Calibri" w:cs="Times New Roman"/>
                <w:b/>
                <w:bCs/>
                <w:noProof/>
                <w:sz w:val="22"/>
                <w:szCs w:val="20"/>
                <w:lang w:val="en-GB"/>
              </w:rPr>
            </w:pPr>
            <w:r w:rsidRPr="00BB5286">
              <w:rPr>
                <w:rFonts w:eastAsia="Calibri" w:cs="Times New Roman"/>
                <w:b/>
                <w:bCs/>
                <w:noProof/>
                <w:sz w:val="22"/>
                <w:szCs w:val="20"/>
                <w:lang w:val="en-GB"/>
              </w:rPr>
              <w:t>Producer organisations (</w:t>
            </w:r>
            <w:r w:rsidR="008C38EE" w:rsidRPr="00BB5286">
              <w:rPr>
                <w:rFonts w:eastAsia="Calibri" w:cs="Times New Roman"/>
                <w:b/>
                <w:bCs/>
                <w:noProof/>
                <w:sz w:val="22"/>
                <w:szCs w:val="20"/>
                <w:lang w:val="en-GB"/>
              </w:rPr>
              <w:t>P</w:t>
            </w:r>
            <w:r w:rsidR="62F5335F" w:rsidRPr="00BB5286">
              <w:rPr>
                <w:rFonts w:eastAsia="Calibri" w:cs="Times New Roman"/>
                <w:b/>
                <w:bCs/>
                <w:noProof/>
                <w:sz w:val="22"/>
                <w:szCs w:val="20"/>
                <w:lang w:val="en-GB"/>
              </w:rPr>
              <w:t>O</w:t>
            </w:r>
            <w:r w:rsidR="008C38EE" w:rsidRPr="00BB5286">
              <w:rPr>
                <w:rFonts w:eastAsia="Calibri" w:cs="Times New Roman"/>
                <w:b/>
                <w:bCs/>
                <w:noProof/>
                <w:sz w:val="22"/>
                <w:szCs w:val="20"/>
                <w:lang w:val="en-GB"/>
              </w:rPr>
              <w:t>s</w:t>
            </w:r>
            <w:r w:rsidRPr="00BB5286">
              <w:rPr>
                <w:rFonts w:eastAsia="Calibri" w:cs="Times New Roman"/>
                <w:b/>
                <w:bCs/>
                <w:noProof/>
                <w:sz w:val="22"/>
                <w:szCs w:val="20"/>
                <w:lang w:val="en-GB"/>
              </w:rPr>
              <w:t>)</w:t>
            </w:r>
            <w:r w:rsidR="008C38EE" w:rsidRPr="00BB5286">
              <w:rPr>
                <w:rFonts w:eastAsia="Calibri" w:cs="Times New Roman"/>
                <w:b/>
                <w:bCs/>
                <w:noProof/>
                <w:sz w:val="22"/>
                <w:szCs w:val="20"/>
                <w:lang w:val="en-GB"/>
              </w:rPr>
              <w:t>:</w:t>
            </w:r>
            <w:r w:rsidR="008C38EE" w:rsidRPr="00BB5286">
              <w:rPr>
                <w:rFonts w:eastAsia="Calibri" w:cs="Times New Roman"/>
                <w:noProof/>
                <w:sz w:val="22"/>
                <w:szCs w:val="20"/>
                <w:lang w:val="en-GB"/>
              </w:rPr>
              <w:t xml:space="preserve"> </w:t>
            </w:r>
            <w:r w:rsidR="4136EBBA" w:rsidRPr="00BB5286">
              <w:rPr>
                <w:rFonts w:eastAsia="Calibri" w:cs="Times New Roman"/>
                <w:noProof/>
                <w:sz w:val="22"/>
                <w:szCs w:val="20"/>
                <w:lang w:val="en-GB"/>
              </w:rPr>
              <w:t>s</w:t>
            </w:r>
            <w:r w:rsidR="008C38EE" w:rsidRPr="00BB5286">
              <w:rPr>
                <w:rFonts w:eastAsia="Calibri" w:cs="Times New Roman"/>
                <w:noProof/>
                <w:sz w:val="22"/>
                <w:szCs w:val="20"/>
                <w:lang w:val="en-GB"/>
              </w:rPr>
              <w:t xml:space="preserve">uggestion for manuals on the recognition and operation of POs, </w:t>
            </w:r>
            <w:r w:rsidRPr="00BB5286">
              <w:rPr>
                <w:rFonts w:eastAsia="Calibri" w:cs="Times New Roman"/>
                <w:noProof/>
                <w:sz w:val="22"/>
                <w:szCs w:val="20"/>
                <w:lang w:val="en-GB"/>
              </w:rPr>
              <w:t>i</w:t>
            </w:r>
            <w:r w:rsidR="008C38EE" w:rsidRPr="00BB5286">
              <w:rPr>
                <w:rFonts w:eastAsia="Calibri" w:cs="Times New Roman"/>
                <w:noProof/>
                <w:sz w:val="22"/>
                <w:szCs w:val="20"/>
                <w:lang w:val="en-GB"/>
              </w:rPr>
              <w:t xml:space="preserve">nterprofessional </w:t>
            </w:r>
            <w:r w:rsidRPr="00BB5286">
              <w:rPr>
                <w:rFonts w:eastAsia="Calibri" w:cs="Times New Roman"/>
                <w:noProof/>
                <w:sz w:val="22"/>
                <w:szCs w:val="20"/>
                <w:lang w:val="en-GB"/>
              </w:rPr>
              <w:t>o</w:t>
            </w:r>
            <w:r w:rsidR="008C38EE" w:rsidRPr="00BB5286">
              <w:rPr>
                <w:rFonts w:eastAsia="Calibri" w:cs="Times New Roman"/>
                <w:noProof/>
                <w:sz w:val="22"/>
                <w:szCs w:val="20"/>
                <w:lang w:val="en-GB"/>
              </w:rPr>
              <w:t xml:space="preserve">rganisations, </w:t>
            </w:r>
            <w:r w:rsidR="007F58CB" w:rsidRPr="00BB5286">
              <w:rPr>
                <w:rFonts w:eastAsia="Calibri" w:cs="Times New Roman"/>
                <w:noProof/>
                <w:sz w:val="22"/>
                <w:szCs w:val="20"/>
                <w:lang w:val="en-GB"/>
              </w:rPr>
              <w:t>practices,</w:t>
            </w:r>
            <w:r w:rsidR="008C38EE" w:rsidRPr="00BB5286">
              <w:rPr>
                <w:rFonts w:eastAsia="Calibri" w:cs="Times New Roman"/>
                <w:noProof/>
                <w:sz w:val="22"/>
                <w:szCs w:val="20"/>
                <w:lang w:val="en-GB"/>
              </w:rPr>
              <w:t xml:space="preserve"> and exemptions from competition rules applicable to the agri-food sector.</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62A474C4" w14:textId="77777777" w:rsidR="008C38EE" w:rsidRPr="00BB5286" w:rsidRDefault="008C38EE"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PT</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5A20698E" w14:textId="3EA48C46" w:rsidR="008C38EE" w:rsidRPr="00CD48A7" w:rsidRDefault="008C38EE" w:rsidP="365B9462">
            <w:pPr>
              <w:spacing w:after="60" w:line="259" w:lineRule="auto"/>
              <w:jc w:val="both"/>
              <w:rPr>
                <w:rFonts w:eastAsia="Calibri" w:cs="Times New Roman"/>
                <w:noProof/>
                <w:sz w:val="22"/>
                <w:szCs w:val="20"/>
                <w:lang w:val="en-GB"/>
              </w:rPr>
            </w:pPr>
            <w:r w:rsidRPr="00CD48A7">
              <w:rPr>
                <w:rFonts w:eastAsia="Calibri" w:cs="Times New Roman"/>
                <w:noProof/>
                <w:sz w:val="22"/>
                <w:szCs w:val="20"/>
                <w:lang w:val="en-GB"/>
              </w:rPr>
              <w:t xml:space="preserve">The EU CAP network regularly publishes good practices in implementing the CAP. It organises every year a forum </w:t>
            </w:r>
            <w:r w:rsidR="001675D8" w:rsidRPr="00CD48A7">
              <w:rPr>
                <w:rFonts w:eastAsia="Calibri" w:cs="Times New Roman"/>
                <w:noProof/>
                <w:sz w:val="22"/>
                <w:szCs w:val="20"/>
                <w:lang w:val="en-GB"/>
              </w:rPr>
              <w:t xml:space="preserve">to </w:t>
            </w:r>
            <w:r w:rsidRPr="00CD48A7">
              <w:rPr>
                <w:rFonts w:eastAsia="Calibri" w:cs="Times New Roman"/>
                <w:noProof/>
                <w:sz w:val="22"/>
                <w:szCs w:val="20"/>
                <w:lang w:val="en-GB"/>
              </w:rPr>
              <w:t>exchange best practices in the food supply chain. Recognition of POs and IBOs (</w:t>
            </w:r>
            <w:r w:rsidR="001675D8" w:rsidRPr="00CD48A7">
              <w:rPr>
                <w:rFonts w:eastAsia="Calibri" w:cs="Times New Roman"/>
                <w:noProof/>
                <w:sz w:val="22"/>
                <w:szCs w:val="20"/>
                <w:lang w:val="en-GB"/>
              </w:rPr>
              <w:t>i</w:t>
            </w:r>
            <w:r w:rsidRPr="00CD48A7">
              <w:rPr>
                <w:rFonts w:eastAsia="Calibri" w:cs="Times New Roman"/>
                <w:noProof/>
                <w:sz w:val="22"/>
                <w:szCs w:val="20"/>
                <w:lang w:val="en-GB"/>
              </w:rPr>
              <w:t xml:space="preserve">nterbranch organisations) often relies on national specificities and procedural rules that an EU-level manual would not be able to capture. Guidance </w:t>
            </w:r>
            <w:r w:rsidR="00B3502C" w:rsidRPr="00CD48A7">
              <w:rPr>
                <w:rFonts w:eastAsia="Calibri" w:cs="Times New Roman"/>
                <w:noProof/>
                <w:sz w:val="22"/>
                <w:szCs w:val="20"/>
                <w:lang w:val="en-GB"/>
              </w:rPr>
              <w:t xml:space="preserve">on </w:t>
            </w:r>
            <w:r w:rsidRPr="00CD48A7">
              <w:rPr>
                <w:rFonts w:eastAsia="Calibri" w:cs="Times New Roman"/>
                <w:noProof/>
                <w:sz w:val="22"/>
                <w:szCs w:val="20"/>
                <w:lang w:val="en-GB"/>
              </w:rPr>
              <w:t xml:space="preserve">the exception to competition rules under </w:t>
            </w:r>
            <w:r w:rsidRPr="00CD48A7">
              <w:rPr>
                <w:rFonts w:eastAsia="Calibri" w:cs="Times New Roman"/>
                <w:i/>
                <w:iCs/>
                <w:noProof/>
                <w:sz w:val="22"/>
                <w:szCs w:val="20"/>
                <w:lang w:val="en-GB"/>
              </w:rPr>
              <w:t>Article 210a</w:t>
            </w:r>
            <w:r w:rsidRPr="00CD48A7">
              <w:rPr>
                <w:rFonts w:eastAsia="Calibri" w:cs="Times New Roman"/>
                <w:noProof/>
                <w:sz w:val="22"/>
                <w:szCs w:val="20"/>
                <w:lang w:val="en-GB"/>
              </w:rPr>
              <w:t xml:space="preserve"> of Regulation (EU) No </w:t>
            </w:r>
            <w:r w:rsidRPr="00CD48A7">
              <w:rPr>
                <w:rFonts w:eastAsia="Calibri" w:cs="Times New Roman"/>
                <w:noProof/>
                <w:sz w:val="22"/>
                <w:szCs w:val="20"/>
                <w:lang w:val="en-GB"/>
              </w:rPr>
              <w:lastRenderedPageBreak/>
              <w:t>1308/2013 has been provided as a part of new</w:t>
            </w:r>
            <w:r w:rsidR="4540F854" w:rsidRPr="00CD48A7">
              <w:rPr>
                <w:rFonts w:eastAsia="Calibri" w:cs="Times New Roman"/>
                <w:noProof/>
                <w:sz w:val="22"/>
                <w:szCs w:val="20"/>
                <w:lang w:val="en-GB"/>
              </w:rPr>
              <w:t xml:space="preserve"> </w:t>
            </w:r>
            <w:r w:rsidR="001675D8" w:rsidRPr="00CD48A7">
              <w:rPr>
                <w:rFonts w:eastAsia="Calibri" w:cs="Times New Roman"/>
                <w:noProof/>
                <w:sz w:val="22"/>
                <w:szCs w:val="20"/>
                <w:lang w:val="en-GB"/>
              </w:rPr>
              <w:t>‘</w:t>
            </w:r>
            <w:r w:rsidRPr="00CD48A7">
              <w:rPr>
                <w:rFonts w:eastAsia="Calibri" w:cs="Times New Roman"/>
                <w:noProof/>
                <w:sz w:val="22"/>
                <w:szCs w:val="20"/>
                <w:lang w:val="en-GB"/>
              </w:rPr>
              <w:t xml:space="preserve">Commission guidelines on the exclusion from </w:t>
            </w:r>
            <w:r w:rsidRPr="00CD48A7">
              <w:rPr>
                <w:rFonts w:eastAsia="Calibri" w:cs="Times New Roman"/>
                <w:i/>
                <w:iCs/>
                <w:noProof/>
                <w:sz w:val="22"/>
                <w:szCs w:val="20"/>
                <w:lang w:val="en-GB"/>
              </w:rPr>
              <w:t xml:space="preserve">Article 101 </w:t>
            </w:r>
            <w:r w:rsidRPr="00CD48A7">
              <w:rPr>
                <w:rFonts w:eastAsia="Calibri" w:cs="Times New Roman"/>
                <w:noProof/>
                <w:sz w:val="22"/>
                <w:szCs w:val="20"/>
                <w:lang w:val="en-GB"/>
              </w:rPr>
              <w:t xml:space="preserve">of the Treaty on the Functioning of the European Union for sustainability agreements of agricultural producers pursuant to </w:t>
            </w:r>
            <w:r w:rsidRPr="00CD48A7">
              <w:rPr>
                <w:rFonts w:eastAsia="Calibri" w:cs="Times New Roman"/>
                <w:i/>
                <w:iCs/>
                <w:noProof/>
                <w:sz w:val="22"/>
                <w:szCs w:val="20"/>
                <w:lang w:val="en-GB"/>
              </w:rPr>
              <w:t xml:space="preserve">Article 210a </w:t>
            </w:r>
            <w:r w:rsidRPr="00CD48A7">
              <w:rPr>
                <w:rFonts w:eastAsia="Calibri" w:cs="Times New Roman"/>
                <w:noProof/>
                <w:sz w:val="22"/>
                <w:szCs w:val="20"/>
                <w:lang w:val="en-GB"/>
              </w:rPr>
              <w:t>of Regulation (EU) No 1308/2013</w:t>
            </w:r>
            <w:r w:rsidR="00B3502C" w:rsidRPr="00CD48A7">
              <w:rPr>
                <w:rFonts w:eastAsia="Calibri" w:cs="Times New Roman"/>
                <w:noProof/>
                <w:sz w:val="22"/>
                <w:szCs w:val="20"/>
                <w:lang w:val="en-GB"/>
              </w:rPr>
              <w:t>’</w:t>
            </w:r>
            <w:r w:rsidRPr="00CD48A7">
              <w:rPr>
                <w:rFonts w:eastAsia="Calibri" w:cs="Times New Roman"/>
                <w:noProof/>
                <w:sz w:val="22"/>
                <w:szCs w:val="20"/>
                <w:lang w:val="en-GB"/>
              </w:rPr>
              <w:t xml:space="preserve"> (C/2023/1446 of 8 December 2023).</w:t>
            </w:r>
          </w:p>
          <w:p w14:paraId="287E4B13" w14:textId="6FB64155" w:rsidR="008C38EE" w:rsidRPr="00BB5286" w:rsidRDefault="00B3502C" w:rsidP="365B9462">
            <w:pPr>
              <w:spacing w:after="60" w:line="259" w:lineRule="auto"/>
              <w:jc w:val="both"/>
              <w:rPr>
                <w:rFonts w:eastAsia="Calibri" w:cs="Times New Roman"/>
                <w:noProof/>
                <w:sz w:val="22"/>
                <w:szCs w:val="20"/>
                <w:lang w:val="en-GB"/>
              </w:rPr>
            </w:pPr>
            <w:r w:rsidRPr="00CD48A7">
              <w:rPr>
                <w:rFonts w:eastAsia="Calibri" w:cs="Times New Roman"/>
                <w:noProof/>
                <w:sz w:val="22"/>
                <w:szCs w:val="20"/>
                <w:lang w:val="en-GB"/>
              </w:rPr>
              <w:t xml:space="preserve">The </w:t>
            </w:r>
            <w:r w:rsidR="007F58CB" w:rsidRPr="00CD48A7">
              <w:rPr>
                <w:rFonts w:eastAsia="Calibri" w:cs="Times New Roman"/>
                <w:noProof/>
                <w:sz w:val="22"/>
                <w:szCs w:val="20"/>
                <w:lang w:val="en-GB"/>
              </w:rPr>
              <w:t>manual ‘</w:t>
            </w:r>
            <w:r w:rsidR="008C38EE" w:rsidRPr="00CD48A7">
              <w:rPr>
                <w:rFonts w:eastAsia="Calibri" w:cs="Times New Roman"/>
                <w:i/>
                <w:iCs/>
                <w:noProof/>
                <w:sz w:val="22"/>
                <w:szCs w:val="20"/>
                <w:lang w:val="en-GB"/>
              </w:rPr>
              <w:t>Establishing an Operational Programme</w:t>
            </w:r>
            <w:r w:rsidRPr="00CD48A7">
              <w:rPr>
                <w:rFonts w:eastAsia="Calibri" w:cs="Times New Roman"/>
                <w:i/>
                <w:iCs/>
                <w:noProof/>
                <w:sz w:val="22"/>
                <w:szCs w:val="20"/>
                <w:lang w:val="en-GB"/>
              </w:rPr>
              <w:t xml:space="preserve"> - </w:t>
            </w:r>
            <w:r w:rsidR="008C38EE" w:rsidRPr="00CD48A7">
              <w:rPr>
                <w:rFonts w:eastAsia="Calibri" w:cs="Times New Roman"/>
                <w:i/>
                <w:iCs/>
                <w:noProof/>
                <w:sz w:val="22"/>
                <w:szCs w:val="20"/>
                <w:lang w:val="en-GB"/>
              </w:rPr>
              <w:t>supporting producer organisations</w:t>
            </w:r>
            <w:r w:rsidRPr="00CD48A7">
              <w:rPr>
                <w:rFonts w:eastAsia="Calibri" w:cs="Times New Roman"/>
                <w:i/>
                <w:iCs/>
                <w:noProof/>
                <w:sz w:val="22"/>
                <w:szCs w:val="20"/>
                <w:lang w:val="en-GB"/>
              </w:rPr>
              <w:t>’</w:t>
            </w:r>
            <w:r w:rsidR="008C38EE" w:rsidRPr="00CD48A7">
              <w:rPr>
                <w:rFonts w:eastAsia="Calibri" w:cs="Times New Roman"/>
                <w:noProof/>
                <w:sz w:val="22"/>
                <w:szCs w:val="20"/>
                <w:lang w:val="en-GB"/>
              </w:rPr>
              <w:t xml:space="preserve"> is </w:t>
            </w:r>
            <w:r w:rsidRPr="00CD48A7">
              <w:rPr>
                <w:rFonts w:eastAsia="Calibri" w:cs="Times New Roman"/>
                <w:noProof/>
                <w:sz w:val="22"/>
                <w:szCs w:val="20"/>
                <w:lang w:val="en-GB"/>
              </w:rPr>
              <w:t xml:space="preserve">also </w:t>
            </w:r>
            <w:r w:rsidR="008C38EE" w:rsidRPr="00CD48A7">
              <w:rPr>
                <w:rFonts w:eastAsia="Calibri" w:cs="Times New Roman"/>
                <w:noProof/>
                <w:sz w:val="22"/>
                <w:szCs w:val="20"/>
                <w:lang w:val="en-GB"/>
              </w:rPr>
              <w:t>available:</w:t>
            </w:r>
          </w:p>
          <w:p w14:paraId="1012CD41" w14:textId="2D6B5361" w:rsidR="008C38EE" w:rsidRPr="00BB5286" w:rsidRDefault="00BE3ED1" w:rsidP="008C38EE">
            <w:pPr>
              <w:spacing w:after="60" w:line="259" w:lineRule="auto"/>
              <w:jc w:val="both"/>
              <w:rPr>
                <w:rFonts w:eastAsia="Calibri" w:cs="Times New Roman"/>
                <w:noProof/>
                <w:sz w:val="22"/>
                <w:lang w:val="en-GB"/>
              </w:rPr>
            </w:pPr>
            <w:hyperlink r:id="rId45">
              <w:r w:rsidR="008C38EE" w:rsidRPr="00BB5286">
                <w:rPr>
                  <w:rFonts w:eastAsia="Calibri" w:cs="Times New Roman"/>
                  <w:noProof/>
                  <w:color w:val="0563C1"/>
                  <w:sz w:val="22"/>
                  <w:u w:val="single"/>
                  <w:lang w:val="en-GB"/>
                </w:rPr>
                <w:t>https://op.europa.eu/en/publication-detail/-/publication/beca5d94-7d21-11ee-99ba-01aa75ed71a1/language-en</w:t>
              </w:r>
            </w:hyperlink>
            <w:r w:rsidR="008C38EE" w:rsidRPr="00BB5286">
              <w:rPr>
                <w:rFonts w:eastAsia="Calibri" w:cs="Times New Roman"/>
                <w:noProof/>
                <w:color w:val="0563C1"/>
                <w:sz w:val="22"/>
                <w:u w:val="single"/>
                <w:lang w:val="en-GB"/>
              </w:rPr>
              <w:t>.</w:t>
            </w:r>
            <w:r w:rsidR="008C38EE" w:rsidRPr="00BB5286">
              <w:rPr>
                <w:rFonts w:eastAsia="Calibri" w:cs="Times New Roman"/>
                <w:noProof/>
                <w:sz w:val="22"/>
                <w:lang w:val="en-GB"/>
              </w:rPr>
              <w:t xml:space="preserve"> </w:t>
            </w:r>
          </w:p>
        </w:tc>
      </w:tr>
    </w:tbl>
    <w:p w14:paraId="3BFC304D" w14:textId="05B03213" w:rsidR="00DD35AD" w:rsidRPr="00BB5286" w:rsidRDefault="00DD35AD" w:rsidP="00724676">
      <w:pPr>
        <w:spacing w:after="60"/>
        <w:rPr>
          <w:rFonts w:eastAsia="Calibri" w:cs="Times New Roman"/>
          <w:noProof/>
          <w:kern w:val="0"/>
          <w:sz w:val="22"/>
          <w:lang w:val="en-GB"/>
          <w14:ligatures w14:val="none"/>
        </w:rPr>
        <w:sectPr w:rsidR="00DD35AD" w:rsidRPr="00BB5286" w:rsidSect="007B2EEB">
          <w:headerReference w:type="even" r:id="rId46"/>
          <w:headerReference w:type="default" r:id="rId47"/>
          <w:footerReference w:type="even" r:id="rId48"/>
          <w:footerReference w:type="default" r:id="rId49"/>
          <w:headerReference w:type="first" r:id="rId50"/>
          <w:footerReference w:type="first" r:id="rId51"/>
          <w:pgSz w:w="16838" w:h="11906" w:orient="landscape"/>
          <w:pgMar w:top="1417" w:right="818" w:bottom="2430" w:left="1417" w:header="708" w:footer="708" w:gutter="0"/>
          <w:cols w:space="708"/>
          <w:titlePg/>
          <w:docGrid w:linePitch="360"/>
        </w:sectPr>
      </w:pPr>
    </w:p>
    <w:p w14:paraId="54D5D190" w14:textId="77777777" w:rsidR="00872C68" w:rsidRPr="00BB5286" w:rsidRDefault="00872C68" w:rsidP="00967CF8">
      <w:pPr>
        <w:pStyle w:val="Heading4"/>
        <w:spacing w:before="0" w:after="60" w:line="259" w:lineRule="auto"/>
        <w:ind w:left="142" w:right="376"/>
        <w:rPr>
          <w:rFonts w:ascii="Times New Roman" w:hAnsi="Times New Roman" w:cs="Times New Roman"/>
          <w:noProof/>
          <w:sz w:val="22"/>
          <w:szCs w:val="22"/>
          <w:lang w:val="en-GB"/>
        </w:rPr>
      </w:pPr>
      <w:r w:rsidRPr="00BB5286">
        <w:rPr>
          <w:rFonts w:ascii="Times New Roman" w:hAnsi="Times New Roman" w:cs="Times New Roman"/>
          <w:noProof/>
          <w:sz w:val="22"/>
          <w:szCs w:val="22"/>
          <w:lang w:val="en-GB"/>
        </w:rPr>
        <w:lastRenderedPageBreak/>
        <w:t>IV. OTHER ELEMENTS OF THE CAP/OTHER INSTRUMENTS OF AND RELATED TO THE CAP</w:t>
      </w:r>
    </w:p>
    <w:p w14:paraId="3D5D7F78" w14:textId="77777777" w:rsidR="00364D18" w:rsidRPr="00BB5286" w:rsidRDefault="00364D18">
      <w:pPr>
        <w:rPr>
          <w:noProof/>
          <w:sz w:val="22"/>
          <w:szCs w:val="20"/>
        </w:rPr>
      </w:pPr>
    </w:p>
    <w:tbl>
      <w:tblPr>
        <w:tblStyle w:val="TableGrid1"/>
        <w:tblW w:w="143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6"/>
        <w:gridCol w:w="5859"/>
        <w:gridCol w:w="1530"/>
        <w:gridCol w:w="6300"/>
      </w:tblGrid>
      <w:tr w:rsidR="00BD2137" w:rsidRPr="00BB5286" w14:paraId="5D9C5668" w14:textId="77777777" w:rsidTr="00FD703D">
        <w:trPr>
          <w:trHeight w:val="672"/>
        </w:trPr>
        <w:tc>
          <w:tcPr>
            <w:tcW w:w="6565" w:type="dxa"/>
            <w:gridSpan w:val="2"/>
            <w:tcBorders>
              <w:bottom w:val="single" w:sz="4" w:space="0" w:color="000000" w:themeColor="text1"/>
            </w:tcBorders>
            <w:vAlign w:val="center"/>
          </w:tcPr>
          <w:p w14:paraId="42B77404" w14:textId="3FBB0B0A" w:rsidR="00BD2137" w:rsidRPr="00BB5286" w:rsidRDefault="00BD2137">
            <w:pPr>
              <w:spacing w:after="60" w:line="259" w:lineRule="auto"/>
              <w:jc w:val="center"/>
              <w:rPr>
                <w:rFonts w:eastAsia="Calibri" w:cs="Times New Roman"/>
                <w:noProof/>
                <w:sz w:val="22"/>
                <w:lang w:val="en-GB"/>
              </w:rPr>
            </w:pPr>
            <w:r w:rsidRPr="00BB5286">
              <w:rPr>
                <w:b/>
                <w:bCs/>
                <w:noProof/>
                <w:sz w:val="22"/>
                <w:szCs w:val="20"/>
                <w:lang w:val="en-GB"/>
              </w:rPr>
              <w:t>Suggestions</w:t>
            </w:r>
          </w:p>
        </w:tc>
        <w:tc>
          <w:tcPr>
            <w:tcW w:w="1530" w:type="dxa"/>
            <w:tcBorders>
              <w:bottom w:val="single" w:sz="4" w:space="0" w:color="000000" w:themeColor="text1"/>
            </w:tcBorders>
            <w:vAlign w:val="center"/>
          </w:tcPr>
          <w:p w14:paraId="12EA83AA" w14:textId="77777777" w:rsidR="00BD2137" w:rsidRPr="00BB5286" w:rsidRDefault="00BD2137">
            <w:pPr>
              <w:spacing w:after="60" w:line="259" w:lineRule="auto"/>
              <w:jc w:val="center"/>
              <w:rPr>
                <w:rFonts w:eastAsia="Calibri" w:cs="Times New Roman"/>
                <w:noProof/>
                <w:sz w:val="22"/>
                <w:lang w:val="en-GB"/>
              </w:rPr>
            </w:pPr>
            <w:r w:rsidRPr="00BB5286">
              <w:rPr>
                <w:rFonts w:eastAsia="Calibri" w:cs="Times New Roman"/>
                <w:b/>
                <w:bCs/>
                <w:noProof/>
                <w:sz w:val="22"/>
                <w:lang w:val="en-GB"/>
              </w:rPr>
              <w:t>Proponents</w:t>
            </w:r>
          </w:p>
        </w:tc>
        <w:tc>
          <w:tcPr>
            <w:tcW w:w="6300" w:type="dxa"/>
            <w:tcBorders>
              <w:bottom w:val="single" w:sz="4" w:space="0" w:color="000000" w:themeColor="text1"/>
            </w:tcBorders>
            <w:vAlign w:val="center"/>
          </w:tcPr>
          <w:p w14:paraId="49C9CBCD" w14:textId="77777777" w:rsidR="00BD2137" w:rsidRPr="00BB5286" w:rsidRDefault="00BD2137">
            <w:pPr>
              <w:spacing w:after="60" w:line="259" w:lineRule="auto"/>
              <w:jc w:val="center"/>
              <w:rPr>
                <w:rFonts w:eastAsia="Calibri" w:cs="Times New Roman"/>
                <w:noProof/>
                <w:sz w:val="22"/>
                <w:lang w:val="en-GB"/>
              </w:rPr>
            </w:pPr>
            <w:r w:rsidRPr="00BB5286">
              <w:rPr>
                <w:rFonts w:eastAsia="Calibri" w:cs="Times New Roman"/>
                <w:b/>
                <w:bCs/>
                <w:noProof/>
                <w:sz w:val="22"/>
                <w:lang w:val="en-GB"/>
              </w:rPr>
              <w:t>Assessment</w:t>
            </w:r>
          </w:p>
        </w:tc>
      </w:tr>
      <w:tr w:rsidR="00872C68" w:rsidRPr="00BB5286" w14:paraId="2CE08413"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14395" w:type="dxa"/>
            <w:gridSpan w:val="4"/>
            <w:shd w:val="clear" w:color="auto" w:fill="003399"/>
            <w:vAlign w:val="center"/>
          </w:tcPr>
          <w:p w14:paraId="6BFEE693" w14:textId="77777777" w:rsidR="00872C68" w:rsidRPr="00BB5286" w:rsidRDefault="00872C68" w:rsidP="004749EF">
            <w:pPr>
              <w:spacing w:before="120" w:after="120" w:line="259" w:lineRule="auto"/>
              <w:jc w:val="center"/>
              <w:rPr>
                <w:rFonts w:eastAsia="Calibri" w:cs="Times New Roman"/>
                <w:noProof/>
                <w:sz w:val="22"/>
                <w:lang w:val="en-GB"/>
              </w:rPr>
            </w:pPr>
            <w:r w:rsidRPr="00BB5286">
              <w:rPr>
                <w:rFonts w:eastAsia="Calibri" w:cs="Times New Roman"/>
                <w:b/>
                <w:noProof/>
                <w:color w:val="FFFFFF"/>
                <w:sz w:val="22"/>
                <w:lang w:val="en-GB"/>
              </w:rPr>
              <w:t>Knowledge, digitalisation, advice</w:t>
            </w:r>
          </w:p>
        </w:tc>
      </w:tr>
      <w:tr w:rsidR="00872C68" w:rsidRPr="00BB5286" w14:paraId="3AA5F8C3"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4"/>
        </w:trPr>
        <w:tc>
          <w:tcPr>
            <w:tcW w:w="706" w:type="dxa"/>
            <w:vAlign w:val="center"/>
          </w:tcPr>
          <w:p w14:paraId="3C378B51" w14:textId="7E47A751"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23</w:t>
            </w:r>
            <w:r w:rsidR="00A0403B">
              <w:rPr>
                <w:rFonts w:eastAsia="Calibri" w:cs="Times New Roman"/>
                <w:b/>
                <w:bCs/>
                <w:noProof/>
                <w:sz w:val="22"/>
                <w:lang w:val="en-GB"/>
              </w:rPr>
              <w:t>0</w:t>
            </w:r>
          </w:p>
        </w:tc>
        <w:tc>
          <w:tcPr>
            <w:tcW w:w="5859" w:type="dxa"/>
            <w:vAlign w:val="center"/>
          </w:tcPr>
          <w:p w14:paraId="39E88807" w14:textId="0E60437A" w:rsidR="00872C68" w:rsidRPr="00BB5286" w:rsidRDefault="00872C68" w:rsidP="365B9462">
            <w:pPr>
              <w:spacing w:after="60" w:line="259" w:lineRule="auto"/>
              <w:jc w:val="both"/>
              <w:rPr>
                <w:rFonts w:eastAsia="Calibri" w:cs="Times New Roman"/>
                <w:b/>
                <w:bCs/>
                <w:noProof/>
                <w:sz w:val="22"/>
                <w:szCs w:val="20"/>
                <w:lang w:val="en-GB"/>
              </w:rPr>
            </w:pPr>
            <w:r w:rsidRPr="00BB5286">
              <w:rPr>
                <w:rFonts w:eastAsia="Calibri" w:cs="Times New Roman"/>
                <w:b/>
                <w:bCs/>
                <w:noProof/>
                <w:sz w:val="22"/>
                <w:szCs w:val="20"/>
                <w:lang w:val="en-GB"/>
              </w:rPr>
              <w:t>FAST:</w:t>
            </w:r>
            <w:r w:rsidRPr="00BB5286">
              <w:rPr>
                <w:rFonts w:eastAsia="Calibri" w:cs="Times New Roman"/>
                <w:noProof/>
                <w:sz w:val="22"/>
                <w:szCs w:val="20"/>
                <w:lang w:val="en-GB"/>
              </w:rPr>
              <w:t xml:space="preserve"> </w:t>
            </w:r>
            <w:r w:rsidR="522052AF" w:rsidRPr="00BB5286">
              <w:rPr>
                <w:rFonts w:eastAsia="Calibri" w:cs="Times New Roman"/>
                <w:noProof/>
                <w:sz w:val="22"/>
                <w:szCs w:val="20"/>
                <w:lang w:val="en-GB"/>
              </w:rPr>
              <w:t>m</w:t>
            </w:r>
            <w:r w:rsidRPr="00BB5286">
              <w:rPr>
                <w:rFonts w:eastAsia="Calibri" w:cs="Times New Roman"/>
                <w:noProof/>
                <w:sz w:val="22"/>
                <w:szCs w:val="20"/>
                <w:lang w:val="en-GB"/>
              </w:rPr>
              <w:t xml:space="preserve">ake </w:t>
            </w:r>
            <w:r w:rsidR="1CDCBD00" w:rsidRPr="00BB5286">
              <w:rPr>
                <w:rFonts w:eastAsia="Calibri" w:cs="Times New Roman"/>
                <w:noProof/>
                <w:sz w:val="22"/>
                <w:szCs w:val="20"/>
                <w:lang w:val="en-GB"/>
              </w:rPr>
              <w:t xml:space="preserve">the use </w:t>
            </w:r>
            <w:r w:rsidRPr="00BB5286">
              <w:rPr>
                <w:rFonts w:eastAsia="Calibri" w:cs="Times New Roman"/>
                <w:noProof/>
                <w:sz w:val="22"/>
                <w:szCs w:val="20"/>
                <w:lang w:val="en-GB"/>
              </w:rPr>
              <w:t>of the electronic Farm Sustainability Tool (FAST) optional for Member States and for farmers</w:t>
            </w:r>
            <w:r w:rsidRPr="00BB5286">
              <w:rPr>
                <w:rFonts w:eastAsia="Calibri" w:cs="Times New Roman"/>
                <w:b/>
                <w:bCs/>
                <w:noProof/>
                <w:sz w:val="22"/>
                <w:szCs w:val="20"/>
                <w:lang w:val="en-GB"/>
              </w:rPr>
              <w:t xml:space="preserve"> </w:t>
            </w:r>
            <w:r w:rsidRPr="00BB5286">
              <w:rPr>
                <w:rFonts w:eastAsia="Calibri" w:cs="Times New Roman"/>
                <w:noProof/>
                <w:sz w:val="22"/>
                <w:szCs w:val="20"/>
                <w:lang w:val="en-GB"/>
              </w:rPr>
              <w:t>(</w:t>
            </w:r>
            <w:r w:rsidRPr="00BB5286">
              <w:rPr>
                <w:rFonts w:eastAsia="Calibri" w:cs="Times New Roman"/>
                <w:i/>
                <w:iCs/>
                <w:noProof/>
                <w:sz w:val="22"/>
                <w:szCs w:val="20"/>
                <w:lang w:val="en-GB"/>
              </w:rPr>
              <w:t>Art</w:t>
            </w:r>
            <w:r w:rsidR="170E1A79" w:rsidRPr="00BB5286">
              <w:rPr>
                <w:rFonts w:eastAsia="Calibri" w:cs="Times New Roman"/>
                <w:i/>
                <w:iCs/>
                <w:noProof/>
                <w:sz w:val="22"/>
                <w:szCs w:val="20"/>
                <w:lang w:val="en-GB"/>
              </w:rPr>
              <w:t>icle</w:t>
            </w:r>
            <w:r w:rsidRPr="00BB5286">
              <w:rPr>
                <w:rFonts w:eastAsia="Calibri" w:cs="Times New Roman"/>
                <w:i/>
                <w:iCs/>
                <w:noProof/>
                <w:sz w:val="22"/>
                <w:szCs w:val="20"/>
                <w:lang w:val="en-GB"/>
              </w:rPr>
              <w:t xml:space="preserve"> 15</w:t>
            </w:r>
            <w:r w:rsidRPr="00BB5286">
              <w:rPr>
                <w:rFonts w:eastAsia="Calibri" w:cs="Times New Roman"/>
                <w:noProof/>
                <w:sz w:val="22"/>
                <w:szCs w:val="20"/>
                <w:lang w:val="en-GB"/>
              </w:rPr>
              <w:t xml:space="preserve"> of the CSP Regulation)</w:t>
            </w:r>
            <w:r w:rsidR="1CDCBD00" w:rsidRPr="00BB5286">
              <w:rPr>
                <w:rFonts w:eastAsia="Calibri" w:cs="Times New Roman"/>
                <w:noProof/>
                <w:sz w:val="22"/>
                <w:szCs w:val="20"/>
                <w:lang w:val="en-GB"/>
              </w:rPr>
              <w:t>.</w:t>
            </w:r>
          </w:p>
        </w:tc>
        <w:tc>
          <w:tcPr>
            <w:tcW w:w="1530" w:type="dxa"/>
            <w:vAlign w:val="center"/>
          </w:tcPr>
          <w:p w14:paraId="28B75A13"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BG, HU, RO</w:t>
            </w:r>
          </w:p>
        </w:tc>
        <w:tc>
          <w:tcPr>
            <w:tcW w:w="6300" w:type="dxa"/>
            <w:vAlign w:val="center"/>
          </w:tcPr>
          <w:p w14:paraId="1D07431A" w14:textId="77E74A4F"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It is optional for farmers to use FAST but mandatory for Member States to offer it to farmers. Making this optional for Member States would go against the environmental ambition</w:t>
            </w:r>
            <w:r w:rsidR="00BF167C" w:rsidRPr="00BB5286">
              <w:rPr>
                <w:rFonts w:eastAsia="Calibri" w:cs="Times New Roman"/>
                <w:noProof/>
                <w:sz w:val="22"/>
                <w:lang w:val="en-GB"/>
              </w:rPr>
              <w:t>s</w:t>
            </w:r>
            <w:r w:rsidRPr="00BB5286">
              <w:rPr>
                <w:rFonts w:eastAsia="Calibri" w:cs="Times New Roman"/>
                <w:noProof/>
                <w:sz w:val="22"/>
                <w:lang w:val="en-GB"/>
              </w:rPr>
              <w:t xml:space="preserve"> of the 2023-2027 CAP and the need to support farmers in the necessary sustainability transition.</w:t>
            </w:r>
          </w:p>
        </w:tc>
      </w:tr>
      <w:tr w:rsidR="00872C68" w:rsidRPr="00BB5286" w14:paraId="2A26A864"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6" w:type="dxa"/>
            <w:vAlign w:val="center"/>
          </w:tcPr>
          <w:p w14:paraId="0C453326" w14:textId="531CF2C9"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23</w:t>
            </w:r>
            <w:r w:rsidR="00A0403B">
              <w:rPr>
                <w:rFonts w:eastAsia="Calibri" w:cs="Times New Roman"/>
                <w:b/>
                <w:bCs/>
                <w:noProof/>
                <w:sz w:val="22"/>
                <w:lang w:val="en-GB"/>
              </w:rPr>
              <w:t>1</w:t>
            </w:r>
          </w:p>
        </w:tc>
        <w:tc>
          <w:tcPr>
            <w:tcW w:w="5859" w:type="dxa"/>
            <w:vAlign w:val="center"/>
          </w:tcPr>
          <w:p w14:paraId="55C7F845" w14:textId="38E4C165" w:rsidR="00872C68" w:rsidRPr="00BB5286" w:rsidRDefault="00872C68"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Knowledge</w:t>
            </w:r>
            <w:r w:rsidR="5DAAAB1C" w:rsidRPr="00BB5286">
              <w:rPr>
                <w:rFonts w:eastAsia="Calibri" w:cs="Times New Roman"/>
                <w:b/>
                <w:bCs/>
                <w:noProof/>
                <w:sz w:val="22"/>
                <w:szCs w:val="20"/>
                <w:lang w:val="en-GB"/>
              </w:rPr>
              <w:t>:</w:t>
            </w:r>
            <w:r w:rsidR="00AB5A2E" w:rsidRPr="00BB5286">
              <w:rPr>
                <w:rFonts w:eastAsia="Calibri" w:cs="Times New Roman"/>
                <w:noProof/>
                <w:sz w:val="22"/>
                <w:szCs w:val="20"/>
                <w:lang w:val="en-GB"/>
              </w:rPr>
              <w:t xml:space="preserve"> p</w:t>
            </w:r>
            <w:r w:rsidRPr="00BB5286">
              <w:rPr>
                <w:rFonts w:eastAsia="Calibri" w:cs="Times New Roman"/>
                <w:noProof/>
                <w:sz w:val="22"/>
                <w:szCs w:val="20"/>
                <w:lang w:val="en-GB"/>
              </w:rPr>
              <w:t xml:space="preserve">rovide continuous education and </w:t>
            </w:r>
            <w:r w:rsidR="007F58CB" w:rsidRPr="00BB5286">
              <w:rPr>
                <w:rFonts w:eastAsia="Calibri" w:cs="Times New Roman"/>
                <w:noProof/>
                <w:sz w:val="22"/>
                <w:szCs w:val="20"/>
                <w:lang w:val="en-GB"/>
              </w:rPr>
              <w:t>information and</w:t>
            </w:r>
            <w:r w:rsidRPr="00BB5286">
              <w:rPr>
                <w:rFonts w:eastAsia="Calibri" w:cs="Times New Roman"/>
                <w:noProof/>
                <w:sz w:val="22"/>
                <w:szCs w:val="20"/>
                <w:lang w:val="en-GB"/>
              </w:rPr>
              <w:t xml:space="preserve"> increase targeted support to farmers about </w:t>
            </w:r>
            <w:r w:rsidR="1CDCBD00" w:rsidRPr="00BB5286">
              <w:rPr>
                <w:rFonts w:eastAsia="Calibri" w:cs="Times New Roman"/>
                <w:noProof/>
                <w:sz w:val="22"/>
                <w:szCs w:val="20"/>
                <w:lang w:val="en-GB"/>
              </w:rPr>
              <w:t xml:space="preserve">the </w:t>
            </w:r>
            <w:r w:rsidRPr="00BB5286">
              <w:rPr>
                <w:rFonts w:eastAsia="Calibri" w:cs="Times New Roman"/>
                <w:noProof/>
                <w:sz w:val="22"/>
                <w:szCs w:val="20"/>
                <w:lang w:val="en-GB"/>
              </w:rPr>
              <w:t xml:space="preserve">applicable rules. Strengthen knowledge and advice throughout the agri-food value chain to reduce asymmetry of </w:t>
            </w:r>
            <w:r w:rsidR="00AB5A2E" w:rsidRPr="00BB5286">
              <w:rPr>
                <w:rFonts w:eastAsia="Calibri" w:cs="Times New Roman"/>
                <w:noProof/>
                <w:sz w:val="22"/>
                <w:szCs w:val="20"/>
                <w:lang w:val="en-GB"/>
              </w:rPr>
              <w:t>information</w:t>
            </w:r>
            <w:r w:rsidRPr="00BB5286">
              <w:rPr>
                <w:rFonts w:eastAsia="Calibri" w:cs="Times New Roman"/>
                <w:noProof/>
                <w:sz w:val="22"/>
                <w:szCs w:val="20"/>
                <w:lang w:val="en-GB"/>
              </w:rPr>
              <w:t>.</w:t>
            </w:r>
          </w:p>
        </w:tc>
        <w:tc>
          <w:tcPr>
            <w:tcW w:w="1530" w:type="dxa"/>
            <w:vAlign w:val="center"/>
          </w:tcPr>
          <w:p w14:paraId="738C4322"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 PT</w:t>
            </w:r>
          </w:p>
        </w:tc>
        <w:tc>
          <w:tcPr>
            <w:tcW w:w="6300" w:type="dxa"/>
            <w:vAlign w:val="center"/>
          </w:tcPr>
          <w:p w14:paraId="66F867E9" w14:textId="040E66EE" w:rsidR="00872C68" w:rsidRPr="00BB5286" w:rsidRDefault="0089564A" w:rsidP="365B9462">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The</w:t>
            </w:r>
            <w:r w:rsidR="00872C68" w:rsidRPr="00BB5286">
              <w:rPr>
                <w:rFonts w:eastAsia="Calibri" w:cs="Times New Roman"/>
                <w:noProof/>
                <w:sz w:val="22"/>
                <w:szCs w:val="20"/>
                <w:lang w:val="en-GB"/>
              </w:rPr>
              <w:t xml:space="preserve"> Farm Advisory Services</w:t>
            </w:r>
            <w:r w:rsidRPr="00BB5286">
              <w:rPr>
                <w:rFonts w:eastAsia="Calibri" w:cs="Times New Roman"/>
                <w:noProof/>
                <w:sz w:val="22"/>
                <w:szCs w:val="20"/>
                <w:lang w:val="en-GB"/>
              </w:rPr>
              <w:t xml:space="preserve"> are</w:t>
            </w:r>
            <w:r w:rsidR="00872C68" w:rsidRPr="00BB5286">
              <w:rPr>
                <w:rFonts w:eastAsia="Calibri" w:cs="Times New Roman"/>
                <w:noProof/>
                <w:sz w:val="22"/>
                <w:szCs w:val="20"/>
                <w:lang w:val="en-GB"/>
              </w:rPr>
              <w:t xml:space="preserve"> funded under the </w:t>
            </w:r>
            <w:r w:rsidR="007F58CB" w:rsidRPr="00BB5286">
              <w:rPr>
                <w:rFonts w:eastAsia="Calibri" w:cs="Times New Roman"/>
                <w:noProof/>
                <w:sz w:val="22"/>
                <w:szCs w:val="20"/>
                <w:lang w:val="en-GB"/>
              </w:rPr>
              <w:t>CAP Plans</w:t>
            </w:r>
            <w:r w:rsidRPr="00BB5286">
              <w:rPr>
                <w:rFonts w:eastAsia="Calibri" w:cs="Times New Roman"/>
                <w:noProof/>
                <w:sz w:val="22"/>
                <w:szCs w:val="20"/>
                <w:lang w:val="en-GB"/>
              </w:rPr>
              <w:t xml:space="preserve"> for this purpose</w:t>
            </w:r>
            <w:r w:rsidR="00872C68" w:rsidRPr="00BB5286">
              <w:rPr>
                <w:rFonts w:eastAsia="Calibri" w:cs="Times New Roman"/>
                <w:noProof/>
                <w:sz w:val="22"/>
                <w:szCs w:val="20"/>
                <w:lang w:val="en-GB"/>
              </w:rPr>
              <w:t xml:space="preserve">. </w:t>
            </w:r>
          </w:p>
          <w:p w14:paraId="62B73986" w14:textId="5BF97C67" w:rsidR="00872C68" w:rsidRPr="00BB5286" w:rsidRDefault="00872C68" w:rsidP="365B9462">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The Commission recognises the importance of knowledge, exchange of good practices and advisory services. At EU level this is done</w:t>
            </w:r>
            <w:r w:rsidR="2CB4AF65" w:rsidRPr="00BB5286">
              <w:rPr>
                <w:rFonts w:eastAsia="Calibri" w:cs="Times New Roman"/>
                <w:noProof/>
                <w:sz w:val="22"/>
                <w:szCs w:val="20"/>
                <w:lang w:val="en-GB"/>
              </w:rPr>
              <w:t>, for example,</w:t>
            </w:r>
            <w:r w:rsidRPr="00BB5286">
              <w:rPr>
                <w:rFonts w:eastAsia="Calibri" w:cs="Times New Roman"/>
                <w:noProof/>
                <w:sz w:val="22"/>
                <w:szCs w:val="20"/>
                <w:lang w:val="en-GB"/>
              </w:rPr>
              <w:t xml:space="preserve"> by the EU CAP network (</w:t>
            </w:r>
            <w:r w:rsidR="2CB4AF65" w:rsidRPr="00BB5286">
              <w:rPr>
                <w:rFonts w:eastAsia="Calibri" w:cs="Times New Roman"/>
                <w:noProof/>
                <w:sz w:val="22"/>
                <w:szCs w:val="20"/>
                <w:lang w:val="en-GB"/>
              </w:rPr>
              <w:t>e.g. annual</w:t>
            </w:r>
            <w:r w:rsidRPr="00BB5286">
              <w:rPr>
                <w:rFonts w:eastAsia="Calibri" w:cs="Times New Roman"/>
                <w:noProof/>
                <w:sz w:val="22"/>
                <w:szCs w:val="20"/>
                <w:lang w:val="en-GB"/>
              </w:rPr>
              <w:t xml:space="preserve"> </w:t>
            </w:r>
            <w:r w:rsidR="2CB4AF65" w:rsidRPr="00BB5286">
              <w:rPr>
                <w:rFonts w:eastAsia="Calibri" w:cs="Times New Roman"/>
                <w:noProof/>
                <w:sz w:val="22"/>
                <w:szCs w:val="20"/>
                <w:lang w:val="en-GB"/>
              </w:rPr>
              <w:t>f</w:t>
            </w:r>
            <w:r w:rsidRPr="00BB5286">
              <w:rPr>
                <w:rFonts w:eastAsia="Calibri" w:cs="Times New Roman"/>
                <w:noProof/>
                <w:sz w:val="22"/>
                <w:szCs w:val="20"/>
                <w:lang w:val="en-GB"/>
              </w:rPr>
              <w:t xml:space="preserve">orum on best practices in the food supply chain). Following its commitments </w:t>
            </w:r>
            <w:r w:rsidR="2CB4AF65" w:rsidRPr="00BB5286">
              <w:rPr>
                <w:rFonts w:eastAsia="Calibri" w:cs="Times New Roman"/>
                <w:noProof/>
                <w:sz w:val="22"/>
                <w:szCs w:val="20"/>
                <w:lang w:val="en-GB"/>
              </w:rPr>
              <w:t xml:space="preserve">in </w:t>
            </w:r>
            <w:r w:rsidRPr="00BB5286">
              <w:rPr>
                <w:rFonts w:eastAsia="Calibri" w:cs="Times New Roman"/>
                <w:noProof/>
                <w:sz w:val="22"/>
                <w:szCs w:val="20"/>
                <w:lang w:val="en-GB"/>
              </w:rPr>
              <w:t xml:space="preserve">the simplification package, the Commission has organised exchanges with Member States and stakeholders </w:t>
            </w:r>
            <w:r w:rsidR="2CB4AF65" w:rsidRPr="00BB5286">
              <w:rPr>
                <w:rFonts w:eastAsia="Calibri" w:cs="Times New Roman"/>
                <w:noProof/>
                <w:sz w:val="22"/>
                <w:szCs w:val="20"/>
                <w:lang w:val="en-GB"/>
              </w:rPr>
              <w:t xml:space="preserve">on </w:t>
            </w:r>
            <w:r w:rsidRPr="00BB5286">
              <w:rPr>
                <w:rFonts w:eastAsia="Calibri" w:cs="Times New Roman"/>
                <w:noProof/>
                <w:sz w:val="22"/>
                <w:szCs w:val="20"/>
                <w:lang w:val="en-GB"/>
              </w:rPr>
              <w:t xml:space="preserve">how to make </w:t>
            </w:r>
            <w:r w:rsidR="0089564A" w:rsidRPr="00BB5286">
              <w:rPr>
                <w:rFonts w:eastAsia="Calibri" w:cs="Times New Roman"/>
                <w:noProof/>
                <w:sz w:val="22"/>
                <w:szCs w:val="20"/>
                <w:lang w:val="en-GB"/>
              </w:rPr>
              <w:t>better use</w:t>
            </w:r>
            <w:r w:rsidRPr="00BB5286">
              <w:rPr>
                <w:rFonts w:eastAsia="Calibri" w:cs="Times New Roman"/>
                <w:noProof/>
                <w:sz w:val="22"/>
                <w:szCs w:val="20"/>
                <w:lang w:val="en-GB"/>
              </w:rPr>
              <w:t xml:space="preserve"> of </w:t>
            </w:r>
            <w:r w:rsidR="46C1F297" w:rsidRPr="00BB5286">
              <w:rPr>
                <w:rFonts w:eastAsia="Calibri" w:cs="Times New Roman"/>
                <w:noProof/>
                <w:sz w:val="22"/>
                <w:szCs w:val="20"/>
                <w:lang w:val="en-GB"/>
              </w:rPr>
              <w:t xml:space="preserve">these </w:t>
            </w:r>
            <w:r w:rsidR="0089564A" w:rsidRPr="00BB5286">
              <w:rPr>
                <w:rFonts w:eastAsia="Calibri" w:cs="Times New Roman"/>
                <w:noProof/>
                <w:sz w:val="22"/>
                <w:szCs w:val="20"/>
                <w:lang w:val="en-GB"/>
              </w:rPr>
              <w:t xml:space="preserve">knowledge/advisory </w:t>
            </w:r>
            <w:r w:rsidR="46C1F297" w:rsidRPr="00BB5286">
              <w:rPr>
                <w:rFonts w:eastAsia="Calibri" w:cs="Times New Roman"/>
                <w:noProof/>
                <w:sz w:val="22"/>
                <w:szCs w:val="20"/>
                <w:lang w:val="en-GB"/>
              </w:rPr>
              <w:t>tools</w:t>
            </w:r>
            <w:r w:rsidRPr="00BB5286">
              <w:rPr>
                <w:rFonts w:eastAsia="Calibri" w:cs="Times New Roman"/>
                <w:noProof/>
                <w:sz w:val="22"/>
                <w:szCs w:val="20"/>
                <w:lang w:val="en-GB"/>
              </w:rPr>
              <w:t>.</w:t>
            </w:r>
          </w:p>
        </w:tc>
      </w:tr>
      <w:tr w:rsidR="00872C68" w:rsidRPr="00BB5286" w14:paraId="0E94000E"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6" w:type="dxa"/>
            <w:vAlign w:val="center"/>
          </w:tcPr>
          <w:p w14:paraId="2816CE95" w14:textId="094B801B"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23</w:t>
            </w:r>
            <w:r w:rsidR="00A0403B">
              <w:rPr>
                <w:rFonts w:eastAsia="Calibri" w:cs="Times New Roman"/>
                <w:b/>
                <w:bCs/>
                <w:noProof/>
                <w:sz w:val="22"/>
                <w:lang w:val="en-GB"/>
              </w:rPr>
              <w:t>2</w:t>
            </w:r>
          </w:p>
        </w:tc>
        <w:tc>
          <w:tcPr>
            <w:tcW w:w="5859" w:type="dxa"/>
            <w:vAlign w:val="center"/>
          </w:tcPr>
          <w:p w14:paraId="0E000432" w14:textId="5DE4FEA6" w:rsidR="00872C68" w:rsidRPr="00BB5286" w:rsidRDefault="00872C68"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Digital tools:</w:t>
            </w:r>
            <w:r w:rsidRPr="00BB5286">
              <w:rPr>
                <w:rFonts w:eastAsia="Calibri" w:cs="Times New Roman"/>
                <w:noProof/>
                <w:sz w:val="22"/>
                <w:szCs w:val="20"/>
                <w:lang w:val="en-GB"/>
              </w:rPr>
              <w:t xml:space="preserve"> </w:t>
            </w:r>
            <w:r w:rsidR="509FDC69" w:rsidRPr="00BB5286">
              <w:rPr>
                <w:rFonts w:eastAsia="Calibri" w:cs="Times New Roman"/>
                <w:noProof/>
                <w:sz w:val="22"/>
                <w:szCs w:val="20"/>
                <w:lang w:val="en-GB"/>
              </w:rPr>
              <w:t>d</w:t>
            </w:r>
            <w:r w:rsidRPr="00BB5286">
              <w:rPr>
                <w:rFonts w:eastAsia="Calibri" w:cs="Times New Roman"/>
                <w:noProof/>
                <w:sz w:val="22"/>
                <w:szCs w:val="20"/>
                <w:lang w:val="en-GB"/>
              </w:rPr>
              <w:t xml:space="preserve">evelop digital tools and platforms for easier reporting, applications </w:t>
            </w:r>
            <w:r w:rsidR="1CDCBD00" w:rsidRPr="00BB5286">
              <w:rPr>
                <w:rFonts w:eastAsia="Calibri" w:cs="Times New Roman"/>
                <w:noProof/>
                <w:sz w:val="22"/>
                <w:szCs w:val="20"/>
                <w:lang w:val="en-GB"/>
              </w:rPr>
              <w:t xml:space="preserve">for </w:t>
            </w:r>
            <w:r w:rsidR="6E014ABB" w:rsidRPr="00BB5286">
              <w:rPr>
                <w:rFonts w:eastAsia="Calibri" w:cs="Times New Roman"/>
                <w:noProof/>
                <w:sz w:val="22"/>
                <w:szCs w:val="20"/>
                <w:lang w:val="en-GB"/>
              </w:rPr>
              <w:t>support</w:t>
            </w:r>
            <w:r w:rsidR="1CDCBD00" w:rsidRPr="00BB5286">
              <w:rPr>
                <w:rFonts w:eastAsia="Calibri" w:cs="Times New Roman"/>
                <w:noProof/>
                <w:sz w:val="22"/>
                <w:szCs w:val="20"/>
                <w:lang w:val="en-GB"/>
              </w:rPr>
              <w:t xml:space="preserve"> </w:t>
            </w:r>
            <w:r w:rsidRPr="00BB5286">
              <w:rPr>
                <w:rFonts w:eastAsia="Calibri" w:cs="Times New Roman"/>
                <w:noProof/>
                <w:sz w:val="22"/>
                <w:szCs w:val="20"/>
                <w:lang w:val="en-GB"/>
              </w:rPr>
              <w:t>and administrative actions.</w:t>
            </w:r>
          </w:p>
        </w:tc>
        <w:tc>
          <w:tcPr>
            <w:tcW w:w="1530" w:type="dxa"/>
            <w:vAlign w:val="center"/>
          </w:tcPr>
          <w:p w14:paraId="31ADB261"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w:t>
            </w:r>
          </w:p>
        </w:tc>
        <w:tc>
          <w:tcPr>
            <w:tcW w:w="6300" w:type="dxa"/>
            <w:vAlign w:val="center"/>
          </w:tcPr>
          <w:p w14:paraId="6FA10043" w14:textId="5FA26FD9" w:rsidR="00872C68" w:rsidRPr="00BB5286" w:rsidRDefault="00BF167C"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It </w:t>
            </w:r>
            <w:r w:rsidR="00872C68" w:rsidRPr="00BB5286">
              <w:rPr>
                <w:rFonts w:eastAsia="Calibri" w:cs="Times New Roman"/>
                <w:noProof/>
                <w:sz w:val="22"/>
                <w:lang w:val="en-GB"/>
              </w:rPr>
              <w:t xml:space="preserve">is already possible </w:t>
            </w:r>
            <w:r w:rsidRPr="00BB5286">
              <w:rPr>
                <w:rFonts w:eastAsia="Calibri" w:cs="Times New Roman"/>
                <w:noProof/>
                <w:sz w:val="22"/>
                <w:lang w:val="en-GB"/>
              </w:rPr>
              <w:t xml:space="preserve">to address this issue </w:t>
            </w:r>
            <w:r w:rsidR="00872C68" w:rsidRPr="00BB5286">
              <w:rPr>
                <w:rFonts w:eastAsia="Calibri" w:cs="Times New Roman"/>
                <w:noProof/>
                <w:sz w:val="22"/>
                <w:lang w:val="en-GB"/>
              </w:rPr>
              <w:t xml:space="preserve">within the current </w:t>
            </w:r>
            <w:r w:rsidR="00AF7B1A" w:rsidRPr="00BB5286">
              <w:rPr>
                <w:rFonts w:eastAsia="Calibri" w:cs="Times New Roman"/>
                <w:noProof/>
                <w:sz w:val="22"/>
                <w:lang w:val="en-GB"/>
              </w:rPr>
              <w:t>EU CAP framework</w:t>
            </w:r>
            <w:r w:rsidR="00872C68" w:rsidRPr="00BB5286">
              <w:rPr>
                <w:rFonts w:eastAsia="Calibri" w:cs="Times New Roman"/>
                <w:noProof/>
                <w:sz w:val="22"/>
                <w:lang w:val="en-GB"/>
              </w:rPr>
              <w:t>.</w:t>
            </w:r>
          </w:p>
        </w:tc>
      </w:tr>
      <w:tr w:rsidR="00872C68" w:rsidRPr="00BB5286" w14:paraId="79A56ECF"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6" w:type="dxa"/>
            <w:vAlign w:val="center"/>
          </w:tcPr>
          <w:p w14:paraId="5ED2DA59" w14:textId="13AA994E"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23</w:t>
            </w:r>
            <w:r w:rsidR="00A0403B">
              <w:rPr>
                <w:rFonts w:eastAsia="Calibri" w:cs="Times New Roman"/>
                <w:b/>
                <w:bCs/>
                <w:noProof/>
                <w:sz w:val="22"/>
                <w:lang w:val="en-GB"/>
              </w:rPr>
              <w:t>3</w:t>
            </w:r>
          </w:p>
        </w:tc>
        <w:tc>
          <w:tcPr>
            <w:tcW w:w="5859" w:type="dxa"/>
            <w:vAlign w:val="center"/>
          </w:tcPr>
          <w:p w14:paraId="5A0F6A30" w14:textId="0C50CB4B" w:rsidR="00872C68" w:rsidRPr="00BB5286" w:rsidRDefault="00872C68"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Single contact point:</w:t>
            </w:r>
            <w:r w:rsidRPr="00BB5286">
              <w:rPr>
                <w:rFonts w:eastAsia="Calibri" w:cs="Times New Roman"/>
                <w:noProof/>
                <w:sz w:val="22"/>
                <w:szCs w:val="20"/>
                <w:lang w:val="en-GB"/>
              </w:rPr>
              <w:t xml:space="preserve"> </w:t>
            </w:r>
            <w:r w:rsidR="08352485" w:rsidRPr="00BB5286">
              <w:rPr>
                <w:rFonts w:eastAsia="Calibri" w:cs="Times New Roman"/>
                <w:noProof/>
                <w:sz w:val="22"/>
                <w:szCs w:val="20"/>
                <w:lang w:val="en-GB"/>
              </w:rPr>
              <w:t>c</w:t>
            </w:r>
            <w:r w:rsidRPr="00BB5286">
              <w:rPr>
                <w:rFonts w:eastAsia="Calibri" w:cs="Times New Roman"/>
                <w:noProof/>
                <w:sz w:val="22"/>
                <w:szCs w:val="20"/>
                <w:lang w:val="en-GB"/>
              </w:rPr>
              <w:t xml:space="preserve">reate a single contact point for all communication, to reduce the need to approach </w:t>
            </w:r>
            <w:r w:rsidR="1CDCBD00" w:rsidRPr="00BB5286">
              <w:rPr>
                <w:rFonts w:eastAsia="Calibri" w:cs="Times New Roman"/>
                <w:noProof/>
                <w:sz w:val="22"/>
                <w:szCs w:val="20"/>
                <w:lang w:val="en-GB"/>
              </w:rPr>
              <w:t xml:space="preserve">different </w:t>
            </w:r>
            <w:r w:rsidRPr="00BB5286">
              <w:rPr>
                <w:rFonts w:eastAsia="Calibri" w:cs="Times New Roman"/>
                <w:noProof/>
                <w:sz w:val="22"/>
                <w:szCs w:val="20"/>
                <w:lang w:val="en-GB"/>
              </w:rPr>
              <w:t>institutions.</w:t>
            </w:r>
          </w:p>
        </w:tc>
        <w:tc>
          <w:tcPr>
            <w:tcW w:w="1530" w:type="dxa"/>
            <w:vAlign w:val="center"/>
          </w:tcPr>
          <w:p w14:paraId="1C6995D2"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CZ</w:t>
            </w:r>
          </w:p>
        </w:tc>
        <w:tc>
          <w:tcPr>
            <w:tcW w:w="6300" w:type="dxa"/>
            <w:vAlign w:val="center"/>
          </w:tcPr>
          <w:p w14:paraId="78560C27" w14:textId="75BB7305" w:rsidR="00872C68" w:rsidRPr="00BB5286" w:rsidRDefault="00BF167C"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It is already possible to address this issue within the current EU CAP framework.</w:t>
            </w:r>
          </w:p>
          <w:p w14:paraId="32581EE1" w14:textId="5F0041B3"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At EU level, the Commission has a single contact point through which citizens may </w:t>
            </w:r>
            <w:r w:rsidR="00BF167C" w:rsidRPr="00BB5286">
              <w:rPr>
                <w:rFonts w:eastAsia="Calibri" w:cs="Times New Roman"/>
                <w:noProof/>
                <w:sz w:val="22"/>
                <w:lang w:val="en-GB"/>
              </w:rPr>
              <w:t xml:space="preserve">make </w:t>
            </w:r>
            <w:r w:rsidRPr="00BB5286">
              <w:rPr>
                <w:rFonts w:eastAsia="Calibri" w:cs="Times New Roman"/>
                <w:noProof/>
                <w:sz w:val="22"/>
                <w:lang w:val="en-GB"/>
              </w:rPr>
              <w:t>any communication.</w:t>
            </w:r>
          </w:p>
        </w:tc>
      </w:tr>
      <w:tr w:rsidR="00872C68" w:rsidRPr="00BB5286" w14:paraId="542FDADE"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6" w:type="dxa"/>
            <w:vAlign w:val="center"/>
          </w:tcPr>
          <w:p w14:paraId="5A98E991" w14:textId="66E451E3"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lastRenderedPageBreak/>
              <w:t>23</w:t>
            </w:r>
            <w:r w:rsidR="00A0403B">
              <w:rPr>
                <w:rFonts w:eastAsia="Calibri" w:cs="Times New Roman"/>
                <w:b/>
                <w:bCs/>
                <w:noProof/>
                <w:sz w:val="22"/>
                <w:lang w:val="en-GB"/>
              </w:rPr>
              <w:t>4</w:t>
            </w:r>
          </w:p>
        </w:tc>
        <w:tc>
          <w:tcPr>
            <w:tcW w:w="5859" w:type="dxa"/>
            <w:vAlign w:val="center"/>
          </w:tcPr>
          <w:p w14:paraId="37454EF2" w14:textId="5F198CF1" w:rsidR="00872C68" w:rsidRPr="00BB5286" w:rsidRDefault="00872C68"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Digital farm notebook:</w:t>
            </w:r>
            <w:r w:rsidRPr="00BB5286">
              <w:rPr>
                <w:rFonts w:eastAsia="Calibri" w:cs="Times New Roman"/>
                <w:noProof/>
                <w:sz w:val="22"/>
                <w:szCs w:val="20"/>
                <w:lang w:val="en-GB"/>
              </w:rPr>
              <w:t xml:space="preserve"> </w:t>
            </w:r>
            <w:r w:rsidR="3E36629B" w:rsidRPr="00BB5286">
              <w:rPr>
                <w:rFonts w:eastAsia="Calibri" w:cs="Times New Roman"/>
                <w:noProof/>
                <w:sz w:val="22"/>
                <w:szCs w:val="20"/>
                <w:lang w:val="en-GB"/>
              </w:rPr>
              <w:t>t</w:t>
            </w:r>
            <w:r w:rsidRPr="00BB5286">
              <w:rPr>
                <w:rFonts w:eastAsia="Calibri" w:cs="Times New Roman"/>
                <w:noProof/>
                <w:sz w:val="22"/>
                <w:szCs w:val="20"/>
                <w:lang w:val="en-GB"/>
              </w:rPr>
              <w:t xml:space="preserve">he obligation to have a digital </w:t>
            </w:r>
            <w:r w:rsidR="216A38D0" w:rsidRPr="00BB5286">
              <w:rPr>
                <w:rFonts w:eastAsia="Calibri" w:cs="Times New Roman"/>
                <w:noProof/>
                <w:sz w:val="22"/>
                <w:szCs w:val="20"/>
                <w:lang w:val="en-GB"/>
              </w:rPr>
              <w:t xml:space="preserve">farm </w:t>
            </w:r>
            <w:r w:rsidRPr="00BB5286">
              <w:rPr>
                <w:rFonts w:eastAsia="Calibri" w:cs="Times New Roman"/>
                <w:noProof/>
                <w:sz w:val="22"/>
                <w:szCs w:val="20"/>
                <w:lang w:val="en-GB"/>
              </w:rPr>
              <w:t xml:space="preserve">notebook should be removed given connectivity problems, </w:t>
            </w:r>
            <w:r w:rsidR="216A38D0" w:rsidRPr="00BB5286">
              <w:rPr>
                <w:rFonts w:eastAsia="Calibri" w:cs="Times New Roman"/>
                <w:noProof/>
                <w:sz w:val="22"/>
                <w:szCs w:val="20"/>
                <w:lang w:val="en-GB"/>
              </w:rPr>
              <w:t xml:space="preserve">lack of </w:t>
            </w:r>
            <w:r w:rsidRPr="00BB5286">
              <w:rPr>
                <w:rFonts w:eastAsia="Calibri" w:cs="Times New Roman"/>
                <w:noProof/>
                <w:sz w:val="22"/>
                <w:szCs w:val="20"/>
                <w:lang w:val="en-GB"/>
              </w:rPr>
              <w:t>skills, age structure</w:t>
            </w:r>
            <w:r w:rsidR="216A38D0" w:rsidRPr="00BB5286">
              <w:rPr>
                <w:rFonts w:eastAsia="Calibri" w:cs="Times New Roman"/>
                <w:noProof/>
                <w:sz w:val="22"/>
                <w:szCs w:val="20"/>
                <w:lang w:val="en-GB"/>
              </w:rPr>
              <w:t>s</w:t>
            </w:r>
            <w:r w:rsidRPr="00BB5286">
              <w:rPr>
                <w:rFonts w:eastAsia="Calibri" w:cs="Times New Roman"/>
                <w:noProof/>
                <w:sz w:val="22"/>
                <w:szCs w:val="20"/>
                <w:lang w:val="en-GB"/>
              </w:rPr>
              <w:t xml:space="preserve">, </w:t>
            </w:r>
            <w:r w:rsidR="216A38D0" w:rsidRPr="00BB5286">
              <w:rPr>
                <w:rFonts w:eastAsia="Calibri" w:cs="Times New Roman"/>
                <w:noProof/>
                <w:sz w:val="22"/>
                <w:szCs w:val="20"/>
                <w:lang w:val="en-GB"/>
              </w:rPr>
              <w:t xml:space="preserve">and </w:t>
            </w:r>
            <w:r w:rsidRPr="00BB5286">
              <w:rPr>
                <w:rFonts w:eastAsia="Calibri" w:cs="Times New Roman"/>
                <w:noProof/>
                <w:sz w:val="22"/>
                <w:szCs w:val="20"/>
                <w:lang w:val="en-GB"/>
              </w:rPr>
              <w:t>access to advisory services.</w:t>
            </w:r>
          </w:p>
        </w:tc>
        <w:tc>
          <w:tcPr>
            <w:tcW w:w="1530" w:type="dxa"/>
            <w:shd w:val="clear" w:color="auto" w:fill="FFFFFF" w:themeFill="background1"/>
            <w:vAlign w:val="center"/>
          </w:tcPr>
          <w:p w14:paraId="78F269A2"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300" w:type="dxa"/>
            <w:vMerge w:val="restart"/>
            <w:shd w:val="clear" w:color="auto" w:fill="FFFFFF" w:themeFill="background1"/>
            <w:vAlign w:val="center"/>
          </w:tcPr>
          <w:p w14:paraId="4684153F" w14:textId="678C5509" w:rsidR="009327C5"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szCs w:val="20"/>
                <w:lang w:val="en-GB"/>
              </w:rPr>
              <w:t>There is no EU</w:t>
            </w:r>
            <w:r w:rsidR="216A38D0" w:rsidRPr="00BB5286">
              <w:rPr>
                <w:rFonts w:eastAsia="Calibri" w:cs="Times New Roman"/>
                <w:noProof/>
                <w:sz w:val="22"/>
                <w:szCs w:val="20"/>
                <w:lang w:val="en-GB"/>
              </w:rPr>
              <w:t>-</w:t>
            </w:r>
            <w:r w:rsidRPr="00BB5286">
              <w:rPr>
                <w:rFonts w:eastAsia="Calibri" w:cs="Times New Roman"/>
                <w:noProof/>
                <w:sz w:val="22"/>
                <w:szCs w:val="20"/>
                <w:lang w:val="en-GB"/>
              </w:rPr>
              <w:t xml:space="preserve">level obligation in the </w:t>
            </w:r>
            <w:r w:rsidR="00AF7B1A" w:rsidRPr="00BB5286">
              <w:rPr>
                <w:rFonts w:eastAsia="Calibri" w:cs="Times New Roman"/>
                <w:noProof/>
                <w:sz w:val="22"/>
                <w:szCs w:val="20"/>
                <w:lang w:val="en-GB"/>
              </w:rPr>
              <w:t>EU CAP framework</w:t>
            </w:r>
            <w:r w:rsidRPr="00BB5286">
              <w:rPr>
                <w:rFonts w:eastAsia="Calibri" w:cs="Times New Roman"/>
                <w:noProof/>
                <w:sz w:val="22"/>
                <w:szCs w:val="20"/>
                <w:lang w:val="en-GB"/>
              </w:rPr>
              <w:t xml:space="preserve"> to have a ‘farm digital notebook’. Nevertheless, digital administrative tools, including for CAP support, will become increasingly important and therefore it is important to accompany and support farmers in managing and using such digital tools</w:t>
            </w:r>
            <w:r w:rsidR="216A38D0" w:rsidRPr="00BB5286">
              <w:rPr>
                <w:rFonts w:eastAsia="Calibri" w:cs="Times New Roman"/>
                <w:noProof/>
                <w:sz w:val="22"/>
                <w:szCs w:val="20"/>
                <w:lang w:val="en-GB"/>
              </w:rPr>
              <w:t xml:space="preserve"> effectively and efficiently</w:t>
            </w:r>
            <w:r w:rsidRPr="00BB5286">
              <w:rPr>
                <w:rFonts w:eastAsia="Calibri" w:cs="Times New Roman"/>
                <w:noProof/>
                <w:sz w:val="22"/>
                <w:szCs w:val="20"/>
                <w:lang w:val="en-GB"/>
              </w:rPr>
              <w:t>. The implementation and administration of digital tools is a Member State responsibility.</w:t>
            </w:r>
          </w:p>
        </w:tc>
      </w:tr>
      <w:tr w:rsidR="00872C68" w:rsidRPr="00BB5286" w14:paraId="4F60FA40"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6" w:type="dxa"/>
            <w:tcBorders>
              <w:bottom w:val="single" w:sz="4" w:space="0" w:color="auto"/>
            </w:tcBorders>
            <w:vAlign w:val="center"/>
          </w:tcPr>
          <w:p w14:paraId="4AEC4D57" w14:textId="3A150AA3" w:rsidR="00872C68" w:rsidRPr="00BB5286" w:rsidRDefault="00872C68" w:rsidP="001061AF">
            <w:pPr>
              <w:tabs>
                <w:tab w:val="left" w:pos="1650"/>
              </w:tabs>
              <w:spacing w:after="60" w:line="259" w:lineRule="auto"/>
              <w:rPr>
                <w:rFonts w:eastAsia="Calibri" w:cs="Times New Roman"/>
                <w:b/>
                <w:noProof/>
                <w:sz w:val="22"/>
                <w:lang w:val="en-GB"/>
              </w:rPr>
            </w:pPr>
            <w:r w:rsidRPr="00BB5286">
              <w:rPr>
                <w:rFonts w:eastAsia="Calibri" w:cs="Times New Roman"/>
                <w:b/>
                <w:bCs/>
                <w:noProof/>
                <w:sz w:val="22"/>
                <w:lang w:val="en-GB"/>
              </w:rPr>
              <w:t>23</w:t>
            </w:r>
            <w:r w:rsidR="00A0403B">
              <w:rPr>
                <w:rFonts w:eastAsia="Calibri" w:cs="Times New Roman"/>
                <w:b/>
                <w:bCs/>
                <w:noProof/>
                <w:sz w:val="22"/>
                <w:lang w:val="en-GB"/>
              </w:rPr>
              <w:t>5</w:t>
            </w:r>
          </w:p>
        </w:tc>
        <w:tc>
          <w:tcPr>
            <w:tcW w:w="5859" w:type="dxa"/>
            <w:tcBorders>
              <w:bottom w:val="single" w:sz="4" w:space="0" w:color="auto"/>
            </w:tcBorders>
            <w:vAlign w:val="center"/>
          </w:tcPr>
          <w:p w14:paraId="665FE283" w14:textId="639AA434" w:rsidR="00872C68" w:rsidRPr="00BB5286" w:rsidRDefault="00872C68" w:rsidP="365B9462">
            <w:pPr>
              <w:tabs>
                <w:tab w:val="left" w:pos="1650"/>
              </w:tabs>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Digital tools:</w:t>
            </w:r>
            <w:r w:rsidRPr="00BB5286">
              <w:rPr>
                <w:rFonts w:eastAsia="Calibri" w:cs="Times New Roman"/>
                <w:noProof/>
                <w:sz w:val="22"/>
                <w:szCs w:val="20"/>
                <w:lang w:val="en-GB"/>
              </w:rPr>
              <w:t xml:space="preserve"> </w:t>
            </w:r>
            <w:r w:rsidR="162D3DFF" w:rsidRPr="00BB5286">
              <w:rPr>
                <w:rFonts w:eastAsia="Calibri" w:cs="Times New Roman"/>
                <w:noProof/>
                <w:sz w:val="22"/>
                <w:szCs w:val="20"/>
                <w:lang w:val="en-GB"/>
              </w:rPr>
              <w:t>d</w:t>
            </w:r>
            <w:r w:rsidRPr="00BB5286">
              <w:rPr>
                <w:rFonts w:eastAsia="Calibri" w:cs="Times New Roman"/>
                <w:noProof/>
                <w:sz w:val="22"/>
                <w:szCs w:val="20"/>
                <w:lang w:val="en-GB"/>
              </w:rPr>
              <w:t>o not rely on the hyper technologi</w:t>
            </w:r>
            <w:r w:rsidR="216A38D0" w:rsidRPr="00BB5286">
              <w:rPr>
                <w:rFonts w:eastAsia="Calibri" w:cs="Times New Roman"/>
                <w:noProof/>
                <w:sz w:val="22"/>
                <w:szCs w:val="20"/>
                <w:lang w:val="en-GB"/>
              </w:rPr>
              <w:t>s</w:t>
            </w:r>
            <w:r w:rsidRPr="00BB5286">
              <w:rPr>
                <w:rFonts w:eastAsia="Calibri" w:cs="Times New Roman"/>
                <w:noProof/>
                <w:sz w:val="22"/>
                <w:szCs w:val="20"/>
                <w:lang w:val="en-GB"/>
              </w:rPr>
              <w:t>ation of administrative tasks.  In addition, the use of data, if it is not truly protected, is a threat</w:t>
            </w:r>
            <w:r w:rsidR="00011B8F" w:rsidRPr="00BB5286">
              <w:rPr>
                <w:rFonts w:eastAsia="Calibri" w:cs="Times New Roman"/>
                <w:noProof/>
                <w:sz w:val="22"/>
                <w:szCs w:val="20"/>
                <w:lang w:val="en-GB"/>
              </w:rPr>
              <w:t>.</w:t>
            </w:r>
          </w:p>
        </w:tc>
        <w:tc>
          <w:tcPr>
            <w:tcW w:w="1530" w:type="dxa"/>
            <w:tcBorders>
              <w:bottom w:val="single" w:sz="4" w:space="0" w:color="auto"/>
            </w:tcBorders>
            <w:shd w:val="clear" w:color="auto" w:fill="FFFFFF" w:themeFill="background1"/>
            <w:vAlign w:val="center"/>
          </w:tcPr>
          <w:p w14:paraId="0781A89D"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w:t>
            </w:r>
          </w:p>
        </w:tc>
        <w:tc>
          <w:tcPr>
            <w:tcW w:w="6300" w:type="dxa"/>
            <w:vMerge/>
            <w:vAlign w:val="center"/>
          </w:tcPr>
          <w:p w14:paraId="142E4D87" w14:textId="77777777" w:rsidR="00872C68" w:rsidRPr="00BB5286" w:rsidRDefault="00872C68" w:rsidP="001061AF">
            <w:pPr>
              <w:spacing w:after="60" w:line="259" w:lineRule="auto"/>
              <w:rPr>
                <w:rFonts w:eastAsia="Calibri" w:cs="Times New Roman"/>
                <w:noProof/>
                <w:sz w:val="22"/>
                <w:lang w:val="en-GB"/>
              </w:rPr>
            </w:pPr>
          </w:p>
        </w:tc>
      </w:tr>
      <w:tr w:rsidR="00872C68" w:rsidRPr="00BB5286" w14:paraId="0FCA2788"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395" w:type="dxa"/>
            <w:gridSpan w:val="4"/>
            <w:shd w:val="clear" w:color="auto" w:fill="003399"/>
            <w:vAlign w:val="center"/>
          </w:tcPr>
          <w:p w14:paraId="5F16FBE3" w14:textId="3AEAFB8B" w:rsidR="00872C68" w:rsidRPr="00BB5286" w:rsidRDefault="00872C68" w:rsidP="001061AF">
            <w:pPr>
              <w:spacing w:after="6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t xml:space="preserve">CAP </w:t>
            </w:r>
            <w:r w:rsidR="00B07DE9" w:rsidRPr="00BB5286">
              <w:rPr>
                <w:rFonts w:eastAsia="Calibri" w:cs="Times New Roman"/>
                <w:b/>
                <w:noProof/>
                <w:color w:val="FFFFFF"/>
                <w:sz w:val="22"/>
                <w:lang w:val="en-GB"/>
              </w:rPr>
              <w:t>s</w:t>
            </w:r>
            <w:r w:rsidRPr="00BB5286">
              <w:rPr>
                <w:rFonts w:eastAsia="Calibri" w:cs="Times New Roman"/>
                <w:b/>
                <w:noProof/>
                <w:color w:val="FFFFFF"/>
                <w:sz w:val="22"/>
                <w:lang w:val="en-GB"/>
              </w:rPr>
              <w:t xml:space="preserve">trategic </w:t>
            </w:r>
            <w:r w:rsidR="00B07DE9" w:rsidRPr="00BB5286">
              <w:rPr>
                <w:rFonts w:eastAsia="Calibri" w:cs="Times New Roman"/>
                <w:b/>
                <w:bCs/>
                <w:noProof/>
                <w:color w:val="FFFFFF"/>
                <w:sz w:val="22"/>
                <w:lang w:val="en-GB"/>
              </w:rPr>
              <w:t>p</w:t>
            </w:r>
            <w:r w:rsidRPr="00BB5286">
              <w:rPr>
                <w:rFonts w:eastAsia="Calibri" w:cs="Times New Roman"/>
                <w:b/>
                <w:bCs/>
                <w:noProof/>
                <w:color w:val="FFFFFF"/>
                <w:sz w:val="22"/>
                <w:lang w:val="en-GB"/>
              </w:rPr>
              <w:t xml:space="preserve">lans - </w:t>
            </w:r>
            <w:r w:rsidR="00B07DE9" w:rsidRPr="00BB5286">
              <w:rPr>
                <w:rFonts w:eastAsia="Calibri" w:cs="Times New Roman"/>
                <w:b/>
                <w:bCs/>
                <w:noProof/>
                <w:color w:val="FFFFFF"/>
                <w:sz w:val="22"/>
                <w:lang w:val="en-GB"/>
              </w:rPr>
              <w:t>s</w:t>
            </w:r>
            <w:r w:rsidRPr="00BB5286">
              <w:rPr>
                <w:rFonts w:eastAsia="Calibri" w:cs="Times New Roman"/>
                <w:b/>
                <w:bCs/>
                <w:noProof/>
                <w:color w:val="FFFFFF"/>
                <w:sz w:val="22"/>
                <w:lang w:val="en-GB"/>
              </w:rPr>
              <w:t>ocial</w:t>
            </w:r>
            <w:r w:rsidRPr="00BB5286">
              <w:rPr>
                <w:rFonts w:eastAsia="Calibri" w:cs="Times New Roman"/>
                <w:b/>
                <w:noProof/>
                <w:color w:val="FFFFFF"/>
                <w:sz w:val="22"/>
                <w:lang w:val="en-GB"/>
              </w:rPr>
              <w:t xml:space="preserve"> conditionality</w:t>
            </w:r>
          </w:p>
        </w:tc>
      </w:tr>
      <w:tr w:rsidR="00872C68" w:rsidRPr="00BB5286" w:rsidDel="00E35DE7" w14:paraId="39426AED"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6" w:type="dxa"/>
            <w:vAlign w:val="center"/>
          </w:tcPr>
          <w:p w14:paraId="595B4DBE" w14:textId="159DD735" w:rsidR="00872C68" w:rsidRPr="00BB5286" w:rsidRDefault="00872C68" w:rsidP="001061AF">
            <w:pPr>
              <w:spacing w:after="60" w:line="259" w:lineRule="auto"/>
              <w:rPr>
                <w:rFonts w:eastAsia="Calibri" w:cs="Times New Roman"/>
                <w:b/>
                <w:noProof/>
                <w:sz w:val="22"/>
                <w:lang w:val="en-GB"/>
              </w:rPr>
            </w:pPr>
            <w:r w:rsidRPr="00BB5286">
              <w:rPr>
                <w:rFonts w:eastAsia="Calibri" w:cs="Times New Roman"/>
                <w:b/>
                <w:bCs/>
                <w:noProof/>
                <w:sz w:val="22"/>
                <w:lang w:val="en-GB"/>
              </w:rPr>
              <w:t>23</w:t>
            </w:r>
            <w:r w:rsidR="00A0403B">
              <w:rPr>
                <w:rFonts w:eastAsia="Calibri" w:cs="Times New Roman"/>
                <w:b/>
                <w:bCs/>
                <w:noProof/>
                <w:sz w:val="22"/>
                <w:lang w:val="en-GB"/>
              </w:rPr>
              <w:t>6</w:t>
            </w:r>
          </w:p>
        </w:tc>
        <w:tc>
          <w:tcPr>
            <w:tcW w:w="5859" w:type="dxa"/>
            <w:vAlign w:val="center"/>
          </w:tcPr>
          <w:p w14:paraId="1EC25ADA" w14:textId="63C0D2FE" w:rsidR="00872C68" w:rsidRPr="00BB5286" w:rsidRDefault="00872C68" w:rsidP="001061AF">
            <w:pPr>
              <w:spacing w:after="60" w:line="259" w:lineRule="auto"/>
              <w:rPr>
                <w:rFonts w:eastAsia="Calibri" w:cs="Times New Roman"/>
                <w:noProof/>
                <w:sz w:val="22"/>
                <w:lang w:val="en-GB"/>
              </w:rPr>
            </w:pPr>
            <w:r w:rsidRPr="00BB5286">
              <w:rPr>
                <w:rFonts w:eastAsia="Calibri" w:cs="Times New Roman"/>
                <w:b/>
                <w:bCs/>
                <w:noProof/>
                <w:sz w:val="22"/>
                <w:lang w:val="en-GB"/>
              </w:rPr>
              <w:t xml:space="preserve">Remove </w:t>
            </w:r>
            <w:r w:rsidR="00B07DE9" w:rsidRPr="00BB5286">
              <w:rPr>
                <w:rFonts w:eastAsia="Calibri" w:cs="Times New Roman"/>
                <w:noProof/>
                <w:sz w:val="22"/>
                <w:lang w:val="en-GB"/>
              </w:rPr>
              <w:t>s</w:t>
            </w:r>
            <w:r w:rsidRPr="00BB5286">
              <w:rPr>
                <w:rFonts w:eastAsia="Calibri" w:cs="Times New Roman"/>
                <w:noProof/>
                <w:sz w:val="22"/>
                <w:lang w:val="en-GB"/>
              </w:rPr>
              <w:t>ocial conditionality</w:t>
            </w:r>
            <w:r w:rsidR="00967CF8" w:rsidRPr="00BB5286">
              <w:rPr>
                <w:rFonts w:eastAsia="Calibri" w:cs="Times New Roman"/>
                <w:noProof/>
                <w:sz w:val="22"/>
                <w:lang w:val="en-GB"/>
              </w:rPr>
              <w:t>.</w:t>
            </w:r>
            <w:r w:rsidRPr="00BB5286">
              <w:rPr>
                <w:rFonts w:eastAsia="Calibri" w:cs="Times New Roman"/>
                <w:noProof/>
                <w:sz w:val="22"/>
                <w:lang w:val="en-GB"/>
              </w:rPr>
              <w:t xml:space="preserve"> </w:t>
            </w:r>
          </w:p>
        </w:tc>
        <w:tc>
          <w:tcPr>
            <w:tcW w:w="1530" w:type="dxa"/>
            <w:vAlign w:val="center"/>
          </w:tcPr>
          <w:p w14:paraId="21241518" w14:textId="77923A0E"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BG, HU, LV, PL, SK, RO, CY</w:t>
            </w:r>
          </w:p>
        </w:tc>
        <w:tc>
          <w:tcPr>
            <w:tcW w:w="6300" w:type="dxa"/>
            <w:vMerge w:val="restart"/>
            <w:vAlign w:val="center"/>
          </w:tcPr>
          <w:p w14:paraId="004A0088" w14:textId="6ADFBE7C" w:rsidR="00872C68" w:rsidRPr="00BB5286" w:rsidDel="00E35DE7" w:rsidRDefault="00872C68" w:rsidP="365B9462">
            <w:pPr>
              <w:tabs>
                <w:tab w:val="left" w:pos="1764"/>
              </w:tabs>
              <w:spacing w:after="60" w:line="259" w:lineRule="auto"/>
              <w:jc w:val="both"/>
              <w:rPr>
                <w:rFonts w:eastAsia="Calibri" w:cs="Times New Roman"/>
                <w:noProof/>
                <w:sz w:val="22"/>
                <w:szCs w:val="20"/>
                <w:lang w:val="en-GB"/>
              </w:rPr>
            </w:pPr>
            <w:r w:rsidRPr="00BB5286">
              <w:rPr>
                <w:rFonts w:eastAsia="Times New Roman" w:cs="Times New Roman"/>
                <w:noProof/>
                <w:sz w:val="22"/>
                <w:szCs w:val="20"/>
                <w:lang w:val="en-GB"/>
              </w:rPr>
              <w:t xml:space="preserve">The </w:t>
            </w:r>
            <w:r w:rsidRPr="00BB5286">
              <w:rPr>
                <w:rFonts w:eastAsia="Calibri" w:cs="Times New Roman"/>
                <w:noProof/>
                <w:sz w:val="22"/>
                <w:szCs w:val="20"/>
                <w:lang w:val="en-GB"/>
              </w:rPr>
              <w:t>suggestion</w:t>
            </w:r>
            <w:r w:rsidRPr="00BB5286">
              <w:rPr>
                <w:rFonts w:eastAsia="Times New Roman" w:cs="Times New Roman"/>
                <w:noProof/>
                <w:sz w:val="22"/>
                <w:szCs w:val="20"/>
                <w:lang w:val="en-GB"/>
              </w:rPr>
              <w:t xml:space="preserve"> was not taken up. </w:t>
            </w:r>
            <w:r w:rsidR="129EB0B9" w:rsidRPr="00BB5286">
              <w:rPr>
                <w:rFonts w:eastAsia="Times New Roman" w:cs="Times New Roman"/>
                <w:noProof/>
                <w:sz w:val="22"/>
                <w:szCs w:val="20"/>
                <w:lang w:val="en-GB"/>
              </w:rPr>
              <w:t>The C</w:t>
            </w:r>
            <w:r w:rsidR="19175636" w:rsidRPr="00BB5286">
              <w:rPr>
                <w:rFonts w:eastAsia="Times New Roman" w:cs="Times New Roman"/>
                <w:noProof/>
                <w:sz w:val="22"/>
                <w:szCs w:val="20"/>
                <w:lang w:val="en-GB"/>
              </w:rPr>
              <w:t>S</w:t>
            </w:r>
            <w:r w:rsidR="129EB0B9" w:rsidRPr="00BB5286">
              <w:rPr>
                <w:rFonts w:eastAsia="Times New Roman" w:cs="Times New Roman"/>
                <w:noProof/>
                <w:sz w:val="22"/>
                <w:szCs w:val="20"/>
                <w:lang w:val="en-GB"/>
              </w:rPr>
              <w:t xml:space="preserve">P </w:t>
            </w:r>
            <w:r w:rsidRPr="00BB5286">
              <w:rPr>
                <w:rFonts w:eastAsia="Times New Roman" w:cs="Times New Roman"/>
                <w:noProof/>
                <w:sz w:val="22"/>
                <w:szCs w:val="20"/>
                <w:lang w:val="en-GB"/>
              </w:rPr>
              <w:t xml:space="preserve">Regulation already grants Member States the possibility to delay to 2025 the implementation of social conditionality, or to start applying it earlier. Several Member States already implement the social conditionality system. Postponing </w:t>
            </w:r>
            <w:r w:rsidR="66B1DF71" w:rsidRPr="00BB5286">
              <w:rPr>
                <w:rFonts w:eastAsia="Times New Roman" w:cs="Times New Roman"/>
                <w:noProof/>
                <w:sz w:val="22"/>
                <w:szCs w:val="20"/>
                <w:lang w:val="en-GB"/>
              </w:rPr>
              <w:t xml:space="preserve">its </w:t>
            </w:r>
            <w:r w:rsidRPr="00BB5286">
              <w:rPr>
                <w:rFonts w:eastAsia="Times New Roman" w:cs="Times New Roman"/>
                <w:noProof/>
                <w:sz w:val="22"/>
                <w:szCs w:val="20"/>
                <w:lang w:val="en-GB"/>
              </w:rPr>
              <w:t xml:space="preserve">application beyond 2025 would affect the level playing field in the </w:t>
            </w:r>
            <w:r w:rsidR="00AF7B1A" w:rsidRPr="00BB5286">
              <w:rPr>
                <w:rFonts w:eastAsia="Times New Roman" w:cs="Times New Roman"/>
                <w:noProof/>
                <w:sz w:val="22"/>
                <w:szCs w:val="20"/>
                <w:lang w:val="en-GB"/>
              </w:rPr>
              <w:t xml:space="preserve">EU </w:t>
            </w:r>
            <w:r w:rsidRPr="00BB5286">
              <w:rPr>
                <w:rFonts w:eastAsia="Times New Roman" w:cs="Times New Roman"/>
                <w:noProof/>
                <w:sz w:val="22"/>
                <w:szCs w:val="20"/>
                <w:lang w:val="en-GB"/>
              </w:rPr>
              <w:t xml:space="preserve">and would hamper the achievement of the policy objectives of the 2023-2027 CAP in the area of social sustainability. </w:t>
            </w:r>
          </w:p>
          <w:p w14:paraId="32030779" w14:textId="249B8260" w:rsidR="00872C68" w:rsidRPr="00BB5286" w:rsidDel="00E35DE7" w:rsidRDefault="00872C68" w:rsidP="001061AF">
            <w:pPr>
              <w:tabs>
                <w:tab w:val="left" w:pos="1764"/>
              </w:tabs>
              <w:spacing w:after="60" w:line="259" w:lineRule="auto"/>
              <w:jc w:val="both"/>
              <w:rPr>
                <w:rFonts w:eastAsia="Calibri" w:cs="Times New Roman"/>
                <w:noProof/>
                <w:sz w:val="22"/>
                <w:lang w:val="en-GB"/>
              </w:rPr>
            </w:pPr>
            <w:r w:rsidRPr="00BB5286">
              <w:rPr>
                <w:rFonts w:eastAsia="Times New Roman" w:cs="Times New Roman"/>
                <w:noProof/>
                <w:sz w:val="22"/>
                <w:lang w:val="en-GB"/>
              </w:rPr>
              <w:t xml:space="preserve">In any event, social conditionality should not add </w:t>
            </w:r>
            <w:r w:rsidR="00B07DE9" w:rsidRPr="00BB5286">
              <w:rPr>
                <w:rFonts w:eastAsia="Times New Roman" w:cs="Times New Roman"/>
                <w:noProof/>
                <w:sz w:val="22"/>
                <w:lang w:val="en-GB"/>
              </w:rPr>
              <w:t xml:space="preserve">an </w:t>
            </w:r>
            <w:r w:rsidRPr="00BB5286">
              <w:rPr>
                <w:rFonts w:eastAsia="Times New Roman" w:cs="Times New Roman"/>
                <w:noProof/>
                <w:sz w:val="22"/>
                <w:lang w:val="en-GB"/>
              </w:rPr>
              <w:t xml:space="preserve">additional complication for farmers since it relies on </w:t>
            </w:r>
            <w:r w:rsidR="00B07DE9" w:rsidRPr="00BB5286">
              <w:rPr>
                <w:rFonts w:eastAsia="Times New Roman" w:cs="Times New Roman"/>
                <w:noProof/>
                <w:sz w:val="22"/>
                <w:lang w:val="en-GB"/>
              </w:rPr>
              <w:t xml:space="preserve">the </w:t>
            </w:r>
            <w:r w:rsidRPr="00BB5286">
              <w:rPr>
                <w:rFonts w:eastAsia="Times New Roman" w:cs="Times New Roman"/>
                <w:noProof/>
                <w:sz w:val="22"/>
                <w:lang w:val="en-GB"/>
              </w:rPr>
              <w:t>existing implementation and control systems</w:t>
            </w:r>
            <w:r w:rsidR="00B07DE9" w:rsidRPr="00BB5286">
              <w:rPr>
                <w:rFonts w:eastAsia="Times New Roman" w:cs="Times New Roman"/>
                <w:noProof/>
                <w:sz w:val="22"/>
                <w:lang w:val="en-GB"/>
              </w:rPr>
              <w:t xml:space="preserve"> in Member States</w:t>
            </w:r>
            <w:r w:rsidRPr="00BB5286">
              <w:rPr>
                <w:rFonts w:eastAsia="Times New Roman" w:cs="Times New Roman"/>
                <w:noProof/>
                <w:sz w:val="22"/>
                <w:lang w:val="en-GB"/>
              </w:rPr>
              <w:t>.</w:t>
            </w:r>
          </w:p>
        </w:tc>
      </w:tr>
      <w:tr w:rsidR="00872C68" w:rsidRPr="00BB5286" w14:paraId="69A0DD84"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706" w:type="dxa"/>
            <w:vAlign w:val="center"/>
          </w:tcPr>
          <w:p w14:paraId="440CD047" w14:textId="6A3C2B07"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23</w:t>
            </w:r>
            <w:r w:rsidR="00A0403B">
              <w:rPr>
                <w:rFonts w:eastAsia="Calibri" w:cs="Times New Roman"/>
                <w:b/>
                <w:bCs/>
                <w:noProof/>
                <w:sz w:val="22"/>
                <w:lang w:val="en-GB"/>
              </w:rPr>
              <w:t>7</w:t>
            </w:r>
          </w:p>
        </w:tc>
        <w:tc>
          <w:tcPr>
            <w:tcW w:w="5859" w:type="dxa"/>
            <w:vAlign w:val="center"/>
          </w:tcPr>
          <w:p w14:paraId="3A9F06E4" w14:textId="2340A151"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 xml:space="preserve">Postpone </w:t>
            </w:r>
            <w:r w:rsidRPr="00BB5286">
              <w:rPr>
                <w:rFonts w:eastAsia="Calibri" w:cs="Times New Roman"/>
                <w:noProof/>
                <w:sz w:val="22"/>
                <w:lang w:val="en-GB"/>
              </w:rPr>
              <w:t>the application of social conditionality</w:t>
            </w:r>
            <w:r w:rsidR="00967CF8" w:rsidRPr="00BB5286">
              <w:rPr>
                <w:rFonts w:eastAsia="Calibri" w:cs="Times New Roman"/>
                <w:noProof/>
                <w:sz w:val="22"/>
                <w:lang w:val="en-GB"/>
              </w:rPr>
              <w:t>.</w:t>
            </w:r>
          </w:p>
        </w:tc>
        <w:tc>
          <w:tcPr>
            <w:tcW w:w="1530" w:type="dxa"/>
            <w:vAlign w:val="center"/>
          </w:tcPr>
          <w:p w14:paraId="01D81D2B"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HR, SI, BE</w:t>
            </w:r>
          </w:p>
        </w:tc>
        <w:tc>
          <w:tcPr>
            <w:tcW w:w="6300" w:type="dxa"/>
            <w:vMerge/>
            <w:vAlign w:val="center"/>
          </w:tcPr>
          <w:p w14:paraId="5AE3A0E8" w14:textId="77777777" w:rsidR="00872C68" w:rsidRPr="00BB5286" w:rsidRDefault="00872C68" w:rsidP="001061AF">
            <w:pPr>
              <w:spacing w:after="60" w:line="259" w:lineRule="auto"/>
              <w:rPr>
                <w:rFonts w:eastAsia="Calibri" w:cs="Times New Roman"/>
                <w:noProof/>
                <w:sz w:val="22"/>
                <w:lang w:val="en-GB"/>
              </w:rPr>
            </w:pPr>
          </w:p>
        </w:tc>
      </w:tr>
      <w:tr w:rsidR="00872C68" w:rsidRPr="00BB5286" w14:paraId="3D1E83C9"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trPr>
        <w:tc>
          <w:tcPr>
            <w:tcW w:w="706" w:type="dxa"/>
            <w:vAlign w:val="center"/>
          </w:tcPr>
          <w:p w14:paraId="5B5EFDBF" w14:textId="6CE94880"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23</w:t>
            </w:r>
            <w:r w:rsidR="00A0403B">
              <w:rPr>
                <w:rFonts w:eastAsia="Calibri" w:cs="Times New Roman"/>
                <w:b/>
                <w:bCs/>
                <w:noProof/>
                <w:sz w:val="22"/>
                <w:lang w:val="en-GB"/>
              </w:rPr>
              <w:t>8</w:t>
            </w:r>
          </w:p>
        </w:tc>
        <w:tc>
          <w:tcPr>
            <w:tcW w:w="5859" w:type="dxa"/>
            <w:vAlign w:val="center"/>
          </w:tcPr>
          <w:p w14:paraId="66397EB2" w14:textId="7CE562EE" w:rsidR="00872C68" w:rsidRPr="00BB5286" w:rsidRDefault="00872C68" w:rsidP="365B9462">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Align</w:t>
            </w:r>
            <w:r w:rsidRPr="00BB5286">
              <w:rPr>
                <w:rFonts w:eastAsia="Calibri" w:cs="Times New Roman"/>
                <w:noProof/>
                <w:sz w:val="22"/>
                <w:szCs w:val="20"/>
                <w:lang w:val="en-GB"/>
              </w:rPr>
              <w:t xml:space="preserve"> social conditionality with other conditionality</w:t>
            </w:r>
            <w:r w:rsidR="00967CF8" w:rsidRPr="00BB5286">
              <w:rPr>
                <w:rFonts w:eastAsia="Calibri" w:cs="Times New Roman"/>
                <w:noProof/>
                <w:sz w:val="22"/>
                <w:szCs w:val="20"/>
                <w:lang w:val="en-GB"/>
              </w:rPr>
              <w:t>.</w:t>
            </w:r>
          </w:p>
        </w:tc>
        <w:tc>
          <w:tcPr>
            <w:tcW w:w="1530" w:type="dxa"/>
            <w:vAlign w:val="center"/>
          </w:tcPr>
          <w:p w14:paraId="46BE6B99"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FI</w:t>
            </w:r>
          </w:p>
        </w:tc>
        <w:tc>
          <w:tcPr>
            <w:tcW w:w="6300" w:type="dxa"/>
            <w:vMerge/>
            <w:vAlign w:val="center"/>
          </w:tcPr>
          <w:p w14:paraId="1232ACDE" w14:textId="77777777" w:rsidR="00872C68" w:rsidRPr="00BB5286" w:rsidRDefault="00872C68" w:rsidP="001061AF">
            <w:pPr>
              <w:spacing w:after="60" w:line="259" w:lineRule="auto"/>
              <w:rPr>
                <w:rFonts w:eastAsia="Calibri" w:cs="Times New Roman"/>
                <w:noProof/>
                <w:sz w:val="22"/>
                <w:lang w:val="en-GB"/>
              </w:rPr>
            </w:pPr>
          </w:p>
        </w:tc>
      </w:tr>
      <w:tr w:rsidR="00872C68" w:rsidRPr="00BB5286" w14:paraId="79119613"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706" w:type="dxa"/>
            <w:tcBorders>
              <w:bottom w:val="single" w:sz="4" w:space="0" w:color="auto"/>
            </w:tcBorders>
            <w:vAlign w:val="center"/>
          </w:tcPr>
          <w:p w14:paraId="56B28644" w14:textId="09DCD384"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w:t>
            </w:r>
            <w:r w:rsidR="00A0403B">
              <w:rPr>
                <w:rFonts w:eastAsia="Calibri" w:cs="Times New Roman"/>
                <w:b/>
                <w:bCs/>
                <w:noProof/>
                <w:sz w:val="22"/>
                <w:lang w:val="en-GB"/>
              </w:rPr>
              <w:t>39</w:t>
            </w:r>
          </w:p>
        </w:tc>
        <w:tc>
          <w:tcPr>
            <w:tcW w:w="5859" w:type="dxa"/>
            <w:tcBorders>
              <w:bottom w:val="single" w:sz="4" w:space="0" w:color="auto"/>
            </w:tcBorders>
            <w:vAlign w:val="center"/>
          </w:tcPr>
          <w:p w14:paraId="19D5CD26" w14:textId="057EE188"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Avoid double penalties</w:t>
            </w:r>
            <w:r w:rsidRPr="00BB5286">
              <w:rPr>
                <w:rFonts w:eastAsia="Calibri" w:cs="Times New Roman"/>
                <w:noProof/>
                <w:sz w:val="22"/>
                <w:lang w:val="en-GB"/>
              </w:rPr>
              <w:t xml:space="preserve"> </w:t>
            </w:r>
            <w:r w:rsidR="0035210E" w:rsidRPr="00BB5286">
              <w:rPr>
                <w:rFonts w:eastAsia="Calibri" w:cs="Times New Roman"/>
                <w:noProof/>
                <w:sz w:val="22"/>
                <w:lang w:val="en-GB"/>
              </w:rPr>
              <w:t xml:space="preserve">between </w:t>
            </w:r>
            <w:r w:rsidRPr="00BB5286">
              <w:rPr>
                <w:rFonts w:eastAsia="Calibri" w:cs="Times New Roman"/>
                <w:noProof/>
                <w:sz w:val="22"/>
                <w:lang w:val="en-GB"/>
              </w:rPr>
              <w:t>systems of conditionality and cross compliance</w:t>
            </w:r>
            <w:r w:rsidR="0035210E" w:rsidRPr="00BB5286">
              <w:rPr>
                <w:rFonts w:eastAsia="Calibri" w:cs="Times New Roman"/>
                <w:noProof/>
                <w:sz w:val="22"/>
                <w:lang w:val="en-GB"/>
              </w:rPr>
              <w:t xml:space="preserve">. </w:t>
            </w:r>
            <w:r w:rsidRPr="00BB5286">
              <w:rPr>
                <w:rFonts w:eastAsia="Calibri" w:cs="Times New Roman"/>
                <w:noProof/>
                <w:sz w:val="22"/>
                <w:lang w:val="en-GB"/>
              </w:rPr>
              <w:t>With social conditionality</w:t>
            </w:r>
            <w:r w:rsidR="0035210E" w:rsidRPr="00BB5286">
              <w:rPr>
                <w:rFonts w:eastAsia="Calibri" w:cs="Times New Roman"/>
                <w:noProof/>
                <w:sz w:val="22"/>
                <w:lang w:val="en-GB"/>
              </w:rPr>
              <w:t>,</w:t>
            </w:r>
            <w:r w:rsidRPr="00BB5286">
              <w:rPr>
                <w:rFonts w:eastAsia="Calibri" w:cs="Times New Roman"/>
                <w:noProof/>
                <w:sz w:val="22"/>
                <w:lang w:val="en-GB"/>
              </w:rPr>
              <w:t xml:space="preserve"> farmers </w:t>
            </w:r>
            <w:r w:rsidR="0035210E" w:rsidRPr="00BB5286">
              <w:rPr>
                <w:rFonts w:eastAsia="Calibri" w:cs="Times New Roman"/>
                <w:noProof/>
                <w:sz w:val="22"/>
                <w:lang w:val="en-GB"/>
              </w:rPr>
              <w:t xml:space="preserve">may be </w:t>
            </w:r>
            <w:r w:rsidRPr="00BB5286">
              <w:rPr>
                <w:rFonts w:eastAsia="Calibri" w:cs="Times New Roman"/>
                <w:noProof/>
                <w:sz w:val="22"/>
                <w:lang w:val="en-GB"/>
              </w:rPr>
              <w:t xml:space="preserve">subject to double penalties. If </w:t>
            </w:r>
            <w:r w:rsidR="0035210E" w:rsidRPr="00BB5286">
              <w:rPr>
                <w:rFonts w:eastAsia="Calibri" w:cs="Times New Roman"/>
                <w:noProof/>
                <w:sz w:val="22"/>
                <w:lang w:val="en-GB"/>
              </w:rPr>
              <w:t xml:space="preserve">a farmer </w:t>
            </w:r>
            <w:r w:rsidRPr="00BB5286">
              <w:rPr>
                <w:rFonts w:eastAsia="Calibri" w:cs="Times New Roman"/>
                <w:noProof/>
                <w:sz w:val="22"/>
                <w:lang w:val="en-GB"/>
              </w:rPr>
              <w:t>make</w:t>
            </w:r>
            <w:r w:rsidR="0035210E" w:rsidRPr="00BB5286">
              <w:rPr>
                <w:rFonts w:eastAsia="Calibri" w:cs="Times New Roman"/>
                <w:noProof/>
                <w:sz w:val="22"/>
                <w:lang w:val="en-GB"/>
              </w:rPr>
              <w:t>s</w:t>
            </w:r>
            <w:r w:rsidRPr="00BB5286">
              <w:rPr>
                <w:rFonts w:eastAsia="Calibri" w:cs="Times New Roman"/>
                <w:noProof/>
                <w:sz w:val="22"/>
                <w:lang w:val="en-GB"/>
              </w:rPr>
              <w:t xml:space="preserve"> a small mistake, this could lead to a sanction on CAP payments and a sanction through national legislation </w:t>
            </w:r>
            <w:r w:rsidR="00B07DE9" w:rsidRPr="00BB5286">
              <w:rPr>
                <w:rFonts w:eastAsia="Calibri" w:cs="Times New Roman"/>
                <w:noProof/>
                <w:sz w:val="22"/>
                <w:lang w:val="en-GB"/>
              </w:rPr>
              <w:t xml:space="preserve">on </w:t>
            </w:r>
            <w:r w:rsidRPr="00BB5286">
              <w:rPr>
                <w:rFonts w:eastAsia="Calibri" w:cs="Times New Roman"/>
                <w:noProof/>
                <w:sz w:val="22"/>
                <w:lang w:val="en-GB"/>
              </w:rPr>
              <w:t xml:space="preserve">working conditions. </w:t>
            </w:r>
          </w:p>
        </w:tc>
        <w:tc>
          <w:tcPr>
            <w:tcW w:w="1530" w:type="dxa"/>
            <w:tcBorders>
              <w:bottom w:val="single" w:sz="4" w:space="0" w:color="auto"/>
            </w:tcBorders>
            <w:vAlign w:val="center"/>
          </w:tcPr>
          <w:p w14:paraId="3A2BFA9B"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COPA-COGECA</w:t>
            </w:r>
          </w:p>
        </w:tc>
        <w:tc>
          <w:tcPr>
            <w:tcW w:w="6300" w:type="dxa"/>
            <w:tcBorders>
              <w:bottom w:val="single" w:sz="4" w:space="0" w:color="auto"/>
            </w:tcBorders>
            <w:vAlign w:val="center"/>
          </w:tcPr>
          <w:p w14:paraId="4439D0F1" w14:textId="6F9ED613" w:rsidR="00872C68" w:rsidRPr="00BB5286" w:rsidRDefault="00872C68" w:rsidP="00456420">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suggestion was not taken up. By expanding the system of conditionality for direct payments under the CAP, the co-legislators have chosen to include the obligation for Member States to apply administrative penalties linked to a range of social rights laid down in EU legislation, such as written contracts and rules on safety and health at work. </w:t>
            </w:r>
          </w:p>
        </w:tc>
      </w:tr>
    </w:tbl>
    <w:p w14:paraId="5A0E03EC" w14:textId="77777777" w:rsidR="00FD703D" w:rsidRDefault="00FD703D">
      <w:pPr>
        <w:rPr>
          <w:noProof/>
        </w:rPr>
      </w:pPr>
    </w:p>
    <w:tbl>
      <w:tblPr>
        <w:tblStyle w:val="TableGrid1"/>
        <w:tblW w:w="14395" w:type="dxa"/>
        <w:tblLayout w:type="fixed"/>
        <w:tblLook w:val="04A0" w:firstRow="1" w:lastRow="0" w:firstColumn="1" w:lastColumn="0" w:noHBand="0" w:noVBand="1"/>
      </w:tblPr>
      <w:tblGrid>
        <w:gridCol w:w="706"/>
        <w:gridCol w:w="5859"/>
        <w:gridCol w:w="1530"/>
        <w:gridCol w:w="6300"/>
      </w:tblGrid>
      <w:tr w:rsidR="00872C68" w:rsidRPr="00BB5286" w14:paraId="734ECB71" w14:textId="77777777" w:rsidTr="48005626">
        <w:trPr>
          <w:trHeight w:val="544"/>
        </w:trPr>
        <w:tc>
          <w:tcPr>
            <w:tcW w:w="14395" w:type="dxa"/>
            <w:gridSpan w:val="4"/>
            <w:tcBorders>
              <w:bottom w:val="nil"/>
            </w:tcBorders>
            <w:shd w:val="clear" w:color="auto" w:fill="003399"/>
            <w:vAlign w:val="center"/>
          </w:tcPr>
          <w:p w14:paraId="332A280A" w14:textId="77777777" w:rsidR="00872C68" w:rsidRPr="00BB5286" w:rsidRDefault="00872C68" w:rsidP="001061AF">
            <w:pPr>
              <w:spacing w:after="60" w:line="259" w:lineRule="auto"/>
              <w:jc w:val="center"/>
              <w:rPr>
                <w:rFonts w:eastAsia="Calibri" w:cs="Times New Roman"/>
                <w:noProof/>
                <w:color w:val="FFFFFF"/>
                <w:sz w:val="22"/>
                <w:lang w:val="en-GB"/>
              </w:rPr>
            </w:pPr>
            <w:r w:rsidRPr="00BB5286">
              <w:rPr>
                <w:rFonts w:eastAsia="Calibri" w:cs="Times New Roman"/>
                <w:b/>
                <w:bCs/>
                <w:noProof/>
                <w:color w:val="FFFFFF"/>
                <w:sz w:val="22"/>
                <w:lang w:val="en-GB"/>
              </w:rPr>
              <w:lastRenderedPageBreak/>
              <w:t>Organic farming</w:t>
            </w:r>
          </w:p>
        </w:tc>
      </w:tr>
      <w:tr w:rsidR="00872C68" w:rsidRPr="00BB5286" w14:paraId="5EC4B79B" w14:textId="77777777" w:rsidTr="48005626">
        <w:trPr>
          <w:trHeight w:val="300"/>
        </w:trPr>
        <w:tc>
          <w:tcPr>
            <w:tcW w:w="706" w:type="dxa"/>
            <w:tcBorders>
              <w:top w:val="nil"/>
            </w:tcBorders>
            <w:vAlign w:val="center"/>
          </w:tcPr>
          <w:p w14:paraId="30DF96A7" w14:textId="7B128A9B"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24</w:t>
            </w:r>
            <w:r w:rsidR="00A0403B">
              <w:rPr>
                <w:rFonts w:eastAsia="Calibri" w:cs="Times New Roman"/>
                <w:b/>
                <w:bCs/>
                <w:noProof/>
                <w:sz w:val="22"/>
                <w:lang w:val="en-GB"/>
              </w:rPr>
              <w:t>0</w:t>
            </w:r>
          </w:p>
        </w:tc>
        <w:tc>
          <w:tcPr>
            <w:tcW w:w="5859" w:type="dxa"/>
            <w:tcBorders>
              <w:top w:val="nil"/>
            </w:tcBorders>
            <w:vAlign w:val="center"/>
          </w:tcPr>
          <w:p w14:paraId="0CA34E07" w14:textId="77777777"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b/>
                <w:bCs/>
                <w:noProof/>
                <w:sz w:val="22"/>
                <w:lang w:val="en-GB"/>
              </w:rPr>
              <w:t>Automated IT</w:t>
            </w:r>
            <w:r w:rsidRPr="00BB5286">
              <w:rPr>
                <w:rFonts w:eastAsia="Calibri" w:cs="Times New Roman"/>
                <w:noProof/>
                <w:sz w:val="22"/>
                <w:lang w:val="en-GB"/>
              </w:rPr>
              <w:t xml:space="preserve"> system to record feeding regimes and growing periods per group of animals.</w:t>
            </w:r>
          </w:p>
        </w:tc>
        <w:tc>
          <w:tcPr>
            <w:tcW w:w="1530" w:type="dxa"/>
            <w:tcBorders>
              <w:top w:val="nil"/>
            </w:tcBorders>
            <w:vAlign w:val="center"/>
          </w:tcPr>
          <w:p w14:paraId="6FF50F59"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LT</w:t>
            </w:r>
          </w:p>
        </w:tc>
        <w:tc>
          <w:tcPr>
            <w:tcW w:w="6300" w:type="dxa"/>
            <w:tcBorders>
              <w:top w:val="nil"/>
            </w:tcBorders>
            <w:vAlign w:val="center"/>
          </w:tcPr>
          <w:p w14:paraId="275ABB00" w14:textId="3B879588"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EU legislation does not prevent </w:t>
            </w:r>
            <w:r w:rsidR="00B07DE9" w:rsidRPr="00BB5286">
              <w:rPr>
                <w:rFonts w:eastAsia="Calibri" w:cs="Times New Roman"/>
                <w:noProof/>
                <w:sz w:val="22"/>
                <w:lang w:val="en-GB"/>
              </w:rPr>
              <w:t xml:space="preserve">the </w:t>
            </w:r>
            <w:r w:rsidRPr="00BB5286">
              <w:rPr>
                <w:rFonts w:eastAsia="Calibri" w:cs="Times New Roman"/>
                <w:noProof/>
                <w:sz w:val="22"/>
                <w:lang w:val="en-GB"/>
              </w:rPr>
              <w:t xml:space="preserve">introduction of such IT systems. However, it should be considered whether </w:t>
            </w:r>
            <w:r w:rsidR="00B07DE9" w:rsidRPr="00BB5286">
              <w:rPr>
                <w:rFonts w:eastAsia="Calibri" w:cs="Times New Roman"/>
                <w:noProof/>
                <w:sz w:val="22"/>
                <w:lang w:val="en-GB"/>
              </w:rPr>
              <w:t xml:space="preserve">this </w:t>
            </w:r>
            <w:r w:rsidRPr="00BB5286">
              <w:rPr>
                <w:rFonts w:eastAsia="Calibri" w:cs="Times New Roman"/>
                <w:noProof/>
                <w:sz w:val="22"/>
                <w:lang w:val="en-GB"/>
              </w:rPr>
              <w:t>would contribute to simplification.</w:t>
            </w:r>
          </w:p>
        </w:tc>
      </w:tr>
      <w:tr w:rsidR="00872C68" w:rsidRPr="00BB5286" w14:paraId="2A4F6B4F" w14:textId="77777777" w:rsidTr="48005626">
        <w:trPr>
          <w:trHeight w:val="300"/>
        </w:trPr>
        <w:tc>
          <w:tcPr>
            <w:tcW w:w="706" w:type="dxa"/>
            <w:vAlign w:val="center"/>
          </w:tcPr>
          <w:p w14:paraId="3BC48F86" w14:textId="1C3C8308" w:rsidR="00872C68" w:rsidRPr="00BB5286" w:rsidRDefault="00872C68" w:rsidP="001061AF">
            <w:pPr>
              <w:spacing w:after="60" w:line="259" w:lineRule="auto"/>
              <w:rPr>
                <w:rFonts w:eastAsia="Calibri" w:cs="Times New Roman"/>
                <w:b/>
                <w:noProof/>
                <w:sz w:val="22"/>
                <w:lang w:val="en-GB"/>
              </w:rPr>
            </w:pPr>
            <w:r w:rsidRPr="00BB5286">
              <w:rPr>
                <w:rFonts w:eastAsia="Calibri" w:cs="Times New Roman"/>
                <w:b/>
                <w:bCs/>
                <w:noProof/>
                <w:sz w:val="22"/>
                <w:lang w:val="en-GB"/>
              </w:rPr>
              <w:t>24</w:t>
            </w:r>
            <w:r w:rsidR="00A0403B">
              <w:rPr>
                <w:rFonts w:eastAsia="Calibri" w:cs="Times New Roman"/>
                <w:b/>
                <w:bCs/>
                <w:noProof/>
                <w:sz w:val="22"/>
                <w:lang w:val="en-GB"/>
              </w:rPr>
              <w:t>1</w:t>
            </w:r>
          </w:p>
        </w:tc>
        <w:tc>
          <w:tcPr>
            <w:tcW w:w="5859" w:type="dxa"/>
            <w:vAlign w:val="center"/>
          </w:tcPr>
          <w:p w14:paraId="7EC2D5D4" w14:textId="5B805B58" w:rsidR="00872C68" w:rsidRPr="00BB5286" w:rsidRDefault="00872C68" w:rsidP="001061AF">
            <w:pPr>
              <w:spacing w:after="60" w:line="259" w:lineRule="auto"/>
              <w:rPr>
                <w:rFonts w:eastAsia="Calibri" w:cs="Times New Roman"/>
                <w:noProof/>
                <w:sz w:val="22"/>
                <w:lang w:val="en-GB"/>
              </w:rPr>
            </w:pPr>
            <w:r w:rsidRPr="00BB5286">
              <w:rPr>
                <w:rFonts w:eastAsia="Calibri" w:cs="Times New Roman"/>
                <w:b/>
                <w:bCs/>
                <w:noProof/>
                <w:sz w:val="22"/>
                <w:lang w:val="en-GB"/>
              </w:rPr>
              <w:t>Guidelines for organic livestock</w:t>
            </w:r>
            <w:r w:rsidRPr="00BB5286">
              <w:rPr>
                <w:rFonts w:eastAsia="Calibri" w:cs="Times New Roman"/>
                <w:noProof/>
                <w:sz w:val="22"/>
                <w:lang w:val="en-GB"/>
              </w:rPr>
              <w:t xml:space="preserve"> products </w:t>
            </w:r>
            <w:r w:rsidR="0035210E" w:rsidRPr="00BB5286">
              <w:rPr>
                <w:rFonts w:eastAsia="Calibri" w:cs="Times New Roman"/>
                <w:noProof/>
                <w:sz w:val="22"/>
                <w:lang w:val="en-GB"/>
              </w:rPr>
              <w:t xml:space="preserve">should </w:t>
            </w:r>
            <w:r w:rsidRPr="00BB5286">
              <w:rPr>
                <w:rFonts w:eastAsia="Calibri" w:cs="Times New Roman"/>
                <w:noProof/>
                <w:sz w:val="22"/>
                <w:lang w:val="en-GB"/>
              </w:rPr>
              <w:t xml:space="preserve">have all </w:t>
            </w:r>
            <w:r w:rsidR="0035210E" w:rsidRPr="00BB5286">
              <w:rPr>
                <w:rFonts w:eastAsia="Calibri" w:cs="Times New Roman"/>
                <w:noProof/>
                <w:sz w:val="22"/>
                <w:lang w:val="en-GB"/>
              </w:rPr>
              <w:t xml:space="preserve">the </w:t>
            </w:r>
            <w:r w:rsidRPr="00BB5286">
              <w:rPr>
                <w:rFonts w:eastAsia="Calibri" w:cs="Times New Roman"/>
                <w:noProof/>
                <w:sz w:val="22"/>
                <w:lang w:val="en-GB"/>
              </w:rPr>
              <w:t>requirements in a single place</w:t>
            </w:r>
            <w:r w:rsidR="00967CF8" w:rsidRPr="00BB5286">
              <w:rPr>
                <w:rFonts w:eastAsia="Calibri" w:cs="Times New Roman"/>
                <w:noProof/>
                <w:sz w:val="22"/>
                <w:lang w:val="en-GB"/>
              </w:rPr>
              <w:t>.</w:t>
            </w:r>
          </w:p>
        </w:tc>
        <w:tc>
          <w:tcPr>
            <w:tcW w:w="1530" w:type="dxa"/>
            <w:vAlign w:val="center"/>
          </w:tcPr>
          <w:p w14:paraId="1392112B"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LT</w:t>
            </w:r>
          </w:p>
        </w:tc>
        <w:tc>
          <w:tcPr>
            <w:tcW w:w="6300" w:type="dxa"/>
            <w:vAlign w:val="center"/>
          </w:tcPr>
          <w:p w14:paraId="65A94881" w14:textId="4211388B" w:rsidR="00872C68" w:rsidRPr="00BB5286" w:rsidRDefault="00872C68" w:rsidP="00456420">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Commission has published notices </w:t>
            </w:r>
            <w:r w:rsidR="0082578A" w:rsidRPr="00BB5286">
              <w:rPr>
                <w:rFonts w:eastAsia="Calibri" w:cs="Times New Roman"/>
                <w:noProof/>
                <w:sz w:val="22"/>
                <w:lang w:val="en-GB"/>
              </w:rPr>
              <w:t xml:space="preserve">on </w:t>
            </w:r>
            <w:r w:rsidRPr="00BB5286">
              <w:rPr>
                <w:rFonts w:eastAsia="Calibri" w:cs="Times New Roman"/>
                <w:noProof/>
                <w:sz w:val="22"/>
                <w:lang w:val="en-GB"/>
              </w:rPr>
              <w:t xml:space="preserve">the use of veterinary medicines and on </w:t>
            </w:r>
            <w:r w:rsidR="0082578A" w:rsidRPr="00BB5286">
              <w:rPr>
                <w:rFonts w:eastAsia="Calibri" w:cs="Times New Roman"/>
                <w:noProof/>
                <w:sz w:val="22"/>
                <w:lang w:val="en-GB"/>
              </w:rPr>
              <w:t>apiculture</w:t>
            </w:r>
            <w:r w:rsidRPr="00BB5286">
              <w:rPr>
                <w:rFonts w:eastAsia="Calibri" w:cs="Times New Roman"/>
                <w:noProof/>
                <w:sz w:val="22"/>
                <w:lang w:val="en-GB"/>
              </w:rPr>
              <w:t>. In addition, DG AGRI</w:t>
            </w:r>
            <w:r w:rsidRPr="00BB5286">
              <w:rPr>
                <w:rFonts w:eastAsia="Calibri" w:cs="Times New Roman"/>
                <w:noProof/>
                <w:sz w:val="22"/>
                <w:lang w:val="en-GB" w:eastAsia="en-GB"/>
              </w:rPr>
              <w:t xml:space="preserve"> discusses </w:t>
            </w:r>
            <w:r w:rsidR="0035210E" w:rsidRPr="00BB5286">
              <w:rPr>
                <w:rFonts w:eastAsia="Calibri" w:cs="Times New Roman"/>
                <w:noProof/>
                <w:sz w:val="22"/>
                <w:lang w:val="en-GB" w:eastAsia="en-GB"/>
              </w:rPr>
              <w:t xml:space="preserve">the correct implementation of the EU provisions </w:t>
            </w:r>
            <w:r w:rsidRPr="00BB5286">
              <w:rPr>
                <w:rFonts w:eastAsia="Calibri" w:cs="Times New Roman"/>
                <w:noProof/>
                <w:sz w:val="22"/>
                <w:lang w:val="en-GB" w:eastAsia="en-GB"/>
              </w:rPr>
              <w:t xml:space="preserve">in great technical detail with the Member States.  </w:t>
            </w:r>
          </w:p>
        </w:tc>
      </w:tr>
      <w:tr w:rsidR="00872C68" w:rsidRPr="00BB5286" w14:paraId="34AD48EB" w14:textId="77777777" w:rsidTr="48005626">
        <w:trPr>
          <w:trHeight w:val="300"/>
        </w:trPr>
        <w:tc>
          <w:tcPr>
            <w:tcW w:w="706" w:type="dxa"/>
            <w:vAlign w:val="center"/>
          </w:tcPr>
          <w:p w14:paraId="43D4857F" w14:textId="193A5417" w:rsidR="00872C68" w:rsidRPr="00BB5286" w:rsidRDefault="00872C68" w:rsidP="001061AF">
            <w:pPr>
              <w:spacing w:after="60" w:line="259" w:lineRule="auto"/>
              <w:rPr>
                <w:rFonts w:eastAsia="Calibri" w:cs="Times New Roman"/>
                <w:b/>
                <w:noProof/>
                <w:sz w:val="22"/>
                <w:lang w:val="en-GB"/>
              </w:rPr>
            </w:pPr>
            <w:r w:rsidRPr="00BB5286">
              <w:rPr>
                <w:rFonts w:eastAsia="Calibri" w:cs="Times New Roman"/>
                <w:b/>
                <w:bCs/>
                <w:noProof/>
                <w:sz w:val="22"/>
                <w:lang w:val="en-GB"/>
              </w:rPr>
              <w:t>24</w:t>
            </w:r>
            <w:r w:rsidR="00A0403B">
              <w:rPr>
                <w:rFonts w:eastAsia="Calibri" w:cs="Times New Roman"/>
                <w:b/>
                <w:bCs/>
                <w:noProof/>
                <w:sz w:val="22"/>
                <w:lang w:val="en-GB"/>
              </w:rPr>
              <w:t>2</w:t>
            </w:r>
          </w:p>
        </w:tc>
        <w:tc>
          <w:tcPr>
            <w:tcW w:w="5859" w:type="dxa"/>
            <w:vAlign w:val="center"/>
          </w:tcPr>
          <w:p w14:paraId="4B124422" w14:textId="56262A78" w:rsidR="00872C68" w:rsidRPr="00BB5286" w:rsidRDefault="29CB0D46" w:rsidP="7E954136">
            <w:pPr>
              <w:spacing w:after="60" w:line="259" w:lineRule="auto"/>
              <w:rPr>
                <w:rFonts w:eastAsia="Calibri" w:cs="Times New Roman"/>
                <w:noProof/>
                <w:sz w:val="22"/>
                <w:szCs w:val="20"/>
                <w:lang w:val="en-GB"/>
              </w:rPr>
            </w:pPr>
            <w:r w:rsidRPr="00BB5286">
              <w:rPr>
                <w:rFonts w:eastAsia="Calibri" w:cs="Times New Roman"/>
                <w:b/>
                <w:bCs/>
                <w:noProof/>
                <w:sz w:val="22"/>
                <w:szCs w:val="20"/>
                <w:lang w:val="en-GB"/>
              </w:rPr>
              <w:t>Plant reproductive materials:</w:t>
            </w:r>
            <w:r w:rsidRPr="00BB5286">
              <w:rPr>
                <w:rFonts w:eastAsia="Calibri" w:cs="Times New Roman"/>
                <w:noProof/>
                <w:sz w:val="22"/>
                <w:szCs w:val="20"/>
                <w:lang w:val="en-GB"/>
              </w:rPr>
              <w:t xml:space="preserve"> </w:t>
            </w:r>
            <w:r w:rsidR="652B703C" w:rsidRPr="00BB5286">
              <w:rPr>
                <w:rFonts w:eastAsia="Calibri" w:cs="Times New Roman"/>
                <w:noProof/>
                <w:sz w:val="22"/>
                <w:szCs w:val="20"/>
                <w:lang w:val="en-GB"/>
              </w:rPr>
              <w:t>d</w:t>
            </w:r>
            <w:r w:rsidRPr="00BB5286">
              <w:rPr>
                <w:rFonts w:eastAsia="Calibri" w:cs="Times New Roman"/>
                <w:noProof/>
                <w:sz w:val="22"/>
                <w:szCs w:val="20"/>
                <w:lang w:val="en-GB"/>
              </w:rPr>
              <w:t xml:space="preserve">erogation </w:t>
            </w:r>
            <w:r w:rsidR="025BF335" w:rsidRPr="00BB5286">
              <w:rPr>
                <w:rFonts w:eastAsia="Calibri" w:cs="Times New Roman"/>
                <w:noProof/>
                <w:sz w:val="22"/>
                <w:szCs w:val="20"/>
                <w:lang w:val="en-GB"/>
              </w:rPr>
              <w:t xml:space="preserve">until </w:t>
            </w:r>
            <w:r w:rsidRPr="00BB5286">
              <w:rPr>
                <w:rFonts w:eastAsia="Calibri" w:cs="Times New Roman"/>
                <w:noProof/>
                <w:sz w:val="22"/>
                <w:szCs w:val="20"/>
                <w:lang w:val="en-GB"/>
              </w:rPr>
              <w:t xml:space="preserve">2036 </w:t>
            </w:r>
            <w:r w:rsidR="025BF335" w:rsidRPr="00BB5286">
              <w:rPr>
                <w:rFonts w:eastAsia="Calibri" w:cs="Times New Roman"/>
                <w:noProof/>
                <w:sz w:val="22"/>
                <w:szCs w:val="20"/>
                <w:lang w:val="en-GB"/>
              </w:rPr>
              <w:t xml:space="preserve">from the </w:t>
            </w:r>
            <w:r w:rsidRPr="00BB5286">
              <w:rPr>
                <w:rFonts w:eastAsia="Calibri" w:cs="Times New Roman"/>
                <w:noProof/>
                <w:sz w:val="22"/>
                <w:szCs w:val="20"/>
                <w:lang w:val="en-GB"/>
              </w:rPr>
              <w:t>requirement to use only plant reproductive material</w:t>
            </w:r>
            <w:r w:rsidR="3FC57A47" w:rsidRPr="00BB5286">
              <w:rPr>
                <w:rFonts w:eastAsia="Calibri" w:cs="Times New Roman"/>
                <w:noProof/>
                <w:sz w:val="22"/>
                <w:szCs w:val="20"/>
                <w:lang w:val="en-GB"/>
              </w:rPr>
              <w:t>.</w:t>
            </w:r>
          </w:p>
        </w:tc>
        <w:tc>
          <w:tcPr>
            <w:tcW w:w="1530" w:type="dxa"/>
            <w:vAlign w:val="center"/>
          </w:tcPr>
          <w:p w14:paraId="16CCB4E1"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LT</w:t>
            </w:r>
          </w:p>
        </w:tc>
        <w:tc>
          <w:tcPr>
            <w:tcW w:w="6300" w:type="dxa"/>
            <w:vAlign w:val="center"/>
          </w:tcPr>
          <w:p w14:paraId="4643DE20" w14:textId="3A45E41F" w:rsidR="00872C68" w:rsidRPr="00BB5286" w:rsidRDefault="0089564A" w:rsidP="365B9462">
            <w:pPr>
              <w:spacing w:after="60" w:line="259" w:lineRule="auto"/>
              <w:jc w:val="both"/>
              <w:rPr>
                <w:rFonts w:eastAsia="Calibri" w:cs="Times New Roman"/>
                <w:noProof/>
                <w:sz w:val="22"/>
                <w:szCs w:val="20"/>
                <w:lang w:val="en-GB"/>
              </w:rPr>
            </w:pPr>
            <w:r w:rsidRPr="00BB5286">
              <w:rPr>
                <w:rFonts w:eastAsia="Segoe UI" w:cs="Times New Roman"/>
                <w:noProof/>
                <w:color w:val="333333"/>
                <w:sz w:val="22"/>
                <w:szCs w:val="20"/>
                <w:lang w:val="en-GB"/>
              </w:rPr>
              <w:t xml:space="preserve">According to </w:t>
            </w:r>
            <w:r w:rsidR="00872C68" w:rsidRPr="00BB5286">
              <w:rPr>
                <w:rFonts w:eastAsia="Segoe UI" w:cs="Times New Roman"/>
                <w:i/>
                <w:iCs/>
                <w:noProof/>
                <w:color w:val="333333"/>
                <w:sz w:val="22"/>
                <w:szCs w:val="20"/>
                <w:lang w:val="en-GB"/>
              </w:rPr>
              <w:t xml:space="preserve">Article 53(7) </w:t>
            </w:r>
            <w:r w:rsidR="00872C68" w:rsidRPr="00BB5286">
              <w:rPr>
                <w:rFonts w:eastAsia="Segoe UI" w:cs="Times New Roman"/>
                <w:noProof/>
                <w:color w:val="333333"/>
                <w:sz w:val="22"/>
                <w:szCs w:val="20"/>
                <w:lang w:val="en-GB"/>
              </w:rPr>
              <w:t>of Regulation (EU) 2018/848</w:t>
            </w:r>
            <w:r w:rsidRPr="00BB5286">
              <w:rPr>
                <w:rFonts w:eastAsia="Segoe UI" w:cs="Times New Roman"/>
                <w:noProof/>
                <w:color w:val="333333"/>
                <w:sz w:val="22"/>
                <w:szCs w:val="20"/>
                <w:lang w:val="en-GB"/>
              </w:rPr>
              <w:t xml:space="preserve"> the Commission will present a report on the availability of organic plant reproductive material by 31 December 2025.</w:t>
            </w:r>
            <w:r w:rsidR="00872C68" w:rsidRPr="00BB5286">
              <w:rPr>
                <w:rFonts w:eastAsia="Segoe UI" w:cs="Times New Roman"/>
                <w:noProof/>
                <w:color w:val="333333"/>
                <w:sz w:val="22"/>
                <w:szCs w:val="20"/>
                <w:lang w:val="en-GB"/>
              </w:rPr>
              <w:t xml:space="preserve"> </w:t>
            </w:r>
            <w:r w:rsidRPr="00BB5286">
              <w:rPr>
                <w:rFonts w:eastAsia="Segoe UI" w:cs="Times New Roman"/>
                <w:noProof/>
                <w:color w:val="333333"/>
                <w:sz w:val="22"/>
                <w:szCs w:val="20"/>
                <w:lang w:val="en-GB"/>
              </w:rPr>
              <w:t>B</w:t>
            </w:r>
            <w:r w:rsidR="00872C68" w:rsidRPr="00BB5286">
              <w:rPr>
                <w:rFonts w:eastAsia="Segoe UI" w:cs="Times New Roman"/>
                <w:noProof/>
                <w:color w:val="333333"/>
                <w:sz w:val="22"/>
                <w:szCs w:val="20"/>
                <w:lang w:val="en-GB"/>
              </w:rPr>
              <w:t xml:space="preserve">ased on </w:t>
            </w:r>
            <w:r w:rsidRPr="00BB5286">
              <w:rPr>
                <w:rFonts w:eastAsia="Segoe UI" w:cs="Times New Roman"/>
                <w:noProof/>
                <w:color w:val="333333"/>
                <w:sz w:val="22"/>
                <w:szCs w:val="20"/>
                <w:lang w:val="en-GB"/>
              </w:rPr>
              <w:t xml:space="preserve">this report and the </w:t>
            </w:r>
            <w:r w:rsidR="00872C68" w:rsidRPr="00BB5286">
              <w:rPr>
                <w:rFonts w:eastAsia="Segoe UI" w:cs="Times New Roman"/>
                <w:noProof/>
                <w:color w:val="333333"/>
                <w:sz w:val="22"/>
                <w:szCs w:val="20"/>
                <w:lang w:val="en-GB"/>
              </w:rPr>
              <w:t xml:space="preserve">assessment of the situation in the sector, the Commission </w:t>
            </w:r>
            <w:r w:rsidRPr="00BB5286">
              <w:rPr>
                <w:rFonts w:eastAsia="Segoe UI" w:cs="Times New Roman"/>
                <w:noProof/>
                <w:color w:val="333333"/>
                <w:sz w:val="22"/>
                <w:szCs w:val="20"/>
                <w:lang w:val="en-GB"/>
              </w:rPr>
              <w:t>will consider</w:t>
            </w:r>
            <w:r w:rsidR="00872C68" w:rsidRPr="00BB5286">
              <w:rPr>
                <w:rFonts w:eastAsia="Segoe UI" w:cs="Times New Roman"/>
                <w:noProof/>
                <w:color w:val="333333"/>
                <w:sz w:val="22"/>
                <w:szCs w:val="20"/>
                <w:lang w:val="en-GB"/>
              </w:rPr>
              <w:t xml:space="preserve"> modifying the legislative act</w:t>
            </w:r>
            <w:r w:rsidR="3DE34A2E" w:rsidRPr="00BB5286">
              <w:rPr>
                <w:rFonts w:eastAsia="Segoe UI" w:cs="Times New Roman"/>
                <w:noProof/>
                <w:color w:val="333333"/>
                <w:sz w:val="22"/>
                <w:szCs w:val="20"/>
                <w:lang w:val="en-GB"/>
              </w:rPr>
              <w:t>. It may do this</w:t>
            </w:r>
            <w:r w:rsidR="00872C68" w:rsidRPr="00BB5286">
              <w:rPr>
                <w:rFonts w:eastAsia="Segoe UI" w:cs="Times New Roman"/>
                <w:noProof/>
                <w:color w:val="333333"/>
                <w:sz w:val="22"/>
                <w:szCs w:val="20"/>
                <w:lang w:val="en-GB"/>
              </w:rPr>
              <w:t xml:space="preserve"> by extending the derogation referred to in </w:t>
            </w:r>
            <w:r w:rsidR="00872C68" w:rsidRPr="00BB5286">
              <w:rPr>
                <w:rFonts w:eastAsia="Segoe UI" w:cs="Times New Roman"/>
                <w:i/>
                <w:iCs/>
                <w:noProof/>
                <w:color w:val="333333"/>
                <w:sz w:val="22"/>
                <w:szCs w:val="20"/>
                <w:lang w:val="en-GB"/>
              </w:rPr>
              <w:t>point 1.8.5 of Part I of Annex II</w:t>
            </w:r>
            <w:r w:rsidR="00872C68" w:rsidRPr="00BB5286">
              <w:rPr>
                <w:rFonts w:eastAsia="Segoe UI" w:cs="Times New Roman"/>
                <w:noProof/>
                <w:color w:val="333333"/>
                <w:sz w:val="22"/>
                <w:szCs w:val="20"/>
                <w:lang w:val="en-GB"/>
              </w:rPr>
              <w:t xml:space="preserve"> or by ending the derogation </w:t>
            </w:r>
            <w:r w:rsidR="3DE34A2E" w:rsidRPr="00BB5286">
              <w:rPr>
                <w:rFonts w:eastAsia="Segoe UI" w:cs="Times New Roman"/>
                <w:noProof/>
                <w:color w:val="333333"/>
                <w:sz w:val="22"/>
                <w:szCs w:val="20"/>
                <w:lang w:val="en-GB"/>
              </w:rPr>
              <w:t xml:space="preserve">on  a date </w:t>
            </w:r>
            <w:r w:rsidR="00872C68" w:rsidRPr="00BB5286">
              <w:rPr>
                <w:rFonts w:eastAsia="Segoe UI" w:cs="Times New Roman"/>
                <w:noProof/>
                <w:color w:val="333333"/>
                <w:sz w:val="22"/>
                <w:szCs w:val="20"/>
                <w:lang w:val="en-GB"/>
              </w:rPr>
              <w:t>earlier than 31 December 2036. The empowerment could be used from 1 January 2029 and must follow the applicable procedure.</w:t>
            </w:r>
            <w:r w:rsidR="00E87896" w:rsidRPr="00BB5286">
              <w:rPr>
                <w:rFonts w:eastAsia="Calibri" w:cs="Times New Roman"/>
                <w:noProof/>
                <w:sz w:val="22"/>
                <w:szCs w:val="20"/>
                <w:lang w:val="en-GB"/>
              </w:rPr>
              <w:t xml:space="preserve"> </w:t>
            </w:r>
            <w:r w:rsidR="00872C68" w:rsidRPr="00BB5286">
              <w:rPr>
                <w:rFonts w:eastAsia="Calibri" w:cs="Times New Roman"/>
                <w:noProof/>
                <w:sz w:val="22"/>
                <w:szCs w:val="20"/>
                <w:lang w:val="en-GB"/>
              </w:rPr>
              <w:t xml:space="preserve">In addition, certain organic operators </w:t>
            </w:r>
            <w:r w:rsidR="3DE34A2E" w:rsidRPr="00BB5286">
              <w:rPr>
                <w:rFonts w:eastAsia="Calibri" w:cs="Times New Roman"/>
                <w:noProof/>
                <w:sz w:val="22"/>
                <w:szCs w:val="20"/>
                <w:lang w:val="en-GB"/>
              </w:rPr>
              <w:t xml:space="preserve">have </w:t>
            </w:r>
            <w:r w:rsidR="00872C68" w:rsidRPr="00BB5286">
              <w:rPr>
                <w:rFonts w:eastAsia="Calibri" w:cs="Times New Roman"/>
                <w:noProof/>
                <w:sz w:val="22"/>
                <w:szCs w:val="20"/>
                <w:lang w:val="en-GB"/>
              </w:rPr>
              <w:t xml:space="preserve">invested </w:t>
            </w:r>
            <w:r w:rsidR="3DE34A2E" w:rsidRPr="00BB5286">
              <w:rPr>
                <w:rFonts w:eastAsia="Calibri" w:cs="Times New Roman"/>
                <w:noProof/>
                <w:sz w:val="22"/>
                <w:szCs w:val="20"/>
                <w:lang w:val="en-GB"/>
              </w:rPr>
              <w:t xml:space="preserve">in </w:t>
            </w:r>
            <w:r w:rsidR="00872C68" w:rsidRPr="00BB5286">
              <w:rPr>
                <w:rFonts w:eastAsia="Calibri" w:cs="Times New Roman"/>
                <w:noProof/>
                <w:sz w:val="22"/>
                <w:szCs w:val="20"/>
                <w:lang w:val="en-GB"/>
              </w:rPr>
              <w:t>develop</w:t>
            </w:r>
            <w:r w:rsidR="3DE34A2E" w:rsidRPr="00BB5286">
              <w:rPr>
                <w:rFonts w:eastAsia="Calibri" w:cs="Times New Roman"/>
                <w:noProof/>
                <w:sz w:val="22"/>
                <w:szCs w:val="20"/>
                <w:lang w:val="en-GB"/>
              </w:rPr>
              <w:t>ing</w:t>
            </w:r>
            <w:r w:rsidR="00872C68" w:rsidRPr="00BB5286">
              <w:rPr>
                <w:rFonts w:eastAsia="Calibri" w:cs="Times New Roman"/>
                <w:noProof/>
                <w:sz w:val="22"/>
                <w:szCs w:val="20"/>
                <w:lang w:val="en-GB"/>
              </w:rPr>
              <w:t xml:space="preserve"> organic plant reproductive material and the </w:t>
            </w:r>
            <w:r w:rsidR="528D61CD" w:rsidRPr="00BB5286">
              <w:rPr>
                <w:rFonts w:eastAsia="Calibri" w:cs="Times New Roman"/>
                <w:noProof/>
                <w:sz w:val="22"/>
                <w:szCs w:val="20"/>
                <w:lang w:val="en-GB"/>
              </w:rPr>
              <w:t xml:space="preserve">extension </w:t>
            </w:r>
            <w:r w:rsidR="00872C68" w:rsidRPr="00BB5286">
              <w:rPr>
                <w:rFonts w:eastAsia="Calibri" w:cs="Times New Roman"/>
                <w:noProof/>
                <w:sz w:val="22"/>
                <w:szCs w:val="20"/>
                <w:lang w:val="en-GB"/>
              </w:rPr>
              <w:t>of the current derogation would undermine the development of their activities.</w:t>
            </w:r>
          </w:p>
        </w:tc>
      </w:tr>
      <w:tr w:rsidR="00872C68" w:rsidRPr="00BB5286" w14:paraId="37C9BD3F" w14:textId="77777777" w:rsidTr="48005626">
        <w:trPr>
          <w:trHeight w:val="1283"/>
        </w:trPr>
        <w:tc>
          <w:tcPr>
            <w:tcW w:w="706" w:type="dxa"/>
            <w:tcBorders>
              <w:bottom w:val="single" w:sz="4" w:space="0" w:color="auto"/>
            </w:tcBorders>
            <w:vAlign w:val="center"/>
          </w:tcPr>
          <w:p w14:paraId="76D32A4C" w14:textId="60388379" w:rsidR="00872C68" w:rsidRPr="00BB5286" w:rsidRDefault="00872C68" w:rsidP="001061AF">
            <w:pPr>
              <w:spacing w:after="60" w:line="259" w:lineRule="auto"/>
              <w:rPr>
                <w:rFonts w:eastAsia="Calibri" w:cs="Times New Roman"/>
                <w:b/>
                <w:noProof/>
                <w:sz w:val="22"/>
                <w:lang w:val="en-GB"/>
              </w:rPr>
            </w:pPr>
            <w:r w:rsidRPr="00BB5286">
              <w:rPr>
                <w:rFonts w:eastAsia="Calibri" w:cs="Times New Roman"/>
                <w:b/>
                <w:bCs/>
                <w:noProof/>
                <w:sz w:val="22"/>
                <w:lang w:val="en-GB"/>
              </w:rPr>
              <w:t>24</w:t>
            </w:r>
            <w:r w:rsidR="00A0403B">
              <w:rPr>
                <w:rFonts w:eastAsia="Calibri" w:cs="Times New Roman"/>
                <w:b/>
                <w:bCs/>
                <w:noProof/>
                <w:sz w:val="22"/>
                <w:lang w:val="en-GB"/>
              </w:rPr>
              <w:t>3</w:t>
            </w:r>
          </w:p>
        </w:tc>
        <w:tc>
          <w:tcPr>
            <w:tcW w:w="5859" w:type="dxa"/>
            <w:tcBorders>
              <w:bottom w:val="single" w:sz="4" w:space="0" w:color="auto"/>
            </w:tcBorders>
            <w:vAlign w:val="center"/>
          </w:tcPr>
          <w:p w14:paraId="1E0A9807" w14:textId="470EC816" w:rsidR="00872C68" w:rsidRPr="00BB5286" w:rsidRDefault="158440B6" w:rsidP="7E954136">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Fewer</w:t>
            </w:r>
            <w:r w:rsidR="29CB0D46" w:rsidRPr="00BB5286">
              <w:rPr>
                <w:rFonts w:eastAsia="Calibri" w:cs="Times New Roman"/>
                <w:b/>
                <w:bCs/>
                <w:noProof/>
                <w:sz w:val="22"/>
                <w:szCs w:val="20"/>
                <w:lang w:val="en-GB"/>
              </w:rPr>
              <w:t xml:space="preserve"> secondary acts:</w:t>
            </w:r>
            <w:r w:rsidR="29CB0D46" w:rsidRPr="00BB5286">
              <w:rPr>
                <w:rFonts w:eastAsia="Calibri" w:cs="Times New Roman"/>
                <w:noProof/>
                <w:sz w:val="22"/>
                <w:szCs w:val="20"/>
                <w:lang w:val="en-GB"/>
              </w:rPr>
              <w:t xml:space="preserve"> </w:t>
            </w:r>
            <w:r w:rsidR="3232FF76" w:rsidRPr="00BB5286">
              <w:rPr>
                <w:rFonts w:eastAsia="Calibri" w:cs="Times New Roman"/>
                <w:noProof/>
                <w:sz w:val="22"/>
                <w:szCs w:val="20"/>
                <w:lang w:val="en-GB"/>
              </w:rPr>
              <w:t>r</w:t>
            </w:r>
            <w:r w:rsidR="29CB0D46" w:rsidRPr="00BB5286">
              <w:rPr>
                <w:rFonts w:eastAsia="Calibri" w:cs="Times New Roman"/>
                <w:noProof/>
                <w:sz w:val="22"/>
                <w:szCs w:val="20"/>
                <w:lang w:val="en-GB"/>
              </w:rPr>
              <w:t>eduction of the number of delegated and implementing acts for organic farming.</w:t>
            </w:r>
          </w:p>
        </w:tc>
        <w:tc>
          <w:tcPr>
            <w:tcW w:w="1530" w:type="dxa"/>
            <w:tcBorders>
              <w:bottom w:val="single" w:sz="4" w:space="0" w:color="auto"/>
            </w:tcBorders>
            <w:vAlign w:val="center"/>
          </w:tcPr>
          <w:p w14:paraId="1777061C"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PL</w:t>
            </w:r>
          </w:p>
        </w:tc>
        <w:tc>
          <w:tcPr>
            <w:tcW w:w="6300" w:type="dxa"/>
            <w:tcBorders>
              <w:bottom w:val="single" w:sz="4" w:space="0" w:color="auto"/>
            </w:tcBorders>
            <w:vAlign w:val="center"/>
          </w:tcPr>
          <w:p w14:paraId="4C32112D" w14:textId="44381A1E" w:rsidR="00872C68" w:rsidRPr="00BB5286" w:rsidRDefault="00872C68" w:rsidP="4CA6215B">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The secondary legislation associated with Regulation (EU) 2018/848 stems directly from provisions in </w:t>
            </w:r>
            <w:r w:rsidR="00F64B17" w:rsidRPr="00BB5286">
              <w:rPr>
                <w:rFonts w:eastAsia="Calibri" w:cs="Times New Roman"/>
                <w:noProof/>
                <w:sz w:val="22"/>
                <w:lang w:val="en-GB"/>
              </w:rPr>
              <w:t xml:space="preserve">the </w:t>
            </w:r>
            <w:r w:rsidRPr="00BB5286">
              <w:rPr>
                <w:rFonts w:eastAsia="Calibri" w:cs="Times New Roman"/>
                <w:noProof/>
                <w:sz w:val="22"/>
                <w:lang w:val="en-GB"/>
              </w:rPr>
              <w:t xml:space="preserve">Regulation. The co-legislators decided to leave the settlement of certain technical issues out of </w:t>
            </w:r>
            <w:r w:rsidR="1EE372F3" w:rsidRPr="00BB5286">
              <w:rPr>
                <w:rFonts w:eastAsia="Calibri" w:cs="Times New Roman"/>
                <w:noProof/>
                <w:sz w:val="22"/>
                <w:szCs w:val="20"/>
                <w:lang w:val="en-GB"/>
              </w:rPr>
              <w:t xml:space="preserve">this </w:t>
            </w:r>
            <w:r w:rsidRPr="00BB5286">
              <w:rPr>
                <w:rFonts w:eastAsia="Calibri" w:cs="Times New Roman"/>
                <w:noProof/>
                <w:sz w:val="22"/>
                <w:lang w:val="en-GB"/>
              </w:rPr>
              <w:t xml:space="preserve">Regulation and instead to empower the Commission to develop specific secondary legislation on these issues. </w:t>
            </w:r>
          </w:p>
        </w:tc>
      </w:tr>
      <w:tr w:rsidR="00872C68" w:rsidRPr="00BB5286" w14:paraId="59CB6DEC" w14:textId="77777777" w:rsidTr="48005626">
        <w:trPr>
          <w:trHeight w:val="517"/>
        </w:trPr>
        <w:tc>
          <w:tcPr>
            <w:tcW w:w="14395" w:type="dxa"/>
            <w:gridSpan w:val="4"/>
            <w:shd w:val="clear" w:color="auto" w:fill="003399"/>
            <w:vAlign w:val="center"/>
          </w:tcPr>
          <w:p w14:paraId="7822600B" w14:textId="72763BAF" w:rsidR="00872C68" w:rsidRPr="00BB5286" w:rsidRDefault="00872C68" w:rsidP="0052537B">
            <w:pPr>
              <w:spacing w:after="60" w:line="259" w:lineRule="auto"/>
              <w:jc w:val="center"/>
              <w:rPr>
                <w:rFonts w:eastAsia="Calibri" w:cs="Times New Roman"/>
                <w:noProof/>
                <w:sz w:val="22"/>
                <w:lang w:val="en-GB"/>
              </w:rPr>
            </w:pPr>
            <w:r w:rsidRPr="00BB5286">
              <w:rPr>
                <w:rFonts w:eastAsia="Calibri" w:cs="Times New Roman"/>
                <w:b/>
                <w:bCs/>
                <w:noProof/>
                <w:color w:val="FFFFFF"/>
                <w:sz w:val="22"/>
                <w:lang w:val="en-GB"/>
              </w:rPr>
              <w:lastRenderedPageBreak/>
              <w:t>Other</w:t>
            </w:r>
            <w:r w:rsidR="00467908" w:rsidRPr="00BB5286">
              <w:rPr>
                <w:rFonts w:eastAsia="Calibri" w:cs="Times New Roman"/>
                <w:b/>
                <w:bCs/>
                <w:noProof/>
                <w:color w:val="FFFFFF"/>
                <w:sz w:val="22"/>
                <w:lang w:val="en-GB"/>
              </w:rPr>
              <w:t xml:space="preserve"> issues</w:t>
            </w:r>
          </w:p>
        </w:tc>
      </w:tr>
      <w:tr w:rsidR="00872C68" w:rsidRPr="00BB5286" w14:paraId="60BFA3AE" w14:textId="77777777" w:rsidTr="48005626">
        <w:trPr>
          <w:trHeight w:val="300"/>
        </w:trPr>
        <w:tc>
          <w:tcPr>
            <w:tcW w:w="706" w:type="dxa"/>
            <w:tcBorders>
              <w:bottom w:val="single" w:sz="4" w:space="0" w:color="auto"/>
            </w:tcBorders>
            <w:vAlign w:val="center"/>
          </w:tcPr>
          <w:p w14:paraId="6C44CE2C" w14:textId="11C16267" w:rsidR="00872C68" w:rsidRPr="00BB5286" w:rsidRDefault="00872C68" w:rsidP="001061AF">
            <w:pPr>
              <w:tabs>
                <w:tab w:val="left" w:pos="1650"/>
              </w:tabs>
              <w:spacing w:after="60" w:line="259" w:lineRule="auto"/>
              <w:rPr>
                <w:rFonts w:eastAsia="Calibri" w:cs="Times New Roman"/>
                <w:b/>
                <w:noProof/>
                <w:sz w:val="22"/>
                <w:lang w:val="en-GB"/>
              </w:rPr>
            </w:pPr>
            <w:r w:rsidRPr="00BB5286">
              <w:rPr>
                <w:rFonts w:eastAsia="Calibri" w:cs="Times New Roman"/>
                <w:b/>
                <w:bCs/>
                <w:noProof/>
                <w:sz w:val="22"/>
                <w:lang w:val="en-GB"/>
              </w:rPr>
              <w:t>24</w:t>
            </w:r>
            <w:r w:rsidR="00A0403B">
              <w:rPr>
                <w:rFonts w:eastAsia="Calibri" w:cs="Times New Roman"/>
                <w:b/>
                <w:bCs/>
                <w:noProof/>
                <w:sz w:val="22"/>
                <w:lang w:val="en-GB"/>
              </w:rPr>
              <w:t>4</w:t>
            </w:r>
          </w:p>
        </w:tc>
        <w:tc>
          <w:tcPr>
            <w:tcW w:w="5859" w:type="dxa"/>
            <w:tcBorders>
              <w:bottom w:val="single" w:sz="4" w:space="0" w:color="auto"/>
            </w:tcBorders>
            <w:vAlign w:val="center"/>
          </w:tcPr>
          <w:p w14:paraId="26A66D37" w14:textId="631994FF" w:rsidR="00872C68" w:rsidRPr="00BB5286" w:rsidRDefault="00467908" w:rsidP="000EB70C">
            <w:pPr>
              <w:tabs>
                <w:tab w:val="left" w:pos="1650"/>
              </w:tabs>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Agricultural land:</w:t>
            </w:r>
            <w:r w:rsidRPr="00BB5286">
              <w:rPr>
                <w:rFonts w:eastAsia="Calibri" w:cs="Times New Roman"/>
                <w:noProof/>
                <w:sz w:val="22"/>
                <w:szCs w:val="20"/>
                <w:lang w:val="en-GB"/>
              </w:rPr>
              <w:t xml:space="preserve"> </w:t>
            </w:r>
            <w:r w:rsidR="005A14FB" w:rsidRPr="00BB5286">
              <w:rPr>
                <w:rFonts w:eastAsia="Calibri" w:cs="Times New Roman"/>
                <w:noProof/>
                <w:sz w:val="22"/>
                <w:szCs w:val="20"/>
                <w:lang w:val="en-GB"/>
              </w:rPr>
              <w:t>p</w:t>
            </w:r>
            <w:r w:rsidR="4CC99E44" w:rsidRPr="00BB5286">
              <w:rPr>
                <w:rFonts w:eastAsia="Calibri" w:cs="Times New Roman"/>
                <w:noProof/>
                <w:sz w:val="22"/>
                <w:szCs w:val="20"/>
                <w:lang w:val="en-GB"/>
              </w:rPr>
              <w:t>ropose</w:t>
            </w:r>
            <w:r w:rsidR="00F64B17" w:rsidRPr="00BB5286">
              <w:rPr>
                <w:rFonts w:eastAsia="Calibri" w:cs="Times New Roman"/>
                <w:noProof/>
                <w:sz w:val="22"/>
                <w:szCs w:val="20"/>
                <w:lang w:val="en-GB"/>
              </w:rPr>
              <w:t xml:space="preserve"> </w:t>
            </w:r>
            <w:r w:rsidR="00872C68" w:rsidRPr="00BB5286">
              <w:rPr>
                <w:rFonts w:eastAsia="Calibri" w:cs="Times New Roman"/>
                <w:noProof/>
                <w:sz w:val="22"/>
                <w:szCs w:val="20"/>
                <w:lang w:val="en-GB"/>
              </w:rPr>
              <w:t xml:space="preserve">a </w:t>
            </w:r>
            <w:r w:rsidR="32907D98" w:rsidRPr="00BB5286">
              <w:rPr>
                <w:rFonts w:eastAsia="Calibri" w:cs="Times New Roman"/>
                <w:noProof/>
                <w:sz w:val="22"/>
                <w:szCs w:val="20"/>
                <w:lang w:val="en-GB"/>
              </w:rPr>
              <w:t xml:space="preserve">directive </w:t>
            </w:r>
            <w:r w:rsidR="32AF64B4" w:rsidRPr="00BB5286">
              <w:rPr>
                <w:rFonts w:eastAsia="Calibri" w:cs="Times New Roman"/>
                <w:noProof/>
                <w:sz w:val="22"/>
                <w:szCs w:val="20"/>
                <w:lang w:val="en-GB"/>
              </w:rPr>
              <w:t>on</w:t>
            </w:r>
            <w:r w:rsidR="32907D98" w:rsidRPr="00BB5286">
              <w:rPr>
                <w:rFonts w:eastAsia="Calibri" w:cs="Times New Roman"/>
                <w:noProof/>
                <w:sz w:val="22"/>
                <w:szCs w:val="20"/>
                <w:lang w:val="en-GB"/>
              </w:rPr>
              <w:t xml:space="preserve"> </w:t>
            </w:r>
            <w:r w:rsidR="00872C68" w:rsidRPr="00BB5286">
              <w:rPr>
                <w:rFonts w:eastAsia="Calibri" w:cs="Times New Roman"/>
                <w:noProof/>
                <w:sz w:val="22"/>
                <w:szCs w:val="20"/>
                <w:lang w:val="en-GB"/>
              </w:rPr>
              <w:t xml:space="preserve">agricultural land </w:t>
            </w:r>
            <w:r w:rsidR="413047D4" w:rsidRPr="00BB5286">
              <w:rPr>
                <w:rFonts w:eastAsia="Calibri" w:cs="Times New Roman"/>
                <w:noProof/>
                <w:sz w:val="22"/>
                <w:szCs w:val="20"/>
                <w:lang w:val="en-GB"/>
              </w:rPr>
              <w:t>and establish</w:t>
            </w:r>
            <w:r w:rsidR="00872C68" w:rsidRPr="00BB5286">
              <w:rPr>
                <w:rFonts w:eastAsia="Calibri" w:cs="Times New Roman"/>
                <w:noProof/>
                <w:sz w:val="22"/>
                <w:szCs w:val="20"/>
                <w:lang w:val="en-GB"/>
              </w:rPr>
              <w:t xml:space="preserve"> a European agricultural land observatory</w:t>
            </w:r>
            <w:r w:rsidR="00967CF8" w:rsidRPr="00BB5286">
              <w:rPr>
                <w:rFonts w:eastAsia="Calibri" w:cs="Times New Roman"/>
                <w:noProof/>
                <w:sz w:val="22"/>
                <w:szCs w:val="20"/>
                <w:lang w:val="en-GB"/>
              </w:rPr>
              <w:t>.</w:t>
            </w:r>
          </w:p>
        </w:tc>
        <w:tc>
          <w:tcPr>
            <w:tcW w:w="1530" w:type="dxa"/>
            <w:tcBorders>
              <w:bottom w:val="single" w:sz="4" w:space="0" w:color="auto"/>
            </w:tcBorders>
            <w:vAlign w:val="center"/>
          </w:tcPr>
          <w:p w14:paraId="59B89AF0"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ECVC</w:t>
            </w:r>
          </w:p>
        </w:tc>
        <w:tc>
          <w:tcPr>
            <w:tcW w:w="6300" w:type="dxa"/>
            <w:tcBorders>
              <w:bottom w:val="single" w:sz="4" w:space="0" w:color="auto"/>
            </w:tcBorders>
            <w:vAlign w:val="center"/>
          </w:tcPr>
          <w:p w14:paraId="1A1CDFBA" w14:textId="67934814" w:rsidR="00872C68" w:rsidRPr="00BB5286" w:rsidRDefault="00872C68" w:rsidP="00967CF8">
            <w:pPr>
              <w:spacing w:after="60" w:line="259" w:lineRule="auto"/>
              <w:jc w:val="both"/>
              <w:rPr>
                <w:rFonts w:eastAsia="Calibri" w:cs="Times New Roman"/>
                <w:noProof/>
                <w:sz w:val="22"/>
                <w:lang w:val="en-GB"/>
              </w:rPr>
            </w:pPr>
            <w:r w:rsidRPr="00BB5286">
              <w:rPr>
                <w:rFonts w:eastAsia="Calibri" w:cs="Times New Roman"/>
                <w:noProof/>
                <w:sz w:val="22"/>
                <w:lang w:val="en-GB"/>
              </w:rPr>
              <w:t>The suggestion was not taken up. Land markets are within the competence of the Member States. The Commission monitors a number of key variables in relation to agricultural land</w:t>
            </w:r>
            <w:r w:rsidR="00290D63" w:rsidRPr="00BB5286">
              <w:rPr>
                <w:rFonts w:eastAsia="Calibri" w:cs="Times New Roman"/>
                <w:noProof/>
                <w:sz w:val="22"/>
                <w:lang w:val="en-GB"/>
              </w:rPr>
              <w:t>,</w:t>
            </w:r>
            <w:r w:rsidRPr="00BB5286">
              <w:rPr>
                <w:rFonts w:eastAsia="Calibri" w:cs="Times New Roman"/>
                <w:noProof/>
                <w:sz w:val="22"/>
                <w:lang w:val="en-GB"/>
              </w:rPr>
              <w:t xml:space="preserve"> considering the importance of access to land</w:t>
            </w:r>
            <w:r w:rsidR="00290D63" w:rsidRPr="00BB5286">
              <w:rPr>
                <w:rFonts w:eastAsia="Calibri" w:cs="Times New Roman"/>
                <w:noProof/>
                <w:sz w:val="22"/>
                <w:lang w:val="en-GB"/>
              </w:rPr>
              <w:t>,</w:t>
            </w:r>
            <w:r w:rsidRPr="00BB5286">
              <w:rPr>
                <w:rFonts w:eastAsia="Calibri" w:cs="Times New Roman"/>
                <w:noProof/>
                <w:sz w:val="22"/>
                <w:lang w:val="en-GB"/>
              </w:rPr>
              <w:t xml:space="preserve"> which also affects generation</w:t>
            </w:r>
            <w:r w:rsidR="00290D63" w:rsidRPr="00BB5286">
              <w:rPr>
                <w:rFonts w:eastAsia="Calibri" w:cs="Times New Roman"/>
                <w:noProof/>
                <w:sz w:val="22"/>
                <w:lang w:val="en-GB"/>
              </w:rPr>
              <w:t>al</w:t>
            </w:r>
            <w:r w:rsidRPr="00BB5286">
              <w:rPr>
                <w:rFonts w:eastAsia="Calibri" w:cs="Times New Roman"/>
                <w:noProof/>
                <w:sz w:val="22"/>
                <w:lang w:val="en-GB"/>
              </w:rPr>
              <w:t xml:space="preserve"> renewal. </w:t>
            </w:r>
          </w:p>
        </w:tc>
      </w:tr>
      <w:tr w:rsidR="00872C68" w:rsidRPr="00BB5286" w14:paraId="4FF5BFA7" w14:textId="77777777" w:rsidTr="48005626">
        <w:trPr>
          <w:trHeight w:val="535"/>
        </w:trPr>
        <w:tc>
          <w:tcPr>
            <w:tcW w:w="14395" w:type="dxa"/>
            <w:gridSpan w:val="4"/>
            <w:tcBorders>
              <w:bottom w:val="nil"/>
            </w:tcBorders>
            <w:shd w:val="clear" w:color="auto" w:fill="003399"/>
            <w:vAlign w:val="center"/>
          </w:tcPr>
          <w:p w14:paraId="7B498EBC" w14:textId="77777777" w:rsidR="00872C68" w:rsidRPr="00BB5286" w:rsidRDefault="00872C68" w:rsidP="001061AF">
            <w:pPr>
              <w:spacing w:after="6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t>Other general suggestions for the CAP</w:t>
            </w:r>
          </w:p>
        </w:tc>
      </w:tr>
      <w:tr w:rsidR="00872C68" w:rsidRPr="00BB5286" w14:paraId="38ACC3C9" w14:textId="77777777" w:rsidTr="48005626">
        <w:trPr>
          <w:trHeight w:val="300"/>
        </w:trPr>
        <w:tc>
          <w:tcPr>
            <w:tcW w:w="706" w:type="dxa"/>
            <w:tcBorders>
              <w:top w:val="nil"/>
            </w:tcBorders>
            <w:vAlign w:val="center"/>
          </w:tcPr>
          <w:p w14:paraId="21C63F2A" w14:textId="78BCCB2B" w:rsidR="00872C68" w:rsidRPr="00BB5286" w:rsidRDefault="00872C68" w:rsidP="001061AF">
            <w:pPr>
              <w:spacing w:after="60" w:line="259" w:lineRule="auto"/>
              <w:rPr>
                <w:rFonts w:eastAsia="Calibri" w:cs="Times New Roman"/>
                <w:b/>
                <w:noProof/>
                <w:sz w:val="22"/>
                <w:lang w:val="en-GB"/>
              </w:rPr>
            </w:pPr>
            <w:r w:rsidRPr="00BB5286">
              <w:rPr>
                <w:rFonts w:eastAsia="Calibri" w:cs="Times New Roman"/>
                <w:b/>
                <w:bCs/>
                <w:noProof/>
                <w:sz w:val="22"/>
                <w:lang w:val="en-GB"/>
              </w:rPr>
              <w:t>24</w:t>
            </w:r>
            <w:r w:rsidR="00A0403B">
              <w:rPr>
                <w:rFonts w:eastAsia="Calibri" w:cs="Times New Roman"/>
                <w:b/>
                <w:bCs/>
                <w:noProof/>
                <w:sz w:val="22"/>
                <w:lang w:val="en-GB"/>
              </w:rPr>
              <w:t>5</w:t>
            </w:r>
          </w:p>
        </w:tc>
        <w:tc>
          <w:tcPr>
            <w:tcW w:w="5859" w:type="dxa"/>
            <w:tcBorders>
              <w:top w:val="nil"/>
            </w:tcBorders>
            <w:vAlign w:val="center"/>
          </w:tcPr>
          <w:p w14:paraId="4D71EB66" w14:textId="0127C110" w:rsidR="00872C68" w:rsidRPr="00BB5286" w:rsidRDefault="317AFA6D" w:rsidP="48005626">
            <w:pPr>
              <w:spacing w:after="60" w:line="259" w:lineRule="auto"/>
              <w:jc w:val="both"/>
              <w:rPr>
                <w:rFonts w:eastAsia="Calibri" w:cs="Times New Roman"/>
                <w:noProof/>
                <w:sz w:val="22"/>
                <w:lang w:val="en-GB"/>
              </w:rPr>
            </w:pPr>
            <w:r w:rsidRPr="48005626">
              <w:rPr>
                <w:rFonts w:eastAsia="Calibri" w:cs="Times New Roman"/>
                <w:b/>
                <w:bCs/>
                <w:noProof/>
                <w:sz w:val="22"/>
                <w:lang w:val="en-GB"/>
              </w:rPr>
              <w:t>CAP Plans:</w:t>
            </w:r>
            <w:r w:rsidRPr="48005626">
              <w:rPr>
                <w:rFonts w:eastAsia="Calibri" w:cs="Times New Roman"/>
                <w:noProof/>
                <w:sz w:val="22"/>
                <w:lang w:val="en-GB"/>
              </w:rPr>
              <w:t xml:space="preserve"> s</w:t>
            </w:r>
            <w:r w:rsidR="286F7040" w:rsidRPr="48005626">
              <w:rPr>
                <w:rFonts w:eastAsia="Calibri" w:cs="Times New Roman"/>
                <w:noProof/>
                <w:sz w:val="22"/>
                <w:lang w:val="en-GB"/>
              </w:rPr>
              <w:t>implify</w:t>
            </w:r>
            <w:r w:rsidR="00872C68" w:rsidRPr="48005626">
              <w:rPr>
                <w:rFonts w:eastAsia="Calibri" w:cs="Times New Roman"/>
                <w:noProof/>
                <w:sz w:val="22"/>
                <w:lang w:val="en-GB"/>
              </w:rPr>
              <w:t xml:space="preserve"> </w:t>
            </w:r>
            <w:r w:rsidR="0B57A0A2" w:rsidRPr="48005626">
              <w:rPr>
                <w:rFonts w:eastAsia="Calibri" w:cs="Times New Roman"/>
                <w:noProof/>
                <w:sz w:val="22"/>
                <w:lang w:val="en-GB"/>
              </w:rPr>
              <w:t xml:space="preserve">the intervention logic of </w:t>
            </w:r>
            <w:r w:rsidR="24C2FFB9" w:rsidRPr="48005626">
              <w:rPr>
                <w:rFonts w:eastAsia="Calibri" w:cs="Times New Roman"/>
                <w:noProof/>
                <w:sz w:val="22"/>
                <w:lang w:val="en-GB"/>
              </w:rPr>
              <w:t>CAP Plans</w:t>
            </w:r>
            <w:r w:rsidR="00872C68" w:rsidRPr="48005626">
              <w:rPr>
                <w:rFonts w:eastAsia="Calibri" w:cs="Times New Roman"/>
                <w:noProof/>
                <w:sz w:val="22"/>
                <w:lang w:val="en-GB"/>
              </w:rPr>
              <w:t xml:space="preserve">, focus on </w:t>
            </w:r>
            <w:r w:rsidR="286F7040" w:rsidRPr="48005626">
              <w:rPr>
                <w:rFonts w:eastAsia="Calibri" w:cs="Times New Roman"/>
                <w:noProof/>
                <w:sz w:val="22"/>
                <w:lang w:val="en-GB"/>
              </w:rPr>
              <w:t>‘</w:t>
            </w:r>
            <w:r w:rsidR="00872C68" w:rsidRPr="48005626">
              <w:rPr>
                <w:rFonts w:eastAsia="Calibri" w:cs="Times New Roman"/>
                <w:noProof/>
                <w:sz w:val="22"/>
                <w:lang w:val="en-GB"/>
              </w:rPr>
              <w:t>strategic elements</w:t>
            </w:r>
            <w:r w:rsidR="286F7040" w:rsidRPr="48005626">
              <w:rPr>
                <w:rFonts w:eastAsia="Calibri" w:cs="Times New Roman"/>
                <w:noProof/>
                <w:sz w:val="22"/>
                <w:lang w:val="en-GB"/>
              </w:rPr>
              <w:t>’</w:t>
            </w:r>
            <w:r w:rsidR="00872C68" w:rsidRPr="48005626">
              <w:rPr>
                <w:rFonts w:eastAsia="Calibri" w:cs="Times New Roman"/>
                <w:noProof/>
                <w:sz w:val="22"/>
                <w:lang w:val="en-GB"/>
              </w:rPr>
              <w:t xml:space="preserve">, </w:t>
            </w:r>
            <w:r w:rsidR="286F7040" w:rsidRPr="48005626">
              <w:rPr>
                <w:rFonts w:eastAsia="Calibri" w:cs="Times New Roman"/>
                <w:noProof/>
                <w:sz w:val="22"/>
                <w:lang w:val="en-GB"/>
              </w:rPr>
              <w:t xml:space="preserve">take a </w:t>
            </w:r>
            <w:r w:rsidR="00872C68" w:rsidRPr="48005626">
              <w:rPr>
                <w:rFonts w:eastAsia="Calibri" w:cs="Times New Roman"/>
                <w:noProof/>
                <w:sz w:val="22"/>
                <w:lang w:val="en-GB"/>
              </w:rPr>
              <w:t xml:space="preserve">multi-year, more result-oriented approach, reduce the level of detail required </w:t>
            </w:r>
            <w:r w:rsidR="286F7040" w:rsidRPr="48005626">
              <w:rPr>
                <w:rFonts w:eastAsia="Calibri" w:cs="Times New Roman"/>
                <w:noProof/>
                <w:sz w:val="22"/>
                <w:lang w:val="en-GB"/>
              </w:rPr>
              <w:t xml:space="preserve">in </w:t>
            </w:r>
            <w:r w:rsidR="00872C68" w:rsidRPr="48005626">
              <w:rPr>
                <w:rFonts w:eastAsia="Calibri" w:cs="Times New Roman"/>
                <w:noProof/>
                <w:sz w:val="22"/>
                <w:lang w:val="en-GB"/>
              </w:rPr>
              <w:t>measures</w:t>
            </w:r>
            <w:r w:rsidR="286F7040" w:rsidRPr="48005626">
              <w:rPr>
                <w:rFonts w:eastAsia="Calibri" w:cs="Times New Roman"/>
                <w:noProof/>
                <w:sz w:val="22"/>
                <w:lang w:val="en-GB"/>
              </w:rPr>
              <w:t xml:space="preserve"> and </w:t>
            </w:r>
            <w:r w:rsidR="00872C68" w:rsidRPr="48005626">
              <w:rPr>
                <w:rFonts w:eastAsia="Calibri" w:cs="Times New Roman"/>
                <w:noProof/>
                <w:sz w:val="22"/>
                <w:lang w:val="en-GB"/>
              </w:rPr>
              <w:t xml:space="preserve">actions. </w:t>
            </w:r>
            <w:r w:rsidR="286F7040" w:rsidRPr="48005626">
              <w:rPr>
                <w:rFonts w:eastAsia="Calibri" w:cs="Times New Roman"/>
                <w:noProof/>
                <w:sz w:val="22"/>
                <w:lang w:val="en-GB"/>
              </w:rPr>
              <w:t xml:space="preserve">Strive </w:t>
            </w:r>
            <w:r w:rsidR="00872C68" w:rsidRPr="48005626">
              <w:rPr>
                <w:rFonts w:eastAsia="Calibri" w:cs="Times New Roman"/>
                <w:noProof/>
                <w:sz w:val="22"/>
                <w:lang w:val="en-GB"/>
              </w:rPr>
              <w:t>for administrative simplicity.</w:t>
            </w:r>
          </w:p>
        </w:tc>
        <w:tc>
          <w:tcPr>
            <w:tcW w:w="1530" w:type="dxa"/>
            <w:tcBorders>
              <w:top w:val="nil"/>
            </w:tcBorders>
            <w:vAlign w:val="center"/>
          </w:tcPr>
          <w:p w14:paraId="26608A4A" w14:textId="77777777" w:rsidR="00872C68" w:rsidRPr="00BB5286" w:rsidRDefault="00872C68" w:rsidP="001061AF">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AT, CZ, EE, EL, FI, HU, LV, MT, SE, SI, SK, BE</w:t>
            </w:r>
          </w:p>
        </w:tc>
        <w:tc>
          <w:tcPr>
            <w:tcW w:w="6300" w:type="dxa"/>
            <w:tcBorders>
              <w:top w:val="nil"/>
            </w:tcBorders>
            <w:vAlign w:val="center"/>
          </w:tcPr>
          <w:p w14:paraId="60A5F161" w14:textId="3C759ACB" w:rsidR="00872C68" w:rsidRPr="00BB5286" w:rsidRDefault="00872C68" w:rsidP="343B27DC">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Member States have considerable flexibility in how they design their CAP </w:t>
            </w:r>
            <w:r w:rsidR="5943DE94" w:rsidRPr="00BB5286">
              <w:rPr>
                <w:rFonts w:eastAsia="Calibri" w:cs="Times New Roman"/>
                <w:noProof/>
                <w:sz w:val="22"/>
                <w:szCs w:val="20"/>
                <w:lang w:val="en-GB"/>
              </w:rPr>
              <w:t>P</w:t>
            </w:r>
            <w:r w:rsidRPr="00BB5286">
              <w:rPr>
                <w:rFonts w:eastAsia="Calibri" w:cs="Times New Roman"/>
                <w:noProof/>
                <w:sz w:val="22"/>
                <w:szCs w:val="20"/>
                <w:lang w:val="en-GB"/>
              </w:rPr>
              <w:t>lans</w:t>
            </w:r>
            <w:r w:rsidRPr="00BB5286">
              <w:rPr>
                <w:rFonts w:eastAsia="Calibri" w:cs="Times New Roman"/>
                <w:noProof/>
                <w:sz w:val="22"/>
                <w:lang w:val="en-GB"/>
              </w:rPr>
              <w:t xml:space="preserve"> to address most of these suggestions.</w:t>
            </w:r>
          </w:p>
          <w:p w14:paraId="5929EE6D" w14:textId="06C02A07"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Lessons learned from the current period will feed </w:t>
            </w:r>
            <w:r w:rsidR="009A3B15" w:rsidRPr="00BB5286">
              <w:rPr>
                <w:rFonts w:eastAsia="Calibri" w:cs="Times New Roman"/>
                <w:noProof/>
                <w:sz w:val="22"/>
                <w:lang w:val="en-GB"/>
              </w:rPr>
              <w:t xml:space="preserve">into the </w:t>
            </w:r>
            <w:r w:rsidRPr="00BB5286">
              <w:rPr>
                <w:rFonts w:eastAsia="Calibri" w:cs="Times New Roman"/>
                <w:noProof/>
                <w:sz w:val="22"/>
                <w:lang w:val="en-GB"/>
              </w:rPr>
              <w:t>reflection on the post-2027</w:t>
            </w:r>
            <w:r w:rsidR="009A3B15" w:rsidRPr="00BB5286">
              <w:rPr>
                <w:rFonts w:eastAsia="Calibri" w:cs="Times New Roman"/>
                <w:noProof/>
                <w:sz w:val="22"/>
                <w:lang w:val="en-GB"/>
              </w:rPr>
              <w:t xml:space="preserve"> CAP</w:t>
            </w:r>
            <w:r w:rsidRPr="00BB5286">
              <w:rPr>
                <w:rFonts w:eastAsia="Calibri" w:cs="Times New Roman"/>
                <w:noProof/>
                <w:sz w:val="22"/>
                <w:lang w:val="en-GB"/>
              </w:rPr>
              <w:t>.</w:t>
            </w:r>
          </w:p>
        </w:tc>
      </w:tr>
      <w:tr w:rsidR="00872C68" w:rsidRPr="00BB5286" w14:paraId="661E2EBC" w14:textId="77777777" w:rsidTr="48005626">
        <w:trPr>
          <w:trHeight w:val="300"/>
        </w:trPr>
        <w:tc>
          <w:tcPr>
            <w:tcW w:w="706" w:type="dxa"/>
            <w:vAlign w:val="center"/>
          </w:tcPr>
          <w:p w14:paraId="56DFB6FB" w14:textId="73514C1C" w:rsidR="00872C68" w:rsidRPr="00BB5286" w:rsidRDefault="00872C68" w:rsidP="001061AF">
            <w:pPr>
              <w:spacing w:after="60" w:line="259" w:lineRule="auto"/>
              <w:rPr>
                <w:rFonts w:eastAsia="Calibri" w:cs="Times New Roman"/>
                <w:b/>
                <w:noProof/>
                <w:sz w:val="22"/>
                <w:lang w:val="en-GB"/>
              </w:rPr>
            </w:pPr>
            <w:r w:rsidRPr="00BB5286">
              <w:rPr>
                <w:rFonts w:eastAsia="Calibri" w:cs="Times New Roman"/>
                <w:b/>
                <w:bCs/>
                <w:noProof/>
                <w:sz w:val="22"/>
                <w:lang w:val="en-GB"/>
              </w:rPr>
              <w:t>24</w:t>
            </w:r>
            <w:r w:rsidR="00A0403B">
              <w:rPr>
                <w:rFonts w:eastAsia="Calibri" w:cs="Times New Roman"/>
                <w:b/>
                <w:bCs/>
                <w:noProof/>
                <w:sz w:val="22"/>
                <w:lang w:val="en-GB"/>
              </w:rPr>
              <w:t>6</w:t>
            </w:r>
          </w:p>
        </w:tc>
        <w:tc>
          <w:tcPr>
            <w:tcW w:w="5859" w:type="dxa"/>
            <w:vAlign w:val="center"/>
          </w:tcPr>
          <w:p w14:paraId="5F7BA787" w14:textId="1518FE93" w:rsidR="00872C68" w:rsidRPr="00BB5286" w:rsidRDefault="00050B61" w:rsidP="343B27DC">
            <w:pPr>
              <w:spacing w:after="60" w:line="259" w:lineRule="auto"/>
              <w:jc w:val="both"/>
              <w:rPr>
                <w:rFonts w:eastAsia="Calibri" w:cs="Times New Roman"/>
                <w:noProof/>
                <w:sz w:val="22"/>
                <w:lang w:val="en-GB"/>
              </w:rPr>
            </w:pPr>
            <w:r w:rsidRPr="007F58CB">
              <w:rPr>
                <w:rFonts w:eastAsia="Calibri" w:cs="Times New Roman"/>
                <w:b/>
                <w:bCs/>
                <w:noProof/>
                <w:sz w:val="22"/>
                <w:lang w:val="en-GB"/>
              </w:rPr>
              <w:t>Take a</w:t>
            </w:r>
            <w:r w:rsidRPr="00BB5286">
              <w:rPr>
                <w:rFonts w:eastAsia="Calibri" w:cs="Times New Roman"/>
                <w:noProof/>
                <w:sz w:val="22"/>
                <w:lang w:val="en-GB"/>
              </w:rPr>
              <w:t xml:space="preserve"> </w:t>
            </w:r>
            <w:r w:rsidRPr="00BB5286">
              <w:rPr>
                <w:rFonts w:eastAsia="Calibri" w:cs="Times New Roman"/>
                <w:b/>
                <w:bCs/>
                <w:noProof/>
                <w:sz w:val="22"/>
                <w:szCs w:val="20"/>
                <w:lang w:val="en-GB"/>
              </w:rPr>
              <w:t>f</w:t>
            </w:r>
            <w:r w:rsidR="00872C68" w:rsidRPr="00BB5286">
              <w:rPr>
                <w:rFonts w:eastAsia="Calibri" w:cs="Times New Roman"/>
                <w:b/>
                <w:bCs/>
                <w:noProof/>
                <w:sz w:val="22"/>
                <w:szCs w:val="20"/>
                <w:lang w:val="en-GB"/>
              </w:rPr>
              <w:t>lexible approach</w:t>
            </w:r>
            <w:r w:rsidR="00872C68" w:rsidRPr="00BB5286">
              <w:rPr>
                <w:rFonts w:eastAsia="Calibri" w:cs="Times New Roman"/>
                <w:noProof/>
                <w:sz w:val="22"/>
                <w:lang w:val="en-GB"/>
              </w:rPr>
              <w:t xml:space="preserve"> in CAP legislation to take account of different conditions and needs of various agricultural businesses and regions. Strengthen decision-making powers at the level of individual Member States.</w:t>
            </w:r>
          </w:p>
        </w:tc>
        <w:tc>
          <w:tcPr>
            <w:tcW w:w="1530" w:type="dxa"/>
            <w:vAlign w:val="center"/>
          </w:tcPr>
          <w:p w14:paraId="25D6D8E9"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SI</w:t>
            </w:r>
          </w:p>
        </w:tc>
        <w:tc>
          <w:tcPr>
            <w:tcW w:w="6300" w:type="dxa"/>
            <w:vAlign w:val="center"/>
          </w:tcPr>
          <w:p w14:paraId="0A9736CE" w14:textId="370C0857" w:rsidR="00872C68" w:rsidRPr="00BB5286" w:rsidRDefault="00050B61" w:rsidP="00FF77A3">
            <w:pPr>
              <w:spacing w:after="60" w:line="259" w:lineRule="auto"/>
              <w:jc w:val="both"/>
              <w:rPr>
                <w:rFonts w:eastAsia="Calibri" w:cs="Times New Roman"/>
                <w:noProof/>
                <w:sz w:val="22"/>
                <w:lang w:val="en-GB"/>
              </w:rPr>
            </w:pPr>
            <w:r w:rsidRPr="00BB5286">
              <w:rPr>
                <w:rFonts w:eastAsia="Times New Roman" w:cs="Times New Roman"/>
                <w:noProof/>
                <w:sz w:val="22"/>
                <w:lang w:val="en-GB"/>
              </w:rPr>
              <w:t>It is already possible to address this issue within the current EU CAP framework.</w:t>
            </w:r>
          </w:p>
        </w:tc>
      </w:tr>
      <w:tr w:rsidR="00872C68" w:rsidRPr="00BB5286" w14:paraId="48C5F208" w14:textId="77777777" w:rsidTr="48005626">
        <w:trPr>
          <w:trHeight w:val="300"/>
        </w:trPr>
        <w:tc>
          <w:tcPr>
            <w:tcW w:w="706" w:type="dxa"/>
            <w:vAlign w:val="center"/>
          </w:tcPr>
          <w:p w14:paraId="2EF3E174" w14:textId="3EBA6D06" w:rsidR="00872C68" w:rsidRPr="00BB5286" w:rsidRDefault="00872C68" w:rsidP="001061AF">
            <w:pPr>
              <w:spacing w:after="60" w:line="259" w:lineRule="auto"/>
              <w:rPr>
                <w:rFonts w:eastAsia="Calibri" w:cs="Times New Roman"/>
                <w:b/>
                <w:noProof/>
                <w:sz w:val="22"/>
                <w:lang w:val="en-GB"/>
              </w:rPr>
            </w:pPr>
            <w:r w:rsidRPr="00BB5286">
              <w:rPr>
                <w:rFonts w:eastAsia="Calibri" w:cs="Times New Roman"/>
                <w:b/>
                <w:bCs/>
                <w:noProof/>
                <w:sz w:val="22"/>
                <w:lang w:val="en-GB"/>
              </w:rPr>
              <w:t>24</w:t>
            </w:r>
            <w:r w:rsidR="00A0403B">
              <w:rPr>
                <w:rFonts w:eastAsia="Calibri" w:cs="Times New Roman"/>
                <w:b/>
                <w:bCs/>
                <w:noProof/>
                <w:sz w:val="22"/>
                <w:lang w:val="en-GB"/>
              </w:rPr>
              <w:t>7</w:t>
            </w:r>
          </w:p>
        </w:tc>
        <w:tc>
          <w:tcPr>
            <w:tcW w:w="5859" w:type="dxa"/>
            <w:vAlign w:val="center"/>
          </w:tcPr>
          <w:p w14:paraId="5D1CDBFB" w14:textId="7131A3AA" w:rsidR="00872C68" w:rsidRPr="00BB5286" w:rsidRDefault="00872C68" w:rsidP="343B27DC">
            <w:pPr>
              <w:spacing w:after="60" w:line="259" w:lineRule="auto"/>
              <w:jc w:val="both"/>
              <w:rPr>
                <w:rFonts w:eastAsia="Calibri" w:cs="Times New Roman"/>
                <w:noProof/>
                <w:sz w:val="22"/>
                <w:lang w:val="en-GB"/>
              </w:rPr>
            </w:pPr>
            <w:r w:rsidRPr="00BB5286">
              <w:rPr>
                <w:rFonts w:eastAsia="Calibri" w:cs="Times New Roman"/>
                <w:b/>
                <w:bCs/>
                <w:noProof/>
                <w:sz w:val="22"/>
                <w:szCs w:val="20"/>
                <w:lang w:val="en-GB"/>
              </w:rPr>
              <w:t>Stability:</w:t>
            </w:r>
            <w:r w:rsidRPr="00BB5286">
              <w:rPr>
                <w:rFonts w:eastAsia="Calibri" w:cs="Times New Roman"/>
                <w:noProof/>
                <w:sz w:val="22"/>
                <w:lang w:val="en-GB"/>
              </w:rPr>
              <w:t xml:space="preserve"> </w:t>
            </w:r>
            <w:r w:rsidR="00050B61" w:rsidRPr="00BB5286">
              <w:rPr>
                <w:rFonts w:eastAsia="Calibri" w:cs="Times New Roman"/>
                <w:noProof/>
                <w:sz w:val="22"/>
                <w:lang w:val="en-GB"/>
              </w:rPr>
              <w:t>set a l</w:t>
            </w:r>
            <w:r w:rsidRPr="00BB5286">
              <w:rPr>
                <w:rFonts w:eastAsia="Calibri" w:cs="Times New Roman"/>
                <w:noProof/>
                <w:sz w:val="22"/>
                <w:lang w:val="en-GB"/>
              </w:rPr>
              <w:t xml:space="preserve">onger CAP programming period. Avoid significant changes to CAP in the medium term. </w:t>
            </w:r>
            <w:r w:rsidR="00050B61" w:rsidRPr="00BB5286">
              <w:rPr>
                <w:rFonts w:eastAsia="Calibri" w:cs="Times New Roman"/>
                <w:noProof/>
                <w:sz w:val="22"/>
                <w:lang w:val="en-GB"/>
              </w:rPr>
              <w:t>Set r</w:t>
            </w:r>
            <w:r w:rsidRPr="00BB5286">
              <w:rPr>
                <w:rFonts w:eastAsia="Calibri" w:cs="Times New Roman"/>
                <w:noProof/>
                <w:sz w:val="22"/>
                <w:lang w:val="en-GB"/>
              </w:rPr>
              <w:t>ealistic timeframes for</w:t>
            </w:r>
            <w:r w:rsidR="00050B61" w:rsidRPr="00BB5286">
              <w:rPr>
                <w:rFonts w:eastAsia="Calibri" w:cs="Times New Roman"/>
                <w:noProof/>
                <w:sz w:val="22"/>
                <w:lang w:val="en-GB"/>
              </w:rPr>
              <w:t xml:space="preserve"> the</w:t>
            </w:r>
            <w:r w:rsidRPr="00BB5286">
              <w:rPr>
                <w:rFonts w:eastAsia="Calibri" w:cs="Times New Roman"/>
                <w:noProof/>
                <w:sz w:val="22"/>
                <w:lang w:val="en-GB"/>
              </w:rPr>
              <w:t xml:space="preserve"> implementation of new or modified legislation under CAP</w:t>
            </w:r>
            <w:r w:rsidR="008E2B0E" w:rsidRPr="00BB5286">
              <w:rPr>
                <w:rFonts w:eastAsia="Calibri" w:cs="Times New Roman"/>
                <w:noProof/>
                <w:sz w:val="22"/>
                <w:lang w:val="en-GB"/>
              </w:rPr>
              <w:t xml:space="preserve"> and a</w:t>
            </w:r>
            <w:r w:rsidRPr="00BB5286">
              <w:rPr>
                <w:rFonts w:eastAsia="Calibri" w:cs="Times New Roman"/>
                <w:noProof/>
                <w:sz w:val="22"/>
                <w:lang w:val="en-GB"/>
              </w:rPr>
              <w:t xml:space="preserve"> period of tolerance to allow </w:t>
            </w:r>
            <w:r w:rsidR="008E2B0E" w:rsidRPr="00BB5286">
              <w:rPr>
                <w:rFonts w:eastAsia="Calibri" w:cs="Times New Roman"/>
                <w:noProof/>
                <w:sz w:val="22"/>
                <w:lang w:val="en-GB"/>
              </w:rPr>
              <w:t xml:space="preserve">people to </w:t>
            </w:r>
            <w:r w:rsidRPr="00BB5286">
              <w:rPr>
                <w:rFonts w:eastAsia="Calibri" w:cs="Times New Roman"/>
                <w:noProof/>
                <w:sz w:val="22"/>
                <w:lang w:val="en-GB"/>
              </w:rPr>
              <w:t xml:space="preserve">understand the new CAP rules. </w:t>
            </w:r>
          </w:p>
        </w:tc>
        <w:tc>
          <w:tcPr>
            <w:tcW w:w="1530" w:type="dxa"/>
            <w:vAlign w:val="center"/>
          </w:tcPr>
          <w:p w14:paraId="373018E8"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SI, BE, IE</w:t>
            </w:r>
          </w:p>
        </w:tc>
        <w:tc>
          <w:tcPr>
            <w:tcW w:w="6300" w:type="dxa"/>
            <w:vAlign w:val="center"/>
          </w:tcPr>
          <w:p w14:paraId="4B384543" w14:textId="6873A092" w:rsidR="00872C68" w:rsidRPr="00BB5286" w:rsidRDefault="00872C68" w:rsidP="62998256">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CAP programming cycle follows the 7-year period of the </w:t>
            </w:r>
            <w:r w:rsidR="002A4BFF" w:rsidRPr="00BB5286">
              <w:rPr>
                <w:rFonts w:eastAsia="Calibri" w:cs="Times New Roman"/>
                <w:noProof/>
                <w:sz w:val="22"/>
                <w:szCs w:val="20"/>
                <w:lang w:val="en-GB"/>
              </w:rPr>
              <w:t>MFF</w:t>
            </w:r>
            <w:r w:rsidRPr="00BB5286">
              <w:rPr>
                <w:rFonts w:eastAsia="Calibri" w:cs="Times New Roman"/>
                <w:noProof/>
                <w:sz w:val="22"/>
                <w:szCs w:val="20"/>
                <w:lang w:val="en-GB"/>
              </w:rPr>
              <w:t xml:space="preserve"> and provide</w:t>
            </w:r>
            <w:r w:rsidR="008E2B0E" w:rsidRPr="00BB5286">
              <w:rPr>
                <w:rFonts w:eastAsia="Calibri" w:cs="Times New Roman"/>
                <w:noProof/>
                <w:sz w:val="22"/>
                <w:szCs w:val="20"/>
                <w:lang w:val="en-GB"/>
              </w:rPr>
              <w:t>s</w:t>
            </w:r>
            <w:r w:rsidRPr="00BB5286">
              <w:rPr>
                <w:rFonts w:eastAsia="Calibri" w:cs="Times New Roman"/>
                <w:noProof/>
                <w:sz w:val="22"/>
                <w:szCs w:val="20"/>
                <w:lang w:val="en-GB"/>
              </w:rPr>
              <w:t xml:space="preserve"> considerable stability. The Commission </w:t>
            </w:r>
            <w:r w:rsidR="008E2B0E" w:rsidRPr="00BB5286">
              <w:rPr>
                <w:rFonts w:eastAsia="Calibri" w:cs="Times New Roman"/>
                <w:noProof/>
                <w:sz w:val="22"/>
                <w:szCs w:val="20"/>
                <w:lang w:val="en-GB"/>
              </w:rPr>
              <w:t>agrees on</w:t>
            </w:r>
            <w:r w:rsidRPr="00BB5286">
              <w:rPr>
                <w:rFonts w:eastAsia="Calibri" w:cs="Times New Roman"/>
                <w:noProof/>
                <w:sz w:val="22"/>
                <w:szCs w:val="20"/>
                <w:lang w:val="en-GB"/>
              </w:rPr>
              <w:t xml:space="preserve"> the importance of the stability of CAP support, and this is why its simplification package </w:t>
            </w:r>
            <w:r w:rsidR="008E2B0E" w:rsidRPr="00BB5286">
              <w:rPr>
                <w:rFonts w:eastAsia="Calibri" w:cs="Times New Roman"/>
                <w:noProof/>
                <w:sz w:val="22"/>
                <w:szCs w:val="20"/>
                <w:lang w:val="en-GB"/>
              </w:rPr>
              <w:t>propose</w:t>
            </w:r>
            <w:r w:rsidR="776DF378" w:rsidRPr="00BB5286">
              <w:rPr>
                <w:rFonts w:eastAsia="Calibri" w:cs="Times New Roman"/>
                <w:noProof/>
                <w:sz w:val="22"/>
                <w:szCs w:val="20"/>
                <w:lang w:val="en-GB"/>
              </w:rPr>
              <w:t>d</w:t>
            </w:r>
            <w:r w:rsidR="008E2B0E" w:rsidRPr="00BB5286">
              <w:rPr>
                <w:rFonts w:eastAsia="Calibri" w:cs="Times New Roman"/>
                <w:noProof/>
                <w:sz w:val="22"/>
                <w:szCs w:val="20"/>
                <w:lang w:val="en-GB"/>
              </w:rPr>
              <w:t xml:space="preserve"> </w:t>
            </w:r>
            <w:r w:rsidRPr="00BB5286">
              <w:rPr>
                <w:rFonts w:eastAsia="Calibri" w:cs="Times New Roman"/>
                <w:noProof/>
                <w:sz w:val="22"/>
                <w:szCs w:val="20"/>
                <w:lang w:val="en-GB"/>
              </w:rPr>
              <w:t>limited changes, keeping the main elements of the 2023-2027</w:t>
            </w:r>
            <w:r w:rsidR="008E2B0E" w:rsidRPr="00BB5286">
              <w:rPr>
                <w:rFonts w:eastAsia="Calibri" w:cs="Times New Roman"/>
                <w:noProof/>
                <w:sz w:val="22"/>
                <w:szCs w:val="20"/>
                <w:lang w:val="en-GB"/>
              </w:rPr>
              <w:t xml:space="preserve"> CAP intact</w:t>
            </w:r>
            <w:r w:rsidRPr="00BB5286">
              <w:rPr>
                <w:rFonts w:eastAsia="Calibri" w:cs="Times New Roman"/>
                <w:noProof/>
                <w:sz w:val="22"/>
                <w:szCs w:val="20"/>
                <w:lang w:val="en-GB"/>
              </w:rPr>
              <w:t xml:space="preserve">. </w:t>
            </w:r>
            <w:r w:rsidRPr="00BB5286">
              <w:rPr>
                <w:rFonts w:eastAsia="Times New Roman" w:cs="Times New Roman"/>
                <w:noProof/>
                <w:sz w:val="22"/>
                <w:szCs w:val="20"/>
                <w:lang w:val="en-GB"/>
              </w:rPr>
              <w:t xml:space="preserve">Lessons learned from the current period will feed </w:t>
            </w:r>
            <w:r w:rsidR="008E2B0E" w:rsidRPr="00BB5286">
              <w:rPr>
                <w:rFonts w:eastAsia="Times New Roman" w:cs="Times New Roman"/>
                <w:noProof/>
                <w:sz w:val="22"/>
                <w:szCs w:val="20"/>
                <w:lang w:val="en-GB"/>
              </w:rPr>
              <w:t xml:space="preserve">into </w:t>
            </w:r>
            <w:r w:rsidRPr="00BB5286">
              <w:rPr>
                <w:rFonts w:eastAsia="Times New Roman" w:cs="Times New Roman"/>
                <w:noProof/>
                <w:sz w:val="22"/>
                <w:szCs w:val="20"/>
                <w:lang w:val="en-GB"/>
              </w:rPr>
              <w:t>the reflection on the post-2027 CAP.</w:t>
            </w:r>
          </w:p>
        </w:tc>
      </w:tr>
      <w:tr w:rsidR="00872C68" w:rsidRPr="00BB5286" w14:paraId="7D712868" w14:textId="77777777" w:rsidTr="48005626">
        <w:trPr>
          <w:trHeight w:val="300"/>
        </w:trPr>
        <w:tc>
          <w:tcPr>
            <w:tcW w:w="706" w:type="dxa"/>
            <w:vAlign w:val="center"/>
          </w:tcPr>
          <w:p w14:paraId="6CE2FCD0" w14:textId="2DEC576E"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24</w:t>
            </w:r>
            <w:r w:rsidR="00A0403B">
              <w:rPr>
                <w:rFonts w:eastAsia="Calibri" w:cs="Times New Roman"/>
                <w:b/>
                <w:bCs/>
                <w:noProof/>
                <w:sz w:val="22"/>
                <w:lang w:val="en-GB"/>
              </w:rPr>
              <w:t>8</w:t>
            </w:r>
          </w:p>
        </w:tc>
        <w:tc>
          <w:tcPr>
            <w:tcW w:w="5859" w:type="dxa"/>
            <w:vAlign w:val="center"/>
          </w:tcPr>
          <w:p w14:paraId="5B09A495" w14:textId="1B836CB4" w:rsidR="00872C68" w:rsidRPr="00BB5286" w:rsidRDefault="00872C68" w:rsidP="2C3308C8">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Balanc</w:t>
            </w:r>
            <w:r w:rsidR="00D8644A" w:rsidRPr="00BB5286">
              <w:rPr>
                <w:rFonts w:eastAsia="Calibri" w:cs="Times New Roman"/>
                <w:b/>
                <w:bCs/>
                <w:noProof/>
                <w:sz w:val="22"/>
                <w:szCs w:val="20"/>
                <w:lang w:val="en-GB"/>
              </w:rPr>
              <w:t>e</w:t>
            </w:r>
            <w:r w:rsidRPr="00BB5286">
              <w:rPr>
                <w:rFonts w:eastAsia="Calibri" w:cs="Times New Roman"/>
                <w:noProof/>
                <w:sz w:val="22"/>
                <w:szCs w:val="20"/>
                <w:lang w:val="en-GB"/>
              </w:rPr>
              <w:t xml:space="preserve"> </w:t>
            </w:r>
            <w:r w:rsidR="00D8644A" w:rsidRPr="00BB5286">
              <w:rPr>
                <w:rFonts w:eastAsia="Calibri" w:cs="Times New Roman"/>
                <w:noProof/>
                <w:sz w:val="22"/>
                <w:szCs w:val="20"/>
                <w:lang w:val="en-GB"/>
              </w:rPr>
              <w:t xml:space="preserve">the </w:t>
            </w:r>
            <w:r w:rsidRPr="00BB5286">
              <w:rPr>
                <w:rFonts w:eastAsia="Calibri" w:cs="Times New Roman"/>
                <w:noProof/>
                <w:sz w:val="22"/>
                <w:szCs w:val="20"/>
                <w:lang w:val="en-GB"/>
              </w:rPr>
              <w:t>environment</w:t>
            </w:r>
            <w:r w:rsidR="00D8644A" w:rsidRPr="00BB5286">
              <w:rPr>
                <w:rFonts w:eastAsia="Calibri" w:cs="Times New Roman"/>
                <w:noProof/>
                <w:sz w:val="22"/>
                <w:szCs w:val="20"/>
                <w:lang w:val="en-GB"/>
              </w:rPr>
              <w:t xml:space="preserve">al and </w:t>
            </w:r>
            <w:r w:rsidRPr="00BB5286">
              <w:rPr>
                <w:rFonts w:eastAsia="Calibri" w:cs="Times New Roman"/>
                <w:noProof/>
                <w:sz w:val="22"/>
                <w:szCs w:val="20"/>
                <w:lang w:val="en-GB"/>
              </w:rPr>
              <w:t xml:space="preserve">climate elements of CAP </w:t>
            </w:r>
            <w:r w:rsidR="00D8644A" w:rsidRPr="00BB5286">
              <w:rPr>
                <w:rFonts w:eastAsia="Calibri" w:cs="Times New Roman"/>
                <w:noProof/>
                <w:sz w:val="22"/>
                <w:szCs w:val="20"/>
                <w:lang w:val="en-GB"/>
              </w:rPr>
              <w:t xml:space="preserve">to take </w:t>
            </w:r>
            <w:r w:rsidRPr="00BB5286">
              <w:rPr>
                <w:rFonts w:eastAsia="Calibri" w:cs="Times New Roman"/>
                <w:noProof/>
                <w:sz w:val="22"/>
                <w:szCs w:val="20"/>
                <w:lang w:val="en-GB"/>
              </w:rPr>
              <w:t xml:space="preserve">account of </w:t>
            </w:r>
            <w:r w:rsidR="00D8644A" w:rsidRPr="00BB5286">
              <w:rPr>
                <w:rFonts w:eastAsia="Calibri" w:cs="Times New Roman"/>
                <w:noProof/>
                <w:sz w:val="22"/>
                <w:szCs w:val="20"/>
                <w:lang w:val="en-GB"/>
              </w:rPr>
              <w:t xml:space="preserve">the </w:t>
            </w:r>
            <w:r w:rsidRPr="00BB5286">
              <w:rPr>
                <w:rFonts w:eastAsia="Calibri" w:cs="Times New Roman"/>
                <w:noProof/>
                <w:sz w:val="22"/>
                <w:szCs w:val="20"/>
                <w:lang w:val="en-GB"/>
              </w:rPr>
              <w:t>economic impacts on the sector</w:t>
            </w:r>
            <w:r w:rsidR="00967CF8" w:rsidRPr="00BB5286">
              <w:rPr>
                <w:rFonts w:eastAsia="Calibri" w:cs="Times New Roman"/>
                <w:noProof/>
                <w:sz w:val="22"/>
                <w:szCs w:val="20"/>
                <w:lang w:val="en-GB"/>
              </w:rPr>
              <w:t>.</w:t>
            </w:r>
          </w:p>
        </w:tc>
        <w:tc>
          <w:tcPr>
            <w:tcW w:w="1530" w:type="dxa"/>
            <w:vAlign w:val="center"/>
          </w:tcPr>
          <w:p w14:paraId="1BFBCD0F"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SK</w:t>
            </w:r>
          </w:p>
        </w:tc>
        <w:tc>
          <w:tcPr>
            <w:tcW w:w="6300" w:type="dxa"/>
            <w:vAlign w:val="center"/>
          </w:tcPr>
          <w:p w14:paraId="25F685A1" w14:textId="467DB008"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This is the case of the current CAP policy with balanced objectives </w:t>
            </w:r>
            <w:r w:rsidR="00D8644A" w:rsidRPr="00BB5286">
              <w:rPr>
                <w:rFonts w:eastAsia="Calibri" w:cs="Times New Roman"/>
                <w:noProof/>
                <w:sz w:val="22"/>
                <w:lang w:val="en-GB"/>
              </w:rPr>
              <w:t xml:space="preserve">for </w:t>
            </w:r>
            <w:r w:rsidRPr="00BB5286">
              <w:rPr>
                <w:rFonts w:eastAsia="Calibri" w:cs="Times New Roman"/>
                <w:noProof/>
                <w:sz w:val="22"/>
                <w:lang w:val="en-GB"/>
              </w:rPr>
              <w:t xml:space="preserve">the economic, </w:t>
            </w:r>
            <w:r w:rsidR="007F58CB" w:rsidRPr="00BB5286">
              <w:rPr>
                <w:rFonts w:eastAsia="Calibri" w:cs="Times New Roman"/>
                <w:noProof/>
                <w:sz w:val="22"/>
                <w:lang w:val="en-GB"/>
              </w:rPr>
              <w:t>social,</w:t>
            </w:r>
            <w:r w:rsidRPr="00BB5286">
              <w:rPr>
                <w:rFonts w:eastAsia="Calibri" w:cs="Times New Roman"/>
                <w:noProof/>
                <w:sz w:val="22"/>
                <w:lang w:val="en-GB"/>
              </w:rPr>
              <w:t xml:space="preserve"> and environmental</w:t>
            </w:r>
            <w:r w:rsidR="007363BC" w:rsidRPr="00BB5286">
              <w:rPr>
                <w:rFonts w:eastAsia="Calibri" w:cs="Times New Roman"/>
                <w:noProof/>
                <w:sz w:val="22"/>
                <w:lang w:val="en-GB"/>
              </w:rPr>
              <w:t xml:space="preserve"> </w:t>
            </w:r>
            <w:r w:rsidRPr="00BB5286">
              <w:rPr>
                <w:rFonts w:eastAsia="Calibri" w:cs="Times New Roman"/>
                <w:noProof/>
                <w:sz w:val="22"/>
                <w:lang w:val="en-GB"/>
              </w:rPr>
              <w:t>aspects of agricultural sustainability.</w:t>
            </w:r>
          </w:p>
        </w:tc>
      </w:tr>
      <w:tr w:rsidR="00872C68" w:rsidRPr="00BB5286" w14:paraId="5DC90142" w14:textId="77777777" w:rsidTr="48005626">
        <w:trPr>
          <w:trHeight w:val="300"/>
        </w:trPr>
        <w:tc>
          <w:tcPr>
            <w:tcW w:w="706" w:type="dxa"/>
            <w:vAlign w:val="center"/>
          </w:tcPr>
          <w:p w14:paraId="79282373" w14:textId="6644C970"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lastRenderedPageBreak/>
              <w:t>2</w:t>
            </w:r>
            <w:r w:rsidR="00A0403B">
              <w:rPr>
                <w:rFonts w:eastAsia="Calibri" w:cs="Times New Roman"/>
                <w:b/>
                <w:bCs/>
                <w:noProof/>
                <w:sz w:val="22"/>
                <w:lang w:val="en-GB"/>
              </w:rPr>
              <w:t>49</w:t>
            </w:r>
          </w:p>
        </w:tc>
        <w:tc>
          <w:tcPr>
            <w:tcW w:w="5859" w:type="dxa"/>
            <w:vAlign w:val="center"/>
          </w:tcPr>
          <w:p w14:paraId="13E4F4C8" w14:textId="001B2E6B" w:rsidR="00872C68" w:rsidRPr="00BB5286" w:rsidRDefault="1E7AAC17" w:rsidP="2C3308C8">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 xml:space="preserve">CAP budget: </w:t>
            </w:r>
            <w:r w:rsidRPr="00BB5286">
              <w:rPr>
                <w:rFonts w:eastAsia="Calibri" w:cs="Times New Roman"/>
                <w:noProof/>
                <w:sz w:val="22"/>
                <w:szCs w:val="20"/>
                <w:lang w:val="en-GB"/>
              </w:rPr>
              <w:t>t</w:t>
            </w:r>
            <w:r w:rsidR="00872C68" w:rsidRPr="00BB5286">
              <w:rPr>
                <w:rFonts w:eastAsia="Calibri" w:cs="Times New Roman"/>
                <w:noProof/>
                <w:sz w:val="22"/>
                <w:szCs w:val="20"/>
                <w:lang w:val="en-GB"/>
              </w:rPr>
              <w:t>he CAP should be adequately financed, with the objective of supporting farmers' income, ensuring food security</w:t>
            </w:r>
            <w:r w:rsidR="00D8644A" w:rsidRPr="00BB5286">
              <w:rPr>
                <w:rFonts w:eastAsia="Calibri" w:cs="Times New Roman"/>
                <w:noProof/>
                <w:sz w:val="22"/>
                <w:szCs w:val="20"/>
                <w:lang w:val="en-GB"/>
              </w:rPr>
              <w:t>,</w:t>
            </w:r>
            <w:r w:rsidR="00872C68" w:rsidRPr="00BB5286">
              <w:rPr>
                <w:rFonts w:eastAsia="Calibri" w:cs="Times New Roman"/>
                <w:noProof/>
                <w:sz w:val="22"/>
                <w:szCs w:val="20"/>
                <w:lang w:val="en-GB"/>
              </w:rPr>
              <w:t xml:space="preserve"> and maintaining a viable rural area. The current financial allocation is not sufficient to ensure the necessary balance between economic and environmental sustainability.</w:t>
            </w:r>
          </w:p>
        </w:tc>
        <w:tc>
          <w:tcPr>
            <w:tcW w:w="1530" w:type="dxa"/>
            <w:vAlign w:val="center"/>
          </w:tcPr>
          <w:p w14:paraId="518F55D3"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IT</w:t>
            </w:r>
          </w:p>
        </w:tc>
        <w:tc>
          <w:tcPr>
            <w:tcW w:w="6300" w:type="dxa"/>
            <w:vAlign w:val="center"/>
          </w:tcPr>
          <w:p w14:paraId="02DC7033" w14:textId="7920A896" w:rsidR="00872C68" w:rsidRPr="00BB5286" w:rsidRDefault="00872C68" w:rsidP="001061AF">
            <w:pPr>
              <w:spacing w:after="60" w:line="259" w:lineRule="auto"/>
              <w:jc w:val="both"/>
              <w:rPr>
                <w:rFonts w:eastAsia="Calibri" w:cs="Times New Roman"/>
                <w:noProof/>
                <w:sz w:val="22"/>
                <w:lang w:val="en-GB"/>
              </w:rPr>
            </w:pPr>
            <w:r w:rsidRPr="00BB5286">
              <w:rPr>
                <w:rFonts w:eastAsia="Times New Roman" w:cs="Times New Roman"/>
                <w:noProof/>
                <w:sz w:val="22"/>
                <w:lang w:val="en-GB"/>
              </w:rPr>
              <w:t xml:space="preserve">Lessons learned from the current period will feed </w:t>
            </w:r>
            <w:r w:rsidR="00D8644A" w:rsidRPr="00BB5286">
              <w:rPr>
                <w:rFonts w:eastAsia="Times New Roman" w:cs="Times New Roman"/>
                <w:noProof/>
                <w:sz w:val="22"/>
                <w:lang w:val="en-GB"/>
              </w:rPr>
              <w:t xml:space="preserve">into </w:t>
            </w:r>
            <w:r w:rsidRPr="00BB5286">
              <w:rPr>
                <w:rFonts w:eastAsia="Times New Roman" w:cs="Times New Roman"/>
                <w:noProof/>
                <w:sz w:val="22"/>
                <w:lang w:val="en-GB"/>
              </w:rPr>
              <w:t>the reflection on the post-2027 CAP.</w:t>
            </w:r>
          </w:p>
        </w:tc>
      </w:tr>
      <w:tr w:rsidR="00872C68" w:rsidRPr="00BB5286" w14:paraId="080A3AE7" w14:textId="77777777" w:rsidTr="48005626">
        <w:trPr>
          <w:trHeight w:val="300"/>
        </w:trPr>
        <w:tc>
          <w:tcPr>
            <w:tcW w:w="706" w:type="dxa"/>
            <w:vAlign w:val="center"/>
          </w:tcPr>
          <w:p w14:paraId="03422BAE" w14:textId="6C17757F"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25</w:t>
            </w:r>
            <w:r w:rsidR="00A0403B">
              <w:rPr>
                <w:rFonts w:eastAsia="Calibri" w:cs="Times New Roman"/>
                <w:b/>
                <w:bCs/>
                <w:noProof/>
                <w:sz w:val="22"/>
                <w:lang w:val="en-GB"/>
              </w:rPr>
              <w:t>0</w:t>
            </w:r>
          </w:p>
        </w:tc>
        <w:tc>
          <w:tcPr>
            <w:tcW w:w="5859" w:type="dxa"/>
            <w:vAlign w:val="center"/>
          </w:tcPr>
          <w:p w14:paraId="1C926F81" w14:textId="2F66A187" w:rsidR="00872C68" w:rsidRPr="00BB5286" w:rsidDel="005B4E9D" w:rsidRDefault="00872C68" w:rsidP="62998256">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CAP budget:</w:t>
            </w:r>
            <w:r w:rsidRPr="00BB5286">
              <w:rPr>
                <w:rFonts w:eastAsia="Calibri" w:cs="Times New Roman"/>
                <w:noProof/>
                <w:sz w:val="22"/>
                <w:szCs w:val="20"/>
                <w:lang w:val="en-GB"/>
              </w:rPr>
              <w:t xml:space="preserve"> </w:t>
            </w:r>
            <w:r w:rsidR="0BAF3AA7" w:rsidRPr="00BB5286">
              <w:rPr>
                <w:rFonts w:eastAsia="Calibri" w:cs="Times New Roman"/>
                <w:noProof/>
                <w:sz w:val="22"/>
                <w:szCs w:val="20"/>
                <w:lang w:val="en-GB"/>
              </w:rPr>
              <w:t>t</w:t>
            </w:r>
            <w:r w:rsidRPr="00BB5286">
              <w:rPr>
                <w:rFonts w:eastAsia="Calibri" w:cs="Times New Roman"/>
                <w:noProof/>
                <w:sz w:val="22"/>
                <w:szCs w:val="20"/>
                <w:lang w:val="en-GB"/>
              </w:rPr>
              <w:t xml:space="preserve">he budget intended for the CAP </w:t>
            </w:r>
            <w:r w:rsidR="00642BE8" w:rsidRPr="00BB5286">
              <w:rPr>
                <w:rFonts w:eastAsia="Calibri" w:cs="Times New Roman"/>
                <w:noProof/>
                <w:sz w:val="22"/>
                <w:szCs w:val="20"/>
                <w:lang w:val="en-GB"/>
              </w:rPr>
              <w:t xml:space="preserve">should </w:t>
            </w:r>
            <w:r w:rsidRPr="00BB5286">
              <w:rPr>
                <w:rFonts w:eastAsia="Calibri" w:cs="Times New Roman"/>
                <w:noProof/>
                <w:sz w:val="22"/>
                <w:szCs w:val="20"/>
                <w:lang w:val="en-GB"/>
              </w:rPr>
              <w:t xml:space="preserve">be devoted exclusively to agriculture. Environmental and rural needs </w:t>
            </w:r>
            <w:r w:rsidR="00642BE8" w:rsidRPr="00BB5286">
              <w:rPr>
                <w:rFonts w:eastAsia="Calibri" w:cs="Times New Roman"/>
                <w:noProof/>
                <w:sz w:val="22"/>
                <w:szCs w:val="20"/>
                <w:lang w:val="en-GB"/>
              </w:rPr>
              <w:t xml:space="preserve">should </w:t>
            </w:r>
            <w:r w:rsidRPr="00BB5286">
              <w:rPr>
                <w:rFonts w:eastAsia="Calibri" w:cs="Times New Roman"/>
                <w:noProof/>
                <w:sz w:val="22"/>
                <w:szCs w:val="20"/>
                <w:lang w:val="en-GB"/>
              </w:rPr>
              <w:t>be addressed outside the CAP budget.</w:t>
            </w:r>
          </w:p>
        </w:tc>
        <w:tc>
          <w:tcPr>
            <w:tcW w:w="1530" w:type="dxa"/>
            <w:vAlign w:val="center"/>
          </w:tcPr>
          <w:p w14:paraId="38CC71AC"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w:t>
            </w:r>
          </w:p>
        </w:tc>
        <w:tc>
          <w:tcPr>
            <w:tcW w:w="6300" w:type="dxa"/>
            <w:vAlign w:val="center"/>
          </w:tcPr>
          <w:p w14:paraId="16319ABE" w14:textId="23209B02" w:rsidR="00872C68" w:rsidRPr="00BB5286" w:rsidRDefault="00872C68" w:rsidP="001061AF">
            <w:pPr>
              <w:spacing w:after="60" w:line="259" w:lineRule="auto"/>
              <w:jc w:val="both"/>
              <w:rPr>
                <w:rFonts w:eastAsia="Calibri" w:cs="Times New Roman"/>
                <w:noProof/>
                <w:sz w:val="22"/>
                <w:lang w:val="en-GB"/>
              </w:rPr>
            </w:pPr>
            <w:r w:rsidRPr="00BB5286">
              <w:rPr>
                <w:rFonts w:eastAsia="Times New Roman" w:cs="Times New Roman"/>
                <w:noProof/>
                <w:sz w:val="22"/>
                <w:lang w:val="en-GB"/>
              </w:rPr>
              <w:t xml:space="preserve">Lessons learned from the current period will feed </w:t>
            </w:r>
            <w:r w:rsidR="00642BE8" w:rsidRPr="00BB5286">
              <w:rPr>
                <w:rFonts w:eastAsia="Times New Roman" w:cs="Times New Roman"/>
                <w:noProof/>
                <w:sz w:val="22"/>
                <w:lang w:val="en-GB"/>
              </w:rPr>
              <w:t xml:space="preserve">into </w:t>
            </w:r>
            <w:r w:rsidRPr="00BB5286">
              <w:rPr>
                <w:rFonts w:eastAsia="Times New Roman" w:cs="Times New Roman"/>
                <w:noProof/>
                <w:sz w:val="22"/>
                <w:lang w:val="en-GB"/>
              </w:rPr>
              <w:t>the reflection on the post-2027 CAP.</w:t>
            </w:r>
          </w:p>
        </w:tc>
      </w:tr>
      <w:tr w:rsidR="00872C68" w:rsidRPr="00BB5286" w14:paraId="27853F33" w14:textId="77777777" w:rsidTr="48005626">
        <w:trPr>
          <w:trHeight w:val="300"/>
        </w:trPr>
        <w:tc>
          <w:tcPr>
            <w:tcW w:w="706" w:type="dxa"/>
            <w:vAlign w:val="center"/>
          </w:tcPr>
          <w:p w14:paraId="0B825529" w14:textId="31AD20DF"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25</w:t>
            </w:r>
            <w:r w:rsidR="00A0403B">
              <w:rPr>
                <w:rFonts w:eastAsia="Calibri" w:cs="Times New Roman"/>
                <w:b/>
                <w:bCs/>
                <w:noProof/>
                <w:sz w:val="22"/>
                <w:lang w:val="en-GB"/>
              </w:rPr>
              <w:t>1</w:t>
            </w:r>
          </w:p>
        </w:tc>
        <w:tc>
          <w:tcPr>
            <w:tcW w:w="5859" w:type="dxa"/>
            <w:vAlign w:val="center"/>
          </w:tcPr>
          <w:p w14:paraId="2209C3F0" w14:textId="51B8B1B0" w:rsidR="00872C68" w:rsidRPr="00BB5286" w:rsidRDefault="00872C68" w:rsidP="32AB66DC">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CAP process:</w:t>
            </w:r>
            <w:r w:rsidRPr="00BB5286">
              <w:rPr>
                <w:rFonts w:eastAsia="Calibri" w:cs="Times New Roman"/>
                <w:noProof/>
                <w:sz w:val="22"/>
                <w:szCs w:val="20"/>
                <w:lang w:val="en-GB"/>
              </w:rPr>
              <w:t xml:space="preserve"> </w:t>
            </w:r>
            <w:r w:rsidR="71CA426D" w:rsidRPr="00BB5286">
              <w:rPr>
                <w:rFonts w:eastAsia="Calibri" w:cs="Times New Roman"/>
                <w:noProof/>
                <w:sz w:val="22"/>
                <w:szCs w:val="20"/>
                <w:lang w:val="en-GB"/>
              </w:rPr>
              <w:t>f</w:t>
            </w:r>
            <w:r w:rsidRPr="00BB5286">
              <w:rPr>
                <w:rFonts w:eastAsia="Calibri" w:cs="Times New Roman"/>
                <w:noProof/>
                <w:sz w:val="22"/>
                <w:szCs w:val="20"/>
                <w:lang w:val="en-GB"/>
              </w:rPr>
              <w:t xml:space="preserve">ollow-up the </w:t>
            </w:r>
            <w:r w:rsidR="66D180C8" w:rsidRPr="00BB5286">
              <w:rPr>
                <w:rFonts w:eastAsia="Calibri" w:cs="Times New Roman"/>
                <w:noProof/>
                <w:sz w:val="22"/>
                <w:szCs w:val="20"/>
                <w:lang w:val="en-GB"/>
              </w:rPr>
              <w:t>S</w:t>
            </w:r>
            <w:r w:rsidRPr="00BB5286">
              <w:rPr>
                <w:rFonts w:eastAsia="Calibri" w:cs="Times New Roman"/>
                <w:noProof/>
                <w:sz w:val="22"/>
                <w:szCs w:val="20"/>
                <w:lang w:val="en-GB"/>
              </w:rPr>
              <w:t xml:space="preserve">trategic </w:t>
            </w:r>
            <w:r w:rsidR="66BBF5B2" w:rsidRPr="00BB5286">
              <w:rPr>
                <w:rFonts w:eastAsia="Calibri" w:cs="Times New Roman"/>
                <w:noProof/>
                <w:sz w:val="22"/>
                <w:szCs w:val="20"/>
                <w:lang w:val="en-GB"/>
              </w:rPr>
              <w:t>D</w:t>
            </w:r>
            <w:r w:rsidRPr="00BB5286">
              <w:rPr>
                <w:rFonts w:eastAsia="Calibri" w:cs="Times New Roman"/>
                <w:noProof/>
                <w:sz w:val="22"/>
                <w:szCs w:val="20"/>
                <w:lang w:val="en-GB"/>
              </w:rPr>
              <w:t xml:space="preserve">ialogue on the </w:t>
            </w:r>
            <w:r w:rsidR="29414756" w:rsidRPr="00BB5286">
              <w:rPr>
                <w:rFonts w:eastAsia="Calibri" w:cs="Times New Roman"/>
                <w:noProof/>
                <w:sz w:val="22"/>
                <w:szCs w:val="20"/>
                <w:lang w:val="en-GB"/>
              </w:rPr>
              <w:t>F</w:t>
            </w:r>
            <w:r w:rsidRPr="00BB5286">
              <w:rPr>
                <w:rFonts w:eastAsia="Calibri" w:cs="Times New Roman"/>
                <w:noProof/>
                <w:sz w:val="22"/>
                <w:szCs w:val="20"/>
                <w:lang w:val="en-GB"/>
              </w:rPr>
              <w:t xml:space="preserve">uture of </w:t>
            </w:r>
            <w:r w:rsidR="2DDBC45D" w:rsidRPr="00BB5286">
              <w:rPr>
                <w:rFonts w:eastAsia="Calibri" w:cs="Times New Roman"/>
                <w:noProof/>
                <w:sz w:val="22"/>
                <w:szCs w:val="20"/>
                <w:lang w:val="en-GB"/>
              </w:rPr>
              <w:t>A</w:t>
            </w:r>
            <w:r w:rsidRPr="00BB5286">
              <w:rPr>
                <w:rFonts w:eastAsia="Calibri" w:cs="Times New Roman"/>
                <w:noProof/>
                <w:sz w:val="22"/>
                <w:szCs w:val="20"/>
                <w:lang w:val="en-GB"/>
              </w:rPr>
              <w:t xml:space="preserve">griculture. Importance of early engagement of farmers and the AGRIFISH Council. </w:t>
            </w:r>
          </w:p>
        </w:tc>
        <w:tc>
          <w:tcPr>
            <w:tcW w:w="1530" w:type="dxa"/>
            <w:vAlign w:val="center"/>
          </w:tcPr>
          <w:p w14:paraId="6BAE90F2"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IE</w:t>
            </w:r>
          </w:p>
        </w:tc>
        <w:tc>
          <w:tcPr>
            <w:tcW w:w="6300" w:type="dxa"/>
            <w:vAlign w:val="center"/>
          </w:tcPr>
          <w:p w14:paraId="22FB8E0D" w14:textId="63A8D1F6" w:rsidR="00872C68" w:rsidRPr="0021478B" w:rsidRDefault="00872C68" w:rsidP="32AB66DC">
            <w:pPr>
              <w:spacing w:after="60" w:line="259" w:lineRule="auto"/>
              <w:jc w:val="both"/>
              <w:rPr>
                <w:rFonts w:eastAsia="Calibri" w:cs="Times New Roman"/>
                <w:noProof/>
                <w:sz w:val="22"/>
                <w:szCs w:val="20"/>
                <w:lang w:val="en-GB"/>
              </w:rPr>
            </w:pPr>
            <w:r w:rsidRPr="0021478B">
              <w:rPr>
                <w:rFonts w:eastAsia="Calibri" w:cs="Times New Roman"/>
                <w:noProof/>
                <w:sz w:val="22"/>
                <w:szCs w:val="20"/>
                <w:lang w:val="en-GB"/>
              </w:rPr>
              <w:t xml:space="preserve">The Commission agrees that </w:t>
            </w:r>
            <w:r w:rsidR="129906E5" w:rsidRPr="0021478B">
              <w:rPr>
                <w:rFonts w:eastAsia="Calibri" w:cs="Times New Roman"/>
                <w:noProof/>
                <w:sz w:val="22"/>
                <w:szCs w:val="20"/>
                <w:lang w:val="en-GB"/>
              </w:rPr>
              <w:t>it is important to</w:t>
            </w:r>
            <w:r w:rsidRPr="0021478B">
              <w:rPr>
                <w:rFonts w:eastAsia="Calibri" w:cs="Times New Roman"/>
                <w:noProof/>
                <w:sz w:val="22"/>
                <w:szCs w:val="20"/>
                <w:lang w:val="en-GB"/>
              </w:rPr>
              <w:t xml:space="preserve"> engage with farmers and other stakeholders </w:t>
            </w:r>
            <w:r w:rsidR="129906E5" w:rsidRPr="0021478B">
              <w:rPr>
                <w:rFonts w:eastAsia="Calibri" w:cs="Times New Roman"/>
                <w:noProof/>
                <w:sz w:val="22"/>
                <w:szCs w:val="20"/>
                <w:lang w:val="en-GB"/>
              </w:rPr>
              <w:t>at an early stage</w:t>
            </w:r>
            <w:r w:rsidRPr="0021478B">
              <w:rPr>
                <w:rFonts w:eastAsia="Calibri" w:cs="Times New Roman"/>
                <w:noProof/>
                <w:sz w:val="22"/>
                <w:szCs w:val="20"/>
                <w:lang w:val="en-GB"/>
              </w:rPr>
              <w:t xml:space="preserve"> and will pursue this in </w:t>
            </w:r>
            <w:r w:rsidR="129906E5" w:rsidRPr="0021478B">
              <w:rPr>
                <w:rFonts w:eastAsia="Calibri" w:cs="Times New Roman"/>
                <w:noProof/>
                <w:sz w:val="22"/>
                <w:szCs w:val="20"/>
                <w:lang w:val="en-GB"/>
              </w:rPr>
              <w:t>preparing</w:t>
            </w:r>
            <w:r w:rsidRPr="0021478B">
              <w:rPr>
                <w:rFonts w:eastAsia="Calibri" w:cs="Times New Roman"/>
                <w:noProof/>
                <w:sz w:val="22"/>
                <w:szCs w:val="20"/>
                <w:lang w:val="en-GB"/>
              </w:rPr>
              <w:t xml:space="preserve"> the future policy initiatives. The </w:t>
            </w:r>
            <w:r w:rsidR="007363BC" w:rsidRPr="0021478B">
              <w:rPr>
                <w:rFonts w:eastAsia="Calibri" w:cs="Times New Roman"/>
                <w:noProof/>
                <w:sz w:val="22"/>
                <w:szCs w:val="20"/>
                <w:lang w:val="en-GB"/>
              </w:rPr>
              <w:t>S</w:t>
            </w:r>
            <w:r w:rsidRPr="0021478B">
              <w:rPr>
                <w:rFonts w:eastAsia="Calibri" w:cs="Times New Roman"/>
                <w:noProof/>
                <w:sz w:val="22"/>
                <w:szCs w:val="20"/>
                <w:lang w:val="en-GB"/>
              </w:rPr>
              <w:t xml:space="preserve">trategic </w:t>
            </w:r>
            <w:r w:rsidR="4C2A4E5A" w:rsidRPr="0021478B">
              <w:rPr>
                <w:rFonts w:eastAsia="Calibri" w:cs="Times New Roman"/>
                <w:noProof/>
                <w:sz w:val="22"/>
                <w:szCs w:val="20"/>
                <w:lang w:val="en-GB"/>
              </w:rPr>
              <w:t>D</w:t>
            </w:r>
            <w:r w:rsidRPr="0021478B">
              <w:rPr>
                <w:rFonts w:eastAsia="Calibri" w:cs="Times New Roman"/>
                <w:noProof/>
                <w:sz w:val="22"/>
                <w:szCs w:val="20"/>
                <w:lang w:val="en-GB"/>
              </w:rPr>
              <w:t xml:space="preserve">ialogue </w:t>
            </w:r>
            <w:r w:rsidR="52A9D574" w:rsidRPr="0021478B">
              <w:rPr>
                <w:rFonts w:eastAsia="Calibri" w:cs="Times New Roman"/>
                <w:noProof/>
                <w:sz w:val="22"/>
                <w:szCs w:val="20"/>
                <w:lang w:val="en-GB"/>
              </w:rPr>
              <w:t xml:space="preserve">delivered its report on </w:t>
            </w:r>
            <w:r w:rsidR="1248E5BF" w:rsidRPr="0021478B">
              <w:rPr>
                <w:rFonts w:eastAsia="Calibri" w:cs="Times New Roman"/>
                <w:noProof/>
                <w:sz w:val="22"/>
                <w:szCs w:val="20"/>
                <w:lang w:val="en-GB"/>
              </w:rPr>
              <w:t>4</w:t>
            </w:r>
            <w:r w:rsidR="52A9D574" w:rsidRPr="0021478B">
              <w:rPr>
                <w:rFonts w:eastAsia="Calibri" w:cs="Times New Roman"/>
                <w:noProof/>
                <w:sz w:val="22"/>
                <w:szCs w:val="20"/>
                <w:lang w:val="en-GB"/>
              </w:rPr>
              <w:t xml:space="preserve"> September </w:t>
            </w:r>
            <w:r w:rsidR="007F58CB" w:rsidRPr="0021478B">
              <w:rPr>
                <w:rFonts w:eastAsia="Calibri" w:cs="Times New Roman"/>
                <w:noProof/>
                <w:sz w:val="22"/>
                <w:szCs w:val="20"/>
                <w:lang w:val="en-GB"/>
              </w:rPr>
              <w:t>2024 and</w:t>
            </w:r>
            <w:r w:rsidRPr="0021478B">
              <w:rPr>
                <w:rFonts w:eastAsia="Calibri" w:cs="Times New Roman"/>
                <w:noProof/>
                <w:sz w:val="22"/>
                <w:szCs w:val="20"/>
                <w:lang w:val="en-GB"/>
              </w:rPr>
              <w:t xml:space="preserve"> </w:t>
            </w:r>
            <w:r w:rsidR="7B367FA4" w:rsidRPr="0021478B">
              <w:rPr>
                <w:rFonts w:eastAsia="Calibri" w:cs="Times New Roman"/>
                <w:noProof/>
                <w:sz w:val="22"/>
                <w:szCs w:val="20"/>
                <w:lang w:val="en-GB"/>
              </w:rPr>
              <w:t xml:space="preserve">it </w:t>
            </w:r>
            <w:r w:rsidR="008331A3" w:rsidRPr="00FF77A3">
              <w:rPr>
                <w:rFonts w:eastAsia="Calibri" w:cs="Times New Roman"/>
                <w:noProof/>
                <w:sz w:val="22"/>
                <w:szCs w:val="20"/>
                <w:lang w:val="en-GB"/>
              </w:rPr>
              <w:t>is</w:t>
            </w:r>
            <w:r w:rsidR="008331A3" w:rsidRPr="0021478B">
              <w:rPr>
                <w:rFonts w:eastAsia="Calibri" w:cs="Times New Roman"/>
                <w:noProof/>
                <w:sz w:val="22"/>
                <w:szCs w:val="20"/>
                <w:lang w:val="en-GB"/>
              </w:rPr>
              <w:t xml:space="preserve"> </w:t>
            </w:r>
            <w:r w:rsidRPr="0021478B">
              <w:rPr>
                <w:rFonts w:eastAsia="Calibri" w:cs="Times New Roman"/>
                <w:noProof/>
                <w:sz w:val="22"/>
                <w:szCs w:val="20"/>
                <w:lang w:val="en-GB"/>
              </w:rPr>
              <w:t>be</w:t>
            </w:r>
            <w:r w:rsidR="008331A3" w:rsidRPr="00FF77A3">
              <w:rPr>
                <w:rFonts w:eastAsia="Calibri" w:cs="Times New Roman"/>
                <w:noProof/>
                <w:sz w:val="22"/>
                <w:szCs w:val="20"/>
                <w:lang w:val="en-GB"/>
              </w:rPr>
              <w:t>ing</w:t>
            </w:r>
            <w:r w:rsidRPr="0021478B">
              <w:rPr>
                <w:rFonts w:eastAsia="Calibri" w:cs="Times New Roman"/>
                <w:noProof/>
                <w:sz w:val="22"/>
                <w:szCs w:val="20"/>
                <w:lang w:val="en-GB"/>
              </w:rPr>
              <w:t xml:space="preserve"> discussed with other </w:t>
            </w:r>
            <w:r w:rsidR="00AF7B1A" w:rsidRPr="0021478B">
              <w:rPr>
                <w:rFonts w:eastAsia="Calibri" w:cs="Times New Roman"/>
                <w:noProof/>
                <w:sz w:val="22"/>
                <w:szCs w:val="20"/>
                <w:lang w:val="en-GB"/>
              </w:rPr>
              <w:t xml:space="preserve">EU </w:t>
            </w:r>
            <w:r w:rsidRPr="0021478B">
              <w:rPr>
                <w:rFonts w:eastAsia="Calibri" w:cs="Times New Roman"/>
                <w:noProof/>
                <w:sz w:val="22"/>
                <w:szCs w:val="20"/>
                <w:lang w:val="en-GB"/>
              </w:rPr>
              <w:t xml:space="preserve">institutions and </w:t>
            </w:r>
            <w:r w:rsidR="129906E5" w:rsidRPr="0021478B">
              <w:rPr>
                <w:rFonts w:eastAsia="Calibri" w:cs="Times New Roman"/>
                <w:noProof/>
                <w:sz w:val="22"/>
                <w:szCs w:val="20"/>
                <w:lang w:val="en-GB"/>
              </w:rPr>
              <w:t xml:space="preserve">with </w:t>
            </w:r>
            <w:r w:rsidRPr="0021478B">
              <w:rPr>
                <w:rFonts w:eastAsia="Calibri" w:cs="Times New Roman"/>
                <w:noProof/>
                <w:sz w:val="22"/>
                <w:szCs w:val="20"/>
                <w:lang w:val="en-GB"/>
              </w:rPr>
              <w:t>stakeholders.</w:t>
            </w:r>
          </w:p>
        </w:tc>
      </w:tr>
      <w:tr w:rsidR="00872C68" w:rsidRPr="00BB5286" w14:paraId="6E7C5F8D" w14:textId="77777777" w:rsidTr="48005626">
        <w:trPr>
          <w:trHeight w:val="300"/>
        </w:trPr>
        <w:tc>
          <w:tcPr>
            <w:tcW w:w="706" w:type="dxa"/>
            <w:tcBorders>
              <w:bottom w:val="single" w:sz="4" w:space="0" w:color="auto"/>
            </w:tcBorders>
            <w:vAlign w:val="center"/>
          </w:tcPr>
          <w:p w14:paraId="3DD63D07" w14:textId="08550B62"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25</w:t>
            </w:r>
            <w:r w:rsidR="00A0403B">
              <w:rPr>
                <w:rFonts w:eastAsia="Calibri" w:cs="Times New Roman"/>
                <w:b/>
                <w:bCs/>
                <w:noProof/>
                <w:sz w:val="22"/>
                <w:lang w:val="en-GB"/>
              </w:rPr>
              <w:t>2</w:t>
            </w:r>
          </w:p>
        </w:tc>
        <w:tc>
          <w:tcPr>
            <w:tcW w:w="5859" w:type="dxa"/>
            <w:tcBorders>
              <w:bottom w:val="single" w:sz="4" w:space="0" w:color="auto"/>
            </w:tcBorders>
            <w:vAlign w:val="center"/>
          </w:tcPr>
          <w:p w14:paraId="5EF0038B" w14:textId="541E5C56" w:rsidR="00872C68" w:rsidRPr="00BB5286" w:rsidRDefault="00872C68" w:rsidP="32AB66DC">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Income:</w:t>
            </w:r>
            <w:r w:rsidRPr="00BB5286">
              <w:rPr>
                <w:rFonts w:eastAsia="Calibri" w:cs="Times New Roman"/>
                <w:noProof/>
                <w:sz w:val="22"/>
                <w:szCs w:val="20"/>
                <w:lang w:val="en-GB"/>
              </w:rPr>
              <w:t xml:space="preserve"> </w:t>
            </w:r>
            <w:r w:rsidR="302D2A9E" w:rsidRPr="00BB5286">
              <w:rPr>
                <w:rFonts w:eastAsia="Calibri" w:cs="Times New Roman"/>
                <w:noProof/>
                <w:sz w:val="22"/>
                <w:szCs w:val="20"/>
                <w:lang w:val="en-GB"/>
              </w:rPr>
              <w:t>a</w:t>
            </w:r>
            <w:r w:rsidRPr="00BB5286">
              <w:rPr>
                <w:rFonts w:eastAsia="Calibri" w:cs="Times New Roman"/>
                <w:noProof/>
                <w:sz w:val="22"/>
                <w:szCs w:val="20"/>
                <w:lang w:val="en-GB"/>
              </w:rPr>
              <w:t xml:space="preserve">daptation of </w:t>
            </w:r>
            <w:r w:rsidR="00642BE8" w:rsidRPr="00BB5286">
              <w:rPr>
                <w:rFonts w:eastAsia="Calibri" w:cs="Times New Roman"/>
                <w:noProof/>
                <w:sz w:val="22"/>
                <w:szCs w:val="20"/>
                <w:lang w:val="en-GB"/>
              </w:rPr>
              <w:t xml:space="preserve">the </w:t>
            </w:r>
            <w:r w:rsidRPr="00BB5286">
              <w:rPr>
                <w:rFonts w:eastAsia="Calibri" w:cs="Times New Roman"/>
                <w:noProof/>
                <w:sz w:val="22"/>
                <w:szCs w:val="20"/>
                <w:lang w:val="en-GB"/>
              </w:rPr>
              <w:t xml:space="preserve">EU legislative framework to regulate and guarantee a fair income for farmers, including the revision of the </w:t>
            </w:r>
            <w:r w:rsidR="00064DAA" w:rsidRPr="00BB5286">
              <w:rPr>
                <w:rFonts w:eastAsia="Calibri" w:cs="Times New Roman"/>
                <w:noProof/>
                <w:sz w:val="22"/>
                <w:szCs w:val="20"/>
                <w:lang w:val="en-GB"/>
              </w:rPr>
              <w:t>Unfair Trading Practices (</w:t>
            </w:r>
            <w:r w:rsidRPr="00BB5286">
              <w:rPr>
                <w:rFonts w:eastAsia="Calibri" w:cs="Times New Roman"/>
                <w:noProof/>
                <w:sz w:val="22"/>
                <w:szCs w:val="20"/>
                <w:lang w:val="en-GB"/>
              </w:rPr>
              <w:t>UTP</w:t>
            </w:r>
            <w:r w:rsidR="00064DAA" w:rsidRPr="00BB5286">
              <w:rPr>
                <w:rFonts w:eastAsia="Calibri" w:cs="Times New Roman"/>
                <w:noProof/>
                <w:sz w:val="22"/>
                <w:szCs w:val="20"/>
                <w:lang w:val="en-GB"/>
              </w:rPr>
              <w:t>)</w:t>
            </w:r>
            <w:r w:rsidRPr="00BB5286">
              <w:rPr>
                <w:rFonts w:eastAsia="Calibri" w:cs="Times New Roman"/>
                <w:noProof/>
                <w:sz w:val="22"/>
                <w:szCs w:val="20"/>
                <w:lang w:val="en-GB"/>
              </w:rPr>
              <w:t xml:space="preserve"> </w:t>
            </w:r>
            <w:r w:rsidR="00064DAA" w:rsidRPr="00BB5286">
              <w:rPr>
                <w:rFonts w:eastAsia="Calibri" w:cs="Times New Roman"/>
                <w:noProof/>
                <w:sz w:val="22"/>
                <w:szCs w:val="20"/>
                <w:lang w:val="en-GB"/>
              </w:rPr>
              <w:t>D</w:t>
            </w:r>
            <w:r w:rsidRPr="00BB5286">
              <w:rPr>
                <w:rFonts w:eastAsia="Calibri" w:cs="Times New Roman"/>
                <w:noProof/>
                <w:sz w:val="22"/>
                <w:szCs w:val="20"/>
                <w:lang w:val="en-GB"/>
              </w:rPr>
              <w:t>irective</w:t>
            </w:r>
            <w:r w:rsidR="000B3920" w:rsidRPr="00BB5286">
              <w:rPr>
                <w:rFonts w:eastAsia="Calibri" w:cs="Times New Roman"/>
                <w:noProof/>
                <w:sz w:val="22"/>
                <w:szCs w:val="20"/>
                <w:lang w:val="en-GB"/>
              </w:rPr>
              <w:t>,</w:t>
            </w:r>
            <w:r w:rsidRPr="00BB5286">
              <w:rPr>
                <w:rFonts w:eastAsia="Calibri" w:cs="Times New Roman"/>
                <w:noProof/>
                <w:sz w:val="22"/>
                <w:szCs w:val="20"/>
                <w:lang w:val="en-GB"/>
              </w:rPr>
              <w:t xml:space="preserve"> the </w:t>
            </w:r>
            <w:r w:rsidR="00064DAA" w:rsidRPr="00BB5286">
              <w:rPr>
                <w:rFonts w:eastAsia="Calibri" w:cs="Times New Roman"/>
                <w:noProof/>
                <w:sz w:val="22"/>
                <w:szCs w:val="20"/>
                <w:lang w:val="en-GB"/>
              </w:rPr>
              <w:t xml:space="preserve">creation </w:t>
            </w:r>
            <w:r w:rsidRPr="00BB5286">
              <w:rPr>
                <w:rFonts w:eastAsia="Calibri" w:cs="Times New Roman"/>
                <w:noProof/>
                <w:sz w:val="22"/>
                <w:szCs w:val="20"/>
                <w:lang w:val="en-GB"/>
              </w:rPr>
              <w:t>of a mechanism for fair price transmission throughout the value chain</w:t>
            </w:r>
            <w:r w:rsidR="000B3920" w:rsidRPr="00BB5286">
              <w:rPr>
                <w:rFonts w:eastAsia="Calibri" w:cs="Times New Roman"/>
                <w:noProof/>
                <w:sz w:val="22"/>
                <w:szCs w:val="20"/>
                <w:lang w:val="en-GB"/>
              </w:rPr>
              <w:t xml:space="preserve"> and p</w:t>
            </w:r>
            <w:r w:rsidRPr="00BB5286">
              <w:rPr>
                <w:rFonts w:eastAsia="Calibri" w:cs="Times New Roman"/>
                <w:noProof/>
                <w:sz w:val="22"/>
                <w:szCs w:val="20"/>
                <w:lang w:val="en-GB"/>
              </w:rPr>
              <w:t>romot</w:t>
            </w:r>
            <w:r w:rsidR="00BC79EF" w:rsidRPr="00BB5286">
              <w:rPr>
                <w:rFonts w:eastAsia="Calibri" w:cs="Times New Roman"/>
                <w:noProof/>
                <w:sz w:val="22"/>
                <w:szCs w:val="20"/>
                <w:lang w:val="en-GB"/>
              </w:rPr>
              <w:t>e</w:t>
            </w:r>
            <w:r w:rsidRPr="00BB5286">
              <w:rPr>
                <w:rFonts w:eastAsia="Calibri" w:cs="Times New Roman"/>
                <w:noProof/>
                <w:sz w:val="22"/>
                <w:szCs w:val="20"/>
                <w:lang w:val="en-GB"/>
              </w:rPr>
              <w:t xml:space="preserve"> collective actions and collaboration between sector partners across the supply chain.</w:t>
            </w:r>
          </w:p>
        </w:tc>
        <w:tc>
          <w:tcPr>
            <w:tcW w:w="1530" w:type="dxa"/>
            <w:tcBorders>
              <w:bottom w:val="single" w:sz="4" w:space="0" w:color="auto"/>
            </w:tcBorders>
            <w:vAlign w:val="center"/>
          </w:tcPr>
          <w:p w14:paraId="38C4C8B5"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COM AGRI,</w:t>
            </w:r>
          </w:p>
          <w:p w14:paraId="7054A017"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BE</w:t>
            </w:r>
          </w:p>
        </w:tc>
        <w:tc>
          <w:tcPr>
            <w:tcW w:w="6300" w:type="dxa"/>
            <w:tcBorders>
              <w:bottom w:val="single" w:sz="4" w:space="0" w:color="auto"/>
            </w:tcBorders>
            <w:vAlign w:val="center"/>
          </w:tcPr>
          <w:p w14:paraId="798E9879" w14:textId="561F91A9" w:rsidR="00872C68" w:rsidRPr="00BB5286" w:rsidRDefault="00872C68" w:rsidP="32AB66DC">
            <w:pPr>
              <w:spacing w:after="60" w:line="259" w:lineRule="auto"/>
              <w:jc w:val="both"/>
              <w:rPr>
                <w:rFonts w:eastAsia="Calibri" w:cs="Times New Roman"/>
                <w:noProof/>
                <w:sz w:val="22"/>
                <w:lang w:val="en-GB"/>
              </w:rPr>
            </w:pPr>
            <w:r w:rsidRPr="58ACE821">
              <w:rPr>
                <w:rFonts w:eastAsia="Calibri" w:cs="Times New Roman"/>
                <w:noProof/>
                <w:sz w:val="22"/>
                <w:lang w:val="en-GB"/>
              </w:rPr>
              <w:t xml:space="preserve">This issue is covered by the </w:t>
            </w:r>
            <w:r w:rsidR="00BC79EF" w:rsidRPr="58ACE821">
              <w:rPr>
                <w:rFonts w:eastAsia="Calibri" w:cs="Times New Roman"/>
                <w:noProof/>
                <w:sz w:val="22"/>
                <w:lang w:val="en-GB"/>
              </w:rPr>
              <w:t>r</w:t>
            </w:r>
            <w:r w:rsidRPr="58ACE821">
              <w:rPr>
                <w:rFonts w:eastAsia="Calibri" w:cs="Times New Roman"/>
                <w:noProof/>
                <w:sz w:val="22"/>
                <w:lang w:val="en-GB"/>
              </w:rPr>
              <w:t xml:space="preserve">eflection paper on the position of farmers in the food supply chain sent by the Commission to the co-legislators </w:t>
            </w:r>
            <w:r w:rsidR="00BC79EF" w:rsidRPr="58ACE821">
              <w:rPr>
                <w:rFonts w:eastAsia="Calibri" w:cs="Times New Roman"/>
                <w:noProof/>
                <w:sz w:val="22"/>
                <w:lang w:val="en-GB"/>
              </w:rPr>
              <w:t xml:space="preserve">in </w:t>
            </w:r>
            <w:r w:rsidRPr="58ACE821">
              <w:rPr>
                <w:rFonts w:eastAsia="Calibri" w:cs="Times New Roman"/>
                <w:noProof/>
                <w:sz w:val="22"/>
                <w:lang w:val="en-GB"/>
              </w:rPr>
              <w:t>March 2024. This paper lists short</w:t>
            </w:r>
            <w:r w:rsidR="00BC79EF" w:rsidRPr="58ACE821">
              <w:rPr>
                <w:rFonts w:eastAsia="Calibri" w:cs="Times New Roman"/>
                <w:noProof/>
                <w:sz w:val="22"/>
                <w:lang w:val="en-GB"/>
              </w:rPr>
              <w:t>-</w:t>
            </w:r>
            <w:r w:rsidRPr="58ACE821">
              <w:rPr>
                <w:rFonts w:eastAsia="Calibri" w:cs="Times New Roman"/>
                <w:noProof/>
                <w:sz w:val="22"/>
                <w:lang w:val="en-GB"/>
              </w:rPr>
              <w:t xml:space="preserve">term measures </w:t>
            </w:r>
            <w:r w:rsidR="00BC79EF" w:rsidRPr="58ACE821">
              <w:rPr>
                <w:rFonts w:eastAsia="Calibri" w:cs="Times New Roman"/>
                <w:noProof/>
                <w:sz w:val="22"/>
                <w:lang w:val="en-GB"/>
              </w:rPr>
              <w:t>that aim to</w:t>
            </w:r>
            <w:r w:rsidRPr="58ACE821">
              <w:rPr>
                <w:rFonts w:eastAsia="Calibri" w:cs="Times New Roman"/>
                <w:noProof/>
                <w:sz w:val="22"/>
                <w:lang w:val="en-GB"/>
              </w:rPr>
              <w:t xml:space="preserve"> improv</w:t>
            </w:r>
            <w:r w:rsidR="00BC79EF" w:rsidRPr="58ACE821">
              <w:rPr>
                <w:rFonts w:eastAsia="Calibri" w:cs="Times New Roman"/>
                <w:noProof/>
                <w:sz w:val="22"/>
                <w:lang w:val="en-GB"/>
              </w:rPr>
              <w:t>e</w:t>
            </w:r>
            <w:r w:rsidRPr="58ACE821">
              <w:rPr>
                <w:rFonts w:eastAsia="Calibri" w:cs="Times New Roman"/>
                <w:noProof/>
                <w:sz w:val="22"/>
                <w:lang w:val="en-GB"/>
              </w:rPr>
              <w:t xml:space="preserve"> the position of farmers</w:t>
            </w:r>
            <w:r w:rsidR="00BC79EF" w:rsidRPr="58ACE821">
              <w:rPr>
                <w:rFonts w:eastAsia="Calibri" w:cs="Times New Roman"/>
                <w:noProof/>
                <w:sz w:val="22"/>
                <w:lang w:val="en-GB"/>
              </w:rPr>
              <w:t>,</w:t>
            </w:r>
            <w:r w:rsidRPr="58ACE821">
              <w:rPr>
                <w:rFonts w:eastAsia="Calibri" w:cs="Times New Roman"/>
                <w:noProof/>
                <w:sz w:val="22"/>
                <w:lang w:val="en-GB"/>
              </w:rPr>
              <w:t xml:space="preserve"> in particular </w:t>
            </w:r>
            <w:r w:rsidR="00BC79EF" w:rsidRPr="58ACE821">
              <w:rPr>
                <w:rFonts w:eastAsia="Calibri" w:cs="Times New Roman"/>
                <w:noProof/>
                <w:sz w:val="22"/>
                <w:lang w:val="en-GB"/>
              </w:rPr>
              <w:t xml:space="preserve">as </w:t>
            </w:r>
            <w:r w:rsidRPr="58ACE821">
              <w:rPr>
                <w:rFonts w:eastAsia="Calibri" w:cs="Times New Roman"/>
                <w:noProof/>
                <w:sz w:val="22"/>
                <w:lang w:val="en-GB"/>
              </w:rPr>
              <w:t xml:space="preserve">regards their remuneration. </w:t>
            </w:r>
            <w:r w:rsidR="00BC79EF" w:rsidRPr="58ACE821">
              <w:rPr>
                <w:rFonts w:eastAsia="Calibri" w:cs="Times New Roman"/>
                <w:noProof/>
                <w:sz w:val="22"/>
                <w:lang w:val="en-GB"/>
              </w:rPr>
              <w:t xml:space="preserve">In </w:t>
            </w:r>
            <w:r w:rsidRPr="58ACE821">
              <w:rPr>
                <w:rFonts w:eastAsia="Calibri" w:cs="Times New Roman"/>
                <w:noProof/>
                <w:sz w:val="22"/>
                <w:lang w:val="en-GB"/>
              </w:rPr>
              <w:t xml:space="preserve">the longer term, the paper mentions the on-going evaluation </w:t>
            </w:r>
            <w:r w:rsidR="00BC79EF" w:rsidRPr="58ACE821">
              <w:rPr>
                <w:rFonts w:eastAsia="Calibri" w:cs="Times New Roman"/>
                <w:noProof/>
                <w:sz w:val="22"/>
                <w:lang w:val="en-GB"/>
              </w:rPr>
              <w:t xml:space="preserve">of </w:t>
            </w:r>
            <w:r w:rsidRPr="58ACE821">
              <w:rPr>
                <w:rFonts w:eastAsia="Calibri" w:cs="Times New Roman"/>
                <w:noProof/>
                <w:sz w:val="22"/>
                <w:lang w:val="en-GB"/>
              </w:rPr>
              <w:t>the UTP Directive</w:t>
            </w:r>
            <w:r w:rsidR="00BC79EF" w:rsidRPr="58ACE821">
              <w:rPr>
                <w:rFonts w:eastAsia="Calibri" w:cs="Times New Roman"/>
                <w:noProof/>
                <w:sz w:val="22"/>
                <w:lang w:val="en-GB"/>
              </w:rPr>
              <w:t>,</w:t>
            </w:r>
            <w:r w:rsidRPr="58ACE821">
              <w:rPr>
                <w:rFonts w:eastAsia="Calibri" w:cs="Times New Roman"/>
                <w:noProof/>
                <w:sz w:val="22"/>
                <w:lang w:val="en-GB"/>
              </w:rPr>
              <w:t xml:space="preserve"> and a specific study on experiences in different Member States on such </w:t>
            </w:r>
            <w:r w:rsidR="00BC79EF" w:rsidRPr="58ACE821">
              <w:rPr>
                <w:rFonts w:eastAsia="Calibri" w:cs="Times New Roman"/>
                <w:noProof/>
                <w:sz w:val="22"/>
                <w:lang w:val="en-GB"/>
              </w:rPr>
              <w:t xml:space="preserve">an </w:t>
            </w:r>
            <w:r w:rsidRPr="58ACE821">
              <w:rPr>
                <w:rFonts w:eastAsia="Calibri" w:cs="Times New Roman"/>
                <w:noProof/>
                <w:sz w:val="22"/>
                <w:lang w:val="en-GB"/>
              </w:rPr>
              <w:t>approach</w:t>
            </w:r>
            <w:r w:rsidR="00BC79EF" w:rsidRPr="58ACE821">
              <w:rPr>
                <w:rFonts w:eastAsia="Calibri" w:cs="Times New Roman"/>
                <w:noProof/>
                <w:sz w:val="22"/>
                <w:lang w:val="en-GB"/>
              </w:rPr>
              <w:t xml:space="preserve">. </w:t>
            </w:r>
            <w:r w:rsidR="00BC79EF" w:rsidRPr="0021478B">
              <w:rPr>
                <w:rFonts w:eastAsia="Calibri" w:cs="Times New Roman"/>
                <w:noProof/>
                <w:sz w:val="22"/>
                <w:lang w:val="en-GB"/>
              </w:rPr>
              <w:t>These</w:t>
            </w:r>
            <w:r w:rsidRPr="0021478B">
              <w:rPr>
                <w:rFonts w:eastAsia="Calibri" w:cs="Times New Roman"/>
                <w:noProof/>
                <w:sz w:val="22"/>
                <w:lang w:val="en-GB"/>
              </w:rPr>
              <w:t xml:space="preserve"> will feed </w:t>
            </w:r>
            <w:r w:rsidR="00BC79EF" w:rsidRPr="0021478B">
              <w:rPr>
                <w:rFonts w:eastAsia="Calibri" w:cs="Times New Roman"/>
                <w:noProof/>
                <w:sz w:val="22"/>
                <w:lang w:val="en-GB"/>
              </w:rPr>
              <w:t xml:space="preserve">into </w:t>
            </w:r>
            <w:r w:rsidRPr="0021478B">
              <w:rPr>
                <w:rFonts w:eastAsia="Calibri" w:cs="Times New Roman"/>
                <w:noProof/>
                <w:sz w:val="22"/>
                <w:lang w:val="en-GB"/>
              </w:rPr>
              <w:t xml:space="preserve">the reflection on possible amendments to Regulation (EU) No 1308/2013 and the UTP Directive, while respecting the basic principles of market orientation of EU agriculture and of </w:t>
            </w:r>
            <w:r w:rsidR="00BC79EF" w:rsidRPr="0021478B">
              <w:rPr>
                <w:rFonts w:eastAsia="Calibri" w:cs="Times New Roman"/>
                <w:noProof/>
                <w:sz w:val="22"/>
                <w:lang w:val="en-GB"/>
              </w:rPr>
              <w:t xml:space="preserve">the </w:t>
            </w:r>
            <w:r w:rsidRPr="0021478B">
              <w:rPr>
                <w:rFonts w:eastAsia="Calibri" w:cs="Times New Roman"/>
                <w:noProof/>
                <w:sz w:val="22"/>
                <w:lang w:val="en-GB"/>
              </w:rPr>
              <w:t xml:space="preserve">freedom of </w:t>
            </w:r>
            <w:r w:rsidR="00BC79EF" w:rsidRPr="0021478B">
              <w:rPr>
                <w:rFonts w:eastAsia="Calibri" w:cs="Times New Roman"/>
                <w:noProof/>
                <w:sz w:val="22"/>
                <w:lang w:val="en-GB"/>
              </w:rPr>
              <w:t xml:space="preserve">the </w:t>
            </w:r>
            <w:r w:rsidRPr="0021478B">
              <w:rPr>
                <w:rFonts w:eastAsia="Calibri" w:cs="Times New Roman"/>
                <w:noProof/>
                <w:sz w:val="22"/>
                <w:lang w:val="en-GB"/>
              </w:rPr>
              <w:t>parties to set the parameters of their contractual relations.</w:t>
            </w:r>
            <w:r w:rsidRPr="58ACE821">
              <w:rPr>
                <w:rFonts w:eastAsia="Calibri" w:cs="Times New Roman"/>
                <w:noProof/>
                <w:sz w:val="22"/>
                <w:lang w:val="en-GB"/>
              </w:rPr>
              <w:t xml:space="preserve">  </w:t>
            </w:r>
          </w:p>
        </w:tc>
      </w:tr>
    </w:tbl>
    <w:p w14:paraId="66B95684" w14:textId="77777777" w:rsidR="00FD703D" w:rsidRDefault="00FD703D">
      <w:pPr>
        <w:rPr>
          <w:noProof/>
        </w:rPr>
      </w:pPr>
    </w:p>
    <w:p w14:paraId="742A9DB3" w14:textId="77777777" w:rsidR="00FD703D" w:rsidRDefault="00FD703D">
      <w:pPr>
        <w:rPr>
          <w:noProof/>
        </w:rPr>
      </w:pPr>
    </w:p>
    <w:tbl>
      <w:tblPr>
        <w:tblStyle w:val="TableGrid1"/>
        <w:tblW w:w="14395" w:type="dxa"/>
        <w:tblLayout w:type="fixed"/>
        <w:tblLook w:val="04A0" w:firstRow="1" w:lastRow="0" w:firstColumn="1" w:lastColumn="0" w:noHBand="0" w:noVBand="1"/>
      </w:tblPr>
      <w:tblGrid>
        <w:gridCol w:w="706"/>
        <w:gridCol w:w="5859"/>
        <w:gridCol w:w="1530"/>
        <w:gridCol w:w="6300"/>
      </w:tblGrid>
      <w:tr w:rsidR="00872C68" w:rsidRPr="00BB5286" w14:paraId="5C8FB5FB" w14:textId="77777777" w:rsidTr="00FD703D">
        <w:trPr>
          <w:trHeight w:val="535"/>
        </w:trPr>
        <w:tc>
          <w:tcPr>
            <w:tcW w:w="14395" w:type="dxa"/>
            <w:gridSpan w:val="4"/>
            <w:shd w:val="clear" w:color="auto" w:fill="003399"/>
            <w:vAlign w:val="center"/>
          </w:tcPr>
          <w:p w14:paraId="3C95DEC3" w14:textId="2665CDE8" w:rsidR="00872C68" w:rsidRPr="00BB5286" w:rsidRDefault="00872C68" w:rsidP="001061AF">
            <w:pPr>
              <w:spacing w:after="60" w:line="259" w:lineRule="auto"/>
              <w:jc w:val="center"/>
              <w:rPr>
                <w:rFonts w:eastAsia="Calibri" w:cs="Times New Roman"/>
                <w:noProof/>
                <w:color w:val="FFFFFF"/>
                <w:sz w:val="22"/>
                <w:lang w:val="en-GB"/>
              </w:rPr>
            </w:pPr>
            <w:r w:rsidRPr="00BB5286">
              <w:rPr>
                <w:rFonts w:eastAsia="Calibri" w:cs="Times New Roman"/>
                <w:b/>
                <w:noProof/>
                <w:color w:val="FFFFFF"/>
                <w:sz w:val="22"/>
                <w:lang w:val="en-GB"/>
              </w:rPr>
              <w:lastRenderedPageBreak/>
              <w:t xml:space="preserve">Statistics and </w:t>
            </w:r>
            <w:r w:rsidR="00BC79EF" w:rsidRPr="00BB5286">
              <w:rPr>
                <w:rFonts w:eastAsia="Calibri" w:cs="Times New Roman"/>
                <w:b/>
                <w:noProof/>
                <w:color w:val="FFFFFF"/>
                <w:sz w:val="22"/>
                <w:lang w:val="en-GB"/>
              </w:rPr>
              <w:t xml:space="preserve">the </w:t>
            </w:r>
            <w:r w:rsidRPr="00BB5286">
              <w:rPr>
                <w:rFonts w:eastAsia="Calibri" w:cs="Times New Roman"/>
                <w:b/>
                <w:noProof/>
                <w:color w:val="FFFFFF"/>
                <w:sz w:val="22"/>
                <w:lang w:val="en-GB"/>
              </w:rPr>
              <w:t>Farm Sustainability Data Network (FSDN)</w:t>
            </w:r>
          </w:p>
        </w:tc>
      </w:tr>
      <w:tr w:rsidR="00872C68" w:rsidRPr="00BB5286" w14:paraId="47646BAD" w14:textId="77777777" w:rsidTr="00FD703D">
        <w:trPr>
          <w:trHeight w:val="296"/>
        </w:trPr>
        <w:tc>
          <w:tcPr>
            <w:tcW w:w="706" w:type="dxa"/>
            <w:vAlign w:val="center"/>
          </w:tcPr>
          <w:p w14:paraId="1045418B" w14:textId="112115DE"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25</w:t>
            </w:r>
            <w:r w:rsidR="00A0403B">
              <w:rPr>
                <w:rFonts w:eastAsia="Calibri" w:cs="Times New Roman"/>
                <w:b/>
                <w:bCs/>
                <w:noProof/>
                <w:sz w:val="22"/>
                <w:lang w:val="en-GB"/>
              </w:rPr>
              <w:t>3</w:t>
            </w:r>
          </w:p>
        </w:tc>
        <w:tc>
          <w:tcPr>
            <w:tcW w:w="5859" w:type="dxa"/>
            <w:vAlign w:val="center"/>
          </w:tcPr>
          <w:p w14:paraId="4BF01F6D" w14:textId="006DE5FB" w:rsidR="00872C68" w:rsidRPr="00BB5286" w:rsidRDefault="00872C68" w:rsidP="32AB66DC">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FSDN:</w:t>
            </w:r>
            <w:r w:rsidRPr="00BB5286">
              <w:rPr>
                <w:rFonts w:eastAsia="Calibri" w:cs="Times New Roman"/>
                <w:noProof/>
                <w:sz w:val="22"/>
                <w:szCs w:val="20"/>
                <w:lang w:val="en-GB"/>
              </w:rPr>
              <w:t xml:space="preserve"> </w:t>
            </w:r>
            <w:r w:rsidR="355985F3" w:rsidRPr="00BB5286">
              <w:rPr>
                <w:rFonts w:eastAsia="Calibri" w:cs="Times New Roman"/>
                <w:noProof/>
                <w:sz w:val="22"/>
                <w:szCs w:val="20"/>
                <w:lang w:val="en-GB"/>
              </w:rPr>
              <w:t>r</w:t>
            </w:r>
            <w:r w:rsidRPr="00BB5286">
              <w:rPr>
                <w:rFonts w:eastAsia="Calibri" w:cs="Times New Roman"/>
                <w:noProof/>
                <w:sz w:val="22"/>
                <w:szCs w:val="20"/>
                <w:lang w:val="en-GB"/>
              </w:rPr>
              <w:t>eduction of the number or frequenc</w:t>
            </w:r>
            <w:r w:rsidR="00BC79EF" w:rsidRPr="00BB5286">
              <w:rPr>
                <w:rFonts w:eastAsia="Calibri" w:cs="Times New Roman"/>
                <w:noProof/>
                <w:sz w:val="22"/>
                <w:szCs w:val="20"/>
                <w:lang w:val="en-GB"/>
              </w:rPr>
              <w:t>y</w:t>
            </w:r>
            <w:r w:rsidRPr="00BB5286">
              <w:rPr>
                <w:rFonts w:eastAsia="Calibri" w:cs="Times New Roman"/>
                <w:noProof/>
                <w:sz w:val="22"/>
                <w:szCs w:val="20"/>
                <w:lang w:val="en-GB"/>
              </w:rPr>
              <w:t xml:space="preserve"> of variables to be collected from participating farms.</w:t>
            </w:r>
          </w:p>
        </w:tc>
        <w:tc>
          <w:tcPr>
            <w:tcW w:w="1530" w:type="dxa"/>
            <w:vAlign w:val="center"/>
          </w:tcPr>
          <w:p w14:paraId="55F27FB3" w14:textId="77777777" w:rsidR="00872C68" w:rsidRPr="00BB5286" w:rsidRDefault="00872C68" w:rsidP="001061AF">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DE, DK, FI</w:t>
            </w:r>
          </w:p>
          <w:p w14:paraId="5319CD78" w14:textId="77777777" w:rsidR="00872C68" w:rsidRPr="00BB5286" w:rsidRDefault="00872C68" w:rsidP="001061AF">
            <w:pPr>
              <w:spacing w:after="60" w:line="259" w:lineRule="auto"/>
              <w:jc w:val="center"/>
              <w:rPr>
                <w:rFonts w:eastAsia="MS Gothic" w:cs="Times New Roman"/>
                <w:b/>
                <w:noProof/>
                <w:color w:val="0033CC"/>
                <w:sz w:val="22"/>
                <w:lang w:val="es-CU"/>
              </w:rPr>
            </w:pPr>
            <w:r w:rsidRPr="00BB5286">
              <w:rPr>
                <w:rFonts w:eastAsia="MS Gothic" w:cs="Times New Roman"/>
                <w:b/>
                <w:noProof/>
                <w:color w:val="0033CC"/>
                <w:sz w:val="22"/>
                <w:lang w:val="es-CU"/>
              </w:rPr>
              <w:t>COPA-COGECA</w:t>
            </w:r>
          </w:p>
        </w:tc>
        <w:tc>
          <w:tcPr>
            <w:tcW w:w="6300" w:type="dxa"/>
            <w:vAlign w:val="center"/>
          </w:tcPr>
          <w:p w14:paraId="1FEC4D76" w14:textId="25A59ABA" w:rsidR="00872C68" w:rsidRPr="00BB5286" w:rsidRDefault="00E75ECF" w:rsidP="00B51109">
            <w:pPr>
              <w:spacing w:before="60" w:after="60" w:line="259" w:lineRule="auto"/>
              <w:jc w:val="both"/>
              <w:rPr>
                <w:rFonts w:eastAsia="Calibri" w:cs="Times New Roman"/>
                <w:noProof/>
                <w:sz w:val="22"/>
                <w:lang w:val="en-GB"/>
              </w:rPr>
            </w:pPr>
            <w:r w:rsidRPr="00E75ECF">
              <w:rPr>
                <w:rFonts w:eastAsia="Calibri" w:cs="Times New Roman"/>
                <w:noProof/>
                <w:sz w:val="22"/>
                <w:lang w:val="en-GB"/>
              </w:rPr>
              <w:t xml:space="preserve">The discussion with Member States on the new variables for the FSDN has been concluded. </w:t>
            </w:r>
            <w:r w:rsidRPr="00380EF8">
              <w:rPr>
                <w:rFonts w:eastAsia="Calibri" w:cs="Times New Roman"/>
                <w:i/>
                <w:iCs/>
                <w:noProof/>
                <w:sz w:val="22"/>
                <w:lang w:val="en-GB"/>
              </w:rPr>
              <w:t>Implementing</w:t>
            </w:r>
            <w:r w:rsidRPr="00E75ECF">
              <w:rPr>
                <w:rFonts w:eastAsia="Calibri" w:cs="Times New Roman"/>
                <w:noProof/>
                <w:sz w:val="22"/>
                <w:lang w:val="en-GB"/>
              </w:rPr>
              <w:t xml:space="preserve"> </w:t>
            </w:r>
            <w:r w:rsidRPr="00F46DB4">
              <w:rPr>
                <w:rFonts w:eastAsia="Calibri" w:cs="Times New Roman"/>
                <w:i/>
                <w:iCs/>
                <w:noProof/>
                <w:sz w:val="22"/>
                <w:lang w:val="en-GB"/>
              </w:rPr>
              <w:t>Regulation (EU) 2024/2746</w:t>
            </w:r>
            <w:r w:rsidRPr="00E75ECF">
              <w:rPr>
                <w:rFonts w:eastAsia="Calibri" w:cs="Times New Roman"/>
                <w:noProof/>
                <w:sz w:val="22"/>
                <w:lang w:val="en-GB"/>
              </w:rPr>
              <w:t xml:space="preserve">, which sets out the FSDN variables, was published on 30 October 2024. The variables were carefully defined through close collaboration with Member State experts, with the aim of ensuring they are relevant for sustainability analysis at farm level while minimising the administrative burden of data collection on farmers and national administrations. To achieve this, the principle of 'ask once and reuse multiple times' </w:t>
            </w:r>
            <w:r w:rsidR="00E83DDF">
              <w:rPr>
                <w:rFonts w:eastAsia="Calibri" w:cs="Times New Roman"/>
                <w:noProof/>
                <w:sz w:val="22"/>
                <w:lang w:val="en-GB"/>
              </w:rPr>
              <w:t xml:space="preserve">was applied </w:t>
            </w:r>
            <w:r w:rsidRPr="00E75ECF">
              <w:rPr>
                <w:rFonts w:eastAsia="Calibri" w:cs="Times New Roman"/>
                <w:noProof/>
                <w:sz w:val="22"/>
                <w:lang w:val="en-GB"/>
              </w:rPr>
              <w:t>wherever possible. For example, variable definitions</w:t>
            </w:r>
            <w:r w:rsidR="00E83DDF">
              <w:rPr>
                <w:rFonts w:eastAsia="Calibri" w:cs="Times New Roman"/>
                <w:noProof/>
                <w:sz w:val="22"/>
                <w:lang w:val="en-GB"/>
              </w:rPr>
              <w:t xml:space="preserve"> we aligned</w:t>
            </w:r>
            <w:r w:rsidRPr="00E75ECF">
              <w:rPr>
                <w:rFonts w:eastAsia="Calibri" w:cs="Times New Roman"/>
                <w:noProof/>
                <w:sz w:val="22"/>
                <w:lang w:val="en-GB"/>
              </w:rPr>
              <w:t xml:space="preserve"> with those used in certain statistical surveys, such as the Integrated Farm Statistics (IFS) or the Survey on Agricultural Input and Output (SAIO), taking advantage of the fact that FSDN data is collected at farm level, providing a more detailed perspective.</w:t>
            </w:r>
          </w:p>
        </w:tc>
      </w:tr>
      <w:tr w:rsidR="00872C68" w:rsidRPr="00BB5286" w14:paraId="2B8488F8" w14:textId="77777777" w:rsidTr="00FD703D">
        <w:trPr>
          <w:trHeight w:val="1833"/>
        </w:trPr>
        <w:tc>
          <w:tcPr>
            <w:tcW w:w="706" w:type="dxa"/>
            <w:vAlign w:val="center"/>
          </w:tcPr>
          <w:p w14:paraId="7283B472" w14:textId="5A3159B9"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25</w:t>
            </w:r>
            <w:r w:rsidR="00A0403B">
              <w:rPr>
                <w:rFonts w:eastAsia="Calibri" w:cs="Times New Roman"/>
                <w:b/>
                <w:bCs/>
                <w:noProof/>
                <w:sz w:val="22"/>
                <w:lang w:val="en-GB"/>
              </w:rPr>
              <w:t>4</w:t>
            </w:r>
          </w:p>
        </w:tc>
        <w:tc>
          <w:tcPr>
            <w:tcW w:w="5859" w:type="dxa"/>
            <w:vAlign w:val="center"/>
          </w:tcPr>
          <w:p w14:paraId="41AE6922" w14:textId="50711740" w:rsidR="00872C68" w:rsidRPr="00BB5286" w:rsidRDefault="00872C68" w:rsidP="32AB66DC">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 xml:space="preserve">Reuse </w:t>
            </w:r>
            <w:r w:rsidR="006C3AFD" w:rsidRPr="00BB5286">
              <w:rPr>
                <w:rFonts w:eastAsia="Calibri" w:cs="Times New Roman"/>
                <w:b/>
                <w:bCs/>
                <w:noProof/>
                <w:sz w:val="22"/>
                <w:szCs w:val="20"/>
                <w:lang w:val="en-GB"/>
              </w:rPr>
              <w:t xml:space="preserve">the data </w:t>
            </w:r>
            <w:r w:rsidRPr="00BB5286">
              <w:rPr>
                <w:rFonts w:eastAsia="Calibri" w:cs="Times New Roman"/>
                <w:b/>
                <w:bCs/>
                <w:noProof/>
                <w:sz w:val="22"/>
                <w:szCs w:val="20"/>
                <w:lang w:val="en-GB"/>
              </w:rPr>
              <w:t>collected:</w:t>
            </w:r>
            <w:r w:rsidRPr="00BB5286">
              <w:rPr>
                <w:rFonts w:eastAsia="Calibri" w:cs="Times New Roman"/>
                <w:noProof/>
                <w:sz w:val="22"/>
                <w:szCs w:val="20"/>
                <w:lang w:val="en-GB"/>
              </w:rPr>
              <w:t xml:space="preserve"> </w:t>
            </w:r>
            <w:r w:rsidR="02B7AFE8" w:rsidRPr="00BB5286">
              <w:rPr>
                <w:rFonts w:eastAsia="Calibri" w:cs="Times New Roman"/>
                <w:noProof/>
                <w:sz w:val="22"/>
                <w:szCs w:val="20"/>
                <w:lang w:val="en-GB"/>
              </w:rPr>
              <w:t>e</w:t>
            </w:r>
            <w:r w:rsidRPr="00BB5286">
              <w:rPr>
                <w:rFonts w:eastAsia="Calibri" w:cs="Times New Roman"/>
                <w:noProof/>
                <w:sz w:val="22"/>
                <w:szCs w:val="20"/>
                <w:lang w:val="en-GB"/>
              </w:rPr>
              <w:t xml:space="preserve">nable </w:t>
            </w:r>
            <w:r w:rsidR="006C3AFD" w:rsidRPr="00BB5286">
              <w:rPr>
                <w:rFonts w:eastAsia="Calibri" w:cs="Times New Roman"/>
                <w:noProof/>
                <w:sz w:val="22"/>
                <w:szCs w:val="20"/>
                <w:lang w:val="en-GB"/>
              </w:rPr>
              <w:t>the retrieval and</w:t>
            </w:r>
            <w:r w:rsidRPr="00BB5286">
              <w:rPr>
                <w:rFonts w:eastAsia="Calibri" w:cs="Times New Roman"/>
                <w:noProof/>
                <w:sz w:val="22"/>
                <w:szCs w:val="20"/>
                <w:lang w:val="en-GB"/>
              </w:rPr>
              <w:t xml:space="preserve"> reuse of data already collected under other EU legislation </w:t>
            </w:r>
            <w:r w:rsidR="00FA084D" w:rsidRPr="00BB5286">
              <w:rPr>
                <w:rFonts w:eastAsia="Calibri" w:cs="Times New Roman"/>
                <w:noProof/>
                <w:sz w:val="22"/>
                <w:szCs w:val="20"/>
                <w:lang w:val="en-GB"/>
              </w:rPr>
              <w:t>or</w:t>
            </w:r>
            <w:r w:rsidRPr="00BB5286">
              <w:rPr>
                <w:rFonts w:eastAsia="Calibri" w:cs="Times New Roman"/>
                <w:noProof/>
                <w:sz w:val="22"/>
                <w:szCs w:val="20"/>
                <w:lang w:val="en-GB"/>
              </w:rPr>
              <w:t xml:space="preserve"> systems (</w:t>
            </w:r>
            <w:r w:rsidR="00FA084D" w:rsidRPr="00BB5286">
              <w:rPr>
                <w:rFonts w:eastAsia="Calibri" w:cs="Times New Roman"/>
                <w:noProof/>
                <w:sz w:val="22"/>
                <w:szCs w:val="20"/>
                <w:lang w:val="en-GB"/>
              </w:rPr>
              <w:t>i</w:t>
            </w:r>
            <w:r w:rsidRPr="00BB5286">
              <w:rPr>
                <w:rFonts w:eastAsia="Calibri" w:cs="Times New Roman"/>
                <w:noProof/>
                <w:sz w:val="22"/>
                <w:szCs w:val="20"/>
                <w:lang w:val="en-GB"/>
              </w:rPr>
              <w:t xml:space="preserve">ntegrated </w:t>
            </w:r>
            <w:r w:rsidR="00FA084D" w:rsidRPr="00BB5286">
              <w:rPr>
                <w:rFonts w:eastAsia="Calibri" w:cs="Times New Roman"/>
                <w:noProof/>
                <w:sz w:val="22"/>
                <w:szCs w:val="20"/>
                <w:lang w:val="en-GB"/>
              </w:rPr>
              <w:t>f</w:t>
            </w:r>
            <w:r w:rsidRPr="00BB5286">
              <w:rPr>
                <w:rFonts w:eastAsia="Calibri" w:cs="Times New Roman"/>
                <w:noProof/>
                <w:sz w:val="22"/>
                <w:szCs w:val="20"/>
                <w:lang w:val="en-GB"/>
              </w:rPr>
              <w:t xml:space="preserve">arm </w:t>
            </w:r>
            <w:r w:rsidR="00FA084D" w:rsidRPr="00BB5286">
              <w:rPr>
                <w:rFonts w:eastAsia="Calibri" w:cs="Times New Roman"/>
                <w:noProof/>
                <w:sz w:val="22"/>
                <w:szCs w:val="20"/>
                <w:lang w:val="en-GB"/>
              </w:rPr>
              <w:t>s</w:t>
            </w:r>
            <w:r w:rsidRPr="00BB5286">
              <w:rPr>
                <w:rFonts w:eastAsia="Calibri" w:cs="Times New Roman"/>
                <w:noProof/>
                <w:sz w:val="22"/>
                <w:szCs w:val="20"/>
                <w:lang w:val="en-GB"/>
              </w:rPr>
              <w:t>tatistics</w:t>
            </w:r>
            <w:r w:rsidR="372E766C" w:rsidRPr="00BB5286">
              <w:rPr>
                <w:rFonts w:eastAsia="Calibri" w:cs="Times New Roman"/>
                <w:noProof/>
                <w:sz w:val="22"/>
                <w:szCs w:val="20"/>
                <w:lang w:val="en-GB"/>
              </w:rPr>
              <w:t>, IFS</w:t>
            </w:r>
            <w:r w:rsidRPr="00BB5286">
              <w:rPr>
                <w:rFonts w:eastAsia="Calibri" w:cs="Times New Roman"/>
                <w:noProof/>
                <w:sz w:val="22"/>
                <w:szCs w:val="20"/>
                <w:lang w:val="en-GB"/>
              </w:rPr>
              <w:t>)</w:t>
            </w:r>
            <w:r w:rsidR="00967CF8" w:rsidRPr="00BB5286">
              <w:rPr>
                <w:rFonts w:eastAsia="Calibri" w:cs="Times New Roman"/>
                <w:noProof/>
                <w:sz w:val="22"/>
                <w:szCs w:val="20"/>
                <w:lang w:val="en-GB"/>
              </w:rPr>
              <w:t>.</w:t>
            </w:r>
          </w:p>
        </w:tc>
        <w:tc>
          <w:tcPr>
            <w:tcW w:w="1530" w:type="dxa"/>
            <w:vAlign w:val="center"/>
          </w:tcPr>
          <w:p w14:paraId="5B041098" w14:textId="77777777" w:rsidR="00872C68" w:rsidRPr="00BB5286" w:rsidRDefault="00872C68" w:rsidP="001061AF">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w:t>
            </w:r>
          </w:p>
        </w:tc>
        <w:tc>
          <w:tcPr>
            <w:tcW w:w="6300" w:type="dxa"/>
            <w:vAlign w:val="center"/>
          </w:tcPr>
          <w:p w14:paraId="45FD8FDA" w14:textId="15F99009" w:rsidR="00872C68" w:rsidRPr="00BB5286" w:rsidRDefault="00872C68" w:rsidP="32AB66DC">
            <w:pPr>
              <w:spacing w:after="60" w:line="259" w:lineRule="auto"/>
              <w:jc w:val="both"/>
              <w:rPr>
                <w:rFonts w:eastAsia="Calibri" w:cs="Times New Roman"/>
                <w:noProof/>
                <w:sz w:val="22"/>
                <w:lang w:val="en-GB"/>
              </w:rPr>
            </w:pPr>
            <w:r w:rsidRPr="007D2326">
              <w:rPr>
                <w:rFonts w:eastAsia="Calibri" w:cs="Times New Roman"/>
                <w:noProof/>
                <w:sz w:val="22"/>
                <w:lang w:val="en-GB"/>
              </w:rPr>
              <w:t xml:space="preserve">A study on interoperability between </w:t>
            </w:r>
            <w:r w:rsidR="003A3E40" w:rsidRPr="007D2326">
              <w:rPr>
                <w:rFonts w:eastAsia="Calibri" w:cs="Times New Roman"/>
                <w:noProof/>
                <w:sz w:val="22"/>
                <w:lang w:val="en-GB"/>
              </w:rPr>
              <w:t xml:space="preserve">the </w:t>
            </w:r>
            <w:r w:rsidRPr="007D2326">
              <w:rPr>
                <w:rFonts w:eastAsia="Calibri" w:cs="Times New Roman"/>
                <w:noProof/>
                <w:sz w:val="22"/>
                <w:lang w:val="en-GB"/>
              </w:rPr>
              <w:t xml:space="preserve">IFS and FSDN is currently ongoing, involving both </w:t>
            </w:r>
            <w:r w:rsidR="003A3E40" w:rsidRPr="007D2326">
              <w:rPr>
                <w:rFonts w:eastAsia="Calibri" w:cs="Times New Roman"/>
                <w:noProof/>
                <w:sz w:val="22"/>
                <w:lang w:val="en-GB"/>
              </w:rPr>
              <w:t>n</w:t>
            </w:r>
            <w:r w:rsidRPr="007D2326">
              <w:rPr>
                <w:rFonts w:eastAsia="Calibri" w:cs="Times New Roman"/>
                <w:noProof/>
                <w:sz w:val="22"/>
                <w:lang w:val="en-GB"/>
              </w:rPr>
              <w:t xml:space="preserve">ational </w:t>
            </w:r>
            <w:r w:rsidR="003A3E40" w:rsidRPr="007D2326">
              <w:rPr>
                <w:rFonts w:eastAsia="Calibri" w:cs="Times New Roman"/>
                <w:noProof/>
                <w:sz w:val="22"/>
                <w:lang w:val="en-GB"/>
              </w:rPr>
              <w:t>s</w:t>
            </w:r>
            <w:r w:rsidRPr="007D2326">
              <w:rPr>
                <w:rFonts w:eastAsia="Calibri" w:cs="Times New Roman"/>
                <w:noProof/>
                <w:sz w:val="22"/>
                <w:lang w:val="en-GB"/>
              </w:rPr>
              <w:t xml:space="preserve">tatistical </w:t>
            </w:r>
            <w:r w:rsidR="003A3E40" w:rsidRPr="007D2326">
              <w:rPr>
                <w:rFonts w:eastAsia="Calibri" w:cs="Times New Roman"/>
                <w:noProof/>
                <w:sz w:val="22"/>
                <w:lang w:val="en-GB"/>
              </w:rPr>
              <w:t>i</w:t>
            </w:r>
            <w:r w:rsidRPr="007D2326">
              <w:rPr>
                <w:rFonts w:eastAsia="Calibri" w:cs="Times New Roman"/>
                <w:noProof/>
                <w:sz w:val="22"/>
                <w:lang w:val="en-GB"/>
              </w:rPr>
              <w:t xml:space="preserve">nstitutes and </w:t>
            </w:r>
            <w:r w:rsidR="6FB68B03" w:rsidRPr="007D2326">
              <w:rPr>
                <w:rFonts w:eastAsia="Calibri" w:cs="Times New Roman"/>
                <w:noProof/>
                <w:sz w:val="22"/>
                <w:lang w:val="en-GB"/>
              </w:rPr>
              <w:t>the farm accountancy data</w:t>
            </w:r>
            <w:r w:rsidR="6FB68B03" w:rsidRPr="58ACE821">
              <w:rPr>
                <w:rFonts w:eastAsia="Calibri" w:cs="Times New Roman"/>
                <w:noProof/>
                <w:sz w:val="22"/>
                <w:lang w:val="en-GB"/>
              </w:rPr>
              <w:t xml:space="preserve"> network (</w:t>
            </w:r>
            <w:r w:rsidRPr="58ACE821">
              <w:rPr>
                <w:rFonts w:eastAsia="Calibri" w:cs="Times New Roman"/>
                <w:noProof/>
                <w:sz w:val="22"/>
                <w:lang w:val="en-GB"/>
              </w:rPr>
              <w:t>FADN</w:t>
            </w:r>
            <w:r w:rsidR="1BA287CD" w:rsidRPr="58ACE821">
              <w:rPr>
                <w:rFonts w:eastAsia="Calibri" w:cs="Times New Roman"/>
                <w:noProof/>
                <w:sz w:val="22"/>
                <w:lang w:val="en-GB"/>
              </w:rPr>
              <w:t>)</w:t>
            </w:r>
            <w:r w:rsidRPr="58ACE821">
              <w:rPr>
                <w:rFonts w:eastAsia="Calibri" w:cs="Times New Roman"/>
                <w:noProof/>
                <w:sz w:val="22"/>
                <w:lang w:val="en-GB"/>
              </w:rPr>
              <w:t>/FSDN liaison agencies. The Commission continues to engage with Member States on improving data</w:t>
            </w:r>
            <w:r w:rsidR="003A3E40" w:rsidRPr="58ACE821">
              <w:rPr>
                <w:rFonts w:eastAsia="Calibri" w:cs="Times New Roman"/>
                <w:noProof/>
                <w:sz w:val="22"/>
                <w:lang w:val="en-GB"/>
              </w:rPr>
              <w:t>-</w:t>
            </w:r>
            <w:r w:rsidRPr="58ACE821">
              <w:rPr>
                <w:rFonts w:eastAsia="Calibri" w:cs="Times New Roman"/>
                <w:noProof/>
                <w:sz w:val="22"/>
                <w:lang w:val="en-GB"/>
              </w:rPr>
              <w:t>sharing at both EU and Member States level.</w:t>
            </w:r>
          </w:p>
        </w:tc>
      </w:tr>
      <w:tr w:rsidR="001D2E24" w:rsidRPr="00BB5286" w14:paraId="73E0A407" w14:textId="77777777" w:rsidTr="00FD703D">
        <w:trPr>
          <w:trHeight w:val="296"/>
        </w:trPr>
        <w:tc>
          <w:tcPr>
            <w:tcW w:w="706" w:type="dxa"/>
            <w:tcBorders>
              <w:bottom w:val="single" w:sz="4" w:space="0" w:color="auto"/>
            </w:tcBorders>
            <w:vAlign w:val="center"/>
          </w:tcPr>
          <w:p w14:paraId="168765B7" w14:textId="2864BFC1" w:rsidR="00872C68" w:rsidRPr="00BB5286" w:rsidRDefault="00872C68" w:rsidP="008C38EE">
            <w:pPr>
              <w:spacing w:after="60" w:line="259" w:lineRule="auto"/>
              <w:jc w:val="both"/>
              <w:rPr>
                <w:rFonts w:eastAsia="Calibri" w:cs="Times New Roman"/>
                <w:b/>
                <w:noProof/>
                <w:sz w:val="22"/>
                <w:lang w:val="en-GB"/>
              </w:rPr>
            </w:pPr>
            <w:r w:rsidRPr="00BB5286">
              <w:rPr>
                <w:rFonts w:eastAsia="Calibri" w:cs="Times New Roman"/>
                <w:b/>
                <w:bCs/>
                <w:noProof/>
                <w:sz w:val="22"/>
                <w:lang w:val="en-GB"/>
              </w:rPr>
              <w:t>25</w:t>
            </w:r>
            <w:r w:rsidR="00A0403B">
              <w:rPr>
                <w:rFonts w:eastAsia="Calibri" w:cs="Times New Roman"/>
                <w:b/>
                <w:bCs/>
                <w:noProof/>
                <w:sz w:val="22"/>
                <w:lang w:val="en-GB"/>
              </w:rPr>
              <w:t>5</w:t>
            </w:r>
          </w:p>
        </w:tc>
        <w:tc>
          <w:tcPr>
            <w:tcW w:w="5859" w:type="dxa"/>
            <w:tcBorders>
              <w:bottom w:val="single" w:sz="4" w:space="0" w:color="auto"/>
            </w:tcBorders>
            <w:vAlign w:val="center"/>
          </w:tcPr>
          <w:p w14:paraId="6355EC3A" w14:textId="35650BE3" w:rsidR="00872C68" w:rsidRPr="00BB5286" w:rsidRDefault="00872C68" w:rsidP="32AB66DC">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 xml:space="preserve">Statistics on plant </w:t>
            </w:r>
            <w:r w:rsidRPr="00AD779E">
              <w:rPr>
                <w:rFonts w:eastAsia="Calibri" w:cs="Times New Roman"/>
                <w:b/>
                <w:bCs/>
                <w:noProof/>
                <w:sz w:val="22"/>
                <w:szCs w:val="20"/>
                <w:lang w:val="en-GB"/>
              </w:rPr>
              <w:t>protection products</w:t>
            </w:r>
            <w:r w:rsidR="35D71EC9" w:rsidRPr="00AD779E">
              <w:rPr>
                <w:rFonts w:eastAsia="Calibri" w:cs="Times New Roman"/>
                <w:b/>
                <w:bCs/>
                <w:noProof/>
                <w:sz w:val="22"/>
                <w:szCs w:val="20"/>
                <w:lang w:val="en-GB"/>
              </w:rPr>
              <w:t>:</w:t>
            </w:r>
            <w:r w:rsidRPr="00AD779E">
              <w:rPr>
                <w:rFonts w:eastAsia="Calibri" w:cs="Times New Roman"/>
                <w:noProof/>
                <w:sz w:val="22"/>
                <w:szCs w:val="20"/>
                <w:lang w:val="en-GB"/>
              </w:rPr>
              <w:t xml:space="preserve"> </w:t>
            </w:r>
            <w:r w:rsidR="3B589114" w:rsidRPr="00AD779E">
              <w:rPr>
                <w:rFonts w:eastAsia="Calibri" w:cs="Times New Roman"/>
                <w:noProof/>
                <w:sz w:val="22"/>
                <w:szCs w:val="20"/>
                <w:lang w:val="en-GB"/>
              </w:rPr>
              <w:t>r</w:t>
            </w:r>
            <w:r w:rsidRPr="00AD779E">
              <w:rPr>
                <w:rFonts w:eastAsia="Calibri" w:cs="Times New Roman"/>
                <w:noProof/>
                <w:sz w:val="22"/>
                <w:szCs w:val="20"/>
                <w:lang w:val="en-GB"/>
              </w:rPr>
              <w:t xml:space="preserve">equest to carry out an assessment of the cumulative effect </w:t>
            </w:r>
            <w:r w:rsidR="00D86AB1" w:rsidRPr="00AD779E">
              <w:rPr>
                <w:rFonts w:eastAsia="Calibri" w:cs="Times New Roman"/>
                <w:noProof/>
                <w:sz w:val="22"/>
                <w:szCs w:val="20"/>
                <w:lang w:val="en-GB"/>
              </w:rPr>
              <w:t>of</w:t>
            </w:r>
            <w:r w:rsidRPr="00AD779E">
              <w:rPr>
                <w:rFonts w:eastAsia="Calibri" w:cs="Times New Roman"/>
                <w:noProof/>
                <w:sz w:val="22"/>
                <w:szCs w:val="20"/>
                <w:lang w:val="en-GB"/>
              </w:rPr>
              <w:t xml:space="preserve"> the notification requirements </w:t>
            </w:r>
            <w:r w:rsidR="00D86AB1" w:rsidRPr="00AD779E">
              <w:rPr>
                <w:rFonts w:eastAsia="Calibri" w:cs="Times New Roman"/>
                <w:noProof/>
                <w:sz w:val="22"/>
                <w:szCs w:val="20"/>
                <w:lang w:val="en-GB"/>
              </w:rPr>
              <w:t xml:space="preserve">for </w:t>
            </w:r>
            <w:r w:rsidRPr="00AD779E">
              <w:rPr>
                <w:rFonts w:eastAsia="Calibri" w:cs="Times New Roman"/>
                <w:noProof/>
                <w:sz w:val="22"/>
                <w:szCs w:val="20"/>
                <w:lang w:val="en-GB"/>
              </w:rPr>
              <w:t>multiple statistical data (SAIO, FSDN, integrated farm statistics, etc.)</w:t>
            </w:r>
            <w:r w:rsidR="00D86AB1" w:rsidRPr="00AD779E">
              <w:rPr>
                <w:rFonts w:eastAsia="Calibri" w:cs="Times New Roman"/>
                <w:noProof/>
                <w:sz w:val="22"/>
                <w:szCs w:val="20"/>
                <w:lang w:val="en-GB"/>
              </w:rPr>
              <w:t>,</w:t>
            </w:r>
            <w:r w:rsidRPr="00AD779E">
              <w:rPr>
                <w:rFonts w:eastAsia="Calibri" w:cs="Times New Roman"/>
                <w:noProof/>
                <w:sz w:val="22"/>
                <w:szCs w:val="20"/>
                <w:lang w:val="en-GB"/>
              </w:rPr>
              <w:t xml:space="preserve"> (Regulation (EU) 2022/2379, </w:t>
            </w:r>
            <w:r w:rsidRPr="00AD779E">
              <w:rPr>
                <w:rFonts w:eastAsia="Calibri" w:cs="Times New Roman"/>
                <w:noProof/>
                <w:sz w:val="22"/>
                <w:szCs w:val="20"/>
                <w:lang w:val="en-GB"/>
              </w:rPr>
              <w:lastRenderedPageBreak/>
              <w:t xml:space="preserve">Implementing Regulation 2023/564 </w:t>
            </w:r>
            <w:r w:rsidR="00D86AB1" w:rsidRPr="00AD779E">
              <w:rPr>
                <w:rFonts w:eastAsia="Calibri" w:cs="Times New Roman"/>
                <w:noProof/>
                <w:sz w:val="22"/>
                <w:szCs w:val="20"/>
                <w:lang w:val="en-GB"/>
              </w:rPr>
              <w:t xml:space="preserve">on the </w:t>
            </w:r>
            <w:r w:rsidRPr="00AD779E">
              <w:rPr>
                <w:rFonts w:eastAsia="Calibri" w:cs="Times New Roman"/>
                <w:noProof/>
                <w:sz w:val="22"/>
                <w:szCs w:val="20"/>
                <w:lang w:val="en-GB"/>
              </w:rPr>
              <w:t>content and format of the records of plant protection products).</w:t>
            </w:r>
          </w:p>
          <w:p w14:paraId="72546999" w14:textId="77777777" w:rsidR="00872C68" w:rsidRPr="00BB5286" w:rsidRDefault="00872C68" w:rsidP="008C38EE">
            <w:pPr>
              <w:spacing w:after="60" w:line="259" w:lineRule="auto"/>
              <w:jc w:val="both"/>
              <w:rPr>
                <w:rFonts w:eastAsia="Calibri" w:cs="Times New Roman"/>
                <w:noProof/>
                <w:sz w:val="22"/>
                <w:lang w:val="en-GB"/>
              </w:rPr>
            </w:pPr>
          </w:p>
        </w:tc>
        <w:tc>
          <w:tcPr>
            <w:tcW w:w="1530" w:type="dxa"/>
            <w:tcBorders>
              <w:bottom w:val="single" w:sz="4" w:space="0" w:color="auto"/>
            </w:tcBorders>
            <w:vAlign w:val="center"/>
          </w:tcPr>
          <w:p w14:paraId="2B640E71" w14:textId="77777777" w:rsidR="00872C68" w:rsidRPr="00BB5286" w:rsidRDefault="00872C68" w:rsidP="008C38EE">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lastRenderedPageBreak/>
              <w:t>LU</w:t>
            </w:r>
          </w:p>
        </w:tc>
        <w:tc>
          <w:tcPr>
            <w:tcW w:w="6300" w:type="dxa"/>
            <w:tcBorders>
              <w:bottom w:val="single" w:sz="4" w:space="0" w:color="auto"/>
            </w:tcBorders>
            <w:vAlign w:val="center"/>
          </w:tcPr>
          <w:p w14:paraId="3E4B93E7" w14:textId="580B4976" w:rsidR="00872C68" w:rsidRPr="00BB5286" w:rsidRDefault="6070CAD7" w:rsidP="00D35E3A">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 xml:space="preserve">The </w:t>
            </w:r>
            <w:r w:rsidR="19D9D35B" w:rsidRPr="00BB5286">
              <w:rPr>
                <w:rFonts w:eastAsia="Calibri" w:cs="Times New Roman"/>
                <w:noProof/>
                <w:sz w:val="22"/>
                <w:szCs w:val="20"/>
                <w:lang w:val="en-GB"/>
              </w:rPr>
              <w:t xml:space="preserve">statistics on </w:t>
            </w:r>
            <w:r w:rsidR="06ACAC38" w:rsidRPr="00BB5286">
              <w:rPr>
                <w:rFonts w:eastAsia="Calibri" w:cs="Times New Roman"/>
                <w:noProof/>
                <w:sz w:val="22"/>
                <w:szCs w:val="20"/>
                <w:lang w:val="en-GB"/>
              </w:rPr>
              <w:t>plant protection products</w:t>
            </w:r>
            <w:r w:rsidRPr="00BB5286">
              <w:rPr>
                <w:rFonts w:eastAsia="Calibri" w:cs="Times New Roman"/>
                <w:noProof/>
                <w:sz w:val="22"/>
                <w:szCs w:val="20"/>
                <w:lang w:val="en-GB"/>
              </w:rPr>
              <w:t xml:space="preserve"> </w:t>
            </w:r>
            <w:r w:rsidR="38EFB9E3" w:rsidRPr="00BB5286">
              <w:rPr>
                <w:rFonts w:eastAsia="Calibri" w:cs="Times New Roman"/>
                <w:noProof/>
                <w:sz w:val="22"/>
                <w:szCs w:val="20"/>
                <w:lang w:val="en-GB"/>
              </w:rPr>
              <w:t xml:space="preserve">(PPP) </w:t>
            </w:r>
            <w:r w:rsidRPr="00BB5286">
              <w:rPr>
                <w:rFonts w:eastAsia="Calibri" w:cs="Times New Roman"/>
                <w:noProof/>
                <w:sz w:val="22"/>
                <w:szCs w:val="20"/>
                <w:lang w:val="en-GB"/>
              </w:rPr>
              <w:t xml:space="preserve">use collected under </w:t>
            </w:r>
            <w:r w:rsidR="7E831CBF" w:rsidRPr="00BB5286">
              <w:rPr>
                <w:rFonts w:eastAsia="Calibri" w:cs="Times New Roman"/>
                <w:noProof/>
                <w:sz w:val="22"/>
                <w:szCs w:val="20"/>
                <w:lang w:val="en-GB"/>
              </w:rPr>
              <w:t xml:space="preserve">the </w:t>
            </w:r>
            <w:r w:rsidRPr="00BB5286">
              <w:rPr>
                <w:rFonts w:eastAsia="Calibri" w:cs="Times New Roman"/>
                <w:noProof/>
                <w:sz w:val="22"/>
                <w:szCs w:val="20"/>
                <w:lang w:val="en-GB"/>
              </w:rPr>
              <w:t>SAIO and FSDN are fundamentally different</w:t>
            </w:r>
            <w:r w:rsidR="7E831CBF" w:rsidRPr="00BB5286">
              <w:rPr>
                <w:rFonts w:eastAsia="Calibri" w:cs="Times New Roman"/>
                <w:noProof/>
                <w:sz w:val="22"/>
                <w:szCs w:val="20"/>
                <w:lang w:val="en-GB"/>
              </w:rPr>
              <w:t xml:space="preserve"> in nature</w:t>
            </w:r>
            <w:r w:rsidRPr="00BB5286">
              <w:rPr>
                <w:rFonts w:eastAsia="Calibri" w:cs="Times New Roman"/>
                <w:noProof/>
                <w:sz w:val="22"/>
                <w:szCs w:val="20"/>
                <w:lang w:val="en-GB"/>
              </w:rPr>
              <w:t xml:space="preserve">. While </w:t>
            </w:r>
            <w:r w:rsidR="7E831CBF" w:rsidRPr="00BB5286">
              <w:rPr>
                <w:rFonts w:eastAsia="Calibri" w:cs="Times New Roman"/>
                <w:noProof/>
                <w:sz w:val="22"/>
                <w:szCs w:val="20"/>
                <w:lang w:val="en-GB"/>
              </w:rPr>
              <w:t xml:space="preserve">the </w:t>
            </w:r>
            <w:r w:rsidRPr="00BB5286">
              <w:rPr>
                <w:rFonts w:eastAsia="Calibri" w:cs="Times New Roman"/>
                <w:noProof/>
                <w:sz w:val="22"/>
                <w:szCs w:val="20"/>
                <w:lang w:val="en-GB"/>
              </w:rPr>
              <w:t xml:space="preserve">SAIO </w:t>
            </w:r>
            <w:r w:rsidR="7E831CBF" w:rsidRPr="00BB5286">
              <w:rPr>
                <w:rFonts w:eastAsia="Calibri" w:cs="Times New Roman"/>
                <w:noProof/>
                <w:sz w:val="22"/>
                <w:szCs w:val="20"/>
                <w:lang w:val="en-GB"/>
              </w:rPr>
              <w:t xml:space="preserve">aims </w:t>
            </w:r>
            <w:r w:rsidRPr="00BB5286">
              <w:rPr>
                <w:rFonts w:eastAsia="Calibri" w:cs="Times New Roman"/>
                <w:noProof/>
                <w:sz w:val="22"/>
                <w:szCs w:val="20"/>
                <w:lang w:val="en-GB"/>
              </w:rPr>
              <w:t xml:space="preserve">to provide solid </w:t>
            </w:r>
            <w:r w:rsidR="40CF5EF2" w:rsidRPr="00BB5286">
              <w:rPr>
                <w:rFonts w:eastAsia="Calibri" w:cs="Times New Roman"/>
                <w:noProof/>
                <w:sz w:val="22"/>
                <w:szCs w:val="20"/>
                <w:lang w:val="en-GB"/>
              </w:rPr>
              <w:t>PPP</w:t>
            </w:r>
            <w:r w:rsidRPr="00BB5286">
              <w:rPr>
                <w:rFonts w:eastAsia="Calibri" w:cs="Times New Roman"/>
                <w:noProof/>
                <w:sz w:val="22"/>
                <w:szCs w:val="20"/>
                <w:lang w:val="en-GB"/>
              </w:rPr>
              <w:t xml:space="preserve"> use statistics at country level, helpful </w:t>
            </w:r>
            <w:r w:rsidR="7E831CBF" w:rsidRPr="00BB5286">
              <w:rPr>
                <w:rFonts w:eastAsia="Calibri" w:cs="Times New Roman"/>
                <w:noProof/>
                <w:sz w:val="22"/>
                <w:szCs w:val="20"/>
                <w:lang w:val="en-GB"/>
              </w:rPr>
              <w:t xml:space="preserve">for </w:t>
            </w:r>
            <w:r w:rsidRPr="00BB5286">
              <w:rPr>
                <w:rFonts w:eastAsia="Calibri" w:cs="Times New Roman"/>
                <w:noProof/>
                <w:sz w:val="22"/>
                <w:szCs w:val="20"/>
                <w:lang w:val="en-GB"/>
              </w:rPr>
              <w:t>analys</w:t>
            </w:r>
            <w:r w:rsidR="7E831CBF" w:rsidRPr="00BB5286">
              <w:rPr>
                <w:rFonts w:eastAsia="Calibri" w:cs="Times New Roman"/>
                <w:noProof/>
                <w:sz w:val="22"/>
                <w:szCs w:val="20"/>
                <w:lang w:val="en-GB"/>
              </w:rPr>
              <w:t>ing</w:t>
            </w:r>
            <w:r w:rsidRPr="00BB5286">
              <w:rPr>
                <w:rFonts w:eastAsia="Calibri" w:cs="Times New Roman"/>
                <w:noProof/>
                <w:sz w:val="22"/>
                <w:szCs w:val="20"/>
                <w:lang w:val="en-GB"/>
              </w:rPr>
              <w:t xml:space="preserve"> trends in usage</w:t>
            </w:r>
            <w:r w:rsidR="7E831CBF" w:rsidRPr="00BB5286">
              <w:rPr>
                <w:rFonts w:eastAsia="Calibri" w:cs="Times New Roman"/>
                <w:noProof/>
                <w:sz w:val="22"/>
                <w:szCs w:val="20"/>
                <w:lang w:val="en-GB"/>
              </w:rPr>
              <w:t>, including</w:t>
            </w:r>
            <w:r w:rsidRPr="00BB5286">
              <w:rPr>
                <w:rFonts w:eastAsia="Calibri" w:cs="Times New Roman"/>
                <w:noProof/>
                <w:sz w:val="22"/>
                <w:szCs w:val="20"/>
                <w:lang w:val="en-GB"/>
              </w:rPr>
              <w:t xml:space="preserve"> </w:t>
            </w:r>
            <w:r w:rsidR="7E831CBF" w:rsidRPr="00BB5286">
              <w:rPr>
                <w:rFonts w:eastAsia="Calibri" w:cs="Times New Roman"/>
                <w:noProof/>
                <w:sz w:val="22"/>
                <w:szCs w:val="20"/>
                <w:lang w:val="en-GB"/>
              </w:rPr>
              <w:t>as regards the</w:t>
            </w:r>
            <w:r w:rsidRPr="00BB5286">
              <w:rPr>
                <w:rFonts w:eastAsia="Calibri" w:cs="Times New Roman"/>
                <w:noProof/>
                <w:sz w:val="22"/>
                <w:szCs w:val="20"/>
                <w:lang w:val="en-GB"/>
              </w:rPr>
              <w:t xml:space="preserve"> </w:t>
            </w:r>
            <w:r w:rsidR="7E831CBF" w:rsidRPr="00BB5286">
              <w:rPr>
                <w:rFonts w:eastAsia="Calibri" w:cs="Times New Roman"/>
                <w:noProof/>
                <w:sz w:val="22"/>
                <w:szCs w:val="20"/>
                <w:lang w:val="en-GB"/>
              </w:rPr>
              <w:t xml:space="preserve">targets </w:t>
            </w:r>
            <w:r w:rsidRPr="00BB5286">
              <w:rPr>
                <w:rFonts w:eastAsia="Calibri" w:cs="Times New Roman"/>
                <w:noProof/>
                <w:sz w:val="22"/>
                <w:szCs w:val="20"/>
                <w:lang w:val="en-GB"/>
              </w:rPr>
              <w:t xml:space="preserve">set </w:t>
            </w:r>
            <w:r w:rsidR="7E831CBF" w:rsidRPr="00BB5286">
              <w:rPr>
                <w:rFonts w:eastAsia="Calibri" w:cs="Times New Roman"/>
                <w:noProof/>
                <w:sz w:val="22"/>
                <w:szCs w:val="20"/>
                <w:lang w:val="en-GB"/>
              </w:rPr>
              <w:t xml:space="preserve">by </w:t>
            </w:r>
            <w:r w:rsidR="4A3BA178" w:rsidRPr="00BB5286">
              <w:rPr>
                <w:rFonts w:eastAsia="Calibri" w:cs="Times New Roman"/>
                <w:noProof/>
                <w:sz w:val="22"/>
                <w:szCs w:val="20"/>
                <w:lang w:val="en-GB"/>
              </w:rPr>
              <w:t xml:space="preserve">the </w:t>
            </w:r>
            <w:r w:rsidRPr="00BB5286">
              <w:rPr>
                <w:rFonts w:eastAsia="Calibri" w:cs="Times New Roman"/>
                <w:noProof/>
                <w:sz w:val="22"/>
                <w:szCs w:val="20"/>
                <w:lang w:val="en-GB"/>
              </w:rPr>
              <w:t>Farm to Fork</w:t>
            </w:r>
            <w:r w:rsidR="00F7240C" w:rsidRPr="00BB5286">
              <w:rPr>
                <w:rFonts w:eastAsia="Calibri" w:cs="Times New Roman"/>
                <w:noProof/>
                <w:sz w:val="22"/>
                <w:szCs w:val="20"/>
                <w:lang w:val="en-GB"/>
              </w:rPr>
              <w:t xml:space="preserve"> </w:t>
            </w:r>
            <w:r w:rsidR="186E10D6" w:rsidRPr="00BB5286">
              <w:rPr>
                <w:rFonts w:eastAsia="Calibri" w:cs="Times New Roman"/>
                <w:noProof/>
                <w:sz w:val="22"/>
                <w:szCs w:val="20"/>
                <w:lang w:val="en-GB"/>
              </w:rPr>
              <w:t>Strategy</w:t>
            </w:r>
            <w:r w:rsidRPr="00BB5286">
              <w:rPr>
                <w:rFonts w:eastAsia="Calibri" w:cs="Times New Roman"/>
                <w:noProof/>
                <w:sz w:val="22"/>
                <w:szCs w:val="20"/>
                <w:lang w:val="en-GB"/>
              </w:rPr>
              <w:t xml:space="preserve">, </w:t>
            </w:r>
            <w:r w:rsidR="7E831CBF" w:rsidRPr="00BB5286">
              <w:rPr>
                <w:rFonts w:eastAsia="Calibri" w:cs="Times New Roman"/>
                <w:noProof/>
                <w:sz w:val="22"/>
                <w:szCs w:val="20"/>
                <w:lang w:val="en-GB"/>
              </w:rPr>
              <w:t xml:space="preserve">the </w:t>
            </w:r>
            <w:r w:rsidRPr="00BB5286">
              <w:rPr>
                <w:rFonts w:eastAsia="Calibri" w:cs="Times New Roman"/>
                <w:noProof/>
                <w:sz w:val="22"/>
                <w:szCs w:val="20"/>
                <w:lang w:val="en-GB"/>
              </w:rPr>
              <w:t xml:space="preserve">FSDN </w:t>
            </w:r>
            <w:r w:rsidR="7E831CBF" w:rsidRPr="00BB5286">
              <w:rPr>
                <w:rFonts w:eastAsia="Calibri" w:cs="Times New Roman"/>
                <w:noProof/>
                <w:sz w:val="22"/>
                <w:szCs w:val="20"/>
                <w:lang w:val="en-GB"/>
              </w:rPr>
              <w:t xml:space="preserve">data on </w:t>
            </w:r>
            <w:r w:rsidR="246176A7" w:rsidRPr="00BB5286">
              <w:rPr>
                <w:rFonts w:eastAsia="Calibri" w:cs="Times New Roman"/>
                <w:noProof/>
                <w:sz w:val="22"/>
                <w:szCs w:val="20"/>
                <w:lang w:val="en-GB"/>
              </w:rPr>
              <w:t>PPP</w:t>
            </w:r>
            <w:r w:rsidRPr="00BB5286">
              <w:rPr>
                <w:rFonts w:eastAsia="Calibri" w:cs="Times New Roman"/>
                <w:noProof/>
                <w:sz w:val="22"/>
                <w:szCs w:val="20"/>
                <w:lang w:val="en-GB"/>
              </w:rPr>
              <w:t xml:space="preserve"> use will be collected </w:t>
            </w:r>
            <w:r w:rsidRPr="00BB5286">
              <w:rPr>
                <w:rFonts w:eastAsia="Calibri" w:cs="Times New Roman"/>
                <w:noProof/>
                <w:sz w:val="22"/>
                <w:szCs w:val="20"/>
                <w:lang w:val="en-GB"/>
              </w:rPr>
              <w:lastRenderedPageBreak/>
              <w:t>for a sample of farms to allow in</w:t>
            </w:r>
            <w:r w:rsidR="7E831CBF" w:rsidRPr="00BB5286">
              <w:rPr>
                <w:rFonts w:eastAsia="Calibri" w:cs="Times New Roman"/>
                <w:noProof/>
                <w:sz w:val="22"/>
                <w:szCs w:val="20"/>
                <w:lang w:val="en-GB"/>
              </w:rPr>
              <w:t>-</w:t>
            </w:r>
            <w:r w:rsidRPr="00BB5286">
              <w:rPr>
                <w:rFonts w:eastAsia="Calibri" w:cs="Times New Roman"/>
                <w:noProof/>
                <w:sz w:val="22"/>
                <w:szCs w:val="20"/>
                <w:lang w:val="en-GB"/>
              </w:rPr>
              <w:t xml:space="preserve">depth analysis of the farm-level interrelation between </w:t>
            </w:r>
            <w:r w:rsidR="28A30B59" w:rsidRPr="00BB5286">
              <w:rPr>
                <w:rFonts w:eastAsia="Calibri" w:cs="Times New Roman"/>
                <w:noProof/>
                <w:sz w:val="22"/>
                <w:szCs w:val="20"/>
                <w:lang w:val="en-GB"/>
              </w:rPr>
              <w:t>PPP</w:t>
            </w:r>
            <w:r w:rsidRPr="00BB5286">
              <w:rPr>
                <w:rFonts w:eastAsia="Calibri" w:cs="Times New Roman"/>
                <w:noProof/>
                <w:sz w:val="22"/>
                <w:szCs w:val="20"/>
                <w:lang w:val="en-GB"/>
              </w:rPr>
              <w:t xml:space="preserve"> use and other farm management decisions, and the impact of policy interventions on these decisions</w:t>
            </w:r>
            <w:r w:rsidR="7E831CBF" w:rsidRPr="00BB5286">
              <w:rPr>
                <w:rFonts w:eastAsia="Calibri" w:cs="Times New Roman"/>
                <w:noProof/>
                <w:sz w:val="22"/>
                <w:szCs w:val="20"/>
                <w:lang w:val="en-GB"/>
              </w:rPr>
              <w:t>,</w:t>
            </w:r>
            <w:r w:rsidRPr="00BB5286">
              <w:rPr>
                <w:rFonts w:eastAsia="Calibri" w:cs="Times New Roman"/>
                <w:noProof/>
                <w:sz w:val="22"/>
                <w:szCs w:val="20"/>
                <w:lang w:val="en-GB"/>
              </w:rPr>
              <w:t xml:space="preserve"> as well as the associated economic, social and environmental outcomes. </w:t>
            </w:r>
          </w:p>
          <w:p w14:paraId="7475DFA7" w14:textId="71AA0F7E" w:rsidR="00872C68" w:rsidRPr="00BB5286" w:rsidRDefault="7E831CBF">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I</w:t>
            </w:r>
            <w:r w:rsidR="6070CAD7" w:rsidRPr="00BB5286">
              <w:rPr>
                <w:rFonts w:eastAsia="Calibri" w:cs="Times New Roman"/>
                <w:noProof/>
                <w:sz w:val="22"/>
                <w:szCs w:val="20"/>
                <w:lang w:val="en-GB"/>
              </w:rPr>
              <w:t xml:space="preserve">n the absence of the obligation to set up electronic registers at Member State level, </w:t>
            </w:r>
            <w:r w:rsidRPr="00BB5286">
              <w:rPr>
                <w:rFonts w:eastAsia="Calibri" w:cs="Times New Roman"/>
                <w:noProof/>
                <w:sz w:val="22"/>
                <w:szCs w:val="20"/>
                <w:lang w:val="en-GB"/>
              </w:rPr>
              <w:t xml:space="preserve">the </w:t>
            </w:r>
            <w:r w:rsidR="6070CAD7" w:rsidRPr="00BB5286">
              <w:rPr>
                <w:rFonts w:eastAsia="Calibri" w:cs="Times New Roman"/>
                <w:noProof/>
                <w:sz w:val="22"/>
                <w:szCs w:val="20"/>
                <w:lang w:val="en-GB"/>
              </w:rPr>
              <w:t xml:space="preserve">SAIO provides for a lower coverage for </w:t>
            </w:r>
            <w:r w:rsidR="3F8A96F8" w:rsidRPr="00BB5286">
              <w:rPr>
                <w:rFonts w:eastAsia="Calibri" w:cs="Times New Roman"/>
                <w:noProof/>
                <w:sz w:val="22"/>
                <w:szCs w:val="20"/>
                <w:lang w:val="en-GB"/>
              </w:rPr>
              <w:t>PPP</w:t>
            </w:r>
            <w:r w:rsidR="6070CAD7" w:rsidRPr="00BB5286">
              <w:rPr>
                <w:rFonts w:eastAsia="Calibri" w:cs="Times New Roman"/>
                <w:noProof/>
                <w:sz w:val="22"/>
                <w:szCs w:val="20"/>
                <w:lang w:val="en-GB"/>
              </w:rPr>
              <w:t xml:space="preserve"> use statistics to be collected as of 2028 (85% of usage instead of 95%)</w:t>
            </w:r>
            <w:r w:rsidR="00E558D0">
              <w:rPr>
                <w:rFonts w:eastAsia="Calibri" w:cs="Times New Roman"/>
                <w:noProof/>
                <w:sz w:val="22"/>
                <w:szCs w:val="20"/>
                <w:lang w:val="en-GB"/>
              </w:rPr>
              <w:t>.</w:t>
            </w:r>
            <w:r w:rsidR="6070CAD7" w:rsidRPr="00BB5286">
              <w:rPr>
                <w:rFonts w:eastAsia="Calibri" w:cs="Times New Roman"/>
                <w:noProof/>
                <w:sz w:val="22"/>
                <w:szCs w:val="20"/>
                <w:lang w:val="en-GB"/>
              </w:rPr>
              <w:t xml:space="preserve"> </w:t>
            </w:r>
          </w:p>
          <w:p w14:paraId="6C986693" w14:textId="24214312" w:rsidR="007F58CB" w:rsidRPr="00BC3F56" w:rsidRDefault="007F58CB" w:rsidP="00BC3F56">
            <w:pPr>
              <w:spacing w:after="60" w:line="259" w:lineRule="auto"/>
              <w:jc w:val="both"/>
              <w:rPr>
                <w:noProof/>
                <w:color w:val="FF0000"/>
                <w:sz w:val="22"/>
                <w:lang w:val="en-GB"/>
              </w:rPr>
            </w:pPr>
            <w:r w:rsidRPr="00BC3F56">
              <w:rPr>
                <w:noProof/>
                <w:sz w:val="22"/>
                <w:lang w:val="en-GB"/>
              </w:rPr>
              <w:t>This burden reduction for the collectors should be carefully weighed against the necessity to collect the data from individual records, which however would considerably be alleviated by the compulsory electronic record-keeping of pesticides use as from 2026. Additionally, digitali</w:t>
            </w:r>
            <w:r w:rsidR="001D7F05" w:rsidRPr="00BC3F56">
              <w:rPr>
                <w:noProof/>
                <w:sz w:val="22"/>
                <w:lang w:val="en-GB"/>
              </w:rPr>
              <w:t>s</w:t>
            </w:r>
            <w:r w:rsidRPr="00BC3F56">
              <w:rPr>
                <w:noProof/>
                <w:sz w:val="22"/>
                <w:lang w:val="en-GB"/>
              </w:rPr>
              <w:t>ation can help meet the record-keeping requirements established for professional users since 2009.</w:t>
            </w:r>
          </w:p>
          <w:p w14:paraId="69120898" w14:textId="0345B4CC" w:rsidR="00872C68" w:rsidRPr="00BB5286" w:rsidRDefault="6070CAD7" w:rsidP="00BC3F56">
            <w:pPr>
              <w:spacing w:after="60" w:line="259" w:lineRule="auto"/>
              <w:jc w:val="both"/>
              <w:rPr>
                <w:rFonts w:eastAsia="Calibri" w:cs="Times New Roman"/>
                <w:noProof/>
                <w:sz w:val="22"/>
                <w:szCs w:val="20"/>
                <w:lang w:val="en-GB"/>
              </w:rPr>
            </w:pPr>
            <w:r w:rsidRPr="00BC3F56">
              <w:rPr>
                <w:rFonts w:eastAsia="Calibri" w:cs="Times New Roman"/>
                <w:noProof/>
                <w:sz w:val="22"/>
                <w:lang w:val="en-GB"/>
              </w:rPr>
              <w:t xml:space="preserve">Substantial financial support will be granted to Member States under </w:t>
            </w:r>
            <w:r w:rsidR="7E831CBF" w:rsidRPr="00BC3F56">
              <w:rPr>
                <w:rFonts w:eastAsia="Calibri" w:cs="Times New Roman"/>
                <w:noProof/>
                <w:sz w:val="22"/>
                <w:lang w:val="en-GB"/>
              </w:rPr>
              <w:t xml:space="preserve">the </w:t>
            </w:r>
            <w:r w:rsidRPr="00BC3F56">
              <w:rPr>
                <w:rFonts w:eastAsia="Calibri" w:cs="Times New Roman"/>
                <w:noProof/>
                <w:sz w:val="22"/>
                <w:lang w:val="en-GB"/>
              </w:rPr>
              <w:t xml:space="preserve">SAIO to </w:t>
            </w:r>
            <w:r w:rsidR="7E831CBF" w:rsidRPr="00BC3F56">
              <w:rPr>
                <w:rFonts w:eastAsia="Calibri" w:cs="Times New Roman"/>
                <w:noProof/>
                <w:sz w:val="22"/>
                <w:lang w:val="en-GB"/>
              </w:rPr>
              <w:t>help set up</w:t>
            </w:r>
            <w:r w:rsidRPr="00BC3F56">
              <w:rPr>
                <w:rFonts w:eastAsia="Calibri" w:cs="Times New Roman"/>
                <w:noProof/>
                <w:sz w:val="22"/>
                <w:lang w:val="en-GB"/>
              </w:rPr>
              <w:t xml:space="preserve"> the </w:t>
            </w:r>
            <w:r w:rsidR="7E831CBF" w:rsidRPr="00BC3F56">
              <w:rPr>
                <w:rFonts w:eastAsia="Calibri" w:cs="Times New Roman"/>
                <w:noProof/>
                <w:sz w:val="22"/>
                <w:lang w:val="en-GB"/>
              </w:rPr>
              <w:t xml:space="preserve">collection of statistics on </w:t>
            </w:r>
            <w:r w:rsidR="243AAF55" w:rsidRPr="00BC3F56">
              <w:rPr>
                <w:rFonts w:eastAsia="Calibri" w:cs="Times New Roman"/>
                <w:noProof/>
                <w:sz w:val="22"/>
                <w:lang w:val="en-GB"/>
              </w:rPr>
              <w:t xml:space="preserve">PPP </w:t>
            </w:r>
            <w:r w:rsidRPr="00BC3F56">
              <w:rPr>
                <w:rFonts w:eastAsia="Calibri" w:cs="Times New Roman"/>
                <w:noProof/>
                <w:sz w:val="22"/>
                <w:lang w:val="en-GB"/>
              </w:rPr>
              <w:t xml:space="preserve">use for the first reference year (2026). Similarly, under the FSDN, Member States will be able to benefit from support </w:t>
            </w:r>
            <w:r w:rsidR="7E831CBF" w:rsidRPr="00BC3F56">
              <w:rPr>
                <w:rFonts w:eastAsia="Calibri" w:cs="Times New Roman"/>
                <w:noProof/>
                <w:sz w:val="22"/>
                <w:lang w:val="en-GB"/>
              </w:rPr>
              <w:t>to set up and run</w:t>
            </w:r>
            <w:r w:rsidRPr="00BC3F56">
              <w:rPr>
                <w:rFonts w:eastAsia="Calibri" w:cs="Times New Roman"/>
                <w:noProof/>
                <w:sz w:val="22"/>
                <w:lang w:val="en-GB"/>
              </w:rPr>
              <w:t xml:space="preserve"> the data collection system, as well as a transition period for collecting these data.</w:t>
            </w:r>
          </w:p>
        </w:tc>
      </w:tr>
      <w:tr w:rsidR="00872C68" w:rsidRPr="00BB5286" w14:paraId="51E4ED90" w14:textId="77777777" w:rsidTr="00FD703D">
        <w:trPr>
          <w:trHeight w:val="454"/>
        </w:trPr>
        <w:tc>
          <w:tcPr>
            <w:tcW w:w="14395" w:type="dxa"/>
            <w:gridSpan w:val="4"/>
            <w:tcBorders>
              <w:bottom w:val="nil"/>
            </w:tcBorders>
            <w:shd w:val="clear" w:color="auto" w:fill="003399"/>
            <w:vAlign w:val="center"/>
          </w:tcPr>
          <w:p w14:paraId="535729A1" w14:textId="2A9C0C8C" w:rsidR="00872C68" w:rsidRPr="00BB5286" w:rsidRDefault="00872C68" w:rsidP="0052537B">
            <w:pPr>
              <w:spacing w:after="60" w:line="259" w:lineRule="auto"/>
              <w:jc w:val="center"/>
              <w:rPr>
                <w:rFonts w:eastAsia="Calibri" w:cs="Times New Roman"/>
                <w:b/>
                <w:bCs/>
                <w:noProof/>
                <w:color w:val="FFFFFF"/>
                <w:sz w:val="22"/>
                <w:lang w:val="en-GB"/>
              </w:rPr>
            </w:pPr>
            <w:r w:rsidRPr="00BB5286">
              <w:rPr>
                <w:rFonts w:eastAsia="Calibri" w:cs="Times New Roman"/>
                <w:noProof/>
                <w:color w:val="FFFFFF"/>
                <w:sz w:val="22"/>
                <w:lang w:val="en-GB"/>
              </w:rPr>
              <w:lastRenderedPageBreak/>
              <w:br w:type="page"/>
            </w:r>
            <w:r w:rsidR="00F7240C" w:rsidRPr="00BB5286">
              <w:rPr>
                <w:rFonts w:eastAsia="Calibri" w:cs="Times New Roman"/>
                <w:b/>
                <w:bCs/>
                <w:noProof/>
                <w:color w:val="FFFFFF"/>
                <w:sz w:val="22"/>
                <w:lang w:val="en-GB"/>
              </w:rPr>
              <w:t>The</w:t>
            </w:r>
            <w:r w:rsidR="00F7240C" w:rsidRPr="00BB5286">
              <w:rPr>
                <w:rFonts w:eastAsia="Calibri" w:cs="Times New Roman"/>
                <w:noProof/>
                <w:color w:val="FFFFFF"/>
                <w:sz w:val="22"/>
                <w:lang w:val="en-GB"/>
              </w:rPr>
              <w:t xml:space="preserve"> </w:t>
            </w:r>
            <w:r w:rsidR="00F7240C" w:rsidRPr="00BB5286">
              <w:rPr>
                <w:rFonts w:eastAsia="Calibri" w:cs="Times New Roman"/>
                <w:b/>
                <w:bCs/>
                <w:noProof/>
                <w:color w:val="FFFFFF"/>
                <w:sz w:val="22"/>
                <w:lang w:val="en-GB"/>
              </w:rPr>
              <w:t>S</w:t>
            </w:r>
            <w:r w:rsidRPr="00BB5286">
              <w:rPr>
                <w:rFonts w:eastAsia="Calibri" w:cs="Times New Roman"/>
                <w:b/>
                <w:bCs/>
                <w:noProof/>
                <w:color w:val="FFFFFF"/>
                <w:sz w:val="22"/>
                <w:lang w:val="en-GB"/>
              </w:rPr>
              <w:t>chool scheme</w:t>
            </w:r>
          </w:p>
        </w:tc>
      </w:tr>
      <w:tr w:rsidR="00872C68" w:rsidRPr="00BB5286" w14:paraId="1D3E0DFF" w14:textId="77777777" w:rsidTr="00FD703D">
        <w:trPr>
          <w:trHeight w:val="296"/>
        </w:trPr>
        <w:tc>
          <w:tcPr>
            <w:tcW w:w="706" w:type="dxa"/>
            <w:tcBorders>
              <w:top w:val="nil"/>
              <w:bottom w:val="single" w:sz="4" w:space="0" w:color="000000" w:themeColor="text1"/>
            </w:tcBorders>
            <w:shd w:val="clear" w:color="auto" w:fill="auto"/>
            <w:vAlign w:val="center"/>
          </w:tcPr>
          <w:p w14:paraId="567A929D" w14:textId="2485FB4C" w:rsidR="00872C68" w:rsidRPr="00BB5286" w:rsidRDefault="00872C68" w:rsidP="001061AF">
            <w:pPr>
              <w:spacing w:after="60" w:line="259" w:lineRule="auto"/>
              <w:jc w:val="both"/>
              <w:rPr>
                <w:rFonts w:eastAsia="Calibri" w:cs="Times New Roman"/>
                <w:b/>
                <w:noProof/>
                <w:sz w:val="22"/>
                <w:lang w:val="en-GB"/>
              </w:rPr>
            </w:pPr>
            <w:r w:rsidRPr="00BB5286">
              <w:rPr>
                <w:rFonts w:eastAsia="Calibri" w:cs="Times New Roman"/>
                <w:b/>
                <w:bCs/>
                <w:noProof/>
                <w:sz w:val="22"/>
                <w:lang w:val="en-GB"/>
              </w:rPr>
              <w:t>25</w:t>
            </w:r>
            <w:r w:rsidR="00E558D0">
              <w:rPr>
                <w:rFonts w:eastAsia="Calibri" w:cs="Times New Roman"/>
                <w:b/>
                <w:bCs/>
                <w:noProof/>
                <w:sz w:val="22"/>
                <w:lang w:val="en-GB"/>
              </w:rPr>
              <w:t>6</w:t>
            </w:r>
          </w:p>
        </w:tc>
        <w:tc>
          <w:tcPr>
            <w:tcW w:w="5859" w:type="dxa"/>
            <w:tcBorders>
              <w:top w:val="nil"/>
              <w:bottom w:val="single" w:sz="4" w:space="0" w:color="000000" w:themeColor="text1"/>
            </w:tcBorders>
            <w:shd w:val="clear" w:color="auto" w:fill="auto"/>
            <w:vAlign w:val="center"/>
          </w:tcPr>
          <w:p w14:paraId="3757810E" w14:textId="0F429CEC" w:rsidR="00872C68" w:rsidRPr="00BB5286" w:rsidRDefault="00872C68" w:rsidP="001061AF">
            <w:pPr>
              <w:spacing w:after="60" w:line="259" w:lineRule="auto"/>
              <w:jc w:val="both"/>
              <w:rPr>
                <w:rFonts w:eastAsia="Calibri" w:cs="Times New Roman"/>
                <w:noProof/>
                <w:sz w:val="22"/>
                <w:lang w:val="en-GB"/>
              </w:rPr>
            </w:pPr>
            <w:r w:rsidRPr="00BB5286">
              <w:rPr>
                <w:rFonts w:eastAsia="Calibri" w:cs="Times New Roman"/>
                <w:noProof/>
                <w:sz w:val="22"/>
                <w:lang w:val="en-GB"/>
              </w:rPr>
              <w:t xml:space="preserve">Remove </w:t>
            </w:r>
            <w:r w:rsidR="00EB2999" w:rsidRPr="00BB5286">
              <w:rPr>
                <w:rFonts w:eastAsia="Calibri" w:cs="Times New Roman"/>
                <w:noProof/>
                <w:sz w:val="22"/>
                <w:lang w:val="en-GB"/>
              </w:rPr>
              <w:t xml:space="preserve">the </w:t>
            </w:r>
            <w:r w:rsidRPr="00BB5286">
              <w:rPr>
                <w:rFonts w:eastAsia="Calibri" w:cs="Times New Roman"/>
                <w:noProof/>
                <w:sz w:val="22"/>
                <w:lang w:val="en-GB"/>
              </w:rPr>
              <w:t>obligation to approve applicants prior to participation</w:t>
            </w:r>
            <w:r w:rsidR="00967CF8" w:rsidRPr="00BB5286">
              <w:rPr>
                <w:rFonts w:eastAsia="Calibri" w:cs="Times New Roman"/>
                <w:noProof/>
                <w:sz w:val="22"/>
                <w:lang w:val="en-GB"/>
              </w:rPr>
              <w:t>.</w:t>
            </w:r>
          </w:p>
        </w:tc>
        <w:tc>
          <w:tcPr>
            <w:tcW w:w="1530" w:type="dxa"/>
            <w:tcBorders>
              <w:top w:val="nil"/>
              <w:bottom w:val="single" w:sz="4" w:space="0" w:color="000000" w:themeColor="text1"/>
            </w:tcBorders>
            <w:shd w:val="clear" w:color="auto" w:fill="auto"/>
            <w:vAlign w:val="center"/>
          </w:tcPr>
          <w:p w14:paraId="32FEBEC4" w14:textId="77777777" w:rsidR="00872C68" w:rsidRPr="00BB5286" w:rsidRDefault="00872C68" w:rsidP="001061AF">
            <w:pPr>
              <w:spacing w:after="60" w:line="259" w:lineRule="auto"/>
              <w:jc w:val="center"/>
              <w:rPr>
                <w:rFonts w:eastAsia="Calibri" w:cs="Times New Roman"/>
                <w:b/>
                <w:noProof/>
                <w:sz w:val="22"/>
                <w:lang w:val="en-GB"/>
              </w:rPr>
            </w:pPr>
            <w:r w:rsidRPr="00BB5286">
              <w:rPr>
                <w:rFonts w:eastAsia="MS Gothic" w:cs="Times New Roman"/>
                <w:b/>
                <w:noProof/>
                <w:color w:val="0033CC"/>
                <w:sz w:val="22"/>
                <w:lang w:val="en-GB"/>
              </w:rPr>
              <w:t>LV</w:t>
            </w:r>
          </w:p>
        </w:tc>
        <w:tc>
          <w:tcPr>
            <w:tcW w:w="6300" w:type="dxa"/>
            <w:tcBorders>
              <w:top w:val="nil"/>
              <w:bottom w:val="single" w:sz="4" w:space="0" w:color="000000" w:themeColor="text1"/>
            </w:tcBorders>
            <w:shd w:val="clear" w:color="auto" w:fill="auto"/>
            <w:vAlign w:val="center"/>
          </w:tcPr>
          <w:p w14:paraId="71E94662" w14:textId="060C6D32" w:rsidR="00872C68" w:rsidRPr="00BB5286" w:rsidRDefault="00401610" w:rsidP="32AB66DC">
            <w:pPr>
              <w:spacing w:after="60" w:line="259" w:lineRule="auto"/>
              <w:jc w:val="both"/>
              <w:rPr>
                <w:rFonts w:eastAsia="Calibri" w:cs="Times New Roman"/>
                <w:noProof/>
                <w:sz w:val="22"/>
                <w:szCs w:val="20"/>
                <w:lang w:val="en-GB"/>
              </w:rPr>
            </w:pPr>
            <w:r w:rsidRPr="00401610">
              <w:rPr>
                <w:rFonts w:eastAsia="Calibri" w:cs="Times New Roman"/>
                <w:noProof/>
                <w:sz w:val="22"/>
                <w:szCs w:val="20"/>
                <w:lang w:val="en-GB"/>
              </w:rPr>
              <w:t>The Commission considered an amendment of Delegated Regulation (EU) 2017/40 to remove the obligation for Member States to approve aid applicants (business operators participating in the School scheme) prior to their participation in the scheme and discussed it with Member States on 23 May and on 20 June 2024 (Expert Group for Agricultural Markets). Based on Member States’ feedback it was.</w:t>
            </w:r>
          </w:p>
        </w:tc>
      </w:tr>
      <w:tr w:rsidR="00740CA5" w:rsidRPr="00BB5286" w14:paraId="47D94BC3" w14:textId="77777777" w:rsidTr="00740CA5">
        <w:trPr>
          <w:trHeight w:val="296"/>
        </w:trPr>
        <w:tc>
          <w:tcPr>
            <w:tcW w:w="706" w:type="dxa"/>
            <w:tcBorders>
              <w:top w:val="single" w:sz="4" w:space="0" w:color="auto"/>
              <w:bottom w:val="single" w:sz="4" w:space="0" w:color="000000" w:themeColor="text1"/>
            </w:tcBorders>
            <w:shd w:val="clear" w:color="auto" w:fill="auto"/>
            <w:vAlign w:val="center"/>
          </w:tcPr>
          <w:p w14:paraId="66017587" w14:textId="77777777" w:rsidR="00740CA5" w:rsidRPr="00BB5286" w:rsidRDefault="00740CA5" w:rsidP="001061AF">
            <w:pPr>
              <w:spacing w:after="60"/>
              <w:jc w:val="both"/>
              <w:rPr>
                <w:rFonts w:eastAsia="Calibri" w:cs="Times New Roman"/>
                <w:b/>
                <w:bCs/>
                <w:noProof/>
                <w:sz w:val="22"/>
                <w:lang w:val="en-GB"/>
              </w:rPr>
            </w:pPr>
          </w:p>
        </w:tc>
        <w:tc>
          <w:tcPr>
            <w:tcW w:w="5859" w:type="dxa"/>
            <w:tcBorders>
              <w:top w:val="single" w:sz="4" w:space="0" w:color="auto"/>
              <w:bottom w:val="single" w:sz="4" w:space="0" w:color="000000" w:themeColor="text1"/>
            </w:tcBorders>
            <w:shd w:val="clear" w:color="auto" w:fill="auto"/>
            <w:vAlign w:val="center"/>
          </w:tcPr>
          <w:p w14:paraId="6106BA5F" w14:textId="77777777" w:rsidR="00740CA5" w:rsidRPr="00BB5286" w:rsidRDefault="00740CA5" w:rsidP="001061AF">
            <w:pPr>
              <w:spacing w:after="60"/>
              <w:jc w:val="both"/>
              <w:rPr>
                <w:rFonts w:eastAsia="Calibri" w:cs="Times New Roman"/>
                <w:noProof/>
                <w:sz w:val="22"/>
                <w:lang w:val="en-GB"/>
              </w:rPr>
            </w:pPr>
          </w:p>
        </w:tc>
        <w:tc>
          <w:tcPr>
            <w:tcW w:w="1530" w:type="dxa"/>
            <w:tcBorders>
              <w:top w:val="single" w:sz="4" w:space="0" w:color="auto"/>
              <w:bottom w:val="single" w:sz="4" w:space="0" w:color="000000" w:themeColor="text1"/>
            </w:tcBorders>
            <w:shd w:val="clear" w:color="auto" w:fill="auto"/>
            <w:vAlign w:val="center"/>
          </w:tcPr>
          <w:p w14:paraId="5A28B1CA" w14:textId="77777777" w:rsidR="00740CA5" w:rsidRPr="00BB5286" w:rsidRDefault="00740CA5" w:rsidP="001061AF">
            <w:pPr>
              <w:spacing w:after="60"/>
              <w:jc w:val="center"/>
              <w:rPr>
                <w:rFonts w:eastAsia="MS Gothic" w:cs="Times New Roman"/>
                <w:b/>
                <w:noProof/>
                <w:color w:val="0033CC"/>
                <w:sz w:val="22"/>
                <w:lang w:val="en-GB"/>
              </w:rPr>
            </w:pPr>
          </w:p>
        </w:tc>
        <w:tc>
          <w:tcPr>
            <w:tcW w:w="6300" w:type="dxa"/>
            <w:tcBorders>
              <w:top w:val="single" w:sz="4" w:space="0" w:color="auto"/>
              <w:bottom w:val="single" w:sz="4" w:space="0" w:color="000000" w:themeColor="text1"/>
            </w:tcBorders>
            <w:shd w:val="clear" w:color="auto" w:fill="auto"/>
            <w:vAlign w:val="center"/>
          </w:tcPr>
          <w:p w14:paraId="66398612" w14:textId="25C5D6A1" w:rsidR="00740CA5" w:rsidRPr="00401610" w:rsidRDefault="00740CA5" w:rsidP="32AB66DC">
            <w:pPr>
              <w:spacing w:after="60"/>
              <w:jc w:val="both"/>
              <w:rPr>
                <w:rFonts w:eastAsia="Calibri" w:cs="Times New Roman"/>
                <w:noProof/>
                <w:sz w:val="22"/>
                <w:szCs w:val="20"/>
                <w:lang w:val="en-GB"/>
              </w:rPr>
            </w:pPr>
            <w:r w:rsidRPr="00401610">
              <w:rPr>
                <w:rFonts w:eastAsia="Calibri" w:cs="Times New Roman"/>
                <w:noProof/>
                <w:sz w:val="22"/>
                <w:szCs w:val="20"/>
                <w:lang w:val="en-GB"/>
              </w:rPr>
              <w:t>concluded this change would not simplify the application approval process</w:t>
            </w:r>
          </w:p>
        </w:tc>
      </w:tr>
      <w:tr w:rsidR="00020097" w:rsidRPr="00BB5286" w14:paraId="783CC2C2" w14:textId="77777777" w:rsidTr="48005626">
        <w:trPr>
          <w:trHeight w:val="499"/>
        </w:trPr>
        <w:tc>
          <w:tcPr>
            <w:tcW w:w="14395" w:type="dxa"/>
            <w:gridSpan w:val="4"/>
            <w:tcBorders>
              <w:top w:val="single" w:sz="4" w:space="0" w:color="auto"/>
              <w:bottom w:val="nil"/>
            </w:tcBorders>
            <w:shd w:val="clear" w:color="auto" w:fill="003399"/>
            <w:vAlign w:val="center"/>
          </w:tcPr>
          <w:p w14:paraId="7090A5FD" w14:textId="77777777" w:rsidR="00020097" w:rsidRPr="00BB5286" w:rsidRDefault="00020097" w:rsidP="00020097">
            <w:pPr>
              <w:spacing w:after="60" w:line="259" w:lineRule="auto"/>
              <w:jc w:val="center"/>
              <w:rPr>
                <w:rFonts w:eastAsia="Calibri" w:cs="Times New Roman"/>
                <w:b/>
                <w:bCs/>
                <w:noProof/>
                <w:color w:val="FFFFFF"/>
                <w:sz w:val="22"/>
                <w:lang w:val="en-GB"/>
              </w:rPr>
            </w:pPr>
            <w:r w:rsidRPr="00BB5286">
              <w:rPr>
                <w:rFonts w:eastAsia="Calibri" w:cs="Times New Roman"/>
                <w:b/>
                <w:bCs/>
                <w:noProof/>
                <w:color w:val="FFFFFF"/>
                <w:sz w:val="22"/>
                <w:lang w:val="en-GB"/>
              </w:rPr>
              <w:t>Promotion programme</w:t>
            </w:r>
          </w:p>
        </w:tc>
      </w:tr>
      <w:tr w:rsidR="00020097" w:rsidRPr="00BB5286" w14:paraId="500D2933" w14:textId="77777777" w:rsidTr="48005626">
        <w:trPr>
          <w:trHeight w:val="2870"/>
        </w:trPr>
        <w:tc>
          <w:tcPr>
            <w:tcW w:w="706" w:type="dxa"/>
            <w:tcBorders>
              <w:top w:val="nil"/>
              <w:bottom w:val="single" w:sz="4" w:space="0" w:color="auto"/>
            </w:tcBorders>
            <w:vAlign w:val="center"/>
          </w:tcPr>
          <w:p w14:paraId="4E088363" w14:textId="64D2339C" w:rsidR="00020097" w:rsidRPr="00BB5286" w:rsidRDefault="00020097" w:rsidP="00020097">
            <w:pPr>
              <w:spacing w:after="60" w:line="259" w:lineRule="auto"/>
              <w:jc w:val="both"/>
              <w:rPr>
                <w:rFonts w:eastAsia="Calibri" w:cs="Times New Roman"/>
                <w:b/>
                <w:noProof/>
                <w:sz w:val="22"/>
                <w:lang w:val="en-GB"/>
              </w:rPr>
            </w:pPr>
            <w:r w:rsidRPr="00BB5286">
              <w:rPr>
                <w:rFonts w:eastAsia="Calibri" w:cs="Times New Roman"/>
                <w:b/>
                <w:bCs/>
                <w:noProof/>
                <w:sz w:val="22"/>
                <w:lang w:val="en-GB"/>
              </w:rPr>
              <w:t>25</w:t>
            </w:r>
            <w:r w:rsidR="00E558D0">
              <w:rPr>
                <w:rFonts w:eastAsia="Calibri" w:cs="Times New Roman"/>
                <w:b/>
                <w:bCs/>
                <w:noProof/>
                <w:sz w:val="22"/>
                <w:lang w:val="en-GB"/>
              </w:rPr>
              <w:t>7</w:t>
            </w:r>
          </w:p>
        </w:tc>
        <w:tc>
          <w:tcPr>
            <w:tcW w:w="5859" w:type="dxa"/>
            <w:tcBorders>
              <w:top w:val="nil"/>
              <w:bottom w:val="single" w:sz="4" w:space="0" w:color="auto"/>
            </w:tcBorders>
            <w:vAlign w:val="center"/>
          </w:tcPr>
          <w:p w14:paraId="37A550FF" w14:textId="254AD0B5" w:rsidR="00020097" w:rsidRPr="00BB5286" w:rsidRDefault="3DB29667" w:rsidP="32AB66DC">
            <w:pPr>
              <w:spacing w:after="60" w:line="259" w:lineRule="auto"/>
              <w:jc w:val="both"/>
              <w:rPr>
                <w:rFonts w:eastAsia="Calibri" w:cs="Times New Roman"/>
                <w:noProof/>
                <w:sz w:val="22"/>
                <w:szCs w:val="20"/>
                <w:lang w:val="en-GB"/>
              </w:rPr>
            </w:pPr>
            <w:r w:rsidRPr="00BB5286">
              <w:rPr>
                <w:rFonts w:eastAsia="Calibri" w:cs="Times New Roman"/>
                <w:noProof/>
                <w:sz w:val="22"/>
                <w:szCs w:val="20"/>
                <w:lang w:val="en-GB"/>
              </w:rPr>
              <w:t>Simplification of management procedures (</w:t>
            </w:r>
            <w:r w:rsidR="7135E5A5" w:rsidRPr="00BB5286">
              <w:rPr>
                <w:rFonts w:eastAsia="Calibri" w:cs="Times New Roman"/>
                <w:noProof/>
                <w:sz w:val="22"/>
                <w:szCs w:val="20"/>
                <w:lang w:val="en-GB"/>
              </w:rPr>
              <w:t>ch</w:t>
            </w:r>
            <w:r w:rsidR="5A5B0401" w:rsidRPr="00BB5286">
              <w:rPr>
                <w:rFonts w:eastAsia="Calibri" w:cs="Times New Roman"/>
                <w:noProof/>
                <w:sz w:val="22"/>
                <w:szCs w:val="20"/>
                <w:lang w:val="en-GB"/>
              </w:rPr>
              <w:t>e</w:t>
            </w:r>
            <w:r w:rsidR="7135E5A5" w:rsidRPr="00BB5286">
              <w:rPr>
                <w:rFonts w:eastAsia="Calibri" w:cs="Times New Roman"/>
                <w:noProof/>
                <w:sz w:val="22"/>
                <w:szCs w:val="20"/>
                <w:lang w:val="en-GB"/>
              </w:rPr>
              <w:t>cks</w:t>
            </w:r>
            <w:r w:rsidRPr="00BB5286">
              <w:rPr>
                <w:rFonts w:eastAsia="Calibri" w:cs="Times New Roman"/>
                <w:noProof/>
                <w:sz w:val="22"/>
                <w:szCs w:val="20"/>
                <w:lang w:val="en-GB"/>
              </w:rPr>
              <w:t>, interim payments, sanctions)</w:t>
            </w:r>
            <w:r w:rsidR="3FC57A47" w:rsidRPr="00BB5286">
              <w:rPr>
                <w:rFonts w:eastAsia="Calibri" w:cs="Times New Roman"/>
                <w:noProof/>
                <w:sz w:val="22"/>
                <w:szCs w:val="20"/>
                <w:lang w:val="en-GB"/>
              </w:rPr>
              <w:t>.</w:t>
            </w:r>
          </w:p>
        </w:tc>
        <w:tc>
          <w:tcPr>
            <w:tcW w:w="1530" w:type="dxa"/>
            <w:tcBorders>
              <w:top w:val="nil"/>
              <w:bottom w:val="single" w:sz="4" w:space="0" w:color="auto"/>
            </w:tcBorders>
            <w:shd w:val="clear" w:color="auto" w:fill="auto"/>
            <w:vAlign w:val="center"/>
          </w:tcPr>
          <w:p w14:paraId="5C210CEB" w14:textId="77777777" w:rsidR="00020097" w:rsidRPr="00BB5286" w:rsidRDefault="00020097" w:rsidP="00020097">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ES, LV</w:t>
            </w:r>
          </w:p>
        </w:tc>
        <w:tc>
          <w:tcPr>
            <w:tcW w:w="6300" w:type="dxa"/>
            <w:tcBorders>
              <w:top w:val="nil"/>
              <w:bottom w:val="single" w:sz="4" w:space="0" w:color="auto"/>
            </w:tcBorders>
            <w:vAlign w:val="center"/>
          </w:tcPr>
          <w:p w14:paraId="7AF97BBE" w14:textId="28D51AC8" w:rsidR="009327C5" w:rsidRPr="00BB5286" w:rsidRDefault="658255ED" w:rsidP="00D35E3A">
            <w:pPr>
              <w:spacing w:after="60" w:line="259" w:lineRule="auto"/>
              <w:jc w:val="both"/>
              <w:rPr>
                <w:rFonts w:eastAsia="Calibri" w:cs="Times New Roman"/>
                <w:noProof/>
                <w:sz w:val="22"/>
                <w:lang w:val="en-GB"/>
              </w:rPr>
            </w:pPr>
            <w:r w:rsidRPr="00BB5286">
              <w:rPr>
                <w:rFonts w:eastAsia="Calibri" w:cs="Times New Roman"/>
                <w:noProof/>
                <w:color w:val="000000"/>
                <w:sz w:val="22"/>
                <w:shd w:val="clear" w:color="auto" w:fill="FFFFFF"/>
                <w:lang w:val="en-GB"/>
              </w:rPr>
              <w:t xml:space="preserve">The </w:t>
            </w:r>
            <w:r w:rsidRPr="00BB5286">
              <w:rPr>
                <w:rFonts w:eastAsia="Calibri" w:cs="Times New Roman"/>
                <w:noProof/>
                <w:sz w:val="22"/>
                <w:lang w:val="en-GB"/>
              </w:rPr>
              <w:t>suggestion</w:t>
            </w:r>
            <w:r w:rsidRPr="00BB5286">
              <w:rPr>
                <w:rFonts w:eastAsia="Calibri" w:cs="Times New Roman"/>
                <w:noProof/>
                <w:color w:val="000000"/>
                <w:sz w:val="22"/>
                <w:shd w:val="clear" w:color="auto" w:fill="FFFFFF"/>
                <w:lang w:val="en-GB"/>
              </w:rPr>
              <w:t xml:space="preserve"> was addressed. </w:t>
            </w:r>
            <w:r w:rsidRPr="58ACE821">
              <w:rPr>
                <w:rFonts w:eastAsia="Calibri" w:cs="Times New Roman"/>
                <w:noProof/>
                <w:color w:val="000000"/>
                <w:sz w:val="22"/>
                <w:shd w:val="clear" w:color="auto" w:fill="FFFFFF"/>
                <w:lang w:val="en-GB"/>
              </w:rPr>
              <w:t xml:space="preserve">The Commission is preparing </w:t>
            </w:r>
            <w:r w:rsidR="293401BF" w:rsidRPr="58ACE821">
              <w:rPr>
                <w:rFonts w:eastAsia="Calibri" w:cs="Times New Roman"/>
                <w:noProof/>
                <w:color w:val="000000" w:themeColor="text1"/>
                <w:sz w:val="22"/>
                <w:lang w:val="en-GB"/>
              </w:rPr>
              <w:t xml:space="preserve">targeted </w:t>
            </w:r>
            <w:r w:rsidRPr="58ACE821">
              <w:rPr>
                <w:rFonts w:eastAsia="Calibri" w:cs="Times New Roman"/>
                <w:noProof/>
                <w:color w:val="000000"/>
                <w:sz w:val="22"/>
                <w:shd w:val="clear" w:color="auto" w:fill="FFFFFF"/>
                <w:lang w:val="en-GB"/>
              </w:rPr>
              <w:t>amendments to</w:t>
            </w:r>
            <w:r w:rsidR="00171E55" w:rsidRPr="58ACE821">
              <w:rPr>
                <w:rFonts w:eastAsia="Calibri" w:cs="Times New Roman"/>
                <w:noProof/>
                <w:color w:val="000000"/>
                <w:sz w:val="22"/>
                <w:shd w:val="clear" w:color="auto" w:fill="FFFFFF"/>
                <w:lang w:val="en-GB"/>
              </w:rPr>
              <w:t xml:space="preserve"> Commission</w:t>
            </w:r>
            <w:r w:rsidRPr="58ACE821">
              <w:rPr>
                <w:rFonts w:eastAsia="Calibri" w:cs="Times New Roman"/>
                <w:noProof/>
                <w:color w:val="000000"/>
                <w:sz w:val="22"/>
                <w:shd w:val="clear" w:color="auto" w:fill="FFFFFF"/>
                <w:lang w:val="en-GB"/>
              </w:rPr>
              <w:t xml:space="preserve"> </w:t>
            </w:r>
            <w:r w:rsidRPr="58ACE821">
              <w:rPr>
                <w:rFonts w:eastAsia="Calibri" w:cs="Times New Roman"/>
                <w:noProof/>
                <w:color w:val="000000"/>
                <w:sz w:val="22"/>
                <w:lang w:val="en-GB"/>
              </w:rPr>
              <w:t>Implementing Regulation (EU) 2015/1831.</w:t>
            </w:r>
            <w:r w:rsidRPr="00BB5286">
              <w:rPr>
                <w:rFonts w:eastAsia="Calibri" w:cs="Times New Roman"/>
                <w:noProof/>
                <w:color w:val="000000"/>
                <w:sz w:val="22"/>
                <w:lang w:val="en-GB"/>
              </w:rPr>
              <w:t xml:space="preserve"> Among other</w:t>
            </w:r>
            <w:r w:rsidR="368A4853" w:rsidRPr="00BB5286">
              <w:rPr>
                <w:rFonts w:eastAsia="Calibri" w:cs="Times New Roman"/>
                <w:noProof/>
                <w:color w:val="000000" w:themeColor="text1"/>
                <w:sz w:val="22"/>
                <w:lang w:val="en-GB"/>
              </w:rPr>
              <w:t xml:space="preserve"> changes</w:t>
            </w:r>
            <w:r w:rsidRPr="00BB5286">
              <w:rPr>
                <w:rFonts w:eastAsia="Calibri" w:cs="Times New Roman"/>
                <w:noProof/>
                <w:color w:val="000000"/>
                <w:sz w:val="22"/>
                <w:lang w:val="en-GB"/>
              </w:rPr>
              <w:t xml:space="preserve">, </w:t>
            </w:r>
            <w:r w:rsidRPr="58ACE821">
              <w:rPr>
                <w:rFonts w:eastAsia="Calibri" w:cs="Times New Roman"/>
                <w:noProof/>
                <w:color w:val="000000"/>
                <w:sz w:val="22"/>
                <w:lang w:val="en-GB"/>
              </w:rPr>
              <w:t>reporting obligations could be reduced from three to two times per (3</w:t>
            </w:r>
            <w:r w:rsidR="368A4853" w:rsidRPr="58ACE821">
              <w:rPr>
                <w:rFonts w:eastAsia="Calibri" w:cs="Times New Roman"/>
                <w:noProof/>
                <w:color w:val="000000" w:themeColor="text1"/>
                <w:sz w:val="22"/>
                <w:lang w:val="en-GB"/>
              </w:rPr>
              <w:t>-</w:t>
            </w:r>
            <w:r w:rsidRPr="58ACE821">
              <w:rPr>
                <w:rFonts w:eastAsia="Calibri" w:cs="Times New Roman"/>
                <w:noProof/>
                <w:color w:val="000000"/>
                <w:sz w:val="22"/>
                <w:lang w:val="en-GB"/>
              </w:rPr>
              <w:t>year) program</w:t>
            </w:r>
            <w:r w:rsidR="368A4853" w:rsidRPr="58ACE821">
              <w:rPr>
                <w:rFonts w:eastAsia="Calibri" w:cs="Times New Roman"/>
                <w:noProof/>
                <w:color w:val="000000" w:themeColor="text1"/>
                <w:sz w:val="22"/>
                <w:lang w:val="en-GB"/>
              </w:rPr>
              <w:t>me</w:t>
            </w:r>
            <w:r w:rsidRPr="58ACE821">
              <w:rPr>
                <w:rFonts w:eastAsia="Calibri" w:cs="Times New Roman"/>
                <w:noProof/>
                <w:color w:val="000000"/>
                <w:sz w:val="22"/>
                <w:lang w:val="en-GB"/>
              </w:rPr>
              <w:t xml:space="preserve"> for both business</w:t>
            </w:r>
            <w:r w:rsidR="368A4853" w:rsidRPr="58ACE821">
              <w:rPr>
                <w:rFonts w:eastAsia="Calibri" w:cs="Times New Roman"/>
                <w:noProof/>
                <w:color w:val="000000" w:themeColor="text1"/>
                <w:sz w:val="22"/>
                <w:lang w:val="en-GB"/>
              </w:rPr>
              <w:t>-</w:t>
            </w:r>
            <w:r w:rsidRPr="58ACE821">
              <w:rPr>
                <w:rFonts w:eastAsia="Calibri" w:cs="Times New Roman"/>
                <w:noProof/>
                <w:color w:val="000000"/>
                <w:sz w:val="22"/>
                <w:lang w:val="en-GB"/>
              </w:rPr>
              <w:t>to</w:t>
            </w:r>
            <w:r w:rsidR="368A4853" w:rsidRPr="58ACE821">
              <w:rPr>
                <w:rFonts w:eastAsia="Calibri" w:cs="Times New Roman"/>
                <w:noProof/>
                <w:color w:val="000000" w:themeColor="text1"/>
                <w:sz w:val="22"/>
                <w:lang w:val="en-GB"/>
              </w:rPr>
              <w:t>-</w:t>
            </w:r>
            <w:r w:rsidRPr="58ACE821">
              <w:rPr>
                <w:rFonts w:eastAsia="Calibri" w:cs="Times New Roman"/>
                <w:noProof/>
                <w:color w:val="000000"/>
                <w:sz w:val="22"/>
                <w:lang w:val="en-GB"/>
              </w:rPr>
              <w:t>authority and authority</w:t>
            </w:r>
            <w:r w:rsidR="368A4853" w:rsidRPr="58ACE821">
              <w:rPr>
                <w:rFonts w:eastAsia="Calibri" w:cs="Times New Roman"/>
                <w:noProof/>
                <w:color w:val="000000" w:themeColor="text1"/>
                <w:sz w:val="22"/>
                <w:lang w:val="en-GB"/>
              </w:rPr>
              <w:t>-</w:t>
            </w:r>
            <w:r w:rsidRPr="58ACE821">
              <w:rPr>
                <w:rFonts w:eastAsia="Calibri" w:cs="Times New Roman"/>
                <w:noProof/>
                <w:color w:val="000000"/>
                <w:sz w:val="22"/>
                <w:lang w:val="en-GB"/>
              </w:rPr>
              <w:t>to</w:t>
            </w:r>
            <w:r w:rsidR="368A4853" w:rsidRPr="58ACE821">
              <w:rPr>
                <w:rFonts w:eastAsia="Calibri" w:cs="Times New Roman"/>
                <w:noProof/>
                <w:color w:val="000000" w:themeColor="text1"/>
                <w:sz w:val="22"/>
                <w:lang w:val="en-GB"/>
              </w:rPr>
              <w:t>-</w:t>
            </w:r>
            <w:r w:rsidRPr="58ACE821">
              <w:rPr>
                <w:rFonts w:eastAsia="Calibri" w:cs="Times New Roman"/>
                <w:noProof/>
                <w:color w:val="000000"/>
                <w:sz w:val="22"/>
                <w:lang w:val="en-GB"/>
              </w:rPr>
              <w:t xml:space="preserve">authority reporting. In addition, </w:t>
            </w:r>
            <w:r w:rsidR="368A4853" w:rsidRPr="58ACE821">
              <w:rPr>
                <w:rFonts w:eastAsia="Calibri" w:cs="Times New Roman"/>
                <w:noProof/>
                <w:color w:val="000000" w:themeColor="text1"/>
                <w:sz w:val="22"/>
                <w:lang w:val="en-GB"/>
              </w:rPr>
              <w:t xml:space="preserve">the </w:t>
            </w:r>
            <w:r w:rsidRPr="58ACE821">
              <w:rPr>
                <w:rFonts w:eastAsia="Calibri" w:cs="Times New Roman"/>
                <w:noProof/>
                <w:color w:val="000000"/>
                <w:sz w:val="22"/>
                <w:lang w:val="en-GB"/>
              </w:rPr>
              <w:t xml:space="preserve">content of reporting obligations related to payments will be reviewed to avoid </w:t>
            </w:r>
            <w:r w:rsidR="368A4853" w:rsidRPr="58ACE821">
              <w:rPr>
                <w:rFonts w:eastAsia="Calibri" w:cs="Times New Roman"/>
                <w:noProof/>
                <w:color w:val="000000" w:themeColor="text1"/>
                <w:sz w:val="22"/>
                <w:lang w:val="en-GB"/>
              </w:rPr>
              <w:t xml:space="preserve">overlap between </w:t>
            </w:r>
            <w:r w:rsidRPr="58ACE821">
              <w:rPr>
                <w:rFonts w:eastAsia="Calibri" w:cs="Times New Roman"/>
                <w:noProof/>
                <w:color w:val="000000"/>
                <w:sz w:val="22"/>
                <w:lang w:val="en-GB"/>
              </w:rPr>
              <w:t xml:space="preserve">reporting obligations under the final report and </w:t>
            </w:r>
            <w:r w:rsidR="368A4853" w:rsidRPr="58ACE821">
              <w:rPr>
                <w:rFonts w:eastAsia="Calibri" w:cs="Times New Roman"/>
                <w:noProof/>
                <w:color w:val="000000" w:themeColor="text1"/>
                <w:sz w:val="22"/>
                <w:lang w:val="en-GB"/>
              </w:rPr>
              <w:t xml:space="preserve">under </w:t>
            </w:r>
            <w:r w:rsidRPr="58ACE821">
              <w:rPr>
                <w:rFonts w:eastAsia="Calibri" w:cs="Times New Roman"/>
                <w:noProof/>
                <w:color w:val="000000"/>
                <w:sz w:val="22"/>
                <w:lang w:val="en-GB"/>
              </w:rPr>
              <w:t>the final interim report.</w:t>
            </w:r>
          </w:p>
        </w:tc>
      </w:tr>
      <w:tr w:rsidR="00020097" w:rsidRPr="00BB5286" w14:paraId="30AC6BD9" w14:textId="77777777" w:rsidTr="48005626">
        <w:trPr>
          <w:trHeight w:val="382"/>
        </w:trPr>
        <w:tc>
          <w:tcPr>
            <w:tcW w:w="14395" w:type="dxa"/>
            <w:gridSpan w:val="4"/>
            <w:tcBorders>
              <w:top w:val="nil"/>
              <w:bottom w:val="nil"/>
            </w:tcBorders>
            <w:shd w:val="clear" w:color="auto" w:fill="003399"/>
            <w:vAlign w:val="center"/>
          </w:tcPr>
          <w:p w14:paraId="388A675F" w14:textId="77777777" w:rsidR="00020097" w:rsidRPr="00BB5286" w:rsidRDefault="00020097" w:rsidP="004749EF">
            <w:pPr>
              <w:spacing w:before="120" w:after="120" w:line="259" w:lineRule="auto"/>
              <w:jc w:val="center"/>
              <w:rPr>
                <w:rFonts w:eastAsia="Calibri" w:cs="Times New Roman"/>
                <w:b/>
                <w:bCs/>
                <w:noProof/>
                <w:color w:val="FFFFFF"/>
                <w:sz w:val="22"/>
                <w:highlight w:val="cyan"/>
                <w:lang w:val="en-GB"/>
              </w:rPr>
            </w:pPr>
            <w:r w:rsidRPr="00BB5286">
              <w:rPr>
                <w:rFonts w:eastAsia="Calibri" w:cs="Times New Roman"/>
                <w:b/>
                <w:bCs/>
                <w:noProof/>
                <w:color w:val="FFFFFF"/>
                <w:sz w:val="22"/>
                <w:lang w:val="en-GB"/>
              </w:rPr>
              <w:t>Marketing standards and origin labelling</w:t>
            </w:r>
          </w:p>
        </w:tc>
      </w:tr>
      <w:tr w:rsidR="00020097" w:rsidRPr="00BB5286" w14:paraId="046EB2DD" w14:textId="77777777" w:rsidTr="48005626">
        <w:trPr>
          <w:trHeight w:val="296"/>
        </w:trPr>
        <w:tc>
          <w:tcPr>
            <w:tcW w:w="706" w:type="dxa"/>
            <w:tcBorders>
              <w:top w:val="nil"/>
            </w:tcBorders>
            <w:vAlign w:val="center"/>
          </w:tcPr>
          <w:p w14:paraId="61B2307B" w14:textId="3DA20FBF" w:rsidR="00020097" w:rsidRPr="00BB5286" w:rsidRDefault="00020097" w:rsidP="00020097">
            <w:pPr>
              <w:spacing w:after="60" w:line="259" w:lineRule="auto"/>
              <w:jc w:val="both"/>
              <w:rPr>
                <w:rFonts w:eastAsia="Calibri" w:cs="Times New Roman"/>
                <w:b/>
                <w:noProof/>
                <w:sz w:val="22"/>
                <w:lang w:val="en-GB"/>
              </w:rPr>
            </w:pPr>
            <w:r w:rsidRPr="00BB5286">
              <w:rPr>
                <w:rFonts w:eastAsia="Calibri" w:cs="Times New Roman"/>
                <w:b/>
                <w:bCs/>
                <w:noProof/>
                <w:sz w:val="22"/>
                <w:lang w:val="en-GB"/>
              </w:rPr>
              <w:t>25</w:t>
            </w:r>
            <w:r w:rsidR="00E558D0">
              <w:rPr>
                <w:rFonts w:eastAsia="Calibri" w:cs="Times New Roman"/>
                <w:b/>
                <w:bCs/>
                <w:noProof/>
                <w:sz w:val="22"/>
                <w:lang w:val="en-GB"/>
              </w:rPr>
              <w:t>8</w:t>
            </w:r>
          </w:p>
        </w:tc>
        <w:tc>
          <w:tcPr>
            <w:tcW w:w="5859" w:type="dxa"/>
            <w:tcBorders>
              <w:top w:val="nil"/>
            </w:tcBorders>
            <w:vAlign w:val="center"/>
          </w:tcPr>
          <w:p w14:paraId="313A282A" w14:textId="6884E370" w:rsidR="00020097" w:rsidRPr="00BB5286" w:rsidRDefault="3DB29667" w:rsidP="7E954136">
            <w:pPr>
              <w:spacing w:after="60" w:line="259" w:lineRule="auto"/>
              <w:jc w:val="both"/>
              <w:rPr>
                <w:rFonts w:eastAsia="Calibri" w:cs="Times New Roman"/>
                <w:i/>
                <w:iCs/>
                <w:noProof/>
                <w:sz w:val="22"/>
                <w:szCs w:val="20"/>
                <w:lang w:val="en-GB"/>
              </w:rPr>
            </w:pPr>
            <w:r w:rsidRPr="00BB5286">
              <w:rPr>
                <w:rFonts w:eastAsia="Calibri" w:cs="Times New Roman"/>
                <w:b/>
                <w:bCs/>
                <w:noProof/>
                <w:sz w:val="22"/>
                <w:szCs w:val="20"/>
                <w:lang w:val="en-GB"/>
              </w:rPr>
              <w:t>Simplify marketing standards</w:t>
            </w:r>
            <w:r w:rsidR="66599CE7" w:rsidRPr="00BB5286">
              <w:rPr>
                <w:rFonts w:eastAsia="Calibri" w:cs="Times New Roman"/>
                <w:b/>
                <w:bCs/>
                <w:noProof/>
                <w:sz w:val="22"/>
                <w:szCs w:val="20"/>
                <w:lang w:val="en-GB"/>
              </w:rPr>
              <w:t>:</w:t>
            </w:r>
            <w:r w:rsidRPr="00BB5286">
              <w:rPr>
                <w:rFonts w:eastAsia="Calibri" w:cs="Times New Roman"/>
                <w:noProof/>
                <w:sz w:val="22"/>
                <w:szCs w:val="20"/>
                <w:lang w:val="en-GB"/>
              </w:rPr>
              <w:t xml:space="preserve"> </w:t>
            </w:r>
            <w:r w:rsidR="3EA45EA1" w:rsidRPr="00BB5286">
              <w:rPr>
                <w:rFonts w:eastAsia="Calibri" w:cs="Times New Roman"/>
                <w:noProof/>
                <w:sz w:val="22"/>
                <w:szCs w:val="20"/>
                <w:lang w:val="en-GB"/>
              </w:rPr>
              <w:t>s</w:t>
            </w:r>
            <w:r w:rsidRPr="00BB5286">
              <w:rPr>
                <w:rFonts w:eastAsia="Calibri" w:cs="Times New Roman"/>
                <w:noProof/>
                <w:sz w:val="22"/>
                <w:szCs w:val="20"/>
                <w:lang w:val="en-GB"/>
              </w:rPr>
              <w:t xml:space="preserve">implify the existing rules and adjust them to the </w:t>
            </w:r>
            <w:r w:rsidR="7EF477C7" w:rsidRPr="00BB5286">
              <w:rPr>
                <w:rFonts w:eastAsia="Calibri" w:cs="Times New Roman"/>
                <w:noProof/>
                <w:sz w:val="22"/>
                <w:szCs w:val="20"/>
                <w:lang w:val="en-GB"/>
              </w:rPr>
              <w:t>G</w:t>
            </w:r>
            <w:r w:rsidRPr="00BB5286">
              <w:rPr>
                <w:rFonts w:eastAsia="Calibri" w:cs="Times New Roman"/>
                <w:noProof/>
                <w:sz w:val="22"/>
                <w:szCs w:val="20"/>
                <w:lang w:val="en-GB"/>
              </w:rPr>
              <w:t xml:space="preserve">eneral </w:t>
            </w:r>
            <w:r w:rsidR="7EF477C7" w:rsidRPr="00BB5286">
              <w:rPr>
                <w:rFonts w:eastAsia="Calibri" w:cs="Times New Roman"/>
                <w:noProof/>
                <w:sz w:val="22"/>
                <w:szCs w:val="20"/>
                <w:lang w:val="en-GB"/>
              </w:rPr>
              <w:t>F</w:t>
            </w:r>
            <w:r w:rsidRPr="00BB5286">
              <w:rPr>
                <w:rFonts w:eastAsia="Calibri" w:cs="Times New Roman"/>
                <w:noProof/>
                <w:sz w:val="22"/>
                <w:szCs w:val="20"/>
                <w:lang w:val="en-GB"/>
              </w:rPr>
              <w:t xml:space="preserve">ood </w:t>
            </w:r>
            <w:r w:rsidR="7EF477C7" w:rsidRPr="00BB5286">
              <w:rPr>
                <w:rFonts w:eastAsia="Calibri" w:cs="Times New Roman"/>
                <w:noProof/>
                <w:sz w:val="22"/>
                <w:szCs w:val="20"/>
                <w:lang w:val="en-GB"/>
              </w:rPr>
              <w:t>Law R</w:t>
            </w:r>
            <w:r w:rsidRPr="00BB5286">
              <w:rPr>
                <w:rFonts w:eastAsia="Calibri" w:cs="Times New Roman"/>
                <w:noProof/>
                <w:sz w:val="22"/>
                <w:szCs w:val="20"/>
                <w:lang w:val="en-GB"/>
              </w:rPr>
              <w:t xml:space="preserve">egulation. Avoid </w:t>
            </w:r>
            <w:r w:rsidR="7EF477C7" w:rsidRPr="00BB5286">
              <w:rPr>
                <w:rFonts w:eastAsia="Calibri" w:cs="Times New Roman"/>
                <w:noProof/>
                <w:sz w:val="22"/>
                <w:szCs w:val="20"/>
                <w:lang w:val="en-GB"/>
              </w:rPr>
              <w:t xml:space="preserve">expanding them </w:t>
            </w:r>
            <w:r w:rsidRPr="00BB5286">
              <w:rPr>
                <w:rFonts w:eastAsia="Calibri" w:cs="Times New Roman"/>
                <w:noProof/>
                <w:sz w:val="22"/>
                <w:szCs w:val="20"/>
                <w:lang w:val="en-GB"/>
              </w:rPr>
              <w:t xml:space="preserve">to </w:t>
            </w:r>
            <w:r w:rsidR="7EF477C7" w:rsidRPr="00BB5286">
              <w:rPr>
                <w:rFonts w:eastAsia="Calibri" w:cs="Times New Roman"/>
                <w:noProof/>
                <w:sz w:val="22"/>
                <w:szCs w:val="20"/>
                <w:lang w:val="en-GB"/>
              </w:rPr>
              <w:t xml:space="preserve">other </w:t>
            </w:r>
            <w:r w:rsidRPr="00BB5286">
              <w:rPr>
                <w:rFonts w:eastAsia="Calibri" w:cs="Times New Roman"/>
                <w:noProof/>
                <w:sz w:val="22"/>
                <w:szCs w:val="20"/>
                <w:lang w:val="en-GB"/>
              </w:rPr>
              <w:t>products</w:t>
            </w:r>
            <w:r w:rsidR="7EF477C7" w:rsidRPr="00BB5286">
              <w:rPr>
                <w:rFonts w:eastAsia="Calibri" w:cs="Times New Roman"/>
                <w:noProof/>
                <w:sz w:val="22"/>
                <w:szCs w:val="20"/>
                <w:lang w:val="en-GB"/>
              </w:rPr>
              <w:t xml:space="preserve"> (</w:t>
            </w:r>
            <w:r w:rsidRPr="00BB5286">
              <w:rPr>
                <w:rFonts w:eastAsia="Calibri" w:cs="Times New Roman"/>
                <w:i/>
                <w:iCs/>
                <w:noProof/>
                <w:sz w:val="22"/>
                <w:szCs w:val="20"/>
                <w:lang w:val="en-GB"/>
              </w:rPr>
              <w:t>Article 75</w:t>
            </w:r>
            <w:r w:rsidRPr="00BB5286">
              <w:rPr>
                <w:rFonts w:eastAsia="Calibri" w:cs="Times New Roman"/>
                <w:noProof/>
                <w:sz w:val="22"/>
                <w:szCs w:val="20"/>
                <w:lang w:val="en-GB"/>
              </w:rPr>
              <w:t xml:space="preserve"> of the </w:t>
            </w:r>
            <w:r w:rsidR="7EF477C7" w:rsidRPr="00BB5286">
              <w:rPr>
                <w:rFonts w:eastAsia="Calibri" w:cs="Times New Roman"/>
                <w:noProof/>
                <w:sz w:val="22"/>
                <w:szCs w:val="20"/>
                <w:lang w:val="en-GB"/>
              </w:rPr>
              <w:t>common market organisation r</w:t>
            </w:r>
            <w:r w:rsidRPr="00BB5286">
              <w:rPr>
                <w:rFonts w:eastAsia="Calibri" w:cs="Times New Roman"/>
                <w:noProof/>
                <w:sz w:val="22"/>
                <w:szCs w:val="20"/>
                <w:lang w:val="en-GB"/>
              </w:rPr>
              <w:t>egulation</w:t>
            </w:r>
            <w:r w:rsidR="7EF477C7" w:rsidRPr="00BB5286">
              <w:rPr>
                <w:rFonts w:eastAsia="Calibri" w:cs="Times New Roman"/>
                <w:noProof/>
                <w:sz w:val="22"/>
                <w:szCs w:val="20"/>
                <w:lang w:val="en-GB"/>
              </w:rPr>
              <w:t>).</w:t>
            </w:r>
            <w:r w:rsidR="7EF477C7" w:rsidRPr="00BB5286">
              <w:rPr>
                <w:rFonts w:eastAsia="Calibri" w:cs="Times New Roman"/>
                <w:i/>
                <w:iCs/>
                <w:noProof/>
                <w:sz w:val="22"/>
                <w:szCs w:val="20"/>
                <w:lang w:val="en-GB"/>
              </w:rPr>
              <w:t xml:space="preserve"> </w:t>
            </w:r>
          </w:p>
        </w:tc>
        <w:tc>
          <w:tcPr>
            <w:tcW w:w="1530" w:type="dxa"/>
            <w:tcBorders>
              <w:top w:val="nil"/>
            </w:tcBorders>
            <w:shd w:val="clear" w:color="auto" w:fill="auto"/>
            <w:vAlign w:val="center"/>
          </w:tcPr>
          <w:p w14:paraId="1F23AC46" w14:textId="77777777" w:rsidR="00020097" w:rsidRPr="00BB5286" w:rsidRDefault="00020097" w:rsidP="00020097">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DK</w:t>
            </w:r>
          </w:p>
        </w:tc>
        <w:tc>
          <w:tcPr>
            <w:tcW w:w="6300" w:type="dxa"/>
            <w:vMerge w:val="restart"/>
            <w:tcBorders>
              <w:top w:val="nil"/>
            </w:tcBorders>
            <w:vAlign w:val="center"/>
          </w:tcPr>
          <w:p w14:paraId="05435DB6" w14:textId="3D0E3D47" w:rsidR="00020097" w:rsidRPr="00BB5286" w:rsidRDefault="1602428E" w:rsidP="48005626">
            <w:pPr>
              <w:spacing w:after="60" w:line="259" w:lineRule="auto"/>
              <w:jc w:val="both"/>
              <w:rPr>
                <w:rFonts w:eastAsia="Calibri" w:cs="Times New Roman"/>
                <w:noProof/>
                <w:sz w:val="22"/>
                <w:lang w:val="en-GB"/>
              </w:rPr>
            </w:pPr>
            <w:r w:rsidRPr="48005626">
              <w:rPr>
                <w:rFonts w:eastAsia="Calibri" w:cs="Times New Roman"/>
                <w:noProof/>
                <w:sz w:val="22"/>
                <w:lang w:val="en-GB"/>
              </w:rPr>
              <w:t>Marketing standards are tailor</w:t>
            </w:r>
            <w:r w:rsidR="47118006" w:rsidRPr="48005626">
              <w:rPr>
                <w:rFonts w:eastAsia="Calibri" w:cs="Times New Roman"/>
                <w:noProof/>
                <w:sz w:val="22"/>
                <w:lang w:val="en-GB"/>
              </w:rPr>
              <w:t>-</w:t>
            </w:r>
            <w:r w:rsidRPr="48005626">
              <w:rPr>
                <w:rFonts w:eastAsia="Calibri" w:cs="Times New Roman"/>
                <w:noProof/>
                <w:sz w:val="22"/>
                <w:lang w:val="en-GB"/>
              </w:rPr>
              <w:t xml:space="preserve">made and proportionate to the market characteristics and challenges </w:t>
            </w:r>
            <w:r w:rsidR="47118006" w:rsidRPr="48005626">
              <w:rPr>
                <w:rFonts w:eastAsia="Calibri" w:cs="Times New Roman"/>
                <w:noProof/>
                <w:sz w:val="22"/>
                <w:lang w:val="en-GB"/>
              </w:rPr>
              <w:t xml:space="preserve">for </w:t>
            </w:r>
            <w:r w:rsidRPr="48005626">
              <w:rPr>
                <w:rFonts w:eastAsia="Calibri" w:cs="Times New Roman"/>
                <w:noProof/>
                <w:sz w:val="22"/>
                <w:lang w:val="en-GB"/>
              </w:rPr>
              <w:t>certain products. They have</w:t>
            </w:r>
            <w:r w:rsidR="47118006" w:rsidRPr="48005626">
              <w:rPr>
                <w:rFonts w:eastAsia="Calibri" w:cs="Times New Roman"/>
                <w:noProof/>
                <w:sz w:val="22"/>
                <w:lang w:val="en-GB"/>
              </w:rPr>
              <w:t>,</w:t>
            </w:r>
            <w:r w:rsidRPr="48005626">
              <w:rPr>
                <w:rFonts w:eastAsia="Calibri" w:cs="Times New Roman"/>
                <w:noProof/>
                <w:sz w:val="22"/>
                <w:lang w:val="en-GB"/>
              </w:rPr>
              <w:t xml:space="preserve"> in addition</w:t>
            </w:r>
            <w:r w:rsidR="47118006" w:rsidRPr="48005626">
              <w:rPr>
                <w:rFonts w:eastAsia="Calibri" w:cs="Times New Roman"/>
                <w:noProof/>
                <w:sz w:val="22"/>
                <w:lang w:val="en-GB"/>
              </w:rPr>
              <w:t>,</w:t>
            </w:r>
            <w:r w:rsidRPr="48005626">
              <w:rPr>
                <w:rFonts w:eastAsia="Calibri" w:cs="Times New Roman"/>
                <w:noProof/>
                <w:sz w:val="22"/>
                <w:lang w:val="en-GB"/>
              </w:rPr>
              <w:t xml:space="preserve"> been subject to a recent evaluation, followed by a general exercise of simplification and technical adaptation</w:t>
            </w:r>
            <w:r w:rsidR="47118006" w:rsidRPr="48005626">
              <w:rPr>
                <w:rFonts w:eastAsia="Calibri" w:cs="Times New Roman"/>
                <w:noProof/>
                <w:sz w:val="22"/>
                <w:lang w:val="en-GB"/>
              </w:rPr>
              <w:t>,</w:t>
            </w:r>
            <w:r w:rsidRPr="48005626">
              <w:rPr>
                <w:rFonts w:eastAsia="Calibri" w:cs="Times New Roman"/>
                <w:noProof/>
                <w:sz w:val="22"/>
                <w:lang w:val="en-GB"/>
              </w:rPr>
              <w:t xml:space="preserve"> accompanied by a thorough impact assessment. This is why only a reduced number of agricultural products are subject to </w:t>
            </w:r>
            <w:r w:rsidR="47118006" w:rsidRPr="48005626">
              <w:rPr>
                <w:rFonts w:eastAsia="Calibri" w:cs="Times New Roman"/>
                <w:noProof/>
                <w:sz w:val="22"/>
                <w:lang w:val="en-GB"/>
              </w:rPr>
              <w:t>marketing standards</w:t>
            </w:r>
            <w:r w:rsidR="317AFA6D" w:rsidRPr="48005626">
              <w:rPr>
                <w:rFonts w:eastAsia="Calibri" w:cs="Times New Roman"/>
                <w:noProof/>
                <w:sz w:val="22"/>
                <w:lang w:val="en-GB"/>
              </w:rPr>
              <w:t>.</w:t>
            </w:r>
            <w:r w:rsidR="47118006" w:rsidRPr="48005626">
              <w:rPr>
                <w:rFonts w:eastAsia="Calibri" w:cs="Times New Roman"/>
                <w:noProof/>
                <w:sz w:val="22"/>
                <w:lang w:val="en-GB"/>
              </w:rPr>
              <w:t xml:space="preserve"> </w:t>
            </w:r>
            <w:r w:rsidRPr="48005626">
              <w:rPr>
                <w:rFonts w:eastAsia="Calibri" w:cs="Times New Roman"/>
                <w:noProof/>
                <w:sz w:val="22"/>
                <w:lang w:val="en-GB"/>
              </w:rPr>
              <w:t xml:space="preserve"> </w:t>
            </w:r>
            <w:r w:rsidR="317AFA6D" w:rsidRPr="48005626">
              <w:rPr>
                <w:rFonts w:eastAsia="Calibri" w:cs="Times New Roman"/>
                <w:noProof/>
                <w:sz w:val="22"/>
                <w:lang w:val="en-GB"/>
              </w:rPr>
              <w:t>T</w:t>
            </w:r>
            <w:r w:rsidRPr="48005626">
              <w:rPr>
                <w:rFonts w:eastAsia="Calibri" w:cs="Times New Roman"/>
                <w:noProof/>
                <w:sz w:val="22"/>
                <w:lang w:val="en-GB"/>
              </w:rPr>
              <w:t xml:space="preserve">he adoption of </w:t>
            </w:r>
            <w:r w:rsidR="43098E15" w:rsidRPr="48005626">
              <w:rPr>
                <w:rFonts w:eastAsia="Calibri" w:cs="Times New Roman"/>
                <w:noProof/>
                <w:sz w:val="22"/>
                <w:lang w:val="en-GB"/>
              </w:rPr>
              <w:t>new marketing standards</w:t>
            </w:r>
            <w:r w:rsidRPr="48005626">
              <w:rPr>
                <w:rFonts w:eastAsia="Calibri" w:cs="Times New Roman"/>
                <w:noProof/>
                <w:sz w:val="22"/>
                <w:lang w:val="en-GB"/>
              </w:rPr>
              <w:t xml:space="preserve"> </w:t>
            </w:r>
            <w:r w:rsidR="317AFA6D" w:rsidRPr="48005626">
              <w:rPr>
                <w:rFonts w:eastAsia="Calibri" w:cs="Times New Roman"/>
                <w:noProof/>
                <w:sz w:val="22"/>
                <w:lang w:val="en-GB"/>
              </w:rPr>
              <w:t xml:space="preserve">will </w:t>
            </w:r>
            <w:r w:rsidRPr="48005626">
              <w:rPr>
                <w:rFonts w:eastAsia="Calibri" w:cs="Times New Roman"/>
                <w:noProof/>
                <w:sz w:val="22"/>
                <w:lang w:val="en-GB"/>
              </w:rPr>
              <w:t>follow a need</w:t>
            </w:r>
            <w:r w:rsidR="47118006" w:rsidRPr="48005626">
              <w:rPr>
                <w:rFonts w:eastAsia="Calibri" w:cs="Times New Roman"/>
                <w:noProof/>
                <w:sz w:val="22"/>
                <w:lang w:val="en-GB"/>
              </w:rPr>
              <w:t>s</w:t>
            </w:r>
            <w:r w:rsidRPr="48005626">
              <w:rPr>
                <w:rFonts w:eastAsia="Calibri" w:cs="Times New Roman"/>
                <w:noProof/>
                <w:sz w:val="22"/>
                <w:lang w:val="en-GB"/>
              </w:rPr>
              <w:t xml:space="preserve">-based approach. </w:t>
            </w:r>
          </w:p>
        </w:tc>
      </w:tr>
      <w:tr w:rsidR="00020097" w:rsidRPr="00BB5286" w14:paraId="463AD95F" w14:textId="77777777" w:rsidTr="48005626">
        <w:trPr>
          <w:trHeight w:val="296"/>
        </w:trPr>
        <w:tc>
          <w:tcPr>
            <w:tcW w:w="706" w:type="dxa"/>
            <w:vAlign w:val="center"/>
          </w:tcPr>
          <w:p w14:paraId="25D06E0D" w14:textId="0B7030E8" w:rsidR="00020097" w:rsidRPr="00BB5286" w:rsidRDefault="00020097" w:rsidP="00020097">
            <w:pPr>
              <w:spacing w:after="60" w:line="259" w:lineRule="auto"/>
              <w:jc w:val="both"/>
              <w:rPr>
                <w:rFonts w:eastAsia="Calibri" w:cs="Times New Roman"/>
                <w:b/>
                <w:noProof/>
                <w:sz w:val="22"/>
                <w:lang w:val="en-GB"/>
              </w:rPr>
            </w:pPr>
            <w:r w:rsidRPr="00BB5286">
              <w:rPr>
                <w:rFonts w:eastAsia="Calibri" w:cs="Times New Roman"/>
                <w:b/>
                <w:bCs/>
                <w:noProof/>
                <w:sz w:val="22"/>
                <w:lang w:val="en-GB"/>
              </w:rPr>
              <w:t>2</w:t>
            </w:r>
            <w:r w:rsidR="00E558D0">
              <w:rPr>
                <w:rFonts w:eastAsia="Calibri" w:cs="Times New Roman"/>
                <w:b/>
                <w:bCs/>
                <w:noProof/>
                <w:sz w:val="22"/>
                <w:lang w:val="en-GB"/>
              </w:rPr>
              <w:t>59</w:t>
            </w:r>
          </w:p>
        </w:tc>
        <w:tc>
          <w:tcPr>
            <w:tcW w:w="5859" w:type="dxa"/>
            <w:vAlign w:val="center"/>
          </w:tcPr>
          <w:p w14:paraId="481AB12E" w14:textId="62356410" w:rsidR="00020097" w:rsidRPr="00BB5286" w:rsidRDefault="3DB29667" w:rsidP="7E954136">
            <w:pPr>
              <w:spacing w:after="60" w:line="259" w:lineRule="auto"/>
              <w:jc w:val="both"/>
              <w:rPr>
                <w:rFonts w:eastAsia="Calibri" w:cs="Times New Roman"/>
                <w:noProof/>
                <w:sz w:val="22"/>
                <w:szCs w:val="20"/>
                <w:lang w:val="en-GB"/>
              </w:rPr>
            </w:pPr>
            <w:r w:rsidRPr="00BB5286">
              <w:rPr>
                <w:rFonts w:eastAsia="Calibri" w:cs="Times New Roman"/>
                <w:b/>
                <w:bCs/>
                <w:noProof/>
                <w:sz w:val="22"/>
                <w:szCs w:val="20"/>
                <w:lang w:val="en-GB"/>
              </w:rPr>
              <w:t xml:space="preserve">Proportionality </w:t>
            </w:r>
            <w:r w:rsidR="7EF477C7" w:rsidRPr="00BB5286">
              <w:rPr>
                <w:rFonts w:eastAsia="Calibri" w:cs="Times New Roman"/>
                <w:b/>
                <w:bCs/>
                <w:noProof/>
                <w:sz w:val="22"/>
                <w:szCs w:val="20"/>
                <w:lang w:val="en-GB"/>
              </w:rPr>
              <w:t xml:space="preserve">of </w:t>
            </w:r>
            <w:r w:rsidRPr="00BB5286">
              <w:rPr>
                <w:rFonts w:eastAsia="Calibri" w:cs="Times New Roman"/>
                <w:b/>
                <w:bCs/>
                <w:noProof/>
                <w:sz w:val="22"/>
                <w:szCs w:val="20"/>
                <w:lang w:val="en-GB"/>
              </w:rPr>
              <w:t>marketing standards</w:t>
            </w:r>
            <w:r w:rsidR="54E1CAB9" w:rsidRPr="00BB5286">
              <w:rPr>
                <w:rFonts w:eastAsia="Calibri" w:cs="Times New Roman"/>
                <w:b/>
                <w:bCs/>
                <w:noProof/>
                <w:sz w:val="22"/>
                <w:szCs w:val="20"/>
                <w:lang w:val="en-GB"/>
              </w:rPr>
              <w:t>:</w:t>
            </w:r>
            <w:r w:rsidRPr="00BB5286">
              <w:rPr>
                <w:rFonts w:eastAsia="Calibri" w:cs="Times New Roman"/>
                <w:noProof/>
                <w:sz w:val="22"/>
                <w:szCs w:val="20"/>
                <w:lang w:val="en-GB"/>
              </w:rPr>
              <w:t xml:space="preserve"> </w:t>
            </w:r>
            <w:r w:rsidR="09D9D268" w:rsidRPr="00BB5286">
              <w:rPr>
                <w:rFonts w:eastAsia="Calibri" w:cs="Times New Roman"/>
                <w:noProof/>
                <w:sz w:val="22"/>
                <w:szCs w:val="20"/>
                <w:lang w:val="en-GB"/>
              </w:rPr>
              <w:t>t</w:t>
            </w:r>
            <w:r w:rsidRPr="00BB5286">
              <w:rPr>
                <w:rFonts w:eastAsia="Calibri" w:cs="Times New Roman"/>
                <w:noProof/>
                <w:sz w:val="22"/>
                <w:szCs w:val="20"/>
                <w:lang w:val="en-GB"/>
              </w:rPr>
              <w:t>he proportionality and necessity of certain marketing standards should be assessed so as not to penali</w:t>
            </w:r>
            <w:r w:rsidR="7EF477C7" w:rsidRPr="00BB5286">
              <w:rPr>
                <w:rFonts w:eastAsia="Calibri" w:cs="Times New Roman"/>
                <w:noProof/>
                <w:sz w:val="22"/>
                <w:szCs w:val="20"/>
                <w:lang w:val="en-GB"/>
              </w:rPr>
              <w:t>s</w:t>
            </w:r>
            <w:r w:rsidRPr="00BB5286">
              <w:rPr>
                <w:rFonts w:eastAsia="Calibri" w:cs="Times New Roman"/>
                <w:noProof/>
                <w:sz w:val="22"/>
                <w:szCs w:val="20"/>
                <w:lang w:val="en-GB"/>
              </w:rPr>
              <w:t>e small family businesses</w:t>
            </w:r>
            <w:r w:rsidR="7EF477C7" w:rsidRPr="00BB5286">
              <w:rPr>
                <w:rFonts w:eastAsia="Calibri" w:cs="Times New Roman"/>
                <w:noProof/>
                <w:sz w:val="22"/>
                <w:szCs w:val="20"/>
                <w:lang w:val="en-GB"/>
              </w:rPr>
              <w:t xml:space="preserve">, or </w:t>
            </w:r>
            <w:r w:rsidRPr="00BB5286">
              <w:rPr>
                <w:rFonts w:eastAsia="Calibri" w:cs="Times New Roman"/>
                <w:noProof/>
                <w:sz w:val="22"/>
                <w:szCs w:val="20"/>
                <w:lang w:val="en-GB"/>
              </w:rPr>
              <w:t xml:space="preserve"> structures in rural regions e.g. </w:t>
            </w:r>
            <w:r w:rsidR="7EF477C7" w:rsidRPr="00BB5286">
              <w:rPr>
                <w:rFonts w:eastAsia="Calibri" w:cs="Times New Roman"/>
                <w:noProof/>
                <w:sz w:val="22"/>
                <w:szCs w:val="20"/>
                <w:lang w:val="en-GB"/>
              </w:rPr>
              <w:t xml:space="preserve">as regards the </w:t>
            </w:r>
            <w:r w:rsidRPr="00BB5286">
              <w:rPr>
                <w:rFonts w:eastAsia="Calibri" w:cs="Times New Roman"/>
                <w:noProof/>
                <w:sz w:val="22"/>
                <w:szCs w:val="20"/>
                <w:lang w:val="en-GB"/>
              </w:rPr>
              <w:t>marketing standards applicable to eggs</w:t>
            </w:r>
            <w:r w:rsidR="3FC57A47" w:rsidRPr="00BB5286">
              <w:rPr>
                <w:rFonts w:eastAsia="Calibri" w:cs="Times New Roman"/>
                <w:noProof/>
                <w:sz w:val="22"/>
                <w:szCs w:val="20"/>
                <w:lang w:val="en-GB"/>
              </w:rPr>
              <w:t>.</w:t>
            </w:r>
          </w:p>
        </w:tc>
        <w:tc>
          <w:tcPr>
            <w:tcW w:w="1530" w:type="dxa"/>
            <w:vAlign w:val="center"/>
          </w:tcPr>
          <w:p w14:paraId="430BFDFD" w14:textId="77777777" w:rsidR="00020097" w:rsidRPr="00BB5286" w:rsidRDefault="00020097" w:rsidP="00020097">
            <w:pPr>
              <w:spacing w:after="60" w:line="259" w:lineRule="auto"/>
              <w:jc w:val="center"/>
              <w:rPr>
                <w:rFonts w:eastAsia="MS Gothic" w:cs="Times New Roman"/>
                <w:b/>
                <w:noProof/>
                <w:color w:val="0033CC"/>
                <w:sz w:val="22"/>
                <w:lang w:val="en-GB"/>
              </w:rPr>
            </w:pPr>
            <w:r w:rsidRPr="00BB5286">
              <w:rPr>
                <w:rFonts w:eastAsia="MS Gothic" w:cs="Times New Roman"/>
                <w:b/>
                <w:noProof/>
                <w:color w:val="0033CC"/>
                <w:sz w:val="22"/>
                <w:lang w:val="en-GB"/>
              </w:rPr>
              <w:t>LU</w:t>
            </w:r>
          </w:p>
        </w:tc>
        <w:tc>
          <w:tcPr>
            <w:tcW w:w="6300" w:type="dxa"/>
            <w:vMerge/>
            <w:vAlign w:val="center"/>
          </w:tcPr>
          <w:p w14:paraId="3E1BA94E" w14:textId="77777777" w:rsidR="00020097" w:rsidRPr="00BB5286" w:rsidRDefault="00020097" w:rsidP="00020097">
            <w:pPr>
              <w:spacing w:after="60" w:line="259" w:lineRule="auto"/>
              <w:rPr>
                <w:rFonts w:eastAsia="Calibri" w:cs="Times New Roman"/>
                <w:noProof/>
                <w:sz w:val="22"/>
                <w:lang w:val="en-GB"/>
              </w:rPr>
            </w:pPr>
          </w:p>
        </w:tc>
      </w:tr>
    </w:tbl>
    <w:p w14:paraId="5AB1E8A7" w14:textId="77777777" w:rsidR="00872C68" w:rsidRPr="00BB5286" w:rsidRDefault="00872C68" w:rsidP="001061AF">
      <w:pPr>
        <w:spacing w:after="60"/>
        <w:rPr>
          <w:rFonts w:eastAsia="Calibri" w:cs="Times New Roman"/>
          <w:noProof/>
          <w:kern w:val="0"/>
          <w:sz w:val="22"/>
          <w:lang w:val="en-GB"/>
          <w14:ligatures w14:val="none"/>
        </w:rPr>
      </w:pPr>
    </w:p>
    <w:p w14:paraId="76373205" w14:textId="77777777" w:rsidR="00874EF4" w:rsidRPr="00BB5286" w:rsidRDefault="00872C68" w:rsidP="001061AF">
      <w:pPr>
        <w:spacing w:after="60"/>
        <w:rPr>
          <w:rFonts w:eastAsia="Calibri" w:cs="Times New Roman"/>
          <w:noProof/>
          <w:kern w:val="0"/>
          <w:sz w:val="22"/>
          <w:lang w:val="en-GB"/>
          <w14:ligatures w14:val="none"/>
        </w:rPr>
        <w:sectPr w:rsidR="00874EF4" w:rsidRPr="00BB5286" w:rsidSect="005E54DA">
          <w:headerReference w:type="even" r:id="rId52"/>
          <w:headerReference w:type="default" r:id="rId53"/>
          <w:footerReference w:type="even" r:id="rId54"/>
          <w:footerReference w:type="default" r:id="rId55"/>
          <w:headerReference w:type="first" r:id="rId56"/>
          <w:footerReference w:type="first" r:id="rId57"/>
          <w:pgSz w:w="16838" w:h="11906" w:orient="landscape"/>
          <w:pgMar w:top="1417" w:right="728" w:bottom="2340" w:left="1417" w:header="708" w:footer="708" w:gutter="0"/>
          <w:cols w:space="708"/>
          <w:titlePg/>
          <w:docGrid w:linePitch="360"/>
        </w:sectPr>
      </w:pPr>
      <w:r w:rsidRPr="00BB5286">
        <w:rPr>
          <w:rFonts w:eastAsia="Calibri" w:cs="Times New Roman"/>
          <w:noProof/>
          <w:kern w:val="0"/>
          <w:sz w:val="22"/>
          <w:lang w:val="en-GB"/>
          <w14:ligatures w14:val="none"/>
        </w:rPr>
        <w:br w:type="page"/>
      </w:r>
    </w:p>
    <w:p w14:paraId="3E86E479" w14:textId="77777777" w:rsidR="00872C68" w:rsidRPr="00724676" w:rsidRDefault="00872C68" w:rsidP="001061AF">
      <w:pPr>
        <w:spacing w:after="60"/>
        <w:rPr>
          <w:rFonts w:eastAsia="Calibri" w:cs="Times New Roman"/>
          <w:noProof/>
          <w:kern w:val="0"/>
          <w:szCs w:val="24"/>
          <w:lang w:val="en-GB"/>
          <w14:ligatures w14:val="none"/>
        </w:rPr>
      </w:pPr>
    </w:p>
    <w:p w14:paraId="57F7DD22" w14:textId="354CAD5A" w:rsidR="00872C68" w:rsidRPr="00724676" w:rsidRDefault="00872C68" w:rsidP="00456420">
      <w:pPr>
        <w:pStyle w:val="Heading4"/>
        <w:pBdr>
          <w:right w:val="single" w:sz="4" w:space="25" w:color="auto"/>
        </w:pBdr>
        <w:spacing w:before="0" w:after="60" w:line="259" w:lineRule="auto"/>
        <w:rPr>
          <w:rFonts w:ascii="Times New Roman" w:hAnsi="Times New Roman" w:cs="Times New Roman"/>
          <w:noProof/>
          <w:lang w:val="en-GB"/>
        </w:rPr>
      </w:pPr>
      <w:r w:rsidRPr="00724676">
        <w:rPr>
          <w:rFonts w:ascii="Times New Roman" w:hAnsi="Times New Roman" w:cs="Times New Roman"/>
          <w:noProof/>
          <w:lang w:val="en-GB"/>
        </w:rPr>
        <w:t>V. LEGISLATION OUTSIDE THE CAP</w:t>
      </w:r>
    </w:p>
    <w:p w14:paraId="5AEB3FC3" w14:textId="77777777" w:rsidR="00872C68" w:rsidRPr="00724676" w:rsidRDefault="00872C68" w:rsidP="001061AF">
      <w:pPr>
        <w:spacing w:after="60"/>
        <w:rPr>
          <w:rFonts w:eastAsia="Calibri" w:cs="Times New Roman"/>
          <w:noProof/>
          <w:kern w:val="0"/>
          <w:szCs w:val="24"/>
          <w:lang w:val="en-GB"/>
          <w14:ligatures w14:val="none"/>
        </w:rPr>
      </w:pPr>
    </w:p>
    <w:tbl>
      <w:tblPr>
        <w:tblStyle w:val="TableGrid1"/>
        <w:tblW w:w="14511" w:type="dxa"/>
        <w:tblInd w:w="-34" w:type="dxa"/>
        <w:tblLayout w:type="fixed"/>
        <w:tblLook w:val="04A0" w:firstRow="1" w:lastRow="0" w:firstColumn="1" w:lastColumn="0" w:noHBand="0" w:noVBand="1"/>
      </w:tblPr>
      <w:tblGrid>
        <w:gridCol w:w="676"/>
        <w:gridCol w:w="5923"/>
        <w:gridCol w:w="1530"/>
        <w:gridCol w:w="6366"/>
        <w:gridCol w:w="16"/>
      </w:tblGrid>
      <w:tr w:rsidR="005435E2" w:rsidRPr="00FD703D" w14:paraId="59AB5416" w14:textId="77777777" w:rsidTr="00FD703D">
        <w:trPr>
          <w:gridAfter w:val="1"/>
          <w:wAfter w:w="16" w:type="dxa"/>
          <w:trHeight w:val="672"/>
        </w:trPr>
        <w:tc>
          <w:tcPr>
            <w:tcW w:w="6599" w:type="dxa"/>
            <w:gridSpan w:val="2"/>
            <w:vAlign w:val="center"/>
          </w:tcPr>
          <w:p w14:paraId="3204CF0D" w14:textId="77777777" w:rsidR="00BD2137" w:rsidRPr="00FD703D" w:rsidRDefault="00BD2137">
            <w:pPr>
              <w:spacing w:after="60" w:line="259" w:lineRule="auto"/>
              <w:jc w:val="center"/>
              <w:rPr>
                <w:rFonts w:eastAsia="Calibri" w:cs="Times New Roman"/>
                <w:noProof/>
                <w:sz w:val="22"/>
                <w:lang w:val="en-GB"/>
              </w:rPr>
            </w:pPr>
            <w:r w:rsidRPr="00FD703D">
              <w:rPr>
                <w:b/>
                <w:bCs/>
                <w:noProof/>
                <w:sz w:val="22"/>
                <w:szCs w:val="20"/>
                <w:lang w:val="en-GB"/>
              </w:rPr>
              <w:t>Suggestions</w:t>
            </w:r>
          </w:p>
        </w:tc>
        <w:tc>
          <w:tcPr>
            <w:tcW w:w="1530" w:type="dxa"/>
            <w:vAlign w:val="center"/>
          </w:tcPr>
          <w:p w14:paraId="7D87F7EA" w14:textId="77777777" w:rsidR="00BD2137" w:rsidRPr="00FD703D" w:rsidRDefault="00BD2137">
            <w:pPr>
              <w:spacing w:after="60" w:line="259" w:lineRule="auto"/>
              <w:jc w:val="center"/>
              <w:rPr>
                <w:rFonts w:eastAsia="Calibri" w:cs="Times New Roman"/>
                <w:noProof/>
                <w:sz w:val="22"/>
                <w:lang w:val="en-GB"/>
              </w:rPr>
            </w:pPr>
            <w:r w:rsidRPr="00FD703D">
              <w:rPr>
                <w:rFonts w:eastAsia="Calibri" w:cs="Times New Roman"/>
                <w:b/>
                <w:bCs/>
                <w:noProof/>
                <w:sz w:val="22"/>
                <w:lang w:val="en-GB"/>
              </w:rPr>
              <w:t>Proponents</w:t>
            </w:r>
          </w:p>
        </w:tc>
        <w:tc>
          <w:tcPr>
            <w:tcW w:w="6366" w:type="dxa"/>
            <w:vAlign w:val="center"/>
          </w:tcPr>
          <w:p w14:paraId="643ED62C" w14:textId="77777777" w:rsidR="00BD2137" w:rsidRPr="00FD703D" w:rsidRDefault="00BD2137">
            <w:pPr>
              <w:spacing w:after="60" w:line="259" w:lineRule="auto"/>
              <w:jc w:val="center"/>
              <w:rPr>
                <w:rFonts w:eastAsia="Calibri" w:cs="Times New Roman"/>
                <w:noProof/>
                <w:sz w:val="22"/>
                <w:lang w:val="en-GB"/>
              </w:rPr>
            </w:pPr>
            <w:r w:rsidRPr="00FD703D">
              <w:rPr>
                <w:rFonts w:eastAsia="Calibri" w:cs="Times New Roman"/>
                <w:b/>
                <w:bCs/>
                <w:noProof/>
                <w:sz w:val="22"/>
                <w:lang w:val="en-GB"/>
              </w:rPr>
              <w:t>Assessment</w:t>
            </w:r>
          </w:p>
        </w:tc>
      </w:tr>
      <w:tr w:rsidR="008A0490" w:rsidRPr="00FD703D" w14:paraId="225A0C9B" w14:textId="77777777" w:rsidTr="005E54DA">
        <w:trPr>
          <w:trHeight w:val="445"/>
        </w:trPr>
        <w:tc>
          <w:tcPr>
            <w:tcW w:w="14511" w:type="dxa"/>
            <w:gridSpan w:val="5"/>
            <w:tcBorders>
              <w:bottom w:val="single" w:sz="4" w:space="0" w:color="auto"/>
            </w:tcBorders>
            <w:shd w:val="clear" w:color="auto" w:fill="003399"/>
          </w:tcPr>
          <w:p w14:paraId="671817E8" w14:textId="77777777" w:rsidR="00872C68" w:rsidRPr="00FD703D" w:rsidRDefault="00872C68" w:rsidP="004749EF">
            <w:pPr>
              <w:spacing w:before="120" w:after="120" w:line="259" w:lineRule="auto"/>
              <w:jc w:val="center"/>
              <w:rPr>
                <w:rFonts w:eastAsia="Calibri" w:cs="Times New Roman"/>
                <w:b/>
                <w:noProof/>
                <w:sz w:val="22"/>
                <w:lang w:val="en-GB"/>
              </w:rPr>
            </w:pPr>
            <w:r w:rsidRPr="00FD703D">
              <w:rPr>
                <w:rFonts w:eastAsia="Calibri" w:cs="Times New Roman"/>
                <w:b/>
                <w:noProof/>
                <w:color w:val="FFFFFF"/>
                <w:sz w:val="22"/>
                <w:lang w:val="en-GB"/>
              </w:rPr>
              <w:t>EU legislation and legislative process</w:t>
            </w:r>
          </w:p>
        </w:tc>
      </w:tr>
      <w:tr w:rsidR="006862F9" w:rsidRPr="00FD703D" w14:paraId="383EA553" w14:textId="77777777" w:rsidTr="00FD703D">
        <w:trPr>
          <w:gridAfter w:val="1"/>
          <w:wAfter w:w="16" w:type="dxa"/>
          <w:trHeight w:val="300"/>
        </w:trPr>
        <w:tc>
          <w:tcPr>
            <w:tcW w:w="676" w:type="dxa"/>
            <w:tcBorders>
              <w:top w:val="nil"/>
            </w:tcBorders>
            <w:vAlign w:val="center"/>
          </w:tcPr>
          <w:p w14:paraId="73A24A4E" w14:textId="28860D65"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26</w:t>
            </w:r>
            <w:r w:rsidR="00E558D0">
              <w:rPr>
                <w:rFonts w:eastAsia="Calibri" w:cs="Times New Roman"/>
                <w:b/>
                <w:bCs/>
                <w:noProof/>
                <w:sz w:val="22"/>
                <w:lang w:val="en-GB"/>
              </w:rPr>
              <w:t>0</w:t>
            </w:r>
          </w:p>
        </w:tc>
        <w:tc>
          <w:tcPr>
            <w:tcW w:w="5923" w:type="dxa"/>
            <w:tcBorders>
              <w:top w:val="nil"/>
            </w:tcBorders>
            <w:vAlign w:val="center"/>
          </w:tcPr>
          <w:p w14:paraId="340994CA" w14:textId="59A332FB"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b/>
                <w:bCs/>
                <w:noProof/>
                <w:sz w:val="22"/>
                <w:lang w:val="en-GB"/>
              </w:rPr>
              <w:t xml:space="preserve">Impact assessments: </w:t>
            </w:r>
            <w:r w:rsidR="005B1918" w:rsidRPr="00FD703D">
              <w:rPr>
                <w:rFonts w:eastAsia="Calibri" w:cs="Times New Roman"/>
                <w:noProof/>
                <w:sz w:val="22"/>
                <w:lang w:val="en-GB"/>
              </w:rPr>
              <w:t>c</w:t>
            </w:r>
            <w:r w:rsidRPr="00FD703D">
              <w:rPr>
                <w:rFonts w:eastAsia="Calibri" w:cs="Times New Roman"/>
                <w:noProof/>
                <w:sz w:val="22"/>
                <w:lang w:val="en-GB"/>
              </w:rPr>
              <w:t xml:space="preserve">all for impact assessments of new European Green Deal legislation, especially on </w:t>
            </w:r>
            <w:r w:rsidR="00A01A99" w:rsidRPr="00FD703D">
              <w:rPr>
                <w:rFonts w:eastAsia="Calibri" w:cs="Times New Roman"/>
                <w:noProof/>
                <w:sz w:val="22"/>
                <w:lang w:val="en-GB"/>
              </w:rPr>
              <w:t xml:space="preserve">the </w:t>
            </w:r>
            <w:r w:rsidRPr="00FD703D">
              <w:rPr>
                <w:rFonts w:eastAsia="Calibri" w:cs="Times New Roman"/>
                <w:noProof/>
                <w:sz w:val="22"/>
                <w:lang w:val="en-GB"/>
              </w:rPr>
              <w:t xml:space="preserve">environment, to take better account of the viability of </w:t>
            </w:r>
            <w:r w:rsidR="00A01A99" w:rsidRPr="00FD703D">
              <w:rPr>
                <w:rFonts w:eastAsia="Calibri" w:cs="Times New Roman"/>
                <w:noProof/>
                <w:sz w:val="22"/>
                <w:lang w:val="en-GB"/>
              </w:rPr>
              <w:t xml:space="preserve">the </w:t>
            </w:r>
            <w:r w:rsidRPr="00FD703D">
              <w:rPr>
                <w:rFonts w:eastAsia="Calibri" w:cs="Times New Roman"/>
                <w:noProof/>
                <w:sz w:val="22"/>
                <w:lang w:val="en-GB"/>
              </w:rPr>
              <w:t>primary sector.</w:t>
            </w:r>
          </w:p>
          <w:p w14:paraId="6E9DC5FF" w14:textId="4AD59888"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Call </w:t>
            </w:r>
            <w:r w:rsidR="00A01A99" w:rsidRPr="00FD703D">
              <w:rPr>
                <w:rFonts w:eastAsia="Calibri" w:cs="Times New Roman"/>
                <w:noProof/>
                <w:sz w:val="22"/>
                <w:lang w:val="en-GB"/>
              </w:rPr>
              <w:t xml:space="preserve">to </w:t>
            </w:r>
            <w:r w:rsidRPr="00FD703D">
              <w:rPr>
                <w:rFonts w:eastAsia="Calibri" w:cs="Times New Roman"/>
                <w:noProof/>
                <w:sz w:val="22"/>
                <w:lang w:val="en-GB"/>
              </w:rPr>
              <w:t xml:space="preserve">review </w:t>
            </w:r>
            <w:r w:rsidR="00A01A99" w:rsidRPr="00FD703D">
              <w:rPr>
                <w:rFonts w:eastAsia="Calibri" w:cs="Times New Roman"/>
                <w:noProof/>
                <w:sz w:val="22"/>
                <w:lang w:val="en-GB"/>
              </w:rPr>
              <w:t>the</w:t>
            </w:r>
            <w:r w:rsidRPr="00FD703D">
              <w:rPr>
                <w:rFonts w:eastAsia="Calibri" w:cs="Times New Roman"/>
                <w:noProof/>
                <w:sz w:val="22"/>
                <w:lang w:val="en-GB"/>
              </w:rPr>
              <w:t xml:space="preserve"> </w:t>
            </w:r>
            <w:r w:rsidR="00A01A99" w:rsidRPr="00FD703D">
              <w:rPr>
                <w:rFonts w:eastAsia="Calibri" w:cs="Times New Roman"/>
                <w:noProof/>
                <w:sz w:val="22"/>
                <w:lang w:val="en-GB"/>
              </w:rPr>
              <w:t xml:space="preserve">cross-cutting </w:t>
            </w:r>
            <w:r w:rsidRPr="00FD703D">
              <w:rPr>
                <w:rFonts w:eastAsia="Calibri" w:cs="Times New Roman"/>
                <w:noProof/>
                <w:sz w:val="22"/>
                <w:lang w:val="en-GB"/>
              </w:rPr>
              <w:t xml:space="preserve">requirements on environment and climate to determine the need for any exceptions, transition periods or alternative proposals, including </w:t>
            </w:r>
            <w:r w:rsidR="00A01A99" w:rsidRPr="00FD703D">
              <w:rPr>
                <w:rFonts w:eastAsia="Calibri" w:cs="Times New Roman"/>
                <w:noProof/>
                <w:sz w:val="22"/>
                <w:lang w:val="en-GB"/>
              </w:rPr>
              <w:t>maintaining</w:t>
            </w:r>
            <w:r w:rsidRPr="00FD703D">
              <w:rPr>
                <w:rFonts w:eastAsia="Calibri" w:cs="Times New Roman"/>
                <w:noProof/>
                <w:sz w:val="22"/>
                <w:lang w:val="en-GB"/>
              </w:rPr>
              <w:t xml:space="preserve"> the status quo, to facilitate compliance.</w:t>
            </w:r>
          </w:p>
        </w:tc>
        <w:tc>
          <w:tcPr>
            <w:tcW w:w="1530" w:type="dxa"/>
            <w:tcBorders>
              <w:top w:val="nil"/>
            </w:tcBorders>
            <w:vAlign w:val="center"/>
          </w:tcPr>
          <w:p w14:paraId="35C1C5D1" w14:textId="7F4983BA" w:rsidR="00872C68" w:rsidRPr="00FD703D" w:rsidRDefault="00872C68" w:rsidP="001061AF">
            <w:pPr>
              <w:spacing w:after="60" w:line="259" w:lineRule="auto"/>
              <w:jc w:val="center"/>
              <w:rPr>
                <w:rFonts w:eastAsia="MS Gothic" w:cs="Times New Roman"/>
                <w:b/>
                <w:noProof/>
                <w:color w:val="0033CC"/>
                <w:sz w:val="22"/>
                <w:lang w:val="es-CU"/>
              </w:rPr>
            </w:pPr>
            <w:r w:rsidRPr="00FD703D">
              <w:rPr>
                <w:rFonts w:eastAsia="MS Gothic" w:cs="Times New Roman"/>
                <w:b/>
                <w:noProof/>
                <w:color w:val="0033CC"/>
                <w:sz w:val="22"/>
                <w:lang w:val="es-CU"/>
              </w:rPr>
              <w:t>CY, CZ, EL, RO,</w:t>
            </w:r>
          </w:p>
          <w:p w14:paraId="4E12D386" w14:textId="77777777" w:rsidR="005B1918" w:rsidRPr="00FD703D" w:rsidRDefault="005B1918" w:rsidP="001061AF">
            <w:pPr>
              <w:spacing w:after="60" w:line="259" w:lineRule="auto"/>
              <w:jc w:val="center"/>
              <w:rPr>
                <w:rFonts w:eastAsia="MS Gothic" w:cs="Times New Roman"/>
                <w:b/>
                <w:noProof/>
                <w:color w:val="0033CC"/>
                <w:sz w:val="22"/>
                <w:lang w:val="es-CU"/>
              </w:rPr>
            </w:pPr>
          </w:p>
          <w:p w14:paraId="65CEB844" w14:textId="77777777" w:rsidR="00872C68" w:rsidRPr="00FD703D" w:rsidRDefault="00872C68" w:rsidP="001061AF">
            <w:pPr>
              <w:spacing w:after="60" w:line="259" w:lineRule="auto"/>
              <w:jc w:val="center"/>
              <w:rPr>
                <w:rFonts w:eastAsia="MS Gothic" w:cs="Times New Roman"/>
                <w:b/>
                <w:noProof/>
                <w:color w:val="0033CC"/>
                <w:sz w:val="22"/>
                <w:lang w:val="es-CU"/>
              </w:rPr>
            </w:pPr>
            <w:r w:rsidRPr="00FD703D">
              <w:rPr>
                <w:rFonts w:eastAsia="MS Gothic" w:cs="Times New Roman"/>
                <w:b/>
                <w:noProof/>
                <w:color w:val="0033CC"/>
                <w:sz w:val="22"/>
                <w:lang w:val="es-CU"/>
              </w:rPr>
              <w:t>COM AGRI</w:t>
            </w:r>
          </w:p>
        </w:tc>
        <w:tc>
          <w:tcPr>
            <w:tcW w:w="6366" w:type="dxa"/>
            <w:tcBorders>
              <w:top w:val="nil"/>
            </w:tcBorders>
            <w:vAlign w:val="center"/>
          </w:tcPr>
          <w:p w14:paraId="468004A2" w14:textId="7F34D840" w:rsidR="00872C68" w:rsidRPr="00FD703D" w:rsidRDefault="00872C68" w:rsidP="0054045F">
            <w:pPr>
              <w:spacing w:after="60" w:line="259" w:lineRule="auto"/>
              <w:jc w:val="both"/>
              <w:rPr>
                <w:rFonts w:eastAsia="Calibri" w:cs="Times New Roman"/>
                <w:noProof/>
                <w:sz w:val="22"/>
                <w:szCs w:val="20"/>
                <w:lang w:val="en-IE"/>
              </w:rPr>
            </w:pPr>
            <w:r w:rsidRPr="00FD703D">
              <w:rPr>
                <w:rFonts w:eastAsia="Calibri" w:cs="Times New Roman"/>
                <w:noProof/>
                <w:sz w:val="22"/>
                <w:szCs w:val="20"/>
                <w:lang w:val="en-IE"/>
              </w:rPr>
              <w:t xml:space="preserve">The Commission </w:t>
            </w:r>
            <w:r w:rsidR="00A01A99" w:rsidRPr="00FD703D">
              <w:rPr>
                <w:rFonts w:eastAsia="Calibri" w:cs="Times New Roman"/>
                <w:noProof/>
                <w:sz w:val="22"/>
                <w:szCs w:val="20"/>
                <w:lang w:val="en-IE"/>
              </w:rPr>
              <w:t>agrees on</w:t>
            </w:r>
            <w:r w:rsidRPr="00FD703D">
              <w:rPr>
                <w:rFonts w:eastAsia="Calibri" w:cs="Times New Roman"/>
                <w:noProof/>
                <w:sz w:val="22"/>
                <w:szCs w:val="20"/>
                <w:lang w:val="en-IE"/>
              </w:rPr>
              <w:t xml:space="preserve"> the importance of thorough impact assessments and will continue its practice in line with Better Regulation principles where, among other </w:t>
            </w:r>
            <w:r w:rsidR="00A01A99" w:rsidRPr="00FD703D">
              <w:rPr>
                <w:rFonts w:eastAsia="Calibri" w:cs="Times New Roman"/>
                <w:noProof/>
                <w:sz w:val="22"/>
                <w:szCs w:val="20"/>
                <w:lang w:val="en-IE"/>
              </w:rPr>
              <w:t>issues</w:t>
            </w:r>
            <w:r w:rsidRPr="00FD703D">
              <w:rPr>
                <w:rFonts w:eastAsia="Calibri" w:cs="Times New Roman"/>
                <w:noProof/>
                <w:sz w:val="22"/>
                <w:szCs w:val="20"/>
                <w:lang w:val="en-IE"/>
              </w:rPr>
              <w:t xml:space="preserve">, </w:t>
            </w:r>
            <w:r w:rsidR="00A01A99" w:rsidRPr="00FD703D">
              <w:rPr>
                <w:rFonts w:eastAsia="Calibri" w:cs="Times New Roman"/>
                <w:noProof/>
                <w:sz w:val="22"/>
                <w:szCs w:val="20"/>
                <w:lang w:val="en-IE"/>
              </w:rPr>
              <w:t xml:space="preserve">the </w:t>
            </w:r>
            <w:r w:rsidRPr="00FD703D">
              <w:rPr>
                <w:rFonts w:eastAsia="Calibri" w:cs="Times New Roman"/>
                <w:noProof/>
                <w:sz w:val="22"/>
                <w:szCs w:val="20"/>
                <w:lang w:val="en-IE"/>
              </w:rPr>
              <w:t xml:space="preserve">competitiveness and </w:t>
            </w:r>
            <w:r w:rsidR="00A01A99" w:rsidRPr="00FD703D">
              <w:rPr>
                <w:rFonts w:eastAsia="Calibri" w:cs="Times New Roman"/>
                <w:noProof/>
                <w:sz w:val="22"/>
                <w:szCs w:val="20"/>
                <w:lang w:val="en-IE"/>
              </w:rPr>
              <w:t xml:space="preserve">consistency </w:t>
            </w:r>
            <w:r w:rsidRPr="00FD703D">
              <w:rPr>
                <w:rFonts w:eastAsia="Calibri" w:cs="Times New Roman"/>
                <w:noProof/>
                <w:sz w:val="22"/>
                <w:szCs w:val="20"/>
                <w:lang w:val="en-IE"/>
              </w:rPr>
              <w:t xml:space="preserve">of legislation are mandatory topics to be </w:t>
            </w:r>
            <w:r w:rsidR="00A01A99" w:rsidRPr="00FD703D">
              <w:rPr>
                <w:rFonts w:eastAsia="Calibri" w:cs="Times New Roman"/>
                <w:noProof/>
                <w:sz w:val="22"/>
                <w:szCs w:val="20"/>
                <w:lang w:val="en-IE"/>
              </w:rPr>
              <w:t>examined</w:t>
            </w:r>
            <w:r w:rsidRPr="00FD703D">
              <w:rPr>
                <w:rFonts w:eastAsia="Calibri" w:cs="Times New Roman"/>
                <w:noProof/>
                <w:sz w:val="22"/>
                <w:szCs w:val="20"/>
                <w:lang w:val="en-IE"/>
              </w:rPr>
              <w:t xml:space="preserve">.   </w:t>
            </w:r>
          </w:p>
        </w:tc>
      </w:tr>
      <w:tr w:rsidR="005435E2" w:rsidRPr="00FD703D" w14:paraId="100CF3DC" w14:textId="77777777" w:rsidTr="00FD703D">
        <w:trPr>
          <w:gridAfter w:val="1"/>
          <w:wAfter w:w="16" w:type="dxa"/>
          <w:trHeight w:val="2235"/>
        </w:trPr>
        <w:tc>
          <w:tcPr>
            <w:tcW w:w="676" w:type="dxa"/>
            <w:vAlign w:val="center"/>
          </w:tcPr>
          <w:p w14:paraId="56593F43" w14:textId="17451750"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26</w:t>
            </w:r>
            <w:r w:rsidR="00E558D0">
              <w:rPr>
                <w:rFonts w:eastAsia="Calibri" w:cs="Times New Roman"/>
                <w:b/>
                <w:bCs/>
                <w:noProof/>
                <w:sz w:val="22"/>
                <w:lang w:val="en-GB"/>
              </w:rPr>
              <w:t>1</w:t>
            </w:r>
          </w:p>
        </w:tc>
        <w:tc>
          <w:tcPr>
            <w:tcW w:w="5923" w:type="dxa"/>
            <w:vAlign w:val="center"/>
          </w:tcPr>
          <w:p w14:paraId="38DCCC93" w14:textId="332B3DC4"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b/>
                <w:noProof/>
                <w:sz w:val="22"/>
                <w:lang w:val="en-GB"/>
              </w:rPr>
              <w:t xml:space="preserve">Analysis of burden: </w:t>
            </w:r>
            <w:r w:rsidR="00D51B8D" w:rsidRPr="00FD703D">
              <w:rPr>
                <w:rFonts w:eastAsia="Calibri" w:cs="Times New Roman"/>
                <w:noProof/>
                <w:sz w:val="22"/>
                <w:lang w:val="en-GB"/>
              </w:rPr>
              <w:t>a</w:t>
            </w:r>
            <w:r w:rsidRPr="00FD703D">
              <w:rPr>
                <w:rFonts w:eastAsia="Calibri" w:cs="Times New Roman"/>
                <w:noProof/>
                <w:sz w:val="22"/>
                <w:lang w:val="en-GB"/>
              </w:rPr>
              <w:t xml:space="preserve">ssess </w:t>
            </w:r>
            <w:r w:rsidR="00A01A99" w:rsidRPr="00FD703D">
              <w:rPr>
                <w:rFonts w:eastAsia="Calibri" w:cs="Times New Roman"/>
                <w:noProof/>
                <w:sz w:val="22"/>
                <w:lang w:val="en-GB"/>
              </w:rPr>
              <w:t xml:space="preserve">the </w:t>
            </w:r>
            <w:r w:rsidRPr="00FD703D">
              <w:rPr>
                <w:rFonts w:eastAsia="Calibri" w:cs="Times New Roman"/>
                <w:noProof/>
                <w:sz w:val="22"/>
                <w:lang w:val="en-GB"/>
              </w:rPr>
              <w:t>burden of multiple laws on farmers. Develop method</w:t>
            </w:r>
            <w:r w:rsidR="00A01A99" w:rsidRPr="00FD703D">
              <w:rPr>
                <w:rFonts w:eastAsia="Calibri" w:cs="Times New Roman"/>
                <w:noProof/>
                <w:sz w:val="22"/>
                <w:lang w:val="en-GB"/>
              </w:rPr>
              <w:t>s</w:t>
            </w:r>
            <w:r w:rsidRPr="00FD703D">
              <w:rPr>
                <w:rFonts w:eastAsia="Calibri" w:cs="Times New Roman"/>
                <w:noProof/>
                <w:sz w:val="22"/>
                <w:lang w:val="en-GB"/>
              </w:rPr>
              <w:t>/tools for analysis of the simultaneous burden</w:t>
            </w:r>
            <w:r w:rsidR="00A01A99" w:rsidRPr="00FD703D">
              <w:rPr>
                <w:rFonts w:eastAsia="Calibri" w:cs="Times New Roman"/>
                <w:noProof/>
                <w:sz w:val="22"/>
                <w:lang w:val="en-GB"/>
              </w:rPr>
              <w:t>s</w:t>
            </w:r>
            <w:r w:rsidRPr="00FD703D">
              <w:rPr>
                <w:rFonts w:eastAsia="Calibri" w:cs="Times New Roman"/>
                <w:noProof/>
                <w:sz w:val="22"/>
                <w:lang w:val="en-GB"/>
              </w:rPr>
              <w:t xml:space="preserve"> from multiple pieces of legislation on </w:t>
            </w:r>
            <w:r w:rsidR="00A01A99" w:rsidRPr="00FD703D">
              <w:rPr>
                <w:rFonts w:eastAsia="Calibri" w:cs="Times New Roman"/>
                <w:noProof/>
                <w:sz w:val="22"/>
                <w:lang w:val="en-GB"/>
              </w:rPr>
              <w:t xml:space="preserve">the different types of </w:t>
            </w:r>
            <w:r w:rsidRPr="00FD703D">
              <w:rPr>
                <w:rFonts w:eastAsia="Calibri" w:cs="Times New Roman"/>
                <w:noProof/>
                <w:sz w:val="22"/>
                <w:lang w:val="en-GB"/>
              </w:rPr>
              <w:t xml:space="preserve">farmer, including the CAP as a tool to identify potential areas of legislation where </w:t>
            </w:r>
            <w:r w:rsidR="00A01A99" w:rsidRPr="00FD703D">
              <w:rPr>
                <w:rFonts w:eastAsia="Calibri" w:cs="Times New Roman"/>
                <w:noProof/>
                <w:sz w:val="22"/>
                <w:lang w:val="en-GB"/>
              </w:rPr>
              <w:t>it is necessary or possible to simplify</w:t>
            </w:r>
            <w:r w:rsidRPr="00FD703D">
              <w:rPr>
                <w:rFonts w:eastAsia="Calibri" w:cs="Times New Roman"/>
                <w:noProof/>
                <w:sz w:val="22"/>
                <w:lang w:val="en-GB"/>
              </w:rPr>
              <w:t xml:space="preserve">. </w:t>
            </w:r>
          </w:p>
        </w:tc>
        <w:tc>
          <w:tcPr>
            <w:tcW w:w="1530" w:type="dxa"/>
            <w:vAlign w:val="center"/>
          </w:tcPr>
          <w:p w14:paraId="09A0F813"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SE</w:t>
            </w:r>
          </w:p>
        </w:tc>
        <w:tc>
          <w:tcPr>
            <w:tcW w:w="6366" w:type="dxa"/>
            <w:vAlign w:val="center"/>
          </w:tcPr>
          <w:p w14:paraId="7F59AE1D" w14:textId="295904D0" w:rsidR="00872C68" w:rsidRPr="00FD703D" w:rsidRDefault="00872C68" w:rsidP="0054045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The Commission </w:t>
            </w:r>
            <w:r w:rsidR="000F7530" w:rsidRPr="00FD703D">
              <w:rPr>
                <w:rFonts w:eastAsia="Calibri" w:cs="Times New Roman"/>
                <w:noProof/>
                <w:sz w:val="22"/>
                <w:lang w:val="en-GB"/>
              </w:rPr>
              <w:t>agrees on</w:t>
            </w:r>
            <w:r w:rsidRPr="00FD703D">
              <w:rPr>
                <w:rFonts w:eastAsia="Calibri" w:cs="Times New Roman"/>
                <w:noProof/>
                <w:sz w:val="22"/>
                <w:lang w:val="en-GB"/>
              </w:rPr>
              <w:t xml:space="preserve"> the importance of cumulative assessment of impacts and consistency of legislation.</w:t>
            </w:r>
          </w:p>
          <w:p w14:paraId="0AB2FFD3" w14:textId="5EE82E33" w:rsidR="00872C68" w:rsidRPr="00FD703D" w:rsidRDefault="29CB0D46" w:rsidP="0054045F">
            <w:pPr>
              <w:spacing w:after="60" w:line="259" w:lineRule="auto"/>
              <w:jc w:val="both"/>
              <w:rPr>
                <w:rFonts w:eastAsia="Calibri" w:cs="Times New Roman"/>
                <w:noProof/>
                <w:sz w:val="22"/>
                <w:lang w:val="en-GB"/>
              </w:rPr>
            </w:pPr>
            <w:r w:rsidRPr="00FD703D">
              <w:rPr>
                <w:rFonts w:eastAsia="Calibri" w:cs="Times New Roman"/>
                <w:noProof/>
                <w:sz w:val="22"/>
                <w:szCs w:val="20"/>
                <w:lang w:val="en-GB"/>
              </w:rPr>
              <w:t xml:space="preserve">The ongoing study on </w:t>
            </w:r>
            <w:r w:rsidR="1300B00C" w:rsidRPr="00FD703D">
              <w:rPr>
                <w:rFonts w:eastAsia="Calibri" w:cs="Times New Roman"/>
                <w:noProof/>
                <w:sz w:val="22"/>
                <w:szCs w:val="20"/>
                <w:lang w:val="en-GB"/>
              </w:rPr>
              <w:t xml:space="preserve">the </w:t>
            </w:r>
            <w:r w:rsidRPr="00FD703D">
              <w:rPr>
                <w:rFonts w:eastAsia="Calibri" w:cs="Times New Roman"/>
                <w:noProof/>
                <w:sz w:val="22"/>
                <w:szCs w:val="20"/>
                <w:lang w:val="en-GB"/>
              </w:rPr>
              <w:t xml:space="preserve">administrative burden and simplification will provide insights into the sources of </w:t>
            </w:r>
            <w:r w:rsidR="1300B00C" w:rsidRPr="00FD703D">
              <w:rPr>
                <w:rFonts w:eastAsia="Calibri" w:cs="Times New Roman"/>
                <w:noProof/>
                <w:sz w:val="22"/>
                <w:szCs w:val="20"/>
                <w:lang w:val="en-GB"/>
              </w:rPr>
              <w:t xml:space="preserve">the </w:t>
            </w:r>
            <w:r w:rsidRPr="00FD703D">
              <w:rPr>
                <w:rFonts w:eastAsia="Calibri" w:cs="Times New Roman"/>
                <w:noProof/>
                <w:sz w:val="22"/>
                <w:szCs w:val="20"/>
                <w:lang w:val="en-GB"/>
              </w:rPr>
              <w:t>burden</w:t>
            </w:r>
            <w:r w:rsidR="1300B00C" w:rsidRPr="00FD703D">
              <w:rPr>
                <w:rFonts w:eastAsia="Calibri" w:cs="Times New Roman"/>
                <w:noProof/>
                <w:sz w:val="22"/>
                <w:szCs w:val="20"/>
                <w:lang w:val="en-GB"/>
              </w:rPr>
              <w:t>s that</w:t>
            </w:r>
            <w:r w:rsidRPr="00FD703D">
              <w:rPr>
                <w:rFonts w:eastAsia="Calibri" w:cs="Times New Roman"/>
                <w:noProof/>
                <w:sz w:val="22"/>
                <w:szCs w:val="20"/>
                <w:lang w:val="en-GB"/>
              </w:rPr>
              <w:t xml:space="preserve"> weigh on farmers. The results of the study are expected by </w:t>
            </w:r>
            <w:r w:rsidR="48805C58" w:rsidRPr="00FD703D">
              <w:rPr>
                <w:rFonts w:eastAsia="Calibri" w:cs="Times New Roman"/>
                <w:noProof/>
                <w:sz w:val="22"/>
                <w:szCs w:val="20"/>
                <w:lang w:val="en-GB"/>
              </w:rPr>
              <w:t>early 2025</w:t>
            </w:r>
            <w:r w:rsidRPr="00FD703D">
              <w:rPr>
                <w:rFonts w:eastAsia="Calibri" w:cs="Times New Roman"/>
                <w:noProof/>
                <w:sz w:val="22"/>
                <w:szCs w:val="20"/>
                <w:lang w:val="en-GB"/>
              </w:rPr>
              <w:t>.</w:t>
            </w:r>
          </w:p>
        </w:tc>
      </w:tr>
      <w:tr w:rsidR="005435E2" w:rsidRPr="00FD703D" w14:paraId="081AFC6D" w14:textId="77777777" w:rsidTr="00FD703D">
        <w:trPr>
          <w:gridAfter w:val="1"/>
          <w:wAfter w:w="16" w:type="dxa"/>
          <w:trHeight w:val="300"/>
        </w:trPr>
        <w:tc>
          <w:tcPr>
            <w:tcW w:w="676" w:type="dxa"/>
            <w:vAlign w:val="center"/>
          </w:tcPr>
          <w:p w14:paraId="5BF3E6DB" w14:textId="11533231"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26</w:t>
            </w:r>
            <w:r w:rsidR="00E558D0">
              <w:rPr>
                <w:rFonts w:eastAsia="Calibri" w:cs="Times New Roman"/>
                <w:b/>
                <w:bCs/>
                <w:noProof/>
                <w:sz w:val="22"/>
                <w:lang w:val="en-GB"/>
              </w:rPr>
              <w:t>2</w:t>
            </w:r>
          </w:p>
        </w:tc>
        <w:tc>
          <w:tcPr>
            <w:tcW w:w="5923" w:type="dxa"/>
            <w:vAlign w:val="center"/>
          </w:tcPr>
          <w:p w14:paraId="36EC58A5" w14:textId="7A116DD6"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Rural proofing</w:t>
            </w:r>
            <w:r w:rsidRPr="00FD703D">
              <w:rPr>
                <w:rFonts w:eastAsia="Calibri" w:cs="Times New Roman"/>
                <w:noProof/>
                <w:sz w:val="22"/>
                <w:szCs w:val="20"/>
                <w:lang w:val="en-GB"/>
              </w:rPr>
              <w:t xml:space="preserve">: </w:t>
            </w:r>
            <w:r w:rsidR="00D51B8D" w:rsidRPr="00FD703D">
              <w:rPr>
                <w:rFonts w:eastAsia="Calibri" w:cs="Times New Roman"/>
                <w:noProof/>
                <w:sz w:val="22"/>
                <w:szCs w:val="20"/>
                <w:lang w:val="en-GB"/>
              </w:rPr>
              <w:t>c</w:t>
            </w:r>
            <w:r w:rsidRPr="00FD703D">
              <w:rPr>
                <w:rFonts w:eastAsia="Calibri" w:cs="Times New Roman"/>
                <w:noProof/>
                <w:sz w:val="22"/>
                <w:szCs w:val="20"/>
                <w:lang w:val="en-GB"/>
              </w:rPr>
              <w:t xml:space="preserve">all for </w:t>
            </w:r>
            <w:r w:rsidR="62FADD6F" w:rsidRPr="00FD703D">
              <w:rPr>
                <w:rFonts w:eastAsia="Calibri" w:cs="Times New Roman"/>
                <w:noProof/>
                <w:sz w:val="22"/>
                <w:szCs w:val="20"/>
                <w:lang w:val="en-GB"/>
              </w:rPr>
              <w:t xml:space="preserve">the </w:t>
            </w:r>
            <w:r w:rsidRPr="00FD703D">
              <w:rPr>
                <w:rFonts w:eastAsia="Calibri" w:cs="Times New Roman"/>
                <w:noProof/>
                <w:sz w:val="22"/>
                <w:szCs w:val="20"/>
                <w:lang w:val="en-GB"/>
              </w:rPr>
              <w:t xml:space="preserve">rural proofing of EU proposed legislation. Ensure </w:t>
            </w:r>
            <w:r w:rsidR="62FADD6F" w:rsidRPr="00FD703D">
              <w:rPr>
                <w:rFonts w:eastAsia="Calibri" w:cs="Times New Roman"/>
                <w:noProof/>
                <w:sz w:val="22"/>
                <w:szCs w:val="20"/>
                <w:lang w:val="en-GB"/>
              </w:rPr>
              <w:t xml:space="preserve">the </w:t>
            </w:r>
            <w:r w:rsidRPr="00FD703D">
              <w:rPr>
                <w:rFonts w:eastAsia="Calibri" w:cs="Times New Roman"/>
                <w:noProof/>
                <w:sz w:val="22"/>
                <w:szCs w:val="20"/>
                <w:lang w:val="en-GB"/>
              </w:rPr>
              <w:t>consistency</w:t>
            </w:r>
            <w:r w:rsidR="62FADD6F" w:rsidRPr="00FD703D">
              <w:rPr>
                <w:rFonts w:eastAsia="Calibri" w:cs="Times New Roman"/>
                <w:noProof/>
                <w:sz w:val="22"/>
                <w:szCs w:val="20"/>
                <w:lang w:val="en-GB"/>
              </w:rPr>
              <w:t xml:space="preserve"> </w:t>
            </w:r>
            <w:r w:rsidRPr="00FD703D">
              <w:rPr>
                <w:rFonts w:eastAsia="Calibri" w:cs="Times New Roman"/>
                <w:noProof/>
                <w:sz w:val="22"/>
                <w:szCs w:val="20"/>
                <w:lang w:val="en-GB"/>
              </w:rPr>
              <w:t>and complementarity of the relevant policies.</w:t>
            </w:r>
          </w:p>
        </w:tc>
        <w:tc>
          <w:tcPr>
            <w:tcW w:w="1530" w:type="dxa"/>
            <w:vAlign w:val="center"/>
          </w:tcPr>
          <w:p w14:paraId="241179CD"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SE, FI,</w:t>
            </w:r>
          </w:p>
          <w:p w14:paraId="4D7A685E" w14:textId="77777777" w:rsidR="00872C68" w:rsidRPr="00FD703D" w:rsidRDefault="00872C68" w:rsidP="001061AF">
            <w:pPr>
              <w:spacing w:after="60" w:line="259" w:lineRule="auto"/>
              <w:jc w:val="center"/>
              <w:rPr>
                <w:rFonts w:eastAsia="MS Gothic" w:cs="Times New Roman"/>
                <w:b/>
                <w:noProof/>
                <w:color w:val="0033CC"/>
                <w:sz w:val="22"/>
                <w:lang w:val="en-GB"/>
              </w:rPr>
            </w:pPr>
          </w:p>
          <w:p w14:paraId="6C02AF25"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66" w:type="dxa"/>
            <w:vAlign w:val="center"/>
          </w:tcPr>
          <w:p w14:paraId="3E0605D8" w14:textId="5137F6F9" w:rsidR="00872C68" w:rsidRPr="00FD703D" w:rsidRDefault="00A12AA9" w:rsidP="0054045F">
            <w:pPr>
              <w:spacing w:after="60" w:line="259" w:lineRule="auto"/>
              <w:jc w:val="both"/>
              <w:rPr>
                <w:rFonts w:eastAsia="Calibri" w:cs="Times New Roman"/>
                <w:noProof/>
                <w:sz w:val="22"/>
                <w:lang w:val="en-GB"/>
              </w:rPr>
            </w:pPr>
            <w:r w:rsidRPr="00FD703D">
              <w:rPr>
                <w:rFonts w:eastAsia="Calibri" w:cs="Times New Roman"/>
                <w:noProof/>
                <w:sz w:val="22"/>
                <w:lang w:val="en-GB"/>
              </w:rPr>
              <w:t>The u</w:t>
            </w:r>
            <w:r w:rsidR="00872C68" w:rsidRPr="00FD703D">
              <w:rPr>
                <w:rFonts w:eastAsia="Calibri" w:cs="Times New Roman"/>
                <w:noProof/>
                <w:sz w:val="22"/>
                <w:lang w:val="en-GB"/>
              </w:rPr>
              <w:t xml:space="preserve">se of rural proofing is already part of the Commission’s Better Regulation methodology and is essentially implemented through </w:t>
            </w:r>
            <w:r w:rsidRPr="00FD703D">
              <w:rPr>
                <w:rFonts w:eastAsia="Calibri" w:cs="Times New Roman"/>
                <w:noProof/>
                <w:sz w:val="22"/>
                <w:lang w:val="en-GB"/>
              </w:rPr>
              <w:t>t</w:t>
            </w:r>
            <w:r w:rsidR="00872C68" w:rsidRPr="00FD703D">
              <w:rPr>
                <w:rFonts w:eastAsia="Calibri" w:cs="Times New Roman"/>
                <w:noProof/>
                <w:sz w:val="22"/>
                <w:lang w:val="en-GB"/>
              </w:rPr>
              <w:t xml:space="preserve">erritorial </w:t>
            </w:r>
            <w:r w:rsidRPr="00FD703D">
              <w:rPr>
                <w:rFonts w:eastAsia="Calibri" w:cs="Times New Roman"/>
                <w:noProof/>
                <w:sz w:val="22"/>
                <w:lang w:val="en-GB"/>
              </w:rPr>
              <w:t>i</w:t>
            </w:r>
            <w:r w:rsidR="00872C68" w:rsidRPr="00FD703D">
              <w:rPr>
                <w:rFonts w:eastAsia="Calibri" w:cs="Times New Roman"/>
                <w:noProof/>
                <w:sz w:val="22"/>
                <w:lang w:val="en-GB"/>
              </w:rPr>
              <w:t xml:space="preserve">mpact </w:t>
            </w:r>
            <w:r w:rsidRPr="00FD703D">
              <w:rPr>
                <w:rFonts w:eastAsia="Calibri" w:cs="Times New Roman"/>
                <w:noProof/>
                <w:sz w:val="22"/>
                <w:lang w:val="en-GB"/>
              </w:rPr>
              <w:t>a</w:t>
            </w:r>
            <w:r w:rsidR="00872C68" w:rsidRPr="00FD703D">
              <w:rPr>
                <w:rFonts w:eastAsia="Calibri" w:cs="Times New Roman"/>
                <w:noProof/>
                <w:sz w:val="22"/>
                <w:lang w:val="en-GB"/>
              </w:rPr>
              <w:t>ssessment</w:t>
            </w:r>
            <w:r w:rsidRPr="00FD703D">
              <w:rPr>
                <w:rFonts w:eastAsia="Calibri" w:cs="Times New Roman"/>
                <w:noProof/>
                <w:sz w:val="22"/>
                <w:lang w:val="en-GB"/>
              </w:rPr>
              <w:t>s</w:t>
            </w:r>
            <w:r w:rsidR="00872C68" w:rsidRPr="00FD703D">
              <w:rPr>
                <w:rFonts w:eastAsia="Calibri" w:cs="Times New Roman"/>
                <w:noProof/>
                <w:sz w:val="22"/>
                <w:lang w:val="en-GB"/>
              </w:rPr>
              <w:t xml:space="preserve">. Better Regulation also envisages the assessment of the impact of EU </w:t>
            </w:r>
            <w:r w:rsidRPr="00FD703D">
              <w:rPr>
                <w:rFonts w:eastAsia="Calibri" w:cs="Times New Roman"/>
                <w:noProof/>
                <w:sz w:val="22"/>
                <w:lang w:val="en-GB"/>
              </w:rPr>
              <w:t xml:space="preserve">rules </w:t>
            </w:r>
            <w:r w:rsidR="00872C68" w:rsidRPr="00FD703D">
              <w:rPr>
                <w:rFonts w:eastAsia="Calibri" w:cs="Times New Roman"/>
                <w:noProof/>
                <w:sz w:val="22"/>
                <w:lang w:val="en-GB"/>
              </w:rPr>
              <w:t>on SME</w:t>
            </w:r>
            <w:r w:rsidRPr="00FD703D">
              <w:rPr>
                <w:rFonts w:eastAsia="Calibri" w:cs="Times New Roman"/>
                <w:noProof/>
                <w:sz w:val="22"/>
                <w:lang w:val="en-GB"/>
              </w:rPr>
              <w:t>s</w:t>
            </w:r>
            <w:r w:rsidR="00872C68" w:rsidRPr="00FD703D">
              <w:rPr>
                <w:rFonts w:eastAsia="Calibri" w:cs="Times New Roman"/>
                <w:noProof/>
                <w:sz w:val="22"/>
                <w:lang w:val="en-GB"/>
              </w:rPr>
              <w:t>, including rural businesses.</w:t>
            </w:r>
          </w:p>
        </w:tc>
      </w:tr>
      <w:tr w:rsidR="005435E2" w:rsidRPr="00FD703D" w14:paraId="0016D060" w14:textId="77777777" w:rsidTr="00BC3F56">
        <w:trPr>
          <w:gridAfter w:val="1"/>
          <w:wAfter w:w="16" w:type="dxa"/>
          <w:trHeight w:val="2148"/>
        </w:trPr>
        <w:tc>
          <w:tcPr>
            <w:tcW w:w="676" w:type="dxa"/>
            <w:vAlign w:val="center"/>
          </w:tcPr>
          <w:p w14:paraId="0E52839E" w14:textId="3ED35B40"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lastRenderedPageBreak/>
              <w:t>26</w:t>
            </w:r>
            <w:r w:rsidR="00E558D0">
              <w:rPr>
                <w:rFonts w:eastAsia="Calibri" w:cs="Times New Roman"/>
                <w:b/>
                <w:bCs/>
                <w:noProof/>
                <w:sz w:val="22"/>
                <w:lang w:val="en-GB"/>
              </w:rPr>
              <w:t>3</w:t>
            </w:r>
          </w:p>
        </w:tc>
        <w:tc>
          <w:tcPr>
            <w:tcW w:w="5923" w:type="dxa"/>
            <w:vAlign w:val="center"/>
          </w:tcPr>
          <w:p w14:paraId="0E9009B6" w14:textId="3D5D5D2F"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Consistency between laws affecting farmers</w:t>
            </w:r>
            <w:r w:rsidRPr="00FD703D">
              <w:rPr>
                <w:rFonts w:eastAsia="Calibri" w:cs="Times New Roman"/>
                <w:noProof/>
                <w:sz w:val="22"/>
                <w:szCs w:val="20"/>
                <w:lang w:val="en-GB"/>
              </w:rPr>
              <w:t xml:space="preserve">.: </w:t>
            </w:r>
            <w:r w:rsidR="6B930EA7" w:rsidRPr="00FD703D">
              <w:rPr>
                <w:rFonts w:eastAsia="Calibri" w:cs="Times New Roman"/>
                <w:noProof/>
                <w:sz w:val="22"/>
                <w:szCs w:val="20"/>
                <w:lang w:val="en-GB"/>
              </w:rPr>
              <w:t>c</w:t>
            </w:r>
            <w:r w:rsidRPr="00FD703D">
              <w:rPr>
                <w:rFonts w:eastAsia="Calibri" w:cs="Times New Roman"/>
                <w:noProof/>
                <w:sz w:val="22"/>
                <w:szCs w:val="20"/>
                <w:lang w:val="en-GB"/>
              </w:rPr>
              <w:t>all to ensure consistency</w:t>
            </w:r>
            <w:r w:rsidR="62FADD6F" w:rsidRPr="00FD703D">
              <w:rPr>
                <w:rFonts w:eastAsia="Calibri" w:cs="Times New Roman"/>
                <w:noProof/>
                <w:sz w:val="22"/>
                <w:szCs w:val="20"/>
                <w:lang w:val="en-GB"/>
              </w:rPr>
              <w:t xml:space="preserve"> and</w:t>
            </w:r>
            <w:r w:rsidRPr="00FD703D">
              <w:rPr>
                <w:rFonts w:eastAsia="Calibri" w:cs="Times New Roman"/>
                <w:noProof/>
                <w:sz w:val="22"/>
                <w:szCs w:val="20"/>
                <w:lang w:val="en-GB"/>
              </w:rPr>
              <w:t xml:space="preserve"> complementarit</w:t>
            </w:r>
            <w:r w:rsidR="62FADD6F" w:rsidRPr="00FD703D">
              <w:rPr>
                <w:rFonts w:eastAsia="Calibri" w:cs="Times New Roman"/>
                <w:noProof/>
                <w:sz w:val="22"/>
                <w:szCs w:val="20"/>
                <w:lang w:val="en-GB"/>
              </w:rPr>
              <w:t>y</w:t>
            </w:r>
            <w:r w:rsidRPr="00FD703D">
              <w:rPr>
                <w:rFonts w:eastAsia="Calibri" w:cs="Times New Roman"/>
                <w:noProof/>
                <w:sz w:val="22"/>
                <w:szCs w:val="20"/>
                <w:lang w:val="en-GB"/>
              </w:rPr>
              <w:t xml:space="preserve"> between the different policies, legislative proposals</w:t>
            </w:r>
            <w:r w:rsidR="62FADD6F" w:rsidRPr="00FD703D">
              <w:rPr>
                <w:rFonts w:eastAsia="Calibri" w:cs="Times New Roman"/>
                <w:noProof/>
                <w:sz w:val="22"/>
                <w:szCs w:val="20"/>
                <w:lang w:val="en-GB"/>
              </w:rPr>
              <w:t xml:space="preserve"> and </w:t>
            </w:r>
            <w:r w:rsidRPr="00FD703D">
              <w:rPr>
                <w:rFonts w:eastAsia="Calibri" w:cs="Times New Roman"/>
                <w:noProof/>
                <w:sz w:val="22"/>
                <w:szCs w:val="20"/>
                <w:lang w:val="en-GB"/>
              </w:rPr>
              <w:t xml:space="preserve">acts </w:t>
            </w:r>
            <w:r w:rsidR="62FADD6F" w:rsidRPr="00FD703D">
              <w:rPr>
                <w:rFonts w:eastAsia="Calibri" w:cs="Times New Roman"/>
                <w:noProof/>
                <w:sz w:val="22"/>
                <w:szCs w:val="20"/>
                <w:lang w:val="en-GB"/>
              </w:rPr>
              <w:t xml:space="preserve">that </w:t>
            </w:r>
            <w:r w:rsidRPr="00FD703D">
              <w:rPr>
                <w:rFonts w:eastAsia="Calibri" w:cs="Times New Roman"/>
                <w:noProof/>
                <w:sz w:val="22"/>
                <w:szCs w:val="20"/>
                <w:lang w:val="en-GB"/>
              </w:rPr>
              <w:t xml:space="preserve">affect farmers (e.g. </w:t>
            </w:r>
            <w:r w:rsidR="62FADD6F" w:rsidRPr="00FD703D">
              <w:rPr>
                <w:rFonts w:eastAsia="Calibri" w:cs="Times New Roman"/>
                <w:noProof/>
                <w:sz w:val="22"/>
                <w:szCs w:val="20"/>
                <w:lang w:val="en-GB"/>
              </w:rPr>
              <w:t xml:space="preserve">between the </w:t>
            </w:r>
            <w:r w:rsidRPr="00FD703D">
              <w:rPr>
                <w:rFonts w:eastAsia="Calibri" w:cs="Times New Roman"/>
                <w:noProof/>
                <w:sz w:val="22"/>
                <w:szCs w:val="20"/>
                <w:lang w:val="en-GB"/>
              </w:rPr>
              <w:t>CAP</w:t>
            </w:r>
            <w:r w:rsidR="62FADD6F" w:rsidRPr="00FD703D">
              <w:rPr>
                <w:rFonts w:eastAsia="Calibri" w:cs="Times New Roman"/>
                <w:noProof/>
                <w:sz w:val="22"/>
                <w:szCs w:val="20"/>
                <w:lang w:val="en-GB"/>
              </w:rPr>
              <w:t xml:space="preserve"> and</w:t>
            </w:r>
            <w:r w:rsidRPr="00FD703D">
              <w:rPr>
                <w:rFonts w:eastAsia="Calibri" w:cs="Times New Roman"/>
                <w:noProof/>
                <w:sz w:val="22"/>
                <w:szCs w:val="20"/>
                <w:lang w:val="en-GB"/>
              </w:rPr>
              <w:t xml:space="preserve"> </w:t>
            </w:r>
            <w:r w:rsidR="62FADD6F" w:rsidRPr="00FD703D">
              <w:rPr>
                <w:rFonts w:eastAsia="Calibri" w:cs="Times New Roman"/>
                <w:noProof/>
                <w:sz w:val="22"/>
                <w:szCs w:val="20"/>
                <w:lang w:val="en-GB"/>
              </w:rPr>
              <w:t xml:space="preserve">legislation on </w:t>
            </w:r>
            <w:r w:rsidRPr="00FD703D">
              <w:rPr>
                <w:rFonts w:eastAsia="Calibri" w:cs="Times New Roman"/>
                <w:noProof/>
                <w:sz w:val="22"/>
                <w:szCs w:val="20"/>
                <w:lang w:val="en-GB"/>
              </w:rPr>
              <w:t xml:space="preserve">deforestation and nature restoration, waste, </w:t>
            </w:r>
            <w:r w:rsidR="62FADD6F" w:rsidRPr="00FD703D">
              <w:rPr>
                <w:rFonts w:eastAsia="Calibri" w:cs="Times New Roman"/>
                <w:noProof/>
                <w:sz w:val="22"/>
                <w:szCs w:val="20"/>
                <w:lang w:val="en-GB"/>
              </w:rPr>
              <w:t xml:space="preserve">the </w:t>
            </w:r>
            <w:r w:rsidRPr="00FD703D">
              <w:rPr>
                <w:rFonts w:eastAsia="Calibri" w:cs="Times New Roman"/>
                <w:noProof/>
                <w:sz w:val="22"/>
                <w:szCs w:val="20"/>
                <w:lang w:val="en-GB"/>
              </w:rPr>
              <w:t>circular economy</w:t>
            </w:r>
            <w:r w:rsidR="62FADD6F" w:rsidRPr="00FD703D">
              <w:rPr>
                <w:rFonts w:eastAsia="Calibri" w:cs="Times New Roman"/>
                <w:noProof/>
                <w:sz w:val="22"/>
                <w:szCs w:val="20"/>
                <w:lang w:val="en-GB"/>
              </w:rPr>
              <w:t xml:space="preserve"> and</w:t>
            </w:r>
            <w:r w:rsidRPr="00FD703D">
              <w:rPr>
                <w:rFonts w:eastAsia="Calibri" w:cs="Times New Roman"/>
                <w:noProof/>
                <w:sz w:val="22"/>
                <w:szCs w:val="20"/>
                <w:lang w:val="en-GB"/>
              </w:rPr>
              <w:t xml:space="preserve"> trade) and for a clear framework with a long-term </w:t>
            </w:r>
            <w:r w:rsidR="62FADD6F" w:rsidRPr="00FD703D">
              <w:rPr>
                <w:rFonts w:eastAsia="Calibri" w:cs="Times New Roman"/>
                <w:noProof/>
                <w:sz w:val="22"/>
                <w:szCs w:val="20"/>
                <w:lang w:val="en-GB"/>
              </w:rPr>
              <w:t xml:space="preserve">perspective </w:t>
            </w:r>
            <w:r w:rsidRPr="00FD703D">
              <w:rPr>
                <w:rFonts w:eastAsia="Calibri" w:cs="Times New Roman"/>
                <w:noProof/>
                <w:sz w:val="22"/>
                <w:szCs w:val="20"/>
                <w:lang w:val="en-GB"/>
              </w:rPr>
              <w:t>to enable operators to plan ahead.</w:t>
            </w:r>
          </w:p>
        </w:tc>
        <w:tc>
          <w:tcPr>
            <w:tcW w:w="1530" w:type="dxa"/>
            <w:vAlign w:val="center"/>
          </w:tcPr>
          <w:p w14:paraId="46D13F44" w14:textId="77777777" w:rsidR="00872C68" w:rsidRPr="00FD703D" w:rsidRDefault="00872C68" w:rsidP="001061AF">
            <w:pPr>
              <w:spacing w:after="60" w:line="259" w:lineRule="auto"/>
              <w:jc w:val="center"/>
              <w:rPr>
                <w:rFonts w:eastAsia="MS Gothic" w:cs="Times New Roman"/>
                <w:b/>
                <w:noProof/>
                <w:color w:val="0033CC"/>
                <w:sz w:val="22"/>
                <w:lang w:val="es-CU"/>
              </w:rPr>
            </w:pPr>
            <w:r w:rsidRPr="00FD703D">
              <w:rPr>
                <w:rFonts w:eastAsia="MS Gothic" w:cs="Times New Roman"/>
                <w:b/>
                <w:noProof/>
                <w:color w:val="0033CC"/>
                <w:sz w:val="22"/>
                <w:lang w:val="es-CU"/>
              </w:rPr>
              <w:t>FI, LV, LU, MT</w:t>
            </w:r>
          </w:p>
          <w:p w14:paraId="6474FDBA" w14:textId="77777777" w:rsidR="00872C68" w:rsidRPr="00FD703D" w:rsidRDefault="00872C68" w:rsidP="001061AF">
            <w:pPr>
              <w:spacing w:after="60" w:line="259" w:lineRule="auto"/>
              <w:jc w:val="center"/>
              <w:rPr>
                <w:rFonts w:eastAsia="MS Gothic" w:cs="Times New Roman"/>
                <w:b/>
                <w:noProof/>
                <w:color w:val="0033CC"/>
                <w:sz w:val="22"/>
                <w:lang w:val="es-CU"/>
              </w:rPr>
            </w:pPr>
          </w:p>
          <w:p w14:paraId="7736A33B" w14:textId="77777777" w:rsidR="00872C68" w:rsidRPr="00FD703D" w:rsidRDefault="00872C68" w:rsidP="001061AF">
            <w:pPr>
              <w:spacing w:after="60" w:line="259" w:lineRule="auto"/>
              <w:jc w:val="center"/>
              <w:rPr>
                <w:rFonts w:eastAsia="MS Gothic" w:cs="Times New Roman"/>
                <w:b/>
                <w:noProof/>
                <w:color w:val="0033CC"/>
                <w:sz w:val="22"/>
                <w:lang w:val="es-CU"/>
              </w:rPr>
            </w:pPr>
            <w:r w:rsidRPr="00FD703D">
              <w:rPr>
                <w:rFonts w:eastAsia="MS Gothic" w:cs="Times New Roman"/>
                <w:b/>
                <w:noProof/>
                <w:color w:val="0033CC"/>
                <w:sz w:val="22"/>
                <w:lang w:val="es-CU"/>
              </w:rPr>
              <w:t>COPA-COGECA</w:t>
            </w:r>
          </w:p>
          <w:p w14:paraId="06210666" w14:textId="77777777" w:rsidR="00872C68" w:rsidRPr="00FD703D" w:rsidRDefault="00872C68" w:rsidP="001061AF">
            <w:pPr>
              <w:spacing w:after="60" w:line="259" w:lineRule="auto"/>
              <w:jc w:val="center"/>
              <w:rPr>
                <w:rFonts w:eastAsia="MS Gothic" w:cs="Times New Roman"/>
                <w:b/>
                <w:noProof/>
                <w:color w:val="0033CC"/>
                <w:sz w:val="22"/>
                <w:lang w:val="es-CU"/>
              </w:rPr>
            </w:pPr>
            <w:r w:rsidRPr="00FD703D">
              <w:rPr>
                <w:rFonts w:eastAsia="MS Gothic" w:cs="Times New Roman"/>
                <w:b/>
                <w:noProof/>
                <w:color w:val="0033CC"/>
                <w:sz w:val="22"/>
                <w:lang w:val="es-CU"/>
              </w:rPr>
              <w:t>CEJA</w:t>
            </w:r>
          </w:p>
        </w:tc>
        <w:tc>
          <w:tcPr>
            <w:tcW w:w="6366" w:type="dxa"/>
            <w:vAlign w:val="center"/>
          </w:tcPr>
          <w:p w14:paraId="45F5C1C1" w14:textId="26AAA571" w:rsidR="00872C68" w:rsidRPr="00FD703D" w:rsidRDefault="29CB0D46" w:rsidP="001061AF">
            <w:pPr>
              <w:spacing w:after="60" w:line="259" w:lineRule="auto"/>
              <w:jc w:val="both"/>
              <w:rPr>
                <w:rFonts w:eastAsia="Calibri" w:cs="Times New Roman"/>
                <w:noProof/>
                <w:sz w:val="22"/>
                <w:lang w:val="en-GB"/>
              </w:rPr>
            </w:pPr>
            <w:r w:rsidRPr="00FD703D">
              <w:rPr>
                <w:rFonts w:eastAsia="Calibri" w:cs="Times New Roman"/>
                <w:noProof/>
                <w:sz w:val="22"/>
                <w:szCs w:val="20"/>
                <w:lang w:val="en-GB"/>
              </w:rPr>
              <w:t xml:space="preserve">The Commission agrees that policies and legislation </w:t>
            </w:r>
            <w:r w:rsidR="62FADD6F" w:rsidRPr="00FD703D">
              <w:rPr>
                <w:rFonts w:eastAsia="Calibri" w:cs="Times New Roman"/>
                <w:noProof/>
                <w:sz w:val="22"/>
                <w:szCs w:val="20"/>
                <w:lang w:val="en-GB"/>
              </w:rPr>
              <w:t xml:space="preserve">aimed at </w:t>
            </w:r>
            <w:r w:rsidRPr="00FD703D">
              <w:rPr>
                <w:rFonts w:eastAsia="Calibri" w:cs="Times New Roman"/>
                <w:noProof/>
                <w:sz w:val="22"/>
                <w:szCs w:val="20"/>
                <w:lang w:val="en-GB"/>
              </w:rPr>
              <w:t xml:space="preserve">farms must be consistent. The Commission encourages Member States to reflect on the interplay of different measures when </w:t>
            </w:r>
            <w:r w:rsidR="62FADD6F" w:rsidRPr="00FD703D">
              <w:rPr>
                <w:rFonts w:eastAsia="Calibri" w:cs="Times New Roman"/>
                <w:noProof/>
                <w:sz w:val="22"/>
                <w:szCs w:val="20"/>
                <w:lang w:val="en-GB"/>
              </w:rPr>
              <w:t xml:space="preserve">they </w:t>
            </w:r>
            <w:r w:rsidRPr="00FD703D">
              <w:rPr>
                <w:rFonts w:eastAsia="Calibri" w:cs="Times New Roman"/>
                <w:noProof/>
                <w:sz w:val="22"/>
                <w:szCs w:val="20"/>
                <w:lang w:val="en-GB"/>
              </w:rPr>
              <w:t>implement EU legislation.</w:t>
            </w:r>
          </w:p>
        </w:tc>
      </w:tr>
      <w:tr w:rsidR="005435E2" w:rsidRPr="00FD703D" w14:paraId="5C3364B4" w14:textId="77777777" w:rsidTr="00FD703D">
        <w:trPr>
          <w:gridAfter w:val="1"/>
          <w:wAfter w:w="16" w:type="dxa"/>
          <w:trHeight w:val="300"/>
        </w:trPr>
        <w:tc>
          <w:tcPr>
            <w:tcW w:w="676" w:type="dxa"/>
            <w:vAlign w:val="center"/>
          </w:tcPr>
          <w:p w14:paraId="06449C64" w14:textId="09E8267D"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26</w:t>
            </w:r>
            <w:r w:rsidR="00E558D0">
              <w:rPr>
                <w:rFonts w:eastAsia="Calibri" w:cs="Times New Roman"/>
                <w:b/>
                <w:bCs/>
                <w:noProof/>
                <w:sz w:val="22"/>
                <w:lang w:val="en-GB"/>
              </w:rPr>
              <w:t>4</w:t>
            </w:r>
          </w:p>
        </w:tc>
        <w:tc>
          <w:tcPr>
            <w:tcW w:w="5923" w:type="dxa"/>
            <w:vAlign w:val="center"/>
          </w:tcPr>
          <w:p w14:paraId="11304D92" w14:textId="6EB0D08F"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Timely preparation of legislation</w:t>
            </w:r>
            <w:r w:rsidRPr="00FD703D">
              <w:rPr>
                <w:rFonts w:eastAsia="Calibri" w:cs="Times New Roman"/>
                <w:noProof/>
                <w:sz w:val="22"/>
                <w:szCs w:val="20"/>
                <w:lang w:val="en-GB"/>
              </w:rPr>
              <w:t xml:space="preserve">: </w:t>
            </w:r>
            <w:r w:rsidR="6947302C" w:rsidRPr="00FD703D">
              <w:rPr>
                <w:rFonts w:eastAsia="Calibri" w:cs="Times New Roman"/>
                <w:noProof/>
                <w:sz w:val="22"/>
                <w:szCs w:val="20"/>
                <w:lang w:val="en-GB"/>
              </w:rPr>
              <w:t>c</w:t>
            </w:r>
            <w:r w:rsidRPr="00FD703D">
              <w:rPr>
                <w:rFonts w:eastAsia="Calibri" w:cs="Times New Roman"/>
                <w:noProof/>
                <w:sz w:val="22"/>
                <w:szCs w:val="20"/>
                <w:lang w:val="en-GB"/>
              </w:rPr>
              <w:t xml:space="preserve">all for </w:t>
            </w:r>
            <w:r w:rsidR="62FADD6F" w:rsidRPr="00FD703D">
              <w:rPr>
                <w:rFonts w:eastAsia="Calibri" w:cs="Times New Roman"/>
                <w:noProof/>
                <w:sz w:val="22"/>
                <w:szCs w:val="20"/>
                <w:lang w:val="en-GB"/>
              </w:rPr>
              <w:t xml:space="preserve">the </w:t>
            </w:r>
            <w:r w:rsidRPr="00FD703D">
              <w:rPr>
                <w:rFonts w:eastAsia="Calibri" w:cs="Times New Roman"/>
                <w:noProof/>
                <w:sz w:val="22"/>
                <w:szCs w:val="20"/>
                <w:lang w:val="en-GB"/>
              </w:rPr>
              <w:t xml:space="preserve">timely preparation and adoption of EU legislation to give Member States </w:t>
            </w:r>
            <w:r w:rsidR="62FADD6F" w:rsidRPr="00FD703D">
              <w:rPr>
                <w:rFonts w:eastAsia="Calibri" w:cs="Times New Roman"/>
                <w:noProof/>
                <w:sz w:val="22"/>
                <w:szCs w:val="20"/>
                <w:lang w:val="en-GB"/>
              </w:rPr>
              <w:t xml:space="preserve">enough </w:t>
            </w:r>
            <w:r w:rsidRPr="00FD703D">
              <w:rPr>
                <w:rFonts w:eastAsia="Calibri" w:cs="Times New Roman"/>
                <w:noProof/>
                <w:sz w:val="22"/>
                <w:szCs w:val="20"/>
                <w:lang w:val="en-GB"/>
              </w:rPr>
              <w:t>time to set up systems and procedures, and to provide certainty to operators. Call for swifter provision of answers</w:t>
            </w:r>
            <w:r w:rsidR="62FADD6F" w:rsidRPr="00FD703D">
              <w:rPr>
                <w:rFonts w:eastAsia="Calibri" w:cs="Times New Roman"/>
                <w:noProof/>
                <w:sz w:val="22"/>
                <w:szCs w:val="20"/>
                <w:lang w:val="en-GB"/>
              </w:rPr>
              <w:t xml:space="preserve"> and </w:t>
            </w:r>
            <w:r w:rsidRPr="00FD703D">
              <w:rPr>
                <w:rFonts w:eastAsia="Calibri" w:cs="Times New Roman"/>
                <w:noProof/>
                <w:sz w:val="22"/>
                <w:szCs w:val="20"/>
                <w:lang w:val="en-GB"/>
              </w:rPr>
              <w:t>interpretation from the Commission.</w:t>
            </w:r>
          </w:p>
        </w:tc>
        <w:tc>
          <w:tcPr>
            <w:tcW w:w="1530" w:type="dxa"/>
            <w:vAlign w:val="center"/>
          </w:tcPr>
          <w:p w14:paraId="051CA5BD" w14:textId="77777777" w:rsidR="00872C68" w:rsidRPr="00FD703D" w:rsidRDefault="00872C68" w:rsidP="001061AF">
            <w:pPr>
              <w:spacing w:after="60" w:line="259" w:lineRule="auto"/>
              <w:jc w:val="center"/>
              <w:rPr>
                <w:rFonts w:eastAsia="MS Gothic" w:cs="Times New Roman"/>
                <w:b/>
                <w:noProof/>
                <w:color w:val="0033CC"/>
                <w:sz w:val="22"/>
                <w:lang w:val="pl-PL"/>
              </w:rPr>
            </w:pPr>
            <w:r w:rsidRPr="00FD703D">
              <w:rPr>
                <w:rFonts w:eastAsia="MS Gothic" w:cs="Times New Roman"/>
                <w:b/>
                <w:noProof/>
                <w:color w:val="0033CC"/>
                <w:sz w:val="22"/>
                <w:lang w:val="pl-PL"/>
              </w:rPr>
              <w:t>CY, CZ, FI, HU, SI</w:t>
            </w:r>
          </w:p>
        </w:tc>
        <w:tc>
          <w:tcPr>
            <w:tcW w:w="6366" w:type="dxa"/>
            <w:vAlign w:val="center"/>
          </w:tcPr>
          <w:p w14:paraId="559F52AC" w14:textId="47520C57" w:rsidR="00872C68" w:rsidRPr="00FD703D" w:rsidRDefault="00A12AA9" w:rsidP="00BC3F56">
            <w:pPr>
              <w:spacing w:before="60" w:after="60" w:line="259" w:lineRule="auto"/>
              <w:jc w:val="both"/>
              <w:rPr>
                <w:rFonts w:eastAsia="Calibri" w:cs="Times New Roman"/>
                <w:noProof/>
                <w:sz w:val="22"/>
                <w:lang w:val="en-GB"/>
              </w:rPr>
            </w:pPr>
            <w:r w:rsidRPr="00FD703D">
              <w:rPr>
                <w:rFonts w:eastAsia="Calibri" w:cs="Times New Roman"/>
                <w:noProof/>
                <w:sz w:val="22"/>
                <w:lang w:val="en-GB"/>
              </w:rPr>
              <w:t>The Commission takes n</w:t>
            </w:r>
            <w:r w:rsidR="00872C68" w:rsidRPr="00FD703D">
              <w:rPr>
                <w:rFonts w:eastAsia="Calibri" w:cs="Times New Roman"/>
                <w:noProof/>
                <w:sz w:val="22"/>
                <w:lang w:val="en-GB"/>
              </w:rPr>
              <w:t xml:space="preserve">ote of this request. The Commission agrees that the stability and predictability of the legal framework is important for Member States and farmers. This </w:t>
            </w:r>
            <w:r w:rsidRPr="00FD703D">
              <w:rPr>
                <w:rFonts w:eastAsia="Calibri" w:cs="Times New Roman"/>
                <w:noProof/>
                <w:sz w:val="22"/>
                <w:lang w:val="en-GB"/>
              </w:rPr>
              <w:t xml:space="preserve">issue </w:t>
            </w:r>
            <w:r w:rsidR="00872C68" w:rsidRPr="00FD703D">
              <w:rPr>
                <w:rFonts w:eastAsia="Calibri" w:cs="Times New Roman"/>
                <w:noProof/>
                <w:sz w:val="22"/>
                <w:lang w:val="en-GB"/>
              </w:rPr>
              <w:t xml:space="preserve">will be taken into consideration in the work on </w:t>
            </w:r>
            <w:r w:rsidRPr="00FD703D">
              <w:rPr>
                <w:rFonts w:eastAsia="Calibri" w:cs="Times New Roman"/>
                <w:noProof/>
                <w:sz w:val="22"/>
                <w:lang w:val="en-GB"/>
              </w:rPr>
              <w:t xml:space="preserve">the </w:t>
            </w:r>
            <w:r w:rsidR="00872C68" w:rsidRPr="00FD703D">
              <w:rPr>
                <w:rFonts w:eastAsia="Calibri" w:cs="Times New Roman"/>
                <w:noProof/>
                <w:sz w:val="22"/>
                <w:lang w:val="en-GB"/>
              </w:rPr>
              <w:t>post-2027</w:t>
            </w:r>
            <w:r w:rsidRPr="00FD703D">
              <w:rPr>
                <w:rFonts w:eastAsia="Calibri" w:cs="Times New Roman"/>
                <w:noProof/>
                <w:sz w:val="22"/>
                <w:lang w:val="en-GB"/>
              </w:rPr>
              <w:t xml:space="preserve"> CAP</w:t>
            </w:r>
            <w:r w:rsidR="00872C68" w:rsidRPr="00FD703D">
              <w:rPr>
                <w:rFonts w:eastAsia="Calibri" w:cs="Times New Roman"/>
                <w:noProof/>
                <w:sz w:val="22"/>
                <w:lang w:val="en-GB"/>
              </w:rPr>
              <w:t xml:space="preserve">, which should build on existing frameworks and structures that are well </w:t>
            </w:r>
            <w:r w:rsidRPr="00FD703D">
              <w:rPr>
                <w:rFonts w:eastAsia="Calibri" w:cs="Times New Roman"/>
                <w:noProof/>
                <w:sz w:val="22"/>
                <w:lang w:val="en-GB"/>
              </w:rPr>
              <w:t>established</w:t>
            </w:r>
            <w:r w:rsidR="00872C68" w:rsidRPr="00FD703D">
              <w:rPr>
                <w:rFonts w:eastAsia="Calibri" w:cs="Times New Roman"/>
                <w:noProof/>
                <w:sz w:val="22"/>
                <w:lang w:val="en-GB"/>
              </w:rPr>
              <w:t xml:space="preserve"> and have proven to function adequately (</w:t>
            </w:r>
            <w:r w:rsidR="00523AA0" w:rsidRPr="00FD703D">
              <w:rPr>
                <w:rFonts w:eastAsia="Calibri" w:cs="Times New Roman"/>
                <w:noProof/>
                <w:sz w:val="22"/>
                <w:lang w:val="en-GB"/>
              </w:rPr>
              <w:t>CAP Plans</w:t>
            </w:r>
            <w:r w:rsidR="00872C68" w:rsidRPr="00FD703D">
              <w:rPr>
                <w:rFonts w:eastAsia="Calibri" w:cs="Times New Roman"/>
                <w:noProof/>
                <w:sz w:val="22"/>
                <w:lang w:val="en-GB"/>
              </w:rPr>
              <w:t xml:space="preserve">, control systems, etc). As a </w:t>
            </w:r>
            <w:r w:rsidRPr="00FD703D">
              <w:rPr>
                <w:rFonts w:eastAsia="Calibri" w:cs="Times New Roman"/>
                <w:noProof/>
                <w:sz w:val="22"/>
                <w:lang w:val="en-GB"/>
              </w:rPr>
              <w:t xml:space="preserve">means </w:t>
            </w:r>
            <w:r w:rsidR="00872C68" w:rsidRPr="00FD703D">
              <w:rPr>
                <w:rFonts w:eastAsia="Calibri" w:cs="Times New Roman"/>
                <w:noProof/>
                <w:sz w:val="22"/>
                <w:lang w:val="en-GB"/>
              </w:rPr>
              <w:t xml:space="preserve">of cooperation, the Commission shall continue </w:t>
            </w:r>
            <w:r w:rsidRPr="00FD703D">
              <w:rPr>
                <w:rFonts w:eastAsia="Calibri" w:cs="Times New Roman"/>
                <w:noProof/>
                <w:sz w:val="22"/>
                <w:lang w:val="en-GB"/>
              </w:rPr>
              <w:t xml:space="preserve">to </w:t>
            </w:r>
            <w:r w:rsidR="00872C68" w:rsidRPr="00FD703D">
              <w:rPr>
                <w:rFonts w:eastAsia="Calibri" w:cs="Times New Roman"/>
                <w:noProof/>
                <w:sz w:val="22"/>
                <w:lang w:val="en-GB"/>
              </w:rPr>
              <w:t>engag</w:t>
            </w:r>
            <w:r w:rsidRPr="00FD703D">
              <w:rPr>
                <w:rFonts w:eastAsia="Calibri" w:cs="Times New Roman"/>
                <w:noProof/>
                <w:sz w:val="22"/>
                <w:lang w:val="en-GB"/>
              </w:rPr>
              <w:t>e</w:t>
            </w:r>
            <w:r w:rsidR="00872C68" w:rsidRPr="00FD703D">
              <w:rPr>
                <w:rFonts w:eastAsia="Calibri" w:cs="Times New Roman"/>
                <w:noProof/>
                <w:sz w:val="22"/>
                <w:lang w:val="en-GB"/>
              </w:rPr>
              <w:t xml:space="preserve"> Member States in the reflection on upcoming legislation and </w:t>
            </w:r>
            <w:r w:rsidRPr="00FD703D">
              <w:rPr>
                <w:rFonts w:eastAsia="Calibri" w:cs="Times New Roman"/>
                <w:noProof/>
                <w:sz w:val="22"/>
                <w:lang w:val="en-GB"/>
              </w:rPr>
              <w:t xml:space="preserve">to hold </w:t>
            </w:r>
            <w:r w:rsidR="00872C68" w:rsidRPr="00FD703D">
              <w:rPr>
                <w:rFonts w:eastAsia="Calibri" w:cs="Times New Roman"/>
                <w:noProof/>
                <w:sz w:val="22"/>
                <w:lang w:val="en-GB"/>
              </w:rPr>
              <w:t>ad</w:t>
            </w:r>
            <w:r w:rsidRPr="00FD703D">
              <w:rPr>
                <w:rFonts w:eastAsia="Calibri" w:cs="Times New Roman"/>
                <w:noProof/>
                <w:sz w:val="22"/>
                <w:lang w:val="en-GB"/>
              </w:rPr>
              <w:t> </w:t>
            </w:r>
            <w:r w:rsidR="00872C68" w:rsidRPr="00FD703D">
              <w:rPr>
                <w:rFonts w:eastAsia="Calibri" w:cs="Times New Roman"/>
                <w:noProof/>
                <w:sz w:val="22"/>
                <w:lang w:val="en-GB"/>
              </w:rPr>
              <w:t xml:space="preserve">hoc consultations. The timing of the adoption and entry into force of new legislation </w:t>
            </w:r>
            <w:r w:rsidRPr="00FD703D">
              <w:rPr>
                <w:rFonts w:eastAsia="Calibri" w:cs="Times New Roman"/>
                <w:noProof/>
                <w:sz w:val="22"/>
                <w:lang w:val="en-GB"/>
              </w:rPr>
              <w:t xml:space="preserve">also </w:t>
            </w:r>
            <w:r w:rsidR="00872C68" w:rsidRPr="00FD703D">
              <w:rPr>
                <w:rFonts w:eastAsia="Calibri" w:cs="Times New Roman"/>
                <w:noProof/>
                <w:sz w:val="22"/>
                <w:lang w:val="en-GB"/>
              </w:rPr>
              <w:t>depends on the EU co-legislators</w:t>
            </w:r>
            <w:r w:rsidR="00967CF8" w:rsidRPr="00FD703D">
              <w:rPr>
                <w:rFonts w:eastAsia="Calibri" w:cs="Times New Roman"/>
                <w:noProof/>
                <w:sz w:val="22"/>
                <w:lang w:val="en-GB"/>
              </w:rPr>
              <w:t>.</w:t>
            </w:r>
          </w:p>
        </w:tc>
      </w:tr>
      <w:tr w:rsidR="005435E2" w:rsidRPr="00FD703D" w14:paraId="1C7EBDDD" w14:textId="77777777" w:rsidTr="00FD703D">
        <w:trPr>
          <w:gridAfter w:val="1"/>
          <w:wAfter w:w="16" w:type="dxa"/>
          <w:trHeight w:val="300"/>
        </w:trPr>
        <w:tc>
          <w:tcPr>
            <w:tcW w:w="676" w:type="dxa"/>
            <w:vAlign w:val="center"/>
          </w:tcPr>
          <w:p w14:paraId="3AAB2D86" w14:textId="256CC033"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26</w:t>
            </w:r>
            <w:r w:rsidR="00E558D0">
              <w:rPr>
                <w:rFonts w:eastAsia="Calibri" w:cs="Times New Roman"/>
                <w:b/>
                <w:bCs/>
                <w:noProof/>
                <w:sz w:val="22"/>
                <w:lang w:val="en-GB"/>
              </w:rPr>
              <w:t>5</w:t>
            </w:r>
          </w:p>
        </w:tc>
        <w:tc>
          <w:tcPr>
            <w:tcW w:w="5923" w:type="dxa"/>
            <w:vAlign w:val="center"/>
          </w:tcPr>
          <w:p w14:paraId="53FE493E" w14:textId="52BDDBBB"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 xml:space="preserve">Deadlines: </w:t>
            </w:r>
            <w:r w:rsidR="2AA452B2" w:rsidRPr="00FD703D">
              <w:rPr>
                <w:rFonts w:eastAsia="Calibri" w:cs="Times New Roman"/>
                <w:noProof/>
                <w:sz w:val="22"/>
                <w:szCs w:val="20"/>
                <w:lang w:val="en-GB"/>
              </w:rPr>
              <w:t>s</w:t>
            </w:r>
            <w:r w:rsidRPr="00FD703D">
              <w:rPr>
                <w:rFonts w:eastAsia="Calibri" w:cs="Times New Roman"/>
                <w:noProof/>
                <w:sz w:val="22"/>
                <w:szCs w:val="20"/>
                <w:lang w:val="en-GB"/>
              </w:rPr>
              <w:t xml:space="preserve">et realistic deadlines for </w:t>
            </w:r>
            <w:r w:rsidR="62FADD6F" w:rsidRPr="00FD703D">
              <w:rPr>
                <w:rFonts w:eastAsia="Calibri" w:cs="Times New Roman"/>
                <w:noProof/>
                <w:sz w:val="22"/>
                <w:szCs w:val="20"/>
                <w:lang w:val="en-GB"/>
              </w:rPr>
              <w:t>implementing</w:t>
            </w:r>
            <w:r w:rsidRPr="00FD703D">
              <w:rPr>
                <w:rFonts w:eastAsia="Calibri" w:cs="Times New Roman"/>
                <w:noProof/>
                <w:sz w:val="22"/>
                <w:szCs w:val="20"/>
                <w:lang w:val="en-GB"/>
              </w:rPr>
              <w:t xml:space="preserve"> environment</w:t>
            </w:r>
            <w:r w:rsidR="62FADD6F" w:rsidRPr="00FD703D">
              <w:rPr>
                <w:rFonts w:eastAsia="Calibri" w:cs="Times New Roman"/>
                <w:noProof/>
                <w:sz w:val="22"/>
                <w:szCs w:val="20"/>
                <w:lang w:val="en-GB"/>
              </w:rPr>
              <w:t>al</w:t>
            </w:r>
            <w:r w:rsidRPr="00FD703D">
              <w:rPr>
                <w:rFonts w:eastAsia="Calibri" w:cs="Times New Roman"/>
                <w:noProof/>
                <w:sz w:val="22"/>
                <w:szCs w:val="20"/>
                <w:lang w:val="en-GB"/>
              </w:rPr>
              <w:t xml:space="preserve"> and climate legislation.</w:t>
            </w:r>
          </w:p>
        </w:tc>
        <w:tc>
          <w:tcPr>
            <w:tcW w:w="1530" w:type="dxa"/>
            <w:vAlign w:val="center"/>
          </w:tcPr>
          <w:p w14:paraId="5D4CA803"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CZ, SI, RO</w:t>
            </w:r>
          </w:p>
        </w:tc>
        <w:tc>
          <w:tcPr>
            <w:tcW w:w="6366" w:type="dxa"/>
            <w:vAlign w:val="center"/>
          </w:tcPr>
          <w:p w14:paraId="60D668C8" w14:textId="58A3713E" w:rsidR="00872C68" w:rsidRPr="00FD703D" w:rsidRDefault="00A12AA9"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The Commission takes note of this request</w:t>
            </w:r>
            <w:r w:rsidR="00872C68" w:rsidRPr="00FD703D">
              <w:rPr>
                <w:rFonts w:eastAsia="Calibri" w:cs="Times New Roman"/>
                <w:noProof/>
                <w:sz w:val="22"/>
                <w:lang w:val="en-GB"/>
              </w:rPr>
              <w:t>. Climate and environment</w:t>
            </w:r>
            <w:r w:rsidRPr="00FD703D">
              <w:rPr>
                <w:rFonts w:eastAsia="Calibri" w:cs="Times New Roman"/>
                <w:noProof/>
                <w:sz w:val="22"/>
                <w:lang w:val="en-GB"/>
              </w:rPr>
              <w:t>al</w:t>
            </w:r>
            <w:r w:rsidR="00872C68" w:rsidRPr="00FD703D">
              <w:rPr>
                <w:rFonts w:eastAsia="Calibri" w:cs="Times New Roman"/>
                <w:noProof/>
                <w:sz w:val="22"/>
                <w:lang w:val="en-GB"/>
              </w:rPr>
              <w:t xml:space="preserve"> legislation work with a long-term perspective and </w:t>
            </w:r>
            <w:r w:rsidR="00DD51F6" w:rsidRPr="00FD703D">
              <w:rPr>
                <w:rFonts w:eastAsia="Calibri" w:cs="Times New Roman"/>
                <w:noProof/>
                <w:sz w:val="22"/>
                <w:lang w:val="en-GB"/>
              </w:rPr>
              <w:t xml:space="preserve">should </w:t>
            </w:r>
            <w:r w:rsidR="00872C68" w:rsidRPr="00FD703D">
              <w:rPr>
                <w:rFonts w:eastAsia="Calibri" w:cs="Times New Roman"/>
                <w:noProof/>
                <w:sz w:val="22"/>
                <w:lang w:val="en-GB"/>
              </w:rPr>
              <w:t>continue to do so.</w:t>
            </w:r>
          </w:p>
        </w:tc>
      </w:tr>
      <w:tr w:rsidR="001F253E" w:rsidRPr="00FD703D" w14:paraId="37F4978D" w14:textId="77777777" w:rsidTr="00FD703D">
        <w:trPr>
          <w:gridAfter w:val="1"/>
          <w:wAfter w:w="16" w:type="dxa"/>
          <w:trHeight w:val="300"/>
        </w:trPr>
        <w:tc>
          <w:tcPr>
            <w:tcW w:w="676" w:type="dxa"/>
            <w:shd w:val="clear" w:color="auto" w:fill="auto"/>
            <w:vAlign w:val="center"/>
          </w:tcPr>
          <w:p w14:paraId="45468EC4" w14:textId="64CE7713"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26</w:t>
            </w:r>
            <w:r w:rsidR="00E558D0">
              <w:rPr>
                <w:rFonts w:eastAsia="Calibri" w:cs="Times New Roman"/>
                <w:b/>
                <w:bCs/>
                <w:noProof/>
                <w:sz w:val="22"/>
                <w:lang w:val="en-GB"/>
              </w:rPr>
              <w:t>6</w:t>
            </w:r>
          </w:p>
        </w:tc>
        <w:tc>
          <w:tcPr>
            <w:tcW w:w="5923" w:type="dxa"/>
            <w:shd w:val="clear" w:color="auto" w:fill="auto"/>
            <w:vAlign w:val="center"/>
          </w:tcPr>
          <w:p w14:paraId="3EDFD9FB" w14:textId="113C4F56"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Taxing pollution:</w:t>
            </w:r>
            <w:r w:rsidRPr="00FD703D">
              <w:rPr>
                <w:rFonts w:eastAsia="Calibri" w:cs="Times New Roman"/>
                <w:noProof/>
                <w:sz w:val="22"/>
                <w:szCs w:val="20"/>
                <w:lang w:val="en-GB"/>
              </w:rPr>
              <w:t xml:space="preserve"> </w:t>
            </w:r>
            <w:r w:rsidR="508F2CB6" w:rsidRPr="00FD703D">
              <w:rPr>
                <w:rFonts w:eastAsia="Calibri" w:cs="Times New Roman"/>
                <w:noProof/>
                <w:sz w:val="22"/>
                <w:szCs w:val="20"/>
                <w:lang w:val="en-GB"/>
              </w:rPr>
              <w:t>a</w:t>
            </w:r>
            <w:r w:rsidRPr="00FD703D">
              <w:rPr>
                <w:rFonts w:eastAsia="Calibri" w:cs="Times New Roman"/>
                <w:noProof/>
                <w:sz w:val="22"/>
                <w:szCs w:val="20"/>
                <w:lang w:val="en-GB"/>
              </w:rPr>
              <w:t>dditional taxation in terms of pollution should not be levied on farmers.</w:t>
            </w:r>
          </w:p>
        </w:tc>
        <w:tc>
          <w:tcPr>
            <w:tcW w:w="1530" w:type="dxa"/>
            <w:shd w:val="clear" w:color="auto" w:fill="auto"/>
            <w:vAlign w:val="center"/>
          </w:tcPr>
          <w:p w14:paraId="2CBA57CA"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MT</w:t>
            </w:r>
          </w:p>
        </w:tc>
        <w:tc>
          <w:tcPr>
            <w:tcW w:w="6366" w:type="dxa"/>
            <w:shd w:val="clear" w:color="auto" w:fill="auto"/>
            <w:vAlign w:val="center"/>
          </w:tcPr>
          <w:p w14:paraId="03C69F8D" w14:textId="50547EAE" w:rsidR="00872C68" w:rsidRPr="00FD703D" w:rsidRDefault="6070CAD7" w:rsidP="004749EF">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The CAP supports farms </w:t>
            </w:r>
            <w:r w:rsidR="53A52CE3" w:rsidRPr="00FD703D">
              <w:rPr>
                <w:rFonts w:eastAsia="Calibri" w:cs="Times New Roman"/>
                <w:noProof/>
                <w:sz w:val="22"/>
                <w:szCs w:val="20"/>
                <w:lang w:val="en-GB"/>
              </w:rPr>
              <w:t>in the transition to a sustainable farming model.</w:t>
            </w:r>
            <w:r w:rsidRPr="00FD703D">
              <w:rPr>
                <w:rFonts w:eastAsia="Calibri" w:cs="Times New Roman"/>
                <w:noProof/>
                <w:sz w:val="22"/>
                <w:szCs w:val="20"/>
                <w:lang w:val="en-GB"/>
              </w:rPr>
              <w:t xml:space="preserve">  </w:t>
            </w:r>
          </w:p>
          <w:p w14:paraId="75E39C6A" w14:textId="37002540" w:rsidR="00872C68" w:rsidRPr="00FD703D" w:rsidRDefault="00872C68" w:rsidP="00D35E3A">
            <w:pPr>
              <w:spacing w:after="60" w:line="259" w:lineRule="auto"/>
              <w:jc w:val="both"/>
              <w:rPr>
                <w:rFonts w:eastAsia="Calibri" w:cs="Times New Roman"/>
                <w:noProof/>
                <w:sz w:val="22"/>
                <w:lang w:val="en-GB"/>
              </w:rPr>
            </w:pPr>
            <w:r w:rsidRPr="00FD703D">
              <w:rPr>
                <w:rFonts w:eastAsia="Calibri" w:cs="Times New Roman"/>
                <w:noProof/>
                <w:sz w:val="22"/>
                <w:lang w:val="en-GB"/>
              </w:rPr>
              <w:t>Any proposals for changes to EU environmental legislation are accompanied by impact assessments to assess the policy options</w:t>
            </w:r>
            <w:r w:rsidR="00F25EF3" w:rsidRPr="00FD703D">
              <w:rPr>
                <w:rFonts w:eastAsia="Calibri" w:cs="Times New Roman"/>
                <w:noProof/>
                <w:sz w:val="22"/>
                <w:lang w:val="en-GB"/>
              </w:rPr>
              <w:t xml:space="preserve"> available</w:t>
            </w:r>
            <w:r w:rsidR="001D2E24" w:rsidRPr="00FD703D">
              <w:rPr>
                <w:rFonts w:eastAsia="Calibri" w:cs="Times New Roman"/>
                <w:noProof/>
                <w:sz w:val="22"/>
                <w:lang w:val="en-GB"/>
              </w:rPr>
              <w:t>, including</w:t>
            </w:r>
            <w:r w:rsidRPr="00FD703D">
              <w:rPr>
                <w:rFonts w:eastAsia="Calibri" w:cs="Times New Roman"/>
                <w:noProof/>
                <w:sz w:val="22"/>
                <w:lang w:val="en-GB"/>
              </w:rPr>
              <w:t xml:space="preserve"> different tools and instruments to address pollution</w:t>
            </w:r>
            <w:r w:rsidR="001D2E24" w:rsidRPr="00FD703D">
              <w:rPr>
                <w:rFonts w:eastAsia="Calibri" w:cs="Times New Roman"/>
                <w:noProof/>
                <w:sz w:val="22"/>
                <w:lang w:val="en-GB"/>
              </w:rPr>
              <w:t xml:space="preserve">. </w:t>
            </w:r>
            <w:r w:rsidR="00F25EF3" w:rsidRPr="00FD703D">
              <w:rPr>
                <w:rFonts w:eastAsia="Calibri" w:cs="Times New Roman"/>
                <w:noProof/>
                <w:sz w:val="22"/>
                <w:lang w:val="en-GB"/>
              </w:rPr>
              <w:t>In particular, these</w:t>
            </w:r>
            <w:r w:rsidR="001D2E24" w:rsidRPr="00FD703D">
              <w:rPr>
                <w:rFonts w:eastAsia="Calibri" w:cs="Times New Roman"/>
                <w:noProof/>
                <w:sz w:val="22"/>
                <w:lang w:val="en-GB"/>
              </w:rPr>
              <w:t xml:space="preserve"> impact assessment</w:t>
            </w:r>
            <w:r w:rsidR="00FE39C7" w:rsidRPr="00FD703D">
              <w:rPr>
                <w:rFonts w:eastAsia="Calibri" w:cs="Times New Roman"/>
                <w:noProof/>
                <w:sz w:val="22"/>
                <w:lang w:val="en-GB"/>
              </w:rPr>
              <w:t>s</w:t>
            </w:r>
            <w:r w:rsidR="001D2E24" w:rsidRPr="00FD703D">
              <w:rPr>
                <w:rFonts w:eastAsia="Calibri" w:cs="Times New Roman"/>
                <w:noProof/>
                <w:sz w:val="22"/>
                <w:lang w:val="en-GB"/>
              </w:rPr>
              <w:t xml:space="preserve"> also</w:t>
            </w:r>
            <w:r w:rsidRPr="00FD703D">
              <w:rPr>
                <w:rFonts w:eastAsia="Calibri" w:cs="Times New Roman"/>
                <w:noProof/>
                <w:color w:val="0078D4"/>
                <w:sz w:val="22"/>
                <w:u w:val="single"/>
                <w:shd w:val="clear" w:color="auto" w:fill="FFFFFF"/>
                <w:lang w:val="en-GB"/>
              </w:rPr>
              <w:t xml:space="preserve"> </w:t>
            </w:r>
            <w:r w:rsidRPr="00FD703D">
              <w:rPr>
                <w:rFonts w:eastAsia="Calibri" w:cs="Times New Roman"/>
                <w:noProof/>
                <w:sz w:val="22"/>
                <w:lang w:val="en-GB"/>
              </w:rPr>
              <w:t xml:space="preserve">analyse the impacts on </w:t>
            </w:r>
            <w:r w:rsidR="001D2E24" w:rsidRPr="00FD703D">
              <w:rPr>
                <w:rFonts w:eastAsia="Calibri" w:cs="Times New Roman"/>
                <w:noProof/>
                <w:sz w:val="22"/>
                <w:lang w:val="en-GB"/>
              </w:rPr>
              <w:t xml:space="preserve">all </w:t>
            </w:r>
            <w:r w:rsidRPr="00FD703D">
              <w:rPr>
                <w:rFonts w:eastAsia="Calibri" w:cs="Times New Roman"/>
                <w:noProof/>
                <w:sz w:val="22"/>
                <w:lang w:val="en-GB"/>
              </w:rPr>
              <w:t>stakeholders concerned.</w:t>
            </w:r>
          </w:p>
        </w:tc>
      </w:tr>
    </w:tbl>
    <w:p w14:paraId="43172D22" w14:textId="77777777" w:rsidR="00FD703D" w:rsidRDefault="00FD703D">
      <w:pPr>
        <w:rPr>
          <w:noProof/>
        </w:rPr>
      </w:pPr>
    </w:p>
    <w:tbl>
      <w:tblPr>
        <w:tblStyle w:val="TableGrid1"/>
        <w:tblW w:w="14519" w:type="dxa"/>
        <w:tblInd w:w="-34" w:type="dxa"/>
        <w:tblLayout w:type="fixed"/>
        <w:tblLook w:val="04A0" w:firstRow="1" w:lastRow="0" w:firstColumn="1" w:lastColumn="0" w:noHBand="0" w:noVBand="1"/>
      </w:tblPr>
      <w:tblGrid>
        <w:gridCol w:w="636"/>
        <w:gridCol w:w="17"/>
        <w:gridCol w:w="5946"/>
        <w:gridCol w:w="1530"/>
        <w:gridCol w:w="6390"/>
      </w:tblGrid>
      <w:tr w:rsidR="00E67D67" w:rsidRPr="00FD703D" w14:paraId="2E76A6BE" w14:textId="77777777" w:rsidTr="008A73D8">
        <w:trPr>
          <w:trHeight w:val="300"/>
        </w:trPr>
        <w:tc>
          <w:tcPr>
            <w:tcW w:w="14519" w:type="dxa"/>
            <w:gridSpan w:val="5"/>
            <w:tcBorders>
              <w:bottom w:val="single" w:sz="4" w:space="0" w:color="auto"/>
            </w:tcBorders>
            <w:shd w:val="clear" w:color="auto" w:fill="003399"/>
          </w:tcPr>
          <w:p w14:paraId="3D66DE9B" w14:textId="77777777" w:rsidR="00872C68" w:rsidRPr="00FD703D" w:rsidRDefault="00872C68" w:rsidP="004749EF">
            <w:pPr>
              <w:spacing w:before="120" w:after="120" w:line="259" w:lineRule="auto"/>
              <w:jc w:val="center"/>
              <w:rPr>
                <w:rFonts w:eastAsia="Calibri" w:cs="Times New Roman"/>
                <w:b/>
                <w:bCs/>
                <w:noProof/>
                <w:sz w:val="22"/>
                <w:lang w:val="en-GB"/>
              </w:rPr>
            </w:pPr>
            <w:r w:rsidRPr="00FD703D">
              <w:rPr>
                <w:rFonts w:eastAsia="Calibri" w:cs="Times New Roman"/>
                <w:b/>
                <w:bCs/>
                <w:noProof/>
                <w:color w:val="FFFFFF"/>
                <w:sz w:val="22"/>
                <w:lang w:val="en-GB"/>
              </w:rPr>
              <w:lastRenderedPageBreak/>
              <w:t>Research</w:t>
            </w:r>
          </w:p>
        </w:tc>
      </w:tr>
      <w:tr w:rsidR="00E56866" w:rsidRPr="00FD703D" w14:paraId="2469ADF4" w14:textId="77777777" w:rsidTr="008A73D8">
        <w:trPr>
          <w:trHeight w:val="300"/>
        </w:trPr>
        <w:tc>
          <w:tcPr>
            <w:tcW w:w="636" w:type="dxa"/>
            <w:vAlign w:val="center"/>
          </w:tcPr>
          <w:p w14:paraId="18E796FA" w14:textId="22B7F2C1"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26</w:t>
            </w:r>
            <w:r w:rsidR="00E558D0">
              <w:rPr>
                <w:rFonts w:eastAsia="Calibri" w:cs="Times New Roman"/>
                <w:b/>
                <w:bCs/>
                <w:noProof/>
                <w:sz w:val="22"/>
                <w:lang w:val="en-GB"/>
              </w:rPr>
              <w:t>7</w:t>
            </w:r>
          </w:p>
        </w:tc>
        <w:tc>
          <w:tcPr>
            <w:tcW w:w="5963" w:type="dxa"/>
            <w:gridSpan w:val="2"/>
            <w:tcBorders>
              <w:top w:val="nil"/>
            </w:tcBorders>
            <w:vAlign w:val="center"/>
          </w:tcPr>
          <w:p w14:paraId="0797A108" w14:textId="5049F65B"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Horizon:</w:t>
            </w:r>
            <w:r w:rsidRPr="00FD703D">
              <w:rPr>
                <w:rFonts w:eastAsia="Calibri" w:cs="Times New Roman"/>
                <w:noProof/>
                <w:sz w:val="22"/>
                <w:lang w:val="en-GB"/>
              </w:rPr>
              <w:t xml:space="preserve"> </w:t>
            </w:r>
            <w:r w:rsidR="0007797B" w:rsidRPr="00FD703D">
              <w:rPr>
                <w:rFonts w:eastAsia="Calibri" w:cs="Times New Roman"/>
                <w:noProof/>
                <w:sz w:val="22"/>
                <w:lang w:val="en-GB"/>
              </w:rPr>
              <w:t>t</w:t>
            </w:r>
            <w:r w:rsidR="00FE39C7" w:rsidRPr="00FD703D">
              <w:rPr>
                <w:rFonts w:eastAsia="Calibri" w:cs="Times New Roman"/>
                <w:noProof/>
                <w:sz w:val="22"/>
                <w:lang w:val="en-GB"/>
              </w:rPr>
              <w:t>he r</w:t>
            </w:r>
            <w:r w:rsidRPr="00FD703D">
              <w:rPr>
                <w:rFonts w:eastAsia="Calibri" w:cs="Times New Roman"/>
                <w:noProof/>
                <w:sz w:val="22"/>
                <w:lang w:val="en-GB"/>
              </w:rPr>
              <w:t>eporting</w:t>
            </w:r>
            <w:r w:rsidR="00FE39C7" w:rsidRPr="00FD703D">
              <w:rPr>
                <w:rFonts w:eastAsia="Calibri" w:cs="Times New Roman"/>
                <w:noProof/>
                <w:sz w:val="22"/>
                <w:lang w:val="en-GB"/>
              </w:rPr>
              <w:t xml:space="preserve"> requirements</w:t>
            </w:r>
            <w:r w:rsidRPr="00FD703D">
              <w:rPr>
                <w:rFonts w:eastAsia="Calibri" w:cs="Times New Roman"/>
                <w:noProof/>
                <w:sz w:val="22"/>
                <w:lang w:val="en-GB"/>
              </w:rPr>
              <w:t xml:space="preserve"> </w:t>
            </w:r>
            <w:r w:rsidR="00FE39C7" w:rsidRPr="00FD703D">
              <w:rPr>
                <w:rFonts w:eastAsia="Calibri" w:cs="Times New Roman"/>
                <w:noProof/>
                <w:sz w:val="22"/>
                <w:lang w:val="en-GB"/>
              </w:rPr>
              <w:t>for</w:t>
            </w:r>
            <w:r w:rsidRPr="00FD703D">
              <w:rPr>
                <w:rFonts w:eastAsia="Calibri" w:cs="Times New Roman"/>
                <w:noProof/>
                <w:sz w:val="22"/>
                <w:lang w:val="en-GB"/>
              </w:rPr>
              <w:t xml:space="preserve"> Horizon multi-stakeholder projects make it very difficult for farmers to participate.</w:t>
            </w:r>
          </w:p>
        </w:tc>
        <w:tc>
          <w:tcPr>
            <w:tcW w:w="1530" w:type="dxa"/>
            <w:vAlign w:val="center"/>
          </w:tcPr>
          <w:p w14:paraId="5F0969D3" w14:textId="10C4701B" w:rsidR="00872C68" w:rsidRPr="00FD703D" w:rsidRDefault="002B0F17" w:rsidP="00B57B13">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0" w:type="dxa"/>
            <w:vAlign w:val="center"/>
          </w:tcPr>
          <w:p w14:paraId="7E58816A" w14:textId="407CF220" w:rsidR="00872C68" w:rsidRPr="00FD703D" w:rsidRDefault="5E9A0B28" w:rsidP="0054045F">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The reporting related to Horizon-funded projects applies to all projects, including those with </w:t>
            </w:r>
            <w:r w:rsidR="00C36889" w:rsidRPr="00FD703D">
              <w:rPr>
                <w:rFonts w:eastAsia="Calibri" w:cs="Times New Roman"/>
                <w:noProof/>
                <w:sz w:val="22"/>
                <w:szCs w:val="20"/>
                <w:lang w:val="en-GB"/>
              </w:rPr>
              <w:t xml:space="preserve">a </w:t>
            </w:r>
            <w:r w:rsidRPr="00FD703D">
              <w:rPr>
                <w:rFonts w:eastAsia="Calibri" w:cs="Times New Roman"/>
                <w:noProof/>
                <w:sz w:val="22"/>
                <w:szCs w:val="20"/>
                <w:lang w:val="en-GB"/>
              </w:rPr>
              <w:t xml:space="preserve">multi-actor approach. On behalf of the project consortium, the project coordinator submits all reports, payment requests, proof of deliverables and other documents as per the grant management between the Commission and the project consortium. The reporting obligations for the different actors involved in the project (including farmers) are largely organised and decided by the consortium. At the same time, a project officer at the Research Executive Agency accompanies the consortium throughout the project implementation and provides assistance to project coordinators to streamline reporting on project implementation.  </w:t>
            </w:r>
          </w:p>
        </w:tc>
      </w:tr>
      <w:tr w:rsidR="00C44968" w:rsidRPr="00FD703D" w14:paraId="2C3D4A50" w14:textId="77777777" w:rsidTr="008A73D8">
        <w:trPr>
          <w:trHeight w:val="467"/>
        </w:trPr>
        <w:tc>
          <w:tcPr>
            <w:tcW w:w="14519" w:type="dxa"/>
            <w:gridSpan w:val="5"/>
            <w:shd w:val="clear" w:color="auto" w:fill="003399"/>
            <w:vAlign w:val="center"/>
          </w:tcPr>
          <w:p w14:paraId="03ECBDE2" w14:textId="77777777" w:rsidR="00872C68" w:rsidRPr="00FD703D" w:rsidRDefault="00872C68" w:rsidP="001061AF">
            <w:pPr>
              <w:spacing w:after="60" w:line="259" w:lineRule="auto"/>
              <w:jc w:val="center"/>
              <w:rPr>
                <w:rFonts w:eastAsia="Calibri" w:cs="Times New Roman"/>
                <w:b/>
                <w:bCs/>
                <w:noProof/>
                <w:color w:val="FFFFFF"/>
                <w:sz w:val="22"/>
                <w:lang w:val="en-GB"/>
              </w:rPr>
            </w:pPr>
            <w:r w:rsidRPr="00FD703D">
              <w:rPr>
                <w:rFonts w:eastAsia="Calibri" w:cs="Times New Roman"/>
                <w:noProof/>
                <w:color w:val="FFFFFF"/>
                <w:sz w:val="22"/>
                <w:lang w:val="en-GB"/>
              </w:rPr>
              <w:br w:type="page"/>
            </w:r>
            <w:r w:rsidRPr="00FD703D">
              <w:rPr>
                <w:rFonts w:eastAsia="Calibri" w:cs="Times New Roman"/>
                <w:b/>
                <w:bCs/>
                <w:noProof/>
                <w:color w:val="FFFFFF"/>
                <w:sz w:val="22"/>
                <w:lang w:val="en-GB"/>
              </w:rPr>
              <w:t>Trade</w:t>
            </w:r>
          </w:p>
        </w:tc>
      </w:tr>
      <w:tr w:rsidR="00C44968" w:rsidRPr="00FD703D" w14:paraId="5F2BEB4A" w14:textId="77777777" w:rsidTr="008A73D8">
        <w:trPr>
          <w:trHeight w:val="300"/>
        </w:trPr>
        <w:tc>
          <w:tcPr>
            <w:tcW w:w="653" w:type="dxa"/>
            <w:gridSpan w:val="2"/>
            <w:vAlign w:val="center"/>
          </w:tcPr>
          <w:p w14:paraId="4658B647" w14:textId="4A375AE0"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26</w:t>
            </w:r>
            <w:r w:rsidR="00E558D0">
              <w:rPr>
                <w:rFonts w:eastAsia="Calibri" w:cs="Times New Roman"/>
                <w:b/>
                <w:bCs/>
                <w:noProof/>
                <w:sz w:val="22"/>
                <w:lang w:val="en-GB"/>
              </w:rPr>
              <w:t>8</w:t>
            </w:r>
          </w:p>
        </w:tc>
        <w:tc>
          <w:tcPr>
            <w:tcW w:w="5946" w:type="dxa"/>
            <w:vAlign w:val="center"/>
          </w:tcPr>
          <w:p w14:paraId="5455AC1E" w14:textId="345E0C8C"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noProof/>
                <w:sz w:val="22"/>
                <w:szCs w:val="20"/>
                <w:lang w:val="en-GB"/>
              </w:rPr>
              <w:t xml:space="preserve">Standards in trade agreements: </w:t>
            </w:r>
            <w:r w:rsidR="00C36889" w:rsidRPr="00FD703D">
              <w:rPr>
                <w:rFonts w:eastAsia="Calibri" w:cs="Times New Roman"/>
                <w:noProof/>
                <w:sz w:val="22"/>
                <w:szCs w:val="20"/>
                <w:lang w:val="en-GB"/>
              </w:rPr>
              <w:t>t</w:t>
            </w:r>
            <w:r w:rsidRPr="00FD703D">
              <w:rPr>
                <w:rFonts w:eastAsia="Calibri" w:cs="Times New Roman"/>
                <w:noProof/>
                <w:sz w:val="22"/>
                <w:szCs w:val="20"/>
                <w:lang w:val="en-GB"/>
              </w:rPr>
              <w:t xml:space="preserve">rade agreements between the EU and non-EU </w:t>
            </w:r>
            <w:r w:rsidR="0B622794" w:rsidRPr="00FD703D">
              <w:rPr>
                <w:rFonts w:eastAsia="Calibri" w:cs="Times New Roman"/>
                <w:noProof/>
                <w:sz w:val="22"/>
                <w:szCs w:val="20"/>
                <w:lang w:val="en-GB"/>
              </w:rPr>
              <w:t>c</w:t>
            </w:r>
            <w:r w:rsidRPr="00FD703D">
              <w:rPr>
                <w:rFonts w:eastAsia="Calibri" w:cs="Times New Roman"/>
                <w:noProof/>
                <w:sz w:val="22"/>
                <w:szCs w:val="20"/>
                <w:lang w:val="en-GB"/>
              </w:rPr>
              <w:t xml:space="preserve">ountries should require the same </w:t>
            </w:r>
            <w:r w:rsidR="0B622794" w:rsidRPr="00FD703D">
              <w:rPr>
                <w:rFonts w:eastAsia="Calibri" w:cs="Times New Roman"/>
                <w:noProof/>
                <w:sz w:val="22"/>
                <w:szCs w:val="20"/>
                <w:lang w:val="en-GB"/>
              </w:rPr>
              <w:t xml:space="preserve">EU </w:t>
            </w:r>
            <w:r w:rsidRPr="00FD703D">
              <w:rPr>
                <w:rFonts w:eastAsia="Calibri" w:cs="Times New Roman"/>
                <w:noProof/>
                <w:sz w:val="22"/>
                <w:szCs w:val="20"/>
                <w:lang w:val="en-GB"/>
              </w:rPr>
              <w:t xml:space="preserve">standards on health, food, </w:t>
            </w:r>
            <w:r w:rsidR="00CB2F59" w:rsidRPr="00FD703D">
              <w:rPr>
                <w:rFonts w:eastAsia="Calibri" w:cs="Times New Roman"/>
                <w:noProof/>
                <w:sz w:val="22"/>
                <w:szCs w:val="20"/>
                <w:lang w:val="en-GB"/>
              </w:rPr>
              <w:t>environment,</w:t>
            </w:r>
            <w:r w:rsidRPr="00FD703D">
              <w:rPr>
                <w:rFonts w:eastAsia="Calibri" w:cs="Times New Roman"/>
                <w:noProof/>
                <w:sz w:val="22"/>
                <w:szCs w:val="20"/>
                <w:lang w:val="en-GB"/>
              </w:rPr>
              <w:t xml:space="preserve"> and labour rights, avoiding 'import tolerance' for all imported food products. </w:t>
            </w:r>
            <w:r w:rsidR="00C36889" w:rsidRPr="00FD703D">
              <w:rPr>
                <w:rFonts w:eastAsia="Calibri" w:cs="Times New Roman"/>
                <w:noProof/>
                <w:sz w:val="22"/>
                <w:szCs w:val="20"/>
                <w:lang w:val="en-GB"/>
              </w:rPr>
              <w:t>Consider: m</w:t>
            </w:r>
            <w:r w:rsidRPr="00FD703D">
              <w:rPr>
                <w:rFonts w:eastAsia="Calibri" w:cs="Times New Roman"/>
                <w:noProof/>
                <w:sz w:val="22"/>
                <w:szCs w:val="20"/>
                <w:lang w:val="en-GB"/>
              </w:rPr>
              <w:t>irror clauses, quantity quotas and monitoring of compliance.</w:t>
            </w:r>
          </w:p>
        </w:tc>
        <w:tc>
          <w:tcPr>
            <w:tcW w:w="1530" w:type="dxa"/>
            <w:vAlign w:val="center"/>
          </w:tcPr>
          <w:p w14:paraId="57E574A2" w14:textId="77777777" w:rsidR="00D35E3A"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IT, MT, BE,</w:t>
            </w:r>
          </w:p>
          <w:p w14:paraId="75B8CB12" w14:textId="1060428A"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 xml:space="preserve"> COM AGRI</w:t>
            </w:r>
          </w:p>
        </w:tc>
        <w:tc>
          <w:tcPr>
            <w:tcW w:w="6390" w:type="dxa"/>
          </w:tcPr>
          <w:p w14:paraId="118AC273" w14:textId="47928B12" w:rsidR="00872C68" w:rsidRPr="00C341F5" w:rsidRDefault="339D33BE" w:rsidP="02BE03D9">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A</w:t>
            </w:r>
            <w:r w:rsidR="5B2BB50A" w:rsidRPr="00FD703D">
              <w:rPr>
                <w:rFonts w:eastAsia="Calibri" w:cs="Times New Roman"/>
                <w:noProof/>
                <w:sz w:val="22"/>
                <w:szCs w:val="20"/>
                <w:lang w:val="en-GB"/>
              </w:rPr>
              <w:t xml:space="preserve">ll agri-food imports must already comply with EU sanitary and phytosanitary requirements. Going </w:t>
            </w:r>
            <w:r w:rsidRPr="00FD703D">
              <w:rPr>
                <w:rFonts w:eastAsia="Calibri" w:cs="Times New Roman"/>
                <w:noProof/>
                <w:sz w:val="22"/>
                <w:szCs w:val="20"/>
                <w:lang w:val="en-GB"/>
              </w:rPr>
              <w:t xml:space="preserve">one </w:t>
            </w:r>
            <w:r w:rsidR="5B2BB50A" w:rsidRPr="00FD703D">
              <w:rPr>
                <w:rFonts w:eastAsia="Calibri" w:cs="Times New Roman"/>
                <w:noProof/>
                <w:sz w:val="22"/>
                <w:szCs w:val="20"/>
                <w:lang w:val="en-GB"/>
              </w:rPr>
              <w:t>step</w:t>
            </w:r>
            <w:r w:rsidRPr="00FD703D">
              <w:rPr>
                <w:rFonts w:eastAsia="Calibri" w:cs="Times New Roman"/>
                <w:noProof/>
                <w:sz w:val="22"/>
                <w:szCs w:val="20"/>
                <w:lang w:val="en-GB"/>
              </w:rPr>
              <w:t xml:space="preserve"> further</w:t>
            </w:r>
            <w:r w:rsidR="5B2BB50A" w:rsidRPr="00FD703D">
              <w:rPr>
                <w:rFonts w:eastAsia="Calibri" w:cs="Times New Roman"/>
                <w:noProof/>
                <w:sz w:val="22"/>
                <w:szCs w:val="20"/>
                <w:lang w:val="en-GB"/>
              </w:rPr>
              <w:t xml:space="preserve"> and envisaging the application of certain </w:t>
            </w:r>
            <w:r w:rsidR="3F900D35" w:rsidRPr="00FD703D">
              <w:rPr>
                <w:rFonts w:eastAsia="Calibri" w:cs="Times New Roman"/>
                <w:noProof/>
                <w:sz w:val="22"/>
                <w:szCs w:val="20"/>
                <w:lang w:val="en-GB"/>
              </w:rPr>
              <w:t xml:space="preserve">EU </w:t>
            </w:r>
            <w:r w:rsidR="5B2BB50A" w:rsidRPr="00C341F5">
              <w:rPr>
                <w:rFonts w:eastAsia="Calibri" w:cs="Times New Roman"/>
                <w:noProof/>
                <w:sz w:val="22"/>
                <w:szCs w:val="20"/>
                <w:lang w:val="en-GB"/>
              </w:rPr>
              <w:t xml:space="preserve">process and production methods standards to imports (on a case-by-case basis and in line with WTO rules) is a </w:t>
            </w:r>
            <w:r w:rsidR="464E9394" w:rsidRPr="00C341F5">
              <w:rPr>
                <w:rFonts w:eastAsia="Calibri" w:cs="Times New Roman"/>
                <w:noProof/>
                <w:sz w:val="22"/>
                <w:szCs w:val="20"/>
                <w:lang w:val="en-GB"/>
              </w:rPr>
              <w:t>possibility contemplated by</w:t>
            </w:r>
            <w:r w:rsidR="5B2BB50A" w:rsidRPr="00C341F5">
              <w:rPr>
                <w:rFonts w:eastAsia="Calibri" w:cs="Times New Roman"/>
                <w:noProof/>
                <w:sz w:val="22"/>
                <w:szCs w:val="20"/>
                <w:lang w:val="en-GB"/>
              </w:rPr>
              <w:t xml:space="preserve"> the Commission in its 2021 Trade Policy Review Communication</w:t>
            </w:r>
            <w:r w:rsidR="30BFD196" w:rsidRPr="00C341F5">
              <w:rPr>
                <w:rFonts w:eastAsia="Calibri" w:cs="Times New Roman"/>
                <w:noProof/>
                <w:sz w:val="22"/>
                <w:szCs w:val="20"/>
                <w:lang w:val="en-GB"/>
              </w:rPr>
              <w:t xml:space="preserve"> (COM(2021) 66 final)</w:t>
            </w:r>
            <w:r w:rsidR="5B2BB50A" w:rsidRPr="00C341F5">
              <w:rPr>
                <w:rFonts w:eastAsia="Calibri" w:cs="Times New Roman"/>
                <w:noProof/>
                <w:sz w:val="22"/>
                <w:szCs w:val="20"/>
                <w:lang w:val="en-GB"/>
              </w:rPr>
              <w:t>.</w:t>
            </w:r>
          </w:p>
          <w:p w14:paraId="411991CC" w14:textId="7DF1582E" w:rsidR="00872C68" w:rsidRPr="00FD703D" w:rsidRDefault="00872C68" w:rsidP="7511A6A3">
            <w:pPr>
              <w:spacing w:after="60" w:line="259" w:lineRule="auto"/>
              <w:jc w:val="both"/>
              <w:rPr>
                <w:rFonts w:eastAsia="Calibri" w:cs="Times New Roman"/>
                <w:noProof/>
                <w:sz w:val="22"/>
                <w:szCs w:val="20"/>
                <w:highlight w:val="yellow"/>
                <w:lang w:val="en-GB"/>
              </w:rPr>
            </w:pPr>
            <w:r w:rsidRPr="00C341F5">
              <w:rPr>
                <w:rFonts w:eastAsia="Calibri" w:cs="Times New Roman"/>
                <w:noProof/>
                <w:sz w:val="22"/>
                <w:szCs w:val="20"/>
                <w:lang w:val="en-GB"/>
              </w:rPr>
              <w:t xml:space="preserve">Trade agreements are a key driver </w:t>
            </w:r>
            <w:r w:rsidR="00037EE8" w:rsidRPr="00C341F5">
              <w:rPr>
                <w:rFonts w:eastAsia="Calibri" w:cs="Times New Roman"/>
                <w:noProof/>
                <w:sz w:val="22"/>
                <w:szCs w:val="20"/>
                <w:lang w:val="en-GB"/>
              </w:rPr>
              <w:t xml:space="preserve">of </w:t>
            </w:r>
            <w:r w:rsidRPr="00C341F5">
              <w:rPr>
                <w:rFonts w:eastAsia="Calibri" w:cs="Times New Roman"/>
                <w:noProof/>
                <w:sz w:val="22"/>
                <w:szCs w:val="20"/>
                <w:lang w:val="en-GB"/>
              </w:rPr>
              <w:t>the transition to more sustainable food systems both in the EU and in partner</w:t>
            </w:r>
            <w:r w:rsidRPr="00FD703D">
              <w:rPr>
                <w:rFonts w:eastAsia="Calibri" w:cs="Times New Roman"/>
                <w:noProof/>
                <w:sz w:val="22"/>
                <w:szCs w:val="20"/>
                <w:lang w:val="en-GB"/>
              </w:rPr>
              <w:t xml:space="preserve"> countries. Modern EU trade agreements contain rules on trade and sustainable development, which require the effective implementation of </w:t>
            </w:r>
            <w:r w:rsidR="00037EE8" w:rsidRPr="00FD703D">
              <w:rPr>
                <w:rFonts w:eastAsia="Calibri" w:cs="Times New Roman"/>
                <w:noProof/>
                <w:sz w:val="22"/>
                <w:szCs w:val="20"/>
                <w:lang w:val="en-GB"/>
              </w:rPr>
              <w:t xml:space="preserve">international </w:t>
            </w:r>
            <w:r w:rsidRPr="00FD703D">
              <w:rPr>
                <w:rFonts w:eastAsia="Calibri" w:cs="Times New Roman"/>
                <w:noProof/>
                <w:sz w:val="22"/>
                <w:szCs w:val="20"/>
                <w:lang w:val="en-GB"/>
              </w:rPr>
              <w:t xml:space="preserve">social and environmental commitments. In addition, several autonomous measures have been put in place </w:t>
            </w:r>
            <w:r w:rsidR="00037EE8" w:rsidRPr="00FD703D">
              <w:rPr>
                <w:rFonts w:eastAsia="Calibri" w:cs="Times New Roman"/>
                <w:noProof/>
                <w:sz w:val="22"/>
                <w:szCs w:val="20"/>
                <w:lang w:val="en-GB"/>
              </w:rPr>
              <w:t>since 2019</w:t>
            </w:r>
            <w:r w:rsidRPr="00FD703D">
              <w:rPr>
                <w:rFonts w:eastAsia="Calibri" w:cs="Times New Roman"/>
                <w:noProof/>
                <w:sz w:val="22"/>
                <w:szCs w:val="20"/>
                <w:lang w:val="en-GB"/>
              </w:rPr>
              <w:t xml:space="preserve"> (</w:t>
            </w:r>
            <w:r w:rsidR="00037EE8" w:rsidRPr="00FD703D">
              <w:rPr>
                <w:rFonts w:eastAsia="Calibri" w:cs="Times New Roman"/>
                <w:noProof/>
                <w:sz w:val="22"/>
                <w:szCs w:val="20"/>
                <w:lang w:val="en-GB"/>
              </w:rPr>
              <w:t>on d</w:t>
            </w:r>
            <w:r w:rsidRPr="00FD703D">
              <w:rPr>
                <w:rFonts w:eastAsia="Calibri" w:cs="Times New Roman"/>
                <w:noProof/>
                <w:sz w:val="22"/>
                <w:szCs w:val="20"/>
                <w:lang w:val="en-GB"/>
              </w:rPr>
              <w:t xml:space="preserve">eforestation, </w:t>
            </w:r>
            <w:r w:rsidR="00037EE8" w:rsidRPr="00FD703D">
              <w:rPr>
                <w:rFonts w:eastAsia="Calibri" w:cs="Times New Roman"/>
                <w:noProof/>
                <w:sz w:val="22"/>
                <w:szCs w:val="20"/>
                <w:lang w:val="en-GB"/>
              </w:rPr>
              <w:t>the Carbon Border Adjustment Mechanism (</w:t>
            </w:r>
            <w:r w:rsidRPr="00FD703D">
              <w:rPr>
                <w:rFonts w:eastAsia="Calibri" w:cs="Times New Roman"/>
                <w:noProof/>
                <w:sz w:val="22"/>
                <w:szCs w:val="20"/>
                <w:lang w:val="en-GB"/>
              </w:rPr>
              <w:t>CBAM</w:t>
            </w:r>
            <w:r w:rsidR="00037EE8" w:rsidRPr="00FD703D">
              <w:rPr>
                <w:rFonts w:eastAsia="Calibri" w:cs="Times New Roman"/>
                <w:noProof/>
                <w:sz w:val="22"/>
                <w:szCs w:val="20"/>
                <w:lang w:val="en-GB"/>
              </w:rPr>
              <w:t>)</w:t>
            </w:r>
            <w:r w:rsidRPr="00FD703D">
              <w:rPr>
                <w:rFonts w:eastAsia="Calibri" w:cs="Times New Roman"/>
                <w:noProof/>
                <w:sz w:val="22"/>
                <w:szCs w:val="20"/>
                <w:lang w:val="en-GB"/>
              </w:rPr>
              <w:t xml:space="preserve">, </w:t>
            </w:r>
            <w:r w:rsidR="00037EE8" w:rsidRPr="00FD703D">
              <w:rPr>
                <w:rFonts w:eastAsia="Calibri" w:cs="Times New Roman"/>
                <w:noProof/>
                <w:sz w:val="22"/>
                <w:szCs w:val="20"/>
                <w:lang w:val="en-GB"/>
              </w:rPr>
              <w:t>m</w:t>
            </w:r>
            <w:r w:rsidRPr="00FD703D">
              <w:rPr>
                <w:rFonts w:eastAsia="Calibri" w:cs="Times New Roman"/>
                <w:noProof/>
                <w:sz w:val="22"/>
                <w:szCs w:val="20"/>
                <w:lang w:val="en-GB"/>
              </w:rPr>
              <w:t xml:space="preserve">aximum </w:t>
            </w:r>
            <w:r w:rsidR="00037EE8" w:rsidRPr="00FD703D">
              <w:rPr>
                <w:rFonts w:eastAsia="Calibri" w:cs="Times New Roman"/>
                <w:noProof/>
                <w:sz w:val="22"/>
                <w:szCs w:val="20"/>
                <w:lang w:val="en-GB"/>
              </w:rPr>
              <w:t>r</w:t>
            </w:r>
            <w:r w:rsidRPr="00FD703D">
              <w:rPr>
                <w:rFonts w:eastAsia="Calibri" w:cs="Times New Roman"/>
                <w:noProof/>
                <w:sz w:val="22"/>
                <w:szCs w:val="20"/>
                <w:lang w:val="en-GB"/>
              </w:rPr>
              <w:t xml:space="preserve">esidual </w:t>
            </w:r>
            <w:r w:rsidR="00037EE8" w:rsidRPr="00FD703D">
              <w:rPr>
                <w:rFonts w:eastAsia="Calibri" w:cs="Times New Roman"/>
                <w:noProof/>
                <w:sz w:val="22"/>
                <w:szCs w:val="20"/>
                <w:lang w:val="en-GB"/>
              </w:rPr>
              <w:t>l</w:t>
            </w:r>
            <w:r w:rsidRPr="00FD703D">
              <w:rPr>
                <w:rFonts w:eastAsia="Calibri" w:cs="Times New Roman"/>
                <w:noProof/>
                <w:sz w:val="22"/>
                <w:szCs w:val="20"/>
                <w:lang w:val="en-GB"/>
              </w:rPr>
              <w:t>evels</w:t>
            </w:r>
            <w:r w:rsidR="00037EE8" w:rsidRPr="00FD703D">
              <w:rPr>
                <w:rFonts w:eastAsia="Calibri" w:cs="Times New Roman"/>
                <w:noProof/>
                <w:sz w:val="22"/>
                <w:szCs w:val="20"/>
                <w:lang w:val="en-GB"/>
              </w:rPr>
              <w:t xml:space="preserve"> of neonicotinoids</w:t>
            </w:r>
            <w:r w:rsidRPr="00FD703D">
              <w:rPr>
                <w:rFonts w:eastAsia="Calibri" w:cs="Times New Roman"/>
                <w:noProof/>
                <w:sz w:val="22"/>
                <w:szCs w:val="20"/>
                <w:lang w:val="en-GB"/>
              </w:rPr>
              <w:t xml:space="preserve">, </w:t>
            </w:r>
            <w:r w:rsidR="00037EE8" w:rsidRPr="00FD703D">
              <w:rPr>
                <w:rFonts w:eastAsia="Calibri" w:cs="Times New Roman"/>
                <w:noProof/>
                <w:sz w:val="22"/>
                <w:szCs w:val="20"/>
                <w:lang w:val="en-GB"/>
              </w:rPr>
              <w:t xml:space="preserve">the </w:t>
            </w:r>
            <w:r w:rsidRPr="00FD703D">
              <w:rPr>
                <w:rFonts w:eastAsia="Calibri" w:cs="Times New Roman"/>
                <w:noProof/>
                <w:sz w:val="22"/>
                <w:szCs w:val="20"/>
                <w:lang w:val="en-GB"/>
              </w:rPr>
              <w:t xml:space="preserve">ban </w:t>
            </w:r>
            <w:r w:rsidR="00037EE8" w:rsidRPr="00FD703D">
              <w:rPr>
                <w:rFonts w:eastAsia="Calibri" w:cs="Times New Roman"/>
                <w:noProof/>
                <w:sz w:val="22"/>
                <w:szCs w:val="20"/>
                <w:lang w:val="en-GB"/>
              </w:rPr>
              <w:t xml:space="preserve">on </w:t>
            </w:r>
            <w:r w:rsidRPr="00FD703D">
              <w:rPr>
                <w:rFonts w:eastAsia="Calibri" w:cs="Times New Roman"/>
                <w:noProof/>
                <w:sz w:val="22"/>
                <w:szCs w:val="20"/>
                <w:lang w:val="en-GB"/>
              </w:rPr>
              <w:t>antibiotic</w:t>
            </w:r>
            <w:r w:rsidR="00037EE8" w:rsidRPr="00FD703D">
              <w:rPr>
                <w:rFonts w:eastAsia="Calibri" w:cs="Times New Roman"/>
                <w:noProof/>
                <w:sz w:val="22"/>
                <w:szCs w:val="20"/>
                <w:lang w:val="en-GB"/>
              </w:rPr>
              <w:t>s</w:t>
            </w:r>
            <w:r w:rsidRPr="00FD703D">
              <w:rPr>
                <w:rFonts w:eastAsia="Calibri" w:cs="Times New Roman"/>
                <w:noProof/>
                <w:sz w:val="22"/>
                <w:szCs w:val="20"/>
                <w:lang w:val="en-GB"/>
              </w:rPr>
              <w:t xml:space="preserve"> as </w:t>
            </w:r>
            <w:r w:rsidR="00037EE8" w:rsidRPr="00FD703D">
              <w:rPr>
                <w:rFonts w:eastAsia="Calibri" w:cs="Times New Roman"/>
                <w:noProof/>
                <w:sz w:val="22"/>
                <w:szCs w:val="20"/>
                <w:lang w:val="en-GB"/>
              </w:rPr>
              <w:t xml:space="preserve">a </w:t>
            </w:r>
            <w:r w:rsidRPr="00FD703D">
              <w:rPr>
                <w:rFonts w:eastAsia="Calibri" w:cs="Times New Roman"/>
                <w:noProof/>
                <w:sz w:val="22"/>
                <w:szCs w:val="20"/>
                <w:lang w:val="en-GB"/>
              </w:rPr>
              <w:t xml:space="preserve">growth promoter, corporate due diligence, etc.). </w:t>
            </w:r>
          </w:p>
          <w:p w14:paraId="66AFEE5A" w14:textId="6CE8F19B" w:rsidR="00872C68" w:rsidRPr="00FD703D" w:rsidRDefault="1BD00E5E" w:rsidP="004749EF">
            <w:pPr>
              <w:spacing w:after="60" w:line="259" w:lineRule="auto"/>
              <w:jc w:val="both"/>
              <w:rPr>
                <w:rFonts w:eastAsia="Calibri" w:cs="Times New Roman"/>
                <w:noProof/>
                <w:sz w:val="22"/>
                <w:szCs w:val="20"/>
                <w:lang w:val="en-GB"/>
              </w:rPr>
            </w:pPr>
            <w:r w:rsidRPr="00CB2F59">
              <w:rPr>
                <w:rFonts w:eastAsia="Times New Roman" w:cs="Times New Roman"/>
                <w:noProof/>
                <w:sz w:val="22"/>
                <w:szCs w:val="20"/>
                <w:lang w:val="en-GB"/>
              </w:rPr>
              <w:lastRenderedPageBreak/>
              <w:t xml:space="preserve">The Commission may consider </w:t>
            </w:r>
            <w:r w:rsidR="38D24D7E" w:rsidRPr="00CB2F59">
              <w:rPr>
                <w:rFonts w:eastAsia="Times New Roman" w:cs="Times New Roman"/>
                <w:noProof/>
                <w:sz w:val="22"/>
                <w:szCs w:val="20"/>
                <w:lang w:val="en-GB"/>
              </w:rPr>
              <w:t>to propose, when necessary,</w:t>
            </w:r>
            <w:r w:rsidRPr="00CB2F59">
              <w:rPr>
                <w:rFonts w:eastAsia="Times New Roman" w:cs="Times New Roman"/>
                <w:noProof/>
                <w:sz w:val="22"/>
                <w:szCs w:val="20"/>
                <w:lang w:val="en-GB"/>
              </w:rPr>
              <w:t xml:space="preserve"> further </w:t>
            </w:r>
            <w:r w:rsidR="179A4631" w:rsidRPr="00CB2F59">
              <w:rPr>
                <w:rFonts w:eastAsia="Times New Roman" w:cs="Times New Roman"/>
                <w:noProof/>
                <w:sz w:val="22"/>
                <w:szCs w:val="20"/>
                <w:lang w:val="en-GB"/>
              </w:rPr>
              <w:t xml:space="preserve">targeted </w:t>
            </w:r>
            <w:r w:rsidRPr="00CB2F59">
              <w:rPr>
                <w:rFonts w:eastAsia="Times New Roman" w:cs="Times New Roman"/>
                <w:noProof/>
                <w:sz w:val="22"/>
                <w:szCs w:val="20"/>
                <w:lang w:val="en-GB"/>
              </w:rPr>
              <w:t>auton</w:t>
            </w:r>
            <w:r w:rsidRPr="00BC3F56">
              <w:rPr>
                <w:rFonts w:eastAsia="Times New Roman" w:cs="Times New Roman"/>
                <w:noProof/>
                <w:sz w:val="22"/>
                <w:szCs w:val="20"/>
                <w:lang w:val="en-GB"/>
              </w:rPr>
              <w:t>omous measures, to address global concerns, on a case-by-case basis,</w:t>
            </w:r>
            <w:r w:rsidRPr="00CB2F59">
              <w:rPr>
                <w:rFonts w:eastAsia="Times New Roman" w:cs="Times New Roman"/>
                <w:noProof/>
                <w:sz w:val="22"/>
                <w:szCs w:val="20"/>
                <w:lang w:val="en-GB"/>
              </w:rPr>
              <w:t xml:space="preserve"> in line with WTO rules, to promote the EU trade and sustainability agenda, while taking into account EU’s interest in stable trading environment as a major participant of global trade.</w:t>
            </w:r>
          </w:p>
          <w:p w14:paraId="13528102" w14:textId="0C927CEC" w:rsidR="00872C68" w:rsidRPr="00FD703D" w:rsidRDefault="00872C68" w:rsidP="001061AF">
            <w:pPr>
              <w:spacing w:after="60" w:line="259" w:lineRule="auto"/>
              <w:jc w:val="both"/>
              <w:rPr>
                <w:rFonts w:eastAsia="Calibri" w:cs="Times New Roman"/>
                <w:noProof/>
                <w:sz w:val="22"/>
                <w:szCs w:val="20"/>
                <w:highlight w:val="yellow"/>
                <w:lang w:val="en-GB"/>
              </w:rPr>
            </w:pPr>
            <w:r w:rsidRPr="00FD703D">
              <w:rPr>
                <w:rFonts w:eastAsia="Calibri" w:cs="Times New Roman"/>
                <w:noProof/>
                <w:sz w:val="22"/>
                <w:szCs w:val="20"/>
                <w:lang w:val="en-GB"/>
              </w:rPr>
              <w:t>Lastly, the EU’s strong position in multilateral organisations and in bilateral relations with trade partners should be reinforced strategically to raise sustainability standards in a cooperative way.</w:t>
            </w:r>
          </w:p>
        </w:tc>
      </w:tr>
      <w:tr w:rsidR="00C44968" w:rsidRPr="00FD703D" w14:paraId="67DB108E" w14:textId="77777777" w:rsidTr="008A73D8">
        <w:trPr>
          <w:trHeight w:val="300"/>
        </w:trPr>
        <w:tc>
          <w:tcPr>
            <w:tcW w:w="653" w:type="dxa"/>
            <w:gridSpan w:val="2"/>
            <w:vAlign w:val="center"/>
          </w:tcPr>
          <w:p w14:paraId="32EE4D40" w14:textId="4D92F409"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lastRenderedPageBreak/>
              <w:t>2</w:t>
            </w:r>
            <w:r w:rsidR="00E558D0">
              <w:rPr>
                <w:rFonts w:eastAsia="Calibri" w:cs="Times New Roman"/>
                <w:b/>
                <w:bCs/>
                <w:noProof/>
                <w:sz w:val="22"/>
                <w:lang w:val="en-GB"/>
              </w:rPr>
              <w:t>69</w:t>
            </w:r>
          </w:p>
        </w:tc>
        <w:tc>
          <w:tcPr>
            <w:tcW w:w="5946" w:type="dxa"/>
            <w:vAlign w:val="center"/>
          </w:tcPr>
          <w:p w14:paraId="7B166225" w14:textId="63F298C6"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Agriculture and free trade agreements:</w:t>
            </w:r>
            <w:r w:rsidRPr="00FD703D">
              <w:rPr>
                <w:rFonts w:eastAsia="Calibri" w:cs="Times New Roman"/>
                <w:noProof/>
                <w:sz w:val="22"/>
                <w:szCs w:val="20"/>
                <w:lang w:val="en-GB"/>
              </w:rPr>
              <w:t xml:space="preserve"> </w:t>
            </w:r>
            <w:r w:rsidR="3CFA41F4" w:rsidRPr="00FD703D">
              <w:rPr>
                <w:rFonts w:eastAsia="Calibri" w:cs="Times New Roman"/>
                <w:noProof/>
                <w:sz w:val="22"/>
                <w:szCs w:val="20"/>
                <w:lang w:val="en-GB"/>
              </w:rPr>
              <w:t>t</w:t>
            </w:r>
            <w:r w:rsidRPr="00FD703D">
              <w:rPr>
                <w:rFonts w:eastAsia="Calibri" w:cs="Times New Roman"/>
                <w:noProof/>
                <w:sz w:val="22"/>
                <w:szCs w:val="20"/>
                <w:lang w:val="en-GB"/>
              </w:rPr>
              <w:t xml:space="preserve">he </w:t>
            </w:r>
            <w:r w:rsidR="0084782C" w:rsidRPr="00FD703D">
              <w:rPr>
                <w:rFonts w:eastAsia="Calibri" w:cs="Times New Roman"/>
                <w:noProof/>
                <w:sz w:val="22"/>
                <w:szCs w:val="20"/>
                <w:lang w:val="en-GB"/>
              </w:rPr>
              <w:t>EU</w:t>
            </w:r>
            <w:r w:rsidRPr="00FD703D">
              <w:rPr>
                <w:rFonts w:eastAsia="Calibri" w:cs="Times New Roman"/>
                <w:noProof/>
                <w:sz w:val="22"/>
                <w:szCs w:val="20"/>
                <w:lang w:val="en-GB"/>
              </w:rPr>
              <w:t xml:space="preserve"> must remove agriculture from free trade agreements, and this must start by immediately ending the negotiations </w:t>
            </w:r>
            <w:r w:rsidR="08EBD3AE" w:rsidRPr="00FD703D">
              <w:rPr>
                <w:rFonts w:eastAsia="Calibri" w:cs="Times New Roman"/>
                <w:noProof/>
                <w:sz w:val="22"/>
                <w:szCs w:val="20"/>
                <w:lang w:val="en-GB"/>
              </w:rPr>
              <w:t xml:space="preserve">on </w:t>
            </w:r>
            <w:r w:rsidRPr="00FD703D">
              <w:rPr>
                <w:rFonts w:eastAsia="Calibri" w:cs="Times New Roman"/>
                <w:noProof/>
                <w:sz w:val="22"/>
                <w:szCs w:val="20"/>
                <w:lang w:val="en-GB"/>
              </w:rPr>
              <w:t>the EU</w:t>
            </w:r>
            <w:r w:rsidR="08EBD3AE" w:rsidRPr="00FD703D">
              <w:rPr>
                <w:rFonts w:eastAsia="Calibri" w:cs="Times New Roman"/>
                <w:noProof/>
                <w:sz w:val="22"/>
                <w:szCs w:val="20"/>
                <w:lang w:val="en-GB"/>
              </w:rPr>
              <w:t>-</w:t>
            </w:r>
            <w:r w:rsidRPr="00FD703D">
              <w:rPr>
                <w:rFonts w:eastAsia="Calibri" w:cs="Times New Roman"/>
                <w:noProof/>
                <w:sz w:val="22"/>
                <w:szCs w:val="20"/>
                <w:lang w:val="en-GB"/>
              </w:rPr>
              <w:t>M</w:t>
            </w:r>
            <w:r w:rsidR="242F52E5" w:rsidRPr="00FD703D">
              <w:rPr>
                <w:rFonts w:eastAsia="Calibri" w:cs="Times New Roman"/>
                <w:noProof/>
                <w:sz w:val="22"/>
                <w:szCs w:val="20"/>
                <w:lang w:val="en-GB"/>
              </w:rPr>
              <w:t xml:space="preserve">ercosur </w:t>
            </w:r>
            <w:r w:rsidRPr="00FD703D">
              <w:rPr>
                <w:rFonts w:eastAsia="Calibri" w:cs="Times New Roman"/>
                <w:noProof/>
                <w:sz w:val="22"/>
                <w:szCs w:val="20"/>
                <w:lang w:val="en-GB"/>
              </w:rPr>
              <w:t>agreement</w:t>
            </w:r>
            <w:r w:rsidR="3FC57A47" w:rsidRPr="00FD703D">
              <w:rPr>
                <w:rFonts w:eastAsia="Calibri" w:cs="Times New Roman"/>
                <w:noProof/>
                <w:sz w:val="22"/>
                <w:szCs w:val="20"/>
                <w:lang w:val="en-GB"/>
              </w:rPr>
              <w:t>.</w:t>
            </w:r>
          </w:p>
        </w:tc>
        <w:tc>
          <w:tcPr>
            <w:tcW w:w="1530" w:type="dxa"/>
            <w:vAlign w:val="center"/>
          </w:tcPr>
          <w:p w14:paraId="24C013BD"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ECVC</w:t>
            </w:r>
          </w:p>
        </w:tc>
        <w:tc>
          <w:tcPr>
            <w:tcW w:w="6390" w:type="dxa"/>
          </w:tcPr>
          <w:p w14:paraId="4129A3BE" w14:textId="6B945BAF" w:rsidR="00223DA3"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EU agriculture benefits from open trade and </w:t>
            </w:r>
            <w:r w:rsidR="55144AEE" w:rsidRPr="00FD703D">
              <w:rPr>
                <w:rFonts w:eastAsia="Calibri" w:cs="Times New Roman"/>
                <w:noProof/>
                <w:sz w:val="22"/>
                <w:szCs w:val="20"/>
                <w:lang w:val="en-GB"/>
              </w:rPr>
              <w:t>f</w:t>
            </w:r>
            <w:r w:rsidRPr="00FD703D">
              <w:rPr>
                <w:rFonts w:eastAsia="Calibri" w:cs="Times New Roman"/>
                <w:noProof/>
                <w:sz w:val="22"/>
                <w:szCs w:val="20"/>
                <w:lang w:val="en-GB"/>
              </w:rPr>
              <w:t xml:space="preserve">ree </w:t>
            </w:r>
            <w:r w:rsidR="55144AEE" w:rsidRPr="00FD703D">
              <w:rPr>
                <w:rFonts w:eastAsia="Calibri" w:cs="Times New Roman"/>
                <w:noProof/>
                <w:sz w:val="22"/>
                <w:szCs w:val="20"/>
                <w:lang w:val="en-GB"/>
              </w:rPr>
              <w:t>t</w:t>
            </w:r>
            <w:r w:rsidRPr="00FD703D">
              <w:rPr>
                <w:rFonts w:eastAsia="Calibri" w:cs="Times New Roman"/>
                <w:noProof/>
                <w:sz w:val="22"/>
                <w:szCs w:val="20"/>
                <w:lang w:val="en-GB"/>
              </w:rPr>
              <w:t xml:space="preserve">rade </w:t>
            </w:r>
            <w:r w:rsidR="55144AEE" w:rsidRPr="00FD703D">
              <w:rPr>
                <w:rFonts w:eastAsia="Calibri" w:cs="Times New Roman"/>
                <w:noProof/>
                <w:sz w:val="22"/>
                <w:szCs w:val="20"/>
                <w:lang w:val="en-GB"/>
              </w:rPr>
              <w:t>a</w:t>
            </w:r>
            <w:r w:rsidRPr="00FD703D">
              <w:rPr>
                <w:rFonts w:eastAsia="Calibri" w:cs="Times New Roman"/>
                <w:noProof/>
                <w:sz w:val="22"/>
                <w:szCs w:val="20"/>
                <w:lang w:val="en-GB"/>
              </w:rPr>
              <w:t xml:space="preserve">greements. Agri-food exports drive growth in the EU agri-food sector, as the increase in global food consumption </w:t>
            </w:r>
            <w:r w:rsidR="7753C19D" w:rsidRPr="00FD703D">
              <w:rPr>
                <w:rFonts w:eastAsia="Calibri" w:cs="Times New Roman"/>
                <w:noProof/>
                <w:sz w:val="22"/>
                <w:szCs w:val="20"/>
                <w:lang w:val="en-GB"/>
              </w:rPr>
              <w:t>is occurring</w:t>
            </w:r>
            <w:r w:rsidRPr="00FD703D">
              <w:rPr>
                <w:rFonts w:eastAsia="Calibri" w:cs="Times New Roman"/>
                <w:noProof/>
                <w:sz w:val="22"/>
                <w:szCs w:val="20"/>
                <w:lang w:val="en-GB"/>
              </w:rPr>
              <w:t xml:space="preserve"> outside the EU. </w:t>
            </w:r>
            <w:r w:rsidR="6460EAFE" w:rsidRPr="00FD703D">
              <w:rPr>
                <w:rFonts w:eastAsia="Calibri" w:cs="Times New Roman"/>
                <w:noProof/>
                <w:sz w:val="22"/>
                <w:szCs w:val="20"/>
                <w:lang w:val="en-GB"/>
              </w:rPr>
              <w:t>These exports totalled</w:t>
            </w:r>
            <w:r w:rsidRPr="00FD703D">
              <w:rPr>
                <w:rFonts w:eastAsia="Calibri" w:cs="Times New Roman"/>
                <w:noProof/>
                <w:sz w:val="22"/>
                <w:szCs w:val="20"/>
                <w:lang w:val="en-GB"/>
              </w:rPr>
              <w:t xml:space="preserve"> EUR 228 billion in 2023, with a positive trade balance of EUR 70 billion. Imports are also essential to EU agriculture, as they provide crucial intermediate inputs or tropical / counter-seasonal products. </w:t>
            </w:r>
          </w:p>
          <w:p w14:paraId="211C812C" w14:textId="4B6B2027" w:rsidR="00223DA3"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Together, EU exports and imports contribute to </w:t>
            </w:r>
            <w:r w:rsidR="7753C19D" w:rsidRPr="00FD703D">
              <w:rPr>
                <w:rFonts w:eastAsia="Calibri" w:cs="Times New Roman"/>
                <w:noProof/>
                <w:sz w:val="22"/>
                <w:szCs w:val="20"/>
                <w:lang w:val="en-GB"/>
              </w:rPr>
              <w:t xml:space="preserve">the </w:t>
            </w:r>
            <w:r w:rsidRPr="00FD703D">
              <w:rPr>
                <w:rFonts w:eastAsia="Calibri" w:cs="Times New Roman"/>
                <w:noProof/>
                <w:sz w:val="22"/>
                <w:szCs w:val="20"/>
                <w:lang w:val="en-GB"/>
              </w:rPr>
              <w:t xml:space="preserve">global trade </w:t>
            </w:r>
            <w:r w:rsidR="7753C19D" w:rsidRPr="00FD703D">
              <w:rPr>
                <w:rFonts w:eastAsia="Calibri" w:cs="Times New Roman"/>
                <w:noProof/>
                <w:sz w:val="22"/>
                <w:szCs w:val="20"/>
                <w:lang w:val="en-GB"/>
              </w:rPr>
              <w:t xml:space="preserve">in </w:t>
            </w:r>
            <w:r w:rsidRPr="00FD703D">
              <w:rPr>
                <w:rFonts w:eastAsia="Calibri" w:cs="Times New Roman"/>
                <w:noProof/>
                <w:sz w:val="22"/>
                <w:szCs w:val="20"/>
                <w:lang w:val="en-GB"/>
              </w:rPr>
              <w:t xml:space="preserve">agricultural and food </w:t>
            </w:r>
            <w:r w:rsidR="00CB2F59" w:rsidRPr="00FD703D">
              <w:rPr>
                <w:rFonts w:eastAsia="Calibri" w:cs="Times New Roman"/>
                <w:noProof/>
                <w:sz w:val="22"/>
                <w:szCs w:val="20"/>
                <w:lang w:val="en-GB"/>
              </w:rPr>
              <w:t>products and</w:t>
            </w:r>
            <w:r w:rsidRPr="00FD703D">
              <w:rPr>
                <w:rFonts w:eastAsia="Calibri" w:cs="Times New Roman"/>
                <w:noProof/>
                <w:sz w:val="22"/>
                <w:szCs w:val="20"/>
                <w:lang w:val="en-GB"/>
              </w:rPr>
              <w:t xml:space="preserve"> </w:t>
            </w:r>
            <w:r w:rsidR="7753C19D" w:rsidRPr="00FD703D">
              <w:rPr>
                <w:rFonts w:eastAsia="Calibri" w:cs="Times New Roman"/>
                <w:noProof/>
                <w:sz w:val="22"/>
                <w:szCs w:val="20"/>
                <w:lang w:val="en-GB"/>
              </w:rPr>
              <w:t xml:space="preserve">help </w:t>
            </w:r>
            <w:r w:rsidRPr="00FD703D">
              <w:rPr>
                <w:rFonts w:eastAsia="Calibri" w:cs="Times New Roman"/>
                <w:noProof/>
                <w:sz w:val="22"/>
                <w:szCs w:val="20"/>
                <w:lang w:val="en-GB"/>
              </w:rPr>
              <w:t>balance food supply and demand across the globe</w:t>
            </w:r>
            <w:r w:rsidR="7753C19D" w:rsidRPr="00FD703D">
              <w:rPr>
                <w:rFonts w:eastAsia="Calibri" w:cs="Times New Roman"/>
                <w:noProof/>
                <w:sz w:val="22"/>
                <w:szCs w:val="20"/>
                <w:lang w:val="en-GB"/>
              </w:rPr>
              <w:t xml:space="preserve">. This </w:t>
            </w:r>
            <w:r w:rsidRPr="00FD703D">
              <w:rPr>
                <w:rFonts w:eastAsia="Calibri" w:cs="Times New Roman"/>
                <w:noProof/>
                <w:sz w:val="22"/>
                <w:szCs w:val="20"/>
                <w:lang w:val="en-GB"/>
              </w:rPr>
              <w:t>contribut</w:t>
            </w:r>
            <w:r w:rsidR="7753C19D" w:rsidRPr="00FD703D">
              <w:rPr>
                <w:rFonts w:eastAsia="Calibri" w:cs="Times New Roman"/>
                <w:noProof/>
                <w:sz w:val="22"/>
                <w:szCs w:val="20"/>
                <w:lang w:val="en-GB"/>
              </w:rPr>
              <w:t>es</w:t>
            </w:r>
            <w:r w:rsidRPr="00FD703D">
              <w:rPr>
                <w:rFonts w:eastAsia="Calibri" w:cs="Times New Roman"/>
                <w:noProof/>
                <w:sz w:val="22"/>
                <w:szCs w:val="20"/>
                <w:lang w:val="en-GB"/>
              </w:rPr>
              <w:t xml:space="preserve"> to global food security and to the security of supply </w:t>
            </w:r>
            <w:r w:rsidR="7753C19D" w:rsidRPr="00FD703D">
              <w:rPr>
                <w:rFonts w:eastAsia="Calibri" w:cs="Times New Roman"/>
                <w:noProof/>
                <w:sz w:val="22"/>
                <w:szCs w:val="20"/>
                <w:lang w:val="en-GB"/>
              </w:rPr>
              <w:t xml:space="preserve">on </w:t>
            </w:r>
            <w:r w:rsidRPr="00FD703D">
              <w:rPr>
                <w:rFonts w:eastAsia="Calibri" w:cs="Times New Roman"/>
                <w:noProof/>
                <w:sz w:val="22"/>
                <w:szCs w:val="20"/>
                <w:lang w:val="en-GB"/>
              </w:rPr>
              <w:t xml:space="preserve">the EU market, </w:t>
            </w:r>
            <w:r w:rsidR="7753C19D" w:rsidRPr="00FD703D">
              <w:rPr>
                <w:rFonts w:eastAsia="Calibri" w:cs="Times New Roman"/>
                <w:noProof/>
                <w:sz w:val="22"/>
                <w:szCs w:val="20"/>
                <w:lang w:val="en-GB"/>
              </w:rPr>
              <w:t>in particular if there are</w:t>
            </w:r>
            <w:r w:rsidRPr="00FD703D">
              <w:rPr>
                <w:rFonts w:eastAsia="Calibri" w:cs="Times New Roman"/>
                <w:noProof/>
                <w:sz w:val="22"/>
                <w:szCs w:val="20"/>
                <w:lang w:val="en-GB"/>
              </w:rPr>
              <w:t xml:space="preserve"> regional shortfalls in production, for example due to extreme weather events. </w:t>
            </w:r>
          </w:p>
          <w:p w14:paraId="003A0189" w14:textId="52D0D30A" w:rsidR="003F3E72"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Moreover, </w:t>
            </w:r>
            <w:r w:rsidR="7753C19D" w:rsidRPr="00FD703D">
              <w:rPr>
                <w:rFonts w:eastAsia="Calibri" w:cs="Times New Roman"/>
                <w:noProof/>
                <w:sz w:val="22"/>
                <w:szCs w:val="20"/>
                <w:lang w:val="en-GB"/>
              </w:rPr>
              <w:t>f</w:t>
            </w:r>
            <w:r w:rsidRPr="00FD703D">
              <w:rPr>
                <w:rFonts w:eastAsia="Calibri" w:cs="Times New Roman"/>
                <w:noProof/>
                <w:sz w:val="22"/>
                <w:szCs w:val="20"/>
                <w:lang w:val="en-GB"/>
              </w:rPr>
              <w:t xml:space="preserve">ree </w:t>
            </w:r>
            <w:r w:rsidR="7753C19D" w:rsidRPr="00FD703D">
              <w:rPr>
                <w:rFonts w:eastAsia="Calibri" w:cs="Times New Roman"/>
                <w:noProof/>
                <w:sz w:val="22"/>
                <w:szCs w:val="20"/>
                <w:lang w:val="en-GB"/>
              </w:rPr>
              <w:t>t</w:t>
            </w:r>
            <w:r w:rsidRPr="00FD703D">
              <w:rPr>
                <w:rFonts w:eastAsia="Calibri" w:cs="Times New Roman"/>
                <w:noProof/>
                <w:sz w:val="22"/>
                <w:szCs w:val="20"/>
                <w:lang w:val="en-GB"/>
              </w:rPr>
              <w:t xml:space="preserve">rade </w:t>
            </w:r>
            <w:r w:rsidR="7753C19D" w:rsidRPr="00FD703D">
              <w:rPr>
                <w:rFonts w:eastAsia="Calibri" w:cs="Times New Roman"/>
                <w:noProof/>
                <w:sz w:val="22"/>
                <w:szCs w:val="20"/>
                <w:lang w:val="en-GB"/>
              </w:rPr>
              <w:t>a</w:t>
            </w:r>
            <w:r w:rsidRPr="00FD703D">
              <w:rPr>
                <w:rFonts w:eastAsia="Calibri" w:cs="Times New Roman"/>
                <w:noProof/>
                <w:sz w:val="22"/>
                <w:szCs w:val="20"/>
                <w:lang w:val="en-GB"/>
              </w:rPr>
              <w:t xml:space="preserve">greements are a platform for cooperation on sustainable development </w:t>
            </w:r>
            <w:r w:rsidR="00CB2F59" w:rsidRPr="00FD703D">
              <w:rPr>
                <w:rFonts w:eastAsia="Calibri" w:cs="Times New Roman"/>
                <w:noProof/>
                <w:sz w:val="22"/>
                <w:szCs w:val="20"/>
                <w:lang w:val="en-GB"/>
              </w:rPr>
              <w:t>issues and</w:t>
            </w:r>
            <w:r w:rsidRPr="00FD703D">
              <w:rPr>
                <w:rFonts w:eastAsia="Calibri" w:cs="Times New Roman"/>
                <w:noProof/>
                <w:sz w:val="22"/>
                <w:szCs w:val="20"/>
                <w:lang w:val="en-GB"/>
              </w:rPr>
              <w:t xml:space="preserve"> contribute to the resilience of value chains by helping secure and diversify both </w:t>
            </w:r>
            <w:r w:rsidR="7753C19D" w:rsidRPr="00FD703D">
              <w:rPr>
                <w:rFonts w:eastAsia="Calibri" w:cs="Times New Roman"/>
                <w:noProof/>
                <w:sz w:val="22"/>
                <w:szCs w:val="20"/>
                <w:lang w:val="en-GB"/>
              </w:rPr>
              <w:t xml:space="preserve">the </w:t>
            </w:r>
            <w:r w:rsidRPr="00FD703D">
              <w:rPr>
                <w:rFonts w:eastAsia="Calibri" w:cs="Times New Roman"/>
                <w:noProof/>
                <w:sz w:val="22"/>
                <w:szCs w:val="20"/>
                <w:lang w:val="en-GB"/>
              </w:rPr>
              <w:t xml:space="preserve">sources of imports and export destinations. </w:t>
            </w:r>
          </w:p>
          <w:p w14:paraId="20F3BFF0" w14:textId="529E3163" w:rsidR="003F3E72"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During trade negotiations with some partners, increasing access to the EU market in some sectors has been a key demand. However, for sensitive agricultural products, concessions under EU trade agreements are always carefully calibrated, for instance through limited tariff rate </w:t>
            </w:r>
            <w:r w:rsidRPr="00FD703D">
              <w:rPr>
                <w:rFonts w:eastAsia="Calibri" w:cs="Times New Roman"/>
                <w:noProof/>
                <w:sz w:val="22"/>
                <w:szCs w:val="20"/>
                <w:lang w:val="en-GB"/>
              </w:rPr>
              <w:lastRenderedPageBreak/>
              <w:t xml:space="preserve">quotas to offer some access to our market and mitigate possible negative effects on sensitive products. </w:t>
            </w:r>
          </w:p>
          <w:p w14:paraId="4CBADCF0" w14:textId="46D2454D" w:rsidR="00974401" w:rsidRPr="00794D2C" w:rsidRDefault="29CB0D46" w:rsidP="006D16E5">
            <w:pPr>
              <w:spacing w:after="60" w:line="22" w:lineRule="atLeast"/>
              <w:jc w:val="both"/>
              <w:rPr>
                <w:rFonts w:eastAsia="Calibri" w:cs="Times New Roman"/>
                <w:noProof/>
                <w:sz w:val="22"/>
                <w:szCs w:val="20"/>
                <w:lang w:val="en-GB"/>
              </w:rPr>
            </w:pPr>
            <w:r w:rsidRPr="00FD703D">
              <w:rPr>
                <w:rFonts w:eastAsia="Calibri" w:cs="Times New Roman"/>
                <w:noProof/>
                <w:sz w:val="22"/>
                <w:szCs w:val="20"/>
                <w:lang w:val="en-GB"/>
              </w:rPr>
              <w:t xml:space="preserve">In addition, trade agreements are a key driver for the transition to more sustainable food systems both in the EU and in partner countries. Modern EU trade agreements contain rules on trade and sustainable development, which require the effective implementation of </w:t>
            </w:r>
            <w:r w:rsidR="7753C19D" w:rsidRPr="00FD703D">
              <w:rPr>
                <w:rFonts w:eastAsia="Calibri" w:cs="Times New Roman"/>
                <w:noProof/>
                <w:sz w:val="22"/>
                <w:szCs w:val="20"/>
                <w:lang w:val="en-GB"/>
              </w:rPr>
              <w:t xml:space="preserve">international </w:t>
            </w:r>
            <w:r w:rsidRPr="00794D2C">
              <w:rPr>
                <w:rFonts w:eastAsia="Calibri" w:cs="Times New Roman"/>
                <w:noProof/>
                <w:sz w:val="22"/>
                <w:szCs w:val="20"/>
                <w:lang w:val="en-GB"/>
              </w:rPr>
              <w:t xml:space="preserve">social and environmental commitments.  </w:t>
            </w:r>
          </w:p>
          <w:p w14:paraId="4C980334" w14:textId="4EA30F50" w:rsidR="0021478B" w:rsidRDefault="29CB0D46" w:rsidP="006D16E5">
            <w:pPr>
              <w:spacing w:after="60" w:line="22" w:lineRule="atLeast"/>
              <w:jc w:val="both"/>
              <w:rPr>
                <w:rFonts w:eastAsia="Calibri" w:cs="Times New Roman"/>
                <w:noProof/>
                <w:sz w:val="22"/>
                <w:lang w:val="en-GB"/>
              </w:rPr>
            </w:pPr>
            <w:r w:rsidRPr="00794D2C">
              <w:rPr>
                <w:rFonts w:eastAsia="Calibri" w:cs="Times New Roman"/>
                <w:noProof/>
                <w:sz w:val="22"/>
                <w:lang w:val="en-GB"/>
              </w:rPr>
              <w:t>The Mercosur free trade agreement is no exception: it offers real opportunities for EU exporters, in particular for high value-added products such as wine, olive oil and dairy products</w:t>
            </w:r>
            <w:r w:rsidR="0027764A">
              <w:rPr>
                <w:rFonts w:eastAsia="Calibri" w:cs="Times New Roman"/>
                <w:noProof/>
                <w:sz w:val="22"/>
                <w:lang w:val="en-GB"/>
              </w:rPr>
              <w:t xml:space="preserve"> as well as one of the highest number of EU GIs </w:t>
            </w:r>
            <w:r w:rsidR="001474ED">
              <w:rPr>
                <w:rFonts w:eastAsia="Calibri" w:cs="Times New Roman"/>
                <w:noProof/>
                <w:sz w:val="22"/>
                <w:lang w:val="en-GB"/>
              </w:rPr>
              <w:t>(</w:t>
            </w:r>
            <w:r w:rsidR="007D2936">
              <w:rPr>
                <w:rFonts w:eastAsia="Calibri" w:cs="Times New Roman"/>
                <w:noProof/>
                <w:sz w:val="22"/>
                <w:lang w:val="en-GB"/>
              </w:rPr>
              <w:t>G</w:t>
            </w:r>
            <w:r w:rsidR="001474ED">
              <w:rPr>
                <w:rFonts w:eastAsia="Calibri" w:cs="Times New Roman"/>
                <w:noProof/>
                <w:sz w:val="22"/>
                <w:lang w:val="en-GB"/>
              </w:rPr>
              <w:t xml:space="preserve">eographical indications) </w:t>
            </w:r>
            <w:r w:rsidR="0027764A">
              <w:rPr>
                <w:rFonts w:eastAsia="Calibri" w:cs="Times New Roman"/>
                <w:noProof/>
                <w:sz w:val="22"/>
                <w:lang w:val="en-GB"/>
              </w:rPr>
              <w:t>protected in</w:t>
            </w:r>
            <w:r w:rsidR="00B21837">
              <w:rPr>
                <w:rFonts w:eastAsia="Calibri" w:cs="Times New Roman"/>
                <w:noProof/>
                <w:sz w:val="22"/>
                <w:lang w:val="en-GB"/>
              </w:rPr>
              <w:t xml:space="preserve"> an FTA</w:t>
            </w:r>
            <w:r w:rsidRPr="00794D2C">
              <w:rPr>
                <w:rFonts w:eastAsia="Calibri" w:cs="Times New Roman"/>
                <w:noProof/>
                <w:sz w:val="22"/>
                <w:lang w:val="en-GB"/>
              </w:rPr>
              <w:t xml:space="preserve">. </w:t>
            </w:r>
            <w:r w:rsidR="00B21837" w:rsidRPr="00707F36">
              <w:rPr>
                <w:rFonts w:eastAsia="Calibri" w:cs="Times New Roman"/>
                <w:noProof/>
                <w:sz w:val="22"/>
                <w:lang w:val="en-GB"/>
              </w:rPr>
              <w:t xml:space="preserve">The FTA will contribute </w:t>
            </w:r>
            <w:r w:rsidR="00A31AB3">
              <w:rPr>
                <w:rFonts w:eastAsia="Calibri" w:cs="Times New Roman"/>
                <w:noProof/>
                <w:sz w:val="22"/>
                <w:lang w:val="en-GB"/>
              </w:rPr>
              <w:t>to</w:t>
            </w:r>
            <w:r w:rsidR="00B21837" w:rsidRPr="00707F36">
              <w:rPr>
                <w:rFonts w:eastAsia="Calibri" w:cs="Times New Roman"/>
                <w:noProof/>
                <w:sz w:val="22"/>
                <w:lang w:val="en-GB"/>
              </w:rPr>
              <w:t xml:space="preserve"> securing reliable flows, </w:t>
            </w:r>
            <w:r w:rsidR="00B21837">
              <w:rPr>
                <w:rFonts w:eastAsia="Calibri" w:cs="Times New Roman"/>
                <w:noProof/>
                <w:sz w:val="22"/>
                <w:lang w:val="en-GB"/>
              </w:rPr>
              <w:t xml:space="preserve">as </w:t>
            </w:r>
            <w:r w:rsidRPr="00794D2C">
              <w:rPr>
                <w:rFonts w:eastAsia="Calibri" w:cs="Times New Roman"/>
                <w:noProof/>
                <w:sz w:val="22"/>
                <w:lang w:val="en-GB"/>
              </w:rPr>
              <w:t>Mercosur is al</w:t>
            </w:r>
            <w:r w:rsidR="00B21837">
              <w:rPr>
                <w:rFonts w:eastAsia="Calibri" w:cs="Times New Roman"/>
                <w:noProof/>
                <w:sz w:val="22"/>
                <w:lang w:val="en-GB"/>
              </w:rPr>
              <w:t>ready</w:t>
            </w:r>
            <w:r w:rsidRPr="00794D2C">
              <w:rPr>
                <w:rFonts w:eastAsia="Calibri" w:cs="Times New Roman"/>
                <w:noProof/>
                <w:sz w:val="22"/>
                <w:lang w:val="en-GB"/>
              </w:rPr>
              <w:t xml:space="preserve"> a key source of imports for the EU, in particular feedstuffs </w:t>
            </w:r>
            <w:r w:rsidR="00E24A4E">
              <w:rPr>
                <w:rFonts w:eastAsia="Calibri" w:cs="Times New Roman"/>
                <w:noProof/>
                <w:sz w:val="22"/>
                <w:lang w:val="en-GB"/>
              </w:rPr>
              <w:t xml:space="preserve">necessary </w:t>
            </w:r>
            <w:r w:rsidRPr="00794D2C">
              <w:rPr>
                <w:rFonts w:eastAsia="Calibri" w:cs="Times New Roman"/>
                <w:noProof/>
                <w:sz w:val="22"/>
                <w:lang w:val="en-GB"/>
              </w:rPr>
              <w:t>for agriculture and tropical products such as fruits or coffee</w:t>
            </w:r>
            <w:r w:rsidR="000F44DE">
              <w:rPr>
                <w:rFonts w:eastAsia="Calibri" w:cs="Times New Roman"/>
                <w:noProof/>
                <w:sz w:val="22"/>
                <w:lang w:val="en-GB"/>
              </w:rPr>
              <w:t>, for which the EU needs to rely on imports</w:t>
            </w:r>
            <w:r w:rsidRPr="00794D2C">
              <w:rPr>
                <w:rFonts w:eastAsia="Calibri" w:cs="Times New Roman"/>
                <w:noProof/>
                <w:sz w:val="22"/>
                <w:lang w:val="en-GB"/>
              </w:rPr>
              <w:t xml:space="preserve">. Potential impacts on the EU market are mitigated through Tariff Rate Quotas phased-in over long transitional periods, and </w:t>
            </w:r>
            <w:r w:rsidR="000F44DE" w:rsidRPr="005658D3">
              <w:rPr>
                <w:rFonts w:eastAsia="Calibri" w:cs="Times New Roman"/>
                <w:noProof/>
                <w:sz w:val="22"/>
                <w:lang w:val="en-GB"/>
              </w:rPr>
              <w:t xml:space="preserve">for the first time in such an Agreement, protected by </w:t>
            </w:r>
            <w:r w:rsidRPr="00794D2C">
              <w:rPr>
                <w:rFonts w:eastAsia="Calibri" w:cs="Times New Roman"/>
                <w:noProof/>
                <w:sz w:val="22"/>
                <w:lang w:val="en-GB"/>
              </w:rPr>
              <w:t>safeguard clauses.</w:t>
            </w:r>
            <w:r w:rsidR="003949C4" w:rsidRPr="005658D3">
              <w:rPr>
                <w:rFonts w:eastAsia="Calibri" w:cs="Times New Roman"/>
                <w:noProof/>
                <w:sz w:val="22"/>
                <w:lang w:val="en-GB"/>
              </w:rPr>
              <w:t xml:space="preserve"> The negotiations are still </w:t>
            </w:r>
            <w:r w:rsidR="00A8071A" w:rsidRPr="005658D3">
              <w:rPr>
                <w:rFonts w:eastAsia="Calibri" w:cs="Times New Roman"/>
                <w:noProof/>
                <w:sz w:val="22"/>
                <w:lang w:val="en-GB"/>
              </w:rPr>
              <w:t>on-going,</w:t>
            </w:r>
            <w:r w:rsidR="003949C4" w:rsidRPr="005658D3">
              <w:rPr>
                <w:rFonts w:eastAsia="Calibri" w:cs="Times New Roman"/>
                <w:noProof/>
                <w:sz w:val="22"/>
                <w:lang w:val="en-GB"/>
              </w:rPr>
              <w:t xml:space="preserve"> and </w:t>
            </w:r>
            <w:r w:rsidR="003949C4">
              <w:rPr>
                <w:rFonts w:eastAsia="Calibri" w:cs="Times New Roman"/>
                <w:noProof/>
                <w:sz w:val="22"/>
                <w:lang w:val="en-GB"/>
              </w:rPr>
              <w:t>t</w:t>
            </w:r>
            <w:r w:rsidRPr="00794D2C">
              <w:rPr>
                <w:rFonts w:eastAsia="Calibri" w:cs="Times New Roman"/>
                <w:noProof/>
                <w:sz w:val="22"/>
                <w:lang w:val="en-GB"/>
              </w:rPr>
              <w:t>his includes an ambitious trade and sustainable development chapter,</w:t>
            </w:r>
            <w:r w:rsidR="005773B6" w:rsidRPr="00747769">
              <w:rPr>
                <w:noProof/>
                <w:lang w:val="en-IE"/>
              </w:rPr>
              <w:t xml:space="preserve"> </w:t>
            </w:r>
            <w:r w:rsidR="005773B6" w:rsidRPr="005773B6">
              <w:rPr>
                <w:rFonts w:eastAsia="Calibri" w:cs="Times New Roman"/>
                <w:noProof/>
                <w:sz w:val="22"/>
                <w:lang w:val="en-GB"/>
              </w:rPr>
              <w:t>encompassing an addendum</w:t>
            </w:r>
            <w:r w:rsidRPr="00794D2C">
              <w:rPr>
                <w:rFonts w:eastAsia="Calibri" w:cs="Times New Roman"/>
                <w:noProof/>
                <w:sz w:val="22"/>
                <w:lang w:val="en-GB"/>
              </w:rPr>
              <w:t xml:space="preserve"> with Mercosur to ensure that the agreement delivers on the EU’s sustainability goals. </w:t>
            </w:r>
          </w:p>
          <w:p w14:paraId="77C1FB85" w14:textId="392BCB12" w:rsidR="00872C68" w:rsidRPr="00FD703D" w:rsidRDefault="29CB0D46" w:rsidP="006D16E5">
            <w:pPr>
              <w:spacing w:after="60" w:line="22" w:lineRule="atLeast"/>
              <w:jc w:val="both"/>
              <w:rPr>
                <w:rFonts w:eastAsia="Calibri" w:cs="Times New Roman"/>
                <w:noProof/>
                <w:sz w:val="22"/>
                <w:szCs w:val="20"/>
                <w:lang w:val="en-GB"/>
              </w:rPr>
            </w:pPr>
            <w:r w:rsidRPr="00FD703D">
              <w:rPr>
                <w:rFonts w:eastAsia="Calibri" w:cs="Times New Roman"/>
                <w:noProof/>
                <w:sz w:val="22"/>
                <w:szCs w:val="20"/>
                <w:lang w:val="en-GB"/>
              </w:rPr>
              <w:t xml:space="preserve">Finally, </w:t>
            </w:r>
            <w:r w:rsidR="7753C19D" w:rsidRPr="00FD703D">
              <w:rPr>
                <w:rFonts w:eastAsia="Calibri" w:cs="Times New Roman"/>
                <w:noProof/>
                <w:sz w:val="22"/>
                <w:szCs w:val="20"/>
                <w:lang w:val="en-GB"/>
              </w:rPr>
              <w:t xml:space="preserve">free trade agreements </w:t>
            </w:r>
            <w:r w:rsidRPr="00FD703D">
              <w:rPr>
                <w:rFonts w:eastAsia="Calibri" w:cs="Times New Roman"/>
                <w:noProof/>
                <w:sz w:val="22"/>
                <w:szCs w:val="20"/>
                <w:lang w:val="en-GB"/>
              </w:rPr>
              <w:t xml:space="preserve">must be consistent with WTO rules, which require that parties need to establish free trade on substantially all the trade between the constituent territories in products originating in </w:t>
            </w:r>
            <w:r w:rsidR="529D1129" w:rsidRPr="00FD703D">
              <w:rPr>
                <w:rFonts w:eastAsia="Calibri" w:cs="Times New Roman"/>
                <w:noProof/>
                <w:sz w:val="22"/>
                <w:szCs w:val="20"/>
                <w:lang w:val="en-GB"/>
              </w:rPr>
              <w:t xml:space="preserve">these </w:t>
            </w:r>
            <w:r w:rsidRPr="00FD703D">
              <w:rPr>
                <w:rFonts w:eastAsia="Calibri" w:cs="Times New Roman"/>
                <w:noProof/>
                <w:sz w:val="22"/>
                <w:szCs w:val="20"/>
                <w:lang w:val="en-GB"/>
              </w:rPr>
              <w:t xml:space="preserve">territories. </w:t>
            </w:r>
          </w:p>
        </w:tc>
      </w:tr>
      <w:tr w:rsidR="001F253E" w:rsidRPr="00FD703D" w14:paraId="0A1F00DA" w14:textId="77777777" w:rsidTr="008A73D8">
        <w:trPr>
          <w:trHeight w:val="413"/>
        </w:trPr>
        <w:tc>
          <w:tcPr>
            <w:tcW w:w="14519" w:type="dxa"/>
            <w:gridSpan w:val="5"/>
            <w:tcBorders>
              <w:top w:val="nil"/>
              <w:bottom w:val="nil"/>
            </w:tcBorders>
            <w:shd w:val="clear" w:color="auto" w:fill="003399"/>
            <w:vAlign w:val="center"/>
          </w:tcPr>
          <w:p w14:paraId="3F1E57E7" w14:textId="77777777" w:rsidR="00872C68" w:rsidRPr="00FD703D" w:rsidRDefault="00872C68" w:rsidP="001061AF">
            <w:pPr>
              <w:spacing w:after="60" w:line="259" w:lineRule="auto"/>
              <w:jc w:val="center"/>
              <w:rPr>
                <w:rFonts w:eastAsia="Calibri" w:cs="Times New Roman"/>
                <w:noProof/>
                <w:color w:val="FFFFFF"/>
                <w:sz w:val="22"/>
                <w:lang w:val="en-GB"/>
              </w:rPr>
            </w:pPr>
            <w:r w:rsidRPr="00FD703D">
              <w:rPr>
                <w:rFonts w:eastAsia="Calibri" w:cs="Times New Roman"/>
                <w:b/>
                <w:bCs/>
                <w:noProof/>
                <w:color w:val="FFFFFF"/>
                <w:sz w:val="22"/>
                <w:lang w:val="en-GB"/>
              </w:rPr>
              <w:lastRenderedPageBreak/>
              <w:t>State aid</w:t>
            </w:r>
          </w:p>
        </w:tc>
      </w:tr>
      <w:tr w:rsidR="00C44968" w:rsidRPr="00FD703D" w14:paraId="56841846" w14:textId="77777777" w:rsidTr="008A73D8">
        <w:trPr>
          <w:trHeight w:val="300"/>
        </w:trPr>
        <w:tc>
          <w:tcPr>
            <w:tcW w:w="653" w:type="dxa"/>
            <w:gridSpan w:val="2"/>
            <w:vAlign w:val="center"/>
          </w:tcPr>
          <w:p w14:paraId="62706D0E" w14:textId="7BCA306E" w:rsidR="00872C68" w:rsidRPr="00FD703D" w:rsidRDefault="00872C68" w:rsidP="00F42A80">
            <w:pPr>
              <w:spacing w:after="60" w:line="259" w:lineRule="auto"/>
              <w:jc w:val="both"/>
              <w:rPr>
                <w:rFonts w:eastAsia="Calibri" w:cs="Times New Roman"/>
                <w:b/>
                <w:noProof/>
                <w:sz w:val="22"/>
                <w:lang w:val="en-GB"/>
              </w:rPr>
            </w:pPr>
            <w:r w:rsidRPr="00FD703D">
              <w:rPr>
                <w:rFonts w:eastAsia="Calibri" w:cs="Times New Roman"/>
                <w:b/>
                <w:bCs/>
                <w:noProof/>
                <w:sz w:val="22"/>
                <w:lang w:val="en-GB"/>
              </w:rPr>
              <w:t>27</w:t>
            </w:r>
            <w:r w:rsidR="00E558D0">
              <w:rPr>
                <w:rFonts w:eastAsia="Calibri" w:cs="Times New Roman"/>
                <w:b/>
                <w:bCs/>
                <w:noProof/>
                <w:sz w:val="22"/>
                <w:lang w:val="en-GB"/>
              </w:rPr>
              <w:t>0</w:t>
            </w:r>
          </w:p>
        </w:tc>
        <w:tc>
          <w:tcPr>
            <w:tcW w:w="5946" w:type="dxa"/>
            <w:vAlign w:val="center"/>
          </w:tcPr>
          <w:p w14:paraId="491748EE" w14:textId="4EAA5812"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State aid rules:</w:t>
            </w:r>
            <w:r w:rsidRPr="00FD703D">
              <w:rPr>
                <w:rFonts w:eastAsia="Calibri" w:cs="Times New Roman"/>
                <w:noProof/>
                <w:sz w:val="22"/>
                <w:szCs w:val="20"/>
                <w:lang w:val="en-GB"/>
              </w:rPr>
              <w:t xml:space="preserve"> </w:t>
            </w:r>
            <w:r w:rsidR="71C0089D" w:rsidRPr="00FD703D">
              <w:rPr>
                <w:rFonts w:eastAsia="Calibri" w:cs="Times New Roman"/>
                <w:noProof/>
                <w:sz w:val="22"/>
                <w:szCs w:val="20"/>
                <w:lang w:val="en-GB"/>
              </w:rPr>
              <w:t>c</w:t>
            </w:r>
            <w:r w:rsidRPr="00FD703D">
              <w:rPr>
                <w:rFonts w:eastAsia="Calibri" w:cs="Times New Roman"/>
                <w:noProof/>
                <w:sz w:val="22"/>
                <w:szCs w:val="20"/>
                <w:lang w:val="en-GB"/>
              </w:rPr>
              <w:t xml:space="preserve">all to relax </w:t>
            </w:r>
            <w:r w:rsidR="7A5AFA79" w:rsidRPr="00FD703D">
              <w:rPr>
                <w:rFonts w:eastAsia="Calibri" w:cs="Times New Roman"/>
                <w:noProof/>
                <w:sz w:val="22"/>
                <w:szCs w:val="20"/>
                <w:lang w:val="en-GB"/>
              </w:rPr>
              <w:t>S</w:t>
            </w:r>
            <w:r w:rsidRPr="00FD703D">
              <w:rPr>
                <w:rFonts w:eastAsia="Calibri" w:cs="Times New Roman"/>
                <w:noProof/>
                <w:sz w:val="22"/>
                <w:szCs w:val="20"/>
                <w:lang w:val="en-GB"/>
              </w:rPr>
              <w:t>tate aid rules, allow for</w:t>
            </w:r>
            <w:r w:rsidR="0ED03DE8" w:rsidRPr="00FD703D">
              <w:rPr>
                <w:rFonts w:eastAsia="Calibri" w:cs="Times New Roman"/>
                <w:noProof/>
                <w:sz w:val="22"/>
                <w:szCs w:val="20"/>
                <w:lang w:val="en-GB"/>
              </w:rPr>
              <w:t xml:space="preserve"> a</w:t>
            </w:r>
            <w:r w:rsidRPr="00FD703D">
              <w:rPr>
                <w:rFonts w:eastAsia="Calibri" w:cs="Times New Roman"/>
                <w:noProof/>
                <w:sz w:val="22"/>
                <w:szCs w:val="20"/>
                <w:lang w:val="en-GB"/>
              </w:rPr>
              <w:t xml:space="preserve"> higher level of support, </w:t>
            </w:r>
            <w:r w:rsidR="0ED03DE8" w:rsidRPr="00FD703D">
              <w:rPr>
                <w:rFonts w:eastAsia="Calibri" w:cs="Times New Roman"/>
                <w:noProof/>
                <w:sz w:val="22"/>
                <w:szCs w:val="20"/>
                <w:lang w:val="en-GB"/>
              </w:rPr>
              <w:t xml:space="preserve">and </w:t>
            </w:r>
            <w:r w:rsidRPr="00FD703D">
              <w:rPr>
                <w:rFonts w:eastAsia="Calibri" w:cs="Times New Roman"/>
                <w:noProof/>
                <w:sz w:val="22"/>
                <w:szCs w:val="20"/>
                <w:lang w:val="en-GB"/>
              </w:rPr>
              <w:t xml:space="preserve">to increase and make the maximum aid ceiling for farmers more flexible to take into account the </w:t>
            </w:r>
            <w:r w:rsidR="0ED03DE8" w:rsidRPr="00FD703D">
              <w:rPr>
                <w:rFonts w:eastAsia="Calibri" w:cs="Times New Roman"/>
                <w:noProof/>
                <w:sz w:val="22"/>
                <w:szCs w:val="20"/>
                <w:lang w:val="en-GB"/>
              </w:rPr>
              <w:t xml:space="preserve">increase in </w:t>
            </w:r>
            <w:r w:rsidRPr="00FD703D">
              <w:rPr>
                <w:rFonts w:eastAsia="Calibri" w:cs="Times New Roman"/>
                <w:noProof/>
                <w:sz w:val="22"/>
                <w:szCs w:val="20"/>
                <w:lang w:val="en-GB"/>
              </w:rPr>
              <w:t xml:space="preserve">extreme climatic events </w:t>
            </w:r>
            <w:r w:rsidR="0ED03DE8" w:rsidRPr="00FD703D">
              <w:rPr>
                <w:rFonts w:eastAsia="Calibri" w:cs="Times New Roman"/>
                <w:noProof/>
                <w:sz w:val="22"/>
                <w:szCs w:val="20"/>
                <w:lang w:val="en-GB"/>
              </w:rPr>
              <w:t xml:space="preserve">to which </w:t>
            </w:r>
            <w:r w:rsidRPr="00FD703D">
              <w:rPr>
                <w:rFonts w:eastAsia="Calibri" w:cs="Times New Roman"/>
                <w:noProof/>
                <w:sz w:val="22"/>
                <w:szCs w:val="20"/>
                <w:lang w:val="en-GB"/>
              </w:rPr>
              <w:t>farmers are exposed</w:t>
            </w:r>
            <w:r w:rsidR="7BF7ACA0" w:rsidRPr="00FD703D">
              <w:rPr>
                <w:rFonts w:eastAsia="Calibri" w:cs="Times New Roman"/>
                <w:noProof/>
                <w:sz w:val="22"/>
                <w:szCs w:val="20"/>
                <w:lang w:val="en-GB"/>
              </w:rPr>
              <w:t xml:space="preserve"> (</w:t>
            </w:r>
            <w:r w:rsidRPr="00FD703D">
              <w:rPr>
                <w:rFonts w:eastAsia="Calibri" w:cs="Times New Roman"/>
                <w:noProof/>
                <w:sz w:val="22"/>
                <w:szCs w:val="20"/>
                <w:lang w:val="en-GB"/>
              </w:rPr>
              <w:t xml:space="preserve">Commission Regulation </w:t>
            </w:r>
            <w:r w:rsidR="091A6FA6" w:rsidRPr="00FD703D">
              <w:rPr>
                <w:rFonts w:eastAsia="Calibri" w:cs="Times New Roman"/>
                <w:noProof/>
                <w:sz w:val="22"/>
                <w:szCs w:val="20"/>
                <w:lang w:val="en-GB"/>
              </w:rPr>
              <w:t xml:space="preserve">(EU) No </w:t>
            </w:r>
            <w:r w:rsidRPr="00FD703D">
              <w:rPr>
                <w:rFonts w:eastAsia="Calibri" w:cs="Times New Roman"/>
                <w:noProof/>
                <w:sz w:val="22"/>
                <w:szCs w:val="20"/>
                <w:lang w:val="en-GB"/>
              </w:rPr>
              <w:t>1408/2013</w:t>
            </w:r>
            <w:r w:rsidR="7BF7ACA0" w:rsidRPr="00FD703D">
              <w:rPr>
                <w:rFonts w:eastAsia="Calibri" w:cs="Times New Roman"/>
                <w:noProof/>
                <w:sz w:val="22"/>
                <w:szCs w:val="20"/>
                <w:lang w:val="en-GB"/>
              </w:rPr>
              <w:t>)</w:t>
            </w:r>
            <w:r w:rsidR="0ED03DE8" w:rsidRPr="00FD703D">
              <w:rPr>
                <w:rFonts w:eastAsia="Calibri" w:cs="Times New Roman"/>
                <w:noProof/>
                <w:sz w:val="22"/>
                <w:szCs w:val="20"/>
                <w:lang w:val="en-GB"/>
              </w:rPr>
              <w:t>.</w:t>
            </w:r>
          </w:p>
        </w:tc>
        <w:tc>
          <w:tcPr>
            <w:tcW w:w="1530" w:type="dxa"/>
            <w:vAlign w:val="center"/>
          </w:tcPr>
          <w:p w14:paraId="1D559BE5" w14:textId="77777777" w:rsidR="00872C68" w:rsidRPr="00FD703D" w:rsidRDefault="00872C68" w:rsidP="00F42A80">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FR, MT</w:t>
            </w:r>
          </w:p>
        </w:tc>
        <w:tc>
          <w:tcPr>
            <w:tcW w:w="6390" w:type="dxa"/>
          </w:tcPr>
          <w:p w14:paraId="784A53F7" w14:textId="6AE2B0D4" w:rsidR="00872C68" w:rsidRPr="0023561A" w:rsidRDefault="00872C68" w:rsidP="00F42A80">
            <w:pPr>
              <w:spacing w:after="60" w:line="259" w:lineRule="auto"/>
              <w:jc w:val="both"/>
              <w:rPr>
                <w:rFonts w:eastAsia="Calibri" w:cs="Times New Roman"/>
                <w:noProof/>
                <w:sz w:val="22"/>
                <w:lang w:val="en-GB"/>
              </w:rPr>
            </w:pPr>
            <w:r w:rsidRPr="0023561A">
              <w:rPr>
                <w:rFonts w:eastAsia="Calibri" w:cs="Times New Roman"/>
                <w:noProof/>
                <w:sz w:val="22"/>
                <w:lang w:val="en-GB"/>
              </w:rPr>
              <w:t xml:space="preserve">The Commission </w:t>
            </w:r>
            <w:r w:rsidR="00E73FC0" w:rsidRPr="00FF77A3">
              <w:rPr>
                <w:rFonts w:eastAsia="Calibri" w:cs="Times New Roman"/>
                <w:noProof/>
                <w:sz w:val="22"/>
                <w:lang w:val="en-GB"/>
              </w:rPr>
              <w:t xml:space="preserve">is finalising the </w:t>
            </w:r>
            <w:r w:rsidRPr="0023561A">
              <w:rPr>
                <w:rFonts w:eastAsia="Calibri" w:cs="Times New Roman"/>
                <w:noProof/>
                <w:sz w:val="22"/>
                <w:lang w:val="en-GB"/>
              </w:rPr>
              <w:t xml:space="preserve"> review of Commission Regulation </w:t>
            </w:r>
            <w:r w:rsidR="00263FE0" w:rsidRPr="0023561A">
              <w:rPr>
                <w:rFonts w:eastAsia="Calibri" w:cs="Times New Roman"/>
                <w:noProof/>
                <w:sz w:val="22"/>
                <w:lang w:val="en-GB"/>
              </w:rPr>
              <w:t xml:space="preserve">(EU) No </w:t>
            </w:r>
            <w:r w:rsidRPr="0023561A">
              <w:rPr>
                <w:rFonts w:eastAsia="Calibri" w:cs="Times New Roman"/>
                <w:noProof/>
                <w:sz w:val="22"/>
                <w:lang w:val="en-GB"/>
              </w:rPr>
              <w:t>1408/2013 (</w:t>
            </w:r>
            <w:r w:rsidR="00EC241D" w:rsidRPr="0023561A">
              <w:rPr>
                <w:rFonts w:eastAsia="Calibri" w:cs="Times New Roman"/>
                <w:noProof/>
                <w:sz w:val="22"/>
                <w:lang w:val="en-GB"/>
              </w:rPr>
              <w:t>the ‘</w:t>
            </w:r>
            <w:r w:rsidRPr="0023561A">
              <w:rPr>
                <w:rFonts w:eastAsia="Calibri" w:cs="Times New Roman"/>
                <w:noProof/>
                <w:sz w:val="22"/>
                <w:lang w:val="en-GB"/>
              </w:rPr>
              <w:t xml:space="preserve">agricultural </w:t>
            </w:r>
            <w:r w:rsidRPr="0023561A">
              <w:rPr>
                <w:rFonts w:eastAsia="Calibri" w:cs="Times New Roman"/>
                <w:i/>
                <w:iCs/>
                <w:noProof/>
                <w:sz w:val="22"/>
                <w:lang w:val="en-GB"/>
              </w:rPr>
              <w:t>de minimis</w:t>
            </w:r>
            <w:r w:rsidRPr="0023561A">
              <w:rPr>
                <w:rFonts w:eastAsia="Calibri" w:cs="Times New Roman"/>
                <w:noProof/>
                <w:sz w:val="22"/>
                <w:lang w:val="en-GB"/>
              </w:rPr>
              <w:t xml:space="preserve"> Regulation</w:t>
            </w:r>
            <w:r w:rsidR="00EC241D" w:rsidRPr="0023561A">
              <w:rPr>
                <w:rFonts w:eastAsia="Calibri" w:cs="Times New Roman"/>
                <w:noProof/>
                <w:sz w:val="22"/>
                <w:lang w:val="en-GB"/>
              </w:rPr>
              <w:t>’</w:t>
            </w:r>
            <w:r w:rsidRPr="0023561A">
              <w:rPr>
                <w:rFonts w:eastAsia="Calibri" w:cs="Times New Roman"/>
                <w:noProof/>
                <w:sz w:val="22"/>
                <w:lang w:val="en-GB"/>
              </w:rPr>
              <w:t>) in light of the inflationary pressure in recent years and the current context with, amongst other</w:t>
            </w:r>
            <w:r w:rsidR="00EC241D" w:rsidRPr="0023561A">
              <w:rPr>
                <w:rFonts w:eastAsia="Calibri" w:cs="Times New Roman"/>
                <w:noProof/>
                <w:sz w:val="22"/>
                <w:lang w:val="en-GB"/>
              </w:rPr>
              <w:t xml:space="preserve"> things</w:t>
            </w:r>
            <w:r w:rsidRPr="0023561A">
              <w:rPr>
                <w:rFonts w:eastAsia="Calibri" w:cs="Times New Roman"/>
                <w:noProof/>
                <w:sz w:val="22"/>
                <w:lang w:val="en-GB"/>
              </w:rPr>
              <w:t>, high commodity prices affecting the agricultural sector.</w:t>
            </w:r>
          </w:p>
        </w:tc>
      </w:tr>
      <w:tr w:rsidR="00C44968" w:rsidRPr="00FD703D" w14:paraId="1D6608F1" w14:textId="77777777" w:rsidTr="008A73D8">
        <w:trPr>
          <w:trHeight w:val="300"/>
        </w:trPr>
        <w:tc>
          <w:tcPr>
            <w:tcW w:w="653" w:type="dxa"/>
            <w:gridSpan w:val="2"/>
            <w:vAlign w:val="center"/>
          </w:tcPr>
          <w:p w14:paraId="24A424DA" w14:textId="1A10B3A6"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lastRenderedPageBreak/>
              <w:t>27</w:t>
            </w:r>
            <w:r w:rsidR="00E558D0">
              <w:rPr>
                <w:rFonts w:eastAsia="Calibri" w:cs="Times New Roman"/>
                <w:b/>
                <w:bCs/>
                <w:noProof/>
                <w:sz w:val="22"/>
                <w:lang w:val="en-GB"/>
              </w:rPr>
              <w:t>1</w:t>
            </w:r>
          </w:p>
        </w:tc>
        <w:tc>
          <w:tcPr>
            <w:tcW w:w="5946" w:type="dxa"/>
            <w:vAlign w:val="center"/>
          </w:tcPr>
          <w:p w14:paraId="4826767E" w14:textId="4C8BD1DE"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 xml:space="preserve">Approval of </w:t>
            </w:r>
            <w:r w:rsidR="7A5AFA79" w:rsidRPr="00FD703D">
              <w:rPr>
                <w:rFonts w:eastAsia="Calibri" w:cs="Times New Roman"/>
                <w:b/>
                <w:bCs/>
                <w:noProof/>
                <w:sz w:val="22"/>
                <w:szCs w:val="20"/>
                <w:lang w:val="en-GB"/>
              </w:rPr>
              <w:t>S</w:t>
            </w:r>
            <w:r w:rsidRPr="00FD703D">
              <w:rPr>
                <w:rFonts w:eastAsia="Calibri" w:cs="Times New Roman"/>
                <w:b/>
                <w:bCs/>
                <w:noProof/>
                <w:sz w:val="22"/>
                <w:szCs w:val="20"/>
                <w:lang w:val="en-GB"/>
              </w:rPr>
              <w:t xml:space="preserve">tate aid: </w:t>
            </w:r>
            <w:r w:rsidR="6DC73F47" w:rsidRPr="00FD703D">
              <w:rPr>
                <w:rFonts w:eastAsia="Calibri" w:cs="Times New Roman"/>
                <w:noProof/>
                <w:sz w:val="22"/>
                <w:szCs w:val="20"/>
                <w:lang w:val="en-GB"/>
              </w:rPr>
              <w:t>a</w:t>
            </w:r>
            <w:r w:rsidRPr="00FD703D">
              <w:rPr>
                <w:rFonts w:eastAsia="Calibri" w:cs="Times New Roman"/>
                <w:noProof/>
                <w:sz w:val="22"/>
                <w:szCs w:val="20"/>
                <w:lang w:val="en-GB"/>
              </w:rPr>
              <w:t xml:space="preserve">pprove </w:t>
            </w:r>
            <w:r w:rsidR="7A5AFA79" w:rsidRPr="00FD703D">
              <w:rPr>
                <w:rFonts w:eastAsia="Calibri" w:cs="Times New Roman"/>
                <w:noProof/>
                <w:sz w:val="22"/>
                <w:szCs w:val="20"/>
                <w:lang w:val="en-GB"/>
              </w:rPr>
              <w:t>S</w:t>
            </w:r>
            <w:r w:rsidRPr="00FD703D">
              <w:rPr>
                <w:rFonts w:eastAsia="Calibri" w:cs="Times New Roman"/>
                <w:noProof/>
                <w:sz w:val="22"/>
                <w:szCs w:val="20"/>
                <w:lang w:val="en-GB"/>
              </w:rPr>
              <w:t>tate aid directly within a strategic</w:t>
            </w:r>
            <w:r w:rsidR="0ED03DE8" w:rsidRPr="00FD703D">
              <w:rPr>
                <w:rFonts w:eastAsia="Calibri" w:cs="Times New Roman"/>
                <w:noProof/>
                <w:sz w:val="22"/>
                <w:szCs w:val="20"/>
                <w:lang w:val="en-GB"/>
              </w:rPr>
              <w:t xml:space="preserve"> or </w:t>
            </w:r>
            <w:r w:rsidRPr="00FD703D">
              <w:rPr>
                <w:rFonts w:eastAsia="Calibri" w:cs="Times New Roman"/>
                <w:noProof/>
                <w:sz w:val="22"/>
                <w:szCs w:val="20"/>
                <w:lang w:val="en-GB"/>
              </w:rPr>
              <w:t xml:space="preserve">programme document (currently within the CAP </w:t>
            </w:r>
            <w:r w:rsidR="0ED03DE8" w:rsidRPr="00FD703D">
              <w:rPr>
                <w:rFonts w:eastAsia="Calibri" w:cs="Times New Roman"/>
                <w:noProof/>
                <w:sz w:val="22"/>
                <w:szCs w:val="20"/>
                <w:lang w:val="en-GB"/>
              </w:rPr>
              <w:t>s</w:t>
            </w:r>
            <w:r w:rsidRPr="00FD703D">
              <w:rPr>
                <w:rFonts w:eastAsia="Calibri" w:cs="Times New Roman"/>
                <w:noProof/>
                <w:sz w:val="22"/>
                <w:szCs w:val="20"/>
                <w:lang w:val="en-GB"/>
              </w:rPr>
              <w:t xml:space="preserve">trategic </w:t>
            </w:r>
            <w:r w:rsidR="0ED03DE8" w:rsidRPr="00FD703D">
              <w:rPr>
                <w:rFonts w:eastAsia="Calibri" w:cs="Times New Roman"/>
                <w:noProof/>
                <w:sz w:val="22"/>
                <w:szCs w:val="20"/>
                <w:lang w:val="en-GB"/>
              </w:rPr>
              <w:t>p</w:t>
            </w:r>
            <w:r w:rsidRPr="00FD703D">
              <w:rPr>
                <w:rFonts w:eastAsia="Calibri" w:cs="Times New Roman"/>
                <w:noProof/>
                <w:sz w:val="22"/>
                <w:szCs w:val="20"/>
                <w:lang w:val="en-GB"/>
              </w:rPr>
              <w:t>lan)</w:t>
            </w:r>
            <w:r w:rsidR="0ED03DE8" w:rsidRPr="00FD703D">
              <w:rPr>
                <w:rFonts w:eastAsia="Calibri" w:cs="Times New Roman"/>
                <w:noProof/>
                <w:sz w:val="22"/>
                <w:szCs w:val="20"/>
                <w:lang w:val="en-GB"/>
              </w:rPr>
              <w:t>;</w:t>
            </w:r>
            <w:r w:rsidRPr="00FD703D">
              <w:rPr>
                <w:rFonts w:eastAsia="Calibri" w:cs="Times New Roman"/>
                <w:noProof/>
                <w:sz w:val="22"/>
                <w:szCs w:val="20"/>
                <w:lang w:val="en-GB"/>
              </w:rPr>
              <w:t xml:space="preserve"> a</w:t>
            </w:r>
            <w:r w:rsidR="0ED03DE8" w:rsidRPr="00FD703D">
              <w:rPr>
                <w:rFonts w:eastAsia="Calibri" w:cs="Times New Roman"/>
                <w:noProof/>
                <w:sz w:val="22"/>
                <w:szCs w:val="20"/>
                <w:lang w:val="en-GB"/>
              </w:rPr>
              <w:t>dopt a</w:t>
            </w:r>
            <w:r w:rsidRPr="00FD703D">
              <w:rPr>
                <w:rFonts w:eastAsia="Calibri" w:cs="Times New Roman"/>
                <w:noProof/>
                <w:sz w:val="22"/>
                <w:szCs w:val="20"/>
                <w:lang w:val="en-GB"/>
              </w:rPr>
              <w:t xml:space="preserve"> </w:t>
            </w:r>
            <w:r w:rsidR="0ED03DE8" w:rsidRPr="00FD703D">
              <w:rPr>
                <w:rFonts w:eastAsia="Calibri" w:cs="Times New Roman"/>
                <w:noProof/>
                <w:sz w:val="22"/>
                <w:szCs w:val="20"/>
                <w:lang w:val="en-GB"/>
              </w:rPr>
              <w:t>‘single</w:t>
            </w:r>
            <w:r w:rsidRPr="00FD703D">
              <w:rPr>
                <w:rFonts w:eastAsia="Calibri" w:cs="Times New Roman"/>
                <w:noProof/>
                <w:sz w:val="22"/>
                <w:szCs w:val="20"/>
                <w:lang w:val="en-GB"/>
              </w:rPr>
              <w:t>-window</w:t>
            </w:r>
            <w:r w:rsidR="0ED03DE8" w:rsidRPr="00FD703D">
              <w:rPr>
                <w:rFonts w:eastAsia="Calibri" w:cs="Times New Roman"/>
                <w:noProof/>
                <w:sz w:val="22"/>
                <w:szCs w:val="20"/>
                <w:lang w:val="en-GB"/>
              </w:rPr>
              <w:t>’</w:t>
            </w:r>
            <w:r w:rsidRPr="00FD703D">
              <w:rPr>
                <w:rFonts w:eastAsia="Calibri" w:cs="Times New Roman"/>
                <w:noProof/>
                <w:sz w:val="22"/>
                <w:szCs w:val="20"/>
                <w:lang w:val="en-GB"/>
              </w:rPr>
              <w:t xml:space="preserve"> approach for both</w:t>
            </w:r>
            <w:r w:rsidR="0ED03DE8" w:rsidRPr="00FD703D">
              <w:rPr>
                <w:rFonts w:eastAsia="Calibri" w:cs="Times New Roman"/>
                <w:noProof/>
                <w:sz w:val="22"/>
                <w:szCs w:val="20"/>
                <w:lang w:val="en-GB"/>
              </w:rPr>
              <w:t>.</w:t>
            </w:r>
          </w:p>
        </w:tc>
        <w:tc>
          <w:tcPr>
            <w:tcW w:w="1530" w:type="dxa"/>
            <w:vAlign w:val="center"/>
          </w:tcPr>
          <w:p w14:paraId="069C9B90"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CZ, SI</w:t>
            </w:r>
          </w:p>
        </w:tc>
        <w:tc>
          <w:tcPr>
            <w:tcW w:w="6390" w:type="dxa"/>
          </w:tcPr>
          <w:p w14:paraId="4108AA58" w14:textId="48D620C7" w:rsidR="00872C68" w:rsidRPr="0023561A" w:rsidRDefault="00872C68" w:rsidP="00967CF8">
            <w:pPr>
              <w:spacing w:after="60" w:line="259" w:lineRule="auto"/>
              <w:jc w:val="both"/>
              <w:rPr>
                <w:rFonts w:eastAsia="Calibri" w:cs="Times New Roman"/>
                <w:noProof/>
                <w:sz w:val="22"/>
                <w:lang w:val="en-GB"/>
              </w:rPr>
            </w:pPr>
            <w:r w:rsidRPr="0023561A" w:rsidDel="00D3725E">
              <w:rPr>
                <w:rFonts w:eastAsia="Calibri" w:cs="Times New Roman"/>
                <w:noProof/>
                <w:sz w:val="22"/>
                <w:lang w:val="en-GB"/>
              </w:rPr>
              <w:t xml:space="preserve">The proposal was not taken up.  </w:t>
            </w:r>
            <w:r w:rsidRPr="0023561A">
              <w:rPr>
                <w:rFonts w:eastAsia="Calibri" w:cs="Times New Roman"/>
                <w:noProof/>
                <w:sz w:val="22"/>
                <w:lang w:val="en-GB"/>
              </w:rPr>
              <w:t xml:space="preserve">In so far as funding constitutes State aid, its compatibility with the </w:t>
            </w:r>
            <w:r w:rsidR="00EC241D" w:rsidRPr="0023561A">
              <w:rPr>
                <w:rFonts w:eastAsia="Calibri" w:cs="Times New Roman"/>
                <w:noProof/>
                <w:sz w:val="22"/>
                <w:lang w:val="en-GB"/>
              </w:rPr>
              <w:t xml:space="preserve">single </w:t>
            </w:r>
            <w:r w:rsidRPr="0023561A">
              <w:rPr>
                <w:rFonts w:eastAsia="Calibri" w:cs="Times New Roman"/>
                <w:noProof/>
                <w:sz w:val="22"/>
                <w:lang w:val="en-GB"/>
              </w:rPr>
              <w:t xml:space="preserve">market has to be assessed under the applicable State aid rules. The current State aid rules </w:t>
            </w:r>
            <w:r w:rsidR="00C10A19" w:rsidRPr="0023561A">
              <w:rPr>
                <w:rFonts w:eastAsia="Calibri" w:cs="Times New Roman"/>
                <w:noProof/>
                <w:sz w:val="22"/>
                <w:lang w:val="en-GB"/>
              </w:rPr>
              <w:t>ensure</w:t>
            </w:r>
            <w:r w:rsidRPr="0023561A">
              <w:rPr>
                <w:rFonts w:eastAsia="Calibri" w:cs="Times New Roman"/>
                <w:noProof/>
                <w:sz w:val="22"/>
                <w:lang w:val="en-GB"/>
              </w:rPr>
              <w:t xml:space="preserve"> a balance between providing a swift basis for State aid clearance for CAP co-financed measures and keeping the necessary competition safeguards.</w:t>
            </w:r>
          </w:p>
          <w:p w14:paraId="047BD34E" w14:textId="170380C0" w:rsidR="00872C68" w:rsidRPr="0023561A" w:rsidRDefault="00872C68" w:rsidP="001061AF">
            <w:pPr>
              <w:spacing w:after="60" w:line="259" w:lineRule="auto"/>
              <w:jc w:val="both"/>
              <w:rPr>
                <w:rFonts w:eastAsia="Calibri" w:cs="Times New Roman"/>
                <w:noProof/>
                <w:sz w:val="22"/>
                <w:lang w:val="en-GB"/>
              </w:rPr>
            </w:pPr>
            <w:r w:rsidRPr="0023561A">
              <w:rPr>
                <w:rFonts w:eastAsia="Times New Roman" w:cs="Times New Roman"/>
                <w:noProof/>
                <w:sz w:val="22"/>
                <w:lang w:val="en-GB"/>
              </w:rPr>
              <w:t xml:space="preserve">Lessons learned from </w:t>
            </w:r>
            <w:r w:rsidRPr="0023561A" w:rsidDel="00C2510D">
              <w:rPr>
                <w:rFonts w:eastAsia="Times New Roman" w:cs="Times New Roman"/>
                <w:noProof/>
                <w:sz w:val="22"/>
                <w:lang w:val="en-GB"/>
              </w:rPr>
              <w:t>the</w:t>
            </w:r>
            <w:r w:rsidRPr="0023561A">
              <w:rPr>
                <w:rFonts w:eastAsia="Times New Roman" w:cs="Times New Roman"/>
                <w:noProof/>
                <w:sz w:val="22"/>
                <w:lang w:val="en-GB"/>
              </w:rPr>
              <w:t xml:space="preserve"> current period will feed </w:t>
            </w:r>
            <w:r w:rsidR="00C10A19" w:rsidRPr="0023561A">
              <w:rPr>
                <w:rFonts w:eastAsia="Times New Roman" w:cs="Times New Roman"/>
                <w:noProof/>
                <w:sz w:val="22"/>
                <w:lang w:val="en-GB"/>
              </w:rPr>
              <w:t xml:space="preserve">into </w:t>
            </w:r>
            <w:r w:rsidRPr="0023561A">
              <w:rPr>
                <w:rFonts w:eastAsia="Times New Roman" w:cs="Times New Roman"/>
                <w:noProof/>
                <w:sz w:val="22"/>
                <w:lang w:val="en-GB"/>
              </w:rPr>
              <w:t>the reflection on the post-2027 CAP.</w:t>
            </w:r>
          </w:p>
        </w:tc>
      </w:tr>
      <w:tr w:rsidR="00C44968" w:rsidRPr="00FD703D" w14:paraId="4CA21270" w14:textId="77777777" w:rsidTr="008A73D8">
        <w:trPr>
          <w:trHeight w:val="300"/>
        </w:trPr>
        <w:tc>
          <w:tcPr>
            <w:tcW w:w="653" w:type="dxa"/>
            <w:gridSpan w:val="2"/>
            <w:vAlign w:val="center"/>
          </w:tcPr>
          <w:p w14:paraId="6E71C277" w14:textId="659E888A"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27</w:t>
            </w:r>
            <w:r w:rsidR="00E558D0">
              <w:rPr>
                <w:rFonts w:eastAsia="Calibri" w:cs="Times New Roman"/>
                <w:b/>
                <w:bCs/>
                <w:noProof/>
                <w:sz w:val="22"/>
                <w:lang w:val="en-GB"/>
              </w:rPr>
              <w:t>2</w:t>
            </w:r>
          </w:p>
        </w:tc>
        <w:tc>
          <w:tcPr>
            <w:tcW w:w="5946" w:type="dxa"/>
            <w:vAlign w:val="center"/>
          </w:tcPr>
          <w:p w14:paraId="1D3E42EC" w14:textId="63BE1D45"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b/>
                <w:bCs/>
                <w:noProof/>
                <w:sz w:val="22"/>
                <w:lang w:val="en-GB"/>
              </w:rPr>
              <w:t xml:space="preserve">State aid definitions: </w:t>
            </w:r>
            <w:r w:rsidR="00760E6E" w:rsidRPr="00FD703D">
              <w:rPr>
                <w:rFonts w:eastAsia="Calibri" w:cs="Times New Roman"/>
                <w:noProof/>
                <w:sz w:val="22"/>
                <w:lang w:val="en-GB"/>
              </w:rPr>
              <w:t>u</w:t>
            </w:r>
            <w:r w:rsidRPr="00FD703D">
              <w:rPr>
                <w:rFonts w:eastAsia="Calibri" w:cs="Times New Roman"/>
                <w:noProof/>
                <w:sz w:val="22"/>
                <w:lang w:val="en-GB"/>
              </w:rPr>
              <w:t xml:space="preserve">nify </w:t>
            </w:r>
            <w:r w:rsidR="00C10A19" w:rsidRPr="00FD703D">
              <w:rPr>
                <w:rFonts w:eastAsia="Calibri" w:cs="Times New Roman"/>
                <w:noProof/>
                <w:sz w:val="22"/>
                <w:lang w:val="en-GB"/>
              </w:rPr>
              <w:t xml:space="preserve">the </w:t>
            </w:r>
            <w:r w:rsidRPr="00FD703D">
              <w:rPr>
                <w:rFonts w:eastAsia="Calibri" w:cs="Times New Roman"/>
                <w:noProof/>
                <w:sz w:val="22"/>
                <w:lang w:val="en-GB"/>
              </w:rPr>
              <w:t xml:space="preserve">definitions and requirements between different state aid </w:t>
            </w:r>
            <w:r w:rsidR="00C207C8" w:rsidRPr="00FD703D">
              <w:rPr>
                <w:rFonts w:eastAsia="Calibri" w:cs="Times New Roman"/>
                <w:noProof/>
                <w:sz w:val="22"/>
                <w:lang w:val="en-GB"/>
              </w:rPr>
              <w:t>laws</w:t>
            </w:r>
            <w:r w:rsidRPr="00FD703D">
              <w:rPr>
                <w:rFonts w:eastAsia="Calibri" w:cs="Times New Roman"/>
                <w:noProof/>
                <w:sz w:val="22"/>
                <w:lang w:val="en-GB"/>
              </w:rPr>
              <w:t xml:space="preserve"> (e.g. </w:t>
            </w:r>
            <w:r w:rsidRPr="00FD703D">
              <w:rPr>
                <w:rFonts w:eastAsia="Calibri" w:cs="Times New Roman"/>
                <w:i/>
                <w:iCs/>
                <w:noProof/>
                <w:sz w:val="22"/>
                <w:lang w:val="en-GB"/>
              </w:rPr>
              <w:t>de minimis</w:t>
            </w:r>
            <w:r w:rsidRPr="00FD703D">
              <w:rPr>
                <w:rFonts w:eastAsia="Calibri" w:cs="Times New Roman"/>
                <w:noProof/>
                <w:sz w:val="22"/>
                <w:lang w:val="en-GB"/>
              </w:rPr>
              <w:t xml:space="preserve"> and GBER/ABER legislation for </w:t>
            </w:r>
            <w:r w:rsidR="00C10A19" w:rsidRPr="00FD703D">
              <w:rPr>
                <w:rFonts w:eastAsia="Calibri" w:cs="Times New Roman"/>
                <w:noProof/>
                <w:sz w:val="22"/>
                <w:lang w:val="en-GB"/>
              </w:rPr>
              <w:t xml:space="preserve">the </w:t>
            </w:r>
            <w:r w:rsidRPr="00FD703D">
              <w:rPr>
                <w:rFonts w:eastAsia="Calibri" w:cs="Times New Roman"/>
                <w:noProof/>
                <w:sz w:val="22"/>
                <w:lang w:val="en-GB"/>
              </w:rPr>
              <w:t>definitions of enterprise</w:t>
            </w:r>
            <w:r w:rsidR="00C10A19" w:rsidRPr="00FD703D">
              <w:rPr>
                <w:rFonts w:eastAsia="Calibri" w:cs="Times New Roman"/>
                <w:noProof/>
                <w:sz w:val="22"/>
                <w:lang w:val="en-GB"/>
              </w:rPr>
              <w:t xml:space="preserve"> and</w:t>
            </w:r>
            <w:r w:rsidRPr="00FD703D">
              <w:rPr>
                <w:rFonts w:eastAsia="Calibri" w:cs="Times New Roman"/>
                <w:noProof/>
                <w:sz w:val="22"/>
                <w:lang w:val="en-GB"/>
              </w:rPr>
              <w:t xml:space="preserve"> applicant for training)</w:t>
            </w:r>
          </w:p>
          <w:p w14:paraId="789A1C97" w14:textId="0C05280D" w:rsidR="00872C68" w:rsidRPr="00FD703D" w:rsidRDefault="00872C68" w:rsidP="001061AF">
            <w:pPr>
              <w:spacing w:after="60" w:line="259" w:lineRule="auto"/>
              <w:jc w:val="both"/>
              <w:rPr>
                <w:rFonts w:eastAsia="Calibri" w:cs="Times New Roman"/>
                <w:noProof/>
                <w:sz w:val="22"/>
                <w:lang w:val="en-GB"/>
              </w:rPr>
            </w:pPr>
          </w:p>
        </w:tc>
        <w:tc>
          <w:tcPr>
            <w:tcW w:w="1530" w:type="dxa"/>
            <w:vAlign w:val="center"/>
          </w:tcPr>
          <w:p w14:paraId="4B47CA49"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CZ, SI</w:t>
            </w:r>
          </w:p>
        </w:tc>
        <w:tc>
          <w:tcPr>
            <w:tcW w:w="6390" w:type="dxa"/>
          </w:tcPr>
          <w:p w14:paraId="1C282F0F" w14:textId="6082F791" w:rsidR="00872C68" w:rsidRPr="0023561A" w:rsidRDefault="00C10A19" w:rsidP="001061AF">
            <w:pPr>
              <w:spacing w:after="60" w:line="259" w:lineRule="auto"/>
              <w:jc w:val="both"/>
              <w:rPr>
                <w:rFonts w:eastAsia="Calibri" w:cs="Times New Roman"/>
                <w:noProof/>
                <w:sz w:val="22"/>
                <w:lang w:val="en-GB"/>
              </w:rPr>
            </w:pPr>
            <w:r w:rsidRPr="0023561A">
              <w:rPr>
                <w:rFonts w:eastAsia="Calibri" w:cs="Times New Roman"/>
                <w:noProof/>
                <w:sz w:val="22"/>
                <w:lang w:val="en-GB"/>
              </w:rPr>
              <w:t>T</w:t>
            </w:r>
            <w:r w:rsidR="00872C68" w:rsidRPr="0023561A">
              <w:rPr>
                <w:rFonts w:eastAsia="Calibri" w:cs="Times New Roman"/>
                <w:noProof/>
                <w:sz w:val="22"/>
                <w:lang w:val="en-GB"/>
              </w:rPr>
              <w:t xml:space="preserve">he Commission is determined to address </w:t>
            </w:r>
            <w:r w:rsidRPr="0023561A">
              <w:rPr>
                <w:rFonts w:eastAsia="Calibri" w:cs="Times New Roman"/>
                <w:noProof/>
                <w:sz w:val="22"/>
                <w:lang w:val="en-GB"/>
              </w:rPr>
              <w:t>any inconsistencies that may exist between different pieces of legislation</w:t>
            </w:r>
            <w:r w:rsidR="00872C68" w:rsidRPr="0023561A">
              <w:rPr>
                <w:rFonts w:eastAsia="Calibri" w:cs="Times New Roman"/>
                <w:noProof/>
                <w:sz w:val="22"/>
                <w:lang w:val="en-GB"/>
              </w:rPr>
              <w:t>. The Member States are invited to submit their views on the existence of any inconsistencies in the revision process of State aid legislation. Member States are always closely involved</w:t>
            </w:r>
            <w:r w:rsidRPr="0023561A">
              <w:rPr>
                <w:rFonts w:eastAsia="Calibri" w:cs="Times New Roman"/>
                <w:noProof/>
                <w:sz w:val="22"/>
                <w:lang w:val="en-GB"/>
              </w:rPr>
              <w:t xml:space="preserve"> in this process</w:t>
            </w:r>
            <w:r w:rsidR="000233A4" w:rsidRPr="0023561A">
              <w:rPr>
                <w:rFonts w:eastAsia="Calibri" w:cs="Times New Roman"/>
                <w:noProof/>
                <w:sz w:val="22"/>
                <w:lang w:val="en-GB"/>
              </w:rPr>
              <w:t>,</w:t>
            </w:r>
            <w:r w:rsidR="00872C68" w:rsidRPr="0023561A">
              <w:rPr>
                <w:rFonts w:eastAsia="Calibri" w:cs="Times New Roman"/>
                <w:noProof/>
                <w:sz w:val="22"/>
                <w:lang w:val="en-GB"/>
              </w:rPr>
              <w:t xml:space="preserve"> and </w:t>
            </w:r>
            <w:r w:rsidR="000233A4" w:rsidRPr="0023561A">
              <w:rPr>
                <w:rFonts w:eastAsia="Calibri" w:cs="Times New Roman"/>
                <w:noProof/>
                <w:sz w:val="22"/>
                <w:lang w:val="en-GB"/>
              </w:rPr>
              <w:t xml:space="preserve">for future revisions </w:t>
            </w:r>
            <w:r w:rsidR="00872C68" w:rsidRPr="0023561A">
              <w:rPr>
                <w:rFonts w:eastAsia="Calibri" w:cs="Times New Roman"/>
                <w:noProof/>
                <w:sz w:val="22"/>
                <w:lang w:val="en-GB"/>
              </w:rPr>
              <w:t xml:space="preserve">the Commission will also take </w:t>
            </w:r>
            <w:r w:rsidR="000233A4" w:rsidRPr="0023561A">
              <w:rPr>
                <w:rFonts w:eastAsia="Calibri" w:cs="Times New Roman"/>
                <w:noProof/>
                <w:sz w:val="22"/>
                <w:lang w:val="en-GB"/>
              </w:rPr>
              <w:t xml:space="preserve">into account </w:t>
            </w:r>
            <w:r w:rsidR="00872C68" w:rsidRPr="0023561A">
              <w:rPr>
                <w:rFonts w:eastAsia="Calibri" w:cs="Times New Roman"/>
                <w:noProof/>
                <w:sz w:val="22"/>
                <w:lang w:val="en-GB"/>
              </w:rPr>
              <w:t xml:space="preserve">any comments </w:t>
            </w:r>
            <w:r w:rsidR="000233A4" w:rsidRPr="0023561A">
              <w:rPr>
                <w:rFonts w:eastAsia="Calibri" w:cs="Times New Roman"/>
                <w:noProof/>
                <w:sz w:val="22"/>
                <w:lang w:val="en-GB"/>
              </w:rPr>
              <w:t xml:space="preserve">from </w:t>
            </w:r>
            <w:r w:rsidR="00872C68" w:rsidRPr="0023561A">
              <w:rPr>
                <w:rFonts w:eastAsia="Calibri" w:cs="Times New Roman"/>
                <w:noProof/>
                <w:sz w:val="22"/>
                <w:lang w:val="en-GB"/>
              </w:rPr>
              <w:t>Member States on potential inconsistencies.</w:t>
            </w:r>
          </w:p>
        </w:tc>
      </w:tr>
      <w:tr w:rsidR="00C44968" w:rsidRPr="00FD703D" w14:paraId="3C3A5EF0" w14:textId="77777777" w:rsidTr="008A73D8">
        <w:trPr>
          <w:trHeight w:val="300"/>
        </w:trPr>
        <w:tc>
          <w:tcPr>
            <w:tcW w:w="653" w:type="dxa"/>
            <w:gridSpan w:val="2"/>
            <w:vAlign w:val="center"/>
          </w:tcPr>
          <w:p w14:paraId="00AA312D" w14:textId="3F787088"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27</w:t>
            </w:r>
            <w:r w:rsidR="00E558D0">
              <w:rPr>
                <w:rFonts w:eastAsia="Calibri" w:cs="Times New Roman"/>
                <w:b/>
                <w:bCs/>
                <w:noProof/>
                <w:sz w:val="22"/>
                <w:lang w:val="en-GB"/>
              </w:rPr>
              <w:t>3</w:t>
            </w:r>
          </w:p>
        </w:tc>
        <w:tc>
          <w:tcPr>
            <w:tcW w:w="5946" w:type="dxa"/>
            <w:vAlign w:val="center"/>
          </w:tcPr>
          <w:p w14:paraId="1C2D40B3" w14:textId="6BE48D92"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b/>
                <w:bCs/>
                <w:noProof/>
                <w:sz w:val="22"/>
                <w:lang w:val="en-GB"/>
              </w:rPr>
              <w:t xml:space="preserve">Requirements for granting </w:t>
            </w:r>
            <w:r w:rsidR="00C10A19" w:rsidRPr="00FD703D">
              <w:rPr>
                <w:rFonts w:eastAsia="Calibri" w:cs="Times New Roman"/>
                <w:b/>
                <w:bCs/>
                <w:noProof/>
                <w:sz w:val="22"/>
                <w:lang w:val="en-GB"/>
              </w:rPr>
              <w:t xml:space="preserve">State </w:t>
            </w:r>
            <w:r w:rsidRPr="00FD703D">
              <w:rPr>
                <w:rFonts w:eastAsia="Calibri" w:cs="Times New Roman"/>
                <w:b/>
                <w:bCs/>
                <w:noProof/>
                <w:sz w:val="22"/>
                <w:lang w:val="en-GB"/>
              </w:rPr>
              <w:t xml:space="preserve">aid: </w:t>
            </w:r>
            <w:r w:rsidR="006E5337" w:rsidRPr="00FD703D">
              <w:rPr>
                <w:rFonts w:eastAsia="Calibri" w:cs="Times New Roman"/>
                <w:noProof/>
                <w:sz w:val="22"/>
                <w:lang w:val="en-GB"/>
              </w:rPr>
              <w:t>r</w:t>
            </w:r>
            <w:r w:rsidRPr="00FD703D">
              <w:rPr>
                <w:rFonts w:eastAsia="Calibri" w:cs="Times New Roman"/>
                <w:noProof/>
                <w:sz w:val="22"/>
                <w:lang w:val="en-GB"/>
              </w:rPr>
              <w:t xml:space="preserve">educe certain requirements for granting </w:t>
            </w:r>
            <w:r w:rsidR="00C10A19" w:rsidRPr="00FD703D">
              <w:rPr>
                <w:rFonts w:eastAsia="Calibri" w:cs="Times New Roman"/>
                <w:noProof/>
                <w:sz w:val="22"/>
                <w:lang w:val="en-GB"/>
              </w:rPr>
              <w:t xml:space="preserve">State </w:t>
            </w:r>
            <w:r w:rsidRPr="00FD703D">
              <w:rPr>
                <w:rFonts w:eastAsia="Calibri" w:cs="Times New Roman"/>
                <w:noProof/>
                <w:sz w:val="22"/>
                <w:lang w:val="en-GB"/>
              </w:rPr>
              <w:t xml:space="preserve">aid that </w:t>
            </w:r>
            <w:r w:rsidR="000233A4" w:rsidRPr="00FD703D">
              <w:rPr>
                <w:rFonts w:eastAsia="Calibri" w:cs="Times New Roman"/>
                <w:noProof/>
                <w:sz w:val="22"/>
                <w:lang w:val="en-GB"/>
              </w:rPr>
              <w:t xml:space="preserve">create an </w:t>
            </w:r>
            <w:r w:rsidRPr="00FD703D">
              <w:rPr>
                <w:rFonts w:eastAsia="Calibri" w:cs="Times New Roman"/>
                <w:noProof/>
                <w:sz w:val="22"/>
                <w:lang w:val="en-GB"/>
              </w:rPr>
              <w:t>administrative burden (</w:t>
            </w:r>
            <w:r w:rsidR="000233A4" w:rsidRPr="00FD703D">
              <w:rPr>
                <w:rFonts w:eastAsia="Calibri" w:cs="Times New Roman"/>
                <w:noProof/>
                <w:sz w:val="22"/>
                <w:lang w:val="en-GB"/>
              </w:rPr>
              <w:t>checks on</w:t>
            </w:r>
            <w:r w:rsidRPr="00FD703D">
              <w:rPr>
                <w:rFonts w:eastAsia="Calibri" w:cs="Times New Roman"/>
                <w:noProof/>
                <w:sz w:val="22"/>
                <w:lang w:val="en-GB"/>
              </w:rPr>
              <w:t xml:space="preserve"> an enterprise in difficulty or limit</w:t>
            </w:r>
            <w:r w:rsidR="00C10A19" w:rsidRPr="00FD703D">
              <w:rPr>
                <w:rFonts w:eastAsia="Calibri" w:cs="Times New Roman"/>
                <w:noProof/>
                <w:sz w:val="22"/>
                <w:lang w:val="en-GB"/>
              </w:rPr>
              <w:t>ing</w:t>
            </w:r>
            <w:r w:rsidR="000233A4" w:rsidRPr="00FD703D">
              <w:rPr>
                <w:rFonts w:eastAsia="Calibri" w:cs="Times New Roman"/>
                <w:noProof/>
                <w:sz w:val="22"/>
                <w:lang w:val="en-GB"/>
              </w:rPr>
              <w:t xml:space="preserve"> </w:t>
            </w:r>
            <w:r w:rsidRPr="00FD703D">
              <w:rPr>
                <w:rFonts w:eastAsia="Calibri" w:cs="Times New Roman"/>
                <w:noProof/>
                <w:sz w:val="22"/>
                <w:lang w:val="en-GB"/>
              </w:rPr>
              <w:t>non-agricultural training</w:t>
            </w:r>
            <w:r w:rsidR="000233A4" w:rsidRPr="00FD703D">
              <w:rPr>
                <w:rFonts w:eastAsia="Calibri" w:cs="Times New Roman"/>
                <w:noProof/>
                <w:sz w:val="22"/>
                <w:lang w:val="en-GB"/>
              </w:rPr>
              <w:t xml:space="preserve"> </w:t>
            </w:r>
            <w:r w:rsidR="00C10A19" w:rsidRPr="00FD703D">
              <w:rPr>
                <w:rFonts w:eastAsia="Calibri" w:cs="Times New Roman"/>
                <w:noProof/>
                <w:sz w:val="22"/>
                <w:lang w:val="en-GB"/>
              </w:rPr>
              <w:t xml:space="preserve">only </w:t>
            </w:r>
            <w:r w:rsidR="000233A4" w:rsidRPr="00FD703D">
              <w:rPr>
                <w:rFonts w:eastAsia="Calibri" w:cs="Times New Roman"/>
                <w:noProof/>
                <w:sz w:val="22"/>
                <w:lang w:val="en-GB"/>
              </w:rPr>
              <w:t>to SMEs</w:t>
            </w:r>
            <w:r w:rsidRPr="00FD703D">
              <w:rPr>
                <w:rFonts w:eastAsia="Calibri" w:cs="Times New Roman"/>
                <w:noProof/>
                <w:sz w:val="22"/>
                <w:lang w:val="en-GB"/>
              </w:rPr>
              <w:t>)</w:t>
            </w:r>
            <w:r w:rsidR="000233A4" w:rsidRPr="00FD703D">
              <w:rPr>
                <w:rFonts w:eastAsia="Calibri" w:cs="Times New Roman"/>
                <w:noProof/>
                <w:sz w:val="22"/>
                <w:lang w:val="en-GB"/>
              </w:rPr>
              <w:t>.</w:t>
            </w:r>
          </w:p>
        </w:tc>
        <w:tc>
          <w:tcPr>
            <w:tcW w:w="1530" w:type="dxa"/>
            <w:vAlign w:val="center"/>
          </w:tcPr>
          <w:p w14:paraId="0F17D318"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CZ</w:t>
            </w:r>
          </w:p>
        </w:tc>
        <w:tc>
          <w:tcPr>
            <w:tcW w:w="6390" w:type="dxa"/>
            <w:vAlign w:val="center"/>
          </w:tcPr>
          <w:p w14:paraId="200A0A50" w14:textId="65B1C60F" w:rsidR="00872C68" w:rsidRPr="0023561A" w:rsidRDefault="00872C68" w:rsidP="001061AF">
            <w:pPr>
              <w:spacing w:after="60" w:line="259" w:lineRule="auto"/>
              <w:jc w:val="both"/>
              <w:rPr>
                <w:rFonts w:eastAsia="Calibri" w:cs="Times New Roman"/>
                <w:noProof/>
                <w:sz w:val="22"/>
                <w:lang w:val="en-GB"/>
              </w:rPr>
            </w:pPr>
            <w:r w:rsidRPr="0023561A">
              <w:rPr>
                <w:rFonts w:eastAsia="Calibri" w:cs="Times New Roman"/>
                <w:noProof/>
                <w:sz w:val="22"/>
                <w:lang w:val="en-GB"/>
              </w:rPr>
              <w:t xml:space="preserve">The proposal was not taken up. State aid rules for the agricultural sector recently underwent a thorough review and </w:t>
            </w:r>
            <w:r w:rsidR="00C10A19" w:rsidRPr="0023561A">
              <w:rPr>
                <w:rFonts w:eastAsia="Calibri" w:cs="Times New Roman"/>
                <w:noProof/>
                <w:sz w:val="22"/>
                <w:lang w:val="en-GB"/>
              </w:rPr>
              <w:t xml:space="preserve">only </w:t>
            </w:r>
            <w:r w:rsidRPr="0023561A">
              <w:rPr>
                <w:rFonts w:eastAsia="Calibri" w:cs="Times New Roman"/>
                <w:noProof/>
                <w:sz w:val="22"/>
                <w:lang w:val="en-GB"/>
              </w:rPr>
              <w:t xml:space="preserve">entered into force in 2023. The Commission considers that this new legal framework is fit for purpose. More specifically, the exclusion of undertakings in difficulties is a </w:t>
            </w:r>
            <w:r w:rsidR="00C10A19" w:rsidRPr="0023561A">
              <w:rPr>
                <w:rFonts w:eastAsia="Calibri" w:cs="Times New Roman"/>
                <w:noProof/>
                <w:sz w:val="22"/>
                <w:lang w:val="en-GB"/>
              </w:rPr>
              <w:t xml:space="preserve">cross-cutting </w:t>
            </w:r>
            <w:r w:rsidRPr="0023561A">
              <w:rPr>
                <w:rFonts w:eastAsia="Calibri" w:cs="Times New Roman"/>
                <w:noProof/>
                <w:sz w:val="22"/>
                <w:lang w:val="en-GB"/>
              </w:rPr>
              <w:t xml:space="preserve">principle under State aid law. Given that their very existence is in danger, the Commission considers that aid to undertakings in difficulty may contribute to the development of economic activities without adversely affecting trade to an extent contrary to the common interest only under very limited </w:t>
            </w:r>
            <w:r w:rsidR="00C10A19" w:rsidRPr="0023561A">
              <w:rPr>
                <w:rFonts w:eastAsia="Calibri" w:cs="Times New Roman"/>
                <w:noProof/>
                <w:sz w:val="22"/>
                <w:lang w:val="en-GB"/>
              </w:rPr>
              <w:t xml:space="preserve">and </w:t>
            </w:r>
            <w:r w:rsidRPr="0023561A">
              <w:rPr>
                <w:rFonts w:eastAsia="Calibri" w:cs="Times New Roman"/>
                <w:noProof/>
                <w:sz w:val="22"/>
                <w:lang w:val="en-GB"/>
              </w:rPr>
              <w:t>exceptional circumstances and should, beyond those</w:t>
            </w:r>
            <w:r w:rsidR="00C10A19" w:rsidRPr="0023561A">
              <w:rPr>
                <w:rFonts w:eastAsia="Calibri" w:cs="Times New Roman"/>
                <w:noProof/>
                <w:sz w:val="22"/>
                <w:lang w:val="en-GB"/>
              </w:rPr>
              <w:t xml:space="preserve"> circumstances,</w:t>
            </w:r>
            <w:r w:rsidRPr="0023561A">
              <w:rPr>
                <w:rFonts w:eastAsia="Calibri" w:cs="Times New Roman"/>
                <w:noProof/>
                <w:sz w:val="22"/>
                <w:lang w:val="en-GB"/>
              </w:rPr>
              <w:t xml:space="preserve"> be confined to measures in line with the conditions set out in the Rescue and Restructuring Aid Guidelines. </w:t>
            </w:r>
            <w:r w:rsidR="00C10A19" w:rsidRPr="0023561A">
              <w:rPr>
                <w:rFonts w:eastAsia="Calibri" w:cs="Times New Roman"/>
                <w:noProof/>
                <w:sz w:val="22"/>
                <w:lang w:val="en-GB"/>
              </w:rPr>
              <w:t xml:space="preserve">On </w:t>
            </w:r>
            <w:r w:rsidRPr="0023561A">
              <w:rPr>
                <w:rFonts w:eastAsia="Calibri" w:cs="Times New Roman"/>
                <w:noProof/>
                <w:sz w:val="22"/>
                <w:lang w:val="en-GB"/>
              </w:rPr>
              <w:t xml:space="preserve">the limitation of eligible undertakings to SMEs, it </w:t>
            </w:r>
            <w:r w:rsidR="00C10A19" w:rsidRPr="0023561A">
              <w:rPr>
                <w:rFonts w:eastAsia="Calibri" w:cs="Times New Roman"/>
                <w:noProof/>
                <w:sz w:val="22"/>
                <w:lang w:val="en-GB"/>
              </w:rPr>
              <w:t>should</w:t>
            </w:r>
            <w:r w:rsidRPr="0023561A">
              <w:rPr>
                <w:rFonts w:eastAsia="Calibri" w:cs="Times New Roman"/>
                <w:noProof/>
                <w:sz w:val="22"/>
                <w:lang w:val="en-GB"/>
              </w:rPr>
              <w:t xml:space="preserve"> be recalled that State aid should address situations of market failures only. For certain types of aid, such a market failure only exists for SMEs, while large enterprises are able to carry out the relevant activities </w:t>
            </w:r>
            <w:r w:rsidR="00C10A19" w:rsidRPr="0023561A">
              <w:rPr>
                <w:rFonts w:eastAsia="Calibri" w:cs="Times New Roman"/>
                <w:noProof/>
                <w:sz w:val="22"/>
                <w:lang w:val="en-GB"/>
              </w:rPr>
              <w:t xml:space="preserve">even </w:t>
            </w:r>
            <w:r w:rsidRPr="0023561A">
              <w:rPr>
                <w:rFonts w:eastAsia="Calibri" w:cs="Times New Roman"/>
                <w:noProof/>
                <w:sz w:val="22"/>
                <w:lang w:val="en-GB"/>
              </w:rPr>
              <w:t xml:space="preserve">without State aid. For training </w:t>
            </w:r>
            <w:r w:rsidRPr="0023561A">
              <w:rPr>
                <w:rFonts w:eastAsia="Calibri" w:cs="Times New Roman"/>
                <w:noProof/>
                <w:sz w:val="22"/>
                <w:lang w:val="en-GB"/>
              </w:rPr>
              <w:lastRenderedPageBreak/>
              <w:t xml:space="preserve">aid, following an amendment of the General Block Exemption Regulation (Commission Regulation </w:t>
            </w:r>
            <w:r w:rsidR="00263FE0" w:rsidRPr="0023561A">
              <w:rPr>
                <w:rFonts w:eastAsia="Calibri" w:cs="Times New Roman"/>
                <w:noProof/>
                <w:sz w:val="22"/>
                <w:lang w:val="en-GB"/>
              </w:rPr>
              <w:t xml:space="preserve">(EU) </w:t>
            </w:r>
            <w:r w:rsidRPr="0023561A">
              <w:rPr>
                <w:rFonts w:eastAsia="Calibri" w:cs="Times New Roman"/>
                <w:noProof/>
                <w:sz w:val="22"/>
                <w:lang w:val="en-GB"/>
              </w:rPr>
              <w:t xml:space="preserve">651/2014) of June 2023, training aid does not fall </w:t>
            </w:r>
            <w:r w:rsidR="00C10A19" w:rsidRPr="0023561A">
              <w:rPr>
                <w:rFonts w:eastAsia="Calibri" w:cs="Times New Roman"/>
                <w:noProof/>
                <w:sz w:val="22"/>
                <w:lang w:val="en-GB"/>
              </w:rPr>
              <w:t xml:space="preserve">within </w:t>
            </w:r>
            <w:r w:rsidRPr="0023561A">
              <w:rPr>
                <w:rFonts w:eastAsia="Calibri" w:cs="Times New Roman"/>
                <w:noProof/>
                <w:sz w:val="22"/>
                <w:lang w:val="en-GB"/>
              </w:rPr>
              <w:t>the scope of the agricultural-specific rules anymore, but under the rules laid down in that Regulation. As such, training aid is not limited to SMEs but can also be granted to large enterprises.</w:t>
            </w:r>
          </w:p>
        </w:tc>
      </w:tr>
      <w:tr w:rsidR="00C44968" w:rsidRPr="00FD703D" w14:paraId="4BA0B20C" w14:textId="77777777" w:rsidTr="008A73D8">
        <w:trPr>
          <w:trHeight w:val="300"/>
        </w:trPr>
        <w:tc>
          <w:tcPr>
            <w:tcW w:w="653" w:type="dxa"/>
            <w:gridSpan w:val="2"/>
            <w:vAlign w:val="center"/>
          </w:tcPr>
          <w:p w14:paraId="26590467" w14:textId="32CC1CD9"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lastRenderedPageBreak/>
              <w:t>27</w:t>
            </w:r>
            <w:r w:rsidR="00E558D0">
              <w:rPr>
                <w:rFonts w:eastAsia="Calibri" w:cs="Times New Roman"/>
                <w:b/>
                <w:bCs/>
                <w:noProof/>
                <w:sz w:val="22"/>
                <w:lang w:val="en-GB"/>
              </w:rPr>
              <w:t>4</w:t>
            </w:r>
          </w:p>
        </w:tc>
        <w:tc>
          <w:tcPr>
            <w:tcW w:w="5946" w:type="dxa"/>
            <w:vAlign w:val="center"/>
          </w:tcPr>
          <w:p w14:paraId="755F11EA" w14:textId="5F46CE15" w:rsidR="00872C68" w:rsidRPr="00FD703D" w:rsidRDefault="29CB0D46" w:rsidP="001061AF">
            <w:pPr>
              <w:spacing w:after="60" w:line="259" w:lineRule="auto"/>
              <w:jc w:val="both"/>
              <w:rPr>
                <w:rFonts w:eastAsia="Calibri" w:cs="Times New Roman"/>
                <w:noProof/>
                <w:sz w:val="22"/>
                <w:lang w:val="en-GB"/>
              </w:rPr>
            </w:pPr>
            <w:r w:rsidRPr="00FD703D">
              <w:rPr>
                <w:rFonts w:eastAsia="Calibri" w:cs="Times New Roman"/>
                <w:b/>
                <w:bCs/>
                <w:noProof/>
                <w:sz w:val="22"/>
                <w:szCs w:val="20"/>
                <w:lang w:val="en-GB"/>
              </w:rPr>
              <w:t xml:space="preserve">Exemption for </w:t>
            </w:r>
            <w:r w:rsidR="46AB30F5" w:rsidRPr="00FD703D">
              <w:rPr>
                <w:rFonts w:eastAsia="Calibri" w:cs="Times New Roman"/>
                <w:b/>
                <w:bCs/>
                <w:noProof/>
                <w:sz w:val="22"/>
                <w:szCs w:val="20"/>
                <w:lang w:val="en-GB"/>
              </w:rPr>
              <w:t>local action groups (</w:t>
            </w:r>
            <w:r w:rsidRPr="00FD703D">
              <w:rPr>
                <w:rFonts w:eastAsia="Calibri" w:cs="Times New Roman"/>
                <w:b/>
                <w:bCs/>
                <w:noProof/>
                <w:sz w:val="22"/>
                <w:szCs w:val="20"/>
                <w:lang w:val="en-GB"/>
              </w:rPr>
              <w:t>LAGs</w:t>
            </w:r>
            <w:r w:rsidR="46AB30F5" w:rsidRPr="00FD703D">
              <w:rPr>
                <w:rFonts w:eastAsia="Calibri" w:cs="Times New Roman"/>
                <w:b/>
                <w:bCs/>
                <w:noProof/>
                <w:sz w:val="22"/>
                <w:szCs w:val="20"/>
                <w:lang w:val="en-GB"/>
              </w:rPr>
              <w:t>)</w:t>
            </w:r>
            <w:r w:rsidRPr="00FD703D">
              <w:rPr>
                <w:rFonts w:eastAsia="Calibri" w:cs="Times New Roman"/>
                <w:b/>
                <w:bCs/>
                <w:noProof/>
                <w:sz w:val="22"/>
                <w:szCs w:val="20"/>
                <w:lang w:val="en-GB"/>
              </w:rPr>
              <w:t>:</w:t>
            </w:r>
            <w:r w:rsidRPr="00FD703D">
              <w:rPr>
                <w:rFonts w:eastAsia="Calibri" w:cs="Times New Roman"/>
                <w:noProof/>
                <w:sz w:val="22"/>
                <w:szCs w:val="20"/>
                <w:lang w:val="en-GB"/>
              </w:rPr>
              <w:t xml:space="preserve"> </w:t>
            </w:r>
            <w:r w:rsidR="6EBB7DBC" w:rsidRPr="00FD703D">
              <w:rPr>
                <w:rFonts w:eastAsia="Calibri" w:cs="Times New Roman"/>
                <w:noProof/>
                <w:sz w:val="22"/>
                <w:szCs w:val="20"/>
                <w:lang w:val="en-GB"/>
              </w:rPr>
              <w:t>r</w:t>
            </w:r>
            <w:r w:rsidRPr="00FD703D">
              <w:rPr>
                <w:rFonts w:eastAsia="Calibri" w:cs="Times New Roman"/>
                <w:noProof/>
                <w:sz w:val="22"/>
                <w:szCs w:val="20"/>
                <w:lang w:val="en-GB"/>
              </w:rPr>
              <w:t xml:space="preserve">equest for </w:t>
            </w:r>
            <w:r w:rsidR="46AB30F5" w:rsidRPr="00FD703D">
              <w:rPr>
                <w:rFonts w:eastAsia="Calibri" w:cs="Times New Roman"/>
                <w:noProof/>
                <w:sz w:val="22"/>
                <w:szCs w:val="20"/>
                <w:lang w:val="en-GB"/>
              </w:rPr>
              <w:t>the</w:t>
            </w:r>
            <w:r w:rsidRPr="00FD703D">
              <w:rPr>
                <w:rFonts w:eastAsia="Calibri" w:cs="Times New Roman"/>
                <w:noProof/>
                <w:sz w:val="22"/>
                <w:szCs w:val="20"/>
                <w:lang w:val="en-GB"/>
              </w:rPr>
              <w:t xml:space="preserve"> possibility to apply the same exemption for LAGs as for municipalities in the case of conditions for small enterprises</w:t>
            </w:r>
            <w:r w:rsidR="46AB30F5" w:rsidRPr="00FD703D">
              <w:rPr>
                <w:rFonts w:eastAsia="Calibri" w:cs="Times New Roman"/>
                <w:noProof/>
                <w:sz w:val="22"/>
                <w:szCs w:val="20"/>
                <w:lang w:val="en-GB"/>
              </w:rPr>
              <w:t xml:space="preserve"> </w:t>
            </w:r>
            <w:r w:rsidR="00872C68" w:rsidRPr="00FD703D">
              <w:rPr>
                <w:rFonts w:eastAsia="Calibri" w:cs="Times New Roman"/>
                <w:noProof/>
                <w:sz w:val="22"/>
                <w:lang w:val="en-GB"/>
              </w:rPr>
              <w:t>(</w:t>
            </w:r>
            <w:r w:rsidR="00872C68" w:rsidRPr="00FD703D">
              <w:rPr>
                <w:rFonts w:eastAsia="Calibri" w:cs="Times New Roman"/>
                <w:i/>
                <w:iCs/>
                <w:noProof/>
                <w:sz w:val="22"/>
                <w:lang w:val="en-GB"/>
              </w:rPr>
              <w:t>Articles 60</w:t>
            </w:r>
            <w:r w:rsidR="00A629D5" w:rsidRPr="00FD703D">
              <w:rPr>
                <w:rFonts w:eastAsia="Calibri" w:cs="Times New Roman"/>
                <w:i/>
                <w:iCs/>
                <w:noProof/>
                <w:sz w:val="22"/>
                <w:lang w:val="en-GB"/>
              </w:rPr>
              <w:t xml:space="preserve"> and</w:t>
            </w:r>
            <w:r w:rsidR="00872C68" w:rsidRPr="00FD703D">
              <w:rPr>
                <w:rFonts w:eastAsia="Calibri" w:cs="Times New Roman"/>
                <w:i/>
                <w:iCs/>
                <w:noProof/>
                <w:sz w:val="22"/>
                <w:lang w:val="en-GB"/>
              </w:rPr>
              <w:t xml:space="preserve"> 61</w:t>
            </w:r>
            <w:r w:rsidR="00872C68" w:rsidRPr="00FD703D">
              <w:rPr>
                <w:rFonts w:eastAsia="Calibri" w:cs="Times New Roman"/>
                <w:noProof/>
                <w:sz w:val="22"/>
                <w:lang w:val="en-GB"/>
              </w:rPr>
              <w:t xml:space="preserve"> of Commission Regulation 2022/2472/EU for Community Lead Local Development)</w:t>
            </w:r>
            <w:r w:rsidR="00A629D5" w:rsidRPr="00FD703D">
              <w:rPr>
                <w:rFonts w:eastAsia="Calibri" w:cs="Times New Roman"/>
                <w:noProof/>
                <w:sz w:val="22"/>
                <w:lang w:val="en-GB"/>
              </w:rPr>
              <w:t>.</w:t>
            </w:r>
            <w:r w:rsidR="00872C68" w:rsidRPr="00FD703D">
              <w:rPr>
                <w:rFonts w:eastAsia="Calibri" w:cs="Times New Roman"/>
                <w:noProof/>
                <w:sz w:val="22"/>
                <w:lang w:val="en-GB"/>
              </w:rPr>
              <w:t xml:space="preserve"> </w:t>
            </w:r>
          </w:p>
        </w:tc>
        <w:tc>
          <w:tcPr>
            <w:tcW w:w="1530" w:type="dxa"/>
            <w:vAlign w:val="center"/>
          </w:tcPr>
          <w:p w14:paraId="5B3F3DFC"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CZ</w:t>
            </w:r>
          </w:p>
        </w:tc>
        <w:tc>
          <w:tcPr>
            <w:tcW w:w="6390" w:type="dxa"/>
            <w:vAlign w:val="center"/>
          </w:tcPr>
          <w:p w14:paraId="2439CFAE" w14:textId="77777777" w:rsidR="00872C68" w:rsidRPr="0023561A" w:rsidRDefault="00872C68" w:rsidP="001061AF">
            <w:pPr>
              <w:spacing w:after="60" w:line="259" w:lineRule="auto"/>
              <w:jc w:val="both"/>
              <w:rPr>
                <w:rFonts w:eastAsia="Calibri" w:cs="Times New Roman"/>
                <w:noProof/>
                <w:sz w:val="22"/>
                <w:lang w:val="en-GB"/>
              </w:rPr>
            </w:pPr>
            <w:r w:rsidRPr="0023561A">
              <w:rPr>
                <w:rFonts w:eastAsia="Calibri" w:cs="Times New Roman"/>
                <w:noProof/>
                <w:sz w:val="22"/>
                <w:lang w:val="en-GB"/>
              </w:rPr>
              <w:t xml:space="preserve">The proposal was not </w:t>
            </w:r>
            <w:r w:rsidRPr="0023561A" w:rsidDel="00281259">
              <w:rPr>
                <w:rFonts w:eastAsia="Calibri" w:cs="Times New Roman"/>
                <w:noProof/>
                <w:sz w:val="22"/>
                <w:lang w:val="en-GB"/>
              </w:rPr>
              <w:t>taken up</w:t>
            </w:r>
            <w:r w:rsidRPr="0023561A">
              <w:rPr>
                <w:rFonts w:eastAsia="Calibri" w:cs="Times New Roman"/>
                <w:noProof/>
                <w:sz w:val="22"/>
                <w:lang w:val="en-GB"/>
              </w:rPr>
              <w:t xml:space="preserve">. </w:t>
            </w:r>
          </w:p>
          <w:p w14:paraId="58E10599" w14:textId="3A5CD5FE" w:rsidR="00872C68" w:rsidRPr="0023561A" w:rsidRDefault="0B30353A" w:rsidP="6F217AB4">
            <w:pPr>
              <w:spacing w:after="60" w:line="259" w:lineRule="auto"/>
              <w:jc w:val="both"/>
              <w:rPr>
                <w:rFonts w:eastAsia="Calibri" w:cs="Times New Roman"/>
                <w:noProof/>
                <w:sz w:val="22"/>
                <w:szCs w:val="20"/>
                <w:lang w:val="en-GB"/>
              </w:rPr>
            </w:pPr>
            <w:r w:rsidRPr="0023561A">
              <w:rPr>
                <w:rFonts w:eastAsia="Times New Roman" w:cs="Times New Roman"/>
                <w:noProof/>
                <w:sz w:val="22"/>
                <w:szCs w:val="20"/>
                <w:lang w:val="en-GB"/>
              </w:rPr>
              <w:t>Lessons learned from the current period will feed</w:t>
            </w:r>
            <w:r w:rsidR="341FBBFB" w:rsidRPr="0023561A">
              <w:rPr>
                <w:rFonts w:eastAsia="Times New Roman" w:cs="Times New Roman"/>
                <w:noProof/>
                <w:sz w:val="22"/>
                <w:szCs w:val="20"/>
                <w:lang w:val="en-GB"/>
              </w:rPr>
              <w:t xml:space="preserve"> into</w:t>
            </w:r>
            <w:r w:rsidRPr="0023561A">
              <w:rPr>
                <w:rFonts w:eastAsia="Times New Roman" w:cs="Times New Roman"/>
                <w:noProof/>
                <w:sz w:val="22"/>
                <w:szCs w:val="20"/>
                <w:lang w:val="en-GB"/>
              </w:rPr>
              <w:t xml:space="preserve"> the reflection on the CAP</w:t>
            </w:r>
            <w:r w:rsidR="3C1F2C4B" w:rsidRPr="0023561A">
              <w:rPr>
                <w:rFonts w:eastAsia="Times New Roman" w:cs="Times New Roman"/>
                <w:noProof/>
                <w:sz w:val="22"/>
                <w:szCs w:val="20"/>
                <w:lang w:val="en-GB"/>
              </w:rPr>
              <w:t xml:space="preserve"> post-2027</w:t>
            </w:r>
          </w:p>
        </w:tc>
      </w:tr>
      <w:tr w:rsidR="00C44968" w:rsidRPr="00FD703D" w14:paraId="29C119B6" w14:textId="77777777" w:rsidTr="008A73D8">
        <w:trPr>
          <w:trHeight w:val="300"/>
        </w:trPr>
        <w:tc>
          <w:tcPr>
            <w:tcW w:w="653" w:type="dxa"/>
            <w:gridSpan w:val="2"/>
            <w:vAlign w:val="center"/>
          </w:tcPr>
          <w:p w14:paraId="6EDB4CAD" w14:textId="2B86F10C"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27</w:t>
            </w:r>
            <w:r w:rsidR="00E558D0">
              <w:rPr>
                <w:rFonts w:eastAsia="Calibri" w:cs="Times New Roman"/>
                <w:b/>
                <w:bCs/>
                <w:noProof/>
                <w:sz w:val="22"/>
                <w:lang w:val="en-GB"/>
              </w:rPr>
              <w:t>5</w:t>
            </w:r>
          </w:p>
        </w:tc>
        <w:tc>
          <w:tcPr>
            <w:tcW w:w="5946" w:type="dxa"/>
            <w:vAlign w:val="center"/>
          </w:tcPr>
          <w:p w14:paraId="6E196C46" w14:textId="7967C13F"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Ceiling:</w:t>
            </w:r>
            <w:r w:rsidRPr="00FD703D">
              <w:rPr>
                <w:rFonts w:eastAsia="Calibri" w:cs="Times New Roman"/>
                <w:noProof/>
                <w:sz w:val="22"/>
                <w:szCs w:val="20"/>
                <w:lang w:val="en-GB"/>
              </w:rPr>
              <w:t xml:space="preserve"> </w:t>
            </w:r>
            <w:r w:rsidR="4C860587" w:rsidRPr="00FD703D">
              <w:rPr>
                <w:rFonts w:eastAsia="Calibri" w:cs="Times New Roman"/>
                <w:noProof/>
                <w:sz w:val="22"/>
                <w:szCs w:val="20"/>
                <w:lang w:val="en-GB"/>
              </w:rPr>
              <w:t>s</w:t>
            </w:r>
            <w:r w:rsidRPr="00FD703D">
              <w:rPr>
                <w:rFonts w:eastAsia="Calibri" w:cs="Times New Roman"/>
                <w:noProof/>
                <w:sz w:val="22"/>
                <w:szCs w:val="20"/>
                <w:lang w:val="en-GB"/>
              </w:rPr>
              <w:t>etting new ceilings (300</w:t>
            </w:r>
            <w:r w:rsidR="7A5AFA79" w:rsidRPr="00FD703D">
              <w:rPr>
                <w:rFonts w:eastAsia="Calibri" w:cs="Times New Roman"/>
                <w:noProof/>
                <w:sz w:val="22"/>
                <w:szCs w:val="20"/>
                <w:lang w:val="en-GB"/>
              </w:rPr>
              <w:t> </w:t>
            </w:r>
            <w:r w:rsidRPr="00FD703D">
              <w:rPr>
                <w:rFonts w:eastAsia="Calibri" w:cs="Times New Roman"/>
                <w:noProof/>
                <w:sz w:val="22"/>
                <w:szCs w:val="20"/>
                <w:lang w:val="en-GB"/>
              </w:rPr>
              <w:t xml:space="preserve">000 EUR) for exemptions from </w:t>
            </w:r>
            <w:r w:rsidR="7A5AFA79" w:rsidRPr="00FD703D">
              <w:rPr>
                <w:rFonts w:eastAsia="Calibri" w:cs="Times New Roman"/>
                <w:noProof/>
                <w:sz w:val="22"/>
                <w:szCs w:val="20"/>
                <w:lang w:val="en-GB"/>
              </w:rPr>
              <w:t>the obligation to notify S</w:t>
            </w:r>
            <w:r w:rsidRPr="00FD703D">
              <w:rPr>
                <w:rFonts w:eastAsia="Calibri" w:cs="Times New Roman"/>
                <w:noProof/>
                <w:sz w:val="22"/>
                <w:szCs w:val="20"/>
                <w:lang w:val="en-GB"/>
              </w:rPr>
              <w:t>tate aid</w:t>
            </w:r>
            <w:r w:rsidR="7A5AFA79" w:rsidRPr="00FD703D">
              <w:rPr>
                <w:rFonts w:eastAsia="Calibri" w:cs="Times New Roman"/>
                <w:noProof/>
                <w:sz w:val="22"/>
                <w:szCs w:val="20"/>
                <w:lang w:val="en-GB"/>
              </w:rPr>
              <w:t>.</w:t>
            </w:r>
            <w:r w:rsidRPr="00FD703D">
              <w:rPr>
                <w:rFonts w:eastAsia="Calibri" w:cs="Times New Roman"/>
                <w:noProof/>
                <w:sz w:val="22"/>
                <w:szCs w:val="20"/>
                <w:lang w:val="en-GB"/>
              </w:rPr>
              <w:t xml:space="preserve"> </w:t>
            </w:r>
          </w:p>
        </w:tc>
        <w:tc>
          <w:tcPr>
            <w:tcW w:w="1530" w:type="dxa"/>
            <w:vAlign w:val="center"/>
          </w:tcPr>
          <w:p w14:paraId="605BBB21"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SI</w:t>
            </w:r>
          </w:p>
        </w:tc>
        <w:tc>
          <w:tcPr>
            <w:tcW w:w="6390" w:type="dxa"/>
            <w:vAlign w:val="center"/>
          </w:tcPr>
          <w:p w14:paraId="7D470CC0" w14:textId="35BCCB86" w:rsidR="00872C68" w:rsidRPr="0023561A" w:rsidRDefault="00917FFE" w:rsidP="001061AF">
            <w:pPr>
              <w:spacing w:after="60" w:line="259" w:lineRule="auto"/>
              <w:jc w:val="both"/>
              <w:rPr>
                <w:rFonts w:eastAsia="Times New Roman" w:cs="Times New Roman"/>
                <w:noProof/>
                <w:sz w:val="22"/>
                <w:lang w:val="en-GB"/>
              </w:rPr>
            </w:pPr>
            <w:r w:rsidRPr="0023561A">
              <w:rPr>
                <w:rFonts w:eastAsia="Times New Roman" w:cs="Times New Roman"/>
                <w:noProof/>
                <w:sz w:val="22"/>
                <w:lang w:val="en-GB"/>
              </w:rPr>
              <w:t>The g</w:t>
            </w:r>
            <w:r w:rsidR="00872C68" w:rsidRPr="0023561A">
              <w:rPr>
                <w:rFonts w:eastAsia="Times New Roman" w:cs="Times New Roman"/>
                <w:noProof/>
                <w:sz w:val="22"/>
                <w:lang w:val="en-GB"/>
              </w:rPr>
              <w:t>eneral</w:t>
            </w:r>
            <w:r w:rsidR="007507E8" w:rsidRPr="0023561A">
              <w:rPr>
                <w:rFonts w:eastAsia="Times New Roman" w:cs="Times New Roman"/>
                <w:noProof/>
                <w:sz w:val="22"/>
                <w:lang w:val="en-GB"/>
              </w:rPr>
              <w:t xml:space="preserve"> definition of</w:t>
            </w:r>
            <w:r w:rsidR="00872C68" w:rsidRPr="0023561A">
              <w:rPr>
                <w:rFonts w:eastAsia="Times New Roman" w:cs="Times New Roman"/>
                <w:noProof/>
                <w:sz w:val="22"/>
                <w:lang w:val="en-GB"/>
              </w:rPr>
              <w:t xml:space="preserve"> ‘</w:t>
            </w:r>
            <w:r w:rsidR="00872C68" w:rsidRPr="0023561A">
              <w:rPr>
                <w:rFonts w:eastAsia="Times New Roman" w:cs="Times New Roman"/>
                <w:i/>
                <w:iCs/>
                <w:noProof/>
                <w:sz w:val="22"/>
                <w:lang w:val="en-GB"/>
              </w:rPr>
              <w:t>de minimis’</w:t>
            </w:r>
            <w:r w:rsidR="00872C68" w:rsidRPr="0023561A">
              <w:rPr>
                <w:rFonts w:eastAsia="Times New Roman" w:cs="Times New Roman"/>
                <w:noProof/>
                <w:sz w:val="22"/>
                <w:lang w:val="en-GB"/>
              </w:rPr>
              <w:t xml:space="preserve"> was increased to EUR</w:t>
            </w:r>
            <w:r w:rsidR="00A629D5" w:rsidRPr="0023561A">
              <w:rPr>
                <w:rFonts w:eastAsia="Times New Roman" w:cs="Times New Roman"/>
                <w:noProof/>
                <w:sz w:val="22"/>
                <w:lang w:val="en-GB"/>
              </w:rPr>
              <w:t> </w:t>
            </w:r>
            <w:r w:rsidR="00872C68" w:rsidRPr="0023561A">
              <w:rPr>
                <w:rFonts w:eastAsia="Times New Roman" w:cs="Times New Roman"/>
                <w:noProof/>
                <w:sz w:val="22"/>
                <w:lang w:val="en-GB"/>
              </w:rPr>
              <w:t>300</w:t>
            </w:r>
            <w:r w:rsidR="00A629D5" w:rsidRPr="0023561A">
              <w:rPr>
                <w:rFonts w:eastAsia="Times New Roman" w:cs="Times New Roman"/>
                <w:noProof/>
                <w:sz w:val="22"/>
                <w:lang w:val="en-GB"/>
              </w:rPr>
              <w:t> </w:t>
            </w:r>
            <w:r w:rsidR="00872C68" w:rsidRPr="0023561A">
              <w:rPr>
                <w:rFonts w:eastAsia="Times New Roman" w:cs="Times New Roman"/>
                <w:noProof/>
                <w:sz w:val="22"/>
                <w:lang w:val="en-GB"/>
              </w:rPr>
              <w:t xml:space="preserve">000 as from 1 January 2024 due to inflation </w:t>
            </w:r>
            <w:r w:rsidR="00A629D5" w:rsidRPr="0023561A">
              <w:rPr>
                <w:rFonts w:eastAsia="Times New Roman" w:cs="Times New Roman"/>
                <w:noProof/>
                <w:sz w:val="22"/>
                <w:lang w:val="en-GB"/>
              </w:rPr>
              <w:t>in recent</w:t>
            </w:r>
            <w:r w:rsidR="00872C68" w:rsidRPr="0023561A">
              <w:rPr>
                <w:rFonts w:eastAsia="Times New Roman" w:cs="Times New Roman"/>
                <w:noProof/>
                <w:sz w:val="22"/>
                <w:lang w:val="en-GB"/>
              </w:rPr>
              <w:t xml:space="preserve"> years.  This applies to the sector of processing and marketing of agricultural products, but not to primary agricultural production. For agriculture (excluding marketing and processing), </w:t>
            </w:r>
            <w:r w:rsidRPr="0023561A">
              <w:rPr>
                <w:rFonts w:eastAsia="Times New Roman" w:cs="Times New Roman"/>
                <w:noProof/>
                <w:sz w:val="22"/>
                <w:lang w:val="en-GB"/>
              </w:rPr>
              <w:t xml:space="preserve">the </w:t>
            </w:r>
            <w:r w:rsidR="00872C68" w:rsidRPr="0023561A">
              <w:rPr>
                <w:rFonts w:eastAsia="Times New Roman" w:cs="Times New Roman"/>
                <w:noProof/>
                <w:sz w:val="22"/>
                <w:lang w:val="en-GB"/>
              </w:rPr>
              <w:t xml:space="preserve">Commission </w:t>
            </w:r>
            <w:r w:rsidR="003F0B35" w:rsidRPr="00FF77A3">
              <w:rPr>
                <w:rFonts w:eastAsia="Times New Roman" w:cs="Times New Roman"/>
                <w:noProof/>
                <w:sz w:val="22"/>
                <w:lang w:val="en-GB"/>
              </w:rPr>
              <w:t>is finalising its</w:t>
            </w:r>
            <w:r w:rsidR="00872C68" w:rsidRPr="0023561A">
              <w:rPr>
                <w:rFonts w:eastAsia="Times New Roman" w:cs="Times New Roman"/>
                <w:noProof/>
                <w:sz w:val="22"/>
                <w:lang w:val="en-GB"/>
              </w:rPr>
              <w:t xml:space="preserve"> review of the agricultural </w:t>
            </w:r>
            <w:r w:rsidR="00872C68" w:rsidRPr="0023561A">
              <w:rPr>
                <w:rFonts w:eastAsia="Times New Roman" w:cs="Times New Roman"/>
                <w:i/>
                <w:iCs/>
                <w:noProof/>
                <w:sz w:val="22"/>
                <w:lang w:val="en-GB"/>
              </w:rPr>
              <w:t>de minimis</w:t>
            </w:r>
            <w:r w:rsidR="00872C68" w:rsidRPr="0023561A">
              <w:rPr>
                <w:rFonts w:eastAsia="Times New Roman" w:cs="Times New Roman"/>
                <w:noProof/>
                <w:sz w:val="22"/>
                <w:lang w:val="en-GB"/>
              </w:rPr>
              <w:t xml:space="preserve"> Regulation that will revise the applicable ceilings</w:t>
            </w:r>
            <w:r w:rsidRPr="0023561A">
              <w:rPr>
                <w:rFonts w:eastAsia="Times New Roman" w:cs="Times New Roman"/>
                <w:noProof/>
                <w:sz w:val="22"/>
                <w:lang w:val="en-GB"/>
              </w:rPr>
              <w:t>,</w:t>
            </w:r>
            <w:r w:rsidR="00872C68" w:rsidRPr="0023561A">
              <w:rPr>
                <w:rFonts w:eastAsia="Times New Roman" w:cs="Times New Roman"/>
                <w:noProof/>
                <w:sz w:val="22"/>
                <w:lang w:val="en-GB"/>
              </w:rPr>
              <w:t xml:space="preserve"> in consultation with Member States</w:t>
            </w:r>
            <w:r w:rsidR="00DA7F59" w:rsidRPr="0023561A">
              <w:rPr>
                <w:rFonts w:eastAsia="Times New Roman" w:cs="Times New Roman"/>
                <w:noProof/>
                <w:sz w:val="22"/>
                <w:lang w:val="en-GB"/>
              </w:rPr>
              <w:t>,</w:t>
            </w:r>
            <w:r w:rsidR="00872C68" w:rsidRPr="0023561A">
              <w:rPr>
                <w:rFonts w:eastAsia="Times New Roman" w:cs="Times New Roman"/>
                <w:noProof/>
                <w:sz w:val="22"/>
                <w:lang w:val="en-GB"/>
              </w:rPr>
              <w:t xml:space="preserve"> and </w:t>
            </w:r>
            <w:r w:rsidR="00DA7F59" w:rsidRPr="0023561A">
              <w:rPr>
                <w:rFonts w:eastAsia="Times New Roman" w:cs="Times New Roman"/>
                <w:noProof/>
                <w:sz w:val="22"/>
                <w:lang w:val="en-GB"/>
              </w:rPr>
              <w:t xml:space="preserve">also consulting </w:t>
            </w:r>
            <w:r w:rsidR="00872C68" w:rsidRPr="0023561A">
              <w:rPr>
                <w:rFonts w:eastAsia="Times New Roman" w:cs="Times New Roman"/>
                <w:noProof/>
                <w:sz w:val="22"/>
                <w:lang w:val="en-GB"/>
              </w:rPr>
              <w:t>stakeholders.</w:t>
            </w:r>
          </w:p>
        </w:tc>
      </w:tr>
      <w:tr w:rsidR="00C44968" w:rsidRPr="00FD703D" w14:paraId="1A2D6F21" w14:textId="77777777" w:rsidTr="008A73D8">
        <w:trPr>
          <w:trHeight w:val="300"/>
        </w:trPr>
        <w:tc>
          <w:tcPr>
            <w:tcW w:w="653" w:type="dxa"/>
            <w:gridSpan w:val="2"/>
            <w:vAlign w:val="center"/>
          </w:tcPr>
          <w:p w14:paraId="70042D9C" w14:textId="26C843AC"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27</w:t>
            </w:r>
            <w:r w:rsidR="00E558D0">
              <w:rPr>
                <w:rFonts w:eastAsia="Calibri" w:cs="Times New Roman"/>
                <w:b/>
                <w:bCs/>
                <w:noProof/>
                <w:sz w:val="22"/>
                <w:lang w:val="en-GB"/>
              </w:rPr>
              <w:t>6</w:t>
            </w:r>
          </w:p>
        </w:tc>
        <w:tc>
          <w:tcPr>
            <w:tcW w:w="5946" w:type="dxa"/>
            <w:vAlign w:val="center"/>
          </w:tcPr>
          <w:p w14:paraId="791178F3" w14:textId="6A834088" w:rsidR="00872C68" w:rsidRPr="00FD703D" w:rsidRDefault="29CB0D46" w:rsidP="001061AF">
            <w:pPr>
              <w:spacing w:after="60" w:line="259" w:lineRule="auto"/>
              <w:jc w:val="both"/>
              <w:rPr>
                <w:rFonts w:eastAsia="Calibri" w:cs="Times New Roman"/>
                <w:noProof/>
                <w:sz w:val="22"/>
                <w:lang w:val="en-GB"/>
              </w:rPr>
            </w:pPr>
            <w:r w:rsidRPr="00FD703D">
              <w:rPr>
                <w:rFonts w:eastAsia="Calibri" w:cs="Times New Roman"/>
                <w:b/>
                <w:bCs/>
                <w:noProof/>
                <w:sz w:val="22"/>
                <w:szCs w:val="20"/>
                <w:lang w:val="en-GB"/>
              </w:rPr>
              <w:t xml:space="preserve">Project ceiling: </w:t>
            </w:r>
            <w:r w:rsidR="5991C0F6" w:rsidRPr="00FD703D">
              <w:rPr>
                <w:rFonts w:eastAsia="Calibri" w:cs="Times New Roman"/>
                <w:noProof/>
                <w:sz w:val="22"/>
                <w:szCs w:val="20"/>
                <w:lang w:val="en-GB"/>
              </w:rPr>
              <w:t>c</w:t>
            </w:r>
            <w:r w:rsidRPr="00FD703D">
              <w:rPr>
                <w:rFonts w:eastAsia="Calibri" w:cs="Times New Roman"/>
                <w:noProof/>
                <w:sz w:val="22"/>
                <w:szCs w:val="20"/>
                <w:lang w:val="en-GB"/>
              </w:rPr>
              <w:t>hange the ceiling of 200</w:t>
            </w:r>
            <w:r w:rsidR="446DE0BA" w:rsidRPr="00FD703D">
              <w:rPr>
                <w:rFonts w:eastAsia="Calibri" w:cs="Times New Roman"/>
                <w:noProof/>
                <w:sz w:val="22"/>
                <w:szCs w:val="20"/>
                <w:lang w:val="en-GB"/>
              </w:rPr>
              <w:t> </w:t>
            </w:r>
            <w:r w:rsidRPr="00FD703D">
              <w:rPr>
                <w:rFonts w:eastAsia="Calibri" w:cs="Times New Roman"/>
                <w:noProof/>
                <w:sz w:val="22"/>
                <w:szCs w:val="20"/>
                <w:lang w:val="en-GB"/>
              </w:rPr>
              <w:t>000 EUR per project (or EUR 2</w:t>
            </w:r>
            <w:r w:rsidR="446DE0BA" w:rsidRPr="00FD703D">
              <w:rPr>
                <w:rFonts w:eastAsia="Calibri" w:cs="Times New Roman"/>
                <w:noProof/>
                <w:sz w:val="22"/>
                <w:szCs w:val="20"/>
                <w:lang w:val="en-GB"/>
              </w:rPr>
              <w:t> </w:t>
            </w:r>
            <w:r w:rsidRPr="00FD703D">
              <w:rPr>
                <w:rFonts w:eastAsia="Calibri" w:cs="Times New Roman"/>
                <w:noProof/>
                <w:sz w:val="22"/>
                <w:szCs w:val="20"/>
                <w:lang w:val="en-GB"/>
              </w:rPr>
              <w:t>million) to facilitate international cooperation projects</w:t>
            </w:r>
            <w:r w:rsidR="446DE0BA" w:rsidRPr="00FD703D">
              <w:rPr>
                <w:rFonts w:eastAsia="Calibri" w:cs="Times New Roman"/>
                <w:noProof/>
                <w:sz w:val="22"/>
                <w:szCs w:val="20"/>
                <w:lang w:val="en-GB"/>
              </w:rPr>
              <w:t xml:space="preserve"> </w:t>
            </w:r>
            <w:r w:rsidR="00872C68" w:rsidRPr="00FD703D">
              <w:rPr>
                <w:rFonts w:eastAsia="Calibri" w:cs="Times New Roman"/>
                <w:noProof/>
                <w:sz w:val="22"/>
                <w:lang w:val="en-GB"/>
              </w:rPr>
              <w:t>(</w:t>
            </w:r>
            <w:r w:rsidR="00872C68" w:rsidRPr="00FD703D">
              <w:rPr>
                <w:rFonts w:eastAsia="Calibri" w:cs="Times New Roman"/>
                <w:i/>
                <w:iCs/>
                <w:noProof/>
                <w:sz w:val="22"/>
                <w:lang w:val="en-GB"/>
              </w:rPr>
              <w:t>Articles 60</w:t>
            </w:r>
            <w:r w:rsidR="00DA7F59" w:rsidRPr="00FD703D">
              <w:rPr>
                <w:rFonts w:eastAsia="Calibri" w:cs="Times New Roman"/>
                <w:i/>
                <w:iCs/>
                <w:noProof/>
                <w:sz w:val="22"/>
                <w:lang w:val="en-GB"/>
              </w:rPr>
              <w:t xml:space="preserve"> and</w:t>
            </w:r>
            <w:r w:rsidR="00872C68" w:rsidRPr="00FD703D">
              <w:rPr>
                <w:rFonts w:eastAsia="Calibri" w:cs="Times New Roman"/>
                <w:i/>
                <w:iCs/>
                <w:noProof/>
                <w:sz w:val="22"/>
                <w:lang w:val="en-GB"/>
              </w:rPr>
              <w:t xml:space="preserve"> 61</w:t>
            </w:r>
            <w:r w:rsidR="00872C68" w:rsidRPr="00FD703D">
              <w:rPr>
                <w:rFonts w:eastAsia="Calibri" w:cs="Times New Roman"/>
                <w:noProof/>
                <w:sz w:val="22"/>
                <w:lang w:val="en-GB"/>
              </w:rPr>
              <w:t xml:space="preserve"> of the ABER for Community Lead Local Development)</w:t>
            </w:r>
            <w:r w:rsidR="00DA7F59" w:rsidRPr="00FD703D">
              <w:rPr>
                <w:rFonts w:eastAsia="Calibri" w:cs="Times New Roman"/>
                <w:noProof/>
                <w:sz w:val="22"/>
                <w:lang w:val="en-GB"/>
              </w:rPr>
              <w:t>.</w:t>
            </w:r>
          </w:p>
        </w:tc>
        <w:tc>
          <w:tcPr>
            <w:tcW w:w="1530" w:type="dxa"/>
            <w:vAlign w:val="center"/>
          </w:tcPr>
          <w:p w14:paraId="2E59F897"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CZ</w:t>
            </w:r>
          </w:p>
        </w:tc>
        <w:tc>
          <w:tcPr>
            <w:tcW w:w="6390" w:type="dxa"/>
            <w:vAlign w:val="center"/>
          </w:tcPr>
          <w:p w14:paraId="12CE94C1" w14:textId="31223E4B"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The proposal was not </w:t>
            </w:r>
            <w:r w:rsidRPr="00FD703D" w:rsidDel="00BA0969">
              <w:rPr>
                <w:rFonts w:eastAsia="Calibri" w:cs="Times New Roman"/>
                <w:noProof/>
                <w:sz w:val="22"/>
                <w:lang w:val="en-GB"/>
              </w:rPr>
              <w:t>taken up</w:t>
            </w:r>
            <w:r w:rsidRPr="00FD703D">
              <w:rPr>
                <w:rFonts w:eastAsia="Calibri" w:cs="Times New Roman"/>
                <w:noProof/>
                <w:sz w:val="22"/>
                <w:lang w:val="en-GB"/>
              </w:rPr>
              <w:t>.</w:t>
            </w:r>
            <w:r w:rsidR="00CB2F59">
              <w:rPr>
                <w:rFonts w:eastAsia="Calibri" w:cs="Times New Roman"/>
                <w:noProof/>
                <w:sz w:val="22"/>
                <w:lang w:val="en-GB"/>
              </w:rPr>
              <w:t xml:space="preserve"> </w:t>
            </w:r>
            <w:r w:rsidRPr="00FD703D">
              <w:rPr>
                <w:rFonts w:eastAsia="Calibri" w:cs="Times New Roman"/>
                <w:noProof/>
                <w:sz w:val="22"/>
                <w:lang w:val="en-GB"/>
              </w:rPr>
              <w:t xml:space="preserve">The Agricultural Block Exemption Regulation, which </w:t>
            </w:r>
            <w:r w:rsidR="00DA7F59" w:rsidRPr="00FD703D">
              <w:rPr>
                <w:rFonts w:eastAsia="Calibri" w:cs="Times New Roman"/>
                <w:noProof/>
                <w:sz w:val="22"/>
                <w:lang w:val="en-GB"/>
              </w:rPr>
              <w:t>specifies</w:t>
            </w:r>
            <w:r w:rsidRPr="00FD703D">
              <w:rPr>
                <w:rFonts w:eastAsia="Calibri" w:cs="Times New Roman"/>
                <w:noProof/>
                <w:sz w:val="22"/>
                <w:lang w:val="en-GB"/>
              </w:rPr>
              <w:t xml:space="preserve"> these ceilings, has very recently been amended and all ceilings were adjusted to the current market situation. </w:t>
            </w:r>
            <w:r w:rsidR="00DA7F59" w:rsidRPr="00FD703D">
              <w:rPr>
                <w:rFonts w:eastAsia="Calibri" w:cs="Times New Roman"/>
                <w:noProof/>
                <w:sz w:val="22"/>
                <w:lang w:val="en-GB"/>
              </w:rPr>
              <w:t>A</w:t>
            </w:r>
            <w:r w:rsidRPr="00FD703D">
              <w:rPr>
                <w:rFonts w:eastAsia="Calibri" w:cs="Times New Roman"/>
                <w:noProof/>
                <w:sz w:val="22"/>
                <w:lang w:val="en-GB"/>
              </w:rPr>
              <w:t xml:space="preserve">t this moment in time, </w:t>
            </w:r>
            <w:r w:rsidR="00DA7F59" w:rsidRPr="00FD703D">
              <w:rPr>
                <w:rFonts w:eastAsia="Calibri" w:cs="Times New Roman"/>
                <w:noProof/>
                <w:sz w:val="22"/>
                <w:lang w:val="en-GB"/>
              </w:rPr>
              <w:t xml:space="preserve">therefore, </w:t>
            </w:r>
            <w:r w:rsidRPr="00FD703D">
              <w:rPr>
                <w:rFonts w:eastAsia="Calibri" w:cs="Times New Roman"/>
                <w:noProof/>
                <w:sz w:val="22"/>
                <w:lang w:val="en-GB"/>
              </w:rPr>
              <w:t>the Commission does not consider that an increase is necessary.</w:t>
            </w:r>
          </w:p>
        </w:tc>
      </w:tr>
      <w:tr w:rsidR="00C44968" w:rsidRPr="00FD703D" w14:paraId="13AABD6F" w14:textId="77777777" w:rsidTr="008A73D8">
        <w:trPr>
          <w:trHeight w:val="300"/>
        </w:trPr>
        <w:tc>
          <w:tcPr>
            <w:tcW w:w="653" w:type="dxa"/>
            <w:gridSpan w:val="2"/>
            <w:vAlign w:val="center"/>
          </w:tcPr>
          <w:p w14:paraId="5C0D159C" w14:textId="7A536253"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27</w:t>
            </w:r>
            <w:r w:rsidR="00E558D0">
              <w:rPr>
                <w:rFonts w:eastAsia="Calibri" w:cs="Times New Roman"/>
                <w:b/>
                <w:bCs/>
                <w:noProof/>
                <w:sz w:val="22"/>
                <w:lang w:val="en-GB"/>
              </w:rPr>
              <w:t>7</w:t>
            </w:r>
          </w:p>
        </w:tc>
        <w:tc>
          <w:tcPr>
            <w:tcW w:w="5946" w:type="dxa"/>
            <w:vAlign w:val="center"/>
          </w:tcPr>
          <w:p w14:paraId="7D02EC97" w14:textId="321D86F3"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Evaluation of schemes:</w:t>
            </w:r>
            <w:r w:rsidRPr="00FD703D">
              <w:rPr>
                <w:rFonts w:eastAsia="Calibri" w:cs="Times New Roman"/>
                <w:noProof/>
                <w:sz w:val="22"/>
                <w:szCs w:val="20"/>
                <w:lang w:val="en-GB"/>
              </w:rPr>
              <w:t xml:space="preserve"> </w:t>
            </w:r>
            <w:r w:rsidR="43ACCE66" w:rsidRPr="00FD703D">
              <w:rPr>
                <w:rFonts w:eastAsia="Calibri" w:cs="Times New Roman"/>
                <w:noProof/>
                <w:sz w:val="22"/>
                <w:szCs w:val="20"/>
                <w:lang w:val="en-GB"/>
              </w:rPr>
              <w:t>w</w:t>
            </w:r>
            <w:r w:rsidRPr="00FD703D">
              <w:rPr>
                <w:rFonts w:eastAsia="Calibri" w:cs="Times New Roman"/>
                <w:noProof/>
                <w:sz w:val="22"/>
                <w:szCs w:val="20"/>
                <w:lang w:val="en-GB"/>
              </w:rPr>
              <w:t xml:space="preserve">ithdraw the requirement </w:t>
            </w:r>
            <w:r w:rsidR="29EA10A2" w:rsidRPr="00FD703D">
              <w:rPr>
                <w:rFonts w:eastAsia="Calibri" w:cs="Times New Roman"/>
                <w:noProof/>
                <w:sz w:val="22"/>
                <w:szCs w:val="20"/>
                <w:lang w:val="en-GB"/>
              </w:rPr>
              <w:t>to conduct</w:t>
            </w:r>
            <w:r w:rsidRPr="00FD703D">
              <w:rPr>
                <w:rFonts w:eastAsia="Calibri" w:cs="Times New Roman"/>
                <w:noProof/>
                <w:sz w:val="22"/>
                <w:szCs w:val="20"/>
                <w:lang w:val="en-GB"/>
              </w:rPr>
              <w:t xml:space="preserve"> ex</w:t>
            </w:r>
            <w:r w:rsidR="29EA10A2" w:rsidRPr="00FD703D">
              <w:rPr>
                <w:rFonts w:eastAsia="Calibri" w:cs="Times New Roman"/>
                <w:noProof/>
                <w:sz w:val="22"/>
                <w:szCs w:val="20"/>
                <w:lang w:val="en-GB"/>
              </w:rPr>
              <w:t> </w:t>
            </w:r>
            <w:r w:rsidRPr="00FD703D">
              <w:rPr>
                <w:rFonts w:eastAsia="Calibri" w:cs="Times New Roman"/>
                <w:noProof/>
                <w:sz w:val="22"/>
                <w:szCs w:val="20"/>
                <w:lang w:val="en-GB"/>
              </w:rPr>
              <w:t>post evaluation of schemes with large aid budgets (</w:t>
            </w:r>
            <w:r w:rsidR="29EA10A2" w:rsidRPr="00FD703D">
              <w:rPr>
                <w:rFonts w:eastAsia="Calibri" w:cs="Times New Roman"/>
                <w:noProof/>
                <w:sz w:val="22"/>
                <w:szCs w:val="20"/>
                <w:lang w:val="en-GB"/>
              </w:rPr>
              <w:t xml:space="preserve">a </w:t>
            </w:r>
            <w:r w:rsidRPr="00FD703D">
              <w:rPr>
                <w:rFonts w:eastAsia="Calibri" w:cs="Times New Roman"/>
                <w:noProof/>
                <w:sz w:val="22"/>
                <w:szCs w:val="20"/>
                <w:lang w:val="en-GB"/>
              </w:rPr>
              <w:t>budget of over EUR 150 million in a given year or EUR 750 million over the program</w:t>
            </w:r>
            <w:r w:rsidR="7042BA1A" w:rsidRPr="00FD703D">
              <w:rPr>
                <w:rFonts w:eastAsia="Calibri" w:cs="Times New Roman"/>
                <w:noProof/>
                <w:sz w:val="22"/>
                <w:szCs w:val="20"/>
                <w:lang w:val="en-GB"/>
              </w:rPr>
              <w:t>me</w:t>
            </w:r>
            <w:r w:rsidRPr="00FD703D">
              <w:rPr>
                <w:rFonts w:eastAsia="Calibri" w:cs="Times New Roman"/>
                <w:noProof/>
                <w:sz w:val="22"/>
                <w:szCs w:val="20"/>
                <w:lang w:val="en-GB"/>
              </w:rPr>
              <w:t xml:space="preserve"> period)</w:t>
            </w:r>
            <w:r w:rsidR="29EA10A2" w:rsidRPr="00FD703D">
              <w:rPr>
                <w:rFonts w:eastAsia="Calibri" w:cs="Times New Roman"/>
                <w:noProof/>
                <w:sz w:val="22"/>
                <w:szCs w:val="20"/>
                <w:lang w:val="en-GB"/>
              </w:rPr>
              <w:t>,</w:t>
            </w:r>
            <w:r w:rsidRPr="00FD703D">
              <w:rPr>
                <w:rFonts w:eastAsia="Calibri" w:cs="Times New Roman"/>
                <w:noProof/>
                <w:sz w:val="22"/>
                <w:szCs w:val="20"/>
                <w:lang w:val="en-GB"/>
              </w:rPr>
              <w:t xml:space="preserve"> or significant</w:t>
            </w:r>
            <w:r w:rsidR="29EA10A2" w:rsidRPr="00FD703D">
              <w:rPr>
                <w:rFonts w:eastAsia="Calibri" w:cs="Times New Roman"/>
                <w:noProof/>
                <w:sz w:val="22"/>
                <w:szCs w:val="20"/>
                <w:lang w:val="en-GB"/>
              </w:rPr>
              <w:t>ly</w:t>
            </w:r>
            <w:r w:rsidRPr="00FD703D">
              <w:rPr>
                <w:rFonts w:eastAsia="Calibri" w:cs="Times New Roman"/>
                <w:noProof/>
                <w:sz w:val="22"/>
                <w:szCs w:val="20"/>
                <w:lang w:val="en-GB"/>
              </w:rPr>
              <w:t xml:space="preserve"> increase </w:t>
            </w:r>
            <w:r w:rsidR="29EA10A2" w:rsidRPr="00FD703D">
              <w:rPr>
                <w:rFonts w:eastAsia="Calibri" w:cs="Times New Roman"/>
                <w:noProof/>
                <w:sz w:val="22"/>
                <w:szCs w:val="20"/>
                <w:lang w:val="en-GB"/>
              </w:rPr>
              <w:t xml:space="preserve">the applicable </w:t>
            </w:r>
            <w:r w:rsidRPr="00FD703D">
              <w:rPr>
                <w:rFonts w:eastAsia="Calibri" w:cs="Times New Roman"/>
                <w:noProof/>
                <w:sz w:val="22"/>
                <w:szCs w:val="20"/>
                <w:lang w:val="en-GB"/>
              </w:rPr>
              <w:t>amounts, e.g. over EUR</w:t>
            </w:r>
            <w:r w:rsidR="7042BA1A" w:rsidRPr="00FD703D">
              <w:rPr>
                <w:rFonts w:eastAsia="Calibri" w:cs="Times New Roman"/>
                <w:noProof/>
                <w:sz w:val="22"/>
                <w:szCs w:val="20"/>
                <w:lang w:val="en-GB"/>
              </w:rPr>
              <w:t> </w:t>
            </w:r>
            <w:r w:rsidRPr="00FD703D">
              <w:rPr>
                <w:rFonts w:eastAsia="Calibri" w:cs="Times New Roman"/>
                <w:noProof/>
                <w:sz w:val="22"/>
                <w:szCs w:val="20"/>
                <w:lang w:val="en-GB"/>
              </w:rPr>
              <w:t>300 million in a given year or EUR 1</w:t>
            </w:r>
            <w:r w:rsidR="29EA10A2" w:rsidRPr="00FD703D">
              <w:rPr>
                <w:rFonts w:eastAsia="Calibri" w:cs="Times New Roman"/>
                <w:noProof/>
                <w:sz w:val="22"/>
                <w:szCs w:val="20"/>
                <w:lang w:val="en-GB"/>
              </w:rPr>
              <w:t> </w:t>
            </w:r>
            <w:r w:rsidRPr="00FD703D">
              <w:rPr>
                <w:rFonts w:eastAsia="Calibri" w:cs="Times New Roman"/>
                <w:noProof/>
                <w:sz w:val="22"/>
                <w:szCs w:val="20"/>
                <w:lang w:val="en-GB"/>
              </w:rPr>
              <w:t>500 million over the entire program</w:t>
            </w:r>
            <w:r w:rsidR="7042BA1A" w:rsidRPr="00FD703D">
              <w:rPr>
                <w:rFonts w:eastAsia="Calibri" w:cs="Times New Roman"/>
                <w:noProof/>
                <w:sz w:val="22"/>
                <w:szCs w:val="20"/>
                <w:lang w:val="en-GB"/>
              </w:rPr>
              <w:t>me</w:t>
            </w:r>
            <w:r w:rsidRPr="00FD703D">
              <w:rPr>
                <w:rFonts w:eastAsia="Calibri" w:cs="Times New Roman"/>
                <w:noProof/>
                <w:sz w:val="22"/>
                <w:szCs w:val="20"/>
                <w:lang w:val="en-GB"/>
              </w:rPr>
              <w:t xml:space="preserve"> period</w:t>
            </w:r>
            <w:r w:rsidR="7042BA1A" w:rsidRPr="00FD703D">
              <w:rPr>
                <w:rFonts w:eastAsia="Calibri" w:cs="Times New Roman"/>
                <w:noProof/>
                <w:sz w:val="22"/>
                <w:szCs w:val="20"/>
                <w:lang w:val="en-GB"/>
              </w:rPr>
              <w:t>.</w:t>
            </w:r>
          </w:p>
          <w:p w14:paraId="743B64C6" w14:textId="31CEE4C8"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lastRenderedPageBreak/>
              <w:t xml:space="preserve">Guidelines </w:t>
            </w:r>
            <w:r w:rsidR="008A2351" w:rsidRPr="00FD703D">
              <w:rPr>
                <w:rFonts w:eastAsia="Calibri" w:cs="Times New Roman"/>
                <w:noProof/>
                <w:sz w:val="22"/>
                <w:lang w:val="en-GB"/>
              </w:rPr>
              <w:t xml:space="preserve">should be provided on </w:t>
            </w:r>
            <w:r w:rsidRPr="00FD703D">
              <w:rPr>
                <w:rFonts w:eastAsia="Calibri" w:cs="Times New Roman"/>
                <w:noProof/>
                <w:sz w:val="22"/>
                <w:lang w:val="en-GB"/>
              </w:rPr>
              <w:t>State aid in the agricultural and forestry sectors and in rural areas</w:t>
            </w:r>
            <w:r w:rsidR="00917FA6" w:rsidRPr="00FD703D">
              <w:rPr>
                <w:rFonts w:eastAsia="Calibri" w:cs="Times New Roman"/>
                <w:noProof/>
                <w:sz w:val="22"/>
                <w:lang w:val="en-GB"/>
              </w:rPr>
              <w:t>.</w:t>
            </w:r>
          </w:p>
        </w:tc>
        <w:tc>
          <w:tcPr>
            <w:tcW w:w="1530" w:type="dxa"/>
            <w:vAlign w:val="center"/>
          </w:tcPr>
          <w:p w14:paraId="2595ECF4"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lastRenderedPageBreak/>
              <w:t>PL</w:t>
            </w:r>
          </w:p>
        </w:tc>
        <w:tc>
          <w:tcPr>
            <w:tcW w:w="6390" w:type="dxa"/>
            <w:vAlign w:val="center"/>
          </w:tcPr>
          <w:p w14:paraId="03B00B36" w14:textId="4B099D6E"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The proposal was not taken up. Evaluation provide</w:t>
            </w:r>
            <w:r w:rsidR="00E9377D" w:rsidRPr="00FD703D">
              <w:rPr>
                <w:rFonts w:eastAsia="Calibri" w:cs="Times New Roman"/>
                <w:noProof/>
                <w:sz w:val="22"/>
                <w:lang w:val="en-GB"/>
              </w:rPr>
              <w:t>s</w:t>
            </w:r>
            <w:r w:rsidRPr="00FD703D">
              <w:rPr>
                <w:rFonts w:eastAsia="Calibri" w:cs="Times New Roman"/>
                <w:noProof/>
                <w:sz w:val="22"/>
                <w:lang w:val="en-GB"/>
              </w:rPr>
              <w:t xml:space="preserve"> a means </w:t>
            </w:r>
            <w:r w:rsidR="00E9377D" w:rsidRPr="00FD703D">
              <w:rPr>
                <w:rFonts w:eastAsia="Calibri" w:cs="Times New Roman"/>
                <w:noProof/>
                <w:sz w:val="22"/>
                <w:lang w:val="en-GB"/>
              </w:rPr>
              <w:t xml:space="preserve">to </w:t>
            </w:r>
            <w:r w:rsidRPr="00FD703D">
              <w:rPr>
                <w:rFonts w:eastAsia="Calibri" w:cs="Times New Roman"/>
                <w:noProof/>
                <w:sz w:val="22"/>
                <w:lang w:val="en-GB"/>
              </w:rPr>
              <w:t>improv</w:t>
            </w:r>
            <w:r w:rsidR="00E9377D" w:rsidRPr="00FD703D">
              <w:rPr>
                <w:rFonts w:eastAsia="Calibri" w:cs="Times New Roman"/>
                <w:noProof/>
                <w:sz w:val="22"/>
                <w:lang w:val="en-GB"/>
              </w:rPr>
              <w:t>e</w:t>
            </w:r>
            <w:r w:rsidRPr="00FD703D">
              <w:rPr>
                <w:rFonts w:eastAsia="Calibri" w:cs="Times New Roman"/>
                <w:noProof/>
                <w:sz w:val="22"/>
                <w:lang w:val="en-GB"/>
              </w:rPr>
              <w:t xml:space="preserve"> policy and to gather evidence on what went well and what </w:t>
            </w:r>
            <w:r w:rsidR="00E9377D" w:rsidRPr="00FD703D">
              <w:rPr>
                <w:rFonts w:eastAsia="Calibri" w:cs="Times New Roman"/>
                <w:noProof/>
                <w:sz w:val="22"/>
                <w:lang w:val="en-GB"/>
              </w:rPr>
              <w:t xml:space="preserve">did </w:t>
            </w:r>
            <w:r w:rsidRPr="00FD703D">
              <w:rPr>
                <w:rFonts w:eastAsia="Calibri" w:cs="Times New Roman"/>
                <w:noProof/>
                <w:sz w:val="22"/>
                <w:lang w:val="en-GB"/>
              </w:rPr>
              <w:t xml:space="preserve">not. It is fundamental to assess effectiveness, efficiency, relevance, EU added value and </w:t>
            </w:r>
            <w:r w:rsidR="008A2351" w:rsidRPr="00FD703D">
              <w:rPr>
                <w:rFonts w:eastAsia="Calibri" w:cs="Times New Roman"/>
                <w:noProof/>
                <w:sz w:val="22"/>
                <w:lang w:val="en-GB"/>
              </w:rPr>
              <w:t xml:space="preserve">consistency </w:t>
            </w:r>
            <w:r w:rsidRPr="00FD703D">
              <w:rPr>
                <w:rFonts w:eastAsia="Calibri" w:cs="Times New Roman"/>
                <w:noProof/>
                <w:sz w:val="22"/>
                <w:lang w:val="en-GB"/>
              </w:rPr>
              <w:t>and thus always improve evidence</w:t>
            </w:r>
            <w:r w:rsidR="008A2351" w:rsidRPr="00FD703D">
              <w:rPr>
                <w:rFonts w:eastAsia="Calibri" w:cs="Times New Roman"/>
                <w:noProof/>
                <w:sz w:val="22"/>
                <w:lang w:val="en-GB"/>
              </w:rPr>
              <w:t>-</w:t>
            </w:r>
            <w:r w:rsidRPr="00FD703D">
              <w:rPr>
                <w:rFonts w:eastAsia="Calibri" w:cs="Times New Roman"/>
                <w:noProof/>
                <w:sz w:val="22"/>
                <w:lang w:val="en-GB"/>
              </w:rPr>
              <w:t xml:space="preserve">gathering for </w:t>
            </w:r>
            <w:r w:rsidR="008A2351" w:rsidRPr="00FD703D">
              <w:rPr>
                <w:rFonts w:eastAsia="Calibri" w:cs="Times New Roman"/>
                <w:noProof/>
                <w:sz w:val="22"/>
                <w:lang w:val="en-GB"/>
              </w:rPr>
              <w:t xml:space="preserve">the </w:t>
            </w:r>
            <w:r w:rsidRPr="00FD703D">
              <w:rPr>
                <w:rFonts w:eastAsia="Calibri" w:cs="Times New Roman"/>
                <w:noProof/>
                <w:sz w:val="22"/>
                <w:lang w:val="en-GB"/>
              </w:rPr>
              <w:t>better design of a performance-based policy.</w:t>
            </w:r>
          </w:p>
        </w:tc>
      </w:tr>
      <w:tr w:rsidR="00C44968" w:rsidRPr="00FD703D" w14:paraId="39796A7D" w14:textId="77777777" w:rsidTr="008A73D8">
        <w:trPr>
          <w:trHeight w:val="300"/>
        </w:trPr>
        <w:tc>
          <w:tcPr>
            <w:tcW w:w="653" w:type="dxa"/>
            <w:gridSpan w:val="2"/>
            <w:vAlign w:val="center"/>
          </w:tcPr>
          <w:p w14:paraId="18320240" w14:textId="73990D7E" w:rsidR="00872C68" w:rsidRPr="00FD703D" w:rsidRDefault="00872C68" w:rsidP="00020097">
            <w:pPr>
              <w:spacing w:after="60" w:line="259" w:lineRule="auto"/>
              <w:jc w:val="both"/>
              <w:rPr>
                <w:rFonts w:eastAsia="Calibri" w:cs="Times New Roman"/>
                <w:b/>
                <w:noProof/>
                <w:sz w:val="22"/>
                <w:lang w:val="en-GB"/>
              </w:rPr>
            </w:pPr>
            <w:r w:rsidRPr="00FD703D">
              <w:rPr>
                <w:rFonts w:eastAsia="Calibri" w:cs="Times New Roman"/>
                <w:b/>
                <w:bCs/>
                <w:noProof/>
                <w:sz w:val="22"/>
                <w:lang w:val="en-GB"/>
              </w:rPr>
              <w:t>27</w:t>
            </w:r>
            <w:r w:rsidR="00E558D0">
              <w:rPr>
                <w:rFonts w:eastAsia="Calibri" w:cs="Times New Roman"/>
                <w:b/>
                <w:bCs/>
                <w:noProof/>
                <w:sz w:val="22"/>
                <w:lang w:val="en-GB"/>
              </w:rPr>
              <w:t>8</w:t>
            </w:r>
          </w:p>
        </w:tc>
        <w:tc>
          <w:tcPr>
            <w:tcW w:w="5946" w:type="dxa"/>
            <w:vAlign w:val="center"/>
          </w:tcPr>
          <w:p w14:paraId="518D0A32" w14:textId="1CE230C7" w:rsidR="00872C68" w:rsidRPr="00FD703D" w:rsidRDefault="00872C68" w:rsidP="00020097">
            <w:pPr>
              <w:spacing w:after="60" w:line="259" w:lineRule="auto"/>
              <w:jc w:val="both"/>
              <w:rPr>
                <w:rFonts w:eastAsia="Times New Roman" w:cs="Times New Roman"/>
                <w:noProof/>
                <w:color w:val="000000"/>
                <w:sz w:val="22"/>
                <w:lang w:val="en-GB" w:eastAsia="en-IE"/>
              </w:rPr>
            </w:pPr>
            <w:r w:rsidRPr="00FD703D">
              <w:rPr>
                <w:rFonts w:eastAsia="Calibri" w:cs="Times New Roman"/>
                <w:b/>
                <w:bCs/>
                <w:noProof/>
                <w:sz w:val="22"/>
                <w:lang w:val="en-GB"/>
              </w:rPr>
              <w:t>Conflict of interest:</w:t>
            </w:r>
            <w:r w:rsidRPr="00FD703D">
              <w:rPr>
                <w:rFonts w:eastAsia="Calibri" w:cs="Times New Roman"/>
                <w:noProof/>
                <w:sz w:val="22"/>
                <w:lang w:val="en-GB"/>
              </w:rPr>
              <w:t xml:space="preserve"> </w:t>
            </w:r>
            <w:r w:rsidR="00C105CB" w:rsidRPr="00FD703D">
              <w:rPr>
                <w:rFonts w:eastAsia="Calibri" w:cs="Times New Roman"/>
                <w:noProof/>
                <w:sz w:val="22"/>
                <w:lang w:val="en-GB"/>
              </w:rPr>
              <w:t>c</w:t>
            </w:r>
            <w:r w:rsidRPr="00FD703D">
              <w:rPr>
                <w:rFonts w:eastAsia="Calibri" w:cs="Times New Roman"/>
                <w:noProof/>
                <w:sz w:val="22"/>
                <w:lang w:val="en-GB"/>
              </w:rPr>
              <w:t xml:space="preserve">all for </w:t>
            </w:r>
            <w:r w:rsidRPr="00FD703D">
              <w:rPr>
                <w:rFonts w:eastAsia="Times New Roman" w:cs="Times New Roman"/>
                <w:noProof/>
                <w:color w:val="000000"/>
                <w:sz w:val="22"/>
                <w:lang w:val="en-GB" w:eastAsia="en-IE"/>
              </w:rPr>
              <w:t>clear</w:t>
            </w:r>
            <w:r w:rsidR="005E400F" w:rsidRPr="00FD703D">
              <w:rPr>
                <w:rFonts w:eastAsia="Times New Roman" w:cs="Times New Roman"/>
                <w:noProof/>
                <w:color w:val="000000"/>
                <w:sz w:val="22"/>
                <w:lang w:val="en-GB" w:eastAsia="en-IE"/>
              </w:rPr>
              <w:t>ly defined</w:t>
            </w:r>
            <w:r w:rsidRPr="00FD703D">
              <w:rPr>
                <w:rFonts w:eastAsia="Times New Roman" w:cs="Times New Roman"/>
                <w:noProof/>
                <w:color w:val="000000"/>
                <w:sz w:val="22"/>
                <w:lang w:val="en-GB" w:eastAsia="en-IE"/>
              </w:rPr>
              <w:t xml:space="preserve"> and predictable conditions that do not allow for a </w:t>
            </w:r>
            <w:r w:rsidR="005E400F" w:rsidRPr="00FD703D">
              <w:rPr>
                <w:rFonts w:eastAsia="Times New Roman" w:cs="Times New Roman"/>
                <w:noProof/>
                <w:color w:val="000000"/>
                <w:sz w:val="22"/>
                <w:lang w:val="en-GB" w:eastAsia="en-IE"/>
              </w:rPr>
              <w:t xml:space="preserve">broad </w:t>
            </w:r>
            <w:r w:rsidRPr="00FD703D">
              <w:rPr>
                <w:rFonts w:eastAsia="Times New Roman" w:cs="Times New Roman"/>
                <w:noProof/>
                <w:color w:val="000000"/>
                <w:sz w:val="22"/>
                <w:lang w:val="en-GB" w:eastAsia="en-IE"/>
              </w:rPr>
              <w:t xml:space="preserve">interpretation - typically </w:t>
            </w:r>
            <w:r w:rsidR="005E400F" w:rsidRPr="00FD703D">
              <w:rPr>
                <w:rFonts w:eastAsia="Times New Roman" w:cs="Times New Roman"/>
                <w:noProof/>
                <w:color w:val="000000"/>
                <w:sz w:val="22"/>
                <w:lang w:val="en-GB" w:eastAsia="en-IE"/>
              </w:rPr>
              <w:t xml:space="preserve">in </w:t>
            </w:r>
            <w:r w:rsidRPr="00FD703D">
              <w:rPr>
                <w:rFonts w:eastAsia="Times New Roman" w:cs="Times New Roman"/>
                <w:noProof/>
                <w:color w:val="000000"/>
                <w:sz w:val="22"/>
                <w:lang w:val="en-GB" w:eastAsia="en-IE"/>
              </w:rPr>
              <w:t>the area</w:t>
            </w:r>
            <w:r w:rsidR="005E400F" w:rsidRPr="00FD703D">
              <w:rPr>
                <w:rFonts w:eastAsia="Times New Roman" w:cs="Times New Roman"/>
                <w:noProof/>
                <w:color w:val="000000"/>
                <w:sz w:val="22"/>
                <w:lang w:val="en-GB" w:eastAsia="en-IE"/>
              </w:rPr>
              <w:t>s</w:t>
            </w:r>
            <w:r w:rsidRPr="00FD703D">
              <w:rPr>
                <w:rFonts w:eastAsia="Times New Roman" w:cs="Times New Roman"/>
                <w:noProof/>
                <w:color w:val="000000"/>
                <w:sz w:val="22"/>
                <w:lang w:val="en-GB" w:eastAsia="en-IE"/>
              </w:rPr>
              <w:t xml:space="preserve"> of conflict of interest, </w:t>
            </w:r>
            <w:r w:rsidR="005E400F" w:rsidRPr="00FD703D">
              <w:rPr>
                <w:rFonts w:eastAsia="Times New Roman" w:cs="Times New Roman"/>
                <w:noProof/>
                <w:color w:val="000000"/>
                <w:sz w:val="22"/>
                <w:lang w:val="en-GB" w:eastAsia="en-IE"/>
              </w:rPr>
              <w:t xml:space="preserve">and </w:t>
            </w:r>
            <w:r w:rsidRPr="00FD703D">
              <w:rPr>
                <w:rFonts w:eastAsia="Times New Roman" w:cs="Times New Roman"/>
                <w:noProof/>
                <w:color w:val="000000"/>
                <w:sz w:val="22"/>
                <w:lang w:val="en-GB" w:eastAsia="en-IE"/>
              </w:rPr>
              <w:t>reduc</w:t>
            </w:r>
            <w:r w:rsidR="005E400F" w:rsidRPr="00FD703D">
              <w:rPr>
                <w:rFonts w:eastAsia="Times New Roman" w:cs="Times New Roman"/>
                <w:noProof/>
                <w:color w:val="000000"/>
                <w:sz w:val="22"/>
                <w:lang w:val="en-GB" w:eastAsia="en-IE"/>
              </w:rPr>
              <w:t>tion of</w:t>
            </w:r>
            <w:r w:rsidRPr="00FD703D">
              <w:rPr>
                <w:rFonts w:eastAsia="Times New Roman" w:cs="Times New Roman"/>
                <w:noProof/>
                <w:color w:val="000000"/>
                <w:sz w:val="22"/>
                <w:lang w:val="en-GB" w:eastAsia="en-IE"/>
              </w:rPr>
              <w:t xml:space="preserve"> administrative obstacles that make the setting of aid more difficult and do not allow flexibility in changing conditions</w:t>
            </w:r>
            <w:r w:rsidR="0056300B" w:rsidRPr="00FD703D">
              <w:rPr>
                <w:rFonts w:eastAsia="Times New Roman" w:cs="Times New Roman"/>
                <w:noProof/>
                <w:color w:val="000000"/>
                <w:sz w:val="22"/>
                <w:lang w:val="en-GB" w:eastAsia="en-IE"/>
              </w:rPr>
              <w:t>.</w:t>
            </w:r>
          </w:p>
        </w:tc>
        <w:tc>
          <w:tcPr>
            <w:tcW w:w="1530" w:type="dxa"/>
            <w:vAlign w:val="center"/>
          </w:tcPr>
          <w:p w14:paraId="2ACCFBCE" w14:textId="77777777" w:rsidR="00872C68" w:rsidRPr="00FD703D" w:rsidRDefault="00872C68" w:rsidP="00020097">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CZ</w:t>
            </w:r>
          </w:p>
        </w:tc>
        <w:tc>
          <w:tcPr>
            <w:tcW w:w="6390" w:type="dxa"/>
            <w:vAlign w:val="center"/>
          </w:tcPr>
          <w:p w14:paraId="27B08209" w14:textId="6B5C5EBB" w:rsidR="00872C68" w:rsidRPr="00FD703D" w:rsidRDefault="00872C68" w:rsidP="00020097">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State aid decisions provide clearance for aid, which complies with all the conditions set in </w:t>
            </w:r>
            <w:r w:rsidR="0056300B" w:rsidRPr="00FD703D">
              <w:rPr>
                <w:rFonts w:eastAsia="Calibri" w:cs="Times New Roman"/>
                <w:noProof/>
                <w:sz w:val="22"/>
                <w:lang w:val="en-GB"/>
              </w:rPr>
              <w:t xml:space="preserve">a </w:t>
            </w:r>
            <w:r w:rsidRPr="00FD703D">
              <w:rPr>
                <w:rFonts w:eastAsia="Calibri" w:cs="Times New Roman"/>
                <w:noProof/>
                <w:sz w:val="22"/>
                <w:lang w:val="en-GB"/>
              </w:rPr>
              <w:t xml:space="preserve">decision. Likewise, aid can only be block-exempted under the Agricultural Block Exemption Regulation if all the conditions stipulated therein are complied with. State aid decisions and the Agricultural Block Exemption Regulation do not allow a </w:t>
            </w:r>
            <w:r w:rsidR="0056300B" w:rsidRPr="00FD703D">
              <w:rPr>
                <w:rFonts w:eastAsia="Calibri" w:cs="Times New Roman"/>
                <w:noProof/>
                <w:sz w:val="22"/>
                <w:lang w:val="en-GB"/>
              </w:rPr>
              <w:t xml:space="preserve">wide </w:t>
            </w:r>
            <w:r w:rsidRPr="00FD703D">
              <w:rPr>
                <w:rFonts w:eastAsia="Calibri" w:cs="Times New Roman"/>
                <w:noProof/>
                <w:sz w:val="22"/>
                <w:lang w:val="en-GB"/>
              </w:rPr>
              <w:t xml:space="preserve">margin of discretion. The conditions are those clearly stated in the notification forms and in the national legal basis. In case of doubts when interpretating State aid rules, Member States can ask </w:t>
            </w:r>
            <w:r w:rsidR="0056300B" w:rsidRPr="00FD703D">
              <w:rPr>
                <w:rFonts w:eastAsia="Calibri" w:cs="Times New Roman"/>
                <w:noProof/>
                <w:sz w:val="22"/>
                <w:lang w:val="en-GB"/>
              </w:rPr>
              <w:t xml:space="preserve">the </w:t>
            </w:r>
            <w:r w:rsidR="00C207C8" w:rsidRPr="00FD703D">
              <w:rPr>
                <w:rFonts w:eastAsia="Calibri" w:cs="Times New Roman"/>
                <w:noProof/>
                <w:sz w:val="22"/>
                <w:lang w:val="en-GB"/>
              </w:rPr>
              <w:t>Commission</w:t>
            </w:r>
            <w:r w:rsidRPr="00FD703D">
              <w:rPr>
                <w:rFonts w:eastAsia="Calibri" w:cs="Times New Roman"/>
                <w:noProof/>
                <w:sz w:val="22"/>
                <w:lang w:val="en-GB"/>
              </w:rPr>
              <w:t xml:space="preserve"> for </w:t>
            </w:r>
            <w:r w:rsidR="0056300B" w:rsidRPr="00FD703D">
              <w:rPr>
                <w:rFonts w:eastAsia="Calibri" w:cs="Times New Roman"/>
                <w:noProof/>
                <w:sz w:val="22"/>
                <w:lang w:val="en-GB"/>
              </w:rPr>
              <w:t xml:space="preserve">an </w:t>
            </w:r>
            <w:r w:rsidRPr="00FD703D">
              <w:rPr>
                <w:rFonts w:eastAsia="Calibri" w:cs="Times New Roman"/>
                <w:noProof/>
                <w:sz w:val="22"/>
                <w:lang w:val="en-GB"/>
              </w:rPr>
              <w:t xml:space="preserve">interpretation via the e-State Aid </w:t>
            </w:r>
            <w:r w:rsidR="0056300B" w:rsidRPr="00FD703D">
              <w:rPr>
                <w:rFonts w:eastAsia="Calibri" w:cs="Times New Roman"/>
                <w:noProof/>
                <w:sz w:val="22"/>
                <w:lang w:val="en-GB"/>
              </w:rPr>
              <w:t xml:space="preserve">wiki </w:t>
            </w:r>
            <w:r w:rsidRPr="00FD703D">
              <w:rPr>
                <w:rFonts w:eastAsia="Calibri" w:cs="Times New Roman"/>
                <w:noProof/>
                <w:sz w:val="22"/>
                <w:lang w:val="en-GB"/>
              </w:rPr>
              <w:t xml:space="preserve">platform. This platform provides transparent interpretation of rules, </w:t>
            </w:r>
            <w:r w:rsidR="0056300B" w:rsidRPr="00FD703D">
              <w:rPr>
                <w:rFonts w:eastAsia="Calibri" w:cs="Times New Roman"/>
                <w:noProof/>
                <w:sz w:val="22"/>
                <w:lang w:val="en-GB"/>
              </w:rPr>
              <w:t xml:space="preserve">is </w:t>
            </w:r>
            <w:r w:rsidRPr="00FD703D">
              <w:rPr>
                <w:rFonts w:eastAsia="Calibri" w:cs="Times New Roman"/>
                <w:noProof/>
                <w:sz w:val="22"/>
                <w:lang w:val="en-GB"/>
              </w:rPr>
              <w:t xml:space="preserve">accessible to all Member States and contributes to </w:t>
            </w:r>
            <w:r w:rsidR="0056300B" w:rsidRPr="00FD703D">
              <w:rPr>
                <w:rFonts w:eastAsia="Calibri" w:cs="Times New Roman"/>
                <w:noProof/>
                <w:sz w:val="22"/>
                <w:lang w:val="en-GB"/>
              </w:rPr>
              <w:t xml:space="preserve">greater </w:t>
            </w:r>
            <w:r w:rsidRPr="00FD703D">
              <w:rPr>
                <w:rFonts w:eastAsia="Calibri" w:cs="Times New Roman"/>
                <w:noProof/>
                <w:sz w:val="22"/>
                <w:lang w:val="en-GB"/>
              </w:rPr>
              <w:t>legal certainty when applying State aid rules.</w:t>
            </w:r>
          </w:p>
        </w:tc>
      </w:tr>
      <w:tr w:rsidR="00F34C75" w:rsidRPr="00FD703D" w14:paraId="50DF4BA5" w14:textId="77777777" w:rsidTr="008A73D8">
        <w:trPr>
          <w:trHeight w:val="300"/>
        </w:trPr>
        <w:tc>
          <w:tcPr>
            <w:tcW w:w="14519" w:type="dxa"/>
            <w:gridSpan w:val="5"/>
            <w:shd w:val="clear" w:color="auto" w:fill="003399"/>
          </w:tcPr>
          <w:p w14:paraId="1D6F460E" w14:textId="77777777" w:rsidR="00872C68" w:rsidRPr="00FD703D" w:rsidRDefault="00872C68" w:rsidP="004749EF">
            <w:pPr>
              <w:spacing w:before="120" w:after="120" w:line="259" w:lineRule="auto"/>
              <w:jc w:val="center"/>
              <w:rPr>
                <w:rFonts w:eastAsia="Calibri" w:cs="Times New Roman"/>
                <w:b/>
                <w:bCs/>
                <w:noProof/>
                <w:color w:val="FFFFFF"/>
                <w:sz w:val="22"/>
                <w:lang w:val="en-GB"/>
              </w:rPr>
            </w:pPr>
            <w:r w:rsidRPr="00FD703D">
              <w:rPr>
                <w:rFonts w:eastAsia="Calibri" w:cs="Times New Roman"/>
                <w:b/>
                <w:bCs/>
                <w:noProof/>
                <w:color w:val="FFFFFF"/>
                <w:sz w:val="22"/>
                <w:lang w:val="en-GB"/>
              </w:rPr>
              <w:t>Common Provision Regulation (EU) 2021/1061</w:t>
            </w:r>
          </w:p>
        </w:tc>
      </w:tr>
      <w:tr w:rsidR="00C44968" w:rsidRPr="00FD703D" w14:paraId="3C7FE3AD" w14:textId="77777777" w:rsidTr="008A73D8">
        <w:trPr>
          <w:trHeight w:val="300"/>
        </w:trPr>
        <w:tc>
          <w:tcPr>
            <w:tcW w:w="653" w:type="dxa"/>
            <w:gridSpan w:val="2"/>
            <w:vAlign w:val="center"/>
          </w:tcPr>
          <w:p w14:paraId="2165DA80" w14:textId="23298C86"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w:t>
            </w:r>
            <w:r w:rsidR="00E558D0">
              <w:rPr>
                <w:rFonts w:eastAsia="Calibri" w:cs="Times New Roman"/>
                <w:b/>
                <w:bCs/>
                <w:noProof/>
                <w:sz w:val="22"/>
                <w:lang w:val="en-GB"/>
              </w:rPr>
              <w:t>79</w:t>
            </w:r>
          </w:p>
        </w:tc>
        <w:tc>
          <w:tcPr>
            <w:tcW w:w="5946" w:type="dxa"/>
            <w:vAlign w:val="center"/>
          </w:tcPr>
          <w:p w14:paraId="5B7C2702" w14:textId="03D8E264" w:rsidR="00872C68" w:rsidRPr="00FD703D" w:rsidRDefault="00DF41EA" w:rsidP="6A03C249">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Community-Led Local Development (</w:t>
            </w:r>
            <w:r w:rsidR="00872C68" w:rsidRPr="00FD703D">
              <w:rPr>
                <w:rFonts w:eastAsia="Calibri" w:cs="Times New Roman"/>
                <w:b/>
                <w:bCs/>
                <w:noProof/>
                <w:sz w:val="22"/>
                <w:szCs w:val="20"/>
                <w:lang w:val="en-GB"/>
              </w:rPr>
              <w:t>CLLD</w:t>
            </w:r>
            <w:r w:rsidRPr="00FD703D">
              <w:rPr>
                <w:rFonts w:eastAsia="Calibri" w:cs="Times New Roman"/>
                <w:b/>
                <w:bCs/>
                <w:noProof/>
                <w:sz w:val="22"/>
                <w:szCs w:val="20"/>
                <w:lang w:val="en-GB"/>
              </w:rPr>
              <w:t>)</w:t>
            </w:r>
            <w:r w:rsidR="00872C68" w:rsidRPr="00FD703D">
              <w:rPr>
                <w:rFonts w:eastAsia="Calibri" w:cs="Times New Roman"/>
                <w:b/>
                <w:bCs/>
                <w:noProof/>
                <w:sz w:val="22"/>
                <w:szCs w:val="20"/>
                <w:lang w:val="en-GB"/>
              </w:rPr>
              <w:t xml:space="preserve"> support from EU funds:</w:t>
            </w:r>
            <w:r w:rsidR="00872C68" w:rsidRPr="00FD703D">
              <w:rPr>
                <w:rFonts w:eastAsia="Calibri" w:cs="Times New Roman"/>
                <w:noProof/>
                <w:sz w:val="22"/>
                <w:szCs w:val="20"/>
                <w:lang w:val="en-GB"/>
              </w:rPr>
              <w:t xml:space="preserve"> </w:t>
            </w:r>
            <w:r w:rsidR="00C105CB" w:rsidRPr="00FD703D">
              <w:rPr>
                <w:rFonts w:eastAsia="Calibri" w:cs="Times New Roman"/>
                <w:noProof/>
                <w:sz w:val="22"/>
                <w:szCs w:val="20"/>
                <w:lang w:val="en-GB"/>
              </w:rPr>
              <w:t>r</w:t>
            </w:r>
            <w:r w:rsidR="00872C68" w:rsidRPr="00FD703D">
              <w:rPr>
                <w:rFonts w:eastAsia="Calibri" w:cs="Times New Roman"/>
                <w:noProof/>
                <w:sz w:val="22"/>
                <w:szCs w:val="20"/>
                <w:lang w:val="en-GB"/>
              </w:rPr>
              <w:t xml:space="preserve">equest to increase the </w:t>
            </w:r>
            <w:r w:rsidR="000D1AF8" w:rsidRPr="00FD703D">
              <w:rPr>
                <w:rFonts w:eastAsia="Calibri" w:cs="Times New Roman"/>
                <w:noProof/>
                <w:sz w:val="22"/>
                <w:szCs w:val="20"/>
                <w:lang w:val="en-GB"/>
              </w:rPr>
              <w:t xml:space="preserve">upper </w:t>
            </w:r>
            <w:r w:rsidR="00872C68" w:rsidRPr="00FD703D">
              <w:rPr>
                <w:rFonts w:eastAsia="Calibri" w:cs="Times New Roman"/>
                <w:noProof/>
                <w:sz w:val="22"/>
                <w:szCs w:val="20"/>
                <w:lang w:val="en-GB"/>
              </w:rPr>
              <w:t xml:space="preserve">limit </w:t>
            </w:r>
            <w:r w:rsidR="000D1AF8" w:rsidRPr="00FD703D">
              <w:rPr>
                <w:rFonts w:eastAsia="Calibri" w:cs="Times New Roman"/>
                <w:noProof/>
                <w:sz w:val="22"/>
                <w:szCs w:val="20"/>
                <w:lang w:val="en-GB"/>
              </w:rPr>
              <w:t>for</w:t>
            </w:r>
            <w:r w:rsidRPr="00FD703D">
              <w:rPr>
                <w:rFonts w:eastAsia="Calibri" w:cs="Times New Roman"/>
                <w:noProof/>
                <w:sz w:val="22"/>
                <w:szCs w:val="20"/>
                <w:lang w:val="en-GB"/>
              </w:rPr>
              <w:t xml:space="preserve"> </w:t>
            </w:r>
            <w:r w:rsidR="00872C68" w:rsidRPr="00FD703D">
              <w:rPr>
                <w:rFonts w:eastAsia="Calibri" w:cs="Times New Roman"/>
                <w:noProof/>
                <w:sz w:val="22"/>
                <w:szCs w:val="20"/>
                <w:lang w:val="en-GB"/>
              </w:rPr>
              <w:t xml:space="preserve">support from EU Funds for </w:t>
            </w:r>
            <w:r w:rsidRPr="00FD703D">
              <w:rPr>
                <w:rFonts w:eastAsia="Calibri" w:cs="Times New Roman"/>
                <w:noProof/>
                <w:sz w:val="22"/>
                <w:szCs w:val="20"/>
                <w:lang w:val="en-GB"/>
              </w:rPr>
              <w:t>CLLD</w:t>
            </w:r>
            <w:r w:rsidR="00872C68" w:rsidRPr="00FD703D">
              <w:rPr>
                <w:rFonts w:eastAsia="Calibri" w:cs="Times New Roman"/>
                <w:noProof/>
                <w:sz w:val="22"/>
                <w:szCs w:val="20"/>
                <w:lang w:val="en-GB"/>
              </w:rPr>
              <w:t xml:space="preserve"> (currently 25% of the total amount of the public contribution to the strategy, for costs related to the management, monitoring and evaluation of the strategy and its </w:t>
            </w:r>
            <w:r w:rsidR="000D1AF8" w:rsidRPr="00FD703D">
              <w:rPr>
                <w:rFonts w:eastAsia="Calibri" w:cs="Times New Roman"/>
                <w:noProof/>
                <w:sz w:val="22"/>
                <w:szCs w:val="20"/>
                <w:lang w:val="en-GB"/>
              </w:rPr>
              <w:t>day-to-day running</w:t>
            </w:r>
            <w:r w:rsidR="00872C68" w:rsidRPr="00FD703D">
              <w:rPr>
                <w:rFonts w:eastAsia="Calibri" w:cs="Times New Roman"/>
                <w:noProof/>
                <w:sz w:val="22"/>
                <w:szCs w:val="20"/>
                <w:lang w:val="en-GB"/>
              </w:rPr>
              <w:t xml:space="preserve">) and leave </w:t>
            </w:r>
            <w:r w:rsidR="000D1AF8" w:rsidRPr="00FD703D">
              <w:rPr>
                <w:rFonts w:eastAsia="Calibri" w:cs="Times New Roman"/>
                <w:noProof/>
                <w:sz w:val="22"/>
                <w:szCs w:val="20"/>
                <w:lang w:val="en-GB"/>
              </w:rPr>
              <w:t xml:space="preserve">it to each Member State to determine the limit </w:t>
            </w:r>
            <w:r w:rsidRPr="00FD703D">
              <w:rPr>
                <w:rFonts w:eastAsia="Calibri" w:cs="Times New Roman"/>
                <w:noProof/>
                <w:sz w:val="22"/>
                <w:szCs w:val="20"/>
                <w:lang w:val="en-GB"/>
              </w:rPr>
              <w:t>(</w:t>
            </w:r>
            <w:r w:rsidR="00872C68" w:rsidRPr="00FD703D">
              <w:rPr>
                <w:rFonts w:eastAsia="Calibri" w:cs="Times New Roman"/>
                <w:i/>
                <w:noProof/>
                <w:sz w:val="22"/>
                <w:szCs w:val="20"/>
                <w:lang w:val="en-GB"/>
              </w:rPr>
              <w:t>Article 34</w:t>
            </w:r>
            <w:r w:rsidR="00872C68" w:rsidRPr="00FD703D">
              <w:rPr>
                <w:rFonts w:eastAsia="Calibri" w:cs="Times New Roman"/>
                <w:noProof/>
                <w:sz w:val="22"/>
                <w:szCs w:val="20"/>
                <w:lang w:val="en-GB"/>
              </w:rPr>
              <w:t xml:space="preserve"> of Regulation (EU) 2021/1060 </w:t>
            </w:r>
            <w:r w:rsidRPr="00FD703D">
              <w:rPr>
                <w:rFonts w:eastAsia="Calibri" w:cs="Times New Roman"/>
                <w:noProof/>
                <w:sz w:val="22"/>
                <w:szCs w:val="20"/>
                <w:lang w:val="en-GB"/>
              </w:rPr>
              <w:t xml:space="preserve">- </w:t>
            </w:r>
            <w:r w:rsidR="00872C68" w:rsidRPr="00FD703D">
              <w:rPr>
                <w:rFonts w:eastAsia="Calibri" w:cs="Times New Roman"/>
                <w:noProof/>
                <w:sz w:val="22"/>
                <w:szCs w:val="20"/>
                <w:lang w:val="en-GB"/>
              </w:rPr>
              <w:t>Common Provision Regulation).</w:t>
            </w:r>
          </w:p>
        </w:tc>
        <w:tc>
          <w:tcPr>
            <w:tcW w:w="1530" w:type="dxa"/>
            <w:vAlign w:val="center"/>
          </w:tcPr>
          <w:p w14:paraId="44F14EA5"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LU</w:t>
            </w:r>
          </w:p>
        </w:tc>
        <w:tc>
          <w:tcPr>
            <w:tcW w:w="6390" w:type="dxa"/>
            <w:vAlign w:val="center"/>
          </w:tcPr>
          <w:p w14:paraId="7862DE63" w14:textId="60C40250"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The added value of LEADER </w:t>
            </w:r>
            <w:r w:rsidR="000D1AF8" w:rsidRPr="00FD703D">
              <w:rPr>
                <w:rFonts w:eastAsia="Calibri" w:cs="Times New Roman"/>
                <w:noProof/>
                <w:sz w:val="22"/>
                <w:lang w:val="en-GB"/>
              </w:rPr>
              <w:t>comes</w:t>
            </w:r>
            <w:r w:rsidRPr="00FD703D">
              <w:rPr>
                <w:rFonts w:eastAsia="Calibri" w:cs="Times New Roman"/>
                <w:noProof/>
                <w:sz w:val="22"/>
                <w:lang w:val="en-GB"/>
              </w:rPr>
              <w:t xml:space="preserve"> mainly from </w:t>
            </w:r>
            <w:r w:rsidR="000D1AF8" w:rsidRPr="00FD703D">
              <w:rPr>
                <w:rFonts w:eastAsia="Calibri" w:cs="Times New Roman"/>
                <w:noProof/>
                <w:sz w:val="22"/>
                <w:lang w:val="en-GB"/>
              </w:rPr>
              <w:t xml:space="preserve">its </w:t>
            </w:r>
            <w:r w:rsidRPr="00FD703D">
              <w:rPr>
                <w:rFonts w:eastAsia="Calibri" w:cs="Times New Roman"/>
                <w:noProof/>
                <w:sz w:val="22"/>
                <w:lang w:val="en-GB"/>
              </w:rPr>
              <w:t xml:space="preserve">projects, not from </w:t>
            </w:r>
            <w:r w:rsidR="000D1AF8" w:rsidRPr="00FD703D">
              <w:rPr>
                <w:rFonts w:eastAsia="Calibri" w:cs="Times New Roman"/>
                <w:noProof/>
                <w:sz w:val="22"/>
                <w:lang w:val="en-GB"/>
              </w:rPr>
              <w:t xml:space="preserve">its day-to-day running </w:t>
            </w:r>
            <w:r w:rsidRPr="00FD703D">
              <w:rPr>
                <w:rFonts w:eastAsia="Calibri" w:cs="Times New Roman"/>
                <w:noProof/>
                <w:sz w:val="22"/>
                <w:lang w:val="en-GB"/>
              </w:rPr>
              <w:t xml:space="preserve">and management. In order to avoid that </w:t>
            </w:r>
            <w:r w:rsidR="000D1AF8" w:rsidRPr="00FD703D">
              <w:rPr>
                <w:rFonts w:eastAsia="Calibri" w:cs="Times New Roman"/>
                <w:noProof/>
                <w:sz w:val="22"/>
                <w:lang w:val="en-GB"/>
              </w:rPr>
              <w:t xml:space="preserve">too much </w:t>
            </w:r>
            <w:r w:rsidRPr="00FD703D">
              <w:rPr>
                <w:rFonts w:eastAsia="Calibri" w:cs="Times New Roman"/>
                <w:noProof/>
                <w:sz w:val="22"/>
                <w:lang w:val="en-GB"/>
              </w:rPr>
              <w:t xml:space="preserve">of the funding goes to </w:t>
            </w:r>
            <w:r w:rsidR="000D1AF8" w:rsidRPr="00FD703D">
              <w:rPr>
                <w:rFonts w:eastAsia="Calibri" w:cs="Times New Roman"/>
                <w:noProof/>
                <w:sz w:val="22"/>
                <w:lang w:val="en-GB"/>
              </w:rPr>
              <w:t xml:space="preserve">day-to-day running </w:t>
            </w:r>
            <w:r w:rsidRPr="00FD703D">
              <w:rPr>
                <w:rFonts w:eastAsia="Calibri" w:cs="Times New Roman"/>
                <w:noProof/>
                <w:sz w:val="22"/>
                <w:lang w:val="en-GB"/>
              </w:rPr>
              <w:t>and management, a</w:t>
            </w:r>
            <w:r w:rsidR="000D1AF8" w:rsidRPr="00FD703D">
              <w:rPr>
                <w:rFonts w:eastAsia="Calibri" w:cs="Times New Roman"/>
                <w:noProof/>
                <w:sz w:val="22"/>
                <w:lang w:val="en-GB"/>
              </w:rPr>
              <w:t>n upper limit</w:t>
            </w:r>
            <w:r w:rsidRPr="00FD703D">
              <w:rPr>
                <w:rFonts w:eastAsia="Calibri" w:cs="Times New Roman"/>
                <w:noProof/>
                <w:sz w:val="22"/>
                <w:lang w:val="en-GB"/>
              </w:rPr>
              <w:t xml:space="preserve"> of 25% is considered necessary and reasonable.</w:t>
            </w:r>
          </w:p>
          <w:p w14:paraId="03FA82FD" w14:textId="77777777" w:rsidR="00872C68" w:rsidRPr="00FD703D" w:rsidRDefault="00872C68" w:rsidP="001061AF">
            <w:pPr>
              <w:spacing w:after="60" w:line="259" w:lineRule="auto"/>
              <w:jc w:val="both"/>
              <w:rPr>
                <w:rFonts w:eastAsia="Calibri" w:cs="Times New Roman"/>
                <w:noProof/>
                <w:sz w:val="22"/>
                <w:lang w:val="en-GB"/>
              </w:rPr>
            </w:pPr>
          </w:p>
        </w:tc>
      </w:tr>
      <w:tr w:rsidR="00C44968" w:rsidRPr="00FD703D" w14:paraId="17099A3F" w14:textId="77777777" w:rsidTr="008A73D8">
        <w:trPr>
          <w:trHeight w:val="300"/>
        </w:trPr>
        <w:tc>
          <w:tcPr>
            <w:tcW w:w="653" w:type="dxa"/>
            <w:gridSpan w:val="2"/>
            <w:vAlign w:val="center"/>
          </w:tcPr>
          <w:p w14:paraId="114E2D6E" w14:textId="141E70BC" w:rsidR="00872C68" w:rsidRPr="00FD703D" w:rsidRDefault="00872C68" w:rsidP="001061AF">
            <w:pPr>
              <w:tabs>
                <w:tab w:val="left" w:pos="1741"/>
              </w:tabs>
              <w:spacing w:after="60" w:line="259" w:lineRule="auto"/>
              <w:jc w:val="both"/>
              <w:rPr>
                <w:rFonts w:eastAsia="Calibri" w:cs="Times New Roman"/>
                <w:b/>
                <w:noProof/>
                <w:sz w:val="22"/>
                <w:lang w:val="en-GB"/>
              </w:rPr>
            </w:pPr>
            <w:r w:rsidRPr="00FD703D">
              <w:rPr>
                <w:rFonts w:eastAsia="Calibri" w:cs="Times New Roman"/>
                <w:b/>
                <w:bCs/>
                <w:noProof/>
                <w:sz w:val="22"/>
                <w:lang w:val="en-GB"/>
              </w:rPr>
              <w:t>28</w:t>
            </w:r>
            <w:r w:rsidR="00E558D0">
              <w:rPr>
                <w:rFonts w:eastAsia="Calibri" w:cs="Times New Roman"/>
                <w:b/>
                <w:bCs/>
                <w:noProof/>
                <w:sz w:val="22"/>
                <w:lang w:val="en-GB"/>
              </w:rPr>
              <w:t>0</w:t>
            </w:r>
          </w:p>
        </w:tc>
        <w:tc>
          <w:tcPr>
            <w:tcW w:w="5946" w:type="dxa"/>
            <w:vAlign w:val="center"/>
          </w:tcPr>
          <w:p w14:paraId="7F3196AB" w14:textId="71673D9F" w:rsidR="00872C68" w:rsidRPr="00FD703D" w:rsidRDefault="00872C68" w:rsidP="001061AF">
            <w:pPr>
              <w:tabs>
                <w:tab w:val="left" w:pos="1741"/>
              </w:tabs>
              <w:spacing w:after="60" w:line="259" w:lineRule="auto"/>
              <w:jc w:val="both"/>
              <w:rPr>
                <w:rFonts w:eastAsia="Calibri" w:cs="Times New Roman"/>
                <w:noProof/>
                <w:sz w:val="22"/>
                <w:lang w:val="en-GB"/>
              </w:rPr>
            </w:pPr>
            <w:r w:rsidRPr="00FD703D">
              <w:rPr>
                <w:rFonts w:eastAsia="Calibri" w:cs="Times New Roman"/>
                <w:b/>
                <w:bCs/>
                <w:noProof/>
                <w:sz w:val="22"/>
                <w:lang w:val="en-GB"/>
              </w:rPr>
              <w:t>CLLD public funding:</w:t>
            </w:r>
            <w:r w:rsidRPr="00FD703D">
              <w:rPr>
                <w:rFonts w:eastAsia="Calibri" w:cs="Times New Roman"/>
                <w:noProof/>
                <w:sz w:val="22"/>
                <w:lang w:val="en-GB"/>
              </w:rPr>
              <w:t xml:space="preserve"> </w:t>
            </w:r>
            <w:r w:rsidR="006E5337" w:rsidRPr="00FD703D">
              <w:rPr>
                <w:rFonts w:eastAsia="Calibri" w:cs="Times New Roman"/>
                <w:noProof/>
                <w:sz w:val="22"/>
                <w:lang w:val="en-GB"/>
              </w:rPr>
              <w:t>f</w:t>
            </w:r>
            <w:r w:rsidRPr="00FD703D">
              <w:rPr>
                <w:rFonts w:eastAsia="Calibri" w:cs="Times New Roman"/>
                <w:noProof/>
                <w:sz w:val="22"/>
                <w:lang w:val="en-GB"/>
              </w:rPr>
              <w:t xml:space="preserve">or community-led local </w:t>
            </w:r>
            <w:r w:rsidR="00CB2F59" w:rsidRPr="00FD703D">
              <w:rPr>
                <w:rFonts w:eastAsia="Calibri" w:cs="Times New Roman"/>
                <w:noProof/>
                <w:sz w:val="22"/>
                <w:lang w:val="en-GB"/>
              </w:rPr>
              <w:t>development, calculate</w:t>
            </w:r>
            <w:r w:rsidRPr="00FD703D">
              <w:rPr>
                <w:rFonts w:eastAsia="Calibri" w:cs="Times New Roman"/>
                <w:noProof/>
                <w:sz w:val="22"/>
                <w:lang w:val="en-GB"/>
              </w:rPr>
              <w:t xml:space="preserve"> the </w:t>
            </w:r>
            <w:r w:rsidR="0037699F" w:rsidRPr="00FD703D">
              <w:rPr>
                <w:rFonts w:eastAsia="Calibri" w:cs="Times New Roman"/>
                <w:noProof/>
                <w:sz w:val="22"/>
                <w:lang w:val="en-GB"/>
              </w:rPr>
              <w:t xml:space="preserve">25% upper </w:t>
            </w:r>
            <w:r w:rsidRPr="00FD703D">
              <w:rPr>
                <w:rFonts w:eastAsia="Calibri" w:cs="Times New Roman"/>
                <w:noProof/>
                <w:sz w:val="22"/>
                <w:lang w:val="en-GB"/>
              </w:rPr>
              <w:t xml:space="preserve">limit of the total public funding for the support of running costs of Local Action Group (LAG) management and </w:t>
            </w:r>
            <w:r w:rsidR="001171F6" w:rsidRPr="00FD703D">
              <w:rPr>
                <w:rFonts w:eastAsia="Calibri" w:cs="Times New Roman"/>
                <w:noProof/>
                <w:sz w:val="22"/>
                <w:lang w:val="en-GB"/>
              </w:rPr>
              <w:t xml:space="preserve">day-to-day running </w:t>
            </w:r>
            <w:r w:rsidRPr="00FD703D">
              <w:rPr>
                <w:rFonts w:eastAsia="Calibri" w:cs="Times New Roman"/>
                <w:noProof/>
                <w:sz w:val="22"/>
                <w:lang w:val="en-GB"/>
              </w:rPr>
              <w:t>at Member State level and not at individual LAG level.</w:t>
            </w:r>
          </w:p>
        </w:tc>
        <w:tc>
          <w:tcPr>
            <w:tcW w:w="1530" w:type="dxa"/>
            <w:vAlign w:val="center"/>
          </w:tcPr>
          <w:p w14:paraId="2C6E29CA"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AT</w:t>
            </w:r>
          </w:p>
        </w:tc>
        <w:tc>
          <w:tcPr>
            <w:tcW w:w="6390" w:type="dxa"/>
            <w:vAlign w:val="center"/>
          </w:tcPr>
          <w:p w14:paraId="2BAFEC51" w14:textId="0C6AD7C8" w:rsidR="00872C68" w:rsidRPr="00FD703D" w:rsidRDefault="00872C68" w:rsidP="001061AF">
            <w:pPr>
              <w:tabs>
                <w:tab w:val="left" w:pos="1741"/>
              </w:tabs>
              <w:spacing w:after="60" w:line="259" w:lineRule="auto"/>
              <w:jc w:val="both"/>
              <w:rPr>
                <w:rFonts w:eastAsia="Calibri" w:cs="Times New Roman"/>
                <w:noProof/>
                <w:sz w:val="22"/>
                <w:lang w:val="en-GB"/>
              </w:rPr>
            </w:pPr>
            <w:r w:rsidRPr="00FD703D">
              <w:rPr>
                <w:rFonts w:eastAsia="Calibri" w:cs="Times New Roman"/>
                <w:noProof/>
                <w:sz w:val="22"/>
                <w:lang w:val="en-GB"/>
              </w:rPr>
              <w:t xml:space="preserve">There is a relation between the projects implemented and the running costs of LAGs. Thus, it makes sense to </w:t>
            </w:r>
            <w:r w:rsidR="001171F6" w:rsidRPr="00FD703D">
              <w:rPr>
                <w:rFonts w:eastAsia="Calibri" w:cs="Times New Roman"/>
                <w:noProof/>
                <w:sz w:val="22"/>
                <w:lang w:val="en-GB"/>
              </w:rPr>
              <w:t>apply the 25% limit</w:t>
            </w:r>
            <w:r w:rsidRPr="00FD703D">
              <w:rPr>
                <w:rFonts w:eastAsia="Calibri" w:cs="Times New Roman"/>
                <w:noProof/>
                <w:sz w:val="22"/>
                <w:lang w:val="en-GB"/>
              </w:rPr>
              <w:t xml:space="preserve"> at the level of </w:t>
            </w:r>
            <w:r w:rsidR="001171F6" w:rsidRPr="00FD703D">
              <w:rPr>
                <w:rFonts w:eastAsia="Calibri" w:cs="Times New Roman"/>
                <w:noProof/>
                <w:sz w:val="22"/>
                <w:lang w:val="en-GB"/>
              </w:rPr>
              <w:t>l</w:t>
            </w:r>
            <w:r w:rsidRPr="00FD703D">
              <w:rPr>
                <w:rFonts w:eastAsia="Calibri" w:cs="Times New Roman"/>
                <w:noProof/>
                <w:sz w:val="22"/>
                <w:lang w:val="en-GB"/>
              </w:rPr>
              <w:t xml:space="preserve">ocal </w:t>
            </w:r>
            <w:r w:rsidR="001171F6" w:rsidRPr="00FD703D">
              <w:rPr>
                <w:rFonts w:eastAsia="Calibri" w:cs="Times New Roman"/>
                <w:noProof/>
                <w:sz w:val="22"/>
                <w:lang w:val="en-GB"/>
              </w:rPr>
              <w:t>d</w:t>
            </w:r>
            <w:r w:rsidRPr="00FD703D">
              <w:rPr>
                <w:rFonts w:eastAsia="Calibri" w:cs="Times New Roman"/>
                <w:noProof/>
                <w:sz w:val="22"/>
                <w:lang w:val="en-GB"/>
              </w:rPr>
              <w:t xml:space="preserve">evelopment </w:t>
            </w:r>
            <w:r w:rsidR="001171F6" w:rsidRPr="00FD703D">
              <w:rPr>
                <w:rFonts w:eastAsia="Calibri" w:cs="Times New Roman"/>
                <w:noProof/>
                <w:sz w:val="22"/>
                <w:lang w:val="en-GB"/>
              </w:rPr>
              <w:t>s</w:t>
            </w:r>
            <w:r w:rsidRPr="00FD703D">
              <w:rPr>
                <w:rFonts w:eastAsia="Calibri" w:cs="Times New Roman"/>
                <w:noProof/>
                <w:sz w:val="22"/>
                <w:lang w:val="en-GB"/>
              </w:rPr>
              <w:t xml:space="preserve">trategies and not at national level. The </w:t>
            </w:r>
            <w:r w:rsidR="00791722" w:rsidRPr="00FD703D">
              <w:rPr>
                <w:rFonts w:eastAsia="Calibri" w:cs="Times New Roman"/>
                <w:noProof/>
                <w:sz w:val="22"/>
                <w:lang w:val="en-GB"/>
              </w:rPr>
              <w:t xml:space="preserve">funding of </w:t>
            </w:r>
            <w:r w:rsidRPr="00FD703D">
              <w:rPr>
                <w:rFonts w:eastAsia="Calibri" w:cs="Times New Roman"/>
                <w:noProof/>
                <w:sz w:val="22"/>
                <w:lang w:val="en-GB"/>
              </w:rPr>
              <w:t xml:space="preserve">running costs is </w:t>
            </w:r>
            <w:r w:rsidR="001171F6" w:rsidRPr="00FD703D">
              <w:rPr>
                <w:rFonts w:eastAsia="Calibri" w:cs="Times New Roman"/>
                <w:noProof/>
                <w:sz w:val="22"/>
                <w:lang w:val="en-GB"/>
              </w:rPr>
              <w:t xml:space="preserve">to </w:t>
            </w:r>
            <w:r w:rsidRPr="00FD703D">
              <w:rPr>
                <w:rFonts w:eastAsia="Calibri" w:cs="Times New Roman"/>
                <w:noProof/>
                <w:sz w:val="22"/>
                <w:lang w:val="en-GB"/>
              </w:rPr>
              <w:t xml:space="preserve">support the implementation of the projects, </w:t>
            </w:r>
            <w:r w:rsidR="00791722" w:rsidRPr="00FD703D">
              <w:rPr>
                <w:rFonts w:eastAsia="Calibri" w:cs="Times New Roman"/>
                <w:noProof/>
                <w:sz w:val="22"/>
                <w:lang w:val="en-GB"/>
              </w:rPr>
              <w:t xml:space="preserve">and </w:t>
            </w:r>
            <w:r w:rsidRPr="00FD703D">
              <w:rPr>
                <w:rFonts w:eastAsia="Calibri" w:cs="Times New Roman"/>
                <w:noProof/>
                <w:sz w:val="22"/>
                <w:lang w:val="en-GB"/>
              </w:rPr>
              <w:t xml:space="preserve">not a goal </w:t>
            </w:r>
            <w:r w:rsidR="00791722" w:rsidRPr="00FD703D">
              <w:rPr>
                <w:rFonts w:eastAsia="Calibri" w:cs="Times New Roman"/>
                <w:noProof/>
                <w:sz w:val="22"/>
                <w:lang w:val="en-GB"/>
              </w:rPr>
              <w:t xml:space="preserve">in </w:t>
            </w:r>
            <w:r w:rsidRPr="00FD703D">
              <w:rPr>
                <w:rFonts w:eastAsia="Calibri" w:cs="Times New Roman"/>
                <w:noProof/>
                <w:sz w:val="22"/>
                <w:lang w:val="en-GB"/>
              </w:rPr>
              <w:t>itself.</w:t>
            </w:r>
          </w:p>
        </w:tc>
      </w:tr>
      <w:tr w:rsidR="00593350" w:rsidRPr="00FD703D" w14:paraId="4ED51FB6" w14:textId="77777777" w:rsidTr="008A73D8">
        <w:trPr>
          <w:trHeight w:val="300"/>
        </w:trPr>
        <w:tc>
          <w:tcPr>
            <w:tcW w:w="653" w:type="dxa"/>
            <w:gridSpan w:val="2"/>
            <w:tcBorders>
              <w:bottom w:val="single" w:sz="4" w:space="0" w:color="auto"/>
            </w:tcBorders>
            <w:vAlign w:val="center"/>
          </w:tcPr>
          <w:p w14:paraId="666F2CEA" w14:textId="600C6115" w:rsidR="00872C68" w:rsidRPr="00FD703D" w:rsidRDefault="00872C68" w:rsidP="00F42A80">
            <w:pPr>
              <w:tabs>
                <w:tab w:val="left" w:pos="1741"/>
              </w:tabs>
              <w:spacing w:after="60" w:line="259" w:lineRule="auto"/>
              <w:jc w:val="both"/>
              <w:rPr>
                <w:rFonts w:eastAsia="Calibri" w:cs="Times New Roman"/>
                <w:b/>
                <w:bCs/>
                <w:noProof/>
                <w:sz w:val="22"/>
                <w:lang w:val="en-GB"/>
              </w:rPr>
            </w:pPr>
            <w:r w:rsidRPr="00FD703D">
              <w:rPr>
                <w:rFonts w:eastAsia="Calibri" w:cs="Times New Roman"/>
                <w:b/>
                <w:bCs/>
                <w:noProof/>
                <w:sz w:val="22"/>
                <w:lang w:val="en-GB"/>
              </w:rPr>
              <w:lastRenderedPageBreak/>
              <w:t>28</w:t>
            </w:r>
            <w:r w:rsidR="00E558D0">
              <w:rPr>
                <w:rFonts w:eastAsia="Calibri" w:cs="Times New Roman"/>
                <w:b/>
                <w:bCs/>
                <w:noProof/>
                <w:sz w:val="22"/>
                <w:lang w:val="en-GB"/>
              </w:rPr>
              <w:t>1</w:t>
            </w:r>
          </w:p>
        </w:tc>
        <w:tc>
          <w:tcPr>
            <w:tcW w:w="5946" w:type="dxa"/>
            <w:tcBorders>
              <w:bottom w:val="single" w:sz="4" w:space="0" w:color="auto"/>
            </w:tcBorders>
            <w:vAlign w:val="center"/>
          </w:tcPr>
          <w:p w14:paraId="521AF887" w14:textId="76CABC50" w:rsidR="00872C68" w:rsidRPr="00FD703D" w:rsidRDefault="00872C68" w:rsidP="00F42A80">
            <w:pPr>
              <w:tabs>
                <w:tab w:val="left" w:pos="1741"/>
              </w:tabs>
              <w:spacing w:after="60" w:line="259" w:lineRule="auto"/>
              <w:jc w:val="both"/>
              <w:rPr>
                <w:rFonts w:eastAsia="Calibri" w:cs="Times New Roman"/>
                <w:b/>
                <w:bCs/>
                <w:noProof/>
                <w:sz w:val="22"/>
                <w:lang w:val="en-GB"/>
              </w:rPr>
            </w:pPr>
            <w:r w:rsidRPr="00FD703D">
              <w:rPr>
                <w:rFonts w:eastAsia="Calibri" w:cs="Times New Roman"/>
                <w:b/>
                <w:noProof/>
                <w:sz w:val="22"/>
                <w:lang w:val="en-GB"/>
              </w:rPr>
              <w:t>CLLD</w:t>
            </w:r>
            <w:r w:rsidRPr="00FD703D">
              <w:rPr>
                <w:rFonts w:eastAsia="Calibri" w:cs="Times New Roman"/>
                <w:b/>
                <w:bCs/>
                <w:noProof/>
                <w:sz w:val="22"/>
                <w:lang w:val="en-GB"/>
              </w:rPr>
              <w:t xml:space="preserve"> project submission:</w:t>
            </w:r>
            <w:r w:rsidRPr="00FD703D">
              <w:rPr>
                <w:rFonts w:eastAsia="Calibri" w:cs="Times New Roman"/>
                <w:noProof/>
                <w:sz w:val="22"/>
                <w:lang w:val="en-GB"/>
              </w:rPr>
              <w:t xml:space="preserve"> </w:t>
            </w:r>
            <w:r w:rsidR="006E5337" w:rsidRPr="00FD703D">
              <w:rPr>
                <w:rFonts w:eastAsia="Calibri" w:cs="Times New Roman"/>
                <w:noProof/>
                <w:sz w:val="22"/>
                <w:lang w:val="en-GB"/>
              </w:rPr>
              <w:t>e</w:t>
            </w:r>
            <w:r w:rsidRPr="00FD703D">
              <w:rPr>
                <w:rFonts w:eastAsia="Calibri" w:cs="Times New Roman"/>
                <w:noProof/>
                <w:sz w:val="22"/>
                <w:lang w:val="en-GB"/>
              </w:rPr>
              <w:t>nable continuous project submission procedures again</w:t>
            </w:r>
            <w:r w:rsidR="00791722" w:rsidRPr="00FD703D">
              <w:rPr>
                <w:rFonts w:eastAsia="Calibri" w:cs="Times New Roman"/>
                <w:noProof/>
                <w:sz w:val="22"/>
                <w:lang w:val="en-GB"/>
              </w:rPr>
              <w:t>,</w:t>
            </w:r>
            <w:r w:rsidRPr="00FD703D">
              <w:rPr>
                <w:rFonts w:eastAsia="Calibri" w:cs="Times New Roman"/>
                <w:noProof/>
                <w:sz w:val="22"/>
                <w:lang w:val="en-GB"/>
              </w:rPr>
              <w:t xml:space="preserve"> not only calls for community lead local development</w:t>
            </w:r>
            <w:r w:rsidR="00967CF8" w:rsidRPr="00FD703D">
              <w:rPr>
                <w:rFonts w:eastAsia="Calibri" w:cs="Times New Roman"/>
                <w:noProof/>
                <w:sz w:val="22"/>
                <w:lang w:val="en-GB"/>
              </w:rPr>
              <w:t>.</w:t>
            </w:r>
          </w:p>
        </w:tc>
        <w:tc>
          <w:tcPr>
            <w:tcW w:w="1530" w:type="dxa"/>
            <w:tcBorders>
              <w:bottom w:val="single" w:sz="4" w:space="0" w:color="auto"/>
            </w:tcBorders>
            <w:vAlign w:val="center"/>
          </w:tcPr>
          <w:p w14:paraId="6FBD45FB" w14:textId="77777777" w:rsidR="00872C68" w:rsidRPr="00FD703D" w:rsidRDefault="00872C68" w:rsidP="00F42A80">
            <w:pPr>
              <w:spacing w:after="60" w:line="259" w:lineRule="auto"/>
              <w:jc w:val="center"/>
              <w:rPr>
                <w:rFonts w:eastAsia="MS Gothic" w:cs="Times New Roman"/>
                <w:b/>
                <w:bCs/>
                <w:noProof/>
                <w:color w:val="0033CC"/>
                <w:sz w:val="22"/>
                <w:lang w:val="en-GB"/>
              </w:rPr>
            </w:pPr>
            <w:r w:rsidRPr="00FD703D">
              <w:rPr>
                <w:rFonts w:eastAsia="MS Gothic" w:cs="Times New Roman"/>
                <w:b/>
                <w:bCs/>
                <w:noProof/>
                <w:color w:val="0033CC"/>
                <w:sz w:val="22"/>
                <w:lang w:val="en-GB"/>
              </w:rPr>
              <w:t>AT</w:t>
            </w:r>
          </w:p>
        </w:tc>
        <w:tc>
          <w:tcPr>
            <w:tcW w:w="6390" w:type="dxa"/>
            <w:tcBorders>
              <w:bottom w:val="single" w:sz="4" w:space="0" w:color="auto"/>
            </w:tcBorders>
            <w:vAlign w:val="center"/>
          </w:tcPr>
          <w:p w14:paraId="37157FD0" w14:textId="0E50B9AA" w:rsidR="00872C68" w:rsidRPr="00FD703D" w:rsidRDefault="00DE0550" w:rsidP="20654519">
            <w:pPr>
              <w:spacing w:after="60" w:line="259" w:lineRule="auto"/>
              <w:jc w:val="both"/>
              <w:rPr>
                <w:rFonts w:eastAsia="Calibri" w:cs="Times New Roman"/>
                <w:noProof/>
                <w:sz w:val="22"/>
                <w:szCs w:val="20"/>
                <w:highlight w:val="red"/>
                <w:lang w:val="en-IE"/>
              </w:rPr>
            </w:pPr>
            <w:r w:rsidRPr="00FD703D">
              <w:rPr>
                <w:rFonts w:eastAsia="Calibri" w:cs="Times New Roman"/>
                <w:noProof/>
                <w:sz w:val="22"/>
                <w:szCs w:val="20"/>
                <w:lang w:val="en-IE"/>
              </w:rPr>
              <w:t xml:space="preserve">This matter </w:t>
            </w:r>
            <w:r w:rsidR="00C207C8" w:rsidRPr="00FD703D">
              <w:rPr>
                <w:rFonts w:eastAsia="Calibri" w:cs="Times New Roman"/>
                <w:noProof/>
                <w:sz w:val="22"/>
                <w:szCs w:val="20"/>
                <w:lang w:val="en-IE"/>
              </w:rPr>
              <w:t>is related to national procedures.</w:t>
            </w:r>
            <w:r w:rsidRPr="00FD703D">
              <w:rPr>
                <w:rFonts w:eastAsia="Calibri" w:cs="Times New Roman"/>
                <w:noProof/>
                <w:sz w:val="22"/>
                <w:szCs w:val="20"/>
                <w:lang w:val="en-IE"/>
              </w:rPr>
              <w:t xml:space="preserve"> </w:t>
            </w:r>
            <w:r w:rsidR="00872C68" w:rsidRPr="00FD703D">
              <w:rPr>
                <w:rFonts w:eastAsia="Calibri" w:cs="Times New Roman"/>
                <w:noProof/>
                <w:sz w:val="22"/>
                <w:szCs w:val="20"/>
                <w:lang w:val="en-IE"/>
              </w:rPr>
              <w:t xml:space="preserve">ERDF programmes can provide support to CLLD strategies where </w:t>
            </w:r>
            <w:r w:rsidR="00791722" w:rsidRPr="00FD703D">
              <w:rPr>
                <w:rFonts w:eastAsia="Calibri" w:cs="Times New Roman"/>
                <w:noProof/>
                <w:sz w:val="22"/>
                <w:szCs w:val="20"/>
                <w:lang w:val="en-IE"/>
              </w:rPr>
              <w:t xml:space="preserve">the </w:t>
            </w:r>
            <w:r w:rsidR="00872C68" w:rsidRPr="00FD703D">
              <w:rPr>
                <w:rFonts w:eastAsia="Calibri" w:cs="Times New Roman"/>
                <w:noProof/>
                <w:sz w:val="22"/>
                <w:szCs w:val="20"/>
                <w:lang w:val="en-IE"/>
              </w:rPr>
              <w:t xml:space="preserve">Member State has included this option in the programme concerned. Under the responsibility of </w:t>
            </w:r>
            <w:r w:rsidRPr="00FD703D">
              <w:rPr>
                <w:rFonts w:eastAsia="Calibri" w:cs="Times New Roman"/>
                <w:noProof/>
                <w:sz w:val="22"/>
                <w:szCs w:val="20"/>
                <w:lang w:val="en-IE"/>
              </w:rPr>
              <w:t xml:space="preserve">the </w:t>
            </w:r>
            <w:r w:rsidR="00872C68" w:rsidRPr="00FD703D">
              <w:rPr>
                <w:rFonts w:eastAsia="Calibri" w:cs="Times New Roman"/>
                <w:noProof/>
                <w:sz w:val="22"/>
                <w:szCs w:val="20"/>
                <w:lang w:val="en-IE"/>
              </w:rPr>
              <w:t xml:space="preserve">Managing Authority (under </w:t>
            </w:r>
            <w:r w:rsidR="00791722" w:rsidRPr="00FD703D">
              <w:rPr>
                <w:rFonts w:eastAsia="Calibri" w:cs="Times New Roman"/>
                <w:noProof/>
                <w:sz w:val="22"/>
                <w:szCs w:val="20"/>
                <w:lang w:val="en-IE"/>
              </w:rPr>
              <w:t xml:space="preserve">the </w:t>
            </w:r>
            <w:r w:rsidR="00872C68" w:rsidRPr="00FD703D">
              <w:rPr>
                <w:rFonts w:eastAsia="Calibri" w:cs="Times New Roman"/>
                <w:noProof/>
                <w:sz w:val="22"/>
                <w:szCs w:val="20"/>
                <w:lang w:val="en-IE"/>
              </w:rPr>
              <w:t>ERDF</w:t>
            </w:r>
            <w:r w:rsidR="00791722" w:rsidRPr="00FD703D">
              <w:rPr>
                <w:rFonts w:eastAsia="Calibri" w:cs="Times New Roman"/>
                <w:noProof/>
                <w:sz w:val="22"/>
                <w:szCs w:val="20"/>
                <w:lang w:val="en-IE"/>
              </w:rPr>
              <w:t>,</w:t>
            </w:r>
            <w:r w:rsidR="00872C68" w:rsidRPr="00FD703D">
              <w:rPr>
                <w:rFonts w:eastAsia="Calibri" w:cs="Times New Roman"/>
                <w:noProof/>
                <w:sz w:val="22"/>
                <w:szCs w:val="20"/>
                <w:lang w:val="en-IE"/>
              </w:rPr>
              <w:t xml:space="preserve"> or for Leader under the EAFRD Authorities), tasks to </w:t>
            </w:r>
            <w:r w:rsidRPr="00FD703D">
              <w:rPr>
                <w:rFonts w:eastAsia="Calibri" w:cs="Times New Roman"/>
                <w:noProof/>
                <w:sz w:val="22"/>
                <w:szCs w:val="20"/>
                <w:lang w:val="en-IE"/>
              </w:rPr>
              <w:t xml:space="preserve">be </w:t>
            </w:r>
            <w:r w:rsidR="00872C68" w:rsidRPr="00FD703D">
              <w:rPr>
                <w:rFonts w:eastAsia="Calibri" w:cs="Times New Roman"/>
                <w:noProof/>
                <w:sz w:val="22"/>
                <w:szCs w:val="20"/>
                <w:lang w:val="en-IE"/>
              </w:rPr>
              <w:t>carr</w:t>
            </w:r>
            <w:r w:rsidRPr="00FD703D">
              <w:rPr>
                <w:rFonts w:eastAsia="Calibri" w:cs="Times New Roman"/>
                <w:noProof/>
                <w:sz w:val="22"/>
                <w:szCs w:val="20"/>
                <w:lang w:val="en-IE"/>
              </w:rPr>
              <w:t>ied</w:t>
            </w:r>
            <w:r w:rsidR="00872C68" w:rsidRPr="00FD703D">
              <w:rPr>
                <w:rFonts w:eastAsia="Calibri" w:cs="Times New Roman"/>
                <w:noProof/>
                <w:sz w:val="22"/>
                <w:szCs w:val="20"/>
                <w:lang w:val="en-IE"/>
              </w:rPr>
              <w:t xml:space="preserve"> out exclusively by Local Action Groups include the preparation and publication of calls for proposal</w:t>
            </w:r>
            <w:r w:rsidR="00791722" w:rsidRPr="00FD703D">
              <w:rPr>
                <w:rFonts w:eastAsia="Calibri" w:cs="Times New Roman"/>
                <w:noProof/>
                <w:sz w:val="22"/>
                <w:szCs w:val="20"/>
                <w:lang w:val="en-IE"/>
              </w:rPr>
              <w:t>s</w:t>
            </w:r>
            <w:r w:rsidR="00872C68" w:rsidRPr="00FD703D">
              <w:rPr>
                <w:rFonts w:eastAsia="Calibri" w:cs="Times New Roman"/>
                <w:noProof/>
                <w:sz w:val="22"/>
                <w:szCs w:val="20"/>
                <w:lang w:val="en-IE"/>
              </w:rPr>
              <w:t xml:space="preserve">. The relevant </w:t>
            </w:r>
            <w:r w:rsidR="00791722" w:rsidRPr="00FD703D">
              <w:rPr>
                <w:rFonts w:eastAsia="Calibri" w:cs="Times New Roman"/>
                <w:noProof/>
                <w:sz w:val="22"/>
                <w:szCs w:val="20"/>
                <w:lang w:val="en-IE"/>
              </w:rPr>
              <w:t xml:space="preserve">provision in the </w:t>
            </w:r>
            <w:r w:rsidR="00872C68" w:rsidRPr="00FD703D">
              <w:rPr>
                <w:rFonts w:eastAsia="Calibri" w:cs="Times New Roman"/>
                <w:noProof/>
                <w:sz w:val="22"/>
                <w:szCs w:val="20"/>
                <w:lang w:val="en-IE"/>
              </w:rPr>
              <w:t>Common Provisions Regulation</w:t>
            </w:r>
            <w:r w:rsidR="00791722" w:rsidRPr="00FD703D">
              <w:rPr>
                <w:rFonts w:eastAsia="Calibri" w:cs="Times New Roman"/>
                <w:noProof/>
                <w:sz w:val="22"/>
                <w:szCs w:val="20"/>
                <w:lang w:val="en-IE"/>
              </w:rPr>
              <w:t>,</w:t>
            </w:r>
            <w:r w:rsidR="00872C68" w:rsidRPr="00FD703D">
              <w:rPr>
                <w:rFonts w:eastAsia="Calibri" w:cs="Times New Roman"/>
                <w:noProof/>
                <w:sz w:val="22"/>
                <w:szCs w:val="20"/>
                <w:lang w:val="en-IE"/>
              </w:rPr>
              <w:t xml:space="preserve"> </w:t>
            </w:r>
            <w:r w:rsidR="00872C68" w:rsidRPr="00FF77A3">
              <w:rPr>
                <w:rFonts w:eastAsia="Calibri" w:cs="Times New Roman"/>
                <w:i/>
                <w:noProof/>
                <w:sz w:val="22"/>
                <w:szCs w:val="20"/>
                <w:lang w:val="en-GB"/>
              </w:rPr>
              <w:t>Article 33(3)</w:t>
            </w:r>
            <w:r w:rsidR="00872C68" w:rsidRPr="00FD703D">
              <w:rPr>
                <w:rFonts w:eastAsia="Calibri" w:cs="Times New Roman"/>
                <w:noProof/>
                <w:sz w:val="22"/>
                <w:szCs w:val="20"/>
                <w:lang w:val="en-IE"/>
              </w:rPr>
              <w:t xml:space="preserve"> </w:t>
            </w:r>
            <w:r w:rsidR="00791722" w:rsidRPr="00FD703D">
              <w:rPr>
                <w:rFonts w:eastAsia="Calibri" w:cs="Times New Roman"/>
                <w:noProof/>
                <w:sz w:val="22"/>
                <w:szCs w:val="20"/>
                <w:lang w:val="en-IE"/>
              </w:rPr>
              <w:t xml:space="preserve">on </w:t>
            </w:r>
            <w:r w:rsidR="00872C68" w:rsidRPr="00FD703D">
              <w:rPr>
                <w:rFonts w:eastAsia="Calibri" w:cs="Times New Roman"/>
                <w:noProof/>
                <w:sz w:val="22"/>
                <w:szCs w:val="20"/>
                <w:lang w:val="en-IE"/>
              </w:rPr>
              <w:t>LAG tasks</w:t>
            </w:r>
            <w:r w:rsidR="00791722" w:rsidRPr="00FD703D">
              <w:rPr>
                <w:rFonts w:eastAsia="Calibri" w:cs="Times New Roman"/>
                <w:noProof/>
                <w:sz w:val="22"/>
                <w:szCs w:val="20"/>
                <w:lang w:val="en-IE"/>
              </w:rPr>
              <w:t>,</w:t>
            </w:r>
            <w:r w:rsidR="00872C68" w:rsidRPr="00FD703D">
              <w:rPr>
                <w:rFonts w:eastAsia="Calibri" w:cs="Times New Roman"/>
                <w:noProof/>
                <w:sz w:val="22"/>
                <w:szCs w:val="20"/>
                <w:lang w:val="en-IE"/>
              </w:rPr>
              <w:t xml:space="preserve"> does not say that calls </w:t>
            </w:r>
            <w:r w:rsidR="00791722" w:rsidRPr="00FD703D">
              <w:rPr>
                <w:rFonts w:eastAsia="Calibri" w:cs="Times New Roman"/>
                <w:noProof/>
                <w:sz w:val="22"/>
                <w:szCs w:val="20"/>
                <w:lang w:val="en-IE"/>
              </w:rPr>
              <w:t>can</w:t>
            </w:r>
            <w:r w:rsidR="00872C68" w:rsidRPr="00FD703D">
              <w:rPr>
                <w:rFonts w:eastAsia="Calibri" w:cs="Times New Roman"/>
                <w:noProof/>
                <w:sz w:val="22"/>
                <w:szCs w:val="20"/>
                <w:lang w:val="en-IE"/>
              </w:rPr>
              <w:t>not be continuously</w:t>
            </w:r>
            <w:r w:rsidR="00791722" w:rsidRPr="00FD703D">
              <w:rPr>
                <w:rFonts w:eastAsia="Calibri" w:cs="Times New Roman"/>
                <w:noProof/>
                <w:sz w:val="22"/>
                <w:szCs w:val="20"/>
                <w:lang w:val="en-IE"/>
              </w:rPr>
              <w:t xml:space="preserve"> open</w:t>
            </w:r>
            <w:r w:rsidR="00872C68" w:rsidRPr="00FD703D">
              <w:rPr>
                <w:rFonts w:eastAsia="Calibri" w:cs="Times New Roman"/>
                <w:noProof/>
                <w:sz w:val="22"/>
                <w:szCs w:val="20"/>
                <w:lang w:val="en-IE"/>
              </w:rPr>
              <w:t xml:space="preserve">.   </w:t>
            </w:r>
          </w:p>
        </w:tc>
      </w:tr>
      <w:tr w:rsidR="001F253E" w:rsidRPr="00FD703D" w14:paraId="3109AF37" w14:textId="77777777" w:rsidTr="008A73D8">
        <w:trPr>
          <w:trHeight w:val="386"/>
        </w:trPr>
        <w:tc>
          <w:tcPr>
            <w:tcW w:w="14519" w:type="dxa"/>
            <w:gridSpan w:val="5"/>
            <w:tcBorders>
              <w:top w:val="single" w:sz="4" w:space="0" w:color="000000" w:themeColor="text1"/>
            </w:tcBorders>
            <w:shd w:val="clear" w:color="auto" w:fill="003399"/>
            <w:vAlign w:val="center"/>
          </w:tcPr>
          <w:p w14:paraId="271A24FC" w14:textId="2456A97D" w:rsidR="00872C68" w:rsidRPr="00FD703D" w:rsidRDefault="00872C68" w:rsidP="001061AF">
            <w:pPr>
              <w:spacing w:after="60" w:line="259" w:lineRule="auto"/>
              <w:jc w:val="center"/>
              <w:rPr>
                <w:rFonts w:eastAsia="Calibri" w:cs="Times New Roman"/>
                <w:noProof/>
                <w:color w:val="FFFFFF"/>
                <w:sz w:val="22"/>
                <w:lang w:val="en-GB"/>
              </w:rPr>
            </w:pPr>
            <w:r w:rsidRPr="00FD703D">
              <w:rPr>
                <w:rFonts w:eastAsia="Calibri" w:cs="Times New Roman"/>
                <w:b/>
                <w:bCs/>
                <w:noProof/>
                <w:color w:val="FFFFFF"/>
                <w:sz w:val="22"/>
                <w:lang w:val="en-GB"/>
              </w:rPr>
              <w:t xml:space="preserve">Carbon Removal Regulation – proposal </w:t>
            </w:r>
            <w:r w:rsidR="00BD2137" w:rsidRPr="00FD703D">
              <w:rPr>
                <w:rFonts w:eastAsia="Calibri" w:cs="Times New Roman"/>
                <w:b/>
                <w:bCs/>
                <w:noProof/>
                <w:color w:val="FFFFFF"/>
                <w:sz w:val="22"/>
                <w:lang w:val="en-GB"/>
              </w:rPr>
              <w:t>COM (</w:t>
            </w:r>
            <w:r w:rsidRPr="00FD703D">
              <w:rPr>
                <w:rFonts w:eastAsia="Calibri" w:cs="Times New Roman"/>
                <w:b/>
                <w:bCs/>
                <w:noProof/>
                <w:color w:val="FFFFFF"/>
                <w:sz w:val="22"/>
                <w:lang w:val="en-GB"/>
              </w:rPr>
              <w:t>2022)672</w:t>
            </w:r>
          </w:p>
        </w:tc>
      </w:tr>
      <w:tr w:rsidR="00C44968" w:rsidRPr="00FD703D" w14:paraId="624E4D5E" w14:textId="77777777" w:rsidTr="008A73D8">
        <w:trPr>
          <w:trHeight w:val="300"/>
        </w:trPr>
        <w:tc>
          <w:tcPr>
            <w:tcW w:w="653" w:type="dxa"/>
            <w:gridSpan w:val="2"/>
            <w:vAlign w:val="center"/>
          </w:tcPr>
          <w:p w14:paraId="5B939863" w14:textId="3CB3128B"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28</w:t>
            </w:r>
            <w:r w:rsidR="00E558D0">
              <w:rPr>
                <w:rFonts w:eastAsia="Calibri" w:cs="Times New Roman"/>
                <w:b/>
                <w:bCs/>
                <w:noProof/>
                <w:sz w:val="22"/>
                <w:lang w:val="en-GB"/>
              </w:rPr>
              <w:t>2</w:t>
            </w:r>
          </w:p>
        </w:tc>
        <w:tc>
          <w:tcPr>
            <w:tcW w:w="5946" w:type="dxa"/>
            <w:vAlign w:val="center"/>
          </w:tcPr>
          <w:p w14:paraId="4849EBC6" w14:textId="5E9E4D25" w:rsidR="00872C68" w:rsidRPr="00FD703D" w:rsidRDefault="34408161" w:rsidP="7E954136">
            <w:pPr>
              <w:spacing w:after="60" w:line="259" w:lineRule="auto"/>
              <w:jc w:val="both"/>
              <w:rPr>
                <w:rFonts w:eastAsia="Calibri" w:cs="Times New Roman"/>
                <w:noProof/>
                <w:sz w:val="22"/>
                <w:lang w:val="en-GB"/>
              </w:rPr>
            </w:pPr>
            <w:r w:rsidRPr="4538020F">
              <w:rPr>
                <w:rFonts w:eastAsia="Calibri" w:cs="Times New Roman"/>
                <w:noProof/>
                <w:sz w:val="22"/>
                <w:lang w:val="en-GB"/>
              </w:rPr>
              <w:t xml:space="preserve">Currently in trilogue, but the regulation only defines the basic principles of certification (similar to the Renewable Energy Directive). The upcoming legal acts should be designed in such a way </w:t>
            </w:r>
            <w:r w:rsidR="1410D88E" w:rsidRPr="4538020F">
              <w:rPr>
                <w:rFonts w:eastAsia="Calibri" w:cs="Times New Roman"/>
                <w:noProof/>
                <w:sz w:val="22"/>
                <w:lang w:val="en-GB"/>
              </w:rPr>
              <w:t xml:space="preserve">to ensure that </w:t>
            </w:r>
            <w:r w:rsidR="29DD39DA" w:rsidRPr="4538020F">
              <w:rPr>
                <w:rFonts w:eastAsia="Calibri" w:cs="Times New Roman"/>
                <w:noProof/>
                <w:sz w:val="22"/>
                <w:lang w:val="en-GB"/>
              </w:rPr>
              <w:t xml:space="preserve">legal requirements are </w:t>
            </w:r>
            <w:r w:rsidRPr="4538020F">
              <w:rPr>
                <w:rFonts w:eastAsia="Calibri" w:cs="Times New Roman"/>
                <w:noProof/>
                <w:sz w:val="22"/>
                <w:lang w:val="en-GB"/>
              </w:rPr>
              <w:t xml:space="preserve">as clear as possible for the companies </w:t>
            </w:r>
            <w:r w:rsidR="29DD39DA" w:rsidRPr="4538020F">
              <w:rPr>
                <w:rFonts w:eastAsia="Calibri" w:cs="Times New Roman"/>
                <w:noProof/>
                <w:sz w:val="22"/>
                <w:lang w:val="en-GB"/>
              </w:rPr>
              <w:t xml:space="preserve">concerned </w:t>
            </w:r>
            <w:r w:rsidRPr="4538020F">
              <w:rPr>
                <w:rFonts w:eastAsia="Calibri" w:cs="Times New Roman"/>
                <w:noProof/>
                <w:sz w:val="22"/>
                <w:lang w:val="en-GB"/>
              </w:rPr>
              <w:t xml:space="preserve">and </w:t>
            </w:r>
            <w:r w:rsidR="1410D88E" w:rsidRPr="4538020F">
              <w:rPr>
                <w:rFonts w:eastAsia="Calibri" w:cs="Times New Roman"/>
                <w:noProof/>
                <w:sz w:val="22"/>
                <w:lang w:val="en-GB"/>
              </w:rPr>
              <w:t xml:space="preserve">that </w:t>
            </w:r>
            <w:r w:rsidRPr="4538020F">
              <w:rPr>
                <w:rFonts w:eastAsia="Calibri" w:cs="Times New Roman"/>
                <w:noProof/>
                <w:sz w:val="22"/>
                <w:lang w:val="en-GB"/>
              </w:rPr>
              <w:t>the additional effort for the</w:t>
            </w:r>
            <w:r w:rsidR="29DD39DA" w:rsidRPr="4538020F">
              <w:rPr>
                <w:rFonts w:eastAsia="Calibri" w:cs="Times New Roman"/>
                <w:noProof/>
                <w:sz w:val="22"/>
                <w:lang w:val="en-GB"/>
              </w:rPr>
              <w:t>se</w:t>
            </w:r>
            <w:r w:rsidRPr="4538020F">
              <w:rPr>
                <w:rFonts w:eastAsia="Calibri" w:cs="Times New Roman"/>
                <w:noProof/>
                <w:sz w:val="22"/>
                <w:lang w:val="en-GB"/>
              </w:rPr>
              <w:t xml:space="preserve"> companies is minimised.</w:t>
            </w:r>
          </w:p>
        </w:tc>
        <w:tc>
          <w:tcPr>
            <w:tcW w:w="1530" w:type="dxa"/>
            <w:vAlign w:val="center"/>
          </w:tcPr>
          <w:p w14:paraId="56E6F4A7" w14:textId="77777777" w:rsidR="00872C68" w:rsidRPr="00FD703D" w:rsidRDefault="00872C68" w:rsidP="4538020F">
            <w:pPr>
              <w:spacing w:after="60" w:line="259" w:lineRule="auto"/>
              <w:jc w:val="center"/>
              <w:rPr>
                <w:rFonts w:eastAsia="MS Gothic" w:cs="Times New Roman"/>
                <w:b/>
                <w:bCs/>
                <w:noProof/>
                <w:color w:val="0033CC"/>
                <w:sz w:val="22"/>
                <w:lang w:val="en-GB"/>
              </w:rPr>
            </w:pPr>
            <w:r w:rsidRPr="4538020F">
              <w:rPr>
                <w:rFonts w:eastAsia="MS Gothic" w:cs="Times New Roman"/>
                <w:b/>
                <w:bCs/>
                <w:noProof/>
                <w:color w:val="0033CC"/>
                <w:sz w:val="22"/>
                <w:lang w:val="en-GB"/>
              </w:rPr>
              <w:t>AT</w:t>
            </w:r>
          </w:p>
        </w:tc>
        <w:tc>
          <w:tcPr>
            <w:tcW w:w="6390" w:type="dxa"/>
            <w:vAlign w:val="center"/>
          </w:tcPr>
          <w:p w14:paraId="75448FD1" w14:textId="0748A058" w:rsidR="00872C68" w:rsidRPr="00FD703D" w:rsidRDefault="00872C68" w:rsidP="4538020F">
            <w:pPr>
              <w:spacing w:after="60" w:line="259" w:lineRule="auto"/>
              <w:jc w:val="both"/>
              <w:rPr>
                <w:rFonts w:eastAsia="Calibri" w:cs="Times New Roman"/>
                <w:noProof/>
                <w:sz w:val="22"/>
                <w:lang w:val="en-GB"/>
              </w:rPr>
            </w:pPr>
            <w:r w:rsidRPr="4538020F">
              <w:rPr>
                <w:rFonts w:eastAsia="Calibri" w:cs="Times New Roman"/>
                <w:noProof/>
                <w:sz w:val="22"/>
                <w:lang w:val="en-GB"/>
              </w:rPr>
              <w:t>The certification methodologies are currently developed in consultation with an expert group. The recording</w:t>
            </w:r>
            <w:r w:rsidR="00791722" w:rsidRPr="4538020F">
              <w:rPr>
                <w:rFonts w:eastAsia="Calibri" w:cs="Times New Roman"/>
                <w:noProof/>
                <w:sz w:val="22"/>
                <w:lang w:val="en-GB"/>
              </w:rPr>
              <w:t>s</w:t>
            </w:r>
            <w:r w:rsidRPr="4538020F">
              <w:rPr>
                <w:rFonts w:eastAsia="Calibri" w:cs="Times New Roman"/>
                <w:noProof/>
                <w:sz w:val="22"/>
                <w:lang w:val="en-GB"/>
              </w:rPr>
              <w:t xml:space="preserve"> of the expert group meetings </w:t>
            </w:r>
            <w:r w:rsidR="00791722" w:rsidRPr="4538020F">
              <w:rPr>
                <w:rFonts w:eastAsia="Calibri" w:cs="Times New Roman"/>
                <w:noProof/>
                <w:sz w:val="22"/>
                <w:lang w:val="en-GB"/>
              </w:rPr>
              <w:t xml:space="preserve">and </w:t>
            </w:r>
            <w:r w:rsidRPr="4538020F">
              <w:rPr>
                <w:rFonts w:eastAsia="Calibri" w:cs="Times New Roman"/>
                <w:noProof/>
                <w:sz w:val="22"/>
                <w:lang w:val="en-GB"/>
              </w:rPr>
              <w:t xml:space="preserve">all </w:t>
            </w:r>
            <w:r w:rsidR="00791722" w:rsidRPr="4538020F">
              <w:rPr>
                <w:rFonts w:eastAsia="Calibri" w:cs="Times New Roman"/>
                <w:noProof/>
                <w:sz w:val="22"/>
                <w:lang w:val="en-GB"/>
              </w:rPr>
              <w:t xml:space="preserve">its </w:t>
            </w:r>
            <w:r w:rsidRPr="4538020F">
              <w:rPr>
                <w:rFonts w:eastAsia="Calibri" w:cs="Times New Roman"/>
                <w:noProof/>
                <w:sz w:val="22"/>
                <w:lang w:val="en-GB"/>
              </w:rPr>
              <w:t>papers are publicly available. The Commission welcomes the views of all stakeholders and wants to build on existing best practices when developing the certification methodologies.  </w:t>
            </w:r>
          </w:p>
        </w:tc>
      </w:tr>
      <w:tr w:rsidR="001F253E" w:rsidRPr="00FD703D" w14:paraId="0913E06F" w14:textId="77777777" w:rsidTr="008A73D8">
        <w:trPr>
          <w:trHeight w:val="300"/>
        </w:trPr>
        <w:tc>
          <w:tcPr>
            <w:tcW w:w="14519" w:type="dxa"/>
            <w:gridSpan w:val="5"/>
            <w:tcBorders>
              <w:top w:val="nil"/>
            </w:tcBorders>
            <w:shd w:val="clear" w:color="auto" w:fill="003399"/>
            <w:vAlign w:val="center"/>
          </w:tcPr>
          <w:p w14:paraId="46FA3D71" w14:textId="77777777" w:rsidR="00872C68" w:rsidRPr="00FD703D" w:rsidRDefault="00872C68" w:rsidP="001061AF">
            <w:pPr>
              <w:spacing w:after="60" w:line="259" w:lineRule="auto"/>
              <w:jc w:val="center"/>
              <w:rPr>
                <w:rFonts w:eastAsia="Calibri" w:cs="Times New Roman"/>
                <w:b/>
                <w:bCs/>
                <w:noProof/>
                <w:color w:val="FFFFFF"/>
                <w:sz w:val="22"/>
                <w:lang w:val="en-GB"/>
              </w:rPr>
            </w:pPr>
            <w:r w:rsidRPr="00FD703D">
              <w:rPr>
                <w:rFonts w:eastAsia="Calibri" w:cs="Times New Roman"/>
                <w:b/>
                <w:bCs/>
                <w:noProof/>
                <w:color w:val="FFFFFF"/>
                <w:sz w:val="22"/>
                <w:lang w:val="en-GB"/>
              </w:rPr>
              <w:t>CBAM (Carbon Border Adjustment Mechanism)</w:t>
            </w:r>
          </w:p>
        </w:tc>
      </w:tr>
      <w:tr w:rsidR="00C44968" w:rsidRPr="00FD703D" w14:paraId="18E00387" w14:textId="77777777" w:rsidTr="008A73D8">
        <w:trPr>
          <w:trHeight w:val="300"/>
        </w:trPr>
        <w:tc>
          <w:tcPr>
            <w:tcW w:w="653" w:type="dxa"/>
            <w:gridSpan w:val="2"/>
            <w:vAlign w:val="center"/>
          </w:tcPr>
          <w:p w14:paraId="5A95C7A2" w14:textId="3D9D747D"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28</w:t>
            </w:r>
            <w:r w:rsidR="00E558D0">
              <w:rPr>
                <w:rFonts w:eastAsia="Calibri" w:cs="Times New Roman"/>
                <w:b/>
                <w:bCs/>
                <w:noProof/>
                <w:sz w:val="22"/>
                <w:lang w:val="en-GB"/>
              </w:rPr>
              <w:t>3</w:t>
            </w:r>
          </w:p>
        </w:tc>
        <w:tc>
          <w:tcPr>
            <w:tcW w:w="5946" w:type="dxa"/>
            <w:vAlign w:val="center"/>
          </w:tcPr>
          <w:p w14:paraId="3F186C5E" w14:textId="48A5794B" w:rsidR="00872C68" w:rsidRPr="00FD703D" w:rsidRDefault="29CB0D46" w:rsidP="7E954136">
            <w:pPr>
              <w:spacing w:after="60" w:line="259" w:lineRule="auto"/>
              <w:jc w:val="both"/>
              <w:rPr>
                <w:rFonts w:eastAsia="Calibri" w:cs="Times New Roman"/>
                <w:noProof/>
                <w:color w:val="FF0000"/>
                <w:sz w:val="22"/>
                <w:szCs w:val="20"/>
                <w:lang w:val="en-GB"/>
              </w:rPr>
            </w:pPr>
            <w:r w:rsidRPr="00FD703D">
              <w:rPr>
                <w:rFonts w:eastAsia="Calibri" w:cs="Times New Roman"/>
                <w:b/>
                <w:bCs/>
                <w:noProof/>
                <w:sz w:val="22"/>
                <w:szCs w:val="20"/>
                <w:lang w:val="en-GB"/>
              </w:rPr>
              <w:t xml:space="preserve">Amount of </w:t>
            </w:r>
            <w:r w:rsidR="7784DCEF" w:rsidRPr="00FD703D">
              <w:rPr>
                <w:rFonts w:eastAsia="Calibri" w:cs="Times New Roman"/>
                <w:b/>
                <w:bCs/>
                <w:noProof/>
                <w:sz w:val="22"/>
                <w:szCs w:val="20"/>
                <w:lang w:val="en-GB"/>
              </w:rPr>
              <w:t>CO₂</w:t>
            </w:r>
            <w:r w:rsidRPr="00FD703D">
              <w:rPr>
                <w:rFonts w:eastAsia="Calibri" w:cs="Times New Roman"/>
                <w:b/>
                <w:bCs/>
                <w:noProof/>
                <w:sz w:val="22"/>
                <w:szCs w:val="20"/>
                <w:lang w:val="en-GB"/>
              </w:rPr>
              <w:t xml:space="preserve"> in fertili</w:t>
            </w:r>
            <w:r w:rsidR="7784DCEF" w:rsidRPr="00FD703D">
              <w:rPr>
                <w:rFonts w:eastAsia="Calibri" w:cs="Times New Roman"/>
                <w:b/>
                <w:bCs/>
                <w:noProof/>
                <w:sz w:val="22"/>
                <w:szCs w:val="20"/>
                <w:lang w:val="en-GB"/>
              </w:rPr>
              <w:t>s</w:t>
            </w:r>
            <w:r w:rsidRPr="00FD703D">
              <w:rPr>
                <w:rFonts w:eastAsia="Calibri" w:cs="Times New Roman"/>
                <w:b/>
                <w:bCs/>
                <w:noProof/>
                <w:sz w:val="22"/>
                <w:szCs w:val="20"/>
                <w:lang w:val="en-GB"/>
              </w:rPr>
              <w:t>ers:</w:t>
            </w:r>
            <w:r w:rsidRPr="00FD703D">
              <w:rPr>
                <w:rFonts w:eastAsia="Calibri" w:cs="Times New Roman"/>
                <w:noProof/>
                <w:sz w:val="22"/>
                <w:szCs w:val="20"/>
                <w:lang w:val="en-GB"/>
              </w:rPr>
              <w:t xml:space="preserve"> </w:t>
            </w:r>
            <w:r w:rsidR="008D65F6" w:rsidRPr="00FD703D">
              <w:rPr>
                <w:rFonts w:eastAsia="Calibri" w:cs="Times New Roman"/>
                <w:noProof/>
                <w:sz w:val="22"/>
                <w:szCs w:val="20"/>
                <w:lang w:val="en-GB"/>
              </w:rPr>
              <w:t>t</w:t>
            </w:r>
            <w:r w:rsidRPr="00FD703D">
              <w:rPr>
                <w:rFonts w:eastAsia="Calibri" w:cs="Times New Roman"/>
                <w:noProof/>
                <w:sz w:val="22"/>
                <w:szCs w:val="20"/>
                <w:lang w:val="en-GB"/>
              </w:rPr>
              <w:t xml:space="preserve">he </w:t>
            </w:r>
            <w:r w:rsidR="1221C402" w:rsidRPr="00FD703D">
              <w:rPr>
                <w:rFonts w:eastAsia="Calibri" w:cs="Times New Roman"/>
                <w:noProof/>
                <w:sz w:val="22"/>
                <w:szCs w:val="20"/>
                <w:lang w:val="en-GB"/>
              </w:rPr>
              <w:t>CBAM</w:t>
            </w:r>
            <w:r w:rsidRPr="00FD703D">
              <w:rPr>
                <w:rFonts w:eastAsia="Calibri" w:cs="Times New Roman"/>
                <w:noProof/>
                <w:sz w:val="22"/>
                <w:szCs w:val="20"/>
                <w:lang w:val="en-GB"/>
              </w:rPr>
              <w:t xml:space="preserve"> includes strict requirements </w:t>
            </w:r>
            <w:r w:rsidR="7784DCEF" w:rsidRPr="00FD703D">
              <w:rPr>
                <w:rFonts w:eastAsia="Calibri" w:cs="Times New Roman"/>
                <w:noProof/>
                <w:sz w:val="22"/>
                <w:szCs w:val="20"/>
                <w:lang w:val="en-GB"/>
              </w:rPr>
              <w:t>on</w:t>
            </w:r>
            <w:r w:rsidRPr="00FD703D">
              <w:rPr>
                <w:rFonts w:eastAsia="Calibri" w:cs="Times New Roman"/>
                <w:noProof/>
                <w:sz w:val="22"/>
                <w:szCs w:val="20"/>
                <w:lang w:val="en-GB"/>
              </w:rPr>
              <w:t xml:space="preserve"> documenting the amount of </w:t>
            </w:r>
            <w:r w:rsidR="7784DCEF" w:rsidRPr="00FD703D">
              <w:rPr>
                <w:rFonts w:eastAsia="Calibri" w:cs="Times New Roman"/>
                <w:noProof/>
                <w:sz w:val="22"/>
                <w:szCs w:val="20"/>
                <w:lang w:val="en-GB"/>
              </w:rPr>
              <w:t>CO₂</w:t>
            </w:r>
            <w:r w:rsidRPr="00FD703D">
              <w:rPr>
                <w:rFonts w:eastAsia="Calibri" w:cs="Times New Roman"/>
                <w:noProof/>
                <w:sz w:val="22"/>
                <w:szCs w:val="20"/>
                <w:lang w:val="en-GB"/>
              </w:rPr>
              <w:t xml:space="preserve"> in fertili</w:t>
            </w:r>
            <w:r w:rsidR="7784DCEF" w:rsidRPr="00FD703D">
              <w:rPr>
                <w:rFonts w:eastAsia="Calibri" w:cs="Times New Roman"/>
                <w:noProof/>
                <w:sz w:val="22"/>
                <w:szCs w:val="20"/>
                <w:lang w:val="en-GB"/>
              </w:rPr>
              <w:t>s</w:t>
            </w:r>
            <w:r w:rsidRPr="00FD703D">
              <w:rPr>
                <w:rFonts w:eastAsia="Calibri" w:cs="Times New Roman"/>
                <w:noProof/>
                <w:sz w:val="22"/>
                <w:szCs w:val="20"/>
                <w:lang w:val="en-GB"/>
              </w:rPr>
              <w:t>er and steel/aluminium products that companies import from countries outside the EU. This data can be very hard for companies to obtain</w:t>
            </w:r>
            <w:r w:rsidR="3FC57A47" w:rsidRPr="00FD703D">
              <w:rPr>
                <w:rFonts w:eastAsia="Calibri" w:cs="Times New Roman"/>
                <w:noProof/>
                <w:sz w:val="22"/>
                <w:szCs w:val="20"/>
                <w:lang w:val="en-GB"/>
              </w:rPr>
              <w:t>.</w:t>
            </w:r>
          </w:p>
        </w:tc>
        <w:tc>
          <w:tcPr>
            <w:tcW w:w="1530" w:type="dxa"/>
            <w:vAlign w:val="center"/>
          </w:tcPr>
          <w:p w14:paraId="270215CF"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0" w:type="dxa"/>
            <w:vAlign w:val="center"/>
          </w:tcPr>
          <w:p w14:paraId="525B6FE2" w14:textId="04FEB2AE"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CBAM relies on actual embedded emissions in goods imported into the EU, which indeed may create challenges for declarants to collect information from supply chains. However, there are reporting flexibilities to address those cases where they do not manage to obtain information on actual emissions, such as the possibility to use default values. Also, Member States’ national competent authorities will take these difficulties into account when deciding </w:t>
            </w:r>
            <w:r w:rsidR="00791722" w:rsidRPr="00FD703D">
              <w:rPr>
                <w:rFonts w:eastAsia="Calibri" w:cs="Times New Roman"/>
                <w:noProof/>
                <w:sz w:val="22"/>
                <w:lang w:val="en-GB"/>
              </w:rPr>
              <w:t xml:space="preserve">whether </w:t>
            </w:r>
            <w:r w:rsidRPr="00FD703D">
              <w:rPr>
                <w:rFonts w:eastAsia="Calibri" w:cs="Times New Roman"/>
                <w:noProof/>
                <w:sz w:val="22"/>
                <w:lang w:val="en-GB"/>
              </w:rPr>
              <w:t>to apply penalties.</w:t>
            </w:r>
          </w:p>
        </w:tc>
      </w:tr>
    </w:tbl>
    <w:p w14:paraId="020F5566" w14:textId="77777777" w:rsidR="008A73D8" w:rsidRDefault="008A73D8">
      <w:pPr>
        <w:rPr>
          <w:noProof/>
        </w:rPr>
      </w:pPr>
    </w:p>
    <w:p w14:paraId="760B8140" w14:textId="608F5A76" w:rsidR="00A8071A" w:rsidRDefault="00A8071A">
      <w:pPr>
        <w:rPr>
          <w:noProof/>
        </w:rPr>
      </w:pPr>
      <w:r>
        <w:rPr>
          <w:noProof/>
        </w:rPr>
        <w:br w:type="page"/>
      </w:r>
    </w:p>
    <w:tbl>
      <w:tblPr>
        <w:tblStyle w:val="TableGrid1"/>
        <w:tblW w:w="14519" w:type="dxa"/>
        <w:tblInd w:w="-34" w:type="dxa"/>
        <w:tblLayout w:type="fixed"/>
        <w:tblLook w:val="04A0" w:firstRow="1" w:lastRow="0" w:firstColumn="1" w:lastColumn="0" w:noHBand="0" w:noVBand="1"/>
      </w:tblPr>
      <w:tblGrid>
        <w:gridCol w:w="616"/>
        <w:gridCol w:w="5983"/>
        <w:gridCol w:w="1530"/>
        <w:gridCol w:w="6390"/>
      </w:tblGrid>
      <w:tr w:rsidR="002E2306" w:rsidRPr="00FD703D" w14:paraId="7210EAFE" w14:textId="77777777" w:rsidTr="00B54A1E">
        <w:trPr>
          <w:trHeight w:val="377"/>
        </w:trPr>
        <w:tc>
          <w:tcPr>
            <w:tcW w:w="14519" w:type="dxa"/>
            <w:gridSpan w:val="4"/>
            <w:shd w:val="clear" w:color="auto" w:fill="003399"/>
            <w:vAlign w:val="center"/>
          </w:tcPr>
          <w:p w14:paraId="6539B63B" w14:textId="3D6AE9F2" w:rsidR="00872C68" w:rsidRPr="00FD703D" w:rsidRDefault="6070CAD7" w:rsidP="02BE03D9">
            <w:pPr>
              <w:spacing w:after="60" w:line="259" w:lineRule="auto"/>
              <w:jc w:val="center"/>
              <w:rPr>
                <w:rFonts w:eastAsia="Calibri" w:cs="Times New Roman"/>
                <w:noProof/>
                <w:color w:val="FFFFFF"/>
                <w:sz w:val="22"/>
                <w:szCs w:val="20"/>
                <w:lang w:val="en-GB"/>
              </w:rPr>
            </w:pPr>
            <w:r w:rsidRPr="00FD703D">
              <w:rPr>
                <w:rFonts w:eastAsia="Calibri" w:cs="Times New Roman"/>
                <w:b/>
                <w:bCs/>
                <w:noProof/>
                <w:color w:val="FFFFFF" w:themeColor="background1"/>
                <w:sz w:val="22"/>
                <w:szCs w:val="20"/>
                <w:lang w:val="en-GB"/>
              </w:rPr>
              <w:lastRenderedPageBreak/>
              <w:t xml:space="preserve">Renewable Energy (Directive (EU) </w:t>
            </w:r>
            <w:r w:rsidR="24F22115" w:rsidRPr="00FD703D">
              <w:rPr>
                <w:rFonts w:eastAsia="Calibri" w:cs="Times New Roman"/>
                <w:b/>
                <w:bCs/>
                <w:noProof/>
                <w:color w:val="FFFFFF" w:themeColor="background1"/>
                <w:sz w:val="22"/>
                <w:szCs w:val="20"/>
                <w:lang w:val="en-GB"/>
              </w:rPr>
              <w:t xml:space="preserve">2018/2001 as amended by Directive (EU) </w:t>
            </w:r>
            <w:r w:rsidRPr="00FD703D">
              <w:rPr>
                <w:rFonts w:eastAsia="Calibri" w:cs="Times New Roman"/>
                <w:b/>
                <w:bCs/>
                <w:noProof/>
                <w:color w:val="FFFFFF" w:themeColor="background1"/>
                <w:sz w:val="22"/>
                <w:szCs w:val="20"/>
                <w:lang w:val="en-GB"/>
              </w:rPr>
              <w:t>2023/2413)</w:t>
            </w:r>
          </w:p>
        </w:tc>
      </w:tr>
      <w:tr w:rsidR="006862F9" w:rsidRPr="00FD703D" w14:paraId="533BDF3B" w14:textId="77777777" w:rsidTr="00B54A1E">
        <w:trPr>
          <w:trHeight w:val="300"/>
        </w:trPr>
        <w:tc>
          <w:tcPr>
            <w:tcW w:w="616" w:type="dxa"/>
            <w:vAlign w:val="center"/>
          </w:tcPr>
          <w:p w14:paraId="0E141241" w14:textId="5022A73C" w:rsidR="00872C68" w:rsidRPr="00FD703D" w:rsidRDefault="00872C68" w:rsidP="00020097">
            <w:pPr>
              <w:spacing w:after="60" w:line="259" w:lineRule="auto"/>
              <w:jc w:val="both"/>
              <w:rPr>
                <w:rFonts w:eastAsia="Calibri" w:cs="Times New Roman"/>
                <w:b/>
                <w:noProof/>
                <w:sz w:val="22"/>
                <w:lang w:val="en-GB"/>
              </w:rPr>
            </w:pPr>
            <w:r w:rsidRPr="00FD703D">
              <w:rPr>
                <w:rFonts w:eastAsia="Calibri" w:cs="Times New Roman"/>
                <w:b/>
                <w:bCs/>
                <w:noProof/>
                <w:sz w:val="22"/>
                <w:lang w:val="en-GB"/>
              </w:rPr>
              <w:t>28</w:t>
            </w:r>
            <w:r w:rsidR="00E558D0">
              <w:rPr>
                <w:rFonts w:eastAsia="Calibri" w:cs="Times New Roman"/>
                <w:b/>
                <w:bCs/>
                <w:noProof/>
                <w:sz w:val="22"/>
                <w:lang w:val="en-GB"/>
              </w:rPr>
              <w:t>4</w:t>
            </w:r>
          </w:p>
        </w:tc>
        <w:tc>
          <w:tcPr>
            <w:tcW w:w="5983" w:type="dxa"/>
            <w:vAlign w:val="center"/>
          </w:tcPr>
          <w:p w14:paraId="330D0462" w14:textId="00E60065" w:rsidR="00872C68" w:rsidRPr="00FD703D" w:rsidRDefault="00872C68" w:rsidP="00020097">
            <w:pPr>
              <w:spacing w:after="60" w:line="259" w:lineRule="auto"/>
              <w:jc w:val="both"/>
              <w:rPr>
                <w:rFonts w:eastAsia="Calibri" w:cs="Times New Roman"/>
                <w:noProof/>
                <w:sz w:val="22"/>
                <w:lang w:val="en-GB"/>
              </w:rPr>
            </w:pPr>
            <w:r w:rsidRPr="00FD703D">
              <w:rPr>
                <w:rFonts w:eastAsia="Calibri" w:cs="Times New Roman"/>
                <w:b/>
                <w:bCs/>
                <w:noProof/>
                <w:sz w:val="22"/>
                <w:lang w:val="en-GB"/>
              </w:rPr>
              <w:t xml:space="preserve">Removal of certification: </w:t>
            </w:r>
            <w:r w:rsidR="008D65F6" w:rsidRPr="00FD703D">
              <w:rPr>
                <w:rFonts w:eastAsia="Calibri" w:cs="Times New Roman"/>
                <w:noProof/>
                <w:sz w:val="22"/>
                <w:lang w:val="en-GB"/>
              </w:rPr>
              <w:t>r</w:t>
            </w:r>
            <w:r w:rsidRPr="00FD703D">
              <w:rPr>
                <w:rFonts w:eastAsia="Calibri" w:cs="Times New Roman"/>
                <w:noProof/>
                <w:sz w:val="22"/>
                <w:lang w:val="en-GB"/>
              </w:rPr>
              <w:t xml:space="preserve">emoval of certification requirements for biomass production in </w:t>
            </w:r>
            <w:r w:rsidR="00791722" w:rsidRPr="00FD703D">
              <w:rPr>
                <w:rFonts w:eastAsia="Calibri" w:cs="Times New Roman"/>
                <w:noProof/>
                <w:sz w:val="22"/>
                <w:lang w:val="en-GB"/>
              </w:rPr>
              <w:t>‘</w:t>
            </w:r>
            <w:r w:rsidRPr="00FD703D">
              <w:rPr>
                <w:rFonts w:eastAsia="Calibri" w:cs="Times New Roman"/>
                <w:noProof/>
                <w:sz w:val="22"/>
                <w:lang w:val="en-GB"/>
              </w:rPr>
              <w:t>low risk</w:t>
            </w:r>
            <w:r w:rsidR="00791722" w:rsidRPr="00FD703D">
              <w:rPr>
                <w:rFonts w:eastAsia="Calibri" w:cs="Times New Roman"/>
                <w:noProof/>
                <w:sz w:val="22"/>
                <w:lang w:val="en-GB"/>
              </w:rPr>
              <w:t>’</w:t>
            </w:r>
            <w:r w:rsidRPr="00FD703D">
              <w:rPr>
                <w:rFonts w:eastAsia="Calibri" w:cs="Times New Roman"/>
                <w:noProof/>
                <w:sz w:val="22"/>
                <w:lang w:val="en-GB"/>
              </w:rPr>
              <w:t xml:space="preserve"> countries</w:t>
            </w:r>
            <w:r w:rsidR="00967CF8" w:rsidRPr="00FD703D">
              <w:rPr>
                <w:rFonts w:eastAsia="Calibri" w:cs="Times New Roman"/>
                <w:noProof/>
                <w:sz w:val="22"/>
                <w:lang w:val="en-GB"/>
              </w:rPr>
              <w:t>.</w:t>
            </w:r>
          </w:p>
        </w:tc>
        <w:tc>
          <w:tcPr>
            <w:tcW w:w="1530" w:type="dxa"/>
            <w:vAlign w:val="center"/>
          </w:tcPr>
          <w:p w14:paraId="156DE2FE" w14:textId="77777777" w:rsidR="00872C68" w:rsidRPr="00FD703D" w:rsidRDefault="00872C68" w:rsidP="00020097">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AT</w:t>
            </w:r>
          </w:p>
        </w:tc>
        <w:tc>
          <w:tcPr>
            <w:tcW w:w="6390" w:type="dxa"/>
          </w:tcPr>
          <w:p w14:paraId="1A83F432" w14:textId="43B32A07" w:rsidR="00872C68" w:rsidRPr="00FD703D" w:rsidRDefault="63E5673A" w:rsidP="004749EF">
            <w:pPr>
              <w:spacing w:after="60" w:line="259" w:lineRule="auto"/>
              <w:jc w:val="both"/>
              <w:rPr>
                <w:rFonts w:eastAsia="Times New Roman" w:cs="Times New Roman"/>
                <w:noProof/>
                <w:sz w:val="22"/>
                <w:lang w:val="en-GB"/>
              </w:rPr>
            </w:pPr>
            <w:r w:rsidRPr="00FD703D">
              <w:rPr>
                <w:rFonts w:eastAsia="Times New Roman" w:cs="Times New Roman"/>
                <w:noProof/>
                <w:color w:val="000000" w:themeColor="text1"/>
                <w:sz w:val="22"/>
                <w:lang w:val="en-US"/>
              </w:rPr>
              <w:t xml:space="preserve">The Renewable Energy Directive includes, in </w:t>
            </w:r>
            <w:r w:rsidRPr="00FD703D">
              <w:rPr>
                <w:rFonts w:eastAsia="Times New Roman" w:cs="Times New Roman"/>
                <w:i/>
                <w:iCs/>
                <w:noProof/>
                <w:color w:val="000000" w:themeColor="text1"/>
                <w:sz w:val="22"/>
                <w:lang w:val="en-US"/>
              </w:rPr>
              <w:t>Article 29 (6) and (7)</w:t>
            </w:r>
            <w:r w:rsidRPr="00FD703D">
              <w:rPr>
                <w:rFonts w:eastAsia="Times New Roman" w:cs="Times New Roman"/>
                <w:noProof/>
                <w:color w:val="000000" w:themeColor="text1"/>
                <w:sz w:val="22"/>
                <w:lang w:val="en-US"/>
              </w:rPr>
              <w:t xml:space="preserve"> sustainability criteria for forest biomass, irrespective of whether the biomass originates from ‘low-risk’ (the so-called ‘A-level’) count</w:t>
            </w:r>
            <w:r w:rsidR="4F761C1E" w:rsidRPr="00FD703D">
              <w:rPr>
                <w:rFonts w:eastAsia="Times New Roman" w:cs="Times New Roman"/>
                <w:noProof/>
                <w:color w:val="000000" w:themeColor="text1"/>
                <w:sz w:val="22"/>
                <w:lang w:val="en-US"/>
              </w:rPr>
              <w:t>r</w:t>
            </w:r>
            <w:r w:rsidRPr="00FD703D">
              <w:rPr>
                <w:rFonts w:eastAsia="Times New Roman" w:cs="Times New Roman"/>
                <w:noProof/>
                <w:color w:val="000000" w:themeColor="text1"/>
                <w:sz w:val="22"/>
                <w:lang w:val="en-US"/>
              </w:rPr>
              <w:t xml:space="preserve">ies, where laws and regulations are in place, as well as monitoring and enforcement systems, or if it originates from countries where the above evidence is not available, and therefore management systems have to be in place at sourcing area level. In both cases, the Directive includes, in </w:t>
            </w:r>
            <w:r w:rsidRPr="00FD703D">
              <w:rPr>
                <w:rFonts w:eastAsia="Times New Roman" w:cs="Times New Roman"/>
                <w:i/>
                <w:iCs/>
                <w:noProof/>
                <w:color w:val="000000" w:themeColor="text1"/>
                <w:sz w:val="22"/>
                <w:lang w:val="en-US"/>
              </w:rPr>
              <w:t xml:space="preserve">Article 30, </w:t>
            </w:r>
            <w:r w:rsidRPr="00FD703D">
              <w:rPr>
                <w:rFonts w:eastAsia="Times New Roman" w:cs="Times New Roman"/>
                <w:noProof/>
                <w:color w:val="000000" w:themeColor="text1"/>
                <w:sz w:val="22"/>
                <w:lang w:val="en-US"/>
              </w:rPr>
              <w:t xml:space="preserve">rules for verification of compliance with the sustainability and greenhouse gas emissions savings criteria. These rules are binding. </w:t>
            </w:r>
            <w:r w:rsidR="53625040" w:rsidRPr="00FD703D">
              <w:rPr>
                <w:rFonts w:eastAsia="Times New Roman" w:cs="Times New Roman"/>
                <w:noProof/>
                <w:color w:val="000000" w:themeColor="text1"/>
                <w:sz w:val="22"/>
                <w:lang w:val="en-US"/>
              </w:rPr>
              <w:t>S</w:t>
            </w:r>
            <w:r w:rsidRPr="00FD703D">
              <w:rPr>
                <w:rFonts w:eastAsia="Times New Roman" w:cs="Times New Roman"/>
                <w:noProof/>
                <w:color w:val="000000" w:themeColor="text1"/>
                <w:sz w:val="22"/>
                <w:lang w:val="en-US"/>
              </w:rPr>
              <w:t xml:space="preserve">ome flexibility already exists for these low-risk countries, where, in </w:t>
            </w:r>
            <w:r w:rsidRPr="00FD703D">
              <w:rPr>
                <w:rFonts w:eastAsia="Times New Roman" w:cs="Times New Roman"/>
                <w:i/>
                <w:iCs/>
                <w:noProof/>
                <w:color w:val="000000" w:themeColor="text1"/>
                <w:sz w:val="22"/>
                <w:lang w:val="en-US"/>
              </w:rPr>
              <w:t>Article 30 (3),</w:t>
            </w:r>
            <w:r w:rsidRPr="00FD703D">
              <w:rPr>
                <w:rFonts w:eastAsia="Times New Roman" w:cs="Times New Roman"/>
                <w:noProof/>
                <w:color w:val="000000" w:themeColor="text1"/>
                <w:sz w:val="22"/>
                <w:lang w:val="en-US"/>
              </w:rPr>
              <w:t xml:space="preserve"> the possibility is given, for such cases, to use the first or second party auditing may be used up to the first gathering point of the forest biomass.</w:t>
            </w:r>
          </w:p>
        </w:tc>
      </w:tr>
      <w:tr w:rsidR="006862F9" w:rsidRPr="00FD703D" w14:paraId="693EA1DB" w14:textId="77777777" w:rsidTr="00B54A1E">
        <w:trPr>
          <w:trHeight w:val="300"/>
        </w:trPr>
        <w:tc>
          <w:tcPr>
            <w:tcW w:w="616" w:type="dxa"/>
            <w:vAlign w:val="center"/>
          </w:tcPr>
          <w:p w14:paraId="3AEFB5B2" w14:textId="47E64B40"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28</w:t>
            </w:r>
            <w:r w:rsidR="00E558D0">
              <w:rPr>
                <w:rFonts w:eastAsia="Calibri" w:cs="Times New Roman"/>
                <w:b/>
                <w:bCs/>
                <w:noProof/>
                <w:sz w:val="22"/>
                <w:lang w:val="en-GB"/>
              </w:rPr>
              <w:t>5</w:t>
            </w:r>
          </w:p>
        </w:tc>
        <w:tc>
          <w:tcPr>
            <w:tcW w:w="5983" w:type="dxa"/>
            <w:vAlign w:val="center"/>
          </w:tcPr>
          <w:p w14:paraId="191A50A6" w14:textId="16175D7D" w:rsidR="00872C68" w:rsidRPr="00FD703D" w:rsidRDefault="00AF7B1A" w:rsidP="6299825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 xml:space="preserve">EU </w:t>
            </w:r>
            <w:r w:rsidR="00872C68" w:rsidRPr="00FD703D">
              <w:rPr>
                <w:rFonts w:eastAsia="Calibri" w:cs="Times New Roman"/>
                <w:b/>
                <w:bCs/>
                <w:noProof/>
                <w:sz w:val="22"/>
                <w:szCs w:val="20"/>
                <w:lang w:val="en-GB"/>
              </w:rPr>
              <w:t>database for biofuels</w:t>
            </w:r>
            <w:r w:rsidR="5D1D82AC" w:rsidRPr="00FD703D">
              <w:rPr>
                <w:rFonts w:eastAsia="Calibri" w:cs="Times New Roman"/>
                <w:b/>
                <w:bCs/>
                <w:noProof/>
                <w:sz w:val="22"/>
                <w:szCs w:val="20"/>
                <w:lang w:val="en-GB"/>
              </w:rPr>
              <w:t xml:space="preserve"> (UDB)</w:t>
            </w:r>
            <w:r w:rsidR="00872C68" w:rsidRPr="00FD703D">
              <w:rPr>
                <w:rFonts w:eastAsia="Calibri" w:cs="Times New Roman"/>
                <w:b/>
                <w:bCs/>
                <w:noProof/>
                <w:sz w:val="22"/>
                <w:szCs w:val="20"/>
                <w:lang w:val="en-GB"/>
              </w:rPr>
              <w:t xml:space="preserve">: </w:t>
            </w:r>
            <w:r w:rsidR="008D65F6" w:rsidRPr="00FD703D">
              <w:rPr>
                <w:rFonts w:eastAsia="Calibri" w:cs="Times New Roman"/>
                <w:noProof/>
                <w:sz w:val="22"/>
                <w:szCs w:val="20"/>
                <w:lang w:val="en-GB"/>
              </w:rPr>
              <w:t>t</w:t>
            </w:r>
            <w:r w:rsidR="00872C68" w:rsidRPr="00FD703D">
              <w:rPr>
                <w:rFonts w:eastAsia="Calibri" w:cs="Times New Roman"/>
                <w:noProof/>
                <w:sz w:val="22"/>
                <w:szCs w:val="20"/>
                <w:lang w:val="en-GB"/>
              </w:rPr>
              <w:t xml:space="preserve">he </w:t>
            </w:r>
            <w:r w:rsidRPr="00FD703D">
              <w:rPr>
                <w:rFonts w:eastAsia="Calibri" w:cs="Times New Roman"/>
                <w:noProof/>
                <w:sz w:val="22"/>
                <w:szCs w:val="20"/>
                <w:lang w:val="en-GB"/>
              </w:rPr>
              <w:t xml:space="preserve">EU </w:t>
            </w:r>
            <w:r w:rsidR="00872C68" w:rsidRPr="00FD703D">
              <w:rPr>
                <w:rFonts w:eastAsia="Calibri" w:cs="Times New Roman"/>
                <w:noProof/>
                <w:sz w:val="22"/>
                <w:szCs w:val="20"/>
                <w:lang w:val="en-GB"/>
              </w:rPr>
              <w:t>database for biofuels should be stopped. It creates an immense bureaucratic burden for the agricultural sector. For example, a large amount of data has to be collected from farmers by the first collectors, entered into the database and regularly updated. We do not see any added value for the biofuel sector. If the Commission needs data on the biofuels value chain, it should use existing national databases instead of establishing a new one</w:t>
            </w:r>
          </w:p>
        </w:tc>
        <w:tc>
          <w:tcPr>
            <w:tcW w:w="1530" w:type="dxa"/>
            <w:vAlign w:val="center"/>
          </w:tcPr>
          <w:p w14:paraId="2194A1C2"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0" w:type="dxa"/>
            <w:vAlign w:val="center"/>
          </w:tcPr>
          <w:p w14:paraId="5E0E64D2" w14:textId="4E8A7130"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In the context of ensuring the sustainability of biofuels, the Commission has been mandated by the Renewable Energy Directive to develop and put into operation a</w:t>
            </w:r>
            <w:r w:rsidR="3B0BA557" w:rsidRPr="00FD703D">
              <w:rPr>
                <w:rFonts w:eastAsia="Calibri" w:cs="Times New Roman"/>
                <w:noProof/>
                <w:sz w:val="22"/>
                <w:szCs w:val="20"/>
                <w:lang w:val="en-GB"/>
              </w:rPr>
              <w:t>n</w:t>
            </w:r>
            <w:r w:rsidRPr="00FD703D">
              <w:rPr>
                <w:rFonts w:eastAsia="Calibri" w:cs="Times New Roman"/>
                <w:noProof/>
                <w:sz w:val="22"/>
                <w:szCs w:val="20"/>
                <w:lang w:val="en-GB"/>
              </w:rPr>
              <w:t xml:space="preserve"> </w:t>
            </w:r>
            <w:r w:rsidR="3B0BA557" w:rsidRPr="00FD703D">
              <w:rPr>
                <w:rFonts w:eastAsia="Calibri" w:cs="Times New Roman"/>
                <w:noProof/>
                <w:sz w:val="22"/>
                <w:szCs w:val="20"/>
                <w:lang w:val="en-GB"/>
              </w:rPr>
              <w:t xml:space="preserve">EU </w:t>
            </w:r>
            <w:r w:rsidRPr="00FD703D">
              <w:rPr>
                <w:rFonts w:eastAsia="Calibri" w:cs="Times New Roman"/>
                <w:noProof/>
                <w:sz w:val="22"/>
                <w:szCs w:val="20"/>
                <w:lang w:val="en-GB"/>
              </w:rPr>
              <w:t xml:space="preserve">database (UDB) as an important and unique traceability tool to increase market transparency, mitigating the risk of irregularities or double counting of energy units in the supply chains. The traceability of raw materials is crucial to ensure the traceability of the biofuels produced from them. The UDB is designed in such a way as to ensure </w:t>
            </w:r>
            <w:r w:rsidR="61D36563" w:rsidRPr="00FD703D">
              <w:rPr>
                <w:rFonts w:eastAsia="Calibri" w:cs="Times New Roman"/>
                <w:noProof/>
                <w:sz w:val="22"/>
                <w:szCs w:val="20"/>
                <w:lang w:val="en-GB"/>
              </w:rPr>
              <w:t xml:space="preserve">that </w:t>
            </w:r>
            <w:r w:rsidRPr="00FD703D">
              <w:rPr>
                <w:rFonts w:eastAsia="Calibri" w:cs="Times New Roman"/>
                <w:noProof/>
                <w:sz w:val="22"/>
                <w:szCs w:val="20"/>
                <w:lang w:val="en-GB"/>
              </w:rPr>
              <w:t>the traceability objective</w:t>
            </w:r>
            <w:r w:rsidR="61D36563" w:rsidRPr="00FD703D">
              <w:rPr>
                <w:rFonts w:eastAsia="Calibri" w:cs="Times New Roman"/>
                <w:noProof/>
                <w:sz w:val="22"/>
                <w:szCs w:val="20"/>
                <w:lang w:val="en-GB"/>
              </w:rPr>
              <w:t xml:space="preserve"> is achieved</w:t>
            </w:r>
            <w:r w:rsidRPr="00FD703D">
              <w:rPr>
                <w:rFonts w:eastAsia="Calibri" w:cs="Times New Roman"/>
                <w:noProof/>
                <w:sz w:val="22"/>
                <w:szCs w:val="20"/>
                <w:lang w:val="en-GB"/>
              </w:rPr>
              <w:t xml:space="preserve">, avoiding any </w:t>
            </w:r>
            <w:r w:rsidR="61D36563" w:rsidRPr="00FD703D">
              <w:rPr>
                <w:rFonts w:eastAsia="Calibri" w:cs="Times New Roman"/>
                <w:noProof/>
                <w:sz w:val="22"/>
                <w:szCs w:val="20"/>
                <w:lang w:val="en-GB"/>
              </w:rPr>
              <w:t xml:space="preserve">disproportional </w:t>
            </w:r>
            <w:r w:rsidRPr="00FD703D">
              <w:rPr>
                <w:rFonts w:eastAsia="Calibri" w:cs="Times New Roman"/>
                <w:noProof/>
                <w:sz w:val="22"/>
                <w:szCs w:val="20"/>
                <w:lang w:val="en-GB"/>
              </w:rPr>
              <w:t xml:space="preserve">burden </w:t>
            </w:r>
            <w:r w:rsidR="61D36563" w:rsidRPr="00FD703D">
              <w:rPr>
                <w:rFonts w:eastAsia="Calibri" w:cs="Times New Roman"/>
                <w:noProof/>
                <w:sz w:val="22"/>
                <w:szCs w:val="20"/>
                <w:lang w:val="en-GB"/>
              </w:rPr>
              <w:t xml:space="preserve">on </w:t>
            </w:r>
            <w:r w:rsidRPr="00FD703D">
              <w:rPr>
                <w:rFonts w:eastAsia="Calibri" w:cs="Times New Roman"/>
                <w:noProof/>
                <w:sz w:val="22"/>
                <w:szCs w:val="20"/>
                <w:lang w:val="en-GB"/>
              </w:rPr>
              <w:t>economic operators.</w:t>
            </w:r>
          </w:p>
        </w:tc>
      </w:tr>
      <w:tr w:rsidR="00C44968" w:rsidRPr="00C14E2F" w14:paraId="3421429C" w14:textId="77777777" w:rsidTr="00B54A1E">
        <w:trPr>
          <w:trHeight w:val="413"/>
        </w:trPr>
        <w:tc>
          <w:tcPr>
            <w:tcW w:w="14519" w:type="dxa"/>
            <w:gridSpan w:val="4"/>
            <w:shd w:val="clear" w:color="auto" w:fill="003399"/>
            <w:vAlign w:val="center"/>
          </w:tcPr>
          <w:p w14:paraId="136566B1" w14:textId="77777777" w:rsidR="00872C68" w:rsidRPr="00A8071A" w:rsidRDefault="00872C68" w:rsidP="001061AF">
            <w:pPr>
              <w:spacing w:after="60" w:line="259" w:lineRule="auto"/>
              <w:jc w:val="center"/>
              <w:rPr>
                <w:rFonts w:eastAsia="Calibri" w:cs="Times New Roman"/>
                <w:noProof/>
                <w:color w:val="FFFFFF"/>
                <w:sz w:val="22"/>
                <w:lang w:val="fr-BE"/>
              </w:rPr>
            </w:pPr>
            <w:r w:rsidRPr="5D3A214E">
              <w:rPr>
                <w:rFonts w:eastAsia="Calibri" w:cs="Times New Roman"/>
                <w:b/>
                <w:noProof/>
                <w:color w:val="FFFFFF" w:themeColor="background1"/>
                <w:sz w:val="22"/>
                <w:lang w:val="fr-BE"/>
              </w:rPr>
              <w:t>EU Regulation on Deforestation (EUDR) - Regulation (EU) 2023/1115</w:t>
            </w:r>
          </w:p>
        </w:tc>
      </w:tr>
      <w:tr w:rsidR="00BD6E31" w:rsidRPr="00FD703D" w14:paraId="5D9383D7" w14:textId="77777777" w:rsidTr="00B54A1E">
        <w:trPr>
          <w:trHeight w:val="300"/>
        </w:trPr>
        <w:tc>
          <w:tcPr>
            <w:tcW w:w="616" w:type="dxa"/>
            <w:vAlign w:val="center"/>
          </w:tcPr>
          <w:p w14:paraId="7B0517E3" w14:textId="3691A3FE"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28</w:t>
            </w:r>
            <w:r w:rsidR="00E558D0">
              <w:rPr>
                <w:rFonts w:eastAsia="Calibri" w:cs="Times New Roman"/>
                <w:b/>
                <w:bCs/>
                <w:noProof/>
                <w:sz w:val="22"/>
                <w:lang w:val="en-GB"/>
              </w:rPr>
              <w:t>6</w:t>
            </w:r>
          </w:p>
        </w:tc>
        <w:tc>
          <w:tcPr>
            <w:tcW w:w="5983" w:type="dxa"/>
            <w:vAlign w:val="center"/>
          </w:tcPr>
          <w:p w14:paraId="0D7248AB" w14:textId="6646E3A6" w:rsidR="00872C68" w:rsidRPr="002F5C3B" w:rsidRDefault="29CB0D46" w:rsidP="7E954136">
            <w:pPr>
              <w:spacing w:after="60" w:line="259" w:lineRule="auto"/>
              <w:jc w:val="both"/>
              <w:rPr>
                <w:rFonts w:eastAsia="Calibri" w:cs="Times New Roman"/>
                <w:noProof/>
                <w:sz w:val="22"/>
                <w:szCs w:val="20"/>
                <w:lang w:val="en-GB"/>
              </w:rPr>
            </w:pPr>
            <w:r w:rsidRPr="002F5C3B">
              <w:rPr>
                <w:rFonts w:eastAsia="Calibri" w:cs="Times New Roman"/>
                <w:b/>
                <w:bCs/>
                <w:noProof/>
                <w:sz w:val="22"/>
                <w:szCs w:val="20"/>
                <w:lang w:val="en-GB"/>
              </w:rPr>
              <w:t xml:space="preserve">Implementation of Regulation: </w:t>
            </w:r>
            <w:r w:rsidR="60A45644" w:rsidRPr="002F5C3B">
              <w:rPr>
                <w:rFonts w:eastAsia="Calibri" w:cs="Times New Roman"/>
                <w:noProof/>
                <w:sz w:val="22"/>
                <w:szCs w:val="20"/>
                <w:lang w:val="en-GB"/>
              </w:rPr>
              <w:t>s</w:t>
            </w:r>
            <w:r w:rsidRPr="002F5C3B">
              <w:rPr>
                <w:rFonts w:eastAsia="Calibri" w:cs="Times New Roman"/>
                <w:noProof/>
                <w:sz w:val="22"/>
                <w:szCs w:val="20"/>
                <w:lang w:val="en-GB"/>
              </w:rPr>
              <w:t xml:space="preserve">uspension </w:t>
            </w:r>
            <w:r w:rsidR="61D36563" w:rsidRPr="002F5C3B">
              <w:rPr>
                <w:rFonts w:eastAsia="Calibri" w:cs="Times New Roman"/>
                <w:noProof/>
                <w:sz w:val="22"/>
                <w:szCs w:val="20"/>
                <w:lang w:val="en-GB"/>
              </w:rPr>
              <w:t>or</w:t>
            </w:r>
            <w:r w:rsidRPr="002F5C3B">
              <w:rPr>
                <w:rFonts w:eastAsia="Calibri" w:cs="Times New Roman"/>
                <w:noProof/>
                <w:sz w:val="22"/>
                <w:szCs w:val="20"/>
                <w:lang w:val="en-GB"/>
              </w:rPr>
              <w:t xml:space="preserve"> delay of the implementation of the regulation (including with regard to </w:t>
            </w:r>
            <w:r w:rsidR="61D36563" w:rsidRPr="002F5C3B">
              <w:rPr>
                <w:rFonts w:eastAsia="Calibri" w:cs="Times New Roman"/>
                <w:noProof/>
                <w:sz w:val="22"/>
                <w:szCs w:val="20"/>
                <w:lang w:val="en-GB"/>
              </w:rPr>
              <w:t xml:space="preserve">the </w:t>
            </w:r>
            <w:r w:rsidRPr="002F5C3B">
              <w:rPr>
                <w:rFonts w:eastAsia="Calibri" w:cs="Times New Roman"/>
                <w:noProof/>
                <w:sz w:val="22"/>
                <w:szCs w:val="20"/>
                <w:lang w:val="en-GB"/>
              </w:rPr>
              <w:t xml:space="preserve">treatment of small farmers and forest owners in the EU, documentation and information system requirements for </w:t>
            </w:r>
            <w:r w:rsidR="61D36563" w:rsidRPr="002F5C3B">
              <w:rPr>
                <w:rFonts w:eastAsia="Calibri" w:cs="Times New Roman"/>
                <w:noProof/>
                <w:sz w:val="22"/>
                <w:szCs w:val="20"/>
                <w:lang w:val="en-GB"/>
              </w:rPr>
              <w:t>‘</w:t>
            </w:r>
            <w:r w:rsidRPr="002F5C3B">
              <w:rPr>
                <w:rFonts w:eastAsia="Calibri" w:cs="Times New Roman"/>
                <w:noProof/>
                <w:sz w:val="22"/>
                <w:szCs w:val="20"/>
                <w:lang w:val="en-GB"/>
              </w:rPr>
              <w:t>low</w:t>
            </w:r>
            <w:r w:rsidR="61D36563" w:rsidRPr="002F5C3B">
              <w:rPr>
                <w:rFonts w:eastAsia="Calibri" w:cs="Times New Roman"/>
                <w:noProof/>
                <w:sz w:val="22"/>
                <w:szCs w:val="20"/>
                <w:lang w:val="en-GB"/>
              </w:rPr>
              <w:t>’</w:t>
            </w:r>
            <w:r w:rsidRPr="002F5C3B">
              <w:rPr>
                <w:rFonts w:eastAsia="Calibri" w:cs="Times New Roman"/>
                <w:noProof/>
                <w:sz w:val="22"/>
                <w:szCs w:val="20"/>
                <w:lang w:val="en-GB"/>
              </w:rPr>
              <w:t xml:space="preserve"> versus </w:t>
            </w:r>
            <w:r w:rsidR="61D36563" w:rsidRPr="002F5C3B">
              <w:rPr>
                <w:rFonts w:eastAsia="Calibri" w:cs="Times New Roman"/>
                <w:noProof/>
                <w:sz w:val="22"/>
                <w:szCs w:val="20"/>
                <w:lang w:val="en-GB"/>
              </w:rPr>
              <w:t>‘</w:t>
            </w:r>
            <w:r w:rsidRPr="002F5C3B">
              <w:rPr>
                <w:rFonts w:eastAsia="Calibri" w:cs="Times New Roman"/>
                <w:noProof/>
                <w:sz w:val="22"/>
                <w:szCs w:val="20"/>
                <w:lang w:val="en-GB"/>
              </w:rPr>
              <w:t>high</w:t>
            </w:r>
            <w:r w:rsidR="61D36563" w:rsidRPr="002F5C3B">
              <w:rPr>
                <w:rFonts w:eastAsia="Calibri" w:cs="Times New Roman"/>
                <w:noProof/>
                <w:sz w:val="22"/>
                <w:szCs w:val="20"/>
                <w:lang w:val="en-GB"/>
              </w:rPr>
              <w:t>’</w:t>
            </w:r>
            <w:r w:rsidRPr="002F5C3B">
              <w:rPr>
                <w:rFonts w:eastAsia="Calibri" w:cs="Times New Roman"/>
                <w:noProof/>
                <w:sz w:val="22"/>
                <w:szCs w:val="20"/>
                <w:lang w:val="en-GB"/>
              </w:rPr>
              <w:t xml:space="preserve"> risk countries, and operation of the electronic data transfer).</w:t>
            </w:r>
          </w:p>
        </w:tc>
        <w:tc>
          <w:tcPr>
            <w:tcW w:w="1530" w:type="dxa"/>
            <w:vAlign w:val="center"/>
          </w:tcPr>
          <w:p w14:paraId="745A7C7E" w14:textId="77777777" w:rsidR="00872C68" w:rsidRPr="002F5C3B" w:rsidRDefault="00872C68" w:rsidP="001061AF">
            <w:pPr>
              <w:spacing w:after="60" w:line="259" w:lineRule="auto"/>
              <w:jc w:val="center"/>
              <w:rPr>
                <w:rFonts w:eastAsia="MS Gothic" w:cs="Times New Roman"/>
                <w:b/>
                <w:noProof/>
                <w:color w:val="0033CC"/>
                <w:sz w:val="22"/>
                <w:lang w:val="en-GB"/>
              </w:rPr>
            </w:pPr>
            <w:r w:rsidRPr="002F5C3B">
              <w:rPr>
                <w:rFonts w:eastAsia="MS Gothic" w:cs="Times New Roman"/>
                <w:b/>
                <w:noProof/>
                <w:color w:val="0033CC"/>
                <w:sz w:val="22"/>
                <w:lang w:val="en-GB"/>
              </w:rPr>
              <w:t>AT, SE, SK</w:t>
            </w:r>
          </w:p>
        </w:tc>
        <w:tc>
          <w:tcPr>
            <w:tcW w:w="6390" w:type="dxa"/>
            <w:vMerge w:val="restart"/>
            <w:vAlign w:val="center"/>
          </w:tcPr>
          <w:p w14:paraId="315C1DB0" w14:textId="5A7A64B2" w:rsidR="000D24DD" w:rsidRPr="002F5C3B" w:rsidRDefault="00FF77A3" w:rsidP="00FD73A0">
            <w:pPr>
              <w:spacing w:after="60" w:line="259" w:lineRule="auto"/>
              <w:jc w:val="both"/>
              <w:rPr>
                <w:rFonts w:eastAsia="Times New Roman" w:cs="Times New Roman"/>
                <w:noProof/>
                <w:sz w:val="22"/>
                <w:lang w:val="en-GB"/>
              </w:rPr>
            </w:pPr>
            <w:r w:rsidRPr="002F5C3B">
              <w:rPr>
                <w:rFonts w:eastAsia="Times New Roman" w:cs="Times New Roman"/>
                <w:noProof/>
                <w:sz w:val="22"/>
                <w:lang w:val="en-GB"/>
              </w:rPr>
              <w:t xml:space="preserve">EU farmers comply </w:t>
            </w:r>
            <w:r w:rsidR="000D24DD" w:rsidRPr="002F5C3B">
              <w:rPr>
                <w:rFonts w:eastAsia="Times New Roman" w:cs="Times New Roman"/>
                <w:noProof/>
                <w:sz w:val="22"/>
                <w:lang w:val="en-GB"/>
              </w:rPr>
              <w:t xml:space="preserve">already with high standards, hence they are in a very good position to comply with EUDR without any further excessive efforts. </w:t>
            </w:r>
          </w:p>
          <w:p w14:paraId="5D713E47" w14:textId="0405C6B4" w:rsidR="000D24DD" w:rsidRPr="002F5C3B" w:rsidRDefault="000D24DD" w:rsidP="00FD73A0">
            <w:pPr>
              <w:spacing w:after="60" w:line="259" w:lineRule="auto"/>
              <w:jc w:val="both"/>
              <w:rPr>
                <w:rFonts w:eastAsia="Times New Roman" w:cs="Times New Roman"/>
                <w:noProof/>
                <w:sz w:val="22"/>
                <w:lang w:val="en-GB"/>
              </w:rPr>
            </w:pPr>
            <w:r w:rsidRPr="002F5C3B">
              <w:rPr>
                <w:rFonts w:eastAsia="Times New Roman" w:cs="Times New Roman"/>
                <w:noProof/>
                <w:sz w:val="22"/>
                <w:lang w:val="en-GB"/>
              </w:rPr>
              <w:t xml:space="preserve">On 2 October 2024, the Commission presented a proposal for an additional </w:t>
            </w:r>
            <w:r w:rsidR="00D60AFF" w:rsidRPr="002F5C3B">
              <w:rPr>
                <w:rFonts w:eastAsia="Times New Roman" w:cs="Times New Roman"/>
                <w:noProof/>
                <w:sz w:val="22"/>
                <w:lang w:val="en-GB"/>
              </w:rPr>
              <w:t>12-month</w:t>
            </w:r>
            <w:r w:rsidRPr="002F5C3B">
              <w:rPr>
                <w:rFonts w:eastAsia="Times New Roman" w:cs="Times New Roman"/>
                <w:noProof/>
                <w:sz w:val="22"/>
                <w:lang w:val="en-GB"/>
              </w:rPr>
              <w:t xml:space="preserve"> phasing-in period, which – upon agreement of co-legislators - will shift the date of entry into application by 12 months, </w:t>
            </w:r>
            <w:r w:rsidRPr="002F5C3B">
              <w:rPr>
                <w:rFonts w:eastAsia="Times New Roman" w:cs="Times New Roman"/>
                <w:noProof/>
                <w:sz w:val="22"/>
                <w:lang w:val="en-GB"/>
              </w:rPr>
              <w:lastRenderedPageBreak/>
              <w:t>to ensure proper and effective implementation for all parties in the scope of the Regulation.</w:t>
            </w:r>
          </w:p>
          <w:p w14:paraId="5C6F0C3F" w14:textId="179F4A61" w:rsidR="000D24DD" w:rsidRPr="002F5C3B" w:rsidRDefault="000D24DD" w:rsidP="00FD73A0">
            <w:pPr>
              <w:spacing w:after="60" w:line="259" w:lineRule="auto"/>
              <w:jc w:val="both"/>
              <w:rPr>
                <w:rFonts w:eastAsia="Times New Roman" w:cs="Times New Roman"/>
                <w:noProof/>
                <w:sz w:val="22"/>
                <w:lang w:val="en-GB"/>
              </w:rPr>
            </w:pPr>
            <w:r w:rsidRPr="002F5C3B">
              <w:rPr>
                <w:rFonts w:eastAsia="Times New Roman" w:cs="Times New Roman"/>
                <w:noProof/>
                <w:sz w:val="22"/>
                <w:lang w:val="en-GB"/>
              </w:rPr>
              <w:t xml:space="preserve">The Commission also published the Guidance Document (C/2024/6789) and Frequently Asked Questions (FAQs) which address and clarify many issues raised by farmers and forest owners. The </w:t>
            </w:r>
            <w:r w:rsidRPr="002F5C3B">
              <w:rPr>
                <w:rFonts w:eastAsia="Times New Roman" w:cs="Times New Roman"/>
                <w:b/>
                <w:bCs/>
                <w:noProof/>
                <w:sz w:val="22"/>
                <w:lang w:val="en-GB"/>
              </w:rPr>
              <w:t>Guidance</w:t>
            </w:r>
            <w:r w:rsidRPr="002F5C3B">
              <w:rPr>
                <w:rFonts w:eastAsia="Times New Roman" w:cs="Times New Roman"/>
                <w:noProof/>
                <w:sz w:val="22"/>
                <w:lang w:val="en-GB"/>
              </w:rPr>
              <w:t xml:space="preserve"> </w:t>
            </w:r>
            <w:r w:rsidRPr="002F5C3B">
              <w:rPr>
                <w:rFonts w:eastAsia="Times New Roman" w:cs="Times New Roman"/>
                <w:b/>
                <w:bCs/>
                <w:noProof/>
                <w:sz w:val="22"/>
                <w:lang w:val="en-GB"/>
              </w:rPr>
              <w:t>Document</w:t>
            </w:r>
            <w:r w:rsidRPr="002F5C3B">
              <w:rPr>
                <w:rFonts w:eastAsia="Times New Roman" w:cs="Times New Roman"/>
                <w:noProof/>
                <w:sz w:val="22"/>
                <w:lang w:val="en-GB"/>
              </w:rPr>
              <w:t xml:space="preserve"> is divided into 11 chapters covering a diverse range of issues such as legality requirements, timeframe of application, due diligence, and clarifications on the product scope. All of these are supported by tangible scenarios. The document introduced flexibility on the issue of ‘agricultural use’, so that environmentally respectful agroforestry and farming practices are promoted and not regarded as conflicting with the EUDR, and that sustainable farming practices - such as setting aside land which is overgrown and then cleared - can be pursued continuously.</w:t>
            </w:r>
          </w:p>
          <w:p w14:paraId="2B35C0A7" w14:textId="1360D797" w:rsidR="000D24DD" w:rsidRPr="002F5C3B" w:rsidRDefault="000D24DD" w:rsidP="00FD73A0">
            <w:pPr>
              <w:spacing w:after="60" w:line="259" w:lineRule="auto"/>
              <w:jc w:val="both"/>
              <w:rPr>
                <w:rFonts w:eastAsia="Times New Roman" w:cs="Times New Roman"/>
                <w:noProof/>
                <w:sz w:val="22"/>
                <w:lang w:val="en-GB"/>
              </w:rPr>
            </w:pPr>
            <w:r w:rsidRPr="002F5C3B">
              <w:rPr>
                <w:rFonts w:eastAsia="Times New Roman" w:cs="Times New Roman"/>
                <w:noProof/>
                <w:sz w:val="22"/>
                <w:lang w:val="en-GB"/>
              </w:rPr>
              <w:t xml:space="preserve">The </w:t>
            </w:r>
            <w:r w:rsidRPr="002F5C3B">
              <w:rPr>
                <w:rFonts w:eastAsia="Times New Roman" w:cs="Times New Roman"/>
                <w:b/>
                <w:bCs/>
                <w:noProof/>
                <w:sz w:val="22"/>
                <w:lang w:val="en-GB"/>
              </w:rPr>
              <w:t>FAQs</w:t>
            </w:r>
            <w:r w:rsidRPr="002F5C3B">
              <w:rPr>
                <w:rFonts w:eastAsia="Times New Roman" w:cs="Times New Roman"/>
                <w:noProof/>
                <w:sz w:val="22"/>
                <w:lang w:val="en-GB"/>
              </w:rPr>
              <w:t xml:space="preserve"> provide clarification on the application of the rules and promote a pragmatic and consistent interpretation of the regulation, addressing requests from the private sector to have clarifications on EUDR implementation, and to simplify their work as much as possible. </w:t>
            </w:r>
          </w:p>
          <w:p w14:paraId="482C927F" w14:textId="229B1B4D" w:rsidR="000D24DD" w:rsidRPr="002F5C3B" w:rsidRDefault="000D24DD" w:rsidP="00FD73A0">
            <w:pPr>
              <w:pStyle w:val="ListParagraph"/>
              <w:numPr>
                <w:ilvl w:val="0"/>
                <w:numId w:val="37"/>
              </w:numPr>
              <w:spacing w:line="259" w:lineRule="auto"/>
              <w:jc w:val="both"/>
              <w:rPr>
                <w:rFonts w:eastAsia="Times New Roman" w:cs="Times New Roman"/>
                <w:noProof/>
                <w:sz w:val="22"/>
                <w:lang w:val="en-GB"/>
              </w:rPr>
            </w:pPr>
            <w:r w:rsidRPr="002F5C3B">
              <w:rPr>
                <w:rFonts w:eastAsia="Times New Roman" w:cs="Times New Roman"/>
                <w:noProof/>
                <w:sz w:val="22"/>
                <w:lang w:val="en-GB"/>
              </w:rPr>
              <w:t xml:space="preserve">It was clarified that companies do not need to file a due diligence statement for every shipment or batch. One statement can cover multiple shipments and companies can do so for every contract. </w:t>
            </w:r>
          </w:p>
          <w:p w14:paraId="70FCE514" w14:textId="35545109" w:rsidR="000D24DD" w:rsidRPr="002F5C3B" w:rsidRDefault="000D24DD" w:rsidP="00FD73A0">
            <w:pPr>
              <w:pStyle w:val="ListParagraph"/>
              <w:numPr>
                <w:ilvl w:val="0"/>
                <w:numId w:val="37"/>
              </w:numPr>
              <w:spacing w:line="259" w:lineRule="auto"/>
              <w:jc w:val="both"/>
              <w:rPr>
                <w:rFonts w:eastAsia="Times New Roman" w:cs="Times New Roman"/>
                <w:noProof/>
                <w:sz w:val="22"/>
                <w:lang w:val="en-GB"/>
              </w:rPr>
            </w:pPr>
            <w:r w:rsidRPr="002F5C3B">
              <w:rPr>
                <w:rFonts w:eastAsia="Times New Roman" w:cs="Times New Roman"/>
                <w:noProof/>
                <w:sz w:val="22"/>
                <w:lang w:val="en-GB"/>
              </w:rPr>
              <w:t xml:space="preserve">The rules for products containing multiple commodities were explained (for instance, a chocolate bar containing cocoa powder, cocoa butter, coffee and palm oil): the operator only has to conduct due diligence for the products falling under the main commodity group. </w:t>
            </w:r>
          </w:p>
          <w:p w14:paraId="30ED3364" w14:textId="4F6B81B1" w:rsidR="000D24DD" w:rsidRPr="002F5C3B" w:rsidRDefault="000D24DD" w:rsidP="00FD73A0">
            <w:pPr>
              <w:pStyle w:val="ListParagraph"/>
              <w:numPr>
                <w:ilvl w:val="0"/>
                <w:numId w:val="37"/>
              </w:numPr>
              <w:spacing w:line="259" w:lineRule="auto"/>
              <w:jc w:val="both"/>
              <w:rPr>
                <w:rFonts w:eastAsia="Times New Roman" w:cs="Times New Roman"/>
                <w:noProof/>
                <w:sz w:val="22"/>
                <w:lang w:val="en-GB"/>
              </w:rPr>
            </w:pPr>
            <w:r w:rsidRPr="002F5C3B">
              <w:rPr>
                <w:rFonts w:eastAsia="Times New Roman" w:cs="Times New Roman"/>
                <w:noProof/>
                <w:sz w:val="22"/>
                <w:lang w:val="en-GB"/>
              </w:rPr>
              <w:t xml:space="preserve">The work for operators dealing with bulk commodities was simplified, for example by limiting obligations for products in silos and by allowing operators to declare plots of land in excess. </w:t>
            </w:r>
          </w:p>
          <w:p w14:paraId="16D95860" w14:textId="209E55B6" w:rsidR="000D24DD" w:rsidRPr="002F5C3B" w:rsidRDefault="000D24DD" w:rsidP="00FD73A0">
            <w:pPr>
              <w:pStyle w:val="ListParagraph"/>
              <w:numPr>
                <w:ilvl w:val="0"/>
                <w:numId w:val="37"/>
              </w:numPr>
              <w:spacing w:line="259" w:lineRule="auto"/>
              <w:jc w:val="both"/>
              <w:rPr>
                <w:rFonts w:eastAsia="Times New Roman" w:cs="Times New Roman"/>
                <w:noProof/>
                <w:sz w:val="22"/>
                <w:lang w:val="en-GB"/>
              </w:rPr>
            </w:pPr>
            <w:r w:rsidRPr="002F5C3B">
              <w:rPr>
                <w:rFonts w:eastAsia="Times New Roman" w:cs="Times New Roman"/>
                <w:noProof/>
                <w:sz w:val="22"/>
                <w:lang w:val="en-GB"/>
              </w:rPr>
              <w:t xml:space="preserve">The scope of the EUDR was clarified that operators using relevant products to produce non relevant products (examples: farmers </w:t>
            </w:r>
            <w:r w:rsidRPr="002F5C3B">
              <w:rPr>
                <w:rFonts w:eastAsia="Times New Roman" w:cs="Times New Roman"/>
                <w:noProof/>
                <w:sz w:val="22"/>
                <w:lang w:val="en-GB"/>
              </w:rPr>
              <w:lastRenderedPageBreak/>
              <w:t xml:space="preserve">growing soy to feed their poultry) are outside the scope of the EUDR. Simplification efforts also focused on the scope: cattle animals born before the entry into force are not in scope and are not subject to the requirements. </w:t>
            </w:r>
          </w:p>
          <w:p w14:paraId="4E66ECB4" w14:textId="59A90F08" w:rsidR="00872C68" w:rsidRPr="002F5C3B" w:rsidRDefault="000D24DD" w:rsidP="00FD73A0">
            <w:pPr>
              <w:pStyle w:val="ListParagraph"/>
              <w:numPr>
                <w:ilvl w:val="0"/>
                <w:numId w:val="37"/>
              </w:numPr>
              <w:spacing w:after="60" w:line="259" w:lineRule="auto"/>
              <w:ind w:left="357" w:hanging="357"/>
              <w:contextualSpacing w:val="0"/>
              <w:jc w:val="both"/>
              <w:rPr>
                <w:rFonts w:eastAsia="Times New Roman" w:cs="Times New Roman"/>
                <w:noProof/>
                <w:sz w:val="22"/>
                <w:lang w:val="en-GB"/>
              </w:rPr>
            </w:pPr>
            <w:r w:rsidRPr="002F5C3B">
              <w:rPr>
                <w:rFonts w:eastAsia="Times New Roman" w:cs="Times New Roman"/>
                <w:noProof/>
                <w:sz w:val="22"/>
                <w:lang w:val="en-GB"/>
              </w:rPr>
              <w:t>It was clarified that operators and traders are not made liable for forest degradation that takes place after they have placed relevant products on the EU market.</w:t>
            </w:r>
          </w:p>
        </w:tc>
      </w:tr>
      <w:tr w:rsidR="001F253E" w:rsidRPr="00FD703D" w14:paraId="22CF92BD" w14:textId="77777777" w:rsidTr="00B54A1E">
        <w:trPr>
          <w:trHeight w:val="300"/>
        </w:trPr>
        <w:tc>
          <w:tcPr>
            <w:tcW w:w="616" w:type="dxa"/>
            <w:vAlign w:val="center"/>
          </w:tcPr>
          <w:p w14:paraId="7F35AFC2" w14:textId="04137D32"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lastRenderedPageBreak/>
              <w:t>28</w:t>
            </w:r>
            <w:r w:rsidR="00E558D0">
              <w:rPr>
                <w:rFonts w:eastAsia="Calibri" w:cs="Times New Roman"/>
                <w:b/>
                <w:bCs/>
                <w:noProof/>
                <w:sz w:val="22"/>
                <w:lang w:val="en-GB"/>
              </w:rPr>
              <w:t>7</w:t>
            </w:r>
          </w:p>
        </w:tc>
        <w:tc>
          <w:tcPr>
            <w:tcW w:w="5983" w:type="dxa"/>
          </w:tcPr>
          <w:p w14:paraId="49A4B1D1" w14:textId="0DBDF69A" w:rsidR="00872C68" w:rsidRPr="002F5C3B" w:rsidRDefault="29CB0D46" w:rsidP="7E954136">
            <w:pPr>
              <w:spacing w:after="60" w:line="259" w:lineRule="auto"/>
              <w:jc w:val="both"/>
              <w:rPr>
                <w:rFonts w:eastAsia="Calibri" w:cs="Times New Roman"/>
                <w:noProof/>
                <w:sz w:val="22"/>
                <w:szCs w:val="20"/>
                <w:lang w:val="en-GB"/>
              </w:rPr>
            </w:pPr>
            <w:r w:rsidRPr="002F5C3B">
              <w:rPr>
                <w:rFonts w:eastAsia="Calibri" w:cs="Times New Roman"/>
                <w:b/>
                <w:bCs/>
                <w:noProof/>
                <w:sz w:val="22"/>
                <w:szCs w:val="20"/>
                <w:lang w:val="en-GB"/>
              </w:rPr>
              <w:t>Legal security for agricultural and forestry work</w:t>
            </w:r>
            <w:r w:rsidRPr="002F5C3B">
              <w:rPr>
                <w:rFonts w:eastAsia="Calibri" w:cs="Times New Roman"/>
                <w:noProof/>
                <w:sz w:val="22"/>
                <w:szCs w:val="20"/>
                <w:lang w:val="en-GB"/>
              </w:rPr>
              <w:t>:</w:t>
            </w:r>
            <w:r w:rsidR="3FC57A47" w:rsidRPr="002F5C3B">
              <w:rPr>
                <w:rFonts w:eastAsia="Calibri" w:cs="Times New Roman"/>
                <w:noProof/>
                <w:sz w:val="22"/>
                <w:szCs w:val="20"/>
                <w:lang w:val="en-GB"/>
              </w:rPr>
              <w:t xml:space="preserve"> </w:t>
            </w:r>
            <w:r w:rsidR="5214B396" w:rsidRPr="002F5C3B">
              <w:rPr>
                <w:rFonts w:eastAsia="Calibri" w:cs="Times New Roman"/>
                <w:noProof/>
                <w:sz w:val="22"/>
                <w:szCs w:val="20"/>
                <w:lang w:val="en-GB"/>
              </w:rPr>
              <w:t>t</w:t>
            </w:r>
            <w:r w:rsidRPr="002F5C3B">
              <w:rPr>
                <w:rFonts w:eastAsia="Calibri" w:cs="Times New Roman"/>
                <w:noProof/>
                <w:sz w:val="22"/>
                <w:szCs w:val="20"/>
                <w:lang w:val="en-GB"/>
              </w:rPr>
              <w:t xml:space="preserve">o provide legal security for agricultural and forestry work (ditch cleaning, legal clearance obligations, etc.) it is proposed to add </w:t>
            </w:r>
            <w:r w:rsidR="61D36563" w:rsidRPr="002F5C3B">
              <w:rPr>
                <w:rFonts w:eastAsia="Calibri" w:cs="Times New Roman"/>
                <w:noProof/>
                <w:sz w:val="22"/>
                <w:szCs w:val="20"/>
                <w:lang w:val="en-GB"/>
              </w:rPr>
              <w:t>the</w:t>
            </w:r>
            <w:r w:rsidRPr="002F5C3B">
              <w:rPr>
                <w:rFonts w:eastAsia="Calibri" w:cs="Times New Roman"/>
                <w:noProof/>
                <w:sz w:val="22"/>
                <w:szCs w:val="20"/>
                <w:lang w:val="en-GB"/>
              </w:rPr>
              <w:t xml:space="preserve"> possibility of derogation </w:t>
            </w:r>
            <w:r w:rsidR="61D36563" w:rsidRPr="002F5C3B">
              <w:rPr>
                <w:rFonts w:eastAsia="Calibri" w:cs="Times New Roman"/>
                <w:noProof/>
                <w:sz w:val="22"/>
                <w:szCs w:val="20"/>
                <w:lang w:val="en-GB"/>
              </w:rPr>
              <w:t xml:space="preserve">from </w:t>
            </w:r>
            <w:r w:rsidRPr="002F5C3B">
              <w:rPr>
                <w:rFonts w:eastAsia="Calibri" w:cs="Times New Roman"/>
                <w:noProof/>
                <w:sz w:val="22"/>
                <w:szCs w:val="20"/>
                <w:lang w:val="en-GB"/>
              </w:rPr>
              <w:t xml:space="preserve">the EUDR to the list of derogations provided for in </w:t>
            </w:r>
            <w:r w:rsidRPr="002F5C3B">
              <w:rPr>
                <w:rFonts w:eastAsia="Calibri" w:cs="Times New Roman"/>
                <w:i/>
                <w:iCs/>
                <w:noProof/>
                <w:sz w:val="22"/>
                <w:szCs w:val="20"/>
                <w:lang w:val="en-GB"/>
              </w:rPr>
              <w:t>Article 16</w:t>
            </w:r>
            <w:r w:rsidRPr="002F5C3B">
              <w:rPr>
                <w:rFonts w:eastAsia="Calibri" w:cs="Times New Roman"/>
                <w:noProof/>
                <w:sz w:val="22"/>
                <w:szCs w:val="20"/>
                <w:lang w:val="en-GB"/>
              </w:rPr>
              <w:t xml:space="preserve"> of the Habitats Directive (92/43/EEC). This possibility would consist of recognising situations in which agricultural and forestry work is authorised by the administration, or regularly declared to the administration in compliance with the conservation objectives laid down in this Directive, and regularly carried out.  </w:t>
            </w:r>
          </w:p>
        </w:tc>
        <w:tc>
          <w:tcPr>
            <w:tcW w:w="1530" w:type="dxa"/>
            <w:vAlign w:val="center"/>
          </w:tcPr>
          <w:p w14:paraId="4E468102" w14:textId="77777777" w:rsidR="00872C68" w:rsidRPr="002F5C3B" w:rsidRDefault="00872C68" w:rsidP="001061AF">
            <w:pPr>
              <w:spacing w:after="60" w:line="259" w:lineRule="auto"/>
              <w:jc w:val="center"/>
              <w:rPr>
                <w:rFonts w:eastAsia="MS Gothic" w:cs="Times New Roman"/>
                <w:b/>
                <w:noProof/>
                <w:color w:val="0033CC"/>
                <w:sz w:val="22"/>
                <w:lang w:val="en-GB"/>
              </w:rPr>
            </w:pPr>
            <w:r w:rsidRPr="002F5C3B">
              <w:rPr>
                <w:rFonts w:eastAsia="MS Gothic" w:cs="Times New Roman"/>
                <w:b/>
                <w:noProof/>
                <w:color w:val="0033CC"/>
                <w:sz w:val="22"/>
                <w:lang w:val="en-GB"/>
              </w:rPr>
              <w:t>FR</w:t>
            </w:r>
          </w:p>
        </w:tc>
        <w:tc>
          <w:tcPr>
            <w:tcW w:w="6390" w:type="dxa"/>
            <w:vMerge/>
          </w:tcPr>
          <w:p w14:paraId="01CFFAA7" w14:textId="77777777" w:rsidR="00872C68" w:rsidRPr="002F5C3B" w:rsidRDefault="00872C68" w:rsidP="001061AF">
            <w:pPr>
              <w:spacing w:after="60" w:line="259" w:lineRule="auto"/>
              <w:jc w:val="both"/>
              <w:rPr>
                <w:rFonts w:eastAsia="Calibri" w:cs="Times New Roman"/>
                <w:noProof/>
                <w:sz w:val="22"/>
                <w:lang w:val="en-GB"/>
              </w:rPr>
            </w:pPr>
          </w:p>
        </w:tc>
      </w:tr>
      <w:tr w:rsidR="001F253E" w:rsidRPr="00FD703D" w14:paraId="003D0D47" w14:textId="77777777" w:rsidTr="00B54A1E">
        <w:trPr>
          <w:trHeight w:val="300"/>
        </w:trPr>
        <w:tc>
          <w:tcPr>
            <w:tcW w:w="616" w:type="dxa"/>
            <w:vAlign w:val="center"/>
          </w:tcPr>
          <w:p w14:paraId="103D2DBD" w14:textId="4BC746B2"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28</w:t>
            </w:r>
            <w:r w:rsidR="00E558D0">
              <w:rPr>
                <w:rFonts w:eastAsia="Calibri" w:cs="Times New Roman"/>
                <w:b/>
                <w:bCs/>
                <w:noProof/>
                <w:sz w:val="22"/>
                <w:lang w:val="en-GB"/>
              </w:rPr>
              <w:t>8</w:t>
            </w:r>
          </w:p>
        </w:tc>
        <w:tc>
          <w:tcPr>
            <w:tcW w:w="5983" w:type="dxa"/>
          </w:tcPr>
          <w:p w14:paraId="1610644F" w14:textId="418E80D0" w:rsidR="00872C68" w:rsidRPr="002F5C3B" w:rsidRDefault="29CB0D46" w:rsidP="7E954136">
            <w:pPr>
              <w:spacing w:after="60" w:line="259" w:lineRule="auto"/>
              <w:jc w:val="both"/>
              <w:rPr>
                <w:rFonts w:eastAsia="Calibri" w:cs="Times New Roman"/>
                <w:noProof/>
                <w:sz w:val="22"/>
                <w:szCs w:val="20"/>
                <w:lang w:val="en-GB"/>
              </w:rPr>
            </w:pPr>
            <w:r w:rsidRPr="002F5C3B">
              <w:rPr>
                <w:rFonts w:eastAsia="Calibri" w:cs="Times New Roman"/>
                <w:b/>
                <w:bCs/>
                <w:noProof/>
                <w:sz w:val="22"/>
                <w:szCs w:val="20"/>
                <w:lang w:val="en-GB"/>
              </w:rPr>
              <w:t>Legal certainty for agricultural and forestry work:</w:t>
            </w:r>
            <w:r w:rsidRPr="002F5C3B">
              <w:rPr>
                <w:rFonts w:eastAsia="Calibri" w:cs="Times New Roman"/>
                <w:noProof/>
                <w:sz w:val="22"/>
                <w:szCs w:val="20"/>
                <w:lang w:val="en-GB"/>
              </w:rPr>
              <w:t xml:space="preserve"> </w:t>
            </w:r>
            <w:r w:rsidR="6B1C37B7" w:rsidRPr="002F5C3B">
              <w:rPr>
                <w:rFonts w:eastAsia="Calibri" w:cs="Times New Roman"/>
                <w:noProof/>
                <w:sz w:val="22"/>
                <w:szCs w:val="20"/>
                <w:lang w:val="en-GB"/>
              </w:rPr>
              <w:t>t</w:t>
            </w:r>
            <w:r w:rsidRPr="002F5C3B">
              <w:rPr>
                <w:rFonts w:eastAsia="Calibri" w:cs="Times New Roman"/>
                <w:noProof/>
                <w:sz w:val="22"/>
                <w:szCs w:val="20"/>
                <w:lang w:val="en-GB"/>
              </w:rPr>
              <w:t>o provide legal certainty for agricultural and forestry work (ditch cleaning, legal clearance obligations, etc.) it is proposed to exempt from criminal penalties infringements in the context of agricultural and forestry work</w:t>
            </w:r>
            <w:r w:rsidR="61D36563" w:rsidRPr="002F5C3B">
              <w:rPr>
                <w:rFonts w:eastAsia="Calibri" w:cs="Times New Roman"/>
                <w:noProof/>
                <w:sz w:val="22"/>
                <w:szCs w:val="20"/>
                <w:lang w:val="en-GB"/>
              </w:rPr>
              <w:t xml:space="preserve"> that</w:t>
            </w:r>
            <w:r w:rsidRPr="002F5C3B">
              <w:rPr>
                <w:rFonts w:eastAsia="Calibri" w:cs="Times New Roman"/>
                <w:noProof/>
                <w:sz w:val="22"/>
                <w:szCs w:val="20"/>
                <w:lang w:val="en-GB"/>
              </w:rPr>
              <w:t xml:space="preserve"> is regularly authorised by the administration or declared, and regularly carried out, by amending </w:t>
            </w:r>
            <w:r w:rsidRPr="002F5C3B">
              <w:rPr>
                <w:rFonts w:eastAsia="Calibri" w:cs="Times New Roman"/>
                <w:i/>
                <w:iCs/>
                <w:noProof/>
                <w:sz w:val="22"/>
                <w:szCs w:val="20"/>
                <w:lang w:val="en-GB"/>
              </w:rPr>
              <w:t>Art</w:t>
            </w:r>
            <w:r w:rsidR="6E2C3835" w:rsidRPr="002F5C3B">
              <w:rPr>
                <w:rFonts w:eastAsia="Calibri" w:cs="Times New Roman"/>
                <w:i/>
                <w:iCs/>
                <w:noProof/>
                <w:sz w:val="22"/>
                <w:szCs w:val="20"/>
                <w:lang w:val="en-GB"/>
              </w:rPr>
              <w:t>icle</w:t>
            </w:r>
            <w:r w:rsidRPr="002F5C3B">
              <w:rPr>
                <w:rFonts w:eastAsia="Calibri" w:cs="Times New Roman"/>
                <w:i/>
                <w:iCs/>
                <w:noProof/>
                <w:sz w:val="22"/>
                <w:szCs w:val="20"/>
                <w:lang w:val="en-GB"/>
              </w:rPr>
              <w:t xml:space="preserve"> 5</w:t>
            </w:r>
            <w:r w:rsidRPr="002F5C3B">
              <w:rPr>
                <w:rFonts w:eastAsia="Calibri" w:cs="Times New Roman"/>
                <w:noProof/>
                <w:sz w:val="22"/>
                <w:szCs w:val="20"/>
                <w:lang w:val="en-GB"/>
              </w:rPr>
              <w:t xml:space="preserve"> of the Directive on the protection of the environment through criminal law (Directive 2008/99/EC).</w:t>
            </w:r>
          </w:p>
        </w:tc>
        <w:tc>
          <w:tcPr>
            <w:tcW w:w="1530" w:type="dxa"/>
            <w:vAlign w:val="center"/>
          </w:tcPr>
          <w:p w14:paraId="0DE4EA77" w14:textId="77777777" w:rsidR="00872C68" w:rsidRPr="002F5C3B" w:rsidRDefault="00872C68" w:rsidP="001061AF">
            <w:pPr>
              <w:spacing w:after="60" w:line="259" w:lineRule="auto"/>
              <w:jc w:val="center"/>
              <w:rPr>
                <w:rFonts w:eastAsia="MS Gothic" w:cs="Times New Roman"/>
                <w:b/>
                <w:noProof/>
                <w:color w:val="0033CC"/>
                <w:sz w:val="22"/>
                <w:lang w:val="en-GB"/>
              </w:rPr>
            </w:pPr>
            <w:r w:rsidRPr="002F5C3B">
              <w:rPr>
                <w:rFonts w:eastAsia="MS Gothic" w:cs="Times New Roman"/>
                <w:b/>
                <w:noProof/>
                <w:color w:val="0033CC"/>
                <w:sz w:val="22"/>
                <w:lang w:val="en-GB"/>
              </w:rPr>
              <w:t>FR</w:t>
            </w:r>
          </w:p>
        </w:tc>
        <w:tc>
          <w:tcPr>
            <w:tcW w:w="6390" w:type="dxa"/>
            <w:vMerge/>
          </w:tcPr>
          <w:p w14:paraId="2203A0D0" w14:textId="77777777" w:rsidR="00872C68" w:rsidRPr="002F5C3B" w:rsidRDefault="00872C68" w:rsidP="001061AF">
            <w:pPr>
              <w:spacing w:after="60" w:line="259" w:lineRule="auto"/>
              <w:jc w:val="both"/>
              <w:rPr>
                <w:rFonts w:eastAsia="Calibri" w:cs="Times New Roman"/>
                <w:noProof/>
                <w:sz w:val="22"/>
                <w:lang w:val="en-GB"/>
              </w:rPr>
            </w:pPr>
          </w:p>
        </w:tc>
      </w:tr>
      <w:tr w:rsidR="001F253E" w:rsidRPr="00FD703D" w14:paraId="34A07C7F" w14:textId="77777777" w:rsidTr="00B54A1E">
        <w:trPr>
          <w:trHeight w:val="300"/>
        </w:trPr>
        <w:tc>
          <w:tcPr>
            <w:tcW w:w="616" w:type="dxa"/>
            <w:vAlign w:val="center"/>
          </w:tcPr>
          <w:p w14:paraId="41331BBC" w14:textId="7B190D99"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w:t>
            </w:r>
            <w:r w:rsidR="00E558D0">
              <w:rPr>
                <w:rFonts w:eastAsia="Calibri" w:cs="Times New Roman"/>
                <w:b/>
                <w:bCs/>
                <w:noProof/>
                <w:sz w:val="22"/>
                <w:lang w:val="en-GB"/>
              </w:rPr>
              <w:t>89</w:t>
            </w:r>
          </w:p>
        </w:tc>
        <w:tc>
          <w:tcPr>
            <w:tcW w:w="5983" w:type="dxa"/>
          </w:tcPr>
          <w:p w14:paraId="60BBC4F4" w14:textId="754051AC" w:rsidR="00872C68" w:rsidRPr="002F5C3B" w:rsidRDefault="29CB0D46" w:rsidP="7E954136">
            <w:pPr>
              <w:spacing w:after="60" w:line="259" w:lineRule="auto"/>
              <w:jc w:val="both"/>
              <w:rPr>
                <w:rFonts w:eastAsia="Calibri" w:cs="Times New Roman"/>
                <w:noProof/>
                <w:sz w:val="22"/>
                <w:szCs w:val="20"/>
                <w:lang w:val="en-GB"/>
              </w:rPr>
            </w:pPr>
            <w:r w:rsidRPr="002F5C3B">
              <w:rPr>
                <w:rFonts w:eastAsia="Calibri" w:cs="Times New Roman"/>
                <w:b/>
                <w:bCs/>
                <w:noProof/>
                <w:sz w:val="22"/>
                <w:szCs w:val="20"/>
                <w:lang w:val="en-GB"/>
              </w:rPr>
              <w:t xml:space="preserve">Registration </w:t>
            </w:r>
            <w:r w:rsidR="61D36563" w:rsidRPr="002F5C3B">
              <w:rPr>
                <w:rFonts w:eastAsia="Calibri" w:cs="Times New Roman"/>
                <w:b/>
                <w:bCs/>
                <w:noProof/>
                <w:sz w:val="22"/>
                <w:szCs w:val="20"/>
                <w:lang w:val="en-GB"/>
              </w:rPr>
              <w:t>of a single</w:t>
            </w:r>
            <w:r w:rsidRPr="002F5C3B">
              <w:rPr>
                <w:rFonts w:eastAsia="Calibri" w:cs="Times New Roman"/>
                <w:b/>
                <w:bCs/>
                <w:noProof/>
                <w:sz w:val="22"/>
                <w:szCs w:val="20"/>
                <w:lang w:val="en-GB"/>
              </w:rPr>
              <w:t xml:space="preserve"> </w:t>
            </w:r>
            <w:r w:rsidR="61D36563" w:rsidRPr="002F5C3B">
              <w:rPr>
                <w:rFonts w:eastAsia="Calibri" w:cs="Times New Roman"/>
                <w:b/>
                <w:bCs/>
                <w:noProof/>
                <w:sz w:val="22"/>
                <w:szCs w:val="20"/>
                <w:lang w:val="en-GB"/>
              </w:rPr>
              <w:t>d</w:t>
            </w:r>
            <w:r w:rsidRPr="002F5C3B">
              <w:rPr>
                <w:rFonts w:eastAsia="Calibri" w:cs="Times New Roman"/>
                <w:b/>
                <w:bCs/>
                <w:noProof/>
                <w:sz w:val="22"/>
                <w:szCs w:val="20"/>
                <w:lang w:val="en-GB"/>
              </w:rPr>
              <w:t xml:space="preserve">ue </w:t>
            </w:r>
            <w:r w:rsidR="61D36563" w:rsidRPr="002F5C3B">
              <w:rPr>
                <w:rFonts w:eastAsia="Calibri" w:cs="Times New Roman"/>
                <w:b/>
                <w:bCs/>
                <w:noProof/>
                <w:sz w:val="22"/>
                <w:szCs w:val="20"/>
                <w:lang w:val="en-GB"/>
              </w:rPr>
              <w:t>d</w:t>
            </w:r>
            <w:r w:rsidRPr="002F5C3B">
              <w:rPr>
                <w:rFonts w:eastAsia="Calibri" w:cs="Times New Roman"/>
                <w:b/>
                <w:bCs/>
                <w:noProof/>
                <w:sz w:val="22"/>
                <w:szCs w:val="20"/>
                <w:lang w:val="en-GB"/>
              </w:rPr>
              <w:t xml:space="preserve">iligence </w:t>
            </w:r>
            <w:r w:rsidR="61D36563" w:rsidRPr="002F5C3B">
              <w:rPr>
                <w:rFonts w:eastAsia="Calibri" w:cs="Times New Roman"/>
                <w:b/>
                <w:bCs/>
                <w:noProof/>
                <w:sz w:val="22"/>
                <w:szCs w:val="20"/>
                <w:lang w:val="en-GB"/>
              </w:rPr>
              <w:t>s</w:t>
            </w:r>
            <w:r w:rsidRPr="002F5C3B">
              <w:rPr>
                <w:rFonts w:eastAsia="Calibri" w:cs="Times New Roman"/>
                <w:b/>
                <w:bCs/>
                <w:noProof/>
                <w:sz w:val="22"/>
                <w:szCs w:val="20"/>
                <w:lang w:val="en-GB"/>
              </w:rPr>
              <w:t>tatement:</w:t>
            </w:r>
            <w:r w:rsidRPr="002F5C3B">
              <w:rPr>
                <w:rFonts w:eastAsia="Calibri" w:cs="Times New Roman"/>
                <w:noProof/>
                <w:sz w:val="22"/>
                <w:szCs w:val="20"/>
                <w:lang w:val="en-GB"/>
              </w:rPr>
              <w:t xml:space="preserve"> </w:t>
            </w:r>
            <w:r w:rsidR="43185DD2" w:rsidRPr="002F5C3B">
              <w:rPr>
                <w:rFonts w:eastAsia="Calibri" w:cs="Times New Roman"/>
                <w:noProof/>
                <w:sz w:val="22"/>
                <w:szCs w:val="20"/>
                <w:lang w:val="en-GB"/>
              </w:rPr>
              <w:t>e</w:t>
            </w:r>
            <w:r w:rsidRPr="002F5C3B">
              <w:rPr>
                <w:rFonts w:eastAsia="Calibri" w:cs="Times New Roman"/>
                <w:noProof/>
                <w:sz w:val="22"/>
                <w:szCs w:val="20"/>
                <w:lang w:val="en-GB"/>
              </w:rPr>
              <w:t xml:space="preserve">nable operators to register </w:t>
            </w:r>
            <w:r w:rsidR="397DD85B" w:rsidRPr="002F5C3B">
              <w:rPr>
                <w:rFonts w:eastAsia="Calibri" w:cs="Times New Roman"/>
                <w:noProof/>
                <w:sz w:val="22"/>
                <w:szCs w:val="20"/>
                <w:lang w:val="en-GB"/>
              </w:rPr>
              <w:t>a single d</w:t>
            </w:r>
            <w:r w:rsidRPr="002F5C3B">
              <w:rPr>
                <w:rFonts w:eastAsia="Calibri" w:cs="Times New Roman"/>
                <w:noProof/>
                <w:sz w:val="22"/>
                <w:szCs w:val="20"/>
                <w:lang w:val="en-GB"/>
              </w:rPr>
              <w:t xml:space="preserve">ue </w:t>
            </w:r>
            <w:r w:rsidR="397DD85B" w:rsidRPr="002F5C3B">
              <w:rPr>
                <w:rFonts w:eastAsia="Calibri" w:cs="Times New Roman"/>
                <w:noProof/>
                <w:sz w:val="22"/>
                <w:szCs w:val="20"/>
                <w:lang w:val="en-GB"/>
              </w:rPr>
              <w:t>d</w:t>
            </w:r>
            <w:r w:rsidRPr="002F5C3B">
              <w:rPr>
                <w:rFonts w:eastAsia="Calibri" w:cs="Times New Roman"/>
                <w:noProof/>
                <w:sz w:val="22"/>
                <w:szCs w:val="20"/>
                <w:lang w:val="en-GB"/>
              </w:rPr>
              <w:t xml:space="preserve">iligence </w:t>
            </w:r>
            <w:r w:rsidR="397DD85B" w:rsidRPr="002F5C3B">
              <w:rPr>
                <w:rFonts w:eastAsia="Calibri" w:cs="Times New Roman"/>
                <w:noProof/>
                <w:sz w:val="22"/>
                <w:szCs w:val="20"/>
                <w:lang w:val="en-GB"/>
              </w:rPr>
              <w:t>s</w:t>
            </w:r>
            <w:r w:rsidRPr="002F5C3B">
              <w:rPr>
                <w:rFonts w:eastAsia="Calibri" w:cs="Times New Roman"/>
                <w:noProof/>
                <w:sz w:val="22"/>
                <w:szCs w:val="20"/>
                <w:lang w:val="en-GB"/>
              </w:rPr>
              <w:t>tatement (DDS) that covers several consignments sent over a certain period, e.g. one DDS for all movements of fattened bulls or culled cows from one farm to a slaughterhouse per one year (</w:t>
            </w:r>
            <w:r w:rsidRPr="002F5C3B">
              <w:rPr>
                <w:rFonts w:eastAsia="Calibri" w:cs="Times New Roman"/>
                <w:i/>
                <w:iCs/>
                <w:noProof/>
                <w:sz w:val="22"/>
                <w:szCs w:val="20"/>
                <w:lang w:val="en-GB"/>
              </w:rPr>
              <w:t xml:space="preserve">Article 4 </w:t>
            </w:r>
            <w:r w:rsidRPr="002F5C3B">
              <w:rPr>
                <w:rFonts w:eastAsia="Calibri" w:cs="Times New Roman"/>
                <w:noProof/>
                <w:sz w:val="22"/>
                <w:szCs w:val="20"/>
                <w:lang w:val="en-GB"/>
              </w:rPr>
              <w:t>of Regulation (EU) 2023/1115)</w:t>
            </w:r>
            <w:r w:rsidR="397DD85B" w:rsidRPr="002F5C3B">
              <w:rPr>
                <w:rFonts w:eastAsia="Calibri" w:cs="Times New Roman"/>
                <w:noProof/>
                <w:sz w:val="22"/>
                <w:szCs w:val="20"/>
                <w:lang w:val="en-GB"/>
              </w:rPr>
              <w:t>.</w:t>
            </w:r>
          </w:p>
        </w:tc>
        <w:tc>
          <w:tcPr>
            <w:tcW w:w="1530" w:type="dxa"/>
            <w:vAlign w:val="center"/>
          </w:tcPr>
          <w:p w14:paraId="1E7F9BB6" w14:textId="77777777" w:rsidR="00872C68" w:rsidRPr="002F5C3B" w:rsidRDefault="00872C68" w:rsidP="001061AF">
            <w:pPr>
              <w:spacing w:after="60" w:line="259" w:lineRule="auto"/>
              <w:jc w:val="center"/>
              <w:rPr>
                <w:rFonts w:eastAsia="MS Gothic" w:cs="Times New Roman"/>
                <w:b/>
                <w:noProof/>
                <w:color w:val="0033CC"/>
                <w:sz w:val="22"/>
                <w:lang w:val="en-GB"/>
              </w:rPr>
            </w:pPr>
            <w:r w:rsidRPr="002F5C3B">
              <w:rPr>
                <w:rFonts w:eastAsia="MS Gothic" w:cs="Times New Roman"/>
                <w:b/>
                <w:noProof/>
                <w:color w:val="0033CC"/>
                <w:sz w:val="22"/>
                <w:lang w:val="en-GB"/>
              </w:rPr>
              <w:t>SK</w:t>
            </w:r>
          </w:p>
        </w:tc>
        <w:tc>
          <w:tcPr>
            <w:tcW w:w="6390" w:type="dxa"/>
            <w:vMerge/>
          </w:tcPr>
          <w:p w14:paraId="20854B25" w14:textId="77777777" w:rsidR="00872C68" w:rsidRPr="002F5C3B" w:rsidRDefault="00872C68" w:rsidP="001061AF">
            <w:pPr>
              <w:spacing w:after="60" w:line="259" w:lineRule="auto"/>
              <w:jc w:val="both"/>
              <w:rPr>
                <w:rFonts w:eastAsia="Calibri" w:cs="Times New Roman"/>
                <w:noProof/>
                <w:sz w:val="22"/>
                <w:lang w:val="en-GB"/>
              </w:rPr>
            </w:pPr>
          </w:p>
        </w:tc>
      </w:tr>
      <w:tr w:rsidR="001F253E" w:rsidRPr="00FD703D" w14:paraId="30A16B27" w14:textId="77777777" w:rsidTr="00B54A1E">
        <w:trPr>
          <w:trHeight w:val="300"/>
        </w:trPr>
        <w:tc>
          <w:tcPr>
            <w:tcW w:w="616" w:type="dxa"/>
            <w:vAlign w:val="center"/>
          </w:tcPr>
          <w:p w14:paraId="0BD4D481" w14:textId="242324C6" w:rsidR="00872C68" w:rsidRPr="00FD703D" w:rsidRDefault="00872C68" w:rsidP="001061AF">
            <w:pPr>
              <w:spacing w:after="60" w:line="259" w:lineRule="auto"/>
              <w:jc w:val="both"/>
              <w:rPr>
                <w:rFonts w:eastAsia="Times New Roman" w:cs="Times New Roman"/>
                <w:b/>
                <w:noProof/>
                <w:sz w:val="22"/>
                <w:lang w:val="en-GB" w:eastAsia="en-IE"/>
              </w:rPr>
            </w:pPr>
            <w:r w:rsidRPr="00FD703D">
              <w:rPr>
                <w:rFonts w:eastAsia="Times New Roman" w:cs="Times New Roman"/>
                <w:b/>
                <w:bCs/>
                <w:noProof/>
                <w:sz w:val="22"/>
                <w:lang w:val="en-GB" w:eastAsia="en-IE"/>
              </w:rPr>
              <w:t>29</w:t>
            </w:r>
            <w:r w:rsidR="00E558D0">
              <w:rPr>
                <w:rFonts w:eastAsia="Times New Roman" w:cs="Times New Roman"/>
                <w:b/>
                <w:bCs/>
                <w:noProof/>
                <w:sz w:val="22"/>
                <w:lang w:val="en-GB" w:eastAsia="en-IE"/>
              </w:rPr>
              <w:t>0</w:t>
            </w:r>
          </w:p>
        </w:tc>
        <w:tc>
          <w:tcPr>
            <w:tcW w:w="5983" w:type="dxa"/>
          </w:tcPr>
          <w:p w14:paraId="4DB65556" w14:textId="3352A9EE" w:rsidR="00872C68" w:rsidRPr="002F5C3B" w:rsidRDefault="29CB0D46" w:rsidP="7E954136">
            <w:pPr>
              <w:spacing w:after="60" w:line="259" w:lineRule="auto"/>
              <w:jc w:val="both"/>
              <w:rPr>
                <w:rFonts w:eastAsia="Times New Roman" w:cs="Times New Roman"/>
                <w:noProof/>
                <w:sz w:val="22"/>
                <w:szCs w:val="20"/>
                <w:lang w:val="en-GB" w:eastAsia="en-IE"/>
              </w:rPr>
            </w:pPr>
            <w:r w:rsidRPr="002F5C3B">
              <w:rPr>
                <w:rFonts w:eastAsia="Times New Roman" w:cs="Times New Roman"/>
                <w:b/>
                <w:bCs/>
                <w:noProof/>
                <w:sz w:val="22"/>
                <w:szCs w:val="20"/>
                <w:lang w:val="en-GB" w:eastAsia="en-IE"/>
              </w:rPr>
              <w:t>Revision of the requirements of the EU Deforestation Regulation</w:t>
            </w:r>
            <w:r w:rsidRPr="002F5C3B">
              <w:rPr>
                <w:rFonts w:eastAsia="Times New Roman" w:cs="Times New Roman"/>
                <w:noProof/>
                <w:sz w:val="22"/>
                <w:szCs w:val="20"/>
                <w:lang w:val="en-GB" w:eastAsia="en-IE"/>
              </w:rPr>
              <w:t xml:space="preserve">: </w:t>
            </w:r>
            <w:r w:rsidR="17B75801" w:rsidRPr="002F5C3B">
              <w:rPr>
                <w:rFonts w:eastAsia="Times New Roman" w:cs="Times New Roman"/>
                <w:noProof/>
                <w:sz w:val="22"/>
                <w:szCs w:val="20"/>
                <w:lang w:val="en-GB" w:eastAsia="en-IE"/>
              </w:rPr>
              <w:t>a</w:t>
            </w:r>
            <w:r w:rsidRPr="002F5C3B">
              <w:rPr>
                <w:rFonts w:eastAsia="Times New Roman" w:cs="Times New Roman"/>
                <w:noProof/>
                <w:sz w:val="22"/>
                <w:szCs w:val="20"/>
                <w:lang w:val="en-GB" w:eastAsia="en-IE"/>
              </w:rPr>
              <w:t xml:space="preserve"> fundamental revision of the requirements of the EU Deforestation Regulation is needed. </w:t>
            </w:r>
            <w:r w:rsidR="4819D97C" w:rsidRPr="002F5C3B">
              <w:rPr>
                <w:rFonts w:eastAsia="Times New Roman" w:cs="Times New Roman"/>
                <w:noProof/>
                <w:sz w:val="22"/>
                <w:szCs w:val="20"/>
                <w:lang w:val="en-GB" w:eastAsia="en-IE"/>
              </w:rPr>
              <w:t>The u</w:t>
            </w:r>
            <w:r w:rsidRPr="002F5C3B">
              <w:rPr>
                <w:rFonts w:eastAsia="Times New Roman" w:cs="Times New Roman"/>
                <w:noProof/>
                <w:sz w:val="22"/>
                <w:szCs w:val="20"/>
                <w:lang w:val="en-GB" w:eastAsia="en-IE"/>
              </w:rPr>
              <w:t>rgently needed adjustments are: pure documentation obligation for primary producers in countries with</w:t>
            </w:r>
            <w:r w:rsidR="4819D97C" w:rsidRPr="002F5C3B">
              <w:rPr>
                <w:rFonts w:eastAsia="Times New Roman" w:cs="Times New Roman"/>
                <w:noProof/>
                <w:sz w:val="22"/>
                <w:szCs w:val="20"/>
                <w:lang w:val="en-GB" w:eastAsia="en-IE"/>
              </w:rPr>
              <w:t xml:space="preserve"> a</w:t>
            </w:r>
            <w:r w:rsidRPr="002F5C3B">
              <w:rPr>
                <w:rFonts w:eastAsia="Times New Roman" w:cs="Times New Roman"/>
                <w:noProof/>
                <w:sz w:val="22"/>
                <w:szCs w:val="20"/>
                <w:lang w:val="en-GB" w:eastAsia="en-IE"/>
              </w:rPr>
              <w:t xml:space="preserve"> </w:t>
            </w:r>
            <w:r w:rsidR="4819D97C" w:rsidRPr="002F5C3B">
              <w:rPr>
                <w:rFonts w:eastAsia="Times New Roman" w:cs="Times New Roman"/>
                <w:noProof/>
                <w:sz w:val="22"/>
                <w:szCs w:val="20"/>
                <w:lang w:val="en-GB" w:eastAsia="en-IE"/>
              </w:rPr>
              <w:t>‘</w:t>
            </w:r>
            <w:r w:rsidRPr="002F5C3B">
              <w:rPr>
                <w:rFonts w:eastAsia="Times New Roman" w:cs="Times New Roman"/>
                <w:noProof/>
                <w:sz w:val="22"/>
                <w:szCs w:val="20"/>
                <w:lang w:val="en-GB" w:eastAsia="en-IE"/>
              </w:rPr>
              <w:t>low risk</w:t>
            </w:r>
            <w:r w:rsidR="4819D97C" w:rsidRPr="002F5C3B">
              <w:rPr>
                <w:rFonts w:eastAsia="Times New Roman" w:cs="Times New Roman"/>
                <w:noProof/>
                <w:sz w:val="22"/>
                <w:szCs w:val="20"/>
                <w:lang w:val="en-GB" w:eastAsia="en-IE"/>
              </w:rPr>
              <w:t>’</w:t>
            </w:r>
            <w:r w:rsidRPr="002F5C3B">
              <w:rPr>
                <w:rFonts w:eastAsia="Times New Roman" w:cs="Times New Roman"/>
                <w:noProof/>
                <w:sz w:val="22"/>
                <w:szCs w:val="20"/>
                <w:lang w:val="en-GB" w:eastAsia="en-IE"/>
              </w:rPr>
              <w:t xml:space="preserve"> due to demonstrably stable or increasing forest area in previous decades; introduction of </w:t>
            </w:r>
            <w:r w:rsidR="4819D97C" w:rsidRPr="002F5C3B">
              <w:rPr>
                <w:rFonts w:eastAsia="Times New Roman" w:cs="Times New Roman"/>
                <w:noProof/>
                <w:sz w:val="22"/>
                <w:szCs w:val="20"/>
                <w:lang w:val="en-GB" w:eastAsia="en-IE"/>
              </w:rPr>
              <w:t>‘</w:t>
            </w:r>
            <w:r w:rsidRPr="002F5C3B">
              <w:rPr>
                <w:rFonts w:eastAsia="Times New Roman" w:cs="Times New Roman"/>
                <w:i/>
                <w:iCs/>
                <w:noProof/>
                <w:sz w:val="22"/>
                <w:szCs w:val="20"/>
                <w:lang w:val="en-GB" w:eastAsia="en-IE"/>
              </w:rPr>
              <w:t>de minimis</w:t>
            </w:r>
            <w:r w:rsidRPr="002F5C3B">
              <w:rPr>
                <w:rFonts w:eastAsia="Times New Roman" w:cs="Times New Roman"/>
                <w:noProof/>
                <w:sz w:val="22"/>
                <w:szCs w:val="20"/>
                <w:lang w:val="en-GB" w:eastAsia="en-IE"/>
              </w:rPr>
              <w:t xml:space="preserve"> limits</w:t>
            </w:r>
            <w:r w:rsidR="4819D97C" w:rsidRPr="002F5C3B">
              <w:rPr>
                <w:rFonts w:eastAsia="Times New Roman" w:cs="Times New Roman"/>
                <w:noProof/>
                <w:sz w:val="22"/>
                <w:szCs w:val="20"/>
                <w:lang w:val="en-GB" w:eastAsia="en-IE"/>
              </w:rPr>
              <w:t>’</w:t>
            </w:r>
            <w:r w:rsidRPr="002F5C3B">
              <w:rPr>
                <w:rFonts w:eastAsia="Times New Roman" w:cs="Times New Roman"/>
                <w:noProof/>
                <w:sz w:val="22"/>
                <w:szCs w:val="20"/>
                <w:lang w:val="en-GB" w:eastAsia="en-IE"/>
              </w:rPr>
              <w:t xml:space="preserve"> to continue to enable farm developments in forest-</w:t>
            </w:r>
            <w:r w:rsidRPr="002F5C3B">
              <w:rPr>
                <w:rFonts w:eastAsia="Times New Roman" w:cs="Times New Roman"/>
                <w:noProof/>
                <w:sz w:val="22"/>
                <w:szCs w:val="20"/>
                <w:lang w:val="en-GB" w:eastAsia="en-IE"/>
              </w:rPr>
              <w:lastRenderedPageBreak/>
              <w:t>rich regions; development of a practical and state of the art EU information system; disclosure of a reference number instead of all information in the due diligence declaration</w:t>
            </w:r>
            <w:r w:rsidR="4819D97C" w:rsidRPr="002F5C3B">
              <w:rPr>
                <w:rFonts w:eastAsia="Times New Roman" w:cs="Times New Roman"/>
                <w:noProof/>
                <w:sz w:val="22"/>
                <w:szCs w:val="20"/>
                <w:lang w:val="en-GB" w:eastAsia="en-IE"/>
              </w:rPr>
              <w:t>;</w:t>
            </w:r>
            <w:r w:rsidRPr="002F5C3B">
              <w:rPr>
                <w:rFonts w:eastAsia="Times New Roman" w:cs="Times New Roman"/>
                <w:noProof/>
                <w:sz w:val="22"/>
                <w:szCs w:val="20"/>
                <w:lang w:val="en-GB" w:eastAsia="en-IE"/>
              </w:rPr>
              <w:t xml:space="preserve"> and extension of the implementation deadline for Member States until a revised regulation is published. </w:t>
            </w:r>
          </w:p>
        </w:tc>
        <w:tc>
          <w:tcPr>
            <w:tcW w:w="1530" w:type="dxa"/>
            <w:vAlign w:val="center"/>
          </w:tcPr>
          <w:p w14:paraId="66F4AC9E" w14:textId="77777777" w:rsidR="00872C68" w:rsidRPr="002F5C3B" w:rsidRDefault="00872C68" w:rsidP="001061AF">
            <w:pPr>
              <w:spacing w:after="60" w:line="259" w:lineRule="auto"/>
              <w:jc w:val="center"/>
              <w:rPr>
                <w:rFonts w:eastAsia="MS Gothic" w:cs="Times New Roman"/>
                <w:b/>
                <w:noProof/>
                <w:color w:val="0033CC"/>
                <w:sz w:val="22"/>
                <w:lang w:val="en-GB"/>
              </w:rPr>
            </w:pPr>
            <w:r w:rsidRPr="002F5C3B">
              <w:rPr>
                <w:rFonts w:eastAsia="MS Gothic" w:cs="Times New Roman"/>
                <w:b/>
                <w:noProof/>
                <w:color w:val="0033CC"/>
                <w:sz w:val="22"/>
                <w:lang w:val="en-GB"/>
              </w:rPr>
              <w:lastRenderedPageBreak/>
              <w:t>COPA-COGECA</w:t>
            </w:r>
          </w:p>
        </w:tc>
        <w:tc>
          <w:tcPr>
            <w:tcW w:w="6390" w:type="dxa"/>
            <w:vMerge/>
          </w:tcPr>
          <w:p w14:paraId="538F0436" w14:textId="77777777" w:rsidR="00872C68" w:rsidRPr="002F5C3B" w:rsidDel="00580778" w:rsidRDefault="00872C68" w:rsidP="001061AF">
            <w:pPr>
              <w:spacing w:after="60" w:line="259" w:lineRule="auto"/>
              <w:jc w:val="both"/>
              <w:rPr>
                <w:rFonts w:eastAsia="Calibri" w:cs="Times New Roman"/>
                <w:noProof/>
                <w:sz w:val="22"/>
                <w:lang w:val="en-GB"/>
              </w:rPr>
            </w:pPr>
          </w:p>
        </w:tc>
      </w:tr>
      <w:tr w:rsidR="008A0490" w:rsidRPr="00FD703D" w14:paraId="1CCA2643" w14:textId="77777777" w:rsidTr="00B54A1E">
        <w:trPr>
          <w:trHeight w:val="431"/>
        </w:trPr>
        <w:tc>
          <w:tcPr>
            <w:tcW w:w="14519" w:type="dxa"/>
            <w:gridSpan w:val="4"/>
            <w:tcBorders>
              <w:top w:val="nil"/>
            </w:tcBorders>
            <w:shd w:val="clear" w:color="auto" w:fill="003399"/>
          </w:tcPr>
          <w:p w14:paraId="76AE6E4B" w14:textId="77777777" w:rsidR="00872C68" w:rsidRPr="00FD703D" w:rsidRDefault="00872C68" w:rsidP="004749EF">
            <w:pPr>
              <w:spacing w:before="120" w:after="120" w:line="259" w:lineRule="auto"/>
              <w:jc w:val="center"/>
              <w:rPr>
                <w:rFonts w:eastAsia="Calibri" w:cs="Times New Roman"/>
                <w:noProof/>
                <w:sz w:val="22"/>
                <w:lang w:val="en-GB"/>
              </w:rPr>
            </w:pPr>
            <w:r w:rsidRPr="00FD703D">
              <w:rPr>
                <w:rFonts w:eastAsia="Calibri" w:cs="Times New Roman"/>
                <w:b/>
                <w:bCs/>
                <w:noProof/>
                <w:sz w:val="22"/>
                <w:lang w:val="en-GB"/>
              </w:rPr>
              <w:t>P</w:t>
            </w:r>
            <w:r w:rsidRPr="00FD703D">
              <w:rPr>
                <w:rFonts w:eastAsia="Calibri" w:cs="Times New Roman"/>
                <w:b/>
                <w:noProof/>
                <w:sz w:val="22"/>
                <w:lang w:val="en-GB"/>
              </w:rPr>
              <w:t>roposal for a directive on Soil Monitoring and Resilience (Soil Monitoring Law), COM(2023) 416</w:t>
            </w:r>
          </w:p>
        </w:tc>
      </w:tr>
      <w:tr w:rsidR="00BD6E31" w:rsidRPr="00FD703D" w14:paraId="2134C0AE" w14:textId="77777777" w:rsidTr="00B54A1E">
        <w:trPr>
          <w:trHeight w:val="728"/>
        </w:trPr>
        <w:tc>
          <w:tcPr>
            <w:tcW w:w="616" w:type="dxa"/>
            <w:vAlign w:val="center"/>
          </w:tcPr>
          <w:p w14:paraId="122AAB4A" w14:textId="70FCCBFE" w:rsidR="00872C68" w:rsidRPr="00FD703D" w:rsidRDefault="00872C68" w:rsidP="00CE0C7C">
            <w:pPr>
              <w:spacing w:after="60" w:line="259" w:lineRule="auto"/>
              <w:jc w:val="both"/>
              <w:rPr>
                <w:rFonts w:eastAsia="Calibri" w:cs="Times New Roman"/>
                <w:b/>
                <w:bCs/>
                <w:noProof/>
                <w:sz w:val="22"/>
                <w:lang w:val="en-GB"/>
              </w:rPr>
            </w:pPr>
            <w:r w:rsidRPr="00FD703D">
              <w:rPr>
                <w:rFonts w:eastAsia="Calibri" w:cs="Times New Roman"/>
                <w:b/>
                <w:bCs/>
                <w:noProof/>
                <w:sz w:val="22"/>
                <w:lang w:val="en-GB"/>
              </w:rPr>
              <w:t>29</w:t>
            </w:r>
            <w:r w:rsidR="00E558D0">
              <w:rPr>
                <w:rFonts w:eastAsia="Calibri" w:cs="Times New Roman"/>
                <w:b/>
                <w:bCs/>
                <w:noProof/>
                <w:sz w:val="22"/>
                <w:lang w:val="en-GB"/>
              </w:rPr>
              <w:t>1</w:t>
            </w:r>
          </w:p>
        </w:tc>
        <w:tc>
          <w:tcPr>
            <w:tcW w:w="5983" w:type="dxa"/>
            <w:vAlign w:val="center"/>
          </w:tcPr>
          <w:p w14:paraId="09F9EC49" w14:textId="1EFDF263" w:rsidR="00872C68" w:rsidRPr="00FD703D" w:rsidRDefault="00A371ED" w:rsidP="004749EF">
            <w:pPr>
              <w:spacing w:line="259" w:lineRule="auto"/>
              <w:jc w:val="both"/>
              <w:rPr>
                <w:rFonts w:eastAsia="Calibri" w:cs="Times New Roman"/>
                <w:noProof/>
                <w:sz w:val="22"/>
                <w:lang w:val="en-GB"/>
              </w:rPr>
            </w:pPr>
            <w:r w:rsidRPr="00FD703D">
              <w:rPr>
                <w:rFonts w:eastAsia="Calibri" w:cs="Times New Roman"/>
                <w:b/>
                <w:bCs/>
                <w:noProof/>
                <w:sz w:val="22"/>
                <w:lang w:val="en-GB"/>
              </w:rPr>
              <w:t>Technical annexes</w:t>
            </w:r>
            <w:r w:rsidR="00872C68" w:rsidRPr="00FD703D">
              <w:rPr>
                <w:rFonts w:eastAsia="Calibri" w:cs="Times New Roman"/>
                <w:b/>
                <w:bCs/>
                <w:noProof/>
                <w:sz w:val="22"/>
                <w:lang w:val="en-GB"/>
              </w:rPr>
              <w:t>:</w:t>
            </w:r>
            <w:r w:rsidR="00872C68" w:rsidRPr="00FD703D">
              <w:rPr>
                <w:rFonts w:eastAsia="Calibri" w:cs="Times New Roman"/>
                <w:noProof/>
                <w:sz w:val="22"/>
                <w:lang w:val="en-GB"/>
              </w:rPr>
              <w:t xml:space="preserve"> </w:t>
            </w:r>
            <w:r w:rsidR="008D65F6" w:rsidRPr="00FD703D">
              <w:rPr>
                <w:rFonts w:eastAsia="Calibri" w:cs="Times New Roman"/>
                <w:noProof/>
                <w:sz w:val="22"/>
                <w:lang w:val="en-GB"/>
              </w:rPr>
              <w:t>a</w:t>
            </w:r>
            <w:r w:rsidR="00872C68" w:rsidRPr="00FD703D">
              <w:rPr>
                <w:rFonts w:eastAsia="Calibri" w:cs="Times New Roman"/>
                <w:noProof/>
                <w:sz w:val="22"/>
                <w:lang w:val="en-GB"/>
              </w:rPr>
              <w:t>mendment of the proposal as regards Articles 6 to 8 and technical annexes I, II and III.</w:t>
            </w:r>
          </w:p>
        </w:tc>
        <w:tc>
          <w:tcPr>
            <w:tcW w:w="1530" w:type="dxa"/>
            <w:vAlign w:val="center"/>
          </w:tcPr>
          <w:p w14:paraId="53EA5B0D" w14:textId="77777777" w:rsidR="00872C68" w:rsidRPr="00FD703D" w:rsidRDefault="00872C68" w:rsidP="004749EF">
            <w:pPr>
              <w:spacing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IT</w:t>
            </w:r>
          </w:p>
        </w:tc>
        <w:tc>
          <w:tcPr>
            <w:tcW w:w="6390" w:type="dxa"/>
            <w:vMerge w:val="restart"/>
            <w:vAlign w:val="center"/>
          </w:tcPr>
          <w:p w14:paraId="5C35ECB5" w14:textId="77777777" w:rsidR="006C4B93" w:rsidRDefault="6F874A07" w:rsidP="006C4B93">
            <w:pPr>
              <w:spacing w:before="120" w:after="60" w:line="259" w:lineRule="auto"/>
              <w:jc w:val="both"/>
              <w:rPr>
                <w:rFonts w:eastAsia="Calibri" w:cs="Times New Roman"/>
                <w:noProof/>
                <w:sz w:val="22"/>
                <w:lang w:val="en-GB"/>
              </w:rPr>
            </w:pPr>
            <w:r w:rsidRPr="40BF105E">
              <w:rPr>
                <w:rFonts w:eastAsia="Calibri" w:cs="Times New Roman"/>
                <w:noProof/>
                <w:sz w:val="22"/>
                <w:lang w:val="en-GB"/>
              </w:rPr>
              <w:t>The ordinary legislative procedure for this file is currently ongoing. The European Parliament approved its first reading position on 10 April 2024, while t</w:t>
            </w:r>
            <w:r w:rsidR="00872C68" w:rsidRPr="003C21F1">
              <w:rPr>
                <w:rFonts w:eastAsia="Calibri" w:cs="Times New Roman"/>
                <w:noProof/>
                <w:sz w:val="22"/>
                <w:lang w:val="en-GB"/>
              </w:rPr>
              <w:t xml:space="preserve">he Council has adopted its general approach on </w:t>
            </w:r>
            <w:r w:rsidR="00F9CF5D" w:rsidRPr="40BF105E">
              <w:rPr>
                <w:rFonts w:eastAsia="Calibri" w:cs="Times New Roman"/>
                <w:noProof/>
                <w:sz w:val="22"/>
                <w:lang w:val="en-GB"/>
              </w:rPr>
              <w:t>17 June 2024.</w:t>
            </w:r>
            <w:r w:rsidR="006C4B93">
              <w:rPr>
                <w:rFonts w:eastAsia="Calibri" w:cs="Times New Roman"/>
                <w:noProof/>
                <w:sz w:val="22"/>
                <w:lang w:val="en-GB"/>
              </w:rPr>
              <w:t xml:space="preserve"> </w:t>
            </w:r>
            <w:r w:rsidR="4FD9FEB0" w:rsidRPr="40BF105E">
              <w:rPr>
                <w:rFonts w:eastAsia="Calibri" w:cs="Times New Roman"/>
                <w:noProof/>
                <w:sz w:val="22"/>
                <w:lang w:val="en-GB"/>
              </w:rPr>
              <w:t xml:space="preserve">The trilogues for the Soil Monitoring Law </w:t>
            </w:r>
            <w:r w:rsidR="003417DA" w:rsidRPr="00FF77A3">
              <w:rPr>
                <w:rFonts w:eastAsia="Calibri" w:cs="Times New Roman"/>
                <w:noProof/>
                <w:sz w:val="22"/>
                <w:lang w:val="en-GB"/>
              </w:rPr>
              <w:t xml:space="preserve">started </w:t>
            </w:r>
            <w:r w:rsidR="00794D2C" w:rsidRPr="00FF77A3">
              <w:rPr>
                <w:rFonts w:eastAsia="Calibri" w:cs="Times New Roman"/>
                <w:noProof/>
                <w:sz w:val="22"/>
                <w:lang w:val="en-GB"/>
              </w:rPr>
              <w:t>on 22</w:t>
            </w:r>
            <w:r w:rsidR="00D225E5" w:rsidRPr="00FF77A3">
              <w:rPr>
                <w:rFonts w:eastAsia="Calibri" w:cs="Times New Roman"/>
                <w:noProof/>
                <w:sz w:val="22"/>
                <w:lang w:val="en-GB"/>
              </w:rPr>
              <w:t xml:space="preserve"> October</w:t>
            </w:r>
            <w:r w:rsidR="009600A7" w:rsidRPr="00FF77A3">
              <w:rPr>
                <w:rFonts w:eastAsia="Calibri" w:cs="Times New Roman"/>
                <w:noProof/>
                <w:sz w:val="22"/>
                <w:lang w:val="en-GB"/>
              </w:rPr>
              <w:t xml:space="preserve"> </w:t>
            </w:r>
            <w:r w:rsidR="00995B2D" w:rsidRPr="40BF105E">
              <w:rPr>
                <w:rFonts w:eastAsia="Calibri" w:cs="Times New Roman"/>
                <w:noProof/>
                <w:sz w:val="22"/>
                <w:lang w:val="en-GB"/>
              </w:rPr>
              <w:t>2024</w:t>
            </w:r>
            <w:r w:rsidR="006C4B93">
              <w:rPr>
                <w:rFonts w:eastAsia="Calibri" w:cs="Times New Roman"/>
                <w:noProof/>
                <w:sz w:val="22"/>
                <w:lang w:val="en-GB"/>
              </w:rPr>
              <w:t xml:space="preserve">. </w:t>
            </w:r>
          </w:p>
          <w:p w14:paraId="5BE2A28C" w14:textId="77777777" w:rsidR="006C4B93" w:rsidRDefault="4FD9FEB0" w:rsidP="006C4B93">
            <w:pPr>
              <w:spacing w:after="60" w:line="259" w:lineRule="auto"/>
              <w:jc w:val="both"/>
              <w:rPr>
                <w:rFonts w:eastAsia="Calibri" w:cs="Times New Roman"/>
                <w:noProof/>
                <w:sz w:val="22"/>
                <w:lang w:val="en-GB"/>
              </w:rPr>
            </w:pPr>
            <w:r w:rsidRPr="40BF105E">
              <w:rPr>
                <w:rFonts w:eastAsia="Calibri" w:cs="Times New Roman"/>
                <w:noProof/>
                <w:sz w:val="22"/>
                <w:lang w:val="en-GB"/>
              </w:rPr>
              <w:t xml:space="preserve">The proposal aims to put in place a solid and coherent soil monitoring framework for all soils across the EU and to continuously improve soil health with the </w:t>
            </w:r>
            <w:r w:rsidR="071C5373" w:rsidRPr="40BF105E">
              <w:rPr>
                <w:rFonts w:eastAsia="Calibri" w:cs="Times New Roman"/>
                <w:noProof/>
                <w:sz w:val="22"/>
                <w:lang w:val="en-GB"/>
              </w:rPr>
              <w:t>aim of achieving</w:t>
            </w:r>
            <w:r w:rsidRPr="40BF105E">
              <w:rPr>
                <w:rFonts w:eastAsia="Calibri" w:cs="Times New Roman"/>
                <w:noProof/>
                <w:sz w:val="22"/>
                <w:lang w:val="en-GB"/>
              </w:rPr>
              <w:t xml:space="preserve"> healthy soils by 2050. The </w:t>
            </w:r>
            <w:r w:rsidR="00791797" w:rsidRPr="40BF105E">
              <w:rPr>
                <w:rFonts w:eastAsia="Calibri" w:cs="Times New Roman"/>
                <w:noProof/>
                <w:sz w:val="22"/>
                <w:lang w:val="en-GB"/>
              </w:rPr>
              <w:t xml:space="preserve">proposed </w:t>
            </w:r>
            <w:r w:rsidRPr="40BF105E">
              <w:rPr>
                <w:rFonts w:eastAsia="Calibri" w:cs="Times New Roman"/>
                <w:noProof/>
                <w:sz w:val="22"/>
                <w:lang w:val="en-GB"/>
              </w:rPr>
              <w:t>Directive therefore lays down measures on monitoring and assessment of soil health, sustainable soil management and contaminated sites.</w:t>
            </w:r>
          </w:p>
          <w:p w14:paraId="4E40A633" w14:textId="69168726" w:rsidR="00872C68" w:rsidRPr="00FD703D" w:rsidRDefault="00E50666" w:rsidP="006C4B93">
            <w:pPr>
              <w:spacing w:after="120" w:line="259" w:lineRule="auto"/>
              <w:jc w:val="both"/>
              <w:rPr>
                <w:rFonts w:eastAsia="Calibri" w:cs="Times New Roman"/>
                <w:noProof/>
                <w:sz w:val="22"/>
                <w:lang w:val="en-GB"/>
              </w:rPr>
            </w:pPr>
            <w:r w:rsidRPr="40BF105E">
              <w:rPr>
                <w:rFonts w:eastAsia="Calibri" w:cs="Times New Roman"/>
                <w:noProof/>
                <w:sz w:val="22"/>
                <w:lang w:val="en-GB"/>
              </w:rPr>
              <w:t xml:space="preserve">Under </w:t>
            </w:r>
            <w:r w:rsidR="00794D2C" w:rsidRPr="40BF105E">
              <w:rPr>
                <w:rFonts w:eastAsia="Calibri" w:cs="Times New Roman"/>
                <w:noProof/>
                <w:sz w:val="22"/>
                <w:lang w:val="en-GB"/>
              </w:rPr>
              <w:t xml:space="preserve">the </w:t>
            </w:r>
            <w:r w:rsidRPr="40BF105E">
              <w:rPr>
                <w:rFonts w:eastAsia="Calibri" w:cs="Times New Roman"/>
                <w:noProof/>
                <w:sz w:val="22"/>
                <w:lang w:val="en-GB"/>
              </w:rPr>
              <w:t>Soil</w:t>
            </w:r>
            <w:r w:rsidR="005F6106" w:rsidRPr="40BF105E">
              <w:rPr>
                <w:rFonts w:eastAsia="Calibri" w:cs="Times New Roman"/>
                <w:noProof/>
                <w:sz w:val="22"/>
                <w:lang w:val="en-GB"/>
              </w:rPr>
              <w:t xml:space="preserve"> Deal for Europe</w:t>
            </w:r>
            <w:r w:rsidRPr="40BF105E">
              <w:rPr>
                <w:rFonts w:eastAsia="Calibri" w:cs="Times New Roman"/>
                <w:noProof/>
                <w:sz w:val="22"/>
                <w:lang w:val="en-GB"/>
              </w:rPr>
              <w:t xml:space="preserve"> mission</w:t>
            </w:r>
            <w:r w:rsidR="005F6106" w:rsidRPr="40BF105E">
              <w:rPr>
                <w:rFonts w:eastAsia="Calibri" w:cs="Times New Roman"/>
                <w:noProof/>
                <w:sz w:val="22"/>
                <w:lang w:val="en-GB"/>
              </w:rPr>
              <w:t xml:space="preserve">, </w:t>
            </w:r>
            <w:r w:rsidR="00995B2D" w:rsidRPr="40BF105E">
              <w:rPr>
                <w:rFonts w:eastAsia="Calibri" w:cs="Times New Roman"/>
                <w:noProof/>
                <w:sz w:val="22"/>
                <w:lang w:val="en-GB"/>
              </w:rPr>
              <w:t xml:space="preserve">a few </w:t>
            </w:r>
            <w:r w:rsidR="000340D0" w:rsidRPr="40BF105E">
              <w:rPr>
                <w:rFonts w:eastAsia="Calibri" w:cs="Times New Roman"/>
                <w:noProof/>
                <w:sz w:val="22"/>
                <w:lang w:val="en-GB"/>
              </w:rPr>
              <w:t xml:space="preserve">projects have </w:t>
            </w:r>
            <w:r w:rsidR="00995B2D" w:rsidRPr="40BF105E">
              <w:rPr>
                <w:rFonts w:eastAsia="Calibri" w:cs="Times New Roman"/>
                <w:noProof/>
                <w:sz w:val="22"/>
                <w:lang w:val="en-GB"/>
              </w:rPr>
              <w:t xml:space="preserve">been </w:t>
            </w:r>
            <w:r w:rsidR="000340D0" w:rsidRPr="40BF105E">
              <w:rPr>
                <w:rFonts w:eastAsia="Calibri" w:cs="Times New Roman"/>
                <w:noProof/>
                <w:sz w:val="22"/>
                <w:lang w:val="en-GB"/>
              </w:rPr>
              <w:t xml:space="preserve">put in </w:t>
            </w:r>
            <w:r w:rsidR="00582558" w:rsidRPr="40BF105E">
              <w:rPr>
                <w:rFonts w:eastAsia="Calibri" w:cs="Times New Roman"/>
                <w:noProof/>
                <w:sz w:val="22"/>
                <w:lang w:val="en-GB"/>
              </w:rPr>
              <w:t xml:space="preserve">place to </w:t>
            </w:r>
            <w:r w:rsidR="00937BCF" w:rsidRPr="40BF105E">
              <w:rPr>
                <w:rFonts w:eastAsia="Calibri" w:cs="Times New Roman"/>
                <w:noProof/>
                <w:sz w:val="22"/>
                <w:lang w:val="en-GB"/>
              </w:rPr>
              <w:t xml:space="preserve">better identify indicators and </w:t>
            </w:r>
            <w:r w:rsidR="00AC42A6" w:rsidRPr="40BF105E">
              <w:rPr>
                <w:rFonts w:eastAsia="Calibri" w:cs="Times New Roman"/>
                <w:noProof/>
                <w:sz w:val="22"/>
                <w:lang w:val="en-GB"/>
              </w:rPr>
              <w:t>to</w:t>
            </w:r>
            <w:r w:rsidR="00B329A9" w:rsidRPr="40BF105E">
              <w:rPr>
                <w:rFonts w:eastAsia="Calibri" w:cs="Times New Roman"/>
                <w:noProof/>
                <w:sz w:val="22"/>
                <w:lang w:val="en-GB"/>
              </w:rPr>
              <w:t xml:space="preserve"> </w:t>
            </w:r>
            <w:r w:rsidR="00F906FD" w:rsidRPr="40BF105E">
              <w:rPr>
                <w:rFonts w:eastAsia="Calibri" w:cs="Times New Roman"/>
                <w:noProof/>
                <w:sz w:val="22"/>
                <w:lang w:val="en-GB"/>
              </w:rPr>
              <w:t xml:space="preserve">provide support </w:t>
            </w:r>
            <w:r w:rsidR="00F65647" w:rsidRPr="40BF105E">
              <w:rPr>
                <w:rFonts w:eastAsia="Calibri" w:cs="Times New Roman"/>
                <w:noProof/>
                <w:sz w:val="22"/>
                <w:lang w:val="en-GB"/>
              </w:rPr>
              <w:t>to</w:t>
            </w:r>
            <w:r w:rsidR="00F906FD" w:rsidRPr="40BF105E">
              <w:rPr>
                <w:rFonts w:eastAsia="Calibri" w:cs="Times New Roman"/>
                <w:noProof/>
                <w:sz w:val="22"/>
                <w:lang w:val="en-GB"/>
              </w:rPr>
              <w:t xml:space="preserve"> the national </w:t>
            </w:r>
            <w:r w:rsidR="007C66C1" w:rsidRPr="40BF105E">
              <w:rPr>
                <w:rFonts w:eastAsia="Calibri" w:cs="Times New Roman"/>
                <w:noProof/>
                <w:sz w:val="22"/>
                <w:lang w:val="en-GB"/>
              </w:rPr>
              <w:t xml:space="preserve">bodies to </w:t>
            </w:r>
            <w:r w:rsidR="00332751" w:rsidRPr="40BF105E">
              <w:rPr>
                <w:rFonts w:eastAsia="Calibri" w:cs="Times New Roman"/>
                <w:noProof/>
                <w:sz w:val="22"/>
                <w:lang w:val="en-GB"/>
              </w:rPr>
              <w:t>update an</w:t>
            </w:r>
            <w:r w:rsidR="00B85566" w:rsidRPr="40BF105E">
              <w:rPr>
                <w:rFonts w:eastAsia="Calibri" w:cs="Times New Roman"/>
                <w:noProof/>
                <w:sz w:val="22"/>
                <w:lang w:val="en-GB"/>
              </w:rPr>
              <w:t xml:space="preserve">d develop </w:t>
            </w:r>
            <w:r w:rsidR="00850CFD" w:rsidRPr="40BF105E">
              <w:rPr>
                <w:rFonts w:eastAsia="Calibri" w:cs="Times New Roman"/>
                <w:noProof/>
                <w:sz w:val="22"/>
                <w:lang w:val="en-GB"/>
              </w:rPr>
              <w:t>adequate methodology</w:t>
            </w:r>
            <w:r w:rsidR="008706E9" w:rsidRPr="40BF105E">
              <w:rPr>
                <w:rFonts w:eastAsia="Calibri" w:cs="Times New Roman"/>
                <w:noProof/>
                <w:sz w:val="22"/>
                <w:lang w:val="en-GB"/>
              </w:rPr>
              <w:t xml:space="preserve"> for monitoring. </w:t>
            </w:r>
            <w:r w:rsidR="00F65647" w:rsidRPr="40BF105E">
              <w:rPr>
                <w:rFonts w:eastAsia="Calibri" w:cs="Times New Roman"/>
                <w:noProof/>
                <w:sz w:val="22"/>
                <w:lang w:val="en-GB"/>
              </w:rPr>
              <w:t xml:space="preserve">The Commission’s </w:t>
            </w:r>
            <w:r w:rsidR="00833F49" w:rsidRPr="40BF105E">
              <w:rPr>
                <w:rFonts w:eastAsia="Calibri" w:cs="Times New Roman"/>
                <w:noProof/>
                <w:sz w:val="22"/>
                <w:lang w:val="en-GB"/>
              </w:rPr>
              <w:t>J</w:t>
            </w:r>
            <w:r w:rsidR="00926294" w:rsidRPr="40BF105E">
              <w:rPr>
                <w:rFonts w:eastAsia="Calibri" w:cs="Times New Roman"/>
                <w:noProof/>
                <w:sz w:val="22"/>
                <w:lang w:val="en-GB"/>
              </w:rPr>
              <w:t xml:space="preserve">oint </w:t>
            </w:r>
            <w:r w:rsidR="00833F49" w:rsidRPr="40BF105E">
              <w:rPr>
                <w:rFonts w:eastAsia="Calibri" w:cs="Times New Roman"/>
                <w:noProof/>
                <w:sz w:val="22"/>
                <w:lang w:val="en-GB"/>
              </w:rPr>
              <w:t>R</w:t>
            </w:r>
            <w:r w:rsidR="00926294" w:rsidRPr="40BF105E">
              <w:rPr>
                <w:rFonts w:eastAsia="Calibri" w:cs="Times New Roman"/>
                <w:noProof/>
                <w:sz w:val="22"/>
                <w:lang w:val="en-GB"/>
              </w:rPr>
              <w:t xml:space="preserve">esearch </w:t>
            </w:r>
            <w:r w:rsidR="00833F49" w:rsidRPr="40BF105E">
              <w:rPr>
                <w:rFonts w:eastAsia="Calibri" w:cs="Times New Roman"/>
                <w:noProof/>
                <w:sz w:val="22"/>
                <w:lang w:val="en-GB"/>
              </w:rPr>
              <w:t>C</w:t>
            </w:r>
            <w:r w:rsidR="00926294" w:rsidRPr="40BF105E">
              <w:rPr>
                <w:rFonts w:eastAsia="Calibri" w:cs="Times New Roman"/>
                <w:noProof/>
                <w:sz w:val="22"/>
                <w:lang w:val="en-GB"/>
              </w:rPr>
              <w:t>entre</w:t>
            </w:r>
            <w:r w:rsidR="00833F49" w:rsidRPr="40BF105E">
              <w:rPr>
                <w:rFonts w:eastAsia="Calibri" w:cs="Times New Roman"/>
                <w:noProof/>
                <w:sz w:val="22"/>
                <w:lang w:val="en-GB"/>
              </w:rPr>
              <w:t xml:space="preserve"> will work</w:t>
            </w:r>
            <w:r w:rsidR="00926294" w:rsidRPr="40BF105E">
              <w:rPr>
                <w:rFonts w:eastAsia="Calibri" w:cs="Times New Roman"/>
                <w:noProof/>
                <w:sz w:val="22"/>
                <w:lang w:val="en-GB"/>
              </w:rPr>
              <w:t xml:space="preserve"> to this end</w:t>
            </w:r>
            <w:r w:rsidR="00833F49" w:rsidRPr="40BF105E">
              <w:rPr>
                <w:rFonts w:eastAsia="Calibri" w:cs="Times New Roman"/>
                <w:noProof/>
                <w:sz w:val="22"/>
                <w:lang w:val="en-GB"/>
              </w:rPr>
              <w:t xml:space="preserve"> in cooperation with </w:t>
            </w:r>
            <w:r w:rsidR="00163134" w:rsidRPr="40BF105E">
              <w:rPr>
                <w:rFonts w:eastAsia="Calibri" w:cs="Times New Roman"/>
                <w:noProof/>
                <w:sz w:val="22"/>
                <w:lang w:val="en-GB"/>
              </w:rPr>
              <w:t>res</w:t>
            </w:r>
            <w:r w:rsidR="00B01692" w:rsidRPr="40BF105E">
              <w:rPr>
                <w:rFonts w:eastAsia="Calibri" w:cs="Times New Roman"/>
                <w:noProof/>
                <w:sz w:val="22"/>
                <w:lang w:val="en-GB"/>
              </w:rPr>
              <w:t xml:space="preserve">earchers and </w:t>
            </w:r>
            <w:r w:rsidR="00B50D6C" w:rsidRPr="40BF105E">
              <w:rPr>
                <w:rFonts w:eastAsia="Calibri" w:cs="Times New Roman"/>
                <w:noProof/>
                <w:sz w:val="22"/>
                <w:lang w:val="en-GB"/>
              </w:rPr>
              <w:t>national authorities</w:t>
            </w:r>
            <w:r w:rsidR="00A16A12" w:rsidRPr="40BF105E">
              <w:rPr>
                <w:rFonts w:eastAsia="Calibri" w:cs="Times New Roman"/>
                <w:noProof/>
                <w:sz w:val="22"/>
                <w:lang w:val="en-GB"/>
              </w:rPr>
              <w:t>.</w:t>
            </w:r>
          </w:p>
        </w:tc>
      </w:tr>
      <w:tr w:rsidR="00BD6E31" w:rsidRPr="00FD703D" w14:paraId="772BE2E1" w14:textId="77777777" w:rsidTr="00B54A1E">
        <w:trPr>
          <w:trHeight w:val="300"/>
        </w:trPr>
        <w:tc>
          <w:tcPr>
            <w:tcW w:w="616" w:type="dxa"/>
            <w:vAlign w:val="center"/>
          </w:tcPr>
          <w:p w14:paraId="7FD097FE" w14:textId="5E1B906E"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29</w:t>
            </w:r>
            <w:r w:rsidR="00E558D0">
              <w:rPr>
                <w:rFonts w:eastAsia="Calibri" w:cs="Times New Roman"/>
                <w:b/>
                <w:bCs/>
                <w:noProof/>
                <w:sz w:val="22"/>
                <w:lang w:val="en-GB"/>
              </w:rPr>
              <w:t>2</w:t>
            </w:r>
          </w:p>
        </w:tc>
        <w:tc>
          <w:tcPr>
            <w:tcW w:w="5983" w:type="dxa"/>
            <w:vAlign w:val="center"/>
          </w:tcPr>
          <w:p w14:paraId="0063E1BD" w14:textId="6D45EC55" w:rsidR="00872C68" w:rsidRPr="00FD703D" w:rsidDel="00F250BA" w:rsidRDefault="00872C68" w:rsidP="004749EF">
            <w:pPr>
              <w:spacing w:line="259" w:lineRule="auto"/>
              <w:jc w:val="both"/>
              <w:rPr>
                <w:rFonts w:eastAsia="Calibri" w:cs="Times New Roman"/>
                <w:noProof/>
                <w:sz w:val="22"/>
                <w:lang w:val="en-GB"/>
              </w:rPr>
            </w:pPr>
            <w:r w:rsidRPr="00FD703D">
              <w:rPr>
                <w:rFonts w:eastAsia="Calibri" w:cs="Times New Roman"/>
                <w:b/>
                <w:bCs/>
                <w:noProof/>
                <w:sz w:val="22"/>
                <w:lang w:val="en-GB"/>
              </w:rPr>
              <w:t>Monitoring and mapping:</w:t>
            </w:r>
            <w:r w:rsidRPr="00FD703D">
              <w:rPr>
                <w:rFonts w:eastAsia="Calibri" w:cs="Times New Roman"/>
                <w:noProof/>
                <w:sz w:val="22"/>
                <w:lang w:val="en-GB"/>
              </w:rPr>
              <w:t xml:space="preserve"> </w:t>
            </w:r>
            <w:r w:rsidR="008D65F6" w:rsidRPr="00FD703D">
              <w:rPr>
                <w:rFonts w:eastAsia="Calibri" w:cs="Times New Roman"/>
                <w:noProof/>
                <w:sz w:val="22"/>
                <w:lang w:val="en-GB"/>
              </w:rPr>
              <w:t>t</w:t>
            </w:r>
            <w:r w:rsidRPr="00FD703D">
              <w:rPr>
                <w:rFonts w:eastAsia="Calibri" w:cs="Times New Roman"/>
                <w:noProof/>
                <w:sz w:val="22"/>
                <w:lang w:val="en-GB"/>
              </w:rPr>
              <w:t xml:space="preserve">he new obligation for monitoring and mapping of all contaminated soil should not impose </w:t>
            </w:r>
            <w:r w:rsidR="002E56CA" w:rsidRPr="00FD703D">
              <w:rPr>
                <w:rFonts w:eastAsia="Calibri" w:cs="Times New Roman"/>
                <w:noProof/>
                <w:sz w:val="22"/>
                <w:lang w:val="en-GB"/>
              </w:rPr>
              <w:t xml:space="preserve">an </w:t>
            </w:r>
            <w:r w:rsidRPr="00FD703D">
              <w:rPr>
                <w:rFonts w:eastAsia="Calibri" w:cs="Times New Roman"/>
                <w:noProof/>
                <w:sz w:val="22"/>
                <w:lang w:val="en-GB"/>
              </w:rPr>
              <w:t xml:space="preserve">administrative burden on farmers. </w:t>
            </w:r>
            <w:r w:rsidR="002E56CA" w:rsidRPr="00FD703D">
              <w:rPr>
                <w:rFonts w:eastAsia="Calibri" w:cs="Times New Roman"/>
                <w:noProof/>
                <w:sz w:val="22"/>
                <w:lang w:val="en-GB"/>
              </w:rPr>
              <w:t>It is difficult to</w:t>
            </w:r>
            <w:r w:rsidRPr="00FD703D">
              <w:rPr>
                <w:rFonts w:eastAsia="Calibri" w:cs="Times New Roman"/>
                <w:noProof/>
                <w:sz w:val="22"/>
                <w:lang w:val="en-GB"/>
              </w:rPr>
              <w:t xml:space="preserve"> identify a polluter of contaminated soils. </w:t>
            </w:r>
            <w:r w:rsidR="002E56CA" w:rsidRPr="00FD703D">
              <w:rPr>
                <w:rFonts w:eastAsia="Calibri" w:cs="Times New Roman"/>
                <w:noProof/>
                <w:sz w:val="22"/>
                <w:lang w:val="en-GB"/>
              </w:rPr>
              <w:t>Problem of i</w:t>
            </w:r>
            <w:r w:rsidRPr="00FD703D">
              <w:rPr>
                <w:rFonts w:eastAsia="Calibri" w:cs="Times New Roman"/>
                <w:noProof/>
                <w:sz w:val="22"/>
                <w:lang w:val="en-GB"/>
              </w:rPr>
              <w:t xml:space="preserve">nvoluntary contamination as a result of farming practices (e.g. building </w:t>
            </w:r>
            <w:r w:rsidR="002E56CA" w:rsidRPr="00FD703D">
              <w:rPr>
                <w:rFonts w:eastAsia="Calibri" w:cs="Times New Roman"/>
                <w:noProof/>
                <w:sz w:val="22"/>
                <w:lang w:val="en-GB"/>
              </w:rPr>
              <w:t xml:space="preserve">up </w:t>
            </w:r>
            <w:r w:rsidRPr="00FD703D">
              <w:rPr>
                <w:rFonts w:eastAsia="Calibri" w:cs="Times New Roman"/>
                <w:noProof/>
                <w:sz w:val="22"/>
                <w:lang w:val="en-GB"/>
              </w:rPr>
              <w:t>of pesticides residues over time).</w:t>
            </w:r>
          </w:p>
        </w:tc>
        <w:tc>
          <w:tcPr>
            <w:tcW w:w="1530" w:type="dxa"/>
            <w:vAlign w:val="center"/>
          </w:tcPr>
          <w:p w14:paraId="12D7C9E2" w14:textId="77777777" w:rsidR="00872C68" w:rsidRPr="00FD703D" w:rsidRDefault="00872C68" w:rsidP="004749EF">
            <w:pPr>
              <w:spacing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MT</w:t>
            </w:r>
          </w:p>
        </w:tc>
        <w:tc>
          <w:tcPr>
            <w:tcW w:w="6390" w:type="dxa"/>
            <w:vMerge/>
            <w:vAlign w:val="center"/>
          </w:tcPr>
          <w:p w14:paraId="7B689BBF" w14:textId="77777777" w:rsidR="00872C68" w:rsidRPr="00FD703D" w:rsidRDefault="00872C68" w:rsidP="004749EF">
            <w:pPr>
              <w:spacing w:line="259" w:lineRule="auto"/>
              <w:jc w:val="both"/>
              <w:rPr>
                <w:rFonts w:eastAsia="Calibri" w:cs="Times New Roman"/>
                <w:noProof/>
                <w:sz w:val="22"/>
                <w:lang w:val="en-GB"/>
              </w:rPr>
            </w:pPr>
          </w:p>
        </w:tc>
      </w:tr>
      <w:tr w:rsidR="00BD6E31" w:rsidRPr="00FD703D" w14:paraId="4A70AA74" w14:textId="77777777" w:rsidTr="00B54A1E">
        <w:trPr>
          <w:trHeight w:val="300"/>
        </w:trPr>
        <w:tc>
          <w:tcPr>
            <w:tcW w:w="616" w:type="dxa"/>
            <w:vAlign w:val="center"/>
          </w:tcPr>
          <w:p w14:paraId="69ABC4C0" w14:textId="7C2EDD99"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29</w:t>
            </w:r>
            <w:r w:rsidR="00E558D0">
              <w:rPr>
                <w:rFonts w:eastAsia="Calibri" w:cs="Times New Roman"/>
                <w:b/>
                <w:bCs/>
                <w:noProof/>
                <w:sz w:val="22"/>
                <w:lang w:val="en-GB"/>
              </w:rPr>
              <w:t>3</w:t>
            </w:r>
          </w:p>
        </w:tc>
        <w:tc>
          <w:tcPr>
            <w:tcW w:w="5983" w:type="dxa"/>
            <w:vAlign w:val="center"/>
          </w:tcPr>
          <w:p w14:paraId="7DA7F30E" w14:textId="416DE0F3"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b/>
                <w:bCs/>
                <w:noProof/>
                <w:sz w:val="22"/>
                <w:lang w:val="en-GB"/>
              </w:rPr>
              <w:t>Administrative burden:</w:t>
            </w:r>
            <w:r w:rsidRPr="00FD703D">
              <w:rPr>
                <w:rFonts w:eastAsia="Calibri" w:cs="Times New Roman"/>
                <w:noProof/>
                <w:sz w:val="22"/>
                <w:lang w:val="en-GB"/>
              </w:rPr>
              <w:t xml:space="preserve"> </w:t>
            </w:r>
            <w:r w:rsidR="008D65F6" w:rsidRPr="00FD703D">
              <w:rPr>
                <w:rFonts w:eastAsia="Calibri" w:cs="Times New Roman"/>
                <w:noProof/>
                <w:sz w:val="22"/>
                <w:lang w:val="en-GB"/>
              </w:rPr>
              <w:t>c</w:t>
            </w:r>
            <w:r w:rsidRPr="00FD703D">
              <w:rPr>
                <w:rFonts w:eastAsia="Calibri" w:cs="Times New Roman"/>
                <w:noProof/>
                <w:sz w:val="22"/>
                <w:lang w:val="en-GB"/>
              </w:rPr>
              <w:t>omments on significant efforts involved in implementing the future legislation at Member State level and/or general request to limit</w:t>
            </w:r>
            <w:r w:rsidR="002E56CA" w:rsidRPr="00FD703D">
              <w:rPr>
                <w:rFonts w:eastAsia="Calibri" w:cs="Times New Roman"/>
                <w:noProof/>
                <w:sz w:val="22"/>
                <w:lang w:val="en-GB"/>
              </w:rPr>
              <w:t xml:space="preserve"> the</w:t>
            </w:r>
            <w:r w:rsidRPr="00FD703D">
              <w:rPr>
                <w:rFonts w:eastAsia="Calibri" w:cs="Times New Roman"/>
                <w:noProof/>
                <w:sz w:val="22"/>
                <w:lang w:val="en-GB"/>
              </w:rPr>
              <w:t xml:space="preserve"> administrative burden in </w:t>
            </w:r>
            <w:r w:rsidR="002E56CA" w:rsidRPr="00FD703D">
              <w:rPr>
                <w:rFonts w:eastAsia="Calibri" w:cs="Times New Roman"/>
                <w:noProof/>
                <w:sz w:val="22"/>
                <w:lang w:val="en-GB"/>
              </w:rPr>
              <w:t>developing the legislation</w:t>
            </w:r>
            <w:r w:rsidRPr="00FD703D">
              <w:rPr>
                <w:rFonts w:eastAsia="Calibri" w:cs="Times New Roman"/>
                <w:noProof/>
                <w:sz w:val="22"/>
                <w:lang w:val="en-GB"/>
              </w:rPr>
              <w:t>.</w:t>
            </w:r>
          </w:p>
        </w:tc>
        <w:tc>
          <w:tcPr>
            <w:tcW w:w="1530" w:type="dxa"/>
            <w:vAlign w:val="center"/>
          </w:tcPr>
          <w:p w14:paraId="2F246336"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AT, BE</w:t>
            </w:r>
          </w:p>
        </w:tc>
        <w:tc>
          <w:tcPr>
            <w:tcW w:w="6390" w:type="dxa"/>
            <w:vMerge/>
          </w:tcPr>
          <w:p w14:paraId="21FEE3AA" w14:textId="77777777" w:rsidR="00872C68" w:rsidRPr="00FD703D" w:rsidRDefault="00872C68" w:rsidP="001061AF">
            <w:pPr>
              <w:spacing w:after="60" w:line="259" w:lineRule="auto"/>
              <w:jc w:val="both"/>
              <w:rPr>
                <w:rFonts w:eastAsia="Calibri" w:cs="Times New Roman"/>
                <w:noProof/>
                <w:sz w:val="22"/>
                <w:lang w:val="en-GB"/>
              </w:rPr>
            </w:pPr>
          </w:p>
        </w:tc>
      </w:tr>
      <w:tr w:rsidR="002E2306" w:rsidRPr="00FD703D" w14:paraId="24045B50" w14:textId="77777777" w:rsidTr="00B54A1E">
        <w:trPr>
          <w:trHeight w:val="300"/>
        </w:trPr>
        <w:tc>
          <w:tcPr>
            <w:tcW w:w="14519" w:type="dxa"/>
            <w:gridSpan w:val="4"/>
            <w:shd w:val="clear" w:color="auto" w:fill="003399"/>
            <w:vAlign w:val="center"/>
          </w:tcPr>
          <w:p w14:paraId="09E1519B" w14:textId="77777777" w:rsidR="00872C68" w:rsidRPr="00FD703D" w:rsidRDefault="00872C68" w:rsidP="004749EF">
            <w:pPr>
              <w:spacing w:before="120" w:after="120" w:line="259" w:lineRule="auto"/>
              <w:jc w:val="center"/>
              <w:rPr>
                <w:rFonts w:eastAsia="Calibri" w:cs="Times New Roman"/>
                <w:b/>
                <w:noProof/>
                <w:sz w:val="22"/>
                <w:lang w:val="en-GB"/>
              </w:rPr>
            </w:pPr>
            <w:r w:rsidRPr="00FD703D">
              <w:rPr>
                <w:rFonts w:eastAsia="Calibri" w:cs="Times New Roman"/>
                <w:b/>
                <w:noProof/>
                <w:sz w:val="22"/>
                <w:lang w:val="en-GB"/>
              </w:rPr>
              <w:t>Nitrates Directive (91/676/EEC)</w:t>
            </w:r>
          </w:p>
        </w:tc>
      </w:tr>
      <w:tr w:rsidR="006862F9" w:rsidRPr="00FD703D" w14:paraId="6FB9432B" w14:textId="77777777" w:rsidTr="00B54A1E">
        <w:trPr>
          <w:trHeight w:val="1064"/>
        </w:trPr>
        <w:tc>
          <w:tcPr>
            <w:tcW w:w="616" w:type="dxa"/>
            <w:vAlign w:val="center"/>
          </w:tcPr>
          <w:p w14:paraId="562FC1C9" w14:textId="4985ACE7"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29</w:t>
            </w:r>
            <w:r w:rsidR="00E558D0">
              <w:rPr>
                <w:rFonts w:eastAsia="Calibri" w:cs="Times New Roman"/>
                <w:b/>
                <w:bCs/>
                <w:noProof/>
                <w:sz w:val="22"/>
                <w:lang w:val="en-GB"/>
              </w:rPr>
              <w:t>4</w:t>
            </w:r>
          </w:p>
        </w:tc>
        <w:tc>
          <w:tcPr>
            <w:tcW w:w="5983" w:type="dxa"/>
            <w:vAlign w:val="center"/>
          </w:tcPr>
          <w:p w14:paraId="47F13AF2" w14:textId="6D095504" w:rsidR="00872C68" w:rsidRPr="00FD703D" w:rsidRDefault="29CB0D46" w:rsidP="001061AF">
            <w:pPr>
              <w:spacing w:after="60" w:line="259" w:lineRule="auto"/>
              <w:jc w:val="both"/>
              <w:rPr>
                <w:rFonts w:eastAsia="Calibri" w:cs="Times New Roman"/>
                <w:noProof/>
                <w:sz w:val="22"/>
                <w:lang w:val="en-GB"/>
              </w:rPr>
            </w:pPr>
            <w:r w:rsidRPr="00FD703D">
              <w:rPr>
                <w:rFonts w:eastAsia="Calibri" w:cs="Times New Roman"/>
                <w:b/>
                <w:bCs/>
                <w:noProof/>
                <w:sz w:val="22"/>
                <w:szCs w:val="20"/>
                <w:lang w:val="en-GB"/>
              </w:rPr>
              <w:t>Use of fertili</w:t>
            </w:r>
            <w:r w:rsidR="7784DCEF" w:rsidRPr="00FD703D">
              <w:rPr>
                <w:rFonts w:eastAsia="Calibri" w:cs="Times New Roman"/>
                <w:b/>
                <w:bCs/>
                <w:noProof/>
                <w:sz w:val="22"/>
                <w:szCs w:val="20"/>
                <w:lang w:val="en-GB"/>
              </w:rPr>
              <w:t>s</w:t>
            </w:r>
            <w:r w:rsidRPr="00FD703D">
              <w:rPr>
                <w:rFonts w:eastAsia="Calibri" w:cs="Times New Roman"/>
                <w:b/>
                <w:bCs/>
                <w:noProof/>
                <w:sz w:val="22"/>
                <w:szCs w:val="20"/>
                <w:lang w:val="en-GB"/>
              </w:rPr>
              <w:t xml:space="preserve">ers: </w:t>
            </w:r>
            <w:r w:rsidR="1196C1A5" w:rsidRPr="00FD703D">
              <w:rPr>
                <w:rFonts w:eastAsia="Calibri" w:cs="Times New Roman"/>
                <w:noProof/>
                <w:sz w:val="22"/>
                <w:szCs w:val="20"/>
                <w:lang w:val="en-GB"/>
              </w:rPr>
              <w:t>r</w:t>
            </w:r>
            <w:r w:rsidRPr="00FD703D">
              <w:rPr>
                <w:rFonts w:eastAsia="Calibri" w:cs="Times New Roman"/>
                <w:noProof/>
                <w:sz w:val="22"/>
                <w:szCs w:val="20"/>
                <w:lang w:val="en-GB"/>
              </w:rPr>
              <w:t>eduction of administrative burdens related to the use of fertili</w:t>
            </w:r>
            <w:r w:rsidR="7784DCEF" w:rsidRPr="00FD703D">
              <w:rPr>
                <w:rFonts w:eastAsia="Calibri" w:cs="Times New Roman"/>
                <w:noProof/>
                <w:sz w:val="22"/>
                <w:szCs w:val="20"/>
                <w:lang w:val="en-GB"/>
              </w:rPr>
              <w:t>s</w:t>
            </w:r>
            <w:r w:rsidRPr="00FD703D">
              <w:rPr>
                <w:rFonts w:eastAsia="Calibri" w:cs="Times New Roman"/>
                <w:noProof/>
                <w:sz w:val="22"/>
                <w:szCs w:val="20"/>
                <w:lang w:val="en-GB"/>
              </w:rPr>
              <w:t>ers containing nitrogen in rock and the control of their use.</w:t>
            </w:r>
          </w:p>
        </w:tc>
        <w:tc>
          <w:tcPr>
            <w:tcW w:w="1530" w:type="dxa"/>
            <w:vAlign w:val="center"/>
          </w:tcPr>
          <w:p w14:paraId="0C6F2F62"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PL</w:t>
            </w:r>
          </w:p>
        </w:tc>
        <w:tc>
          <w:tcPr>
            <w:tcW w:w="6390" w:type="dxa"/>
            <w:vAlign w:val="center"/>
          </w:tcPr>
          <w:p w14:paraId="20797CE6" w14:textId="7CE5C83A" w:rsidR="00872C68" w:rsidRPr="00926294" w:rsidRDefault="00872C68" w:rsidP="001061AF">
            <w:pPr>
              <w:spacing w:after="60" w:line="259" w:lineRule="auto"/>
              <w:jc w:val="both"/>
              <w:rPr>
                <w:rFonts w:eastAsia="Calibri" w:cs="Times New Roman"/>
                <w:noProof/>
                <w:sz w:val="22"/>
                <w:lang w:val="en-GB"/>
              </w:rPr>
            </w:pPr>
            <w:r w:rsidRPr="00926294">
              <w:rPr>
                <w:rFonts w:eastAsia="Calibri" w:cs="Times New Roman"/>
                <w:noProof/>
                <w:sz w:val="22"/>
                <w:lang w:val="en-GB"/>
              </w:rPr>
              <w:t xml:space="preserve">An </w:t>
            </w:r>
            <w:r w:rsidRPr="00FD73A0">
              <w:rPr>
                <w:rFonts w:eastAsia="Calibri" w:cs="Times New Roman"/>
                <w:noProof/>
                <w:sz w:val="22"/>
                <w:lang w:val="en-GB"/>
              </w:rPr>
              <w:t xml:space="preserve">evaluation of the Nitrates Directive is ongoing. The precise application of the </w:t>
            </w:r>
            <w:r w:rsidR="00EE4711" w:rsidRPr="00FD73A0">
              <w:rPr>
                <w:rFonts w:eastAsia="Calibri" w:cs="Times New Roman"/>
                <w:noProof/>
                <w:sz w:val="22"/>
                <w:lang w:val="en-GB"/>
              </w:rPr>
              <w:t>D</w:t>
            </w:r>
            <w:r w:rsidRPr="00FD73A0">
              <w:rPr>
                <w:rFonts w:eastAsia="Calibri" w:cs="Times New Roman"/>
                <w:noProof/>
                <w:sz w:val="22"/>
                <w:lang w:val="en-GB"/>
              </w:rPr>
              <w:t xml:space="preserve">irective </w:t>
            </w:r>
            <w:r w:rsidR="3FC74F65" w:rsidRPr="00FD73A0">
              <w:rPr>
                <w:rFonts w:eastAsia="Calibri" w:cs="Times New Roman"/>
                <w:noProof/>
                <w:sz w:val="22"/>
                <w:lang w:val="en-GB"/>
              </w:rPr>
              <w:t>depends on</w:t>
            </w:r>
            <w:r w:rsidRPr="00FD73A0">
              <w:rPr>
                <w:rFonts w:eastAsia="Calibri" w:cs="Times New Roman"/>
                <w:noProof/>
                <w:sz w:val="22"/>
                <w:lang w:val="en-GB"/>
              </w:rPr>
              <w:t xml:space="preserve"> national rules, which may be reviewed by the national authorities</w:t>
            </w:r>
            <w:r w:rsidR="03F02E05" w:rsidRPr="00FD73A0">
              <w:rPr>
                <w:rFonts w:eastAsia="Calibri" w:cs="Times New Roman"/>
                <w:noProof/>
                <w:sz w:val="22"/>
                <w:lang w:val="en-GB"/>
              </w:rPr>
              <w:t xml:space="preserve"> while ensuring the overall effectiveness of their national nitrate action programme</w:t>
            </w:r>
            <w:r w:rsidRPr="00FD73A0">
              <w:rPr>
                <w:rFonts w:eastAsia="Calibri" w:cs="Times New Roman"/>
                <w:noProof/>
                <w:sz w:val="22"/>
                <w:lang w:val="en-GB"/>
              </w:rPr>
              <w:t>.</w:t>
            </w:r>
          </w:p>
        </w:tc>
      </w:tr>
      <w:tr w:rsidR="00BD6E31" w:rsidRPr="00FD703D" w14:paraId="6BE9810C" w14:textId="77777777" w:rsidTr="00B54A1E">
        <w:trPr>
          <w:trHeight w:val="300"/>
        </w:trPr>
        <w:tc>
          <w:tcPr>
            <w:tcW w:w="616" w:type="dxa"/>
            <w:vAlign w:val="center"/>
          </w:tcPr>
          <w:p w14:paraId="3152AAA1" w14:textId="4383DC59"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lastRenderedPageBreak/>
              <w:t>29</w:t>
            </w:r>
            <w:r w:rsidR="00E558D0">
              <w:rPr>
                <w:rFonts w:eastAsia="Calibri" w:cs="Times New Roman"/>
                <w:b/>
                <w:bCs/>
                <w:noProof/>
                <w:sz w:val="22"/>
                <w:lang w:val="en-GB"/>
              </w:rPr>
              <w:t>5</w:t>
            </w:r>
          </w:p>
        </w:tc>
        <w:tc>
          <w:tcPr>
            <w:tcW w:w="5983" w:type="dxa"/>
            <w:vAlign w:val="center"/>
          </w:tcPr>
          <w:p w14:paraId="4B68AC71" w14:textId="318EF258" w:rsidR="00872C68" w:rsidRPr="00FD703D" w:rsidRDefault="00872C68" w:rsidP="001061AF">
            <w:pPr>
              <w:spacing w:after="60" w:line="259" w:lineRule="auto"/>
              <w:jc w:val="both"/>
              <w:rPr>
                <w:rFonts w:eastAsia="Calibri" w:cs="Times New Roman"/>
                <w:noProof/>
                <w:sz w:val="22"/>
                <w:szCs w:val="20"/>
                <w:lang w:val="en-IE"/>
              </w:rPr>
            </w:pPr>
            <w:r w:rsidRPr="00FD703D">
              <w:rPr>
                <w:rFonts w:eastAsia="Calibri" w:cs="Times New Roman"/>
                <w:b/>
                <w:noProof/>
                <w:sz w:val="22"/>
                <w:szCs w:val="20"/>
                <w:lang w:val="en-IE"/>
              </w:rPr>
              <w:t xml:space="preserve">RENURE products: </w:t>
            </w:r>
            <w:r w:rsidRPr="00FD703D">
              <w:rPr>
                <w:rFonts w:eastAsia="Calibri" w:cs="Times New Roman"/>
                <w:noProof/>
                <w:sz w:val="22"/>
                <w:szCs w:val="20"/>
                <w:lang w:val="en-IE"/>
              </w:rPr>
              <w:t>RENURE (</w:t>
            </w:r>
            <w:r w:rsidR="002E56CA" w:rsidRPr="00FD703D">
              <w:rPr>
                <w:rFonts w:eastAsia="Calibri" w:cs="Times New Roman"/>
                <w:noProof/>
                <w:sz w:val="22"/>
                <w:szCs w:val="20"/>
                <w:lang w:val="en-IE"/>
              </w:rPr>
              <w:t>r</w:t>
            </w:r>
            <w:r w:rsidRPr="00FD703D">
              <w:rPr>
                <w:rFonts w:eastAsia="Calibri" w:cs="Times New Roman"/>
                <w:noProof/>
                <w:sz w:val="22"/>
                <w:szCs w:val="20"/>
                <w:lang w:val="en-IE"/>
              </w:rPr>
              <w:t xml:space="preserve">ecovered </w:t>
            </w:r>
            <w:r w:rsidR="002E56CA" w:rsidRPr="00FD703D">
              <w:rPr>
                <w:rFonts w:eastAsia="Calibri" w:cs="Times New Roman"/>
                <w:noProof/>
                <w:sz w:val="22"/>
                <w:szCs w:val="20"/>
                <w:lang w:val="en-IE"/>
              </w:rPr>
              <w:t>n</w:t>
            </w:r>
            <w:r w:rsidRPr="00FD703D">
              <w:rPr>
                <w:rFonts w:eastAsia="Calibri" w:cs="Times New Roman"/>
                <w:noProof/>
                <w:sz w:val="22"/>
                <w:szCs w:val="20"/>
                <w:lang w:val="en-IE"/>
              </w:rPr>
              <w:t xml:space="preserve">itrogen from </w:t>
            </w:r>
            <w:r w:rsidR="002E56CA" w:rsidRPr="00FD703D">
              <w:rPr>
                <w:rFonts w:eastAsia="Calibri" w:cs="Times New Roman"/>
                <w:noProof/>
                <w:sz w:val="22"/>
                <w:szCs w:val="20"/>
                <w:lang w:val="en-IE"/>
              </w:rPr>
              <w:t>m</w:t>
            </w:r>
            <w:r w:rsidRPr="00FD703D">
              <w:rPr>
                <w:rFonts w:eastAsia="Calibri" w:cs="Times New Roman"/>
                <w:noProof/>
                <w:sz w:val="22"/>
                <w:szCs w:val="20"/>
                <w:lang w:val="en-IE"/>
              </w:rPr>
              <w:t>anure) products should be recognized as fertili</w:t>
            </w:r>
            <w:r w:rsidR="00791722" w:rsidRPr="00FD703D">
              <w:rPr>
                <w:rFonts w:eastAsia="Calibri" w:cs="Times New Roman"/>
                <w:noProof/>
                <w:sz w:val="22"/>
                <w:szCs w:val="20"/>
                <w:lang w:val="en-IE"/>
              </w:rPr>
              <w:t>s</w:t>
            </w:r>
            <w:r w:rsidRPr="00FD703D">
              <w:rPr>
                <w:rFonts w:eastAsia="Calibri" w:cs="Times New Roman"/>
                <w:noProof/>
                <w:sz w:val="22"/>
                <w:szCs w:val="20"/>
                <w:lang w:val="en-IE"/>
              </w:rPr>
              <w:t xml:space="preserve">ers instead of continuing to be labelled as </w:t>
            </w:r>
            <w:r w:rsidR="002E56CA" w:rsidRPr="00FD703D">
              <w:rPr>
                <w:rFonts w:eastAsia="Calibri" w:cs="Times New Roman"/>
                <w:noProof/>
                <w:sz w:val="22"/>
                <w:szCs w:val="20"/>
                <w:lang w:val="en-IE"/>
              </w:rPr>
              <w:t>‘</w:t>
            </w:r>
            <w:r w:rsidRPr="00FD703D">
              <w:rPr>
                <w:rFonts w:eastAsia="Calibri" w:cs="Times New Roman"/>
                <w:noProof/>
                <w:sz w:val="22"/>
                <w:szCs w:val="20"/>
                <w:lang w:val="en-IE"/>
              </w:rPr>
              <w:t>animal manure</w:t>
            </w:r>
            <w:r w:rsidR="002E56CA" w:rsidRPr="00FD703D">
              <w:rPr>
                <w:rFonts w:eastAsia="Calibri" w:cs="Times New Roman"/>
                <w:noProof/>
                <w:sz w:val="22"/>
                <w:szCs w:val="20"/>
                <w:lang w:val="en-IE"/>
              </w:rPr>
              <w:t>’</w:t>
            </w:r>
            <w:r w:rsidRPr="00FD703D">
              <w:rPr>
                <w:rFonts w:eastAsia="Calibri" w:cs="Times New Roman"/>
                <w:noProof/>
                <w:sz w:val="22"/>
                <w:szCs w:val="20"/>
                <w:lang w:val="en-IE"/>
              </w:rPr>
              <w:t xml:space="preserve">. </w:t>
            </w:r>
          </w:p>
        </w:tc>
        <w:tc>
          <w:tcPr>
            <w:tcW w:w="1530" w:type="dxa"/>
            <w:vAlign w:val="center"/>
          </w:tcPr>
          <w:p w14:paraId="09AC4F9C"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BE</w:t>
            </w:r>
          </w:p>
        </w:tc>
        <w:tc>
          <w:tcPr>
            <w:tcW w:w="6390" w:type="dxa"/>
            <w:vMerge w:val="restart"/>
            <w:vAlign w:val="center"/>
          </w:tcPr>
          <w:p w14:paraId="3276BE02" w14:textId="6A80BC1F" w:rsidR="00872C68" w:rsidRPr="00926294" w:rsidRDefault="29CB0D46" w:rsidP="7E954136">
            <w:pPr>
              <w:spacing w:after="60" w:line="259" w:lineRule="auto"/>
              <w:jc w:val="both"/>
              <w:rPr>
                <w:rFonts w:eastAsia="Calibri" w:cs="Times New Roman"/>
                <w:noProof/>
                <w:sz w:val="22"/>
                <w:szCs w:val="20"/>
                <w:lang w:val="en-GB"/>
              </w:rPr>
            </w:pPr>
            <w:r w:rsidRPr="00926294">
              <w:rPr>
                <w:rFonts w:eastAsia="Calibri" w:cs="Times New Roman"/>
                <w:noProof/>
                <w:sz w:val="22"/>
                <w:szCs w:val="20"/>
                <w:lang w:val="en-GB"/>
              </w:rPr>
              <w:t xml:space="preserve">On 19 April 2024 the Commission </w:t>
            </w:r>
            <w:r w:rsidR="1ECB7ED0" w:rsidRPr="00926294">
              <w:rPr>
                <w:rFonts w:eastAsia="Calibri" w:cs="Times New Roman"/>
                <w:noProof/>
                <w:sz w:val="22"/>
                <w:szCs w:val="20"/>
                <w:lang w:val="en-GB"/>
              </w:rPr>
              <w:t>pr</w:t>
            </w:r>
            <w:r w:rsidR="23CDC91F" w:rsidRPr="00926294">
              <w:rPr>
                <w:rFonts w:eastAsia="Calibri" w:cs="Times New Roman"/>
                <w:noProof/>
                <w:sz w:val="22"/>
                <w:szCs w:val="20"/>
                <w:lang w:val="en-GB"/>
              </w:rPr>
              <w:t xml:space="preserve">esented </w:t>
            </w:r>
            <w:r w:rsidRPr="00926294">
              <w:rPr>
                <w:rFonts w:eastAsia="Calibri" w:cs="Times New Roman"/>
                <w:noProof/>
                <w:sz w:val="22"/>
                <w:szCs w:val="20"/>
                <w:lang w:val="en-GB"/>
              </w:rPr>
              <w:t xml:space="preserve">a </w:t>
            </w:r>
            <w:r w:rsidR="16494083" w:rsidRPr="00926294">
              <w:rPr>
                <w:rFonts w:eastAsia="Calibri" w:cs="Times New Roman"/>
                <w:noProof/>
                <w:sz w:val="22"/>
                <w:szCs w:val="20"/>
                <w:lang w:val="en-GB"/>
              </w:rPr>
              <w:t xml:space="preserve">draft Commission Directive </w:t>
            </w:r>
            <w:r w:rsidRPr="00926294">
              <w:rPr>
                <w:rFonts w:eastAsia="Calibri" w:cs="Times New Roman"/>
                <w:noProof/>
                <w:sz w:val="22"/>
                <w:szCs w:val="20"/>
                <w:lang w:val="en-GB"/>
              </w:rPr>
              <w:t xml:space="preserve">amending </w:t>
            </w:r>
            <w:r w:rsidR="1ECB7ED0" w:rsidRPr="00926294">
              <w:rPr>
                <w:rFonts w:eastAsia="Calibri" w:cs="Times New Roman"/>
                <w:i/>
                <w:iCs/>
                <w:noProof/>
                <w:sz w:val="22"/>
                <w:szCs w:val="20"/>
                <w:lang w:val="en-GB"/>
              </w:rPr>
              <w:t>A</w:t>
            </w:r>
            <w:r w:rsidRPr="00926294">
              <w:rPr>
                <w:rFonts w:eastAsia="Calibri" w:cs="Times New Roman"/>
                <w:i/>
                <w:iCs/>
                <w:noProof/>
                <w:sz w:val="22"/>
                <w:szCs w:val="20"/>
                <w:lang w:val="en-GB"/>
              </w:rPr>
              <w:t xml:space="preserve">nnex III </w:t>
            </w:r>
            <w:r w:rsidRPr="00926294">
              <w:rPr>
                <w:rFonts w:eastAsia="Calibri" w:cs="Times New Roman"/>
                <w:noProof/>
                <w:sz w:val="22"/>
                <w:szCs w:val="20"/>
                <w:lang w:val="en-GB"/>
              </w:rPr>
              <w:t>of the Nitrates Directive in this respect. The draft act is pending the opinion of the Member States in the Nitrates Committee and the scrutiny of the co-legislators before coming into law. An evaluation of the Nitrates Directive is ongoing, which will further analyse the role of different forms of organic fertilisers under the Directive</w:t>
            </w:r>
            <w:r w:rsidR="67947E86" w:rsidRPr="00926294">
              <w:rPr>
                <w:rFonts w:eastAsia="Calibri" w:cs="Times New Roman"/>
                <w:noProof/>
                <w:sz w:val="22"/>
                <w:szCs w:val="20"/>
                <w:lang w:val="en-GB"/>
              </w:rPr>
              <w:t>.</w:t>
            </w:r>
          </w:p>
          <w:p w14:paraId="10641E42" w14:textId="77777777" w:rsidR="00872C68" w:rsidRPr="00926294" w:rsidRDefault="00872C68" w:rsidP="001061AF">
            <w:pPr>
              <w:spacing w:after="60" w:line="259" w:lineRule="auto"/>
              <w:jc w:val="both"/>
              <w:rPr>
                <w:rFonts w:eastAsia="Calibri" w:cs="Times New Roman"/>
                <w:noProof/>
                <w:sz w:val="22"/>
                <w:lang w:val="en-GB"/>
              </w:rPr>
            </w:pPr>
          </w:p>
        </w:tc>
      </w:tr>
      <w:tr w:rsidR="001F253E" w:rsidRPr="00FD703D" w14:paraId="7D8CBF11" w14:textId="77777777" w:rsidTr="00B54A1E">
        <w:trPr>
          <w:trHeight w:val="300"/>
        </w:trPr>
        <w:tc>
          <w:tcPr>
            <w:tcW w:w="616" w:type="dxa"/>
            <w:vAlign w:val="center"/>
          </w:tcPr>
          <w:p w14:paraId="7808969A" w14:textId="583FE36C"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29</w:t>
            </w:r>
            <w:r w:rsidR="00E558D0">
              <w:rPr>
                <w:rFonts w:eastAsia="Calibri" w:cs="Times New Roman"/>
                <w:b/>
                <w:bCs/>
                <w:noProof/>
                <w:sz w:val="22"/>
                <w:lang w:val="en-GB"/>
              </w:rPr>
              <w:t>6</w:t>
            </w:r>
          </w:p>
        </w:tc>
        <w:tc>
          <w:tcPr>
            <w:tcW w:w="5983" w:type="dxa"/>
          </w:tcPr>
          <w:p w14:paraId="7C868BDA" w14:textId="78420950" w:rsidR="00872C68" w:rsidRPr="00FD703D" w:rsidRDefault="150F593C" w:rsidP="7E954136">
            <w:pPr>
              <w:spacing w:after="60" w:line="259" w:lineRule="auto"/>
              <w:jc w:val="both"/>
              <w:rPr>
                <w:rFonts w:eastAsia="Calibri" w:cs="Times New Roman"/>
                <w:noProof/>
                <w:sz w:val="22"/>
                <w:szCs w:val="20"/>
                <w:lang w:val="en-GB"/>
              </w:rPr>
            </w:pPr>
            <w:r w:rsidRPr="00FD703D">
              <w:rPr>
                <w:rFonts w:eastAsia="Calibri" w:cs="Times New Roman"/>
                <w:b/>
                <w:noProof/>
                <w:sz w:val="22"/>
                <w:szCs w:val="20"/>
                <w:lang w:val="en-GB"/>
              </w:rPr>
              <w:t>RENURE</w:t>
            </w:r>
            <w:r w:rsidR="29CB0D46" w:rsidRPr="00FD703D">
              <w:rPr>
                <w:rFonts w:eastAsia="Calibri" w:cs="Times New Roman"/>
                <w:b/>
                <w:noProof/>
                <w:sz w:val="22"/>
                <w:szCs w:val="20"/>
                <w:lang w:val="en-GB"/>
              </w:rPr>
              <w:t>:</w:t>
            </w:r>
            <w:r w:rsidR="29CB0D46" w:rsidRPr="00FD703D">
              <w:rPr>
                <w:rFonts w:eastAsia="Calibri" w:cs="Times New Roman"/>
                <w:noProof/>
                <w:sz w:val="22"/>
                <w:szCs w:val="20"/>
                <w:lang w:val="en-GB"/>
              </w:rPr>
              <w:t xml:space="preserve"> </w:t>
            </w:r>
            <w:r w:rsidR="0E041B16" w:rsidRPr="00FD703D">
              <w:rPr>
                <w:rFonts w:eastAsia="Calibri" w:cs="Times New Roman"/>
                <w:noProof/>
                <w:sz w:val="22"/>
                <w:szCs w:val="20"/>
                <w:lang w:val="en-GB"/>
              </w:rPr>
              <w:t>a</w:t>
            </w:r>
            <w:r w:rsidR="29CB0D46" w:rsidRPr="00FD703D">
              <w:rPr>
                <w:rFonts w:eastAsia="Calibri" w:cs="Times New Roman"/>
                <w:noProof/>
                <w:sz w:val="22"/>
                <w:szCs w:val="20"/>
                <w:lang w:val="en-GB"/>
              </w:rPr>
              <w:t xml:space="preserve">llow for a temporary exemption from the Nitrates Directive limit, in the short term, so that the safe use of RENURE products is allowed above the limit of 170 kg of nitrogen per hectare per year in specific areas, based on the RENURE criteria developed by the </w:t>
            </w:r>
            <w:r w:rsidR="6A338CCD" w:rsidRPr="00FD703D">
              <w:rPr>
                <w:rFonts w:eastAsia="Calibri" w:cs="Times New Roman"/>
                <w:noProof/>
                <w:sz w:val="22"/>
                <w:szCs w:val="20"/>
                <w:lang w:val="en-GB"/>
              </w:rPr>
              <w:t xml:space="preserve">Commission’s </w:t>
            </w:r>
            <w:r w:rsidR="29CB0D46" w:rsidRPr="00FD703D">
              <w:rPr>
                <w:rFonts w:eastAsia="Calibri" w:cs="Times New Roman"/>
                <w:noProof/>
                <w:sz w:val="22"/>
                <w:szCs w:val="20"/>
                <w:lang w:val="en-GB"/>
              </w:rPr>
              <w:t>Joint Research Centre</w:t>
            </w:r>
            <w:r w:rsidR="1ECB7ED0" w:rsidRPr="00FD703D">
              <w:rPr>
                <w:rFonts w:eastAsia="Calibri" w:cs="Times New Roman"/>
                <w:noProof/>
                <w:sz w:val="22"/>
                <w:szCs w:val="20"/>
                <w:lang w:val="en-GB"/>
              </w:rPr>
              <w:t>,</w:t>
            </w:r>
            <w:r w:rsidR="29CB0D46" w:rsidRPr="00FD703D">
              <w:rPr>
                <w:rFonts w:eastAsia="Calibri" w:cs="Times New Roman"/>
                <w:noProof/>
                <w:sz w:val="22"/>
                <w:szCs w:val="20"/>
                <w:lang w:val="en-GB"/>
              </w:rPr>
              <w:t xml:space="preserve"> and propose a revision of </w:t>
            </w:r>
            <w:r w:rsidR="29CB0D46" w:rsidRPr="00FD703D">
              <w:rPr>
                <w:rFonts w:eastAsia="Calibri" w:cs="Times New Roman"/>
                <w:i/>
                <w:iCs/>
                <w:noProof/>
                <w:sz w:val="22"/>
                <w:szCs w:val="20"/>
                <w:lang w:val="en-GB"/>
              </w:rPr>
              <w:t>Annex III</w:t>
            </w:r>
            <w:r w:rsidR="29CB0D46" w:rsidRPr="00FD703D">
              <w:rPr>
                <w:rFonts w:eastAsia="Calibri" w:cs="Times New Roman"/>
                <w:noProof/>
                <w:sz w:val="22"/>
                <w:szCs w:val="20"/>
                <w:lang w:val="en-GB"/>
              </w:rPr>
              <w:t xml:space="preserve"> of the Nitrates Directives to allow for a permanent exemption of RENURE products from the Nitrates Directive limit in the medium term</w:t>
            </w:r>
            <w:r w:rsidR="3FC57A47" w:rsidRPr="00FD703D">
              <w:rPr>
                <w:rFonts w:eastAsia="Calibri" w:cs="Times New Roman"/>
                <w:noProof/>
                <w:sz w:val="22"/>
                <w:szCs w:val="20"/>
                <w:lang w:val="en-GB"/>
              </w:rPr>
              <w:t>.</w:t>
            </w:r>
          </w:p>
        </w:tc>
        <w:tc>
          <w:tcPr>
            <w:tcW w:w="1530" w:type="dxa"/>
            <w:vAlign w:val="center"/>
          </w:tcPr>
          <w:p w14:paraId="50B0186A"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0" w:type="dxa"/>
            <w:vMerge/>
          </w:tcPr>
          <w:p w14:paraId="0EA57BD8" w14:textId="77777777" w:rsidR="00872C68" w:rsidRPr="00FD703D" w:rsidRDefault="00872C68" w:rsidP="001061AF">
            <w:pPr>
              <w:spacing w:after="60" w:line="259" w:lineRule="auto"/>
              <w:jc w:val="both"/>
              <w:rPr>
                <w:rFonts w:eastAsia="Calibri" w:cs="Times New Roman"/>
                <w:noProof/>
                <w:sz w:val="22"/>
                <w:lang w:val="en-GB"/>
              </w:rPr>
            </w:pPr>
          </w:p>
        </w:tc>
      </w:tr>
      <w:tr w:rsidR="00F34C75" w:rsidRPr="00FD703D" w14:paraId="51B093EF" w14:textId="77777777" w:rsidTr="00B54A1E">
        <w:trPr>
          <w:trHeight w:val="300"/>
        </w:trPr>
        <w:tc>
          <w:tcPr>
            <w:tcW w:w="14519" w:type="dxa"/>
            <w:gridSpan w:val="4"/>
            <w:tcBorders>
              <w:top w:val="single" w:sz="4" w:space="0" w:color="auto"/>
              <w:bottom w:val="nil"/>
            </w:tcBorders>
            <w:shd w:val="clear" w:color="auto" w:fill="003399"/>
          </w:tcPr>
          <w:p w14:paraId="4DAF1B21" w14:textId="77777777" w:rsidR="00872C68" w:rsidRPr="00FD703D" w:rsidRDefault="00872C68" w:rsidP="004749EF">
            <w:pPr>
              <w:spacing w:before="120" w:after="120" w:line="259" w:lineRule="auto"/>
              <w:jc w:val="center"/>
              <w:rPr>
                <w:rFonts w:eastAsia="Calibri" w:cs="Times New Roman"/>
                <w:b/>
                <w:noProof/>
                <w:sz w:val="22"/>
                <w:lang w:val="en-GB"/>
              </w:rPr>
            </w:pPr>
            <w:r w:rsidRPr="00FD703D">
              <w:rPr>
                <w:rFonts w:eastAsia="Calibri" w:cs="Times New Roman"/>
                <w:b/>
                <w:noProof/>
                <w:sz w:val="22"/>
                <w:lang w:val="en-GB"/>
              </w:rPr>
              <w:t>Proposal for a Forest monitoring regulation, COM(2023) 728</w:t>
            </w:r>
          </w:p>
        </w:tc>
      </w:tr>
      <w:tr w:rsidR="00593350" w:rsidRPr="00FD703D" w14:paraId="292D59C5" w14:textId="77777777" w:rsidTr="00B54A1E">
        <w:trPr>
          <w:trHeight w:val="300"/>
        </w:trPr>
        <w:tc>
          <w:tcPr>
            <w:tcW w:w="616" w:type="dxa"/>
            <w:vAlign w:val="center"/>
          </w:tcPr>
          <w:p w14:paraId="7E281495" w14:textId="14C9550D"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29</w:t>
            </w:r>
            <w:r w:rsidR="00E558D0">
              <w:rPr>
                <w:rFonts w:eastAsia="Calibri" w:cs="Times New Roman"/>
                <w:b/>
                <w:bCs/>
                <w:noProof/>
                <w:sz w:val="22"/>
                <w:lang w:val="en-GB"/>
              </w:rPr>
              <w:t>7</w:t>
            </w:r>
          </w:p>
        </w:tc>
        <w:tc>
          <w:tcPr>
            <w:tcW w:w="5983" w:type="dxa"/>
            <w:tcBorders>
              <w:top w:val="single" w:sz="4" w:space="0" w:color="auto"/>
            </w:tcBorders>
            <w:vAlign w:val="center"/>
          </w:tcPr>
          <w:p w14:paraId="62AA9362" w14:textId="2AB019F6"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b/>
                <w:bCs/>
                <w:noProof/>
                <w:sz w:val="22"/>
                <w:lang w:val="en-GB"/>
              </w:rPr>
              <w:t>Data collection:</w:t>
            </w:r>
            <w:r w:rsidRPr="00FD703D">
              <w:rPr>
                <w:rFonts w:eastAsia="Calibri" w:cs="Times New Roman"/>
                <w:noProof/>
                <w:sz w:val="22"/>
                <w:lang w:val="en-GB"/>
              </w:rPr>
              <w:t xml:space="preserve"> the law is not needed as Member States already have monitoring systems. Questions </w:t>
            </w:r>
            <w:r w:rsidR="002F0A56" w:rsidRPr="00FD703D">
              <w:rPr>
                <w:rFonts w:eastAsia="Calibri" w:cs="Times New Roman"/>
                <w:noProof/>
                <w:sz w:val="22"/>
                <w:lang w:val="en-GB"/>
              </w:rPr>
              <w:t xml:space="preserve">on the </w:t>
            </w:r>
            <w:r w:rsidRPr="00FD703D">
              <w:rPr>
                <w:rFonts w:eastAsia="Calibri" w:cs="Times New Roman"/>
                <w:noProof/>
                <w:sz w:val="22"/>
                <w:lang w:val="en-GB"/>
              </w:rPr>
              <w:t>purpose of data collection. Issues of data protection.</w:t>
            </w:r>
          </w:p>
        </w:tc>
        <w:tc>
          <w:tcPr>
            <w:tcW w:w="1530" w:type="dxa"/>
            <w:tcBorders>
              <w:top w:val="single" w:sz="4" w:space="0" w:color="auto"/>
            </w:tcBorders>
            <w:vAlign w:val="center"/>
          </w:tcPr>
          <w:p w14:paraId="44E50F29"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AT</w:t>
            </w:r>
          </w:p>
        </w:tc>
        <w:tc>
          <w:tcPr>
            <w:tcW w:w="6390" w:type="dxa"/>
            <w:tcBorders>
              <w:top w:val="single" w:sz="4" w:space="0" w:color="auto"/>
            </w:tcBorders>
            <w:vAlign w:val="center"/>
          </w:tcPr>
          <w:p w14:paraId="22837BB3" w14:textId="57E94D13"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Information on forest is patchy and uncoordinated and does not </w:t>
            </w:r>
            <w:r w:rsidR="002F0A56" w:rsidRPr="00FD703D">
              <w:rPr>
                <w:rFonts w:eastAsia="Calibri" w:cs="Times New Roman"/>
                <w:noProof/>
                <w:sz w:val="22"/>
                <w:lang w:val="en-GB"/>
              </w:rPr>
              <w:t xml:space="preserve">make it possible </w:t>
            </w:r>
            <w:r w:rsidRPr="00FD703D">
              <w:rPr>
                <w:rFonts w:eastAsia="Calibri" w:cs="Times New Roman"/>
                <w:noProof/>
                <w:sz w:val="22"/>
                <w:lang w:val="en-GB"/>
              </w:rPr>
              <w:t>to check the impact of legislation nor to ensure forest resilience in a changing environment. This proposal does not go beyond what is necessary in order to achieve that objective and it should therefore be maintained. In particular it builds on existing national systems by promoting harmoni</w:t>
            </w:r>
            <w:r w:rsidR="002F0A56" w:rsidRPr="00FD703D">
              <w:rPr>
                <w:rFonts w:eastAsia="Calibri" w:cs="Times New Roman"/>
                <w:noProof/>
                <w:sz w:val="22"/>
                <w:lang w:val="en-GB"/>
              </w:rPr>
              <w:t>s</w:t>
            </w:r>
            <w:r w:rsidRPr="00FD703D">
              <w:rPr>
                <w:rFonts w:eastAsia="Calibri" w:cs="Times New Roman"/>
                <w:noProof/>
                <w:sz w:val="22"/>
                <w:lang w:val="en-GB"/>
              </w:rPr>
              <w:t xml:space="preserve">ation and it complements </w:t>
            </w:r>
            <w:r w:rsidR="002F0A56" w:rsidRPr="00FD703D">
              <w:rPr>
                <w:rFonts w:eastAsia="Calibri" w:cs="Times New Roman"/>
                <w:noProof/>
                <w:sz w:val="22"/>
                <w:lang w:val="en-GB"/>
              </w:rPr>
              <w:t xml:space="preserve">them </w:t>
            </w:r>
            <w:r w:rsidRPr="00FD703D">
              <w:rPr>
                <w:rFonts w:eastAsia="Calibri" w:cs="Times New Roman"/>
                <w:noProof/>
                <w:sz w:val="22"/>
                <w:lang w:val="en-GB"/>
              </w:rPr>
              <w:t>by providing standardi</w:t>
            </w:r>
            <w:r w:rsidR="002F0A56" w:rsidRPr="00FD703D">
              <w:rPr>
                <w:rFonts w:eastAsia="Calibri" w:cs="Times New Roman"/>
                <w:noProof/>
                <w:sz w:val="22"/>
                <w:lang w:val="en-GB"/>
              </w:rPr>
              <w:t>s</w:t>
            </w:r>
            <w:r w:rsidRPr="00FD703D">
              <w:rPr>
                <w:rFonts w:eastAsia="Calibri" w:cs="Times New Roman"/>
                <w:noProof/>
                <w:sz w:val="22"/>
                <w:lang w:val="en-GB"/>
              </w:rPr>
              <w:t xml:space="preserve">ed data though Earth </w:t>
            </w:r>
            <w:r w:rsidR="002F0A56" w:rsidRPr="00FD703D">
              <w:rPr>
                <w:rFonts w:eastAsia="Calibri" w:cs="Times New Roman"/>
                <w:noProof/>
                <w:sz w:val="22"/>
                <w:lang w:val="en-GB"/>
              </w:rPr>
              <w:t>o</w:t>
            </w:r>
            <w:r w:rsidRPr="00FD703D">
              <w:rPr>
                <w:rFonts w:eastAsia="Calibri" w:cs="Times New Roman"/>
                <w:noProof/>
                <w:sz w:val="22"/>
                <w:lang w:val="en-GB"/>
              </w:rPr>
              <w:t xml:space="preserve">bservation. It </w:t>
            </w:r>
            <w:r w:rsidR="002F0A56" w:rsidRPr="00FD703D">
              <w:rPr>
                <w:rFonts w:eastAsia="Calibri" w:cs="Times New Roman"/>
                <w:noProof/>
                <w:sz w:val="22"/>
                <w:lang w:val="en-GB"/>
              </w:rPr>
              <w:t xml:space="preserve">also </w:t>
            </w:r>
            <w:r w:rsidRPr="00FD703D">
              <w:rPr>
                <w:rFonts w:eastAsia="Calibri" w:cs="Times New Roman"/>
                <w:noProof/>
                <w:sz w:val="22"/>
                <w:lang w:val="en-GB"/>
              </w:rPr>
              <w:t xml:space="preserve">includes safeguards on data protection. </w:t>
            </w:r>
          </w:p>
        </w:tc>
      </w:tr>
      <w:tr w:rsidR="006862F9" w:rsidRPr="00FD703D" w14:paraId="01510E84" w14:textId="77777777" w:rsidTr="00B54A1E">
        <w:trPr>
          <w:trHeight w:val="300"/>
        </w:trPr>
        <w:tc>
          <w:tcPr>
            <w:tcW w:w="616" w:type="dxa"/>
            <w:vAlign w:val="center"/>
          </w:tcPr>
          <w:p w14:paraId="5776B142" w14:textId="00D6338D"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29</w:t>
            </w:r>
            <w:r w:rsidR="00E558D0">
              <w:rPr>
                <w:rFonts w:eastAsia="Calibri" w:cs="Times New Roman"/>
                <w:b/>
                <w:bCs/>
                <w:noProof/>
                <w:sz w:val="22"/>
                <w:lang w:val="en-GB"/>
              </w:rPr>
              <w:t>8</w:t>
            </w:r>
          </w:p>
        </w:tc>
        <w:tc>
          <w:tcPr>
            <w:tcW w:w="5983" w:type="dxa"/>
            <w:vAlign w:val="center"/>
          </w:tcPr>
          <w:p w14:paraId="7F7B129B" w14:textId="30333E28" w:rsidR="00872C68" w:rsidRPr="00FD703D" w:rsidRDefault="29CB0D46" w:rsidP="20654519">
            <w:pPr>
              <w:spacing w:after="60" w:line="259" w:lineRule="auto"/>
              <w:jc w:val="both"/>
              <w:rPr>
                <w:rFonts w:eastAsia="Calibri" w:cs="Times New Roman"/>
                <w:noProof/>
                <w:sz w:val="22"/>
                <w:szCs w:val="20"/>
                <w:lang w:val="en-IE"/>
              </w:rPr>
            </w:pPr>
            <w:r w:rsidRPr="00FD703D">
              <w:rPr>
                <w:rFonts w:eastAsia="Calibri" w:cs="Times New Roman"/>
                <w:b/>
                <w:noProof/>
                <w:sz w:val="22"/>
                <w:szCs w:val="20"/>
                <w:lang w:val="en-IE"/>
              </w:rPr>
              <w:t>Forest management plan</w:t>
            </w:r>
            <w:r w:rsidR="069BC2F8" w:rsidRPr="00FD703D">
              <w:rPr>
                <w:rFonts w:eastAsia="Calibri" w:cs="Times New Roman"/>
                <w:b/>
                <w:noProof/>
                <w:sz w:val="22"/>
                <w:szCs w:val="20"/>
                <w:lang w:val="en-IE"/>
              </w:rPr>
              <w:t>:</w:t>
            </w:r>
            <w:r w:rsidRPr="00FD703D">
              <w:rPr>
                <w:rFonts w:eastAsia="Calibri" w:cs="Times New Roman"/>
                <w:noProof/>
                <w:sz w:val="22"/>
                <w:szCs w:val="20"/>
                <w:lang w:val="en-IE"/>
              </w:rPr>
              <w:t xml:space="preserve"> </w:t>
            </w:r>
            <w:r w:rsidR="0F49DECB" w:rsidRPr="00FD703D">
              <w:rPr>
                <w:rFonts w:eastAsia="Calibri" w:cs="Times New Roman"/>
                <w:noProof/>
                <w:sz w:val="22"/>
                <w:szCs w:val="20"/>
                <w:lang w:val="en-IE"/>
              </w:rPr>
              <w:t>c</w:t>
            </w:r>
            <w:r w:rsidR="1ECB7ED0" w:rsidRPr="00FD703D">
              <w:rPr>
                <w:rFonts w:eastAsia="Calibri" w:cs="Times New Roman"/>
                <w:noProof/>
                <w:sz w:val="22"/>
                <w:szCs w:val="20"/>
                <w:lang w:val="en-IE"/>
              </w:rPr>
              <w:t>oncerns about the e</w:t>
            </w:r>
            <w:r w:rsidRPr="00FD703D">
              <w:rPr>
                <w:rFonts w:eastAsia="Calibri" w:cs="Times New Roman"/>
                <w:noProof/>
                <w:sz w:val="22"/>
                <w:szCs w:val="20"/>
                <w:lang w:val="en-IE"/>
              </w:rPr>
              <w:t xml:space="preserve">xtensive contents of a </w:t>
            </w:r>
            <w:r w:rsidR="1ECB7ED0" w:rsidRPr="00FD703D">
              <w:rPr>
                <w:rFonts w:eastAsia="Calibri" w:cs="Times New Roman"/>
                <w:noProof/>
                <w:sz w:val="22"/>
                <w:szCs w:val="20"/>
                <w:lang w:val="en-IE"/>
              </w:rPr>
              <w:t>‘</w:t>
            </w:r>
            <w:r w:rsidRPr="00FD703D">
              <w:rPr>
                <w:rFonts w:eastAsia="Calibri" w:cs="Times New Roman"/>
                <w:noProof/>
                <w:sz w:val="22"/>
                <w:szCs w:val="20"/>
                <w:lang w:val="en-IE"/>
              </w:rPr>
              <w:t>reforestation plan</w:t>
            </w:r>
            <w:r w:rsidR="1ECB7ED0" w:rsidRPr="00FD703D">
              <w:rPr>
                <w:rFonts w:eastAsia="Calibri" w:cs="Times New Roman"/>
                <w:noProof/>
                <w:sz w:val="22"/>
                <w:szCs w:val="20"/>
                <w:lang w:val="en-IE"/>
              </w:rPr>
              <w:t>’</w:t>
            </w:r>
            <w:r w:rsidRPr="00FD703D">
              <w:rPr>
                <w:rFonts w:eastAsia="Calibri" w:cs="Times New Roman"/>
                <w:noProof/>
                <w:sz w:val="22"/>
                <w:szCs w:val="20"/>
                <w:lang w:val="en-IE"/>
              </w:rPr>
              <w:t xml:space="preserve">. </w:t>
            </w:r>
            <w:r w:rsidR="1ECB7ED0" w:rsidRPr="00FD703D">
              <w:rPr>
                <w:rFonts w:eastAsia="Calibri" w:cs="Times New Roman"/>
                <w:noProof/>
                <w:sz w:val="22"/>
                <w:szCs w:val="20"/>
                <w:lang w:val="en-IE"/>
              </w:rPr>
              <w:t>O</w:t>
            </w:r>
            <w:r w:rsidRPr="00FD703D">
              <w:rPr>
                <w:rFonts w:eastAsia="Calibri" w:cs="Times New Roman"/>
                <w:noProof/>
                <w:sz w:val="22"/>
                <w:szCs w:val="20"/>
                <w:lang w:val="en-IE"/>
              </w:rPr>
              <w:t xml:space="preserve">wners </w:t>
            </w:r>
            <w:r w:rsidR="1ECB7ED0" w:rsidRPr="00FD703D">
              <w:rPr>
                <w:rFonts w:eastAsia="Calibri" w:cs="Times New Roman"/>
                <w:noProof/>
                <w:sz w:val="22"/>
                <w:szCs w:val="20"/>
                <w:lang w:val="en-IE"/>
              </w:rPr>
              <w:t xml:space="preserve">of forests </w:t>
            </w:r>
            <w:r w:rsidRPr="00FD703D">
              <w:rPr>
                <w:rFonts w:eastAsia="Calibri" w:cs="Times New Roman"/>
                <w:noProof/>
                <w:sz w:val="22"/>
                <w:szCs w:val="20"/>
                <w:lang w:val="en-IE"/>
              </w:rPr>
              <w:t xml:space="preserve">up to 100 ha should be exempted from the obligation to draw up a forest management plan. The requirement for a climate benefit analysis should be </w:t>
            </w:r>
            <w:r w:rsidR="1ECB7ED0" w:rsidRPr="00FD703D">
              <w:rPr>
                <w:rFonts w:eastAsia="Calibri" w:cs="Times New Roman"/>
                <w:noProof/>
                <w:sz w:val="22"/>
                <w:szCs w:val="20"/>
                <w:lang w:val="en-IE"/>
              </w:rPr>
              <w:t>removed</w:t>
            </w:r>
          </w:p>
        </w:tc>
        <w:tc>
          <w:tcPr>
            <w:tcW w:w="1530" w:type="dxa"/>
            <w:vAlign w:val="center"/>
          </w:tcPr>
          <w:p w14:paraId="2F85B826" w14:textId="38E4474B" w:rsidR="00872C68" w:rsidRPr="00FD703D" w:rsidRDefault="5C02F048" w:rsidP="4538020F">
            <w:pPr>
              <w:spacing w:after="60" w:line="259" w:lineRule="auto"/>
              <w:jc w:val="center"/>
              <w:rPr>
                <w:rFonts w:eastAsia="Calibri" w:cs="Times New Roman"/>
                <w:b/>
                <w:bCs/>
                <w:noProof/>
                <w:sz w:val="22"/>
                <w:lang w:val="en-GB"/>
              </w:rPr>
            </w:pPr>
            <w:r w:rsidRPr="4538020F">
              <w:rPr>
                <w:rFonts w:eastAsia="MS Gothic" w:cs="Times New Roman"/>
                <w:b/>
                <w:bCs/>
                <w:noProof/>
                <w:color w:val="0033CC"/>
                <w:sz w:val="22"/>
                <w:lang w:val="en-GB"/>
              </w:rPr>
              <w:t>AT</w:t>
            </w:r>
            <w:r w:rsidRPr="00FF77A3">
              <w:rPr>
                <w:rFonts w:eastAsia="Calibri" w:cs="Times New Roman"/>
                <w:b/>
                <w:bCs/>
                <w:noProof/>
                <w:sz w:val="22"/>
                <w:lang w:val="en-GB"/>
              </w:rPr>
              <w:t xml:space="preserve"> </w:t>
            </w:r>
          </w:p>
        </w:tc>
        <w:tc>
          <w:tcPr>
            <w:tcW w:w="6390" w:type="dxa"/>
            <w:vAlign w:val="center"/>
          </w:tcPr>
          <w:p w14:paraId="37F65CC0" w14:textId="3592BEFA" w:rsidR="00967CF8" w:rsidRPr="00FD703D" w:rsidRDefault="50946560" w:rsidP="4538020F">
            <w:pPr>
              <w:spacing w:after="60" w:line="259" w:lineRule="auto"/>
              <w:jc w:val="both"/>
              <w:rPr>
                <w:rFonts w:eastAsia="Calibri" w:cs="Times New Roman"/>
                <w:noProof/>
                <w:sz w:val="22"/>
                <w:lang w:val="en-GB"/>
              </w:rPr>
            </w:pPr>
            <w:r w:rsidRPr="4538020F">
              <w:rPr>
                <w:rFonts w:eastAsia="Calibri" w:cs="Times New Roman"/>
                <w:noProof/>
                <w:sz w:val="22"/>
                <w:lang w:val="en-GB"/>
              </w:rPr>
              <w:t>The</w:t>
            </w:r>
            <w:r w:rsidR="157427D4" w:rsidRPr="4538020F">
              <w:rPr>
                <w:rFonts w:eastAsia="Calibri" w:cs="Times New Roman"/>
                <w:noProof/>
                <w:sz w:val="22"/>
                <w:lang w:val="en-GB"/>
              </w:rPr>
              <w:t xml:space="preserve"> proposal does not </w:t>
            </w:r>
            <w:r w:rsidR="4DA88325" w:rsidRPr="4538020F">
              <w:rPr>
                <w:rFonts w:eastAsia="Calibri" w:cs="Times New Roman"/>
                <w:noProof/>
                <w:sz w:val="22"/>
                <w:lang w:val="en-GB"/>
              </w:rPr>
              <w:t>include requirements</w:t>
            </w:r>
            <w:r w:rsidRPr="4538020F">
              <w:rPr>
                <w:rFonts w:eastAsia="Calibri" w:cs="Times New Roman"/>
                <w:noProof/>
                <w:sz w:val="22"/>
                <w:lang w:val="en-GB"/>
              </w:rPr>
              <w:t xml:space="preserve"> for forest management plans. </w:t>
            </w:r>
            <w:r w:rsidR="67B132D7" w:rsidRPr="4538020F">
              <w:rPr>
                <w:rFonts w:eastAsia="Calibri" w:cs="Times New Roman"/>
                <w:noProof/>
                <w:sz w:val="22"/>
                <w:lang w:val="en-GB"/>
              </w:rPr>
              <w:t>It is u</w:t>
            </w:r>
            <w:r w:rsidRPr="4538020F">
              <w:rPr>
                <w:rFonts w:eastAsia="Calibri" w:cs="Times New Roman"/>
                <w:noProof/>
                <w:sz w:val="22"/>
                <w:lang w:val="en-GB"/>
              </w:rPr>
              <w:t>p to the Member States to decide the threshold for these plans and the</w:t>
            </w:r>
            <w:r w:rsidR="6A154516" w:rsidRPr="4538020F">
              <w:rPr>
                <w:rFonts w:eastAsia="Calibri" w:cs="Times New Roman"/>
                <w:noProof/>
                <w:sz w:val="22"/>
                <w:lang w:val="en-GB"/>
              </w:rPr>
              <w:t>ir</w:t>
            </w:r>
            <w:r w:rsidRPr="4538020F">
              <w:rPr>
                <w:rFonts w:eastAsia="Calibri" w:cs="Times New Roman"/>
                <w:noProof/>
                <w:sz w:val="22"/>
                <w:lang w:val="en-GB"/>
              </w:rPr>
              <w:t xml:space="preserve"> content</w:t>
            </w:r>
            <w:r w:rsidR="2BCE2E2E" w:rsidRPr="4538020F">
              <w:rPr>
                <w:rFonts w:eastAsia="Calibri" w:cs="Times New Roman"/>
                <w:noProof/>
                <w:sz w:val="22"/>
                <w:lang w:val="en-GB"/>
              </w:rPr>
              <w:t>.</w:t>
            </w:r>
          </w:p>
        </w:tc>
      </w:tr>
      <w:tr w:rsidR="003D4B2D" w:rsidRPr="00FD703D" w14:paraId="39C29184" w14:textId="77777777" w:rsidTr="00B54A1E">
        <w:trPr>
          <w:trHeight w:val="377"/>
        </w:trPr>
        <w:tc>
          <w:tcPr>
            <w:tcW w:w="14519" w:type="dxa"/>
            <w:gridSpan w:val="4"/>
            <w:shd w:val="clear" w:color="auto" w:fill="003399"/>
            <w:vAlign w:val="center"/>
          </w:tcPr>
          <w:p w14:paraId="4FE5B0F5" w14:textId="77777777" w:rsidR="00872C68" w:rsidRPr="00FD703D" w:rsidRDefault="00872C68" w:rsidP="001061AF">
            <w:pPr>
              <w:spacing w:after="60" w:line="259" w:lineRule="auto"/>
              <w:jc w:val="center"/>
              <w:rPr>
                <w:rFonts w:eastAsia="Calibri" w:cs="Times New Roman"/>
                <w:b/>
                <w:noProof/>
                <w:color w:val="FFFFFF"/>
                <w:sz w:val="22"/>
                <w:lang w:val="en-GB"/>
              </w:rPr>
            </w:pPr>
            <w:r w:rsidRPr="00FD703D">
              <w:rPr>
                <w:rFonts w:eastAsia="Calibri" w:cs="Times New Roman"/>
                <w:b/>
                <w:noProof/>
                <w:color w:val="FFFFFF"/>
                <w:sz w:val="22"/>
                <w:lang w:val="en-GB"/>
              </w:rPr>
              <w:t>Proposal for a Nature Restoration Law, COM(2022) 304</w:t>
            </w:r>
          </w:p>
        </w:tc>
      </w:tr>
      <w:tr w:rsidR="00BD6E31" w:rsidRPr="00FD703D" w14:paraId="2FA1B859" w14:textId="77777777" w:rsidTr="00B54A1E">
        <w:trPr>
          <w:trHeight w:val="300"/>
        </w:trPr>
        <w:tc>
          <w:tcPr>
            <w:tcW w:w="616" w:type="dxa"/>
            <w:vAlign w:val="center"/>
          </w:tcPr>
          <w:p w14:paraId="78554353" w14:textId="3218114E" w:rsidR="007B2A86" w:rsidRPr="00FD703D" w:rsidRDefault="00E558D0" w:rsidP="001061AF">
            <w:pPr>
              <w:spacing w:after="60" w:line="259" w:lineRule="auto"/>
              <w:jc w:val="both"/>
              <w:rPr>
                <w:rFonts w:eastAsia="Calibri" w:cs="Times New Roman"/>
                <w:b/>
                <w:noProof/>
                <w:sz w:val="22"/>
                <w:lang w:val="en-GB"/>
              </w:rPr>
            </w:pPr>
            <w:r>
              <w:rPr>
                <w:rFonts w:eastAsia="Calibri" w:cs="Times New Roman"/>
                <w:b/>
                <w:bCs/>
                <w:noProof/>
                <w:sz w:val="22"/>
                <w:lang w:val="en-GB"/>
              </w:rPr>
              <w:t>299</w:t>
            </w:r>
          </w:p>
        </w:tc>
        <w:tc>
          <w:tcPr>
            <w:tcW w:w="5983" w:type="dxa"/>
            <w:vAlign w:val="center"/>
          </w:tcPr>
          <w:p w14:paraId="7A04C734" w14:textId="1D265EEE" w:rsidR="007B2A86" w:rsidRPr="00FD703D" w:rsidRDefault="007B2A8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Mandatory indicators:</w:t>
            </w:r>
            <w:r w:rsidRPr="00FD703D">
              <w:rPr>
                <w:rFonts w:eastAsia="Calibri" w:cs="Times New Roman"/>
                <w:noProof/>
                <w:sz w:val="22"/>
                <w:szCs w:val="20"/>
                <w:lang w:val="en-GB"/>
              </w:rPr>
              <w:t xml:space="preserve"> reduce the number of mandatory </w:t>
            </w:r>
            <w:r w:rsidR="00CB2F59" w:rsidRPr="00FD703D">
              <w:rPr>
                <w:rFonts w:eastAsia="Calibri" w:cs="Times New Roman"/>
                <w:noProof/>
                <w:sz w:val="22"/>
                <w:szCs w:val="20"/>
                <w:lang w:val="en-GB"/>
              </w:rPr>
              <w:t>indicators and</w:t>
            </w:r>
            <w:r w:rsidRPr="00FD703D">
              <w:rPr>
                <w:rFonts w:eastAsia="Calibri" w:cs="Times New Roman"/>
                <w:noProof/>
                <w:sz w:val="22"/>
                <w:szCs w:val="20"/>
                <w:lang w:val="en-GB"/>
              </w:rPr>
              <w:t xml:space="preserve"> remove or make optional the ‘woodland index’ indicator.</w:t>
            </w:r>
          </w:p>
        </w:tc>
        <w:tc>
          <w:tcPr>
            <w:tcW w:w="1530" w:type="dxa"/>
            <w:vAlign w:val="center"/>
          </w:tcPr>
          <w:p w14:paraId="245B0011" w14:textId="77777777" w:rsidR="007B2A86" w:rsidRPr="00FD703D" w:rsidRDefault="007B2A86"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AT</w:t>
            </w:r>
          </w:p>
        </w:tc>
        <w:tc>
          <w:tcPr>
            <w:tcW w:w="6390" w:type="dxa"/>
            <w:vMerge w:val="restart"/>
            <w:vAlign w:val="center"/>
          </w:tcPr>
          <w:p w14:paraId="1470B979" w14:textId="78162AD2" w:rsidR="00404F4D" w:rsidRPr="00FD703D" w:rsidRDefault="007B2A86" w:rsidP="7AD95111">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Following the positive vote in the European Parliament, the Council approved the Nature Restauration Law (NRL) on 17 June 2024</w:t>
            </w:r>
            <w:bookmarkStart w:id="151" w:name="_Hlk169862373"/>
            <w:r w:rsidRPr="00FD703D">
              <w:rPr>
                <w:rFonts w:eastAsia="Calibri" w:cs="Times New Roman"/>
                <w:noProof/>
                <w:sz w:val="22"/>
                <w:szCs w:val="20"/>
                <w:lang w:val="en-GB"/>
              </w:rPr>
              <w:t>, which ended the ordinary legislative procedure</w:t>
            </w:r>
            <w:bookmarkEnd w:id="151"/>
            <w:r w:rsidRPr="00FD703D">
              <w:rPr>
                <w:rFonts w:eastAsia="Calibri" w:cs="Times New Roman"/>
                <w:noProof/>
                <w:sz w:val="22"/>
                <w:szCs w:val="20"/>
                <w:lang w:val="en-GB"/>
              </w:rPr>
              <w:t xml:space="preserve">. </w:t>
            </w:r>
          </w:p>
          <w:p w14:paraId="6FB5E1BB" w14:textId="7C744B11" w:rsidR="007B2A86" w:rsidRPr="00FD703D" w:rsidRDefault="007B2A86" w:rsidP="7AD95111">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lastRenderedPageBreak/>
              <w:t>The adopted act was published in the Official Journal of the EU on 29 June 2024 (Regulation (EU) 2024/1991).</w:t>
            </w:r>
          </w:p>
          <w:p w14:paraId="5CD2D43C" w14:textId="09644BD0" w:rsidR="007B2A86" w:rsidRPr="00FD703D" w:rsidRDefault="007B2A86" w:rsidP="004749EF">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The Regulation cannot and does not prejudge the prerogatives of co-legislators for the adoption of the MFF</w:t>
            </w:r>
            <w:r w:rsidRPr="00FD703D">
              <w:rPr>
                <w:rFonts w:eastAsia="Calibri" w:cs="Times New Roman"/>
                <w:noProof/>
                <w:sz w:val="22"/>
                <w:lang w:val="en-GB"/>
              </w:rPr>
              <w:t xml:space="preserve"> post-2027.</w:t>
            </w:r>
          </w:p>
        </w:tc>
      </w:tr>
      <w:tr w:rsidR="00BD6E31" w:rsidRPr="00FD703D" w14:paraId="1314B355" w14:textId="77777777" w:rsidTr="00B54A1E">
        <w:trPr>
          <w:trHeight w:val="300"/>
        </w:trPr>
        <w:tc>
          <w:tcPr>
            <w:tcW w:w="616" w:type="dxa"/>
            <w:vAlign w:val="center"/>
          </w:tcPr>
          <w:p w14:paraId="6A29FA15" w14:textId="5F00559F" w:rsidR="007B2A86" w:rsidRPr="00FD703D" w:rsidRDefault="007B2A86"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lastRenderedPageBreak/>
              <w:t>30</w:t>
            </w:r>
            <w:r w:rsidR="00E558D0">
              <w:rPr>
                <w:rFonts w:eastAsia="Calibri" w:cs="Times New Roman"/>
                <w:b/>
                <w:bCs/>
                <w:noProof/>
                <w:sz w:val="22"/>
                <w:lang w:val="en-GB"/>
              </w:rPr>
              <w:t>0</w:t>
            </w:r>
          </w:p>
        </w:tc>
        <w:tc>
          <w:tcPr>
            <w:tcW w:w="5983" w:type="dxa"/>
            <w:vAlign w:val="center"/>
          </w:tcPr>
          <w:p w14:paraId="676BE9F8" w14:textId="56BD3D2D" w:rsidR="007B2A86" w:rsidRPr="00FD703D" w:rsidRDefault="007B2A86" w:rsidP="001061AF">
            <w:pPr>
              <w:spacing w:after="60" w:line="259" w:lineRule="auto"/>
              <w:jc w:val="both"/>
              <w:rPr>
                <w:rFonts w:eastAsia="Calibri" w:cs="Times New Roman"/>
                <w:noProof/>
                <w:sz w:val="22"/>
                <w:lang w:val="en-GB"/>
              </w:rPr>
            </w:pPr>
            <w:r w:rsidRPr="00FD703D">
              <w:rPr>
                <w:rFonts w:eastAsia="Calibri" w:cs="Times New Roman"/>
                <w:b/>
                <w:bCs/>
                <w:noProof/>
                <w:sz w:val="22"/>
                <w:lang w:val="en-GB"/>
              </w:rPr>
              <w:t xml:space="preserve">Agricultural ecosystems: </w:t>
            </w:r>
            <w:r w:rsidR="00D13337" w:rsidRPr="00FD703D">
              <w:rPr>
                <w:rFonts w:eastAsia="Calibri" w:cs="Times New Roman"/>
                <w:noProof/>
                <w:sz w:val="22"/>
                <w:lang w:val="en-GB"/>
              </w:rPr>
              <w:t>e</w:t>
            </w:r>
            <w:r w:rsidRPr="00FD703D">
              <w:rPr>
                <w:rFonts w:eastAsia="Calibri" w:cs="Times New Roman"/>
                <w:noProof/>
                <w:sz w:val="22"/>
                <w:lang w:val="en-GB"/>
              </w:rPr>
              <w:t>liminate provisions relating to agricultural ecosystems (</w:t>
            </w:r>
            <w:r w:rsidRPr="00FD703D">
              <w:rPr>
                <w:rFonts w:eastAsia="Calibri" w:cs="Times New Roman"/>
                <w:i/>
                <w:iCs/>
                <w:noProof/>
                <w:sz w:val="22"/>
                <w:lang w:val="en-GB"/>
              </w:rPr>
              <w:t>Article 11</w:t>
            </w:r>
            <w:r w:rsidRPr="00FD703D">
              <w:rPr>
                <w:rFonts w:eastAsia="Calibri" w:cs="Times New Roman"/>
                <w:noProof/>
                <w:sz w:val="22"/>
                <w:lang w:val="en-GB"/>
              </w:rPr>
              <w:t xml:space="preserve"> of the proposal).</w:t>
            </w:r>
          </w:p>
        </w:tc>
        <w:tc>
          <w:tcPr>
            <w:tcW w:w="1530" w:type="dxa"/>
            <w:vAlign w:val="center"/>
          </w:tcPr>
          <w:p w14:paraId="31FBAFFA" w14:textId="77777777" w:rsidR="007B2A86" w:rsidRPr="00FD703D" w:rsidRDefault="007B2A86"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IT</w:t>
            </w:r>
          </w:p>
        </w:tc>
        <w:tc>
          <w:tcPr>
            <w:tcW w:w="6390" w:type="dxa"/>
            <w:vMerge/>
          </w:tcPr>
          <w:p w14:paraId="13508540" w14:textId="291F4EE4" w:rsidR="007B2A86" w:rsidRPr="00FD703D" w:rsidRDefault="007B2A86" w:rsidP="001061AF">
            <w:pPr>
              <w:spacing w:after="60" w:line="259" w:lineRule="auto"/>
              <w:jc w:val="both"/>
              <w:rPr>
                <w:rFonts w:eastAsia="Calibri" w:cs="Times New Roman"/>
                <w:noProof/>
                <w:sz w:val="22"/>
                <w:lang w:val="en-GB"/>
              </w:rPr>
            </w:pPr>
          </w:p>
        </w:tc>
      </w:tr>
      <w:tr w:rsidR="00BD6E31" w:rsidRPr="00FD703D" w14:paraId="598D8DE1" w14:textId="77777777" w:rsidTr="00B54A1E">
        <w:trPr>
          <w:trHeight w:val="1689"/>
        </w:trPr>
        <w:tc>
          <w:tcPr>
            <w:tcW w:w="616" w:type="dxa"/>
            <w:vAlign w:val="center"/>
          </w:tcPr>
          <w:p w14:paraId="1C307782" w14:textId="2EBD46DB" w:rsidR="007B2A86" w:rsidRPr="00FD703D" w:rsidRDefault="007B2A86"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30</w:t>
            </w:r>
            <w:r w:rsidR="00E558D0">
              <w:rPr>
                <w:rFonts w:eastAsia="Calibri" w:cs="Times New Roman"/>
                <w:b/>
                <w:bCs/>
                <w:noProof/>
                <w:sz w:val="22"/>
                <w:lang w:val="en-GB"/>
              </w:rPr>
              <w:t>1</w:t>
            </w:r>
          </w:p>
        </w:tc>
        <w:tc>
          <w:tcPr>
            <w:tcW w:w="5983" w:type="dxa"/>
            <w:vAlign w:val="center"/>
          </w:tcPr>
          <w:p w14:paraId="0A656F7A" w14:textId="2CB3A7DF" w:rsidR="007B2A86" w:rsidRPr="00FD703D" w:rsidRDefault="007B2A86" w:rsidP="001061AF">
            <w:pPr>
              <w:spacing w:after="60" w:line="259" w:lineRule="auto"/>
              <w:jc w:val="both"/>
              <w:rPr>
                <w:rFonts w:eastAsia="Calibri" w:cs="Times New Roman"/>
                <w:noProof/>
                <w:sz w:val="22"/>
                <w:lang w:val="en-GB"/>
              </w:rPr>
            </w:pPr>
            <w:r w:rsidRPr="00FD703D">
              <w:rPr>
                <w:rFonts w:eastAsia="Calibri" w:cs="Times New Roman"/>
                <w:b/>
                <w:bCs/>
                <w:noProof/>
                <w:sz w:val="22"/>
                <w:lang w:val="en-GB"/>
              </w:rPr>
              <w:t>Requirements of the Nature Restoration Regulation:</w:t>
            </w:r>
            <w:r w:rsidR="00D13337" w:rsidRPr="00FD703D">
              <w:rPr>
                <w:rFonts w:eastAsia="Calibri" w:cs="Times New Roman"/>
                <w:noProof/>
                <w:sz w:val="22"/>
                <w:lang w:val="en-GB"/>
              </w:rPr>
              <w:t xml:space="preserve"> f</w:t>
            </w:r>
            <w:r w:rsidRPr="00FD703D">
              <w:rPr>
                <w:rFonts w:eastAsia="Calibri" w:cs="Times New Roman"/>
                <w:noProof/>
                <w:sz w:val="22"/>
                <w:lang w:val="en-GB"/>
              </w:rPr>
              <w:t>undamental revision of the requirements of the Nature Restoration Regulation needed to ensure that any additional EU requirements are also financed with additional EU funds outside the CAP and do not counteract the objective of food and supply security.</w:t>
            </w:r>
          </w:p>
        </w:tc>
        <w:tc>
          <w:tcPr>
            <w:tcW w:w="1530" w:type="dxa"/>
            <w:vAlign w:val="center"/>
          </w:tcPr>
          <w:p w14:paraId="7072461A" w14:textId="77777777" w:rsidR="007B2A86" w:rsidRPr="00FD703D" w:rsidRDefault="007B2A86"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0" w:type="dxa"/>
            <w:vMerge/>
          </w:tcPr>
          <w:p w14:paraId="520D0BE1" w14:textId="449668CD" w:rsidR="007B2A86" w:rsidRPr="00FD703D" w:rsidRDefault="007B2A86" w:rsidP="001061AF">
            <w:pPr>
              <w:spacing w:after="60" w:line="259" w:lineRule="auto"/>
              <w:jc w:val="both"/>
              <w:rPr>
                <w:rFonts w:eastAsia="Calibri" w:cs="Times New Roman"/>
                <w:noProof/>
                <w:sz w:val="22"/>
                <w:lang w:val="en-GB"/>
              </w:rPr>
            </w:pPr>
          </w:p>
        </w:tc>
      </w:tr>
      <w:tr w:rsidR="002E2306" w:rsidRPr="00FD703D" w14:paraId="7FF49A3D" w14:textId="77777777" w:rsidTr="00B54A1E">
        <w:trPr>
          <w:trHeight w:val="300"/>
        </w:trPr>
        <w:tc>
          <w:tcPr>
            <w:tcW w:w="14519" w:type="dxa"/>
            <w:gridSpan w:val="4"/>
            <w:tcBorders>
              <w:top w:val="nil"/>
            </w:tcBorders>
            <w:shd w:val="clear" w:color="auto" w:fill="003399"/>
          </w:tcPr>
          <w:p w14:paraId="52256731" w14:textId="22A6B7D8" w:rsidR="00872C68" w:rsidRPr="00FD703D" w:rsidRDefault="29CB0D46" w:rsidP="004749EF">
            <w:pPr>
              <w:spacing w:before="120" w:after="120" w:line="259" w:lineRule="auto"/>
              <w:jc w:val="center"/>
              <w:rPr>
                <w:rFonts w:eastAsia="Calibri" w:cs="Times New Roman"/>
                <w:b/>
                <w:bCs/>
                <w:noProof/>
                <w:color w:val="FFFFFF"/>
                <w:sz w:val="22"/>
                <w:szCs w:val="20"/>
                <w:lang w:val="en-GB"/>
              </w:rPr>
            </w:pPr>
            <w:r w:rsidRPr="00FD703D">
              <w:rPr>
                <w:rFonts w:eastAsia="Calibri" w:cs="Times New Roman"/>
                <w:b/>
                <w:bCs/>
                <w:noProof/>
                <w:color w:val="FFFFFF" w:themeColor="background1"/>
                <w:sz w:val="22"/>
                <w:szCs w:val="20"/>
                <w:lang w:val="en-GB"/>
              </w:rPr>
              <w:t>Industrial Emission</w:t>
            </w:r>
            <w:r w:rsidR="77B1E89D" w:rsidRPr="00FD703D">
              <w:rPr>
                <w:rFonts w:eastAsia="Calibri" w:cs="Times New Roman"/>
                <w:b/>
                <w:bCs/>
                <w:noProof/>
                <w:color w:val="FFFFFF" w:themeColor="background1"/>
                <w:sz w:val="22"/>
                <w:szCs w:val="20"/>
                <w:lang w:val="en-GB"/>
              </w:rPr>
              <w:t>s</w:t>
            </w:r>
            <w:r w:rsidRPr="00FD703D">
              <w:rPr>
                <w:rFonts w:eastAsia="Calibri" w:cs="Times New Roman"/>
                <w:b/>
                <w:bCs/>
                <w:noProof/>
                <w:color w:val="FFFFFF" w:themeColor="background1"/>
                <w:sz w:val="22"/>
                <w:szCs w:val="20"/>
                <w:lang w:val="en-GB"/>
              </w:rPr>
              <w:t xml:space="preserve"> Directive</w:t>
            </w:r>
            <w:r w:rsidR="3C64EC0E" w:rsidRPr="00FD703D">
              <w:rPr>
                <w:rFonts w:eastAsia="Calibri" w:cs="Times New Roman"/>
                <w:b/>
                <w:bCs/>
                <w:noProof/>
                <w:color w:val="FFFFFF" w:themeColor="background1"/>
                <w:sz w:val="22"/>
                <w:szCs w:val="20"/>
                <w:lang w:val="en-GB"/>
              </w:rPr>
              <w:t xml:space="preserve"> (</w:t>
            </w:r>
            <w:r w:rsidR="7E056CA1" w:rsidRPr="00FD703D">
              <w:rPr>
                <w:rFonts w:eastAsia="Calibri" w:cs="Times New Roman"/>
                <w:b/>
                <w:bCs/>
                <w:noProof/>
                <w:color w:val="FFFFFF" w:themeColor="background1"/>
                <w:sz w:val="22"/>
                <w:szCs w:val="20"/>
                <w:lang w:val="en-GB"/>
              </w:rPr>
              <w:t xml:space="preserve">revised </w:t>
            </w:r>
            <w:r w:rsidR="3C64EC0E" w:rsidRPr="00FD703D">
              <w:rPr>
                <w:rFonts w:eastAsia="Calibri" w:cs="Times New Roman"/>
                <w:b/>
                <w:bCs/>
                <w:noProof/>
                <w:color w:val="FFFFFF" w:themeColor="background1"/>
                <w:sz w:val="22"/>
                <w:szCs w:val="20"/>
                <w:lang w:val="en-GB"/>
              </w:rPr>
              <w:t>Directive 2010/75/EU</w:t>
            </w:r>
            <w:r w:rsidR="6818B2FD" w:rsidRPr="00FD703D">
              <w:rPr>
                <w:rFonts w:eastAsia="Calibri" w:cs="Times New Roman"/>
                <w:b/>
                <w:bCs/>
                <w:noProof/>
                <w:color w:val="FFFFFF" w:themeColor="background1"/>
                <w:sz w:val="22"/>
                <w:szCs w:val="20"/>
                <w:lang w:val="en-GB"/>
              </w:rPr>
              <w:t>)</w:t>
            </w:r>
          </w:p>
        </w:tc>
      </w:tr>
      <w:tr w:rsidR="00872C68" w:rsidRPr="00FD703D" w14:paraId="25D93E0F" w14:textId="77777777" w:rsidTr="00B54A1E">
        <w:trPr>
          <w:trHeight w:val="300"/>
        </w:trPr>
        <w:tc>
          <w:tcPr>
            <w:tcW w:w="616" w:type="dxa"/>
            <w:vAlign w:val="center"/>
          </w:tcPr>
          <w:p w14:paraId="65CE1563" w14:textId="668B2756"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30</w:t>
            </w:r>
            <w:r w:rsidR="00E558D0">
              <w:rPr>
                <w:rFonts w:eastAsia="Calibri" w:cs="Times New Roman"/>
                <w:b/>
                <w:bCs/>
                <w:noProof/>
                <w:sz w:val="22"/>
                <w:lang w:val="en-GB"/>
              </w:rPr>
              <w:t>2</w:t>
            </w:r>
          </w:p>
        </w:tc>
        <w:tc>
          <w:tcPr>
            <w:tcW w:w="5983" w:type="dxa"/>
            <w:vAlign w:val="center"/>
          </w:tcPr>
          <w:p w14:paraId="2E17614A" w14:textId="033BDA20"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b/>
                <w:bCs/>
                <w:noProof/>
                <w:sz w:val="22"/>
                <w:lang w:val="en-GB"/>
              </w:rPr>
              <w:t>No expansion of scope:</w:t>
            </w:r>
            <w:r w:rsidRPr="00FD703D">
              <w:rPr>
                <w:rFonts w:eastAsia="Calibri" w:cs="Times New Roman"/>
                <w:noProof/>
                <w:sz w:val="22"/>
                <w:lang w:val="en-GB"/>
              </w:rPr>
              <w:t xml:space="preserve"> </w:t>
            </w:r>
            <w:r w:rsidR="00E81398" w:rsidRPr="00FD703D">
              <w:rPr>
                <w:rFonts w:eastAsia="Calibri" w:cs="Times New Roman"/>
                <w:noProof/>
                <w:sz w:val="22"/>
                <w:lang w:val="en-GB"/>
              </w:rPr>
              <w:t>t</w:t>
            </w:r>
            <w:r w:rsidRPr="00FD703D">
              <w:rPr>
                <w:rFonts w:eastAsia="Calibri" w:cs="Times New Roman"/>
                <w:noProof/>
                <w:sz w:val="22"/>
                <w:lang w:val="en-GB"/>
              </w:rPr>
              <w:t>he transitional provisions should ensure that already existing livestock buildings are not affected by the new requirements under the</w:t>
            </w:r>
            <w:r w:rsidR="005532A5" w:rsidRPr="00FD703D">
              <w:rPr>
                <w:noProof/>
                <w:sz w:val="22"/>
                <w:szCs w:val="20"/>
                <w:lang w:val="en-GB"/>
              </w:rPr>
              <w:t xml:space="preserve"> </w:t>
            </w:r>
            <w:r w:rsidR="005532A5" w:rsidRPr="00FD703D">
              <w:rPr>
                <w:rFonts w:eastAsia="Calibri" w:cs="Times New Roman"/>
                <w:noProof/>
                <w:sz w:val="22"/>
                <w:lang w:val="en-GB"/>
              </w:rPr>
              <w:t>Industrial Emissions Directive (</w:t>
            </w:r>
            <w:r w:rsidRPr="00FD703D">
              <w:rPr>
                <w:rFonts w:eastAsia="Calibri" w:cs="Times New Roman"/>
                <w:noProof/>
                <w:sz w:val="22"/>
                <w:lang w:val="en-GB"/>
              </w:rPr>
              <w:t>IED</w:t>
            </w:r>
            <w:r w:rsidR="005532A5" w:rsidRPr="00FD703D">
              <w:rPr>
                <w:rFonts w:eastAsia="Calibri" w:cs="Times New Roman"/>
                <w:noProof/>
                <w:sz w:val="22"/>
                <w:lang w:val="en-GB"/>
              </w:rPr>
              <w:t>)</w:t>
            </w:r>
            <w:r w:rsidRPr="00FD703D">
              <w:rPr>
                <w:rFonts w:eastAsia="Calibri" w:cs="Times New Roman"/>
                <w:noProof/>
                <w:sz w:val="22"/>
                <w:lang w:val="en-GB"/>
              </w:rPr>
              <w:t>. The scope of application should not be expanded.</w:t>
            </w:r>
          </w:p>
        </w:tc>
        <w:tc>
          <w:tcPr>
            <w:tcW w:w="1530" w:type="dxa"/>
            <w:vAlign w:val="center"/>
          </w:tcPr>
          <w:p w14:paraId="51FC240E"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0" w:type="dxa"/>
            <w:vAlign w:val="center"/>
          </w:tcPr>
          <w:p w14:paraId="5D2AF1CF" w14:textId="7AC24B63" w:rsidR="009129D1"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The legislative process on the revised </w:t>
            </w:r>
            <w:r w:rsidR="005532A5" w:rsidRPr="00FD703D">
              <w:rPr>
                <w:rFonts w:eastAsia="Calibri" w:cs="Times New Roman"/>
                <w:noProof/>
                <w:sz w:val="22"/>
                <w:lang w:val="en-GB"/>
              </w:rPr>
              <w:t>IED</w:t>
            </w:r>
            <w:r w:rsidRPr="00FD703D">
              <w:rPr>
                <w:rFonts w:eastAsia="Calibri" w:cs="Times New Roman"/>
                <w:noProof/>
                <w:sz w:val="22"/>
                <w:lang w:val="en-GB"/>
              </w:rPr>
              <w:t xml:space="preserve"> has been completed. The revised Directive contains certain extensions of scope as a result of the co-decision procedure.</w:t>
            </w:r>
          </w:p>
          <w:p w14:paraId="0B21AC3C" w14:textId="5E32B085"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The document containing the detailed technical requirements (</w:t>
            </w:r>
            <w:r w:rsidR="005532A5" w:rsidRPr="00FD703D">
              <w:rPr>
                <w:rFonts w:eastAsia="Calibri" w:cs="Times New Roman"/>
                <w:noProof/>
                <w:sz w:val="22"/>
                <w:lang w:val="en-GB"/>
              </w:rPr>
              <w:t>u</w:t>
            </w:r>
            <w:r w:rsidRPr="00FD703D">
              <w:rPr>
                <w:rFonts w:eastAsia="Calibri" w:cs="Times New Roman"/>
                <w:noProof/>
                <w:sz w:val="22"/>
                <w:lang w:val="en-GB"/>
              </w:rPr>
              <w:t xml:space="preserve">niform </w:t>
            </w:r>
            <w:r w:rsidR="005532A5" w:rsidRPr="00FD703D">
              <w:rPr>
                <w:rFonts w:eastAsia="Calibri" w:cs="Times New Roman"/>
                <w:noProof/>
                <w:sz w:val="22"/>
                <w:lang w:val="en-GB"/>
              </w:rPr>
              <w:t>c</w:t>
            </w:r>
            <w:r w:rsidRPr="00FD703D">
              <w:rPr>
                <w:rFonts w:eastAsia="Calibri" w:cs="Times New Roman"/>
                <w:noProof/>
                <w:sz w:val="22"/>
                <w:lang w:val="en-GB"/>
              </w:rPr>
              <w:t xml:space="preserve">onditions for </w:t>
            </w:r>
            <w:r w:rsidR="005532A5" w:rsidRPr="00FD703D">
              <w:rPr>
                <w:rFonts w:eastAsia="Calibri" w:cs="Times New Roman"/>
                <w:noProof/>
                <w:sz w:val="22"/>
                <w:lang w:val="en-GB"/>
              </w:rPr>
              <w:t>o</w:t>
            </w:r>
            <w:r w:rsidRPr="00FD703D">
              <w:rPr>
                <w:rFonts w:eastAsia="Calibri" w:cs="Times New Roman"/>
                <w:noProof/>
                <w:sz w:val="22"/>
                <w:lang w:val="en-GB"/>
              </w:rPr>
              <w:t xml:space="preserve">perating </w:t>
            </w:r>
            <w:r w:rsidR="005532A5" w:rsidRPr="00FD703D">
              <w:rPr>
                <w:rFonts w:eastAsia="Calibri" w:cs="Times New Roman"/>
                <w:noProof/>
                <w:sz w:val="22"/>
                <w:lang w:val="en-GB"/>
              </w:rPr>
              <w:t>r</w:t>
            </w:r>
            <w:r w:rsidRPr="00FD703D">
              <w:rPr>
                <w:rFonts w:eastAsia="Calibri" w:cs="Times New Roman"/>
                <w:noProof/>
                <w:sz w:val="22"/>
                <w:lang w:val="en-GB"/>
              </w:rPr>
              <w:t xml:space="preserve">ules) will be prepared in the near future in an inclusive process with operators, Member States </w:t>
            </w:r>
            <w:r w:rsidR="005532A5" w:rsidRPr="00FD703D">
              <w:rPr>
                <w:rFonts w:eastAsia="Calibri" w:cs="Times New Roman"/>
                <w:noProof/>
                <w:sz w:val="22"/>
                <w:lang w:val="en-GB"/>
              </w:rPr>
              <w:t>and other stakeholders</w:t>
            </w:r>
            <w:r w:rsidRPr="00FD703D">
              <w:rPr>
                <w:rFonts w:eastAsia="Calibri" w:cs="Times New Roman"/>
                <w:noProof/>
                <w:sz w:val="22"/>
                <w:lang w:val="en-GB"/>
              </w:rPr>
              <w:t xml:space="preserve"> and will take into account the difference between existing and new installations where relevant.</w:t>
            </w:r>
          </w:p>
        </w:tc>
      </w:tr>
      <w:tr w:rsidR="00872C68" w:rsidRPr="00FD703D" w14:paraId="78DFEA58" w14:textId="77777777" w:rsidTr="00B54A1E">
        <w:trPr>
          <w:trHeight w:val="300"/>
        </w:trPr>
        <w:tc>
          <w:tcPr>
            <w:tcW w:w="616" w:type="dxa"/>
            <w:vAlign w:val="center"/>
          </w:tcPr>
          <w:p w14:paraId="1A2E8B23" w14:textId="1E8CB368"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30</w:t>
            </w:r>
            <w:r w:rsidR="00E558D0">
              <w:rPr>
                <w:rFonts w:eastAsia="Calibri" w:cs="Times New Roman"/>
                <w:b/>
                <w:bCs/>
                <w:noProof/>
                <w:sz w:val="22"/>
                <w:lang w:val="en-GB"/>
              </w:rPr>
              <w:t>3</w:t>
            </w:r>
          </w:p>
        </w:tc>
        <w:tc>
          <w:tcPr>
            <w:tcW w:w="5983" w:type="dxa"/>
            <w:vAlign w:val="center"/>
          </w:tcPr>
          <w:p w14:paraId="069C6E59" w14:textId="0921FD45"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b/>
                <w:bCs/>
                <w:noProof/>
                <w:sz w:val="22"/>
                <w:lang w:val="en-GB"/>
              </w:rPr>
              <w:t>Reporting requirements:</w:t>
            </w:r>
            <w:r w:rsidRPr="00FD703D">
              <w:rPr>
                <w:rFonts w:eastAsia="Calibri" w:cs="Times New Roman"/>
                <w:noProof/>
                <w:sz w:val="22"/>
                <w:lang w:val="en-GB"/>
              </w:rPr>
              <w:t xml:space="preserve"> </w:t>
            </w:r>
            <w:r w:rsidR="00D13337" w:rsidRPr="00FD703D">
              <w:rPr>
                <w:rFonts w:eastAsia="Calibri" w:cs="Times New Roman"/>
                <w:noProof/>
                <w:sz w:val="22"/>
                <w:lang w:val="en-GB"/>
              </w:rPr>
              <w:t>a</w:t>
            </w:r>
            <w:r w:rsidRPr="00FD703D">
              <w:rPr>
                <w:rFonts w:eastAsia="Calibri" w:cs="Times New Roman"/>
                <w:noProof/>
                <w:sz w:val="22"/>
                <w:lang w:val="en-GB"/>
              </w:rPr>
              <w:t xml:space="preserve">ll major companies in the food industry (slaughterhouses, dairies, biogas plants, etc.) and livestock farms (pigs and chickens) will now be subject to requirements </w:t>
            </w:r>
            <w:r w:rsidR="002C7062" w:rsidRPr="00FD703D">
              <w:rPr>
                <w:rFonts w:eastAsia="Calibri" w:cs="Times New Roman"/>
                <w:noProof/>
                <w:sz w:val="22"/>
                <w:lang w:val="en-GB"/>
              </w:rPr>
              <w:t>to</w:t>
            </w:r>
            <w:r w:rsidRPr="00FD703D">
              <w:rPr>
                <w:rFonts w:eastAsia="Calibri" w:cs="Times New Roman"/>
                <w:noProof/>
                <w:sz w:val="22"/>
                <w:lang w:val="en-GB"/>
              </w:rPr>
              <w:t xml:space="preserve"> reporting in a comprehensive environmental management system. For various industries, there will be requirements for many sub-management systems (often 6</w:t>
            </w:r>
            <w:r w:rsidR="005532A5" w:rsidRPr="00FD703D">
              <w:rPr>
                <w:rFonts w:eastAsia="Calibri" w:cs="Times New Roman"/>
                <w:noProof/>
                <w:sz w:val="22"/>
                <w:lang w:val="en-GB"/>
              </w:rPr>
              <w:t xml:space="preserve"> to </w:t>
            </w:r>
            <w:r w:rsidRPr="00FD703D">
              <w:rPr>
                <w:rFonts w:eastAsia="Calibri" w:cs="Times New Roman"/>
                <w:noProof/>
                <w:sz w:val="22"/>
                <w:lang w:val="en-GB"/>
              </w:rPr>
              <w:t xml:space="preserve">8). For example, slaughterhouses must have specific management systems for water, energy, chemicals, odour, noise, refrigeration, and abnormal operation, in addition to a general environmental management system. This will significantly increase </w:t>
            </w:r>
            <w:r w:rsidR="002C7062" w:rsidRPr="00FD703D">
              <w:rPr>
                <w:rFonts w:eastAsia="Calibri" w:cs="Times New Roman"/>
                <w:noProof/>
                <w:sz w:val="22"/>
                <w:lang w:val="en-GB"/>
              </w:rPr>
              <w:t xml:space="preserve">the </w:t>
            </w:r>
            <w:r w:rsidRPr="00FD703D">
              <w:rPr>
                <w:rFonts w:eastAsia="Calibri" w:cs="Times New Roman"/>
                <w:noProof/>
                <w:sz w:val="22"/>
                <w:lang w:val="en-GB"/>
              </w:rPr>
              <w:t>administrative burden without being proportional to environmental improvements.</w:t>
            </w:r>
          </w:p>
        </w:tc>
        <w:tc>
          <w:tcPr>
            <w:tcW w:w="1530" w:type="dxa"/>
            <w:vAlign w:val="center"/>
          </w:tcPr>
          <w:p w14:paraId="3A41FB63"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0" w:type="dxa"/>
            <w:vAlign w:val="center"/>
          </w:tcPr>
          <w:p w14:paraId="1055E181" w14:textId="28F8F97B"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The revised </w:t>
            </w:r>
            <w:r w:rsidR="005532A5" w:rsidRPr="00FD703D">
              <w:rPr>
                <w:rFonts w:eastAsia="Calibri" w:cs="Times New Roman"/>
                <w:noProof/>
                <w:sz w:val="22"/>
                <w:lang w:val="en-GB"/>
              </w:rPr>
              <w:t>IED</w:t>
            </w:r>
            <w:r w:rsidRPr="00FD703D">
              <w:rPr>
                <w:rFonts w:eastAsia="Calibri" w:cs="Times New Roman"/>
                <w:noProof/>
                <w:sz w:val="22"/>
                <w:lang w:val="en-GB"/>
              </w:rPr>
              <w:t xml:space="preserve"> does not significantly increase </w:t>
            </w:r>
            <w:r w:rsidR="00CB2F59" w:rsidRPr="00FD703D">
              <w:rPr>
                <w:rFonts w:eastAsia="Calibri" w:cs="Times New Roman"/>
                <w:noProof/>
                <w:sz w:val="22"/>
                <w:lang w:val="en-GB"/>
              </w:rPr>
              <w:t>the administrative</w:t>
            </w:r>
            <w:r w:rsidRPr="00FD703D">
              <w:rPr>
                <w:rFonts w:eastAsia="Calibri" w:cs="Times New Roman"/>
                <w:noProof/>
                <w:sz w:val="22"/>
                <w:lang w:val="en-GB"/>
              </w:rPr>
              <w:t xml:space="preserve"> burden </w:t>
            </w:r>
            <w:r w:rsidR="00F27512" w:rsidRPr="00FD703D">
              <w:rPr>
                <w:rFonts w:eastAsia="Calibri" w:cs="Times New Roman"/>
                <w:noProof/>
                <w:sz w:val="22"/>
                <w:lang w:val="en-GB"/>
              </w:rPr>
              <w:t xml:space="preserve">on </w:t>
            </w:r>
            <w:r w:rsidRPr="00FD703D">
              <w:rPr>
                <w:rFonts w:eastAsia="Calibri" w:cs="Times New Roman"/>
                <w:noProof/>
                <w:sz w:val="22"/>
                <w:lang w:val="en-GB"/>
              </w:rPr>
              <w:t xml:space="preserve">the agricultural sector. It does not include an environmental management system requirement for pig and poultry farms.  </w:t>
            </w:r>
          </w:p>
          <w:p w14:paraId="49B8D1DA" w14:textId="381FA2F9"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The requirement to implement an environmental management system for slaughterhouses was laid down in Commission Implementing Decision (EU) 2023/2749 establishing </w:t>
            </w:r>
            <w:r w:rsidR="00F27512" w:rsidRPr="00FD703D">
              <w:rPr>
                <w:rFonts w:eastAsia="Calibri" w:cs="Times New Roman"/>
                <w:noProof/>
                <w:sz w:val="22"/>
                <w:lang w:val="en-GB"/>
              </w:rPr>
              <w:t>b</w:t>
            </w:r>
            <w:r w:rsidRPr="00FD703D">
              <w:rPr>
                <w:rFonts w:eastAsia="Calibri" w:cs="Times New Roman"/>
                <w:noProof/>
                <w:sz w:val="22"/>
                <w:lang w:val="en-GB"/>
              </w:rPr>
              <w:t xml:space="preserve">est </w:t>
            </w:r>
            <w:r w:rsidR="00F27512" w:rsidRPr="00FD703D">
              <w:rPr>
                <w:rFonts w:eastAsia="Calibri" w:cs="Times New Roman"/>
                <w:noProof/>
                <w:sz w:val="22"/>
                <w:lang w:val="en-GB"/>
              </w:rPr>
              <w:t>a</w:t>
            </w:r>
            <w:r w:rsidRPr="00FD703D">
              <w:rPr>
                <w:rFonts w:eastAsia="Calibri" w:cs="Times New Roman"/>
                <w:noProof/>
                <w:sz w:val="22"/>
                <w:lang w:val="en-GB"/>
              </w:rPr>
              <w:t xml:space="preserve">vailable </w:t>
            </w:r>
            <w:r w:rsidR="00F27512" w:rsidRPr="00FD703D">
              <w:rPr>
                <w:rFonts w:eastAsia="Calibri" w:cs="Times New Roman"/>
                <w:noProof/>
                <w:sz w:val="22"/>
                <w:lang w:val="en-GB"/>
              </w:rPr>
              <w:t>t</w:t>
            </w:r>
            <w:r w:rsidRPr="00FD703D">
              <w:rPr>
                <w:rFonts w:eastAsia="Calibri" w:cs="Times New Roman"/>
                <w:noProof/>
                <w:sz w:val="22"/>
                <w:lang w:val="en-GB"/>
              </w:rPr>
              <w:t xml:space="preserve">echniques conclusions (BAT conclusions) for slaughterhouses, animal by-products and/or </w:t>
            </w:r>
            <w:r w:rsidR="00F27512" w:rsidRPr="00FD703D">
              <w:rPr>
                <w:rFonts w:eastAsia="Calibri" w:cs="Times New Roman"/>
                <w:noProof/>
                <w:sz w:val="22"/>
                <w:lang w:val="en-GB"/>
              </w:rPr>
              <w:t xml:space="preserve">the </w:t>
            </w:r>
            <w:r w:rsidRPr="00FD703D">
              <w:rPr>
                <w:rFonts w:eastAsia="Calibri" w:cs="Times New Roman"/>
                <w:noProof/>
                <w:sz w:val="22"/>
                <w:lang w:val="en-GB"/>
              </w:rPr>
              <w:t xml:space="preserve">edible co-products industries.   </w:t>
            </w:r>
          </w:p>
          <w:p w14:paraId="525776AE" w14:textId="30BC0E1D"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For dairies</w:t>
            </w:r>
            <w:r w:rsidR="00F27512" w:rsidRPr="00FD703D">
              <w:rPr>
                <w:rFonts w:eastAsia="Calibri" w:cs="Times New Roman"/>
                <w:noProof/>
                <w:sz w:val="22"/>
                <w:lang w:val="en-GB"/>
              </w:rPr>
              <w:t>,</w:t>
            </w:r>
            <w:r w:rsidRPr="00FD703D">
              <w:rPr>
                <w:rFonts w:eastAsia="Calibri" w:cs="Times New Roman"/>
                <w:noProof/>
                <w:sz w:val="22"/>
                <w:lang w:val="en-GB"/>
              </w:rPr>
              <w:t xml:space="preserve"> such a requirement was introduced by Commission Implementing Decision (EU) 2019/2031 establishing </w:t>
            </w:r>
            <w:r w:rsidR="00F27512" w:rsidRPr="00FD703D">
              <w:rPr>
                <w:rFonts w:eastAsia="Calibri" w:cs="Times New Roman"/>
                <w:noProof/>
                <w:sz w:val="22"/>
                <w:lang w:val="en-GB"/>
              </w:rPr>
              <w:t>BAT</w:t>
            </w:r>
            <w:r w:rsidRPr="00FD703D">
              <w:rPr>
                <w:rFonts w:eastAsia="Calibri" w:cs="Times New Roman"/>
                <w:noProof/>
                <w:sz w:val="22"/>
                <w:lang w:val="en-GB"/>
              </w:rPr>
              <w:t xml:space="preserve"> conclusions for the food, drink and milk industries. </w:t>
            </w:r>
          </w:p>
          <w:p w14:paraId="0070CCED" w14:textId="77777777"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lastRenderedPageBreak/>
              <w:t xml:space="preserve">The above documents are from 2019 and 2023 and are therefore based on the existing Directive. </w:t>
            </w:r>
          </w:p>
          <w:p w14:paraId="0272602A" w14:textId="77E5BBA5" w:rsidR="00872C68" w:rsidRPr="00FD703D" w:rsidRDefault="00872C68" w:rsidP="002857DC">
            <w:pPr>
              <w:spacing w:after="120" w:line="259" w:lineRule="auto"/>
              <w:jc w:val="both"/>
              <w:rPr>
                <w:rFonts w:eastAsia="Calibri" w:cs="Times New Roman"/>
                <w:noProof/>
                <w:sz w:val="22"/>
                <w:lang w:val="en-GB"/>
              </w:rPr>
            </w:pPr>
            <w:r w:rsidRPr="00FD703D">
              <w:rPr>
                <w:rFonts w:eastAsia="Calibri" w:cs="Times New Roman"/>
                <w:noProof/>
                <w:sz w:val="22"/>
                <w:lang w:val="en-GB"/>
              </w:rPr>
              <w:t xml:space="preserve">Moreover, according to these documents, the management plans covering various aspects (energy, noise, etc.) are all part of the same </w:t>
            </w:r>
            <w:r w:rsidR="00F27512" w:rsidRPr="00FD703D">
              <w:rPr>
                <w:rFonts w:eastAsia="Calibri" w:cs="Times New Roman"/>
                <w:noProof/>
                <w:sz w:val="22"/>
                <w:lang w:val="en-GB"/>
              </w:rPr>
              <w:t>e</w:t>
            </w:r>
            <w:r w:rsidRPr="00FD703D">
              <w:rPr>
                <w:rFonts w:eastAsia="Calibri" w:cs="Times New Roman"/>
                <w:noProof/>
                <w:sz w:val="22"/>
                <w:lang w:val="en-GB"/>
              </w:rPr>
              <w:t xml:space="preserve">nvironmental </w:t>
            </w:r>
            <w:r w:rsidR="00F27512" w:rsidRPr="00FD703D">
              <w:rPr>
                <w:rFonts w:eastAsia="Calibri" w:cs="Times New Roman"/>
                <w:noProof/>
                <w:sz w:val="22"/>
                <w:lang w:val="en-GB"/>
              </w:rPr>
              <w:t>m</w:t>
            </w:r>
            <w:r w:rsidRPr="00FD703D">
              <w:rPr>
                <w:rFonts w:eastAsia="Calibri" w:cs="Times New Roman"/>
                <w:noProof/>
                <w:sz w:val="22"/>
                <w:lang w:val="en-GB"/>
              </w:rPr>
              <w:t xml:space="preserve">anagement </w:t>
            </w:r>
            <w:r w:rsidR="00F27512" w:rsidRPr="00FD703D">
              <w:rPr>
                <w:rFonts w:eastAsia="Calibri" w:cs="Times New Roman"/>
                <w:noProof/>
                <w:sz w:val="22"/>
                <w:lang w:val="en-GB"/>
              </w:rPr>
              <w:t>s</w:t>
            </w:r>
            <w:r w:rsidRPr="00FD703D">
              <w:rPr>
                <w:rFonts w:eastAsia="Calibri" w:cs="Times New Roman"/>
                <w:noProof/>
                <w:sz w:val="22"/>
                <w:lang w:val="en-GB"/>
              </w:rPr>
              <w:t>ystem, which aims at covering all environmental impacts.</w:t>
            </w:r>
          </w:p>
        </w:tc>
      </w:tr>
      <w:tr w:rsidR="00872C68" w:rsidRPr="00FD703D" w14:paraId="0C7A8F76" w14:textId="77777777" w:rsidTr="00B54A1E">
        <w:trPr>
          <w:trHeight w:val="2693"/>
        </w:trPr>
        <w:tc>
          <w:tcPr>
            <w:tcW w:w="616" w:type="dxa"/>
            <w:vAlign w:val="center"/>
          </w:tcPr>
          <w:p w14:paraId="412E3B6C" w14:textId="116DFEAB"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lastRenderedPageBreak/>
              <w:t>30</w:t>
            </w:r>
            <w:r w:rsidR="00E558D0">
              <w:rPr>
                <w:rFonts w:eastAsia="Calibri" w:cs="Times New Roman"/>
                <w:b/>
                <w:bCs/>
                <w:noProof/>
                <w:sz w:val="22"/>
                <w:lang w:val="en-GB"/>
              </w:rPr>
              <w:t>4</w:t>
            </w:r>
          </w:p>
        </w:tc>
        <w:tc>
          <w:tcPr>
            <w:tcW w:w="5983" w:type="dxa"/>
            <w:vAlign w:val="center"/>
          </w:tcPr>
          <w:p w14:paraId="25AA7CB9" w14:textId="577BBEBF"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 xml:space="preserve">Best </w:t>
            </w:r>
            <w:r w:rsidR="77A6B333" w:rsidRPr="00FD703D">
              <w:rPr>
                <w:rFonts w:eastAsia="Calibri" w:cs="Times New Roman"/>
                <w:b/>
                <w:bCs/>
                <w:noProof/>
                <w:sz w:val="22"/>
                <w:szCs w:val="20"/>
                <w:lang w:val="en-GB"/>
              </w:rPr>
              <w:t>a</w:t>
            </w:r>
            <w:r w:rsidRPr="00FD703D">
              <w:rPr>
                <w:rFonts w:eastAsia="Calibri" w:cs="Times New Roman"/>
                <w:b/>
                <w:bCs/>
                <w:noProof/>
                <w:sz w:val="22"/>
                <w:szCs w:val="20"/>
                <w:lang w:val="en-GB"/>
              </w:rPr>
              <w:t xml:space="preserve">vailable </w:t>
            </w:r>
            <w:r w:rsidR="77A6B333" w:rsidRPr="00FD703D">
              <w:rPr>
                <w:rFonts w:eastAsia="Calibri" w:cs="Times New Roman"/>
                <w:b/>
                <w:bCs/>
                <w:noProof/>
                <w:sz w:val="22"/>
                <w:szCs w:val="20"/>
                <w:lang w:val="en-GB"/>
              </w:rPr>
              <w:t>t</w:t>
            </w:r>
            <w:r w:rsidRPr="00FD703D">
              <w:rPr>
                <w:rFonts w:eastAsia="Calibri" w:cs="Times New Roman"/>
                <w:b/>
                <w:bCs/>
                <w:noProof/>
                <w:sz w:val="22"/>
                <w:szCs w:val="20"/>
                <w:lang w:val="en-GB"/>
              </w:rPr>
              <w:t xml:space="preserve">echniques (BAT): </w:t>
            </w:r>
            <w:r w:rsidR="5AA71656" w:rsidRPr="00FD703D">
              <w:rPr>
                <w:rFonts w:eastAsia="Calibri" w:cs="Times New Roman"/>
                <w:noProof/>
                <w:sz w:val="22"/>
                <w:szCs w:val="20"/>
                <w:lang w:val="en-GB"/>
              </w:rPr>
              <w:t>n</w:t>
            </w:r>
            <w:r w:rsidRPr="00FD703D">
              <w:rPr>
                <w:rFonts w:eastAsia="Calibri" w:cs="Times New Roman"/>
                <w:noProof/>
                <w:sz w:val="22"/>
                <w:szCs w:val="20"/>
                <w:lang w:val="en-GB"/>
              </w:rPr>
              <w:t>ew BAT conclusions for individual industries continuously set more measurement requirements for pollutants with increased frequency. All these additional measurements must be reported to the authorities, regardless of whether the measurements are stable over days</w:t>
            </w:r>
            <w:r w:rsidR="77A6B333" w:rsidRPr="00FD703D">
              <w:rPr>
                <w:rFonts w:eastAsia="Calibri" w:cs="Times New Roman"/>
                <w:noProof/>
                <w:sz w:val="22"/>
                <w:szCs w:val="20"/>
                <w:lang w:val="en-GB"/>
              </w:rPr>
              <w:t xml:space="preserve">, </w:t>
            </w:r>
            <w:r w:rsidRPr="00FD703D">
              <w:rPr>
                <w:rFonts w:eastAsia="Calibri" w:cs="Times New Roman"/>
                <w:noProof/>
                <w:sz w:val="22"/>
                <w:szCs w:val="20"/>
                <w:lang w:val="en-GB"/>
              </w:rPr>
              <w:t>months</w:t>
            </w:r>
            <w:r w:rsidR="77A6B333" w:rsidRPr="00FD703D">
              <w:rPr>
                <w:rFonts w:eastAsia="Calibri" w:cs="Times New Roman"/>
                <w:noProof/>
                <w:sz w:val="22"/>
                <w:szCs w:val="20"/>
                <w:lang w:val="en-GB"/>
              </w:rPr>
              <w:t xml:space="preserve"> or </w:t>
            </w:r>
            <w:r w:rsidRPr="00FD703D">
              <w:rPr>
                <w:rFonts w:eastAsia="Calibri" w:cs="Times New Roman"/>
                <w:noProof/>
                <w:sz w:val="22"/>
                <w:szCs w:val="20"/>
                <w:lang w:val="en-GB"/>
              </w:rPr>
              <w:t>years. This leads to increas</w:t>
            </w:r>
            <w:r w:rsidR="77A6B333" w:rsidRPr="00FD703D">
              <w:rPr>
                <w:rFonts w:eastAsia="Calibri" w:cs="Times New Roman"/>
                <w:noProof/>
                <w:sz w:val="22"/>
                <w:szCs w:val="20"/>
                <w:lang w:val="en-GB"/>
              </w:rPr>
              <w:t>ed</w:t>
            </w:r>
            <w:r w:rsidRPr="00FD703D">
              <w:rPr>
                <w:rFonts w:eastAsia="Calibri" w:cs="Times New Roman"/>
                <w:noProof/>
                <w:sz w:val="22"/>
                <w:szCs w:val="20"/>
                <w:lang w:val="en-GB"/>
              </w:rPr>
              <w:t xml:space="preserve"> administrative costs.</w:t>
            </w:r>
          </w:p>
        </w:tc>
        <w:tc>
          <w:tcPr>
            <w:tcW w:w="1530" w:type="dxa"/>
            <w:vAlign w:val="center"/>
          </w:tcPr>
          <w:p w14:paraId="187F7A8F"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0" w:type="dxa"/>
          </w:tcPr>
          <w:p w14:paraId="6D8D8003" w14:textId="41518D63"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The revised </w:t>
            </w:r>
            <w:r w:rsidR="2A6206DD" w:rsidRPr="00FD703D">
              <w:rPr>
                <w:rFonts w:eastAsia="Calibri" w:cs="Times New Roman"/>
                <w:noProof/>
                <w:sz w:val="22"/>
                <w:szCs w:val="20"/>
                <w:lang w:val="en-GB"/>
              </w:rPr>
              <w:t>IED</w:t>
            </w:r>
            <w:r w:rsidRPr="00FD703D">
              <w:rPr>
                <w:rFonts w:eastAsia="Calibri" w:cs="Times New Roman"/>
                <w:noProof/>
                <w:sz w:val="22"/>
                <w:szCs w:val="20"/>
                <w:lang w:val="en-GB"/>
              </w:rPr>
              <w:t xml:space="preserve"> allows the use of emission factors instead of measurement</w:t>
            </w:r>
            <w:r w:rsidR="77A6B333" w:rsidRPr="00FD703D">
              <w:rPr>
                <w:rFonts w:eastAsia="Calibri" w:cs="Times New Roman"/>
                <w:noProof/>
                <w:sz w:val="22"/>
                <w:szCs w:val="20"/>
                <w:lang w:val="en-GB"/>
              </w:rPr>
              <w:t>s</w:t>
            </w:r>
            <w:r w:rsidRPr="00FD703D">
              <w:rPr>
                <w:rFonts w:eastAsia="Calibri" w:cs="Times New Roman"/>
                <w:noProof/>
                <w:sz w:val="22"/>
                <w:szCs w:val="20"/>
                <w:lang w:val="en-GB"/>
              </w:rPr>
              <w:t xml:space="preserve"> for pig and poultry farms where relevant. </w:t>
            </w:r>
          </w:p>
          <w:p w14:paraId="6874D88A" w14:textId="77777777"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This approach was also possible under the existing Directive. </w:t>
            </w:r>
          </w:p>
          <w:p w14:paraId="650F0689" w14:textId="2B3257DB" w:rsidR="00872C68" w:rsidRPr="00FD703D" w:rsidRDefault="00872C68" w:rsidP="001061A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Moreover, BAT conclusions account for cases where measurements are stable and give the option for less frequent monitoring in such cases, thus allowing a proportionate monitoring (see for example </w:t>
            </w:r>
            <w:r w:rsidRPr="00FD703D">
              <w:rPr>
                <w:rFonts w:eastAsia="Calibri" w:cs="Times New Roman"/>
                <w:i/>
                <w:iCs/>
                <w:noProof/>
                <w:sz w:val="22"/>
                <w:lang w:val="en-GB"/>
              </w:rPr>
              <w:t>footnote 4</w:t>
            </w:r>
            <w:r w:rsidRPr="00FD703D">
              <w:rPr>
                <w:rFonts w:eastAsia="Calibri" w:cs="Times New Roman"/>
                <w:noProof/>
                <w:sz w:val="22"/>
                <w:lang w:val="en-GB"/>
              </w:rPr>
              <w:t xml:space="preserve"> of BAT 4 of Commission Implementing Decision (EU) 2019/2031 establishing BAT conclusions for the food, drink and milk industries).</w:t>
            </w:r>
          </w:p>
        </w:tc>
      </w:tr>
      <w:tr w:rsidR="00C44968" w:rsidRPr="00FD703D" w14:paraId="4AEC01E6" w14:textId="77777777" w:rsidTr="00B54A1E">
        <w:trPr>
          <w:trHeight w:val="300"/>
        </w:trPr>
        <w:tc>
          <w:tcPr>
            <w:tcW w:w="616" w:type="dxa"/>
            <w:tcBorders>
              <w:bottom w:val="single" w:sz="4" w:space="0" w:color="auto"/>
            </w:tcBorders>
            <w:vAlign w:val="center"/>
          </w:tcPr>
          <w:p w14:paraId="54DE659A" w14:textId="0F5847D8" w:rsidR="00872C68" w:rsidRPr="00FD703D" w:rsidRDefault="00872C68" w:rsidP="001061AF">
            <w:pPr>
              <w:spacing w:after="60" w:line="259" w:lineRule="auto"/>
              <w:jc w:val="both"/>
              <w:rPr>
                <w:rFonts w:eastAsia="Calibri" w:cs="Times New Roman"/>
                <w:b/>
                <w:noProof/>
                <w:sz w:val="22"/>
                <w:lang w:val="en-GB"/>
              </w:rPr>
            </w:pPr>
            <w:r w:rsidRPr="00FD703D">
              <w:rPr>
                <w:rFonts w:eastAsia="Calibri" w:cs="Times New Roman"/>
                <w:b/>
                <w:bCs/>
                <w:noProof/>
                <w:sz w:val="22"/>
                <w:lang w:val="en-GB"/>
              </w:rPr>
              <w:t>30</w:t>
            </w:r>
            <w:r w:rsidR="00E558D0">
              <w:rPr>
                <w:rFonts w:eastAsia="Calibri" w:cs="Times New Roman"/>
                <w:b/>
                <w:bCs/>
                <w:noProof/>
                <w:sz w:val="22"/>
                <w:lang w:val="en-GB"/>
              </w:rPr>
              <w:t>5</w:t>
            </w:r>
          </w:p>
        </w:tc>
        <w:tc>
          <w:tcPr>
            <w:tcW w:w="5983" w:type="dxa"/>
            <w:tcBorders>
              <w:bottom w:val="single" w:sz="4" w:space="0" w:color="auto"/>
            </w:tcBorders>
            <w:vAlign w:val="center"/>
          </w:tcPr>
          <w:p w14:paraId="72ECA693" w14:textId="420170C0" w:rsidR="00872C68" w:rsidRPr="00FD703D" w:rsidRDefault="29CB0D46"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Link</w:t>
            </w:r>
            <w:r w:rsidR="7477C0B4" w:rsidRPr="00FD703D">
              <w:rPr>
                <w:rFonts w:eastAsia="Calibri" w:cs="Times New Roman"/>
                <w:b/>
                <w:bCs/>
                <w:noProof/>
                <w:sz w:val="22"/>
                <w:szCs w:val="20"/>
                <w:lang w:val="en-GB"/>
              </w:rPr>
              <w:t xml:space="preserve"> with</w:t>
            </w:r>
            <w:r w:rsidRPr="00FD703D">
              <w:rPr>
                <w:rFonts w:eastAsia="Calibri" w:cs="Times New Roman"/>
                <w:b/>
                <w:bCs/>
                <w:noProof/>
                <w:sz w:val="22"/>
                <w:szCs w:val="20"/>
                <w:lang w:val="en-GB"/>
              </w:rPr>
              <w:t xml:space="preserve"> </w:t>
            </w:r>
            <w:r w:rsidR="00740436" w:rsidRPr="00FD703D">
              <w:rPr>
                <w:rFonts w:eastAsia="Calibri" w:cs="Times New Roman"/>
                <w:b/>
                <w:bCs/>
                <w:noProof/>
                <w:sz w:val="22"/>
                <w:szCs w:val="20"/>
                <w:lang w:val="en-GB"/>
              </w:rPr>
              <w:t xml:space="preserve">the </w:t>
            </w:r>
            <w:r w:rsidRPr="00FD703D">
              <w:rPr>
                <w:rFonts w:eastAsia="Calibri" w:cs="Times New Roman"/>
                <w:b/>
                <w:bCs/>
                <w:noProof/>
                <w:sz w:val="22"/>
                <w:szCs w:val="20"/>
                <w:lang w:val="en-GB"/>
              </w:rPr>
              <w:t>Nitrates Directive:</w:t>
            </w:r>
            <w:r w:rsidRPr="00FD703D">
              <w:rPr>
                <w:rFonts w:eastAsia="Calibri" w:cs="Times New Roman"/>
                <w:noProof/>
                <w:sz w:val="22"/>
                <w:szCs w:val="20"/>
                <w:lang w:val="en-GB"/>
              </w:rPr>
              <w:t xml:space="preserve"> </w:t>
            </w:r>
            <w:r w:rsidR="52196E2C" w:rsidRPr="00FD703D">
              <w:rPr>
                <w:rFonts w:eastAsia="Calibri" w:cs="Times New Roman"/>
                <w:noProof/>
                <w:sz w:val="22"/>
                <w:szCs w:val="20"/>
                <w:lang w:val="en-GB"/>
              </w:rPr>
              <w:t>f</w:t>
            </w:r>
            <w:r w:rsidRPr="00FD703D">
              <w:rPr>
                <w:rFonts w:eastAsia="Calibri" w:cs="Times New Roman"/>
                <w:noProof/>
                <w:sz w:val="22"/>
                <w:szCs w:val="20"/>
                <w:lang w:val="en-GB"/>
              </w:rPr>
              <w:t xml:space="preserve">ormal clarification </w:t>
            </w:r>
            <w:r w:rsidR="1A1B5137" w:rsidRPr="00FD703D">
              <w:rPr>
                <w:rFonts w:eastAsia="Calibri" w:cs="Times New Roman"/>
                <w:noProof/>
                <w:sz w:val="22"/>
                <w:szCs w:val="20"/>
                <w:lang w:val="en-GB"/>
              </w:rPr>
              <w:t xml:space="preserve">sought </w:t>
            </w:r>
            <w:r w:rsidRPr="00FD703D">
              <w:rPr>
                <w:rFonts w:eastAsia="Calibri" w:cs="Times New Roman"/>
                <w:noProof/>
                <w:sz w:val="22"/>
                <w:szCs w:val="20"/>
                <w:lang w:val="en-GB"/>
              </w:rPr>
              <w:t xml:space="preserve">that farms that comply with the requirements of the Nitrates Directive due to their area-based livestock farming system do not fall within the scope of the </w:t>
            </w:r>
            <w:r w:rsidR="3C83E4B0" w:rsidRPr="00FD703D">
              <w:rPr>
                <w:rFonts w:eastAsia="Calibri" w:cs="Times New Roman"/>
                <w:noProof/>
                <w:sz w:val="22"/>
                <w:szCs w:val="20"/>
                <w:lang w:val="en-GB"/>
              </w:rPr>
              <w:t>IED</w:t>
            </w:r>
            <w:r w:rsidRPr="00FD703D">
              <w:rPr>
                <w:rFonts w:eastAsia="Calibri" w:cs="Times New Roman"/>
                <w:noProof/>
                <w:sz w:val="22"/>
                <w:szCs w:val="20"/>
                <w:lang w:val="en-GB"/>
              </w:rPr>
              <w:t>, regardless of the number of livestock units.</w:t>
            </w:r>
          </w:p>
        </w:tc>
        <w:tc>
          <w:tcPr>
            <w:tcW w:w="1530" w:type="dxa"/>
            <w:tcBorders>
              <w:bottom w:val="single" w:sz="4" w:space="0" w:color="auto"/>
            </w:tcBorders>
            <w:vAlign w:val="center"/>
          </w:tcPr>
          <w:p w14:paraId="7BBF493D" w14:textId="77777777" w:rsidR="00872C68" w:rsidRPr="00FD703D" w:rsidRDefault="00872C68" w:rsidP="001061AF">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0" w:type="dxa"/>
            <w:tcBorders>
              <w:bottom w:val="single" w:sz="4" w:space="0" w:color="auto"/>
            </w:tcBorders>
          </w:tcPr>
          <w:p w14:paraId="138AB26F" w14:textId="3315CE0C" w:rsidR="00872C68" w:rsidRPr="00FD703D" w:rsidRDefault="00872C68" w:rsidP="002857DC">
            <w:pPr>
              <w:spacing w:before="120" w:after="120" w:line="259" w:lineRule="auto"/>
              <w:jc w:val="both"/>
              <w:rPr>
                <w:rFonts w:eastAsia="Calibri" w:cs="Times New Roman"/>
                <w:noProof/>
                <w:sz w:val="22"/>
                <w:lang w:val="en-GB"/>
              </w:rPr>
            </w:pPr>
            <w:r w:rsidRPr="00FD703D">
              <w:rPr>
                <w:rFonts w:eastAsia="Calibri" w:cs="Times New Roman"/>
                <w:noProof/>
                <w:sz w:val="22"/>
                <w:lang w:val="en-GB"/>
              </w:rPr>
              <w:t>The Nitrates Directive does not ensure a comprehensive assessment of emissions to air, water and soil of the installation</w:t>
            </w:r>
            <w:r w:rsidR="00D84E6C" w:rsidRPr="00FD703D">
              <w:rPr>
                <w:rFonts w:eastAsia="Calibri" w:cs="Times New Roman"/>
                <w:noProof/>
                <w:sz w:val="22"/>
                <w:lang w:val="en-GB"/>
              </w:rPr>
              <w:t>s</w:t>
            </w:r>
            <w:r w:rsidRPr="00FD703D">
              <w:rPr>
                <w:rFonts w:eastAsia="Calibri" w:cs="Times New Roman"/>
                <w:noProof/>
                <w:sz w:val="22"/>
                <w:lang w:val="en-GB"/>
              </w:rPr>
              <w:t xml:space="preserve"> on livestock farms</w:t>
            </w:r>
            <w:r w:rsidR="00D84E6C" w:rsidRPr="00FD703D">
              <w:rPr>
                <w:rFonts w:eastAsia="Calibri" w:cs="Times New Roman"/>
                <w:noProof/>
                <w:sz w:val="22"/>
                <w:lang w:val="en-GB"/>
              </w:rPr>
              <w:t>,</w:t>
            </w:r>
            <w:r w:rsidRPr="00FD703D">
              <w:rPr>
                <w:rFonts w:eastAsia="Calibri" w:cs="Times New Roman"/>
                <w:noProof/>
                <w:sz w:val="22"/>
                <w:lang w:val="en-GB"/>
              </w:rPr>
              <w:t xml:space="preserve"> but is only concerned with the land application of manure and fertiliser and with the presence of sufficient storage capacity for manure. For large installations there is still a need for an integrated approach to pollution prevention and emissions control to air, water and soil in line with the IED.</w:t>
            </w:r>
          </w:p>
        </w:tc>
      </w:tr>
    </w:tbl>
    <w:p w14:paraId="15505BC5" w14:textId="77777777" w:rsidR="002857DC" w:rsidRDefault="002857DC">
      <w:pPr>
        <w:rPr>
          <w:noProof/>
        </w:rPr>
      </w:pPr>
      <w:r>
        <w:rPr>
          <w:noProof/>
        </w:rPr>
        <w:br w:type="page"/>
      </w:r>
    </w:p>
    <w:tbl>
      <w:tblPr>
        <w:tblStyle w:val="TableGrid1"/>
        <w:tblpPr w:leftFromText="180" w:rightFromText="180" w:vertAnchor="text" w:tblpY="1"/>
        <w:tblOverlap w:val="never"/>
        <w:tblW w:w="14487" w:type="dxa"/>
        <w:tblLayout w:type="fixed"/>
        <w:tblLook w:val="04A0" w:firstRow="1" w:lastRow="0" w:firstColumn="1" w:lastColumn="0" w:noHBand="0" w:noVBand="1"/>
      </w:tblPr>
      <w:tblGrid>
        <w:gridCol w:w="648"/>
        <w:gridCol w:w="5917"/>
        <w:gridCol w:w="1530"/>
        <w:gridCol w:w="6392"/>
      </w:tblGrid>
      <w:tr w:rsidR="009327C5" w:rsidRPr="00FD703D" w14:paraId="4C351645" w14:textId="77777777" w:rsidTr="001E38DF">
        <w:trPr>
          <w:trHeight w:val="300"/>
        </w:trPr>
        <w:tc>
          <w:tcPr>
            <w:tcW w:w="14487" w:type="dxa"/>
            <w:gridSpan w:val="4"/>
            <w:shd w:val="clear" w:color="auto" w:fill="000099"/>
            <w:vAlign w:val="center"/>
          </w:tcPr>
          <w:p w14:paraId="49047CD0" w14:textId="384DA219" w:rsidR="009327C5" w:rsidRPr="00FD703D" w:rsidRDefault="475FCC43" w:rsidP="004749EF">
            <w:pPr>
              <w:spacing w:before="120" w:after="120"/>
              <w:jc w:val="center"/>
              <w:rPr>
                <w:rFonts w:eastAsia="Calibri" w:cs="Times New Roman"/>
                <w:noProof/>
                <w:sz w:val="22"/>
                <w:szCs w:val="20"/>
                <w:lang w:val="en-GB"/>
              </w:rPr>
            </w:pPr>
            <w:r w:rsidRPr="00FD703D">
              <w:rPr>
                <w:rFonts w:eastAsia="Calibri" w:cs="Times New Roman"/>
                <w:b/>
                <w:bCs/>
                <w:noProof/>
                <w:color w:val="FFFFFF" w:themeColor="background1"/>
                <w:sz w:val="22"/>
                <w:szCs w:val="20"/>
                <w:lang w:val="en-GB"/>
              </w:rPr>
              <w:lastRenderedPageBreak/>
              <w:t>CSDDD (Corporate Sustainability Due Diligence Directive</w:t>
            </w:r>
            <w:r w:rsidR="639214F5" w:rsidRPr="00FD703D">
              <w:rPr>
                <w:rFonts w:eastAsia="Calibri" w:cs="Times New Roman"/>
                <w:b/>
                <w:bCs/>
                <w:noProof/>
                <w:color w:val="FFFFFF" w:themeColor="background1"/>
                <w:sz w:val="22"/>
                <w:szCs w:val="20"/>
                <w:lang w:val="en-GB"/>
              </w:rPr>
              <w:t>, Directive (EU) 2024/1760</w:t>
            </w:r>
            <w:r w:rsidRPr="00FD703D">
              <w:rPr>
                <w:rFonts w:eastAsia="Calibri" w:cs="Times New Roman"/>
                <w:b/>
                <w:bCs/>
                <w:noProof/>
                <w:color w:val="FFFFFF" w:themeColor="background1"/>
                <w:sz w:val="22"/>
                <w:szCs w:val="20"/>
                <w:lang w:val="en-GB"/>
              </w:rPr>
              <w:t>)</w:t>
            </w:r>
          </w:p>
        </w:tc>
      </w:tr>
      <w:tr w:rsidR="009327C5" w:rsidRPr="00FD703D" w14:paraId="168D4F92" w14:textId="77777777" w:rsidTr="001E38DF">
        <w:trPr>
          <w:trHeight w:val="300"/>
        </w:trPr>
        <w:tc>
          <w:tcPr>
            <w:tcW w:w="648" w:type="dxa"/>
            <w:vAlign w:val="center"/>
          </w:tcPr>
          <w:p w14:paraId="632FDB24" w14:textId="5AF3D70D" w:rsidR="009327C5" w:rsidRPr="00FD703D" w:rsidRDefault="009327C5" w:rsidP="009327C5">
            <w:pPr>
              <w:spacing w:after="60"/>
              <w:jc w:val="both"/>
              <w:rPr>
                <w:rFonts w:eastAsia="Calibri" w:cs="Times New Roman"/>
                <w:b/>
                <w:bCs/>
                <w:noProof/>
                <w:sz w:val="22"/>
                <w:lang w:val="en-GB"/>
              </w:rPr>
            </w:pPr>
            <w:r w:rsidRPr="00FD703D">
              <w:rPr>
                <w:rFonts w:eastAsia="Calibri" w:cs="Times New Roman"/>
                <w:b/>
                <w:bCs/>
                <w:noProof/>
                <w:sz w:val="22"/>
                <w:lang w:val="en-GB"/>
              </w:rPr>
              <w:t>30</w:t>
            </w:r>
            <w:r w:rsidR="00E558D0">
              <w:rPr>
                <w:rFonts w:eastAsia="Calibri" w:cs="Times New Roman"/>
                <w:b/>
                <w:bCs/>
                <w:noProof/>
                <w:sz w:val="22"/>
                <w:lang w:val="en-GB"/>
              </w:rPr>
              <w:t>6</w:t>
            </w:r>
          </w:p>
        </w:tc>
        <w:tc>
          <w:tcPr>
            <w:tcW w:w="5917" w:type="dxa"/>
            <w:vAlign w:val="center"/>
          </w:tcPr>
          <w:p w14:paraId="3DF6EDD6" w14:textId="32B58ECD" w:rsidR="009327C5" w:rsidRPr="00FD703D" w:rsidRDefault="475FCC43" w:rsidP="7E954136">
            <w:pPr>
              <w:spacing w:after="60"/>
              <w:jc w:val="both"/>
              <w:rPr>
                <w:rFonts w:eastAsia="Calibri" w:cs="Times New Roman"/>
                <w:b/>
                <w:bCs/>
                <w:noProof/>
                <w:sz w:val="22"/>
                <w:szCs w:val="20"/>
                <w:lang w:val="en-GB"/>
              </w:rPr>
            </w:pPr>
            <w:r w:rsidRPr="00FD703D">
              <w:rPr>
                <w:rFonts w:eastAsia="Calibri" w:cs="Times New Roman"/>
                <w:b/>
                <w:bCs/>
                <w:noProof/>
                <w:sz w:val="22"/>
                <w:szCs w:val="20"/>
                <w:lang w:val="en-GB"/>
              </w:rPr>
              <w:t>Clarification necessary:</w:t>
            </w:r>
            <w:r w:rsidRPr="00FD703D">
              <w:rPr>
                <w:rFonts w:eastAsia="Calibri" w:cs="Times New Roman"/>
                <w:noProof/>
                <w:sz w:val="22"/>
                <w:szCs w:val="20"/>
                <w:lang w:val="en-GB"/>
              </w:rPr>
              <w:t xml:space="preserve"> </w:t>
            </w:r>
            <w:r w:rsidR="00E81398" w:rsidRPr="00FD703D">
              <w:rPr>
                <w:rFonts w:eastAsia="Calibri" w:cs="Times New Roman"/>
                <w:noProof/>
                <w:sz w:val="22"/>
                <w:szCs w:val="20"/>
                <w:lang w:val="en-GB"/>
              </w:rPr>
              <w:t>k</w:t>
            </w:r>
            <w:r w:rsidRPr="00FD703D">
              <w:rPr>
                <w:rFonts w:eastAsia="Calibri" w:cs="Times New Roman"/>
                <w:noProof/>
                <w:sz w:val="22"/>
                <w:szCs w:val="20"/>
                <w:lang w:val="en-GB"/>
              </w:rPr>
              <w:t xml:space="preserve">ey terms, including </w:t>
            </w:r>
            <w:r w:rsidR="6BD9522B" w:rsidRPr="00FD703D">
              <w:rPr>
                <w:rFonts w:eastAsia="Calibri" w:cs="Times New Roman"/>
                <w:noProof/>
                <w:sz w:val="22"/>
                <w:szCs w:val="20"/>
                <w:lang w:val="en-GB"/>
              </w:rPr>
              <w:t>‘</w:t>
            </w:r>
            <w:r w:rsidRPr="00FD703D">
              <w:rPr>
                <w:rFonts w:eastAsia="Calibri" w:cs="Times New Roman"/>
                <w:noProof/>
                <w:sz w:val="22"/>
                <w:szCs w:val="20"/>
                <w:lang w:val="en-GB"/>
              </w:rPr>
              <w:t>value chain</w:t>
            </w:r>
            <w:r w:rsidR="6BD9522B" w:rsidRPr="00FD703D">
              <w:rPr>
                <w:rFonts w:eastAsia="Calibri" w:cs="Times New Roman"/>
                <w:noProof/>
                <w:sz w:val="22"/>
                <w:szCs w:val="20"/>
                <w:lang w:val="en-GB"/>
              </w:rPr>
              <w:t>’</w:t>
            </w:r>
            <w:r w:rsidRPr="00FD703D">
              <w:rPr>
                <w:rFonts w:eastAsia="Calibri" w:cs="Times New Roman"/>
                <w:noProof/>
                <w:sz w:val="22"/>
                <w:szCs w:val="20"/>
                <w:lang w:val="en-GB"/>
              </w:rPr>
              <w:t xml:space="preserve"> and </w:t>
            </w:r>
            <w:r w:rsidR="3FC57A47" w:rsidRPr="00FD703D">
              <w:rPr>
                <w:rFonts w:eastAsia="Calibri" w:cs="Times New Roman"/>
                <w:noProof/>
                <w:sz w:val="22"/>
                <w:szCs w:val="20"/>
                <w:lang w:val="en-GB"/>
              </w:rPr>
              <w:t>‘</w:t>
            </w:r>
            <w:r w:rsidRPr="00FD703D">
              <w:rPr>
                <w:rFonts w:eastAsia="Calibri" w:cs="Times New Roman"/>
                <w:noProof/>
                <w:sz w:val="22"/>
                <w:szCs w:val="20"/>
                <w:lang w:val="en-GB"/>
              </w:rPr>
              <w:t>business relationship</w:t>
            </w:r>
            <w:r w:rsidR="3FC57A47" w:rsidRPr="00FD703D">
              <w:rPr>
                <w:rFonts w:eastAsia="Calibri" w:cs="Times New Roman"/>
                <w:noProof/>
                <w:sz w:val="22"/>
                <w:szCs w:val="20"/>
                <w:lang w:val="en-GB"/>
              </w:rPr>
              <w:t>’</w:t>
            </w:r>
            <w:r w:rsidRPr="00FD703D">
              <w:rPr>
                <w:rFonts w:eastAsia="Calibri" w:cs="Times New Roman"/>
                <w:noProof/>
                <w:sz w:val="22"/>
                <w:szCs w:val="20"/>
                <w:lang w:val="en-GB"/>
              </w:rPr>
              <w:t xml:space="preserve"> must be clarified, to ensure that human rights, environmental and climate-related due diligence requirements are only applicable and enforceable where companies have the legal or factual ability to influence the value chains they operate in, including the downstream sector. </w:t>
            </w:r>
          </w:p>
        </w:tc>
        <w:tc>
          <w:tcPr>
            <w:tcW w:w="1530" w:type="dxa"/>
            <w:vAlign w:val="center"/>
          </w:tcPr>
          <w:p w14:paraId="450F0AF3" w14:textId="7C8BD92B" w:rsidR="009327C5" w:rsidRPr="00FD703D" w:rsidRDefault="009327C5" w:rsidP="009327C5">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2" w:type="dxa"/>
            <w:vAlign w:val="center"/>
          </w:tcPr>
          <w:p w14:paraId="6D23EECE" w14:textId="3AB6DC5E" w:rsidR="009327C5" w:rsidRPr="00FD703D" w:rsidRDefault="475FCC43" w:rsidP="20654519">
            <w:pPr>
              <w:spacing w:after="60"/>
              <w:jc w:val="both"/>
              <w:rPr>
                <w:rFonts w:eastAsia="Calibri" w:cs="Times New Roman"/>
                <w:noProof/>
                <w:sz w:val="22"/>
                <w:szCs w:val="20"/>
                <w:lang w:val="en-IE"/>
              </w:rPr>
            </w:pPr>
            <w:r w:rsidRPr="00FD703D">
              <w:rPr>
                <w:rFonts w:eastAsia="Calibri" w:cs="Times New Roman"/>
                <w:noProof/>
                <w:sz w:val="22"/>
                <w:szCs w:val="20"/>
                <w:lang w:val="en-IE"/>
              </w:rPr>
              <w:t xml:space="preserve">The coverage of the downstream value chain in the final version of the Directive has been limited to value chain partners that operate </w:t>
            </w:r>
            <w:r w:rsidR="3FC57A47" w:rsidRPr="00FD703D">
              <w:rPr>
                <w:rFonts w:eastAsia="Calibri" w:cs="Times New Roman"/>
                <w:noProof/>
                <w:sz w:val="22"/>
                <w:szCs w:val="20"/>
                <w:lang w:val="en-IE"/>
              </w:rPr>
              <w:t>‘</w:t>
            </w:r>
            <w:r w:rsidRPr="00FD703D">
              <w:rPr>
                <w:rFonts w:eastAsia="Calibri" w:cs="Times New Roman"/>
                <w:noProof/>
                <w:sz w:val="22"/>
                <w:szCs w:val="20"/>
                <w:lang w:val="en-IE"/>
              </w:rPr>
              <w:t>for or on behalf of</w:t>
            </w:r>
            <w:r w:rsidR="3FC57A47" w:rsidRPr="00FD703D">
              <w:rPr>
                <w:rFonts w:eastAsia="Calibri" w:cs="Times New Roman"/>
                <w:noProof/>
                <w:sz w:val="22"/>
                <w:szCs w:val="20"/>
                <w:lang w:val="en-IE"/>
              </w:rPr>
              <w:t>’</w:t>
            </w:r>
            <w:r w:rsidRPr="00FD703D">
              <w:rPr>
                <w:rFonts w:eastAsia="Calibri" w:cs="Times New Roman"/>
                <w:noProof/>
                <w:sz w:val="22"/>
                <w:szCs w:val="20"/>
                <w:lang w:val="en-IE"/>
              </w:rPr>
              <w:t xml:space="preserve"> the large company in </w:t>
            </w:r>
            <w:r w:rsidR="6840955F" w:rsidRPr="00FD703D">
              <w:rPr>
                <w:rFonts w:eastAsia="Calibri" w:cs="Times New Roman"/>
                <w:noProof/>
                <w:sz w:val="22"/>
                <w:szCs w:val="20"/>
                <w:lang w:val="en-IE"/>
              </w:rPr>
              <w:t>question</w:t>
            </w:r>
            <w:r w:rsidRPr="00FD703D">
              <w:rPr>
                <w:rFonts w:eastAsia="Calibri" w:cs="Times New Roman"/>
                <w:noProof/>
                <w:sz w:val="22"/>
                <w:szCs w:val="20"/>
                <w:lang w:val="en-IE"/>
              </w:rPr>
              <w:t>. This ensures that only those business relationships over which the company has factual control</w:t>
            </w:r>
            <w:r w:rsidR="6840955F" w:rsidRPr="00FD703D">
              <w:rPr>
                <w:rFonts w:eastAsia="Calibri" w:cs="Times New Roman"/>
                <w:noProof/>
                <w:sz w:val="22"/>
                <w:szCs w:val="20"/>
                <w:lang w:val="en-IE"/>
              </w:rPr>
              <w:t xml:space="preserve"> are covered</w:t>
            </w:r>
            <w:r w:rsidRPr="00FD703D">
              <w:rPr>
                <w:rFonts w:eastAsia="Calibri" w:cs="Times New Roman"/>
                <w:noProof/>
                <w:sz w:val="22"/>
                <w:szCs w:val="20"/>
                <w:lang w:val="en-IE"/>
              </w:rPr>
              <w:t xml:space="preserve">.  </w:t>
            </w:r>
          </w:p>
        </w:tc>
      </w:tr>
      <w:tr w:rsidR="009327C5" w:rsidRPr="00FD703D" w14:paraId="478BA1D5" w14:textId="77777777" w:rsidTr="001E38DF">
        <w:trPr>
          <w:trHeight w:val="300"/>
        </w:trPr>
        <w:tc>
          <w:tcPr>
            <w:tcW w:w="648" w:type="dxa"/>
            <w:vAlign w:val="center"/>
          </w:tcPr>
          <w:p w14:paraId="46325BE5" w14:textId="7EB09AAA" w:rsidR="009327C5" w:rsidRPr="00FD703D" w:rsidRDefault="009327C5" w:rsidP="009327C5">
            <w:pPr>
              <w:spacing w:after="60"/>
              <w:jc w:val="both"/>
              <w:rPr>
                <w:rFonts w:eastAsia="Calibri" w:cs="Times New Roman"/>
                <w:b/>
                <w:bCs/>
                <w:noProof/>
                <w:sz w:val="22"/>
                <w:lang w:val="en-GB"/>
              </w:rPr>
            </w:pPr>
            <w:r w:rsidRPr="00FD703D">
              <w:rPr>
                <w:rFonts w:eastAsia="Calibri" w:cs="Times New Roman"/>
                <w:b/>
                <w:bCs/>
                <w:noProof/>
                <w:sz w:val="22"/>
                <w:lang w:val="en-GB"/>
              </w:rPr>
              <w:t>30</w:t>
            </w:r>
            <w:r w:rsidR="00E558D0">
              <w:rPr>
                <w:rFonts w:eastAsia="Calibri" w:cs="Times New Roman"/>
                <w:b/>
                <w:bCs/>
                <w:noProof/>
                <w:sz w:val="22"/>
                <w:lang w:val="en-GB"/>
              </w:rPr>
              <w:t>7</w:t>
            </w:r>
          </w:p>
        </w:tc>
        <w:tc>
          <w:tcPr>
            <w:tcW w:w="5917" w:type="dxa"/>
            <w:vAlign w:val="center"/>
          </w:tcPr>
          <w:p w14:paraId="14FC4174" w14:textId="1430E595" w:rsidR="009327C5" w:rsidRPr="00FD703D" w:rsidRDefault="009327C5" w:rsidP="009327C5">
            <w:pPr>
              <w:spacing w:after="60"/>
              <w:jc w:val="both"/>
              <w:rPr>
                <w:rFonts w:eastAsia="Calibri" w:cs="Times New Roman"/>
                <w:b/>
                <w:bCs/>
                <w:noProof/>
                <w:sz w:val="22"/>
                <w:lang w:val="en-GB"/>
              </w:rPr>
            </w:pPr>
            <w:r w:rsidRPr="00FD703D">
              <w:rPr>
                <w:rFonts w:eastAsia="Calibri" w:cs="Times New Roman"/>
                <w:b/>
                <w:bCs/>
                <w:noProof/>
                <w:sz w:val="22"/>
                <w:lang w:val="en-GB"/>
              </w:rPr>
              <w:t>Importance of legal certainty</w:t>
            </w:r>
            <w:r w:rsidRPr="00FD703D">
              <w:rPr>
                <w:rFonts w:eastAsia="Calibri" w:cs="Times New Roman"/>
                <w:noProof/>
                <w:sz w:val="22"/>
                <w:lang w:val="en-GB"/>
              </w:rPr>
              <w:t xml:space="preserve">: </w:t>
            </w:r>
            <w:r w:rsidR="00E81398" w:rsidRPr="00FD703D">
              <w:rPr>
                <w:rFonts w:eastAsia="Calibri" w:cs="Times New Roman"/>
                <w:noProof/>
                <w:sz w:val="22"/>
                <w:lang w:val="en-GB"/>
              </w:rPr>
              <w:t>a</w:t>
            </w:r>
            <w:r w:rsidRPr="00FD703D">
              <w:rPr>
                <w:rFonts w:eastAsia="Calibri" w:cs="Times New Roman"/>
                <w:noProof/>
                <w:sz w:val="22"/>
                <w:lang w:val="en-GB"/>
              </w:rPr>
              <w:t xml:space="preserve">ttention must be paid to guidelines and delegated acts, to ensure they do not lead to further fragmentation and undue burdens on companies. </w:t>
            </w:r>
          </w:p>
        </w:tc>
        <w:tc>
          <w:tcPr>
            <w:tcW w:w="1530" w:type="dxa"/>
            <w:vAlign w:val="center"/>
          </w:tcPr>
          <w:p w14:paraId="2C67A9C7" w14:textId="63821AD9" w:rsidR="009327C5" w:rsidRPr="00FD703D" w:rsidRDefault="009327C5" w:rsidP="009327C5">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2" w:type="dxa"/>
            <w:vAlign w:val="center"/>
          </w:tcPr>
          <w:p w14:paraId="1FE8F855" w14:textId="3AAE497F" w:rsidR="009327C5" w:rsidRPr="00FD703D" w:rsidRDefault="009327C5" w:rsidP="004749E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Several safeguards have been introduced in the final version of the Directive to ensure that the delegated acts do not lead to further fragmentation and undue burdens.  </w:t>
            </w:r>
          </w:p>
        </w:tc>
      </w:tr>
      <w:tr w:rsidR="009327C5" w:rsidRPr="00FD703D" w14:paraId="308C7200" w14:textId="77777777" w:rsidTr="001E38DF">
        <w:trPr>
          <w:trHeight w:val="300"/>
        </w:trPr>
        <w:tc>
          <w:tcPr>
            <w:tcW w:w="648" w:type="dxa"/>
            <w:tcBorders>
              <w:bottom w:val="single" w:sz="4" w:space="0" w:color="auto"/>
            </w:tcBorders>
            <w:vAlign w:val="center"/>
          </w:tcPr>
          <w:p w14:paraId="779D0CA1" w14:textId="6DBED6A6" w:rsidR="009327C5" w:rsidRPr="00FD703D" w:rsidRDefault="009327C5" w:rsidP="009327C5">
            <w:pPr>
              <w:spacing w:after="60"/>
              <w:jc w:val="both"/>
              <w:rPr>
                <w:rFonts w:eastAsia="Calibri" w:cs="Times New Roman"/>
                <w:b/>
                <w:bCs/>
                <w:noProof/>
                <w:sz w:val="22"/>
                <w:lang w:val="en-GB"/>
              </w:rPr>
            </w:pPr>
            <w:r w:rsidRPr="00FD703D">
              <w:rPr>
                <w:rFonts w:eastAsia="Calibri" w:cs="Times New Roman"/>
                <w:b/>
                <w:bCs/>
                <w:noProof/>
                <w:sz w:val="22"/>
                <w:lang w:val="en-GB"/>
              </w:rPr>
              <w:t>30</w:t>
            </w:r>
            <w:r w:rsidR="00E558D0">
              <w:rPr>
                <w:rFonts w:eastAsia="Calibri" w:cs="Times New Roman"/>
                <w:b/>
                <w:bCs/>
                <w:noProof/>
                <w:sz w:val="22"/>
                <w:lang w:val="en-GB"/>
              </w:rPr>
              <w:t>8</w:t>
            </w:r>
          </w:p>
        </w:tc>
        <w:tc>
          <w:tcPr>
            <w:tcW w:w="5917" w:type="dxa"/>
            <w:tcBorders>
              <w:bottom w:val="single" w:sz="4" w:space="0" w:color="auto"/>
            </w:tcBorders>
            <w:vAlign w:val="center"/>
          </w:tcPr>
          <w:p w14:paraId="5EFA78A5" w14:textId="663CDE40" w:rsidR="009327C5" w:rsidRPr="00FD703D" w:rsidRDefault="009327C5" w:rsidP="009327C5">
            <w:pPr>
              <w:spacing w:after="60"/>
              <w:jc w:val="both"/>
              <w:rPr>
                <w:rFonts w:eastAsia="Calibri" w:cs="Times New Roman"/>
                <w:b/>
                <w:bCs/>
                <w:noProof/>
                <w:sz w:val="22"/>
                <w:lang w:val="en-GB"/>
              </w:rPr>
            </w:pPr>
            <w:r w:rsidRPr="00FD703D">
              <w:rPr>
                <w:rFonts w:eastAsia="Calibri" w:cs="Times New Roman"/>
                <w:b/>
                <w:bCs/>
                <w:noProof/>
                <w:sz w:val="22"/>
                <w:lang w:val="en-GB"/>
              </w:rPr>
              <w:t>Restricted scope of affected parties:</w:t>
            </w:r>
            <w:r w:rsidRPr="00FD703D">
              <w:rPr>
                <w:rFonts w:eastAsia="Calibri" w:cs="Times New Roman"/>
                <w:noProof/>
                <w:sz w:val="22"/>
                <w:lang w:val="en-GB"/>
              </w:rPr>
              <w:t xml:space="preserve"> </w:t>
            </w:r>
            <w:r w:rsidR="00E81398" w:rsidRPr="00FD703D">
              <w:rPr>
                <w:rFonts w:eastAsia="Calibri" w:cs="Times New Roman"/>
                <w:noProof/>
                <w:sz w:val="22"/>
                <w:lang w:val="en-GB"/>
              </w:rPr>
              <w:t>t</w:t>
            </w:r>
            <w:r w:rsidRPr="00FD703D">
              <w:rPr>
                <w:rFonts w:eastAsia="Calibri" w:cs="Times New Roman"/>
                <w:noProof/>
                <w:sz w:val="22"/>
                <w:lang w:val="en-GB"/>
              </w:rPr>
              <w:t>o achieve legal certainty and avoid undue burdens on companies, this scope must be limited to those genuinely affected by adverse impacts set out in this Directive, to avoid the risk of mass litigation by parties that are not genuinely affected stakeholders.</w:t>
            </w:r>
          </w:p>
        </w:tc>
        <w:tc>
          <w:tcPr>
            <w:tcW w:w="1530" w:type="dxa"/>
            <w:tcBorders>
              <w:bottom w:val="single" w:sz="4" w:space="0" w:color="auto"/>
            </w:tcBorders>
            <w:vAlign w:val="center"/>
          </w:tcPr>
          <w:p w14:paraId="49F32B08" w14:textId="023AFC7F" w:rsidR="009327C5" w:rsidRPr="00FD703D" w:rsidRDefault="009327C5" w:rsidP="009327C5">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2" w:type="dxa"/>
            <w:tcBorders>
              <w:bottom w:val="single" w:sz="4" w:space="0" w:color="auto"/>
            </w:tcBorders>
            <w:vAlign w:val="center"/>
          </w:tcPr>
          <w:p w14:paraId="10C6AAA0" w14:textId="411D3410" w:rsidR="009327C5" w:rsidRPr="00FD703D" w:rsidRDefault="009327C5" w:rsidP="004749EF">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The definition of stakeholders has been limited to affected stakeholders and it is only these affected stakeholders </w:t>
            </w:r>
            <w:r w:rsidR="00E16B80" w:rsidRPr="00FD703D">
              <w:rPr>
                <w:rFonts w:eastAsia="Calibri" w:cs="Times New Roman"/>
                <w:noProof/>
                <w:sz w:val="22"/>
                <w:lang w:val="en-GB"/>
              </w:rPr>
              <w:t xml:space="preserve">who </w:t>
            </w:r>
            <w:r w:rsidRPr="00FD703D">
              <w:rPr>
                <w:rFonts w:eastAsia="Calibri" w:cs="Times New Roman"/>
                <w:noProof/>
                <w:sz w:val="22"/>
                <w:lang w:val="en-GB"/>
              </w:rPr>
              <w:t>have rights under the final version of the Directive.</w:t>
            </w:r>
          </w:p>
        </w:tc>
      </w:tr>
      <w:tr w:rsidR="009327C5" w:rsidRPr="00FD703D" w14:paraId="72C8BB94" w14:textId="77777777" w:rsidTr="001E38DF">
        <w:trPr>
          <w:trHeight w:val="300"/>
        </w:trPr>
        <w:tc>
          <w:tcPr>
            <w:tcW w:w="648" w:type="dxa"/>
            <w:tcBorders>
              <w:bottom w:val="single" w:sz="4" w:space="0" w:color="auto"/>
            </w:tcBorders>
            <w:vAlign w:val="center"/>
          </w:tcPr>
          <w:p w14:paraId="16FE347B" w14:textId="03FB3663" w:rsidR="009327C5" w:rsidRPr="00FD703D" w:rsidRDefault="009327C5" w:rsidP="009327C5">
            <w:pPr>
              <w:spacing w:after="60"/>
              <w:jc w:val="both"/>
              <w:rPr>
                <w:rFonts w:eastAsia="Calibri" w:cs="Times New Roman"/>
                <w:b/>
                <w:bCs/>
                <w:noProof/>
                <w:sz w:val="22"/>
                <w:lang w:val="en-GB"/>
              </w:rPr>
            </w:pPr>
            <w:r w:rsidRPr="00FD703D">
              <w:rPr>
                <w:rFonts w:eastAsia="Calibri" w:cs="Times New Roman"/>
                <w:b/>
                <w:bCs/>
                <w:noProof/>
                <w:sz w:val="22"/>
                <w:lang w:val="en-GB"/>
              </w:rPr>
              <w:t>3</w:t>
            </w:r>
            <w:r w:rsidR="00E558D0">
              <w:rPr>
                <w:rFonts w:eastAsia="Calibri" w:cs="Times New Roman"/>
                <w:b/>
                <w:bCs/>
                <w:noProof/>
                <w:sz w:val="22"/>
                <w:lang w:val="en-GB"/>
              </w:rPr>
              <w:t>09</w:t>
            </w:r>
          </w:p>
        </w:tc>
        <w:tc>
          <w:tcPr>
            <w:tcW w:w="5917" w:type="dxa"/>
            <w:tcBorders>
              <w:bottom w:val="single" w:sz="4" w:space="0" w:color="auto"/>
            </w:tcBorders>
            <w:vAlign w:val="center"/>
          </w:tcPr>
          <w:p w14:paraId="31301B4A" w14:textId="2288731C" w:rsidR="009327C5" w:rsidRPr="00FD703D" w:rsidRDefault="475FCC43" w:rsidP="7E954136">
            <w:pPr>
              <w:spacing w:after="60"/>
              <w:jc w:val="both"/>
              <w:rPr>
                <w:rFonts w:eastAsia="Calibri" w:cs="Times New Roman"/>
                <w:noProof/>
                <w:sz w:val="22"/>
                <w:szCs w:val="20"/>
                <w:lang w:val="en-GB"/>
              </w:rPr>
            </w:pPr>
            <w:r w:rsidRPr="00FD703D">
              <w:rPr>
                <w:rFonts w:eastAsia="Calibri" w:cs="Times New Roman"/>
                <w:b/>
                <w:bCs/>
                <w:noProof/>
                <w:sz w:val="22"/>
                <w:szCs w:val="20"/>
                <w:lang w:val="en-GB"/>
              </w:rPr>
              <w:t xml:space="preserve">Director’s duties provision: </w:t>
            </w:r>
            <w:r w:rsidR="00E81398" w:rsidRPr="00FD703D">
              <w:rPr>
                <w:rFonts w:eastAsia="Calibri" w:cs="Times New Roman"/>
                <w:noProof/>
                <w:sz w:val="22"/>
                <w:szCs w:val="20"/>
                <w:lang w:val="en-GB"/>
              </w:rPr>
              <w:t>t</w:t>
            </w:r>
            <w:r w:rsidR="6840955F" w:rsidRPr="00FD703D">
              <w:rPr>
                <w:rFonts w:eastAsia="Calibri" w:cs="Times New Roman"/>
                <w:noProof/>
                <w:sz w:val="22"/>
                <w:szCs w:val="20"/>
                <w:lang w:val="en-GB"/>
              </w:rPr>
              <w:t>he provision</w:t>
            </w:r>
            <w:r w:rsidR="6840955F" w:rsidRPr="00FD703D">
              <w:rPr>
                <w:rFonts w:eastAsia="Calibri" w:cs="Times New Roman"/>
                <w:b/>
                <w:bCs/>
                <w:noProof/>
                <w:sz w:val="22"/>
                <w:szCs w:val="20"/>
                <w:lang w:val="en-GB"/>
              </w:rPr>
              <w:t xml:space="preserve"> </w:t>
            </w:r>
            <w:r w:rsidR="6840955F" w:rsidRPr="00FD703D">
              <w:rPr>
                <w:rFonts w:eastAsia="Calibri" w:cs="Times New Roman"/>
                <w:noProof/>
                <w:sz w:val="22"/>
                <w:szCs w:val="20"/>
                <w:lang w:val="en-GB"/>
              </w:rPr>
              <w:t>on</w:t>
            </w:r>
            <w:r w:rsidR="6840955F" w:rsidRPr="00FD703D">
              <w:rPr>
                <w:rFonts w:eastAsia="Calibri" w:cs="Times New Roman"/>
                <w:b/>
                <w:bCs/>
                <w:noProof/>
                <w:sz w:val="22"/>
                <w:szCs w:val="20"/>
                <w:lang w:val="en-GB"/>
              </w:rPr>
              <w:t xml:space="preserve"> </w:t>
            </w:r>
            <w:r w:rsidR="6840955F" w:rsidRPr="00FD703D">
              <w:rPr>
                <w:rFonts w:eastAsia="Calibri" w:cs="Times New Roman"/>
                <w:noProof/>
                <w:sz w:val="22"/>
                <w:szCs w:val="20"/>
                <w:lang w:val="en-GB"/>
              </w:rPr>
              <w:t>d</w:t>
            </w:r>
            <w:r w:rsidRPr="00FD703D">
              <w:rPr>
                <w:rFonts w:eastAsia="Calibri" w:cs="Times New Roman"/>
                <w:noProof/>
                <w:sz w:val="22"/>
                <w:szCs w:val="20"/>
                <w:lang w:val="en-GB"/>
              </w:rPr>
              <w:t>irector</w:t>
            </w:r>
            <w:r w:rsidR="6840955F" w:rsidRPr="00FD703D">
              <w:rPr>
                <w:rFonts w:eastAsia="Calibri" w:cs="Times New Roman"/>
                <w:noProof/>
                <w:sz w:val="22"/>
                <w:szCs w:val="20"/>
                <w:lang w:val="en-GB"/>
              </w:rPr>
              <w:t>s’</w:t>
            </w:r>
            <w:r w:rsidRPr="00FD703D">
              <w:rPr>
                <w:rFonts w:eastAsia="Calibri" w:cs="Times New Roman"/>
                <w:noProof/>
                <w:sz w:val="22"/>
                <w:szCs w:val="20"/>
                <w:lang w:val="en-GB"/>
              </w:rPr>
              <w:t xml:space="preserve"> duties is not necessary to achieve the aims of this directive. Such </w:t>
            </w:r>
            <w:r w:rsidR="6840955F" w:rsidRPr="00FD703D">
              <w:rPr>
                <w:rFonts w:eastAsia="Calibri" w:cs="Times New Roman"/>
                <w:noProof/>
                <w:sz w:val="22"/>
                <w:szCs w:val="20"/>
                <w:lang w:val="en-GB"/>
              </w:rPr>
              <w:t xml:space="preserve">a </w:t>
            </w:r>
            <w:r w:rsidRPr="00FD703D">
              <w:rPr>
                <w:rFonts w:eastAsia="Calibri" w:cs="Times New Roman"/>
                <w:noProof/>
                <w:sz w:val="22"/>
                <w:szCs w:val="20"/>
                <w:lang w:val="en-GB"/>
              </w:rPr>
              <w:t xml:space="preserve">provision would have negative impacts on cooperatives, which differ from other companies </w:t>
            </w:r>
            <w:r w:rsidR="6840955F" w:rsidRPr="00FD703D">
              <w:rPr>
                <w:rFonts w:eastAsia="Calibri" w:cs="Times New Roman"/>
                <w:noProof/>
                <w:sz w:val="22"/>
                <w:szCs w:val="20"/>
                <w:lang w:val="en-GB"/>
              </w:rPr>
              <w:t xml:space="preserve">as regards the </w:t>
            </w:r>
            <w:r w:rsidRPr="00FD703D">
              <w:rPr>
                <w:rFonts w:eastAsia="Calibri" w:cs="Times New Roman"/>
                <w:noProof/>
                <w:sz w:val="22"/>
                <w:szCs w:val="20"/>
                <w:lang w:val="en-GB"/>
              </w:rPr>
              <w:t>roles of the</w:t>
            </w:r>
            <w:r w:rsidR="6840955F" w:rsidRPr="00FD703D">
              <w:rPr>
                <w:rFonts w:eastAsia="Calibri" w:cs="Times New Roman"/>
                <w:noProof/>
                <w:sz w:val="22"/>
                <w:szCs w:val="20"/>
                <w:lang w:val="en-GB"/>
              </w:rPr>
              <w:t>ir</w:t>
            </w:r>
            <w:r w:rsidRPr="00FD703D">
              <w:rPr>
                <w:rFonts w:eastAsia="Calibri" w:cs="Times New Roman"/>
                <w:noProof/>
                <w:sz w:val="22"/>
                <w:szCs w:val="20"/>
                <w:lang w:val="en-GB"/>
              </w:rPr>
              <w:t xml:space="preserve"> governance bodies and management, their role in the social economy, </w:t>
            </w:r>
            <w:r w:rsidR="6840955F" w:rsidRPr="00FD703D">
              <w:rPr>
                <w:rFonts w:eastAsia="Calibri" w:cs="Times New Roman"/>
                <w:noProof/>
                <w:sz w:val="22"/>
                <w:szCs w:val="20"/>
                <w:lang w:val="en-GB"/>
              </w:rPr>
              <w:t>and</w:t>
            </w:r>
            <w:r w:rsidRPr="00FD703D">
              <w:rPr>
                <w:rFonts w:eastAsia="Calibri" w:cs="Times New Roman"/>
                <w:noProof/>
                <w:sz w:val="22"/>
                <w:szCs w:val="20"/>
                <w:lang w:val="en-GB"/>
              </w:rPr>
              <w:t xml:space="preserve"> the different relationship the farmer-members have toward their cooperatives compared to the </w:t>
            </w:r>
            <w:r w:rsidR="6840955F" w:rsidRPr="00FD703D">
              <w:rPr>
                <w:rFonts w:eastAsia="Calibri" w:cs="Times New Roman"/>
                <w:noProof/>
                <w:sz w:val="22"/>
                <w:szCs w:val="20"/>
                <w:lang w:val="en-GB"/>
              </w:rPr>
              <w:t xml:space="preserve">relationship between a </w:t>
            </w:r>
            <w:r w:rsidRPr="00FD703D">
              <w:rPr>
                <w:rFonts w:eastAsia="Calibri" w:cs="Times New Roman"/>
                <w:noProof/>
                <w:sz w:val="22"/>
                <w:szCs w:val="20"/>
                <w:lang w:val="en-GB"/>
              </w:rPr>
              <w:t xml:space="preserve">shareholder </w:t>
            </w:r>
            <w:r w:rsidR="6840955F" w:rsidRPr="00FD703D">
              <w:rPr>
                <w:rFonts w:eastAsia="Calibri" w:cs="Times New Roman"/>
                <w:noProof/>
                <w:sz w:val="22"/>
                <w:szCs w:val="20"/>
                <w:lang w:val="en-GB"/>
              </w:rPr>
              <w:t xml:space="preserve">and a </w:t>
            </w:r>
            <w:r w:rsidRPr="00FD703D">
              <w:rPr>
                <w:rFonts w:eastAsia="Calibri" w:cs="Times New Roman"/>
                <w:noProof/>
                <w:sz w:val="22"/>
                <w:szCs w:val="20"/>
                <w:lang w:val="en-GB"/>
              </w:rPr>
              <w:t>limited company</w:t>
            </w:r>
          </w:p>
        </w:tc>
        <w:tc>
          <w:tcPr>
            <w:tcW w:w="1530" w:type="dxa"/>
            <w:tcBorders>
              <w:bottom w:val="single" w:sz="4" w:space="0" w:color="auto"/>
            </w:tcBorders>
            <w:vAlign w:val="center"/>
          </w:tcPr>
          <w:p w14:paraId="1D93C019" w14:textId="603FD266" w:rsidR="009327C5" w:rsidRPr="00FD703D" w:rsidRDefault="009327C5" w:rsidP="009327C5">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2" w:type="dxa"/>
            <w:tcBorders>
              <w:bottom w:val="single" w:sz="4" w:space="0" w:color="auto"/>
            </w:tcBorders>
            <w:vAlign w:val="center"/>
          </w:tcPr>
          <w:p w14:paraId="483D4D3B" w14:textId="2BDBBABC" w:rsidR="009327C5" w:rsidRPr="00FD703D" w:rsidRDefault="009327C5" w:rsidP="004749EF">
            <w:pPr>
              <w:spacing w:after="60" w:line="259" w:lineRule="auto"/>
              <w:jc w:val="both"/>
              <w:rPr>
                <w:rFonts w:eastAsia="Calibri" w:cs="Times New Roman"/>
                <w:noProof/>
                <w:sz w:val="22"/>
                <w:lang w:val="en-GB"/>
              </w:rPr>
            </w:pPr>
            <w:r w:rsidRPr="00FD703D">
              <w:rPr>
                <w:rFonts w:eastAsia="Calibri" w:cs="Times New Roman"/>
                <w:noProof/>
                <w:sz w:val="22"/>
                <w:lang w:val="en-GB"/>
              </w:rPr>
              <w:t>All directors</w:t>
            </w:r>
            <w:r w:rsidR="00E16B80" w:rsidRPr="00FD703D">
              <w:rPr>
                <w:rFonts w:eastAsia="Calibri" w:cs="Times New Roman"/>
                <w:noProof/>
                <w:sz w:val="22"/>
                <w:lang w:val="en-GB"/>
              </w:rPr>
              <w:t>’</w:t>
            </w:r>
            <w:r w:rsidRPr="00FD703D">
              <w:rPr>
                <w:rFonts w:eastAsia="Calibri" w:cs="Times New Roman"/>
                <w:noProof/>
                <w:sz w:val="22"/>
                <w:lang w:val="en-GB"/>
              </w:rPr>
              <w:t xml:space="preserve"> duties have been </w:t>
            </w:r>
            <w:r w:rsidR="00E16B80" w:rsidRPr="00FD703D">
              <w:rPr>
                <w:rFonts w:eastAsia="Calibri" w:cs="Times New Roman"/>
                <w:noProof/>
                <w:sz w:val="22"/>
                <w:lang w:val="en-GB"/>
              </w:rPr>
              <w:t xml:space="preserve">deleted </w:t>
            </w:r>
            <w:r w:rsidRPr="00FD703D">
              <w:rPr>
                <w:rFonts w:eastAsia="Calibri" w:cs="Times New Roman"/>
                <w:noProof/>
                <w:sz w:val="22"/>
                <w:lang w:val="en-GB"/>
              </w:rPr>
              <w:t>in the final version of the Directive.</w:t>
            </w:r>
          </w:p>
        </w:tc>
      </w:tr>
      <w:tr w:rsidR="009327C5" w:rsidRPr="00FD703D" w14:paraId="6EC57391" w14:textId="77777777" w:rsidTr="001E38DF">
        <w:trPr>
          <w:trHeight w:val="300"/>
        </w:trPr>
        <w:tc>
          <w:tcPr>
            <w:tcW w:w="14487" w:type="dxa"/>
            <w:gridSpan w:val="4"/>
            <w:tcBorders>
              <w:bottom w:val="nil"/>
            </w:tcBorders>
            <w:shd w:val="clear" w:color="auto" w:fill="000099"/>
            <w:vAlign w:val="center"/>
          </w:tcPr>
          <w:p w14:paraId="650AEA25" w14:textId="01417E81" w:rsidR="009327C5" w:rsidRPr="00FD703D" w:rsidRDefault="475FCC43" w:rsidP="004749EF">
            <w:pPr>
              <w:spacing w:before="120" w:after="120"/>
              <w:jc w:val="center"/>
              <w:rPr>
                <w:rFonts w:eastAsia="Calibri" w:cs="Times New Roman"/>
                <w:noProof/>
                <w:sz w:val="22"/>
                <w:szCs w:val="20"/>
                <w:lang w:val="en-GB"/>
              </w:rPr>
            </w:pPr>
            <w:r w:rsidRPr="00FD703D">
              <w:rPr>
                <w:rFonts w:eastAsia="Calibri" w:cs="Times New Roman"/>
                <w:b/>
                <w:bCs/>
                <w:noProof/>
                <w:color w:val="FFFFFF" w:themeColor="background1"/>
                <w:sz w:val="22"/>
                <w:szCs w:val="20"/>
                <w:lang w:val="en-GB"/>
              </w:rPr>
              <w:t>Reporting under the CSRD Directive (Corporate Sustainability Reporting Directive</w:t>
            </w:r>
            <w:r w:rsidR="3BCBE8AF" w:rsidRPr="00FD703D">
              <w:rPr>
                <w:rFonts w:eastAsia="Calibri" w:cs="Times New Roman"/>
                <w:b/>
                <w:bCs/>
                <w:noProof/>
                <w:color w:val="FFFFFF" w:themeColor="background1"/>
                <w:sz w:val="22"/>
                <w:szCs w:val="20"/>
                <w:lang w:val="en-GB"/>
              </w:rPr>
              <w:t>, Directive (EU) 2022/2464</w:t>
            </w:r>
            <w:r w:rsidRPr="00FD703D">
              <w:rPr>
                <w:rFonts w:eastAsia="Calibri" w:cs="Times New Roman"/>
                <w:b/>
                <w:bCs/>
                <w:noProof/>
                <w:color w:val="FFFFFF" w:themeColor="background1"/>
                <w:sz w:val="22"/>
                <w:szCs w:val="20"/>
                <w:lang w:val="en-GB"/>
              </w:rPr>
              <w:t>)</w:t>
            </w:r>
          </w:p>
        </w:tc>
      </w:tr>
      <w:tr w:rsidR="009327C5" w:rsidRPr="00FD703D" w14:paraId="4500EFB9" w14:textId="77777777" w:rsidTr="001E38DF">
        <w:trPr>
          <w:trHeight w:val="300"/>
        </w:trPr>
        <w:tc>
          <w:tcPr>
            <w:tcW w:w="648" w:type="dxa"/>
            <w:tcBorders>
              <w:bottom w:val="single" w:sz="4" w:space="0" w:color="auto"/>
            </w:tcBorders>
            <w:vAlign w:val="center"/>
          </w:tcPr>
          <w:p w14:paraId="27EF719F" w14:textId="6B8A2BFB" w:rsidR="009327C5" w:rsidRPr="00FD703D" w:rsidRDefault="009327C5" w:rsidP="009327C5">
            <w:pPr>
              <w:spacing w:after="60"/>
              <w:jc w:val="both"/>
              <w:rPr>
                <w:rFonts w:eastAsia="Calibri" w:cs="Times New Roman"/>
                <w:b/>
                <w:bCs/>
                <w:noProof/>
                <w:sz w:val="22"/>
                <w:lang w:val="en-GB"/>
              </w:rPr>
            </w:pPr>
            <w:r w:rsidRPr="00FD703D">
              <w:rPr>
                <w:rFonts w:eastAsia="Calibri" w:cs="Times New Roman"/>
                <w:b/>
                <w:bCs/>
                <w:noProof/>
                <w:sz w:val="22"/>
                <w:lang w:val="en-GB"/>
              </w:rPr>
              <w:t>31</w:t>
            </w:r>
            <w:r w:rsidR="00E558D0">
              <w:rPr>
                <w:rFonts w:eastAsia="Calibri" w:cs="Times New Roman"/>
                <w:b/>
                <w:bCs/>
                <w:noProof/>
                <w:sz w:val="22"/>
                <w:lang w:val="en-GB"/>
              </w:rPr>
              <w:t>0</w:t>
            </w:r>
          </w:p>
        </w:tc>
        <w:tc>
          <w:tcPr>
            <w:tcW w:w="5917" w:type="dxa"/>
            <w:tcBorders>
              <w:bottom w:val="single" w:sz="4" w:space="0" w:color="auto"/>
            </w:tcBorders>
          </w:tcPr>
          <w:p w14:paraId="7A321007" w14:textId="279783C2" w:rsidR="009327C5" w:rsidRPr="00FD703D" w:rsidRDefault="475FCC43" w:rsidP="7E954136">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Voluntary standards:</w:t>
            </w:r>
            <w:r w:rsidRPr="00FD703D">
              <w:rPr>
                <w:rFonts w:eastAsia="Calibri" w:cs="Times New Roman"/>
                <w:noProof/>
                <w:sz w:val="22"/>
                <w:szCs w:val="20"/>
                <w:lang w:val="en-GB"/>
              </w:rPr>
              <w:t xml:space="preserve"> </w:t>
            </w:r>
            <w:r w:rsidR="4F2C96EA" w:rsidRPr="00FD703D">
              <w:rPr>
                <w:rFonts w:eastAsia="Calibri" w:cs="Times New Roman"/>
                <w:noProof/>
                <w:sz w:val="22"/>
                <w:szCs w:val="20"/>
                <w:lang w:val="en-GB"/>
              </w:rPr>
              <w:t>i</w:t>
            </w:r>
            <w:r w:rsidRPr="00FD703D">
              <w:rPr>
                <w:rFonts w:eastAsia="Calibri" w:cs="Times New Roman"/>
                <w:noProof/>
                <w:sz w:val="22"/>
                <w:szCs w:val="20"/>
                <w:lang w:val="en-GB"/>
              </w:rPr>
              <w:t xml:space="preserve">ntroduce voluntary standards for non-listed SMEs – such standards must be treated as a ceiling and take into consideration the very limited capacities of SMEs to dedicate resources to sustainability reporting. </w:t>
            </w:r>
          </w:p>
          <w:p w14:paraId="6D9DC8A9" w14:textId="7AA66B8F" w:rsidR="009327C5" w:rsidRPr="00FD703D" w:rsidRDefault="009327C5" w:rsidP="009327C5">
            <w:pPr>
              <w:spacing w:after="60" w:line="259" w:lineRule="auto"/>
              <w:jc w:val="both"/>
              <w:rPr>
                <w:rFonts w:eastAsia="Calibri" w:cs="Times New Roman"/>
                <w:noProof/>
                <w:sz w:val="22"/>
                <w:lang w:val="en-GB"/>
              </w:rPr>
            </w:pPr>
            <w:r w:rsidRPr="00FD703D">
              <w:rPr>
                <w:rFonts w:eastAsia="Calibri" w:cs="Times New Roman"/>
                <w:b/>
                <w:noProof/>
                <w:sz w:val="22"/>
                <w:lang w:val="en-GB"/>
              </w:rPr>
              <w:t>Sector standards</w:t>
            </w:r>
            <w:r w:rsidRPr="00FD703D">
              <w:rPr>
                <w:rFonts w:eastAsia="Calibri" w:cs="Times New Roman"/>
                <w:noProof/>
                <w:sz w:val="22"/>
                <w:lang w:val="en-GB"/>
              </w:rPr>
              <w:t>: the current NACE codes are concerning, as products can end up under different sectorial standards</w:t>
            </w:r>
            <w:r w:rsidR="00E16B80" w:rsidRPr="00FD703D">
              <w:rPr>
                <w:rFonts w:eastAsia="Calibri" w:cs="Times New Roman"/>
                <w:noProof/>
                <w:sz w:val="22"/>
                <w:lang w:val="en-GB"/>
              </w:rPr>
              <w:t>.</w:t>
            </w:r>
            <w:r w:rsidRPr="00FD703D">
              <w:rPr>
                <w:rFonts w:eastAsia="Calibri" w:cs="Times New Roman"/>
                <w:noProof/>
                <w:sz w:val="22"/>
                <w:lang w:val="en-GB"/>
              </w:rPr>
              <w:t xml:space="preserve"> Care </w:t>
            </w:r>
            <w:r w:rsidRPr="00FD703D">
              <w:rPr>
                <w:rFonts w:eastAsia="Calibri" w:cs="Times New Roman"/>
                <w:noProof/>
                <w:sz w:val="22"/>
                <w:lang w:val="en-GB"/>
              </w:rPr>
              <w:lastRenderedPageBreak/>
              <w:t>must be taken to avoid introducing unnecessary administrative complexities</w:t>
            </w:r>
            <w:r w:rsidR="00967CF8" w:rsidRPr="00FD703D">
              <w:rPr>
                <w:rFonts w:eastAsia="Calibri" w:cs="Times New Roman"/>
                <w:noProof/>
                <w:sz w:val="22"/>
                <w:lang w:val="en-GB"/>
              </w:rPr>
              <w:t xml:space="preserve"> </w:t>
            </w:r>
            <w:r w:rsidRPr="00FD703D">
              <w:rPr>
                <w:rFonts w:eastAsia="Calibri" w:cs="Times New Roman"/>
                <w:noProof/>
                <w:sz w:val="22"/>
                <w:lang w:val="en-GB"/>
              </w:rPr>
              <w:t xml:space="preserve">in the value chain. </w:t>
            </w:r>
          </w:p>
          <w:p w14:paraId="5927FFCB" w14:textId="77777777" w:rsidR="009327C5" w:rsidRPr="00FD703D" w:rsidRDefault="009327C5" w:rsidP="009327C5">
            <w:pPr>
              <w:spacing w:after="60" w:line="259" w:lineRule="auto"/>
              <w:jc w:val="both"/>
              <w:rPr>
                <w:rFonts w:eastAsia="Calibri" w:cs="Times New Roman"/>
                <w:b/>
                <w:noProof/>
                <w:sz w:val="22"/>
                <w:lang w:val="en-GB"/>
              </w:rPr>
            </w:pPr>
            <w:r w:rsidRPr="00FD703D">
              <w:rPr>
                <w:rFonts w:eastAsia="Calibri" w:cs="Times New Roman"/>
                <w:noProof/>
                <w:sz w:val="22"/>
                <w:lang w:val="en-GB"/>
              </w:rPr>
              <w:t xml:space="preserve">Ensure that there is alignment between </w:t>
            </w:r>
            <w:r w:rsidRPr="00FD703D">
              <w:rPr>
                <w:rFonts w:eastAsia="Calibri" w:cs="Times New Roman"/>
                <w:b/>
                <w:noProof/>
                <w:sz w:val="22"/>
                <w:lang w:val="en-GB"/>
              </w:rPr>
              <w:t xml:space="preserve">SME standards and sectoral standards.  </w:t>
            </w:r>
          </w:p>
          <w:p w14:paraId="6E8CE716" w14:textId="77777777" w:rsidR="009327C5" w:rsidRPr="00FD703D" w:rsidRDefault="009327C5" w:rsidP="009327C5">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Many of the </w:t>
            </w:r>
            <w:r w:rsidRPr="00FD703D">
              <w:rPr>
                <w:rFonts w:eastAsia="Calibri" w:cs="Times New Roman"/>
                <w:b/>
                <w:noProof/>
                <w:sz w:val="22"/>
                <w:lang w:val="en-GB"/>
              </w:rPr>
              <w:t>metrics</w:t>
            </w:r>
            <w:r w:rsidRPr="00FD703D">
              <w:rPr>
                <w:rFonts w:eastAsia="Calibri" w:cs="Times New Roman"/>
                <w:noProof/>
                <w:sz w:val="22"/>
                <w:lang w:val="en-GB"/>
              </w:rPr>
              <w:t xml:space="preserve"> in the standards are unclear and poorly defined in the environmental context.</w:t>
            </w:r>
          </w:p>
          <w:p w14:paraId="2E8A16C0" w14:textId="12C25536" w:rsidR="009327C5" w:rsidRPr="00FD703D" w:rsidRDefault="009327C5" w:rsidP="009327C5">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Risk of double reporting: </w:t>
            </w:r>
            <w:r w:rsidR="00E16B80" w:rsidRPr="00FD703D">
              <w:rPr>
                <w:rFonts w:eastAsia="Calibri" w:cs="Times New Roman"/>
                <w:noProof/>
                <w:sz w:val="22"/>
                <w:lang w:val="en-GB"/>
              </w:rPr>
              <w:t>t</w:t>
            </w:r>
            <w:r w:rsidRPr="00FD703D">
              <w:rPr>
                <w:rFonts w:eastAsia="Calibri" w:cs="Times New Roman"/>
                <w:noProof/>
                <w:sz w:val="22"/>
                <w:lang w:val="en-GB"/>
              </w:rPr>
              <w:t xml:space="preserve">here is a lack of </w:t>
            </w:r>
            <w:r w:rsidR="00E16B80" w:rsidRPr="00FD703D">
              <w:rPr>
                <w:rFonts w:eastAsia="Calibri" w:cs="Times New Roman"/>
                <w:noProof/>
                <w:sz w:val="22"/>
                <w:lang w:val="en-GB"/>
              </w:rPr>
              <w:t xml:space="preserve">consistency </w:t>
            </w:r>
            <w:r w:rsidRPr="00FD703D">
              <w:rPr>
                <w:rFonts w:eastAsia="Calibri" w:cs="Times New Roman"/>
                <w:noProof/>
                <w:sz w:val="22"/>
                <w:lang w:val="en-GB"/>
              </w:rPr>
              <w:t xml:space="preserve">between current </w:t>
            </w:r>
            <w:r w:rsidRPr="00FD703D">
              <w:rPr>
                <w:rFonts w:eastAsia="Calibri" w:cs="Times New Roman"/>
                <w:b/>
                <w:bCs/>
                <w:noProof/>
                <w:sz w:val="22"/>
                <w:lang w:val="en-GB"/>
              </w:rPr>
              <w:t>reporting</w:t>
            </w:r>
            <w:r w:rsidRPr="00FD703D">
              <w:rPr>
                <w:rFonts w:eastAsia="Calibri" w:cs="Times New Roman"/>
                <w:noProof/>
                <w:sz w:val="22"/>
                <w:lang w:val="en-GB"/>
              </w:rPr>
              <w:t xml:space="preserve"> at the company level under the EU's environmental regulation and CSRD reporting.  </w:t>
            </w:r>
          </w:p>
          <w:p w14:paraId="0297A2FD" w14:textId="16BBE7B2" w:rsidR="009327C5" w:rsidRPr="00FD703D" w:rsidRDefault="009327C5" w:rsidP="009327C5">
            <w:pPr>
              <w:spacing w:after="60" w:line="259" w:lineRule="auto"/>
              <w:jc w:val="both"/>
              <w:rPr>
                <w:rFonts w:eastAsia="Calibri" w:cs="Times New Roman"/>
                <w:noProof/>
                <w:sz w:val="22"/>
                <w:lang w:val="en-GB"/>
              </w:rPr>
            </w:pPr>
            <w:r w:rsidRPr="00FD703D">
              <w:rPr>
                <w:rFonts w:eastAsia="Calibri" w:cs="Times New Roman"/>
                <w:noProof/>
                <w:sz w:val="22"/>
                <w:lang w:val="en-GB"/>
              </w:rPr>
              <w:t>There is a revision of reporting at the company level under the EU's environmental regulation (</w:t>
            </w:r>
            <w:r w:rsidR="00E16B80" w:rsidRPr="00FD703D">
              <w:rPr>
                <w:rFonts w:eastAsia="Calibri" w:cs="Times New Roman"/>
                <w:noProof/>
                <w:sz w:val="22"/>
                <w:lang w:val="en-GB"/>
              </w:rPr>
              <w:t xml:space="preserve">the </w:t>
            </w:r>
            <w:r w:rsidRPr="00FD703D">
              <w:rPr>
                <w:rFonts w:eastAsia="Calibri" w:cs="Times New Roman"/>
                <w:noProof/>
                <w:sz w:val="22"/>
                <w:lang w:val="en-GB"/>
              </w:rPr>
              <w:t xml:space="preserve">new </w:t>
            </w:r>
            <w:r w:rsidR="00E16B80" w:rsidRPr="00FD703D">
              <w:rPr>
                <w:rFonts w:eastAsia="Calibri" w:cs="Times New Roman"/>
                <w:b/>
                <w:bCs/>
                <w:noProof/>
                <w:sz w:val="22"/>
                <w:lang w:val="en-GB"/>
              </w:rPr>
              <w:t>European</w:t>
            </w:r>
            <w:r w:rsidR="00E16B80" w:rsidRPr="00FD703D">
              <w:rPr>
                <w:rFonts w:eastAsia="Calibri" w:cs="Times New Roman"/>
                <w:noProof/>
                <w:sz w:val="22"/>
                <w:lang w:val="en-GB"/>
              </w:rPr>
              <w:t xml:space="preserve"> </w:t>
            </w:r>
            <w:r w:rsidRPr="00FD703D">
              <w:rPr>
                <w:rFonts w:eastAsia="Calibri" w:cs="Times New Roman"/>
                <w:b/>
                <w:noProof/>
                <w:sz w:val="22"/>
                <w:lang w:val="en-GB"/>
              </w:rPr>
              <w:t>Industrial Emission</w:t>
            </w:r>
            <w:r w:rsidR="00E16B80" w:rsidRPr="00FD703D">
              <w:rPr>
                <w:rFonts w:eastAsia="Calibri" w:cs="Times New Roman"/>
                <w:b/>
                <w:noProof/>
                <w:sz w:val="22"/>
                <w:lang w:val="en-GB"/>
              </w:rPr>
              <w:t>s</w:t>
            </w:r>
            <w:r w:rsidRPr="00FD703D">
              <w:rPr>
                <w:rFonts w:eastAsia="Calibri" w:cs="Times New Roman"/>
                <w:b/>
                <w:noProof/>
                <w:sz w:val="22"/>
                <w:lang w:val="en-GB"/>
              </w:rPr>
              <w:t xml:space="preserve"> Portal</w:t>
            </w:r>
            <w:r w:rsidRPr="00FD703D">
              <w:rPr>
                <w:rFonts w:eastAsia="Calibri" w:cs="Times New Roman"/>
                <w:noProof/>
                <w:sz w:val="22"/>
                <w:lang w:val="en-GB"/>
              </w:rPr>
              <w:t xml:space="preserve">) without it being coordinated with CSRD reporting. </w:t>
            </w:r>
          </w:p>
          <w:p w14:paraId="0E547238" w14:textId="77777777" w:rsidR="009327C5" w:rsidRPr="00FD703D" w:rsidRDefault="009327C5" w:rsidP="009327C5">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Increased costs for </w:t>
            </w:r>
            <w:r w:rsidRPr="00FD703D">
              <w:rPr>
                <w:rFonts w:eastAsia="Calibri" w:cs="Times New Roman"/>
                <w:b/>
                <w:noProof/>
                <w:sz w:val="22"/>
                <w:lang w:val="en-GB"/>
              </w:rPr>
              <w:t>auditing</w:t>
            </w:r>
            <w:r w:rsidRPr="00FD703D">
              <w:rPr>
                <w:rFonts w:eastAsia="Calibri" w:cs="Times New Roman"/>
                <w:noProof/>
                <w:sz w:val="22"/>
                <w:lang w:val="en-GB"/>
              </w:rPr>
              <w:t xml:space="preserve"> sustainability reporting. </w:t>
            </w:r>
          </w:p>
          <w:p w14:paraId="27E6A2A0" w14:textId="58AE8B90" w:rsidR="009327C5" w:rsidRPr="00FD703D" w:rsidRDefault="009327C5" w:rsidP="009327C5">
            <w:pPr>
              <w:spacing w:after="60"/>
              <w:jc w:val="both"/>
              <w:rPr>
                <w:rFonts w:eastAsia="Calibri" w:cs="Times New Roman"/>
                <w:b/>
                <w:bCs/>
                <w:noProof/>
                <w:sz w:val="22"/>
                <w:lang w:val="en-GB"/>
              </w:rPr>
            </w:pPr>
            <w:r w:rsidRPr="00FD703D">
              <w:rPr>
                <w:rFonts w:eastAsia="Calibri" w:cs="Times New Roman"/>
                <w:b/>
                <w:noProof/>
                <w:sz w:val="22"/>
                <w:lang w:val="en-GB"/>
              </w:rPr>
              <w:t>Overall</w:t>
            </w:r>
            <w:r w:rsidRPr="00FD703D">
              <w:rPr>
                <w:rFonts w:eastAsia="Calibri" w:cs="Times New Roman"/>
                <w:noProof/>
                <w:sz w:val="22"/>
                <w:lang w:val="en-GB"/>
              </w:rPr>
              <w:t>, the above contributions are seen to lead to significant costs and a lot of hassle for businesses.</w:t>
            </w:r>
          </w:p>
        </w:tc>
        <w:tc>
          <w:tcPr>
            <w:tcW w:w="1530" w:type="dxa"/>
            <w:tcBorders>
              <w:bottom w:val="single" w:sz="4" w:space="0" w:color="auto"/>
            </w:tcBorders>
            <w:vAlign w:val="center"/>
          </w:tcPr>
          <w:p w14:paraId="55F9A100" w14:textId="3B2CED27" w:rsidR="009327C5" w:rsidRPr="00FD703D" w:rsidRDefault="009327C5" w:rsidP="009327C5">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lastRenderedPageBreak/>
              <w:t>COPA-COGECA</w:t>
            </w:r>
          </w:p>
        </w:tc>
        <w:tc>
          <w:tcPr>
            <w:tcW w:w="6392" w:type="dxa"/>
            <w:tcBorders>
              <w:bottom w:val="single" w:sz="4" w:space="0" w:color="auto"/>
            </w:tcBorders>
          </w:tcPr>
          <w:p w14:paraId="4592C2D7" w14:textId="444BA3C7" w:rsidR="009327C5" w:rsidRPr="00FD703D" w:rsidRDefault="009327C5" w:rsidP="009327C5">
            <w:pPr>
              <w:spacing w:after="60" w:line="259" w:lineRule="auto"/>
              <w:jc w:val="both"/>
              <w:rPr>
                <w:rFonts w:eastAsia="Calibri" w:cs="Times New Roman"/>
                <w:noProof/>
                <w:sz w:val="22"/>
                <w:lang w:val="en-GB"/>
              </w:rPr>
            </w:pPr>
            <w:r w:rsidRPr="00FD703D">
              <w:rPr>
                <w:rFonts w:eastAsia="Calibri" w:cs="Times New Roman"/>
                <w:b/>
                <w:noProof/>
                <w:sz w:val="22"/>
                <w:lang w:val="en-GB"/>
              </w:rPr>
              <w:t>Voluntary standards for non-listed SMEs</w:t>
            </w:r>
            <w:r w:rsidRPr="00FD703D">
              <w:rPr>
                <w:rFonts w:eastAsia="Calibri" w:cs="Times New Roman"/>
                <w:noProof/>
                <w:sz w:val="22"/>
                <w:lang w:val="en-GB"/>
              </w:rPr>
              <w:t xml:space="preserve">: </w:t>
            </w:r>
            <w:r w:rsidR="00E81398" w:rsidRPr="00FD703D">
              <w:rPr>
                <w:rFonts w:eastAsia="Calibri" w:cs="Times New Roman"/>
                <w:noProof/>
                <w:sz w:val="22"/>
                <w:lang w:val="en-GB"/>
              </w:rPr>
              <w:t>t</w:t>
            </w:r>
            <w:r w:rsidRPr="00FD703D">
              <w:rPr>
                <w:rFonts w:eastAsia="Calibri" w:cs="Times New Roman"/>
                <w:noProof/>
                <w:sz w:val="22"/>
                <w:lang w:val="en-GB"/>
              </w:rPr>
              <w:t xml:space="preserve">he Commission expects to publish such standards next year, taking account of the capacities and resources of SMEs. </w:t>
            </w:r>
          </w:p>
          <w:p w14:paraId="7EA02AC9" w14:textId="3A139352" w:rsidR="00897844" w:rsidRDefault="009327C5" w:rsidP="009327C5">
            <w:pPr>
              <w:spacing w:after="60" w:line="259" w:lineRule="auto"/>
              <w:jc w:val="both"/>
              <w:rPr>
                <w:rFonts w:eastAsia="Calibri" w:cs="Times New Roman"/>
                <w:noProof/>
                <w:sz w:val="22"/>
                <w:lang w:val="en-GB"/>
              </w:rPr>
            </w:pPr>
            <w:r w:rsidRPr="00FD703D">
              <w:rPr>
                <w:rFonts w:eastAsia="Calibri" w:cs="Times New Roman"/>
                <w:b/>
                <w:noProof/>
                <w:sz w:val="22"/>
                <w:lang w:val="en-GB"/>
              </w:rPr>
              <w:t>Sector standards</w:t>
            </w:r>
            <w:r w:rsidRPr="00FD703D">
              <w:rPr>
                <w:rFonts w:eastAsia="Calibri" w:cs="Times New Roman"/>
                <w:noProof/>
                <w:sz w:val="22"/>
                <w:lang w:val="en-GB"/>
              </w:rPr>
              <w:t xml:space="preserve">: </w:t>
            </w:r>
            <w:r w:rsidR="00897844" w:rsidRPr="00897844">
              <w:rPr>
                <w:rFonts w:eastAsia="Calibri" w:cs="Times New Roman"/>
                <w:noProof/>
                <w:sz w:val="22"/>
                <w:lang w:val="en-GB"/>
              </w:rPr>
              <w:t xml:space="preserve">the Commission will consider how </w:t>
            </w:r>
            <w:r w:rsidR="00897844">
              <w:rPr>
                <w:rFonts w:eastAsia="Calibri" w:cs="Times New Roman"/>
                <w:noProof/>
                <w:sz w:val="22"/>
                <w:lang w:val="en-GB"/>
              </w:rPr>
              <w:t xml:space="preserve">to </w:t>
            </w:r>
            <w:r w:rsidR="00897844" w:rsidRPr="00897844">
              <w:rPr>
                <w:rFonts w:eastAsia="Calibri" w:cs="Times New Roman"/>
                <w:noProof/>
                <w:sz w:val="22"/>
                <w:lang w:val="en-GB"/>
              </w:rPr>
              <w:t>proceed with the development of sector standards</w:t>
            </w:r>
            <w:r w:rsidR="00897844">
              <w:rPr>
                <w:rFonts w:eastAsia="Calibri" w:cs="Times New Roman"/>
                <w:noProof/>
                <w:sz w:val="22"/>
                <w:lang w:val="en-GB"/>
              </w:rPr>
              <w:t>.</w:t>
            </w:r>
          </w:p>
          <w:p w14:paraId="6279555C" w14:textId="561F0DF5" w:rsidR="009327C5" w:rsidRPr="00FD703D" w:rsidRDefault="009327C5" w:rsidP="00FF21C5">
            <w:pPr>
              <w:spacing w:after="60" w:line="22" w:lineRule="atLeast"/>
              <w:jc w:val="both"/>
              <w:rPr>
                <w:rFonts w:eastAsia="Calibri" w:cs="Times New Roman"/>
                <w:noProof/>
                <w:sz w:val="22"/>
                <w:lang w:val="en-GB"/>
              </w:rPr>
            </w:pPr>
            <w:r w:rsidRPr="00FD703D">
              <w:rPr>
                <w:rFonts w:eastAsia="Calibri" w:cs="Times New Roman"/>
                <w:b/>
                <w:noProof/>
                <w:sz w:val="22"/>
                <w:lang w:val="en-GB"/>
              </w:rPr>
              <w:lastRenderedPageBreak/>
              <w:t>Alignment between SME standards and sector standards</w:t>
            </w:r>
            <w:r w:rsidRPr="00FD703D">
              <w:rPr>
                <w:rFonts w:eastAsia="Calibri" w:cs="Times New Roman"/>
                <w:noProof/>
                <w:sz w:val="22"/>
                <w:lang w:val="en-GB"/>
              </w:rPr>
              <w:t xml:space="preserve">: </w:t>
            </w:r>
            <w:r w:rsidR="00F352B3">
              <w:rPr>
                <w:rFonts w:eastAsia="Calibri" w:cs="Times New Roman"/>
                <w:noProof/>
                <w:sz w:val="22"/>
                <w:lang w:val="en-GB"/>
              </w:rPr>
              <w:t>The Commission and the</w:t>
            </w:r>
            <w:r w:rsidR="00F352B3" w:rsidRPr="00FD703D">
              <w:rPr>
                <w:rFonts w:eastAsia="Calibri" w:cs="Times New Roman"/>
                <w:noProof/>
                <w:sz w:val="22"/>
                <w:lang w:val="en-GB"/>
              </w:rPr>
              <w:t xml:space="preserve"> European Financial Reporting Advisory Group</w:t>
            </w:r>
            <w:r w:rsidR="00F352B3">
              <w:rPr>
                <w:rFonts w:eastAsia="Calibri" w:cs="Times New Roman"/>
                <w:noProof/>
                <w:sz w:val="22"/>
                <w:lang w:val="en-GB"/>
              </w:rPr>
              <w:t xml:space="preserve"> </w:t>
            </w:r>
            <w:r w:rsidR="00723139">
              <w:rPr>
                <w:rFonts w:eastAsia="Calibri" w:cs="Times New Roman"/>
                <w:noProof/>
                <w:sz w:val="22"/>
                <w:lang w:val="en-GB"/>
              </w:rPr>
              <w:t>(</w:t>
            </w:r>
            <w:r w:rsidRPr="00FD703D">
              <w:rPr>
                <w:rFonts w:eastAsia="Calibri" w:cs="Times New Roman"/>
                <w:noProof/>
                <w:sz w:val="22"/>
                <w:lang w:val="en-GB"/>
              </w:rPr>
              <w:t>EFRAG</w:t>
            </w:r>
            <w:r w:rsidR="00723139">
              <w:rPr>
                <w:rFonts w:eastAsia="Calibri" w:cs="Times New Roman"/>
                <w:noProof/>
                <w:sz w:val="22"/>
                <w:lang w:val="en-GB"/>
              </w:rPr>
              <w:t>)</w:t>
            </w:r>
            <w:r w:rsidRPr="00FD703D">
              <w:rPr>
                <w:rFonts w:eastAsia="Calibri" w:cs="Times New Roman"/>
                <w:noProof/>
                <w:sz w:val="22"/>
                <w:lang w:val="en-GB"/>
              </w:rPr>
              <w:t xml:space="preserve"> </w:t>
            </w:r>
            <w:r w:rsidR="00A82EF9">
              <w:rPr>
                <w:rFonts w:eastAsia="Calibri" w:cs="Times New Roman"/>
                <w:noProof/>
                <w:sz w:val="22"/>
                <w:lang w:val="en-GB"/>
              </w:rPr>
              <w:t>will ensure adequate</w:t>
            </w:r>
            <w:r w:rsidR="00D94755">
              <w:rPr>
                <w:rFonts w:eastAsia="Calibri" w:cs="Times New Roman"/>
                <w:noProof/>
                <w:sz w:val="22"/>
                <w:lang w:val="en-GB"/>
              </w:rPr>
              <w:t xml:space="preserve"> </w:t>
            </w:r>
            <w:r w:rsidRPr="00FD703D">
              <w:rPr>
                <w:rFonts w:eastAsia="Calibri" w:cs="Times New Roman"/>
                <w:noProof/>
                <w:sz w:val="22"/>
                <w:lang w:val="en-GB"/>
              </w:rPr>
              <w:t xml:space="preserve">links between these two dimensions.  </w:t>
            </w:r>
          </w:p>
          <w:p w14:paraId="63CC9C89" w14:textId="77777777" w:rsidR="009327C5" w:rsidRPr="00FD703D" w:rsidRDefault="009327C5" w:rsidP="00FF21C5">
            <w:pPr>
              <w:spacing w:after="60" w:line="22" w:lineRule="atLeast"/>
              <w:jc w:val="both"/>
              <w:rPr>
                <w:rFonts w:eastAsia="Calibri" w:cs="Times New Roman"/>
                <w:noProof/>
                <w:sz w:val="22"/>
                <w:lang w:val="en-GB"/>
              </w:rPr>
            </w:pPr>
            <w:r w:rsidRPr="00FD703D">
              <w:rPr>
                <w:rFonts w:eastAsia="Calibri" w:cs="Times New Roman"/>
                <w:b/>
                <w:noProof/>
                <w:sz w:val="22"/>
                <w:lang w:val="en-GB"/>
              </w:rPr>
              <w:t>Metrics</w:t>
            </w:r>
            <w:r w:rsidRPr="00FD703D">
              <w:rPr>
                <w:rFonts w:eastAsia="Calibri" w:cs="Times New Roman"/>
                <w:noProof/>
                <w:sz w:val="22"/>
                <w:lang w:val="en-GB"/>
              </w:rPr>
              <w:t xml:space="preserve">: EFRAG has established an online Q&amp;A platform where companies can ask for specific advice. EFRAG can also publish additional implementation guidance. </w:t>
            </w:r>
          </w:p>
          <w:p w14:paraId="3B9E261C" w14:textId="60AC79DA" w:rsidR="009327C5" w:rsidRPr="00FD703D" w:rsidRDefault="00E16B80" w:rsidP="00FF21C5">
            <w:pPr>
              <w:spacing w:after="60" w:line="22" w:lineRule="atLeast"/>
              <w:jc w:val="both"/>
              <w:rPr>
                <w:rFonts w:eastAsia="Calibri" w:cs="Times New Roman"/>
                <w:noProof/>
                <w:sz w:val="22"/>
                <w:lang w:val="en-GB"/>
              </w:rPr>
            </w:pPr>
            <w:r w:rsidRPr="00FD703D">
              <w:rPr>
                <w:rFonts w:eastAsia="Calibri" w:cs="Times New Roman"/>
                <w:b/>
                <w:noProof/>
                <w:sz w:val="22"/>
                <w:lang w:val="en-GB"/>
              </w:rPr>
              <w:t xml:space="preserve">Consistency </w:t>
            </w:r>
            <w:r w:rsidR="009327C5" w:rsidRPr="00FD703D">
              <w:rPr>
                <w:rFonts w:eastAsia="Calibri" w:cs="Times New Roman"/>
                <w:b/>
                <w:noProof/>
                <w:sz w:val="22"/>
                <w:lang w:val="en-GB"/>
              </w:rPr>
              <w:t>with EU environmental legislation</w:t>
            </w:r>
            <w:r w:rsidR="009327C5" w:rsidRPr="00FD703D">
              <w:rPr>
                <w:rFonts w:eastAsia="Calibri" w:cs="Times New Roman"/>
                <w:noProof/>
                <w:sz w:val="22"/>
                <w:lang w:val="en-GB"/>
              </w:rPr>
              <w:t>:</w:t>
            </w:r>
            <w:r w:rsidR="00967CF8" w:rsidRPr="00FD703D">
              <w:rPr>
                <w:rFonts w:eastAsia="Calibri" w:cs="Times New Roman"/>
                <w:noProof/>
                <w:sz w:val="22"/>
                <w:lang w:val="en-GB"/>
              </w:rPr>
              <w:t xml:space="preserve"> </w:t>
            </w:r>
            <w:r w:rsidR="009327C5" w:rsidRPr="00FD703D">
              <w:rPr>
                <w:rFonts w:eastAsia="Calibri" w:cs="Times New Roman"/>
                <w:noProof/>
                <w:sz w:val="22"/>
                <w:lang w:val="en-GB"/>
              </w:rPr>
              <w:t xml:space="preserve">EFRAG and the Commission took care to ensure adequate </w:t>
            </w:r>
            <w:r w:rsidRPr="00FD703D">
              <w:rPr>
                <w:rFonts w:eastAsia="Calibri" w:cs="Times New Roman"/>
                <w:noProof/>
                <w:sz w:val="22"/>
                <w:lang w:val="en-GB"/>
              </w:rPr>
              <w:t xml:space="preserve">consistency </w:t>
            </w:r>
            <w:r w:rsidR="009327C5" w:rsidRPr="00FD703D">
              <w:rPr>
                <w:rFonts w:eastAsia="Calibri" w:cs="Times New Roman"/>
                <w:noProof/>
                <w:sz w:val="22"/>
                <w:lang w:val="en-GB"/>
              </w:rPr>
              <w:t xml:space="preserve">but remain open to examine specific issues if they are highlighted by stakeholders.  </w:t>
            </w:r>
          </w:p>
          <w:p w14:paraId="3D28E10E" w14:textId="55C4E49C" w:rsidR="009327C5" w:rsidRPr="00FD703D" w:rsidRDefault="475FCC43" w:rsidP="00FF21C5">
            <w:pPr>
              <w:spacing w:after="60" w:line="22" w:lineRule="atLeast"/>
              <w:jc w:val="both"/>
              <w:rPr>
                <w:rFonts w:eastAsia="Calibri" w:cs="Times New Roman"/>
                <w:noProof/>
                <w:sz w:val="22"/>
                <w:szCs w:val="20"/>
                <w:lang w:val="en-GB"/>
              </w:rPr>
            </w:pPr>
            <w:r w:rsidRPr="00FD703D">
              <w:rPr>
                <w:rFonts w:eastAsia="Calibri" w:cs="Times New Roman"/>
                <w:b/>
                <w:bCs/>
                <w:noProof/>
                <w:sz w:val="22"/>
                <w:szCs w:val="20"/>
                <w:lang w:val="en-GB"/>
              </w:rPr>
              <w:t>Industrial Emission</w:t>
            </w:r>
            <w:r w:rsidR="6840955F" w:rsidRPr="00FD703D">
              <w:rPr>
                <w:rFonts w:eastAsia="Calibri" w:cs="Times New Roman"/>
                <w:b/>
                <w:bCs/>
                <w:noProof/>
                <w:sz w:val="22"/>
                <w:szCs w:val="20"/>
                <w:lang w:val="en-GB"/>
              </w:rPr>
              <w:t>s</w:t>
            </w:r>
            <w:r w:rsidRPr="00FD703D">
              <w:rPr>
                <w:rFonts w:eastAsia="Calibri" w:cs="Times New Roman"/>
                <w:b/>
                <w:bCs/>
                <w:noProof/>
                <w:sz w:val="22"/>
                <w:szCs w:val="20"/>
                <w:lang w:val="en-GB"/>
              </w:rPr>
              <w:t xml:space="preserve"> Portal</w:t>
            </w:r>
            <w:r w:rsidRPr="00FD703D">
              <w:rPr>
                <w:rFonts w:eastAsia="Calibri" w:cs="Times New Roman"/>
                <w:noProof/>
                <w:sz w:val="22"/>
                <w:szCs w:val="20"/>
                <w:lang w:val="en-GB"/>
              </w:rPr>
              <w:t xml:space="preserve">: </w:t>
            </w:r>
            <w:r w:rsidR="00E81398" w:rsidRPr="00FD703D">
              <w:rPr>
                <w:rFonts w:eastAsia="Calibri" w:cs="Times New Roman"/>
                <w:noProof/>
                <w:sz w:val="22"/>
                <w:szCs w:val="20"/>
                <w:lang w:val="en-GB"/>
              </w:rPr>
              <w:t>d</w:t>
            </w:r>
            <w:r w:rsidRPr="00FD703D">
              <w:rPr>
                <w:rFonts w:eastAsia="Calibri" w:cs="Times New Roman"/>
                <w:noProof/>
                <w:sz w:val="22"/>
                <w:szCs w:val="20"/>
                <w:lang w:val="en-GB"/>
              </w:rPr>
              <w:t xml:space="preserve">ata on </w:t>
            </w:r>
            <w:r w:rsidR="6840955F" w:rsidRPr="00FD703D">
              <w:rPr>
                <w:rFonts w:eastAsia="Calibri" w:cs="Times New Roman"/>
                <w:noProof/>
                <w:sz w:val="22"/>
                <w:szCs w:val="20"/>
                <w:lang w:val="en-GB"/>
              </w:rPr>
              <w:t xml:space="preserve">the </w:t>
            </w:r>
            <w:r w:rsidRPr="00FD703D">
              <w:rPr>
                <w:rFonts w:eastAsia="Calibri" w:cs="Times New Roman"/>
                <w:noProof/>
                <w:sz w:val="22"/>
                <w:szCs w:val="20"/>
                <w:lang w:val="en-GB"/>
              </w:rPr>
              <w:t>environmental impacts of the biggest European industrial installations have been reported by economic operators and published for more than 15 years under Regulation (EC) 166/2006 and</w:t>
            </w:r>
            <w:r w:rsidR="6840955F" w:rsidRPr="00FD703D">
              <w:rPr>
                <w:rFonts w:eastAsia="Calibri" w:cs="Times New Roman"/>
                <w:noProof/>
                <w:sz w:val="22"/>
                <w:szCs w:val="20"/>
                <w:lang w:val="en-GB"/>
              </w:rPr>
              <w:t>,</w:t>
            </w:r>
            <w:r w:rsidRPr="00FD703D">
              <w:rPr>
                <w:rFonts w:eastAsia="Calibri" w:cs="Times New Roman"/>
                <w:noProof/>
                <w:sz w:val="22"/>
                <w:szCs w:val="20"/>
                <w:lang w:val="en-GB"/>
              </w:rPr>
              <w:t xml:space="preserve"> as from 2028, under the IEPR (Regulation (EU)</w:t>
            </w:r>
            <w:r w:rsidR="32E41813" w:rsidRPr="00FD703D">
              <w:rPr>
                <w:rFonts w:eastAsia="Calibri" w:cs="Times New Roman"/>
                <w:noProof/>
                <w:sz w:val="22"/>
                <w:szCs w:val="20"/>
                <w:lang w:val="en-GB"/>
              </w:rPr>
              <w:t xml:space="preserve"> </w:t>
            </w:r>
            <w:r w:rsidRPr="00FD703D">
              <w:rPr>
                <w:rFonts w:eastAsia="Calibri" w:cs="Times New Roman"/>
                <w:noProof/>
                <w:sz w:val="22"/>
                <w:szCs w:val="20"/>
                <w:lang w:val="en-GB"/>
              </w:rPr>
              <w:t>2024/1244 repealing the E-PRTR). This data will serve companies as a robust source of information when preparing consolidated reports under the CSRD. The Regulation introduces an option for a simplified reporting for livestock and aquaculture sectors to reduce the reporting burden.</w:t>
            </w:r>
          </w:p>
          <w:p w14:paraId="644EAA9A" w14:textId="37FCD37F" w:rsidR="009327C5" w:rsidRPr="00FD703D" w:rsidRDefault="411CB93A" w:rsidP="00FF21C5">
            <w:pPr>
              <w:spacing w:after="60" w:line="22" w:lineRule="atLeast"/>
              <w:jc w:val="both"/>
              <w:rPr>
                <w:rFonts w:eastAsia="Calibri" w:cs="Times New Roman"/>
                <w:noProof/>
                <w:sz w:val="22"/>
                <w:szCs w:val="20"/>
                <w:lang w:val="en-IE"/>
              </w:rPr>
            </w:pPr>
            <w:r w:rsidRPr="00FD703D">
              <w:rPr>
                <w:rFonts w:eastAsia="Calibri" w:cs="Times New Roman"/>
                <w:b/>
                <w:noProof/>
                <w:sz w:val="22"/>
                <w:szCs w:val="20"/>
                <w:lang w:val="en-IE"/>
              </w:rPr>
              <w:t>Audit</w:t>
            </w:r>
            <w:r w:rsidRPr="00FD703D">
              <w:rPr>
                <w:rFonts w:eastAsia="Calibri" w:cs="Times New Roman"/>
                <w:noProof/>
                <w:sz w:val="22"/>
                <w:szCs w:val="20"/>
                <w:lang w:val="en-IE"/>
              </w:rPr>
              <w:t xml:space="preserve">: the co-legislators decided in the CSRD that sustainability reporting should be subject to assurance (audit) and this indeed implies costs for companies. </w:t>
            </w:r>
            <w:r w:rsidR="00967CF8" w:rsidRPr="00FD703D">
              <w:rPr>
                <w:rFonts w:eastAsia="Calibri" w:cs="Times New Roman"/>
                <w:noProof/>
                <w:sz w:val="22"/>
                <w:szCs w:val="20"/>
                <w:lang w:val="en-IE"/>
              </w:rPr>
              <w:t>However,</w:t>
            </w:r>
            <w:r w:rsidRPr="00FD703D">
              <w:rPr>
                <w:rFonts w:eastAsia="Calibri" w:cs="Times New Roman"/>
                <w:noProof/>
                <w:sz w:val="22"/>
                <w:szCs w:val="20"/>
                <w:lang w:val="en-IE"/>
              </w:rPr>
              <w:t xml:space="preserve"> the Directive starts with a lower and less costly level of assurance (limited assurance</w:t>
            </w:r>
            <w:r w:rsidR="4D344DCD" w:rsidRPr="00FD703D">
              <w:rPr>
                <w:rFonts w:eastAsia="Calibri" w:cs="Times New Roman"/>
                <w:noProof/>
                <w:sz w:val="22"/>
                <w:szCs w:val="20"/>
                <w:lang w:val="en-IE"/>
              </w:rPr>
              <w:t>’</w:t>
            </w:r>
            <w:r w:rsidRPr="00FD703D">
              <w:rPr>
                <w:rFonts w:eastAsia="Calibri" w:cs="Times New Roman"/>
                <w:noProof/>
                <w:sz w:val="22"/>
                <w:szCs w:val="20"/>
                <w:lang w:val="en-IE"/>
              </w:rPr>
              <w:t>), moving only to a higher level of assurance (</w:t>
            </w:r>
            <w:r w:rsidR="4D344DCD" w:rsidRPr="00FD703D">
              <w:rPr>
                <w:rFonts w:eastAsia="Calibri" w:cs="Times New Roman"/>
                <w:noProof/>
                <w:sz w:val="22"/>
                <w:szCs w:val="20"/>
                <w:lang w:val="en-IE"/>
              </w:rPr>
              <w:t>‘</w:t>
            </w:r>
            <w:r w:rsidRPr="00FD703D">
              <w:rPr>
                <w:rFonts w:eastAsia="Calibri" w:cs="Times New Roman"/>
                <w:noProof/>
                <w:sz w:val="22"/>
                <w:szCs w:val="20"/>
                <w:lang w:val="en-IE"/>
              </w:rPr>
              <w:t>reasonable assurance</w:t>
            </w:r>
            <w:r w:rsidR="4D344DCD" w:rsidRPr="00FD703D">
              <w:rPr>
                <w:rFonts w:eastAsia="Calibri" w:cs="Times New Roman"/>
                <w:noProof/>
                <w:sz w:val="22"/>
                <w:szCs w:val="20"/>
                <w:lang w:val="en-IE"/>
              </w:rPr>
              <w:t>’</w:t>
            </w:r>
            <w:r w:rsidRPr="00FD703D">
              <w:rPr>
                <w:rFonts w:eastAsia="Calibri" w:cs="Times New Roman"/>
                <w:noProof/>
                <w:sz w:val="22"/>
                <w:szCs w:val="20"/>
                <w:lang w:val="en-IE"/>
              </w:rPr>
              <w:t xml:space="preserve">) after a feasibility assessment.  </w:t>
            </w:r>
          </w:p>
          <w:p w14:paraId="64A264C6" w14:textId="303925A2" w:rsidR="009327C5" w:rsidRPr="00FD703D" w:rsidRDefault="009327C5" w:rsidP="00FF21C5">
            <w:pPr>
              <w:spacing w:after="60" w:line="22" w:lineRule="atLeast"/>
              <w:jc w:val="both"/>
              <w:rPr>
                <w:rFonts w:eastAsia="Calibri" w:cs="Times New Roman"/>
                <w:noProof/>
                <w:sz w:val="22"/>
                <w:lang w:val="en-GB"/>
              </w:rPr>
            </w:pPr>
            <w:r w:rsidRPr="00FD703D">
              <w:rPr>
                <w:rFonts w:eastAsia="Calibri" w:cs="Times New Roman"/>
                <w:b/>
                <w:noProof/>
                <w:sz w:val="22"/>
                <w:lang w:val="en-GB"/>
              </w:rPr>
              <w:t>Overall</w:t>
            </w:r>
            <w:r w:rsidRPr="00FD703D">
              <w:rPr>
                <w:rFonts w:eastAsia="Calibri" w:cs="Times New Roman"/>
                <w:noProof/>
                <w:sz w:val="22"/>
                <w:lang w:val="en-GB"/>
              </w:rPr>
              <w:t xml:space="preserve">: </w:t>
            </w:r>
            <w:r w:rsidR="00E81398" w:rsidRPr="00FD703D">
              <w:rPr>
                <w:rFonts w:eastAsia="Calibri" w:cs="Times New Roman"/>
                <w:noProof/>
                <w:sz w:val="22"/>
                <w:lang w:val="en-GB"/>
              </w:rPr>
              <w:t>t</w:t>
            </w:r>
            <w:r w:rsidRPr="00FD703D">
              <w:rPr>
                <w:rFonts w:eastAsia="Calibri" w:cs="Times New Roman"/>
                <w:noProof/>
                <w:sz w:val="22"/>
                <w:lang w:val="en-GB"/>
              </w:rPr>
              <w:t xml:space="preserve">he Commission has taken measures to assist companies and ensure proportionality: the thresholds to define large companies have been raised, with the effect that the number of companies subject to the requirements is reduced by about 14%; </w:t>
            </w:r>
            <w:r w:rsidR="002857DC">
              <w:rPr>
                <w:rFonts w:eastAsia="Calibri" w:cs="Times New Roman"/>
                <w:noProof/>
                <w:sz w:val="22"/>
                <w:lang w:val="en-GB"/>
              </w:rPr>
              <w:t xml:space="preserve">the </w:t>
            </w:r>
            <w:r w:rsidRPr="00FD703D">
              <w:rPr>
                <w:rFonts w:eastAsia="Calibri" w:cs="Times New Roman"/>
                <w:noProof/>
                <w:sz w:val="22"/>
                <w:lang w:val="en-GB"/>
              </w:rPr>
              <w:t>Council and Parliament agreed with the Commission proposal to postpone adoption of a first set of sector standards to mid-2026; the Commission modified the draft standards submitt</w:t>
            </w:r>
            <w:r w:rsidR="00E16B80" w:rsidRPr="00FD703D">
              <w:rPr>
                <w:rFonts w:eastAsia="Calibri" w:cs="Times New Roman"/>
                <w:noProof/>
                <w:sz w:val="22"/>
                <w:lang w:val="en-GB"/>
              </w:rPr>
              <w:t>ed</w:t>
            </w:r>
            <w:r w:rsidRPr="00FD703D">
              <w:rPr>
                <w:rFonts w:eastAsia="Calibri" w:cs="Times New Roman"/>
                <w:noProof/>
                <w:sz w:val="22"/>
                <w:lang w:val="en-GB"/>
              </w:rPr>
              <w:t xml:space="preserve"> by </w:t>
            </w:r>
            <w:r w:rsidRPr="00955A3C">
              <w:rPr>
                <w:rFonts w:eastAsia="Calibri" w:cs="Times New Roman"/>
                <w:noProof/>
                <w:sz w:val="22"/>
                <w:lang w:val="en-GB"/>
              </w:rPr>
              <w:t xml:space="preserve">EFRAG, for example adding some additional phase-ins provisions and making some disclosures voluntary; the Commission asked EFRAG to prioritise the development of </w:t>
            </w:r>
            <w:r w:rsidRPr="00955A3C">
              <w:rPr>
                <w:rFonts w:eastAsia="Calibri" w:cs="Times New Roman"/>
                <w:noProof/>
                <w:sz w:val="22"/>
                <w:lang w:val="en-GB"/>
              </w:rPr>
              <w:lastRenderedPageBreak/>
              <w:t xml:space="preserve">implementation guidance for companies; and the Commission is launching a new flagship </w:t>
            </w:r>
            <w:r w:rsidR="00E16B80" w:rsidRPr="00955A3C">
              <w:rPr>
                <w:rFonts w:eastAsia="Calibri" w:cs="Times New Roman"/>
                <w:noProof/>
                <w:sz w:val="22"/>
                <w:lang w:val="en-GB"/>
              </w:rPr>
              <w:t>t</w:t>
            </w:r>
            <w:r w:rsidRPr="00955A3C">
              <w:rPr>
                <w:rFonts w:eastAsia="Calibri" w:cs="Times New Roman"/>
                <w:noProof/>
                <w:sz w:val="22"/>
                <w:lang w:val="en-GB"/>
              </w:rPr>
              <w:t xml:space="preserve">echnical </w:t>
            </w:r>
            <w:r w:rsidR="00E16B80" w:rsidRPr="00955A3C">
              <w:rPr>
                <w:rFonts w:eastAsia="Calibri" w:cs="Times New Roman"/>
                <w:noProof/>
                <w:sz w:val="22"/>
                <w:lang w:val="en-GB"/>
              </w:rPr>
              <w:t>s</w:t>
            </w:r>
            <w:r w:rsidRPr="00955A3C">
              <w:rPr>
                <w:rFonts w:eastAsia="Calibri" w:cs="Times New Roman"/>
                <w:noProof/>
                <w:sz w:val="22"/>
                <w:lang w:val="en-GB"/>
              </w:rPr>
              <w:t xml:space="preserve">upport </w:t>
            </w:r>
            <w:r w:rsidR="00E16B80" w:rsidRPr="00955A3C">
              <w:rPr>
                <w:rFonts w:eastAsia="Calibri" w:cs="Times New Roman"/>
                <w:noProof/>
                <w:sz w:val="22"/>
                <w:lang w:val="en-GB"/>
              </w:rPr>
              <w:t>i</w:t>
            </w:r>
            <w:r w:rsidRPr="00955A3C">
              <w:rPr>
                <w:rFonts w:eastAsia="Calibri" w:cs="Times New Roman"/>
                <w:noProof/>
                <w:sz w:val="22"/>
                <w:lang w:val="en-GB"/>
              </w:rPr>
              <w:t>nstrument</w:t>
            </w:r>
            <w:r w:rsidRPr="00FD703D">
              <w:rPr>
                <w:rFonts w:eastAsia="Calibri" w:cs="Times New Roman"/>
                <w:noProof/>
                <w:sz w:val="22"/>
                <w:lang w:val="en-GB"/>
              </w:rPr>
              <w:t xml:space="preserve"> to assist Member States in supporting companies with implementation.</w:t>
            </w:r>
          </w:p>
        </w:tc>
      </w:tr>
      <w:tr w:rsidR="009D5C79" w:rsidRPr="00FD703D" w14:paraId="00421A5B" w14:textId="77777777" w:rsidTr="006257C2">
        <w:trPr>
          <w:trHeight w:val="300"/>
        </w:trPr>
        <w:tc>
          <w:tcPr>
            <w:tcW w:w="14487" w:type="dxa"/>
            <w:gridSpan w:val="4"/>
            <w:tcBorders>
              <w:bottom w:val="nil"/>
            </w:tcBorders>
            <w:shd w:val="clear" w:color="auto" w:fill="000099"/>
            <w:vAlign w:val="center"/>
          </w:tcPr>
          <w:p w14:paraId="2C742F2A" w14:textId="633E737D" w:rsidR="009D5C79" w:rsidRPr="00FD703D" w:rsidRDefault="007686A0" w:rsidP="004749EF">
            <w:pPr>
              <w:spacing w:before="120" w:after="120"/>
              <w:jc w:val="center"/>
              <w:rPr>
                <w:rFonts w:eastAsia="Calibri" w:cs="Times New Roman"/>
                <w:b/>
                <w:noProof/>
                <w:color w:val="FFFFFF" w:themeColor="background1"/>
                <w:sz w:val="22"/>
                <w:lang w:val="en-GB"/>
              </w:rPr>
            </w:pPr>
            <w:r w:rsidRPr="113EAF0B">
              <w:rPr>
                <w:rFonts w:eastAsia="Calibri" w:cs="Times New Roman"/>
                <w:b/>
                <w:noProof/>
                <w:color w:val="FFFFFF" w:themeColor="background1"/>
                <w:sz w:val="22"/>
                <w:lang w:val="en-GB"/>
              </w:rPr>
              <w:lastRenderedPageBreak/>
              <w:t xml:space="preserve">Proposal for a </w:t>
            </w:r>
            <w:r w:rsidR="14C693F7" w:rsidRPr="113EAF0B">
              <w:rPr>
                <w:rFonts w:eastAsia="Calibri" w:cs="Times New Roman"/>
                <w:b/>
                <w:noProof/>
                <w:color w:val="FFFFFF" w:themeColor="background1"/>
                <w:sz w:val="22"/>
                <w:lang w:val="en-GB"/>
              </w:rPr>
              <w:t xml:space="preserve">Green </w:t>
            </w:r>
            <w:r w:rsidR="3DC89008" w:rsidRPr="113EAF0B">
              <w:rPr>
                <w:rFonts w:eastAsia="Calibri" w:cs="Times New Roman"/>
                <w:b/>
                <w:noProof/>
                <w:color w:val="FFFFFF" w:themeColor="background1"/>
                <w:sz w:val="22"/>
                <w:lang w:val="en-GB"/>
              </w:rPr>
              <w:t>C</w:t>
            </w:r>
            <w:r w:rsidR="14C693F7" w:rsidRPr="113EAF0B">
              <w:rPr>
                <w:rFonts w:eastAsia="Calibri" w:cs="Times New Roman"/>
                <w:b/>
                <w:noProof/>
                <w:color w:val="FFFFFF" w:themeColor="background1"/>
                <w:sz w:val="22"/>
                <w:lang w:val="en-GB"/>
              </w:rPr>
              <w:t>laims Directive</w:t>
            </w:r>
            <w:r w:rsidR="35B4C3F8" w:rsidRPr="113EAF0B">
              <w:rPr>
                <w:rFonts w:eastAsia="Calibri" w:cs="Times New Roman"/>
                <w:b/>
                <w:noProof/>
                <w:color w:val="FFFFFF" w:themeColor="background1"/>
                <w:sz w:val="22"/>
                <w:lang w:val="en-GB"/>
              </w:rPr>
              <w:t xml:space="preserve"> </w:t>
            </w:r>
            <w:r w:rsidR="2BFC3C19" w:rsidRPr="113EAF0B">
              <w:rPr>
                <w:rFonts w:eastAsia="Calibri" w:cs="Times New Roman"/>
                <w:b/>
                <w:bCs/>
                <w:noProof/>
                <w:color w:val="FFFFFF" w:themeColor="background1"/>
                <w:sz w:val="22"/>
                <w:lang w:val="en-GB"/>
              </w:rPr>
              <w:t xml:space="preserve"> </w:t>
            </w:r>
            <w:r w:rsidR="35B4C3F8" w:rsidRPr="113EAF0B">
              <w:rPr>
                <w:rFonts w:eastAsia="Calibri" w:cs="Times New Roman"/>
                <w:b/>
                <w:noProof/>
                <w:color w:val="FFFFFF" w:themeColor="background1"/>
                <w:sz w:val="22"/>
                <w:lang w:val="en-GB"/>
              </w:rPr>
              <w:t>(COM(2023)166 final)</w:t>
            </w:r>
          </w:p>
        </w:tc>
      </w:tr>
      <w:tr w:rsidR="009D5C79" w:rsidRPr="00FD703D" w14:paraId="69324AD8" w14:textId="77777777" w:rsidTr="006257C2">
        <w:trPr>
          <w:trHeight w:val="300"/>
        </w:trPr>
        <w:tc>
          <w:tcPr>
            <w:tcW w:w="648" w:type="dxa"/>
            <w:tcBorders>
              <w:bottom w:val="single" w:sz="4" w:space="0" w:color="auto"/>
            </w:tcBorders>
            <w:vAlign w:val="center"/>
          </w:tcPr>
          <w:p w14:paraId="24A86674" w14:textId="0172A87B" w:rsidR="009D5C79" w:rsidRPr="00FD703D" w:rsidRDefault="009D5C79" w:rsidP="009D5C79">
            <w:pPr>
              <w:spacing w:after="60"/>
              <w:jc w:val="both"/>
              <w:rPr>
                <w:rFonts w:eastAsia="Calibri" w:cs="Times New Roman"/>
                <w:b/>
                <w:bCs/>
                <w:noProof/>
                <w:sz w:val="22"/>
                <w:lang w:val="en-GB"/>
              </w:rPr>
            </w:pPr>
            <w:r w:rsidRPr="00FD703D">
              <w:rPr>
                <w:rFonts w:eastAsia="Calibri" w:cs="Times New Roman"/>
                <w:b/>
                <w:bCs/>
                <w:noProof/>
                <w:sz w:val="22"/>
                <w:lang w:val="en-GB"/>
              </w:rPr>
              <w:t>31</w:t>
            </w:r>
            <w:r w:rsidR="00E558D0">
              <w:rPr>
                <w:rFonts w:eastAsia="Calibri" w:cs="Times New Roman"/>
                <w:b/>
                <w:bCs/>
                <w:noProof/>
                <w:sz w:val="22"/>
                <w:lang w:val="en-GB"/>
              </w:rPr>
              <w:t>1</w:t>
            </w:r>
          </w:p>
        </w:tc>
        <w:tc>
          <w:tcPr>
            <w:tcW w:w="5917" w:type="dxa"/>
            <w:tcBorders>
              <w:bottom w:val="single" w:sz="4" w:space="0" w:color="auto"/>
            </w:tcBorders>
            <w:vAlign w:val="center"/>
          </w:tcPr>
          <w:p w14:paraId="6B6F3466" w14:textId="6C970961" w:rsidR="009D5C79" w:rsidRPr="00FD703D" w:rsidRDefault="14C693F7" w:rsidP="7E954136">
            <w:pPr>
              <w:spacing w:after="60"/>
              <w:jc w:val="both"/>
              <w:rPr>
                <w:rFonts w:eastAsia="Calibri" w:cs="Times New Roman"/>
                <w:b/>
                <w:bCs/>
                <w:noProof/>
                <w:sz w:val="22"/>
                <w:szCs w:val="20"/>
                <w:lang w:val="en-GB"/>
              </w:rPr>
            </w:pPr>
            <w:r w:rsidRPr="00FD703D">
              <w:rPr>
                <w:rFonts w:eastAsia="Calibri" w:cs="Times New Roman"/>
                <w:b/>
                <w:bCs/>
                <w:noProof/>
                <w:sz w:val="22"/>
                <w:szCs w:val="20"/>
                <w:lang w:val="en-GB"/>
              </w:rPr>
              <w:t xml:space="preserve">Verification </w:t>
            </w:r>
            <w:r w:rsidR="3D466C6E" w:rsidRPr="00FD703D">
              <w:rPr>
                <w:rFonts w:eastAsia="Calibri" w:cs="Times New Roman"/>
                <w:b/>
                <w:bCs/>
                <w:noProof/>
                <w:sz w:val="22"/>
                <w:szCs w:val="20"/>
                <w:lang w:val="en-GB"/>
              </w:rPr>
              <w:t xml:space="preserve">of </w:t>
            </w:r>
            <w:r w:rsidRPr="00FD703D">
              <w:rPr>
                <w:rFonts w:eastAsia="Calibri" w:cs="Times New Roman"/>
                <w:b/>
                <w:bCs/>
                <w:noProof/>
                <w:sz w:val="22"/>
                <w:szCs w:val="20"/>
                <w:lang w:val="en-GB"/>
              </w:rPr>
              <w:t>environmental measures:</w:t>
            </w:r>
            <w:r w:rsidRPr="00FD703D">
              <w:rPr>
                <w:rFonts w:eastAsia="Calibri" w:cs="Times New Roman"/>
                <w:noProof/>
                <w:sz w:val="22"/>
                <w:szCs w:val="20"/>
                <w:lang w:val="en-GB"/>
              </w:rPr>
              <w:t xml:space="preserve"> </w:t>
            </w:r>
            <w:r w:rsidR="792CA955" w:rsidRPr="00FD703D">
              <w:rPr>
                <w:rFonts w:eastAsia="Calibri" w:cs="Times New Roman"/>
                <w:noProof/>
                <w:sz w:val="22"/>
                <w:szCs w:val="20"/>
                <w:lang w:val="en-GB"/>
              </w:rPr>
              <w:t>t</w:t>
            </w:r>
            <w:r w:rsidRPr="00FD703D">
              <w:rPr>
                <w:rFonts w:eastAsia="Calibri" w:cs="Times New Roman"/>
                <w:noProof/>
                <w:sz w:val="22"/>
                <w:szCs w:val="20"/>
                <w:lang w:val="en-GB"/>
              </w:rPr>
              <w:t xml:space="preserve">he Green Claims Directive can create </w:t>
            </w:r>
            <w:r w:rsidR="3D466C6E" w:rsidRPr="00FD703D">
              <w:rPr>
                <w:rFonts w:eastAsia="Calibri" w:cs="Times New Roman"/>
                <w:noProof/>
                <w:sz w:val="22"/>
                <w:szCs w:val="20"/>
                <w:lang w:val="en-GB"/>
              </w:rPr>
              <w:t xml:space="preserve">a </w:t>
            </w:r>
            <w:r w:rsidRPr="00FD703D">
              <w:rPr>
                <w:rFonts w:eastAsia="Calibri" w:cs="Times New Roman"/>
                <w:noProof/>
                <w:sz w:val="22"/>
                <w:szCs w:val="20"/>
                <w:lang w:val="en-GB"/>
              </w:rPr>
              <w:t xml:space="preserve">potential administrative burden at farm level. In fact, </w:t>
            </w:r>
            <w:r w:rsidR="3D466C6E" w:rsidRPr="00FD703D">
              <w:rPr>
                <w:rFonts w:eastAsia="Calibri" w:cs="Times New Roman"/>
                <w:noProof/>
                <w:sz w:val="22"/>
                <w:szCs w:val="20"/>
                <w:lang w:val="en-GB"/>
              </w:rPr>
              <w:t xml:space="preserve">the </w:t>
            </w:r>
            <w:r w:rsidRPr="00FD703D">
              <w:rPr>
                <w:rFonts w:eastAsia="Calibri" w:cs="Times New Roman"/>
                <w:noProof/>
                <w:sz w:val="22"/>
                <w:szCs w:val="20"/>
                <w:lang w:val="en-GB"/>
              </w:rPr>
              <w:t>CAP is not excluded, nor the voluntary additional efforts (eco-schemes) that can be done at farm level. If a farmer or a trader decides to (voluntarily) communicate on some environmental aspect of production (such as the benefits of a measure implemented under an eco-scheme), the farmer risks go</w:t>
            </w:r>
            <w:r w:rsidR="3D466C6E" w:rsidRPr="00FD703D">
              <w:rPr>
                <w:rFonts w:eastAsia="Calibri" w:cs="Times New Roman"/>
                <w:noProof/>
                <w:sz w:val="22"/>
                <w:szCs w:val="20"/>
                <w:lang w:val="en-GB"/>
              </w:rPr>
              <w:t>ing</w:t>
            </w:r>
            <w:r w:rsidRPr="00FD703D">
              <w:rPr>
                <w:rFonts w:eastAsia="Calibri" w:cs="Times New Roman"/>
                <w:noProof/>
                <w:sz w:val="22"/>
                <w:szCs w:val="20"/>
                <w:lang w:val="en-GB"/>
              </w:rPr>
              <w:t xml:space="preserve"> through a double verification (under CAP and under Green Claims). There is a need to make sure that verification </w:t>
            </w:r>
            <w:r w:rsidR="3D466C6E" w:rsidRPr="00FD703D">
              <w:rPr>
                <w:rFonts w:eastAsia="Calibri" w:cs="Times New Roman"/>
                <w:noProof/>
                <w:sz w:val="22"/>
                <w:szCs w:val="20"/>
                <w:lang w:val="en-GB"/>
              </w:rPr>
              <w:t xml:space="preserve">of </w:t>
            </w:r>
            <w:r w:rsidRPr="00FD703D">
              <w:rPr>
                <w:rFonts w:eastAsia="Calibri" w:cs="Times New Roman"/>
                <w:noProof/>
                <w:sz w:val="22"/>
                <w:szCs w:val="20"/>
                <w:lang w:val="en-GB"/>
              </w:rPr>
              <w:t xml:space="preserve">environmental measures is done </w:t>
            </w:r>
            <w:r w:rsidR="3D466C6E" w:rsidRPr="00FD703D">
              <w:rPr>
                <w:rFonts w:eastAsia="Calibri" w:cs="Times New Roman"/>
                <w:noProof/>
                <w:sz w:val="22"/>
                <w:szCs w:val="20"/>
                <w:lang w:val="en-GB"/>
              </w:rPr>
              <w:t xml:space="preserve">only </w:t>
            </w:r>
            <w:r w:rsidRPr="00FD703D">
              <w:rPr>
                <w:rFonts w:eastAsia="Calibri" w:cs="Times New Roman"/>
                <w:noProof/>
                <w:sz w:val="22"/>
                <w:szCs w:val="20"/>
                <w:lang w:val="en-GB"/>
              </w:rPr>
              <w:t>once</w:t>
            </w:r>
            <w:r w:rsidR="3D466C6E" w:rsidRPr="00FD703D">
              <w:rPr>
                <w:rFonts w:eastAsia="Calibri" w:cs="Times New Roman"/>
                <w:noProof/>
                <w:sz w:val="22"/>
                <w:szCs w:val="20"/>
                <w:lang w:val="en-GB"/>
              </w:rPr>
              <w:t>.</w:t>
            </w:r>
          </w:p>
        </w:tc>
        <w:tc>
          <w:tcPr>
            <w:tcW w:w="1530" w:type="dxa"/>
            <w:tcBorders>
              <w:bottom w:val="single" w:sz="4" w:space="0" w:color="auto"/>
            </w:tcBorders>
            <w:vAlign w:val="center"/>
          </w:tcPr>
          <w:p w14:paraId="243A191A" w14:textId="7EF89FF2" w:rsidR="009D5C79" w:rsidRPr="00FD703D" w:rsidRDefault="009D5C79" w:rsidP="009D5C79">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2" w:type="dxa"/>
            <w:tcBorders>
              <w:bottom w:val="single" w:sz="4" w:space="0" w:color="auto"/>
            </w:tcBorders>
            <w:vAlign w:val="center"/>
          </w:tcPr>
          <w:p w14:paraId="63E1D196" w14:textId="03E032E6" w:rsidR="009D5C79" w:rsidRPr="00215098" w:rsidRDefault="009D5C79" w:rsidP="00215098">
            <w:pPr>
              <w:spacing w:after="60" w:line="259" w:lineRule="auto"/>
              <w:rPr>
                <w:rFonts w:eastAsia="Calibri" w:cs="Times New Roman"/>
                <w:noProof/>
                <w:sz w:val="22"/>
                <w:lang w:val="en-GB"/>
              </w:rPr>
            </w:pPr>
            <w:r w:rsidRPr="0023561A">
              <w:rPr>
                <w:rFonts w:eastAsia="Calibri" w:cs="Times New Roman"/>
                <w:noProof/>
                <w:sz w:val="22"/>
                <w:lang w:val="en-GB"/>
              </w:rPr>
              <w:t>This specific issue is under discussion by the co-legislators as part of the co-decision process.</w:t>
            </w:r>
          </w:p>
        </w:tc>
      </w:tr>
      <w:tr w:rsidR="009D5C79" w:rsidRPr="00FD703D" w14:paraId="04F4B468" w14:textId="77777777" w:rsidTr="006257C2">
        <w:trPr>
          <w:trHeight w:val="436"/>
        </w:trPr>
        <w:tc>
          <w:tcPr>
            <w:tcW w:w="14487" w:type="dxa"/>
            <w:gridSpan w:val="4"/>
            <w:tcBorders>
              <w:bottom w:val="nil"/>
            </w:tcBorders>
            <w:shd w:val="clear" w:color="auto" w:fill="000099"/>
            <w:vAlign w:val="center"/>
          </w:tcPr>
          <w:p w14:paraId="6342639F" w14:textId="36B86BB0" w:rsidR="009D5C79" w:rsidRPr="00FD703D" w:rsidRDefault="009D5C79" w:rsidP="00C5432E">
            <w:pPr>
              <w:spacing w:after="60"/>
              <w:jc w:val="center"/>
              <w:rPr>
                <w:rFonts w:eastAsia="Calibri" w:cs="Times New Roman"/>
                <w:noProof/>
                <w:sz w:val="22"/>
                <w:lang w:val="en-GB"/>
              </w:rPr>
            </w:pPr>
            <w:r w:rsidRPr="00FD703D">
              <w:rPr>
                <w:rFonts w:eastAsia="Calibri" w:cs="Times New Roman"/>
                <w:b/>
                <w:noProof/>
                <w:color w:val="FFFFFF"/>
                <w:sz w:val="22"/>
                <w:lang w:val="en-GB"/>
              </w:rPr>
              <w:t>Plant health, Plant protection products</w:t>
            </w:r>
          </w:p>
        </w:tc>
      </w:tr>
      <w:tr w:rsidR="009D5C79" w:rsidRPr="00FD703D" w14:paraId="28724E1A" w14:textId="77777777" w:rsidTr="006257C2">
        <w:trPr>
          <w:trHeight w:val="300"/>
        </w:trPr>
        <w:tc>
          <w:tcPr>
            <w:tcW w:w="648" w:type="dxa"/>
            <w:tcBorders>
              <w:bottom w:val="single" w:sz="4" w:space="0" w:color="auto"/>
            </w:tcBorders>
            <w:vAlign w:val="center"/>
          </w:tcPr>
          <w:p w14:paraId="01964E23" w14:textId="357958B3"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t>31</w:t>
            </w:r>
            <w:r w:rsidR="00E558D0">
              <w:rPr>
                <w:rFonts w:eastAsia="Calibri" w:cs="Times New Roman"/>
                <w:b/>
                <w:bCs/>
                <w:noProof/>
                <w:sz w:val="22"/>
                <w:lang w:val="en-GB"/>
              </w:rPr>
              <w:t>2</w:t>
            </w:r>
          </w:p>
        </w:tc>
        <w:tc>
          <w:tcPr>
            <w:tcW w:w="5917" w:type="dxa"/>
            <w:tcBorders>
              <w:bottom w:val="single" w:sz="4" w:space="0" w:color="auto"/>
            </w:tcBorders>
            <w:vAlign w:val="center"/>
          </w:tcPr>
          <w:p w14:paraId="2F481173" w14:textId="273A630B" w:rsidR="009D5C79" w:rsidRPr="00FD703D" w:rsidRDefault="009D5C79" w:rsidP="00C5432E">
            <w:pPr>
              <w:spacing w:after="60" w:line="259" w:lineRule="auto"/>
              <w:jc w:val="both"/>
              <w:rPr>
                <w:rFonts w:eastAsia="Calibri" w:cs="Times New Roman"/>
                <w:noProof/>
                <w:sz w:val="22"/>
                <w:lang w:val="en-GB"/>
              </w:rPr>
            </w:pPr>
            <w:r w:rsidRPr="00FD703D">
              <w:rPr>
                <w:rFonts w:eastAsia="Calibri" w:cs="Times New Roman"/>
                <w:b/>
                <w:bCs/>
                <w:noProof/>
                <w:sz w:val="22"/>
                <w:lang w:val="en-GB"/>
              </w:rPr>
              <w:t xml:space="preserve">Electronic recording of </w:t>
            </w:r>
            <w:r w:rsidR="00BA2737" w:rsidRPr="00FD703D">
              <w:rPr>
                <w:rFonts w:eastAsia="Calibri" w:cs="Times New Roman"/>
                <w:b/>
                <w:bCs/>
                <w:noProof/>
                <w:sz w:val="22"/>
                <w:lang w:val="en-GB"/>
              </w:rPr>
              <w:t>p</w:t>
            </w:r>
            <w:r w:rsidRPr="00FD703D">
              <w:rPr>
                <w:rFonts w:eastAsia="Calibri" w:cs="Times New Roman"/>
                <w:b/>
                <w:bCs/>
                <w:noProof/>
                <w:sz w:val="22"/>
                <w:lang w:val="en-GB"/>
              </w:rPr>
              <w:t xml:space="preserve">lant </w:t>
            </w:r>
            <w:r w:rsidR="00BA2737" w:rsidRPr="00FD703D">
              <w:rPr>
                <w:rFonts w:eastAsia="Calibri" w:cs="Times New Roman"/>
                <w:b/>
                <w:bCs/>
                <w:noProof/>
                <w:sz w:val="22"/>
                <w:lang w:val="en-GB"/>
              </w:rPr>
              <w:t>p</w:t>
            </w:r>
            <w:r w:rsidRPr="00FD703D">
              <w:rPr>
                <w:rFonts w:eastAsia="Calibri" w:cs="Times New Roman"/>
                <w:b/>
                <w:bCs/>
                <w:noProof/>
                <w:sz w:val="22"/>
                <w:lang w:val="en-GB"/>
              </w:rPr>
              <w:t xml:space="preserve">rotection </w:t>
            </w:r>
            <w:r w:rsidR="00BA2737" w:rsidRPr="00FD703D">
              <w:rPr>
                <w:rFonts w:eastAsia="Calibri" w:cs="Times New Roman"/>
                <w:b/>
                <w:bCs/>
                <w:noProof/>
                <w:sz w:val="22"/>
                <w:lang w:val="en-GB"/>
              </w:rPr>
              <w:t>p</w:t>
            </w:r>
            <w:r w:rsidRPr="00FD703D">
              <w:rPr>
                <w:rFonts w:eastAsia="Calibri" w:cs="Times New Roman"/>
                <w:b/>
                <w:bCs/>
                <w:noProof/>
                <w:sz w:val="22"/>
                <w:lang w:val="en-GB"/>
              </w:rPr>
              <w:t>roducts</w:t>
            </w:r>
            <w:r w:rsidR="00314611" w:rsidRPr="00FD703D">
              <w:rPr>
                <w:rFonts w:eastAsia="Calibri" w:cs="Times New Roman"/>
                <w:b/>
                <w:bCs/>
                <w:noProof/>
                <w:sz w:val="22"/>
                <w:lang w:val="en-GB"/>
              </w:rPr>
              <w:t xml:space="preserve"> (PPP)</w:t>
            </w:r>
            <w:r w:rsidRPr="00FD703D">
              <w:rPr>
                <w:rFonts w:eastAsia="Calibri" w:cs="Times New Roman"/>
                <w:b/>
                <w:bCs/>
                <w:noProof/>
                <w:sz w:val="22"/>
                <w:lang w:val="en-GB"/>
              </w:rPr>
              <w:t>:</w:t>
            </w:r>
            <w:r w:rsidRPr="00FD703D">
              <w:rPr>
                <w:rFonts w:eastAsia="Calibri" w:cs="Times New Roman"/>
                <w:noProof/>
                <w:sz w:val="22"/>
                <w:lang w:val="en-GB"/>
              </w:rPr>
              <w:t xml:space="preserve"> </w:t>
            </w:r>
            <w:r w:rsidR="00C40985" w:rsidRPr="00FD703D">
              <w:rPr>
                <w:rFonts w:eastAsia="Calibri" w:cs="Times New Roman"/>
                <w:noProof/>
                <w:sz w:val="22"/>
                <w:lang w:val="en-GB"/>
              </w:rPr>
              <w:t>re</w:t>
            </w:r>
            <w:r w:rsidRPr="00FD703D">
              <w:rPr>
                <w:rFonts w:eastAsia="Calibri" w:cs="Times New Roman"/>
                <w:noProof/>
                <w:sz w:val="22"/>
                <w:lang w:val="en-GB"/>
              </w:rPr>
              <w:t xml:space="preserve">duce the administrative burden associated with the electronic recording of </w:t>
            </w:r>
            <w:r w:rsidR="00314611" w:rsidRPr="00FD703D">
              <w:rPr>
                <w:rFonts w:eastAsia="Calibri" w:cs="Times New Roman"/>
                <w:noProof/>
                <w:sz w:val="22"/>
                <w:lang w:val="en-GB"/>
              </w:rPr>
              <w:t>p</w:t>
            </w:r>
            <w:r w:rsidRPr="00FD703D">
              <w:rPr>
                <w:rFonts w:eastAsia="Calibri" w:cs="Times New Roman"/>
                <w:noProof/>
                <w:sz w:val="22"/>
                <w:lang w:val="en-GB"/>
              </w:rPr>
              <w:t xml:space="preserve">lant </w:t>
            </w:r>
            <w:r w:rsidR="00314611" w:rsidRPr="00FD703D">
              <w:rPr>
                <w:rFonts w:eastAsia="Calibri" w:cs="Times New Roman"/>
                <w:noProof/>
                <w:sz w:val="22"/>
                <w:lang w:val="en-GB"/>
              </w:rPr>
              <w:t>p</w:t>
            </w:r>
            <w:r w:rsidRPr="00FD703D">
              <w:rPr>
                <w:rFonts w:eastAsia="Calibri" w:cs="Times New Roman"/>
                <w:noProof/>
                <w:sz w:val="22"/>
                <w:lang w:val="en-GB"/>
              </w:rPr>
              <w:t xml:space="preserve">rotection </w:t>
            </w:r>
            <w:r w:rsidR="00314611" w:rsidRPr="00FD703D">
              <w:rPr>
                <w:rFonts w:eastAsia="Calibri" w:cs="Times New Roman"/>
                <w:noProof/>
                <w:sz w:val="22"/>
                <w:lang w:val="en-GB"/>
              </w:rPr>
              <w:t>p</w:t>
            </w:r>
            <w:r w:rsidRPr="00FD703D">
              <w:rPr>
                <w:rFonts w:eastAsia="Calibri" w:cs="Times New Roman"/>
                <w:noProof/>
                <w:sz w:val="22"/>
                <w:lang w:val="en-GB"/>
              </w:rPr>
              <w:t xml:space="preserve">roducts (PPP), laid down in </w:t>
            </w:r>
            <w:r w:rsidR="007864AD" w:rsidRPr="00FD703D">
              <w:rPr>
                <w:rFonts w:eastAsia="Calibri" w:cs="Times New Roman"/>
                <w:noProof/>
                <w:sz w:val="22"/>
                <w:lang w:val="en-GB"/>
              </w:rPr>
              <w:t xml:space="preserve">Commission </w:t>
            </w:r>
            <w:r w:rsidRPr="00FD703D">
              <w:rPr>
                <w:rFonts w:eastAsia="Calibri" w:cs="Times New Roman"/>
                <w:noProof/>
                <w:sz w:val="22"/>
                <w:lang w:val="en-GB"/>
              </w:rPr>
              <w:t xml:space="preserve">Implementing Regulation (EU) 2023/564 as regards the content and format of the records of plant protection products kept by professional users. </w:t>
            </w:r>
          </w:p>
          <w:p w14:paraId="7E40444A" w14:textId="00683D77" w:rsidR="009D5C79" w:rsidRPr="00FD703D" w:rsidRDefault="009D5C79" w:rsidP="00C5432E">
            <w:pPr>
              <w:spacing w:after="60" w:line="259" w:lineRule="auto"/>
              <w:jc w:val="both"/>
              <w:rPr>
                <w:rFonts w:eastAsia="Calibri" w:cs="Times New Roman"/>
                <w:b/>
                <w:bCs/>
                <w:noProof/>
                <w:sz w:val="22"/>
                <w:lang w:val="en-GB"/>
              </w:rPr>
            </w:pPr>
            <w:r w:rsidRPr="00FD703D">
              <w:rPr>
                <w:rFonts w:eastAsia="Calibri" w:cs="Times New Roman"/>
                <w:noProof/>
                <w:sz w:val="22"/>
                <w:lang w:val="en-GB"/>
              </w:rPr>
              <w:t xml:space="preserve">Proposal for postponing, phasing in or testing through a pilot scheme the implementation of electronic recording of the use of PPP until 2026, including of the application of the requirement </w:t>
            </w:r>
            <w:r w:rsidR="00314611" w:rsidRPr="00FD703D">
              <w:rPr>
                <w:rFonts w:eastAsia="Calibri" w:cs="Times New Roman"/>
                <w:noProof/>
                <w:sz w:val="22"/>
                <w:lang w:val="en-GB"/>
              </w:rPr>
              <w:t>to identify</w:t>
            </w:r>
            <w:r w:rsidRPr="00FD703D">
              <w:rPr>
                <w:rFonts w:eastAsia="Calibri" w:cs="Times New Roman"/>
                <w:noProof/>
                <w:sz w:val="22"/>
                <w:lang w:val="en-GB"/>
              </w:rPr>
              <w:t xml:space="preserve"> the location or facility through geospatial aid application of the IACS system. </w:t>
            </w:r>
          </w:p>
        </w:tc>
        <w:tc>
          <w:tcPr>
            <w:tcW w:w="1530" w:type="dxa"/>
            <w:tcBorders>
              <w:bottom w:val="single" w:sz="4" w:space="0" w:color="auto"/>
            </w:tcBorders>
            <w:vAlign w:val="center"/>
          </w:tcPr>
          <w:p w14:paraId="0288D834" w14:textId="6FC853C4" w:rsidR="009D5C79" w:rsidRPr="00FD703D" w:rsidRDefault="009D5C79" w:rsidP="00C5432E">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CY, FI, LU, PL</w:t>
            </w:r>
          </w:p>
        </w:tc>
        <w:tc>
          <w:tcPr>
            <w:tcW w:w="6392" w:type="dxa"/>
            <w:tcBorders>
              <w:bottom w:val="single" w:sz="4" w:space="0" w:color="auto"/>
            </w:tcBorders>
            <w:vAlign w:val="center"/>
          </w:tcPr>
          <w:p w14:paraId="56DAF192" w14:textId="45D1EFA1" w:rsidR="009D5C79" w:rsidRPr="00FD703D" w:rsidRDefault="009D5C79" w:rsidP="00C5432E">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The proposal was not taken up. The timing for keeping records on the use of plant protection products (which </w:t>
            </w:r>
            <w:r w:rsidR="00314611" w:rsidRPr="00FD703D">
              <w:rPr>
                <w:rFonts w:eastAsia="Calibri" w:cs="Times New Roman"/>
                <w:noProof/>
                <w:sz w:val="22"/>
                <w:lang w:val="en-GB"/>
              </w:rPr>
              <w:t xml:space="preserve">has </w:t>
            </w:r>
            <w:r w:rsidRPr="00FD703D">
              <w:rPr>
                <w:rFonts w:eastAsia="Calibri" w:cs="Times New Roman"/>
                <w:noProof/>
                <w:sz w:val="22"/>
                <w:lang w:val="en-GB"/>
              </w:rPr>
              <w:t>exist</w:t>
            </w:r>
            <w:r w:rsidR="00314611" w:rsidRPr="00FD703D">
              <w:rPr>
                <w:rFonts w:eastAsia="Calibri" w:cs="Times New Roman"/>
                <w:noProof/>
                <w:sz w:val="22"/>
                <w:lang w:val="en-GB"/>
              </w:rPr>
              <w:t>ed</w:t>
            </w:r>
            <w:r w:rsidRPr="00FD703D">
              <w:rPr>
                <w:rFonts w:eastAsia="Calibri" w:cs="Times New Roman"/>
                <w:noProof/>
                <w:sz w:val="22"/>
                <w:lang w:val="en-GB"/>
              </w:rPr>
              <w:t xml:space="preserve"> since 2009) in electronic format was extensively discussed prior to adoption of </w:t>
            </w:r>
            <w:r w:rsidR="00262F16" w:rsidRPr="00FD703D">
              <w:rPr>
                <w:rFonts w:eastAsia="Calibri" w:cs="Times New Roman"/>
                <w:noProof/>
                <w:sz w:val="22"/>
                <w:lang w:val="en-GB"/>
              </w:rPr>
              <w:t xml:space="preserve">Commission </w:t>
            </w:r>
            <w:r w:rsidRPr="00FD703D">
              <w:rPr>
                <w:rFonts w:eastAsia="Calibri" w:cs="Times New Roman"/>
                <w:noProof/>
                <w:sz w:val="22"/>
                <w:lang w:val="en-GB"/>
              </w:rPr>
              <w:t>Implementing Regulation (EU) 2023/564. The longest possible time frame has been chosen to enable Member States to comply with their reporting obligation under Regulation (EU) 2022/2379 on Statistics on Agricultural Input and Output (SAIO). Delaying electronic records further would create difficulties for Member State authorities to collect and report the records as required by SAIO.</w:t>
            </w:r>
          </w:p>
        </w:tc>
      </w:tr>
      <w:tr w:rsidR="009D5C79" w:rsidRPr="00FD703D" w14:paraId="23E9B3D3" w14:textId="77777777" w:rsidTr="006257C2">
        <w:trPr>
          <w:trHeight w:val="300"/>
        </w:trPr>
        <w:tc>
          <w:tcPr>
            <w:tcW w:w="648" w:type="dxa"/>
            <w:tcBorders>
              <w:top w:val="single" w:sz="4" w:space="0" w:color="auto"/>
              <w:left w:val="single" w:sz="4" w:space="0" w:color="auto"/>
              <w:bottom w:val="single" w:sz="4" w:space="0" w:color="auto"/>
              <w:right w:val="single" w:sz="4" w:space="0" w:color="auto"/>
            </w:tcBorders>
            <w:vAlign w:val="center"/>
          </w:tcPr>
          <w:p w14:paraId="442B00AE" w14:textId="12E40250" w:rsidR="009D5C79" w:rsidRPr="00FD703D" w:rsidRDefault="009D5C79" w:rsidP="00C5432E">
            <w:pPr>
              <w:spacing w:after="60"/>
              <w:jc w:val="both"/>
              <w:rPr>
                <w:rFonts w:eastAsia="Calibri" w:cs="Times New Roman"/>
                <w:b/>
                <w:bCs/>
                <w:noProof/>
                <w:sz w:val="22"/>
                <w:lang w:val="en-GB"/>
              </w:rPr>
            </w:pPr>
            <w:r w:rsidRPr="00FD703D">
              <w:rPr>
                <w:rFonts w:eastAsia="Times New Roman" w:cs="Times New Roman"/>
                <w:b/>
                <w:bCs/>
                <w:noProof/>
                <w:sz w:val="22"/>
                <w:lang w:val="en-GB" w:eastAsia="en-IE"/>
              </w:rPr>
              <w:t>31</w:t>
            </w:r>
            <w:r w:rsidR="00E558D0">
              <w:rPr>
                <w:rFonts w:eastAsia="Times New Roman" w:cs="Times New Roman"/>
                <w:b/>
                <w:bCs/>
                <w:noProof/>
                <w:sz w:val="22"/>
                <w:lang w:val="en-GB" w:eastAsia="en-IE"/>
              </w:rPr>
              <w:t>3</w:t>
            </w:r>
          </w:p>
        </w:tc>
        <w:tc>
          <w:tcPr>
            <w:tcW w:w="5917" w:type="dxa"/>
            <w:tcBorders>
              <w:top w:val="single" w:sz="4" w:space="0" w:color="auto"/>
              <w:left w:val="single" w:sz="4" w:space="0" w:color="auto"/>
              <w:bottom w:val="single" w:sz="4" w:space="0" w:color="auto"/>
              <w:right w:val="single" w:sz="4" w:space="0" w:color="auto"/>
            </w:tcBorders>
            <w:vAlign w:val="center"/>
          </w:tcPr>
          <w:p w14:paraId="40C5E6C2" w14:textId="73040DE1" w:rsidR="009D5C79" w:rsidRPr="00FD703D" w:rsidRDefault="009D5C79" w:rsidP="00C5432E">
            <w:pPr>
              <w:spacing w:after="60" w:line="259" w:lineRule="auto"/>
              <w:jc w:val="both"/>
              <w:rPr>
                <w:rFonts w:eastAsia="Calibri" w:cs="Times New Roman"/>
                <w:b/>
                <w:bCs/>
                <w:noProof/>
                <w:sz w:val="22"/>
                <w:lang w:val="en-GB"/>
              </w:rPr>
            </w:pPr>
            <w:r w:rsidRPr="00FD703D">
              <w:rPr>
                <w:rFonts w:eastAsia="Times New Roman" w:cs="Times New Roman"/>
                <w:b/>
                <w:bCs/>
                <w:noProof/>
                <w:sz w:val="22"/>
                <w:lang w:val="en-GB" w:eastAsia="en-IE"/>
              </w:rPr>
              <w:t>Plant protection products</w:t>
            </w:r>
            <w:r w:rsidRPr="00FD703D">
              <w:rPr>
                <w:rFonts w:eastAsia="Times New Roman" w:cs="Times New Roman"/>
                <w:noProof/>
                <w:sz w:val="22"/>
                <w:lang w:val="en-GB" w:eastAsia="en-IE"/>
              </w:rPr>
              <w:t xml:space="preserve"> </w:t>
            </w:r>
            <w:r w:rsidRPr="00FD703D">
              <w:rPr>
                <w:rFonts w:eastAsia="Times New Roman" w:cs="Times New Roman"/>
                <w:b/>
                <w:bCs/>
                <w:noProof/>
                <w:sz w:val="22"/>
                <w:lang w:val="en-GB" w:eastAsia="en-IE"/>
              </w:rPr>
              <w:t>application</w:t>
            </w:r>
            <w:r w:rsidR="00314611" w:rsidRPr="00FD703D">
              <w:rPr>
                <w:rFonts w:eastAsia="Times New Roman" w:cs="Times New Roman"/>
                <w:b/>
                <w:bCs/>
                <w:noProof/>
                <w:sz w:val="22"/>
                <w:lang w:val="en-GB" w:eastAsia="en-IE"/>
              </w:rPr>
              <w:t>s based on geodata</w:t>
            </w:r>
            <w:r w:rsidRPr="00FD703D">
              <w:rPr>
                <w:rFonts w:eastAsia="Times New Roman" w:cs="Times New Roman"/>
                <w:noProof/>
                <w:sz w:val="22"/>
                <w:lang w:val="en-GB" w:eastAsia="en-IE"/>
              </w:rPr>
              <w:t xml:space="preserve">: </w:t>
            </w:r>
            <w:r w:rsidR="00C40985" w:rsidRPr="00FD703D">
              <w:rPr>
                <w:rFonts w:eastAsia="Times New Roman" w:cs="Times New Roman"/>
                <w:noProof/>
                <w:sz w:val="22"/>
                <w:lang w:val="en-GB" w:eastAsia="en-IE"/>
              </w:rPr>
              <w:t>d</w:t>
            </w:r>
            <w:r w:rsidRPr="00FD703D">
              <w:rPr>
                <w:rFonts w:eastAsia="Times New Roman" w:cs="Times New Roman"/>
                <w:noProof/>
                <w:sz w:val="22"/>
                <w:lang w:val="en-GB" w:eastAsia="en-IE"/>
              </w:rPr>
              <w:t>eletion of the obligation to specify the plant protection products in the geodata-based application</w:t>
            </w:r>
            <w:r w:rsidR="00314611" w:rsidRPr="00FD703D">
              <w:rPr>
                <w:rFonts w:eastAsia="Times New Roman" w:cs="Times New Roman"/>
                <w:noProof/>
                <w:sz w:val="22"/>
                <w:lang w:val="en-GB" w:eastAsia="en-IE"/>
              </w:rPr>
              <w:t>;</w:t>
            </w:r>
            <w:r w:rsidRPr="00FD703D">
              <w:rPr>
                <w:rFonts w:eastAsia="Times New Roman" w:cs="Times New Roman"/>
                <w:noProof/>
                <w:sz w:val="22"/>
                <w:lang w:val="en-GB" w:eastAsia="en-IE"/>
              </w:rPr>
              <w:t xml:space="preserve"> </w:t>
            </w:r>
            <w:r w:rsidR="00CB2F59" w:rsidRPr="00FD703D">
              <w:rPr>
                <w:rFonts w:eastAsia="Times New Roman" w:cs="Times New Roman"/>
                <w:noProof/>
                <w:sz w:val="22"/>
                <w:lang w:val="en-GB" w:eastAsia="en-IE"/>
              </w:rPr>
              <w:t>also,</w:t>
            </w:r>
            <w:r w:rsidRPr="00FD703D">
              <w:rPr>
                <w:rFonts w:eastAsia="Times New Roman" w:cs="Times New Roman"/>
                <w:noProof/>
                <w:sz w:val="22"/>
                <w:lang w:val="en-GB" w:eastAsia="en-IE"/>
              </w:rPr>
              <w:t xml:space="preserve"> deletion of the obligation to do this electronically.</w:t>
            </w:r>
          </w:p>
        </w:tc>
        <w:tc>
          <w:tcPr>
            <w:tcW w:w="1530" w:type="dxa"/>
            <w:tcBorders>
              <w:top w:val="single" w:sz="4" w:space="0" w:color="auto"/>
              <w:left w:val="single" w:sz="4" w:space="0" w:color="auto"/>
              <w:bottom w:val="single" w:sz="4" w:space="0" w:color="auto"/>
              <w:right w:val="single" w:sz="4" w:space="0" w:color="auto"/>
            </w:tcBorders>
            <w:vAlign w:val="center"/>
          </w:tcPr>
          <w:p w14:paraId="18FDE167" w14:textId="77777777" w:rsidR="009D5C79" w:rsidRPr="00FD703D" w:rsidRDefault="009D5C79" w:rsidP="00C5432E">
            <w:pPr>
              <w:spacing w:after="60" w:line="259" w:lineRule="auto"/>
              <w:jc w:val="center"/>
              <w:rPr>
                <w:rFonts w:eastAsia="MS Gothic" w:cs="Times New Roman"/>
                <w:b/>
                <w:bCs/>
                <w:noProof/>
                <w:color w:val="0033CC"/>
                <w:sz w:val="22"/>
                <w:lang w:val="en-GB"/>
              </w:rPr>
            </w:pPr>
            <w:r w:rsidRPr="00FD703D">
              <w:rPr>
                <w:rFonts w:eastAsia="MS Gothic" w:cs="Times New Roman"/>
                <w:b/>
                <w:noProof/>
                <w:color w:val="0033CC"/>
                <w:sz w:val="22"/>
                <w:lang w:val="en-GB"/>
              </w:rPr>
              <w:t>AT</w:t>
            </w:r>
          </w:p>
          <w:p w14:paraId="5EBCE4C3" w14:textId="77777777" w:rsidR="009D5C79" w:rsidRPr="00FD703D" w:rsidRDefault="009D5C79" w:rsidP="00C5432E">
            <w:pPr>
              <w:spacing w:after="60" w:line="259" w:lineRule="auto"/>
              <w:jc w:val="center"/>
              <w:rPr>
                <w:rFonts w:eastAsia="MS Gothic" w:cs="Times New Roman"/>
                <w:b/>
                <w:bCs/>
                <w:noProof/>
                <w:color w:val="0033CC"/>
                <w:sz w:val="22"/>
                <w:lang w:val="en-GB"/>
              </w:rPr>
            </w:pPr>
          </w:p>
          <w:p w14:paraId="03326843" w14:textId="0FA0FD76" w:rsidR="009D5C79" w:rsidRPr="00FD703D" w:rsidRDefault="009D5C79" w:rsidP="00C5432E">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lastRenderedPageBreak/>
              <w:t>COPA-COGECA</w:t>
            </w:r>
          </w:p>
        </w:tc>
        <w:tc>
          <w:tcPr>
            <w:tcW w:w="6392" w:type="dxa"/>
            <w:tcBorders>
              <w:top w:val="single" w:sz="4" w:space="0" w:color="auto"/>
              <w:left w:val="single" w:sz="4" w:space="0" w:color="auto"/>
              <w:bottom w:val="single" w:sz="4" w:space="0" w:color="auto"/>
              <w:right w:val="single" w:sz="4" w:space="0" w:color="auto"/>
            </w:tcBorders>
            <w:vAlign w:val="center"/>
          </w:tcPr>
          <w:p w14:paraId="3FD68644" w14:textId="2E284B92" w:rsidR="009D5C79" w:rsidRPr="00FD703D" w:rsidRDefault="009D5C79" w:rsidP="00C5432E">
            <w:pPr>
              <w:spacing w:after="60" w:line="259" w:lineRule="auto"/>
              <w:rPr>
                <w:rFonts w:eastAsia="Calibri" w:cs="Times New Roman"/>
                <w:noProof/>
                <w:sz w:val="22"/>
                <w:lang w:val="en-GB"/>
              </w:rPr>
            </w:pPr>
            <w:r w:rsidRPr="00FD703D">
              <w:rPr>
                <w:rFonts w:eastAsia="Calibri" w:cs="Times New Roman"/>
                <w:noProof/>
                <w:sz w:val="22"/>
                <w:lang w:val="en-GB"/>
              </w:rPr>
              <w:lastRenderedPageBreak/>
              <w:t xml:space="preserve">Inclusion of PPP in the geodata-based application is an option that Member States can use, not an obligation. </w:t>
            </w:r>
          </w:p>
        </w:tc>
      </w:tr>
      <w:tr w:rsidR="009D5C79" w:rsidRPr="00FD703D" w14:paraId="1B73B0DE" w14:textId="77777777" w:rsidTr="006257C2">
        <w:trPr>
          <w:trHeight w:val="300"/>
        </w:trPr>
        <w:tc>
          <w:tcPr>
            <w:tcW w:w="648" w:type="dxa"/>
            <w:tcBorders>
              <w:top w:val="single" w:sz="4" w:space="0" w:color="auto"/>
              <w:bottom w:val="nil"/>
            </w:tcBorders>
            <w:vAlign w:val="center"/>
          </w:tcPr>
          <w:p w14:paraId="57A47D51" w14:textId="468DB83C"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t>31</w:t>
            </w:r>
            <w:r w:rsidR="00E558D0">
              <w:rPr>
                <w:rFonts w:eastAsia="Calibri" w:cs="Times New Roman"/>
                <w:b/>
                <w:bCs/>
                <w:noProof/>
                <w:sz w:val="22"/>
                <w:lang w:val="en-GB"/>
              </w:rPr>
              <w:t>4</w:t>
            </w:r>
          </w:p>
        </w:tc>
        <w:tc>
          <w:tcPr>
            <w:tcW w:w="5917" w:type="dxa"/>
            <w:tcBorders>
              <w:top w:val="single" w:sz="4" w:space="0" w:color="auto"/>
              <w:bottom w:val="nil"/>
            </w:tcBorders>
            <w:vAlign w:val="center"/>
          </w:tcPr>
          <w:p w14:paraId="5C687A32" w14:textId="56B27D98" w:rsidR="009D5C79" w:rsidRPr="00FD703D" w:rsidRDefault="14C693F7" w:rsidP="00C5432E">
            <w:pPr>
              <w:spacing w:after="60" w:line="259" w:lineRule="auto"/>
              <w:jc w:val="both"/>
              <w:rPr>
                <w:rFonts w:eastAsia="Calibri" w:cs="Times New Roman"/>
                <w:b/>
                <w:bCs/>
                <w:noProof/>
                <w:sz w:val="22"/>
                <w:szCs w:val="20"/>
                <w:lang w:val="en-GB"/>
              </w:rPr>
            </w:pPr>
            <w:r w:rsidRPr="00FD703D">
              <w:rPr>
                <w:rFonts w:eastAsia="Calibri" w:cs="Times New Roman"/>
                <w:b/>
                <w:bCs/>
                <w:noProof/>
                <w:sz w:val="22"/>
                <w:szCs w:val="20"/>
                <w:lang w:val="en-GB"/>
              </w:rPr>
              <w:t>Authori</w:t>
            </w:r>
            <w:r w:rsidR="5F4A17AE" w:rsidRPr="00FD703D">
              <w:rPr>
                <w:rFonts w:eastAsia="Calibri" w:cs="Times New Roman"/>
                <w:b/>
                <w:bCs/>
                <w:noProof/>
                <w:sz w:val="22"/>
                <w:szCs w:val="20"/>
                <w:lang w:val="en-GB"/>
              </w:rPr>
              <w:t>s</w:t>
            </w:r>
            <w:r w:rsidRPr="00FD703D">
              <w:rPr>
                <w:rFonts w:eastAsia="Calibri" w:cs="Times New Roman"/>
                <w:b/>
                <w:bCs/>
                <w:noProof/>
                <w:sz w:val="22"/>
                <w:szCs w:val="20"/>
                <w:lang w:val="en-GB"/>
              </w:rPr>
              <w:t>ation procedures:</w:t>
            </w:r>
            <w:r w:rsidRPr="00FD703D">
              <w:rPr>
                <w:rFonts w:eastAsia="Calibri" w:cs="Times New Roman"/>
                <w:noProof/>
                <w:sz w:val="22"/>
                <w:szCs w:val="20"/>
                <w:lang w:val="en-GB"/>
              </w:rPr>
              <w:t xml:space="preserve"> </w:t>
            </w:r>
            <w:r w:rsidR="3A675845" w:rsidRPr="00FD703D">
              <w:rPr>
                <w:rFonts w:eastAsia="Calibri" w:cs="Times New Roman"/>
                <w:noProof/>
                <w:sz w:val="22"/>
                <w:szCs w:val="20"/>
                <w:lang w:val="en-GB"/>
              </w:rPr>
              <w:t>f</w:t>
            </w:r>
            <w:r w:rsidRPr="00FD703D">
              <w:rPr>
                <w:rFonts w:eastAsia="Calibri" w:cs="Times New Roman"/>
                <w:noProof/>
                <w:sz w:val="22"/>
                <w:szCs w:val="20"/>
                <w:lang w:val="en-GB"/>
              </w:rPr>
              <w:t>aster authori</w:t>
            </w:r>
            <w:r w:rsidR="5F4A17AE" w:rsidRPr="00FD703D">
              <w:rPr>
                <w:rFonts w:eastAsia="Calibri" w:cs="Times New Roman"/>
                <w:noProof/>
                <w:sz w:val="22"/>
                <w:szCs w:val="20"/>
                <w:lang w:val="en-GB"/>
              </w:rPr>
              <w:t>s</w:t>
            </w:r>
            <w:r w:rsidRPr="00FD703D">
              <w:rPr>
                <w:rFonts w:eastAsia="Calibri" w:cs="Times New Roman"/>
                <w:noProof/>
                <w:sz w:val="22"/>
                <w:szCs w:val="20"/>
                <w:lang w:val="en-GB"/>
              </w:rPr>
              <w:t>ation procedures for market access of new active substances (without compromising the safety of the products)</w:t>
            </w:r>
            <w:r w:rsidR="68280AF0" w:rsidRPr="00FD703D">
              <w:rPr>
                <w:rFonts w:eastAsia="Calibri" w:cs="Times New Roman"/>
                <w:noProof/>
                <w:sz w:val="22"/>
                <w:szCs w:val="20"/>
                <w:lang w:val="en-GB"/>
              </w:rPr>
              <w:t>.</w:t>
            </w:r>
          </w:p>
        </w:tc>
        <w:tc>
          <w:tcPr>
            <w:tcW w:w="1530" w:type="dxa"/>
            <w:tcBorders>
              <w:top w:val="single" w:sz="4" w:space="0" w:color="auto"/>
              <w:bottom w:val="nil"/>
            </w:tcBorders>
            <w:vAlign w:val="center"/>
          </w:tcPr>
          <w:p w14:paraId="2F24ADFA" w14:textId="3DE5EDC4" w:rsidR="009D5C79" w:rsidRPr="00FD703D" w:rsidRDefault="009D5C79" w:rsidP="00C5432E">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lang w:val="en-GB"/>
              </w:rPr>
              <w:t>COPA-COGECA</w:t>
            </w:r>
          </w:p>
        </w:tc>
        <w:tc>
          <w:tcPr>
            <w:tcW w:w="6392" w:type="dxa"/>
            <w:tcBorders>
              <w:top w:val="single" w:sz="4" w:space="0" w:color="auto"/>
              <w:bottom w:val="nil"/>
            </w:tcBorders>
            <w:vAlign w:val="center"/>
          </w:tcPr>
          <w:p w14:paraId="2D33132F" w14:textId="43F0E6F6" w:rsidR="009D5C79" w:rsidRPr="00FD703D" w:rsidRDefault="009D5C79" w:rsidP="00C5432E">
            <w:pPr>
              <w:spacing w:after="60" w:line="259" w:lineRule="auto"/>
              <w:jc w:val="both"/>
              <w:rPr>
                <w:rFonts w:eastAsia="Calibri" w:cs="Times New Roman"/>
                <w:noProof/>
                <w:sz w:val="22"/>
                <w:lang w:val="en-GB"/>
              </w:rPr>
            </w:pPr>
            <w:r w:rsidRPr="00FD703D">
              <w:rPr>
                <w:rFonts w:eastAsia="Calibri" w:cs="Times New Roman"/>
                <w:noProof/>
                <w:color w:val="000000"/>
                <w:sz w:val="22"/>
                <w:lang w:val="en-GB"/>
              </w:rPr>
              <w:t xml:space="preserve">Regulation (EC) No 1107/2009 already contains clear deadlines for the various pre-marketing procedures, which are, however, in many cases not respected by the Member States due to resource constraints. </w:t>
            </w:r>
            <w:r w:rsidR="00547E87">
              <w:rPr>
                <w:rFonts w:eastAsia="Calibri" w:cs="Times New Roman"/>
                <w:noProof/>
                <w:color w:val="000000"/>
                <w:sz w:val="22"/>
                <w:lang w:val="en-GB"/>
              </w:rPr>
              <w:br/>
            </w:r>
            <w:r w:rsidRPr="00FD703D">
              <w:rPr>
                <w:rFonts w:eastAsia="Calibri" w:cs="Times New Roman"/>
                <w:noProof/>
                <w:color w:val="000000"/>
                <w:sz w:val="22"/>
                <w:lang w:val="en-GB"/>
              </w:rPr>
              <w:t>The Commission has already repeatedly reminded Member States (and will continue to do so) to increase resources and respect deadlines and it has provided financial support to Member States for this purpose.</w:t>
            </w:r>
          </w:p>
        </w:tc>
      </w:tr>
      <w:tr w:rsidR="009D5C79" w:rsidRPr="00FD703D" w14:paraId="5535B201" w14:textId="77777777" w:rsidTr="006257C2">
        <w:trPr>
          <w:trHeight w:val="300"/>
        </w:trPr>
        <w:tc>
          <w:tcPr>
            <w:tcW w:w="648" w:type="dxa"/>
            <w:tcBorders>
              <w:bottom w:val="nil"/>
            </w:tcBorders>
            <w:vAlign w:val="center"/>
          </w:tcPr>
          <w:p w14:paraId="5A3E3375" w14:textId="7E554F4C"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t>31</w:t>
            </w:r>
            <w:r w:rsidR="00E558D0">
              <w:rPr>
                <w:rFonts w:eastAsia="Calibri" w:cs="Times New Roman"/>
                <w:b/>
                <w:bCs/>
                <w:noProof/>
                <w:sz w:val="22"/>
                <w:lang w:val="en-GB"/>
              </w:rPr>
              <w:t>5</w:t>
            </w:r>
          </w:p>
        </w:tc>
        <w:tc>
          <w:tcPr>
            <w:tcW w:w="5917" w:type="dxa"/>
            <w:tcBorders>
              <w:bottom w:val="nil"/>
            </w:tcBorders>
            <w:vAlign w:val="center"/>
          </w:tcPr>
          <w:p w14:paraId="1F48E646" w14:textId="7655B1A0" w:rsidR="009D5C79" w:rsidRPr="00FD703D" w:rsidRDefault="14C693F7" w:rsidP="00C5432E">
            <w:pPr>
              <w:spacing w:after="60"/>
              <w:jc w:val="both"/>
              <w:rPr>
                <w:rFonts w:eastAsia="Calibri" w:cs="Times New Roman"/>
                <w:b/>
                <w:bCs/>
                <w:noProof/>
                <w:sz w:val="22"/>
                <w:szCs w:val="20"/>
                <w:lang w:val="en-GB"/>
              </w:rPr>
            </w:pPr>
            <w:r w:rsidRPr="00FD703D">
              <w:rPr>
                <w:rFonts w:eastAsia="Calibri" w:cs="Times New Roman"/>
                <w:b/>
                <w:bCs/>
                <w:noProof/>
                <w:sz w:val="22"/>
                <w:szCs w:val="20"/>
                <w:lang w:val="en-GB"/>
              </w:rPr>
              <w:t>Status of seeds:</w:t>
            </w:r>
            <w:r w:rsidRPr="00FD703D">
              <w:rPr>
                <w:rFonts w:eastAsia="Calibri" w:cs="Times New Roman"/>
                <w:noProof/>
                <w:sz w:val="22"/>
                <w:szCs w:val="20"/>
                <w:lang w:val="en-GB"/>
              </w:rPr>
              <w:t xml:space="preserve"> </w:t>
            </w:r>
            <w:r w:rsidR="046C2C9C" w:rsidRPr="00FD703D">
              <w:rPr>
                <w:rFonts w:eastAsia="Calibri" w:cs="Times New Roman"/>
                <w:noProof/>
                <w:sz w:val="22"/>
                <w:szCs w:val="20"/>
                <w:lang w:val="en-GB"/>
              </w:rPr>
              <w:t>c</w:t>
            </w:r>
            <w:r w:rsidRPr="00FD703D">
              <w:rPr>
                <w:rFonts w:eastAsia="Calibri" w:cs="Times New Roman"/>
                <w:noProof/>
                <w:sz w:val="22"/>
                <w:szCs w:val="20"/>
                <w:lang w:val="en-GB"/>
              </w:rPr>
              <w:t>larify the status of seeds treated with a plant protection product (mixture or an item/an article) in the context of their export</w:t>
            </w:r>
            <w:r w:rsidR="00CB2F59">
              <w:rPr>
                <w:rFonts w:eastAsia="Calibri" w:cs="Times New Roman"/>
                <w:noProof/>
                <w:sz w:val="22"/>
                <w:szCs w:val="20"/>
                <w:lang w:val="en-GB"/>
              </w:rPr>
              <w:t xml:space="preserve"> </w:t>
            </w:r>
            <w:r w:rsidR="5E7F826C" w:rsidRPr="00FD703D">
              <w:rPr>
                <w:rFonts w:eastAsia="Calibri" w:cs="Times New Roman"/>
                <w:noProof/>
                <w:sz w:val="22"/>
                <w:szCs w:val="20"/>
                <w:lang w:val="en-GB"/>
              </w:rPr>
              <w:t>(</w:t>
            </w:r>
            <w:r w:rsidRPr="00FD703D">
              <w:rPr>
                <w:rFonts w:eastAsia="Calibri" w:cs="Times New Roman"/>
                <w:noProof/>
                <w:sz w:val="22"/>
                <w:szCs w:val="20"/>
                <w:lang w:val="en-GB"/>
              </w:rPr>
              <w:t>Regulation (</w:t>
            </w:r>
            <w:r w:rsidR="00CB2F59" w:rsidRPr="00FD703D">
              <w:rPr>
                <w:rFonts w:eastAsia="Calibri" w:cs="Times New Roman"/>
                <w:noProof/>
                <w:sz w:val="22"/>
                <w:szCs w:val="20"/>
                <w:lang w:val="en-GB"/>
              </w:rPr>
              <w:t>EU) 649</w:t>
            </w:r>
            <w:r w:rsidRPr="00FD703D">
              <w:rPr>
                <w:rFonts w:eastAsia="Calibri" w:cs="Times New Roman"/>
                <w:noProof/>
                <w:sz w:val="22"/>
                <w:szCs w:val="20"/>
                <w:lang w:val="en-GB"/>
              </w:rPr>
              <w:t>/2012</w:t>
            </w:r>
            <w:r w:rsidR="33264BD3" w:rsidRPr="00FD703D">
              <w:rPr>
                <w:rFonts w:eastAsia="Calibri" w:cs="Times New Roman"/>
                <w:noProof/>
                <w:sz w:val="22"/>
                <w:szCs w:val="20"/>
                <w:lang w:val="en-GB"/>
              </w:rPr>
              <w:t>).</w:t>
            </w:r>
          </w:p>
        </w:tc>
        <w:tc>
          <w:tcPr>
            <w:tcW w:w="1530" w:type="dxa"/>
            <w:tcBorders>
              <w:bottom w:val="nil"/>
            </w:tcBorders>
            <w:vAlign w:val="center"/>
          </w:tcPr>
          <w:p w14:paraId="4AB6CBF1" w14:textId="13021BA4" w:rsidR="009D5C79" w:rsidRPr="00FD703D" w:rsidRDefault="009D5C79" w:rsidP="00C5432E">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FR</w:t>
            </w:r>
          </w:p>
        </w:tc>
        <w:tc>
          <w:tcPr>
            <w:tcW w:w="6392" w:type="dxa"/>
            <w:tcBorders>
              <w:bottom w:val="nil"/>
            </w:tcBorders>
            <w:vAlign w:val="center"/>
          </w:tcPr>
          <w:p w14:paraId="61BAC573" w14:textId="19F0A3C1" w:rsidR="009D5C79" w:rsidRPr="00FD703D" w:rsidRDefault="0CCA7DA2" w:rsidP="00547E87">
            <w:pPr>
              <w:spacing w:after="60"/>
              <w:jc w:val="both"/>
              <w:rPr>
                <w:rFonts w:eastAsia="Calibri" w:cs="Times New Roman"/>
                <w:noProof/>
                <w:sz w:val="22"/>
                <w:szCs w:val="20"/>
                <w:highlight w:val="red"/>
                <w:lang w:val="en-GB"/>
              </w:rPr>
            </w:pPr>
            <w:r w:rsidRPr="0023561A">
              <w:rPr>
                <w:rFonts w:eastAsia="Calibri" w:cs="Times New Roman"/>
                <w:noProof/>
                <w:sz w:val="22"/>
                <w:szCs w:val="20"/>
                <w:lang w:val="en-GB"/>
              </w:rPr>
              <w:t>The Commission</w:t>
            </w:r>
            <w:r w:rsidR="00E81398" w:rsidRPr="0023561A">
              <w:rPr>
                <w:rFonts w:eastAsia="Calibri" w:cs="Times New Roman"/>
                <w:noProof/>
                <w:sz w:val="22"/>
                <w:szCs w:val="20"/>
                <w:lang w:val="en-GB"/>
              </w:rPr>
              <w:t>,</w:t>
            </w:r>
            <w:r w:rsidRPr="0023561A">
              <w:rPr>
                <w:rFonts w:eastAsia="Calibri" w:cs="Times New Roman"/>
                <w:noProof/>
                <w:sz w:val="22"/>
                <w:szCs w:val="20"/>
                <w:lang w:val="en-GB"/>
              </w:rPr>
              <w:t xml:space="preserve"> in consultation with the Member States</w:t>
            </w:r>
            <w:r w:rsidR="00E81398" w:rsidRPr="0023561A">
              <w:rPr>
                <w:rFonts w:eastAsia="Calibri" w:cs="Times New Roman"/>
                <w:noProof/>
                <w:sz w:val="22"/>
                <w:szCs w:val="20"/>
                <w:lang w:val="en-GB"/>
              </w:rPr>
              <w:t>,</w:t>
            </w:r>
            <w:r w:rsidRPr="0023561A">
              <w:rPr>
                <w:rFonts w:eastAsia="Calibri" w:cs="Times New Roman"/>
                <w:noProof/>
                <w:sz w:val="22"/>
                <w:szCs w:val="20"/>
                <w:lang w:val="en-GB"/>
              </w:rPr>
              <w:t xml:space="preserve"> is</w:t>
            </w:r>
            <w:r w:rsidR="00547E87">
              <w:rPr>
                <w:rFonts w:eastAsia="Calibri" w:cs="Times New Roman"/>
                <w:noProof/>
                <w:sz w:val="22"/>
                <w:szCs w:val="20"/>
                <w:lang w:val="en-GB"/>
              </w:rPr>
              <w:t xml:space="preserve"> </w:t>
            </w:r>
            <w:r w:rsidRPr="0023561A">
              <w:rPr>
                <w:rFonts w:eastAsia="Calibri" w:cs="Times New Roman"/>
                <w:noProof/>
                <w:sz w:val="22"/>
                <w:szCs w:val="20"/>
                <w:lang w:val="en-GB"/>
              </w:rPr>
              <w:t>considering the matter. As an interim approach, such treated seeds are handled as a mixture when exported.</w:t>
            </w:r>
          </w:p>
        </w:tc>
      </w:tr>
      <w:tr w:rsidR="009D5C79" w:rsidRPr="00FD703D" w14:paraId="007EF710" w14:textId="77777777" w:rsidTr="006257C2">
        <w:trPr>
          <w:trHeight w:val="300"/>
        </w:trPr>
        <w:tc>
          <w:tcPr>
            <w:tcW w:w="648" w:type="dxa"/>
            <w:tcBorders>
              <w:bottom w:val="nil"/>
            </w:tcBorders>
            <w:vAlign w:val="center"/>
          </w:tcPr>
          <w:p w14:paraId="07FAB96B" w14:textId="2E1C45EA"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t>31</w:t>
            </w:r>
            <w:r w:rsidR="00E558D0">
              <w:rPr>
                <w:rFonts w:eastAsia="Calibri" w:cs="Times New Roman"/>
                <w:b/>
                <w:bCs/>
                <w:noProof/>
                <w:sz w:val="22"/>
                <w:lang w:val="en-GB"/>
              </w:rPr>
              <w:t>6</w:t>
            </w:r>
          </w:p>
        </w:tc>
        <w:tc>
          <w:tcPr>
            <w:tcW w:w="5917" w:type="dxa"/>
            <w:tcBorders>
              <w:bottom w:val="nil"/>
            </w:tcBorders>
            <w:vAlign w:val="center"/>
          </w:tcPr>
          <w:p w14:paraId="38A7E44F" w14:textId="10978024" w:rsidR="009D5C79" w:rsidRPr="00FD703D" w:rsidRDefault="14C693F7" w:rsidP="00C5432E">
            <w:pPr>
              <w:spacing w:after="60"/>
              <w:jc w:val="both"/>
              <w:rPr>
                <w:rFonts w:eastAsia="Calibri" w:cs="Times New Roman"/>
                <w:b/>
                <w:bCs/>
                <w:noProof/>
                <w:sz w:val="22"/>
                <w:szCs w:val="20"/>
                <w:lang w:val="en-GB"/>
              </w:rPr>
            </w:pPr>
            <w:r w:rsidRPr="00FD703D">
              <w:rPr>
                <w:rFonts w:eastAsia="Calibri" w:cs="Times New Roman"/>
                <w:b/>
                <w:bCs/>
                <w:noProof/>
                <w:sz w:val="22"/>
                <w:szCs w:val="20"/>
                <w:lang w:val="en-GB"/>
              </w:rPr>
              <w:t>Maximum limits on residues:</w:t>
            </w:r>
            <w:r w:rsidRPr="00FD703D">
              <w:rPr>
                <w:rFonts w:eastAsia="Calibri" w:cs="Times New Roman"/>
                <w:noProof/>
                <w:sz w:val="22"/>
                <w:szCs w:val="20"/>
                <w:lang w:val="en-GB"/>
              </w:rPr>
              <w:t xml:space="preserve"> </w:t>
            </w:r>
            <w:r w:rsidR="00C40985" w:rsidRPr="00FD703D">
              <w:rPr>
                <w:rFonts w:eastAsia="Calibri" w:cs="Times New Roman"/>
                <w:noProof/>
                <w:sz w:val="22"/>
                <w:szCs w:val="20"/>
                <w:lang w:val="en-GB"/>
              </w:rPr>
              <w:t>s</w:t>
            </w:r>
            <w:r w:rsidRPr="00FD703D">
              <w:rPr>
                <w:rFonts w:eastAsia="Calibri" w:cs="Times New Roman"/>
                <w:noProof/>
                <w:sz w:val="22"/>
                <w:szCs w:val="20"/>
                <w:lang w:val="en-GB"/>
              </w:rPr>
              <w:t xml:space="preserve">implification of the lowering of the maximum limits on residues for prohibited plant protection substances </w:t>
            </w:r>
            <w:r w:rsidR="5F4A17AE" w:rsidRPr="00FD703D">
              <w:rPr>
                <w:rFonts w:eastAsia="Calibri" w:cs="Times New Roman"/>
                <w:noProof/>
                <w:sz w:val="22"/>
                <w:szCs w:val="20"/>
                <w:lang w:val="en-GB"/>
              </w:rPr>
              <w:t>T</w:t>
            </w:r>
            <w:r w:rsidRPr="00FD703D">
              <w:rPr>
                <w:rFonts w:eastAsia="Calibri" w:cs="Times New Roman"/>
                <w:noProof/>
                <w:sz w:val="22"/>
                <w:szCs w:val="20"/>
                <w:lang w:val="en-GB"/>
              </w:rPr>
              <w:t>he lowering of maximum residue levels (MRLs) for pesticide residues could become systematic after the end of the approval of a plant protection product and the expiry of grace periods, at least for all substances presenting an exclusion criterion for human health or for which the level of risk cannot be properly assessed due to the absence of an update of the toxicological dossier (Regulation (EU)  1107/2009  and Regulation (EC)  396/2005 )</w:t>
            </w:r>
            <w:r w:rsidR="5F4A17AE" w:rsidRPr="00FD703D">
              <w:rPr>
                <w:rFonts w:eastAsia="Calibri" w:cs="Times New Roman"/>
                <w:noProof/>
                <w:sz w:val="22"/>
                <w:szCs w:val="20"/>
                <w:lang w:val="en-GB"/>
              </w:rPr>
              <w:t>.</w:t>
            </w:r>
          </w:p>
        </w:tc>
        <w:tc>
          <w:tcPr>
            <w:tcW w:w="1530" w:type="dxa"/>
            <w:tcBorders>
              <w:bottom w:val="nil"/>
            </w:tcBorders>
            <w:vAlign w:val="center"/>
          </w:tcPr>
          <w:p w14:paraId="1BEE8B82" w14:textId="43C655E4" w:rsidR="009D5C79" w:rsidRPr="00FD703D" w:rsidRDefault="009D5C79" w:rsidP="00C5432E">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FR, HU</w:t>
            </w:r>
          </w:p>
        </w:tc>
        <w:tc>
          <w:tcPr>
            <w:tcW w:w="6392" w:type="dxa"/>
            <w:tcBorders>
              <w:bottom w:val="nil"/>
            </w:tcBorders>
            <w:vAlign w:val="center"/>
          </w:tcPr>
          <w:p w14:paraId="296AC7C7" w14:textId="34B5BF56" w:rsidR="009D5C79" w:rsidRPr="00FD703D" w:rsidRDefault="009D5C79" w:rsidP="00C5432E">
            <w:pPr>
              <w:spacing w:after="60"/>
              <w:jc w:val="both"/>
              <w:rPr>
                <w:rFonts w:eastAsia="Calibri" w:cs="Times New Roman"/>
                <w:noProof/>
                <w:sz w:val="22"/>
                <w:lang w:val="en-GB"/>
              </w:rPr>
            </w:pPr>
            <w:r w:rsidRPr="00FD703D">
              <w:rPr>
                <w:rFonts w:eastAsia="Calibri" w:cs="Times New Roman"/>
                <w:noProof/>
                <w:sz w:val="22"/>
                <w:lang w:val="en-GB"/>
              </w:rPr>
              <w:t xml:space="preserve">Lowering MRLs for substances after </w:t>
            </w:r>
            <w:r w:rsidR="00314611" w:rsidRPr="00FD703D">
              <w:rPr>
                <w:rFonts w:eastAsia="Calibri" w:cs="Times New Roman"/>
                <w:noProof/>
                <w:sz w:val="22"/>
                <w:lang w:val="en-GB"/>
              </w:rPr>
              <w:t xml:space="preserve">the </w:t>
            </w:r>
            <w:r w:rsidRPr="00FD703D">
              <w:rPr>
                <w:rFonts w:eastAsia="Calibri" w:cs="Times New Roman"/>
                <w:noProof/>
                <w:sz w:val="22"/>
                <w:lang w:val="en-GB"/>
              </w:rPr>
              <w:t>expiry of approval and grace periods is already current practice. Existing Codex MRLs must be considered in line with the EU's international obligations, and a targeted risk assessment by the European Food Safety Authority (EFSA) is needed in most cases. Such a risk assessment is also needed to see whether the toxicological dossier is outdated and</w:t>
            </w:r>
            <w:r w:rsidR="00314611" w:rsidRPr="00FD703D">
              <w:rPr>
                <w:rFonts w:eastAsia="Calibri" w:cs="Times New Roman"/>
                <w:noProof/>
                <w:sz w:val="22"/>
                <w:lang w:val="en-GB"/>
              </w:rPr>
              <w:t>,</w:t>
            </w:r>
            <w:r w:rsidRPr="00FD703D">
              <w:rPr>
                <w:rFonts w:eastAsia="Calibri" w:cs="Times New Roman"/>
                <w:noProof/>
                <w:sz w:val="22"/>
                <w:lang w:val="en-GB"/>
              </w:rPr>
              <w:t xml:space="preserve"> therefore</w:t>
            </w:r>
            <w:r w:rsidR="00314611" w:rsidRPr="00FD703D">
              <w:rPr>
                <w:rFonts w:eastAsia="Calibri" w:cs="Times New Roman"/>
                <w:noProof/>
                <w:sz w:val="22"/>
                <w:lang w:val="en-GB"/>
              </w:rPr>
              <w:t>, whether</w:t>
            </w:r>
            <w:r w:rsidRPr="00FD703D">
              <w:rPr>
                <w:rFonts w:eastAsia="Calibri" w:cs="Times New Roman"/>
                <w:noProof/>
                <w:sz w:val="22"/>
                <w:lang w:val="en-GB"/>
              </w:rPr>
              <w:t xml:space="preserve"> the toxicological reference values </w:t>
            </w:r>
            <w:r w:rsidR="00314611" w:rsidRPr="00FD703D">
              <w:rPr>
                <w:rFonts w:eastAsia="Calibri" w:cs="Times New Roman"/>
                <w:noProof/>
                <w:sz w:val="22"/>
                <w:lang w:val="en-GB"/>
              </w:rPr>
              <w:t xml:space="preserve">are </w:t>
            </w:r>
            <w:r w:rsidRPr="00FD703D">
              <w:rPr>
                <w:rFonts w:eastAsia="Calibri" w:cs="Times New Roman"/>
                <w:noProof/>
                <w:sz w:val="22"/>
                <w:lang w:val="en-GB"/>
              </w:rPr>
              <w:t>no longer appropriate. This is not always the case.</w:t>
            </w:r>
          </w:p>
        </w:tc>
      </w:tr>
      <w:tr w:rsidR="009D5C79" w:rsidRPr="00FD703D" w14:paraId="0251F2C2" w14:textId="77777777" w:rsidTr="006257C2">
        <w:trPr>
          <w:trHeight w:val="300"/>
        </w:trPr>
        <w:tc>
          <w:tcPr>
            <w:tcW w:w="648" w:type="dxa"/>
            <w:tcBorders>
              <w:bottom w:val="single" w:sz="4" w:space="0" w:color="auto"/>
            </w:tcBorders>
            <w:vAlign w:val="center"/>
          </w:tcPr>
          <w:p w14:paraId="21D8C528" w14:textId="2654E6EE"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t>31</w:t>
            </w:r>
            <w:r w:rsidR="00E558D0">
              <w:rPr>
                <w:rFonts w:eastAsia="Calibri" w:cs="Times New Roman"/>
                <w:b/>
                <w:bCs/>
                <w:noProof/>
                <w:sz w:val="22"/>
                <w:lang w:val="en-GB"/>
              </w:rPr>
              <w:t>7</w:t>
            </w:r>
          </w:p>
        </w:tc>
        <w:tc>
          <w:tcPr>
            <w:tcW w:w="5917" w:type="dxa"/>
            <w:tcBorders>
              <w:bottom w:val="single" w:sz="4" w:space="0" w:color="auto"/>
            </w:tcBorders>
            <w:vAlign w:val="center"/>
          </w:tcPr>
          <w:p w14:paraId="141046AF" w14:textId="2E06F0F4"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t xml:space="preserve">Alternatives for plant protection products: </w:t>
            </w:r>
            <w:r w:rsidR="00C40985" w:rsidRPr="00FD703D">
              <w:rPr>
                <w:rFonts w:eastAsia="Calibri" w:cs="Times New Roman"/>
                <w:noProof/>
                <w:sz w:val="22"/>
                <w:lang w:val="en-GB"/>
              </w:rPr>
              <w:t>a</w:t>
            </w:r>
            <w:r w:rsidRPr="00FD703D">
              <w:rPr>
                <w:rFonts w:eastAsia="Calibri" w:cs="Times New Roman"/>
                <w:noProof/>
                <w:sz w:val="22"/>
                <w:lang w:val="en-GB"/>
              </w:rPr>
              <w:t xml:space="preserve">lternatives </w:t>
            </w:r>
            <w:r w:rsidR="00C116D0" w:rsidRPr="00FD703D">
              <w:rPr>
                <w:rFonts w:eastAsia="Calibri" w:cs="Times New Roman"/>
                <w:noProof/>
                <w:sz w:val="22"/>
                <w:lang w:val="en-GB"/>
              </w:rPr>
              <w:t xml:space="preserve">to </w:t>
            </w:r>
            <w:r w:rsidRPr="00FD703D">
              <w:rPr>
                <w:rFonts w:eastAsia="Calibri" w:cs="Times New Roman"/>
                <w:noProof/>
                <w:sz w:val="22"/>
                <w:lang w:val="en-GB"/>
              </w:rPr>
              <w:t xml:space="preserve">plant protection products must be available on the </w:t>
            </w:r>
            <w:r w:rsidR="00CB2F59" w:rsidRPr="00FD703D">
              <w:rPr>
                <w:rFonts w:eastAsia="Calibri" w:cs="Times New Roman"/>
                <w:noProof/>
                <w:sz w:val="22"/>
                <w:lang w:val="en-GB"/>
              </w:rPr>
              <w:t>market before</w:t>
            </w:r>
            <w:r w:rsidRPr="00FD703D">
              <w:rPr>
                <w:rFonts w:eastAsia="Calibri" w:cs="Times New Roman"/>
                <w:noProof/>
                <w:sz w:val="22"/>
                <w:lang w:val="en-GB"/>
              </w:rPr>
              <w:t xml:space="preserve"> PPP</w:t>
            </w:r>
            <w:r w:rsidR="00C116D0" w:rsidRPr="00FD703D">
              <w:rPr>
                <w:rFonts w:eastAsia="Calibri" w:cs="Times New Roman"/>
                <w:noProof/>
                <w:sz w:val="22"/>
                <w:lang w:val="en-GB"/>
              </w:rPr>
              <w:t>s</w:t>
            </w:r>
            <w:r w:rsidRPr="00FD703D">
              <w:rPr>
                <w:rFonts w:eastAsia="Calibri" w:cs="Times New Roman"/>
                <w:noProof/>
                <w:sz w:val="22"/>
                <w:lang w:val="en-GB"/>
              </w:rPr>
              <w:t xml:space="preserve"> are withdrawn</w:t>
            </w:r>
            <w:r w:rsidR="00C116D0" w:rsidRPr="00FD703D">
              <w:rPr>
                <w:rFonts w:eastAsia="Calibri" w:cs="Times New Roman"/>
                <w:noProof/>
                <w:sz w:val="22"/>
                <w:lang w:val="en-GB"/>
              </w:rPr>
              <w:t xml:space="preserve"> or </w:t>
            </w:r>
            <w:r w:rsidRPr="00FD703D">
              <w:rPr>
                <w:rFonts w:eastAsia="Calibri" w:cs="Times New Roman"/>
                <w:noProof/>
                <w:sz w:val="22"/>
                <w:lang w:val="en-GB"/>
              </w:rPr>
              <w:t xml:space="preserve">banned. </w:t>
            </w:r>
          </w:p>
        </w:tc>
        <w:tc>
          <w:tcPr>
            <w:tcW w:w="1530" w:type="dxa"/>
            <w:tcBorders>
              <w:bottom w:val="single" w:sz="4" w:space="0" w:color="auto"/>
            </w:tcBorders>
            <w:vAlign w:val="center"/>
          </w:tcPr>
          <w:p w14:paraId="4F745A90" w14:textId="42273FCB" w:rsidR="009D5C79" w:rsidRPr="00FD703D" w:rsidRDefault="009D5C79" w:rsidP="00C5432E">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MT</w:t>
            </w:r>
          </w:p>
        </w:tc>
        <w:tc>
          <w:tcPr>
            <w:tcW w:w="6392" w:type="dxa"/>
            <w:tcBorders>
              <w:bottom w:val="single" w:sz="4" w:space="0" w:color="auto"/>
            </w:tcBorders>
          </w:tcPr>
          <w:p w14:paraId="5498D408" w14:textId="6614B708" w:rsidR="00FB37A5" w:rsidRPr="00FD703D" w:rsidRDefault="1AE33224" w:rsidP="00547E87">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The availability and placing on the market of alternatives </w:t>
            </w:r>
            <w:r w:rsidR="74C4AD69" w:rsidRPr="00FD703D">
              <w:rPr>
                <w:rFonts w:eastAsia="Calibri" w:cs="Times New Roman"/>
                <w:noProof/>
                <w:sz w:val="22"/>
                <w:szCs w:val="20"/>
                <w:lang w:val="en-GB"/>
              </w:rPr>
              <w:t xml:space="preserve">to </w:t>
            </w:r>
            <w:r w:rsidRPr="00FD703D">
              <w:rPr>
                <w:rFonts w:eastAsia="Calibri" w:cs="Times New Roman"/>
                <w:noProof/>
                <w:sz w:val="22"/>
                <w:szCs w:val="20"/>
                <w:lang w:val="en-GB"/>
              </w:rPr>
              <w:t xml:space="preserve">PPPs is indeed an important element in the shift to </w:t>
            </w:r>
            <w:r w:rsidR="74C4AD69" w:rsidRPr="00FD703D">
              <w:rPr>
                <w:rFonts w:eastAsia="Calibri" w:cs="Times New Roman"/>
                <w:noProof/>
                <w:sz w:val="22"/>
                <w:szCs w:val="20"/>
                <w:lang w:val="en-GB"/>
              </w:rPr>
              <w:t xml:space="preserve">a </w:t>
            </w:r>
            <w:r w:rsidRPr="00FD703D">
              <w:rPr>
                <w:rFonts w:eastAsia="Calibri" w:cs="Times New Roman"/>
                <w:noProof/>
                <w:sz w:val="22"/>
                <w:szCs w:val="20"/>
                <w:lang w:val="en-GB"/>
              </w:rPr>
              <w:t xml:space="preserve">more sustainable use of </w:t>
            </w:r>
            <w:r w:rsidR="017BEECB" w:rsidRPr="00FD703D">
              <w:rPr>
                <w:rFonts w:eastAsia="Calibri" w:cs="Times New Roman"/>
                <w:noProof/>
                <w:sz w:val="22"/>
                <w:szCs w:val="20"/>
                <w:lang w:val="en-GB"/>
              </w:rPr>
              <w:t>PPPs</w:t>
            </w:r>
            <w:r w:rsidR="00495FF3" w:rsidRPr="00FD703D">
              <w:rPr>
                <w:rFonts w:eastAsia="Calibri" w:cs="Times New Roman"/>
                <w:noProof/>
                <w:sz w:val="22"/>
                <w:szCs w:val="20"/>
                <w:lang w:val="en-GB"/>
              </w:rPr>
              <w:t>.</w:t>
            </w:r>
            <w:r w:rsidRPr="00FD703D">
              <w:rPr>
                <w:rFonts w:eastAsia="Calibri" w:cs="Times New Roman"/>
                <w:noProof/>
                <w:sz w:val="22"/>
                <w:szCs w:val="20"/>
                <w:lang w:val="en-GB"/>
              </w:rPr>
              <w:t xml:space="preserve"> </w:t>
            </w:r>
          </w:p>
          <w:p w14:paraId="74402204" w14:textId="43BE978E" w:rsidR="00FB37A5" w:rsidRPr="00FD703D" w:rsidRDefault="1AE33224" w:rsidP="00547E87">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The decisions on approval of active substances and/or authorisation of </w:t>
            </w:r>
            <w:r w:rsidR="00495FF3" w:rsidRPr="00FD703D">
              <w:rPr>
                <w:rFonts w:eastAsia="Calibri" w:cs="Times New Roman"/>
                <w:noProof/>
                <w:sz w:val="22"/>
                <w:szCs w:val="20"/>
                <w:lang w:val="en-GB"/>
              </w:rPr>
              <w:t>PPPs</w:t>
            </w:r>
            <w:r w:rsidRPr="00FD703D">
              <w:rPr>
                <w:rFonts w:eastAsia="Calibri" w:cs="Times New Roman"/>
                <w:noProof/>
                <w:sz w:val="22"/>
                <w:szCs w:val="20"/>
                <w:lang w:val="en-GB"/>
              </w:rPr>
              <w:t xml:space="preserve"> must be taken in the light of the outcome of a risk assessment to prevent risks to human health or the environment. </w:t>
            </w:r>
          </w:p>
          <w:p w14:paraId="7271F811" w14:textId="01C900C6" w:rsidR="00FB37A5" w:rsidRPr="00FD703D" w:rsidRDefault="1AE33224" w:rsidP="00547E87">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The Commission has called multiple times on Member States to accelerate the assessment procedures for new, low-risk and biologically active substances and products to increase </w:t>
            </w:r>
            <w:r w:rsidR="754A5AB4" w:rsidRPr="00FD703D">
              <w:rPr>
                <w:rFonts w:eastAsia="Calibri" w:cs="Times New Roman"/>
                <w:noProof/>
                <w:sz w:val="22"/>
                <w:szCs w:val="20"/>
                <w:lang w:val="en-GB"/>
              </w:rPr>
              <w:t xml:space="preserve">the </w:t>
            </w:r>
            <w:r w:rsidRPr="00FD703D">
              <w:rPr>
                <w:rFonts w:eastAsia="Calibri" w:cs="Times New Roman"/>
                <w:noProof/>
                <w:sz w:val="22"/>
                <w:szCs w:val="20"/>
                <w:lang w:val="en-GB"/>
              </w:rPr>
              <w:t xml:space="preserve">availability of such products </w:t>
            </w:r>
            <w:r w:rsidR="754A5AB4" w:rsidRPr="00FD703D">
              <w:rPr>
                <w:rFonts w:eastAsia="Calibri" w:cs="Times New Roman"/>
                <w:noProof/>
                <w:sz w:val="22"/>
                <w:szCs w:val="20"/>
                <w:lang w:val="en-GB"/>
              </w:rPr>
              <w:t xml:space="preserve">to </w:t>
            </w:r>
            <w:r w:rsidRPr="00FD703D">
              <w:rPr>
                <w:rFonts w:eastAsia="Calibri" w:cs="Times New Roman"/>
                <w:noProof/>
                <w:sz w:val="22"/>
                <w:szCs w:val="20"/>
                <w:lang w:val="en-GB"/>
              </w:rPr>
              <w:t>farmers.</w:t>
            </w:r>
          </w:p>
          <w:p w14:paraId="3DC3243C" w14:textId="172F6BC5" w:rsidR="009D5C79" w:rsidRPr="00FD703D" w:rsidRDefault="1AE33224" w:rsidP="00547E87">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lastRenderedPageBreak/>
              <w:t xml:space="preserve">The Commission also provides financial support to Member States (EUR 10 million over 5 years) and training to increase </w:t>
            </w:r>
            <w:r w:rsidR="754A5AB4" w:rsidRPr="00FD703D">
              <w:rPr>
                <w:rFonts w:eastAsia="Calibri" w:cs="Times New Roman"/>
                <w:noProof/>
                <w:sz w:val="22"/>
                <w:szCs w:val="20"/>
                <w:lang w:val="en-GB"/>
              </w:rPr>
              <w:t xml:space="preserve">the </w:t>
            </w:r>
            <w:r w:rsidRPr="00FD703D">
              <w:rPr>
                <w:rFonts w:eastAsia="Calibri" w:cs="Times New Roman"/>
                <w:noProof/>
                <w:sz w:val="22"/>
                <w:szCs w:val="20"/>
                <w:lang w:val="en-GB"/>
              </w:rPr>
              <w:t xml:space="preserve">capacity and expertise to conduct </w:t>
            </w:r>
            <w:r w:rsidR="754A5AB4" w:rsidRPr="00FD703D">
              <w:rPr>
                <w:rFonts w:eastAsia="Calibri" w:cs="Times New Roman"/>
                <w:noProof/>
                <w:sz w:val="22"/>
                <w:szCs w:val="20"/>
                <w:lang w:val="en-GB"/>
              </w:rPr>
              <w:t xml:space="preserve">such </w:t>
            </w:r>
            <w:r w:rsidRPr="00FD703D">
              <w:rPr>
                <w:rFonts w:eastAsia="Calibri" w:cs="Times New Roman"/>
                <w:noProof/>
                <w:sz w:val="22"/>
                <w:szCs w:val="20"/>
                <w:lang w:val="en-GB"/>
              </w:rPr>
              <w:t xml:space="preserve">assessments.  </w:t>
            </w:r>
          </w:p>
        </w:tc>
      </w:tr>
      <w:tr w:rsidR="009D5C79" w:rsidRPr="00FD703D" w14:paraId="6CB40E97" w14:textId="77777777" w:rsidTr="006257C2">
        <w:trPr>
          <w:trHeight w:val="300"/>
        </w:trPr>
        <w:tc>
          <w:tcPr>
            <w:tcW w:w="14487" w:type="dxa"/>
            <w:gridSpan w:val="4"/>
            <w:tcBorders>
              <w:bottom w:val="nil"/>
            </w:tcBorders>
            <w:shd w:val="clear" w:color="auto" w:fill="000099"/>
            <w:vAlign w:val="center"/>
          </w:tcPr>
          <w:p w14:paraId="390AC1A8" w14:textId="6DDB24DE" w:rsidR="009D5C79" w:rsidRPr="00FD703D" w:rsidRDefault="009D5C79" w:rsidP="00C5432E">
            <w:pPr>
              <w:spacing w:before="120" w:after="120"/>
              <w:jc w:val="center"/>
              <w:rPr>
                <w:rFonts w:eastAsia="Calibri" w:cs="Times New Roman"/>
                <w:noProof/>
                <w:sz w:val="22"/>
                <w:lang w:val="en-GB"/>
              </w:rPr>
            </w:pPr>
            <w:r w:rsidRPr="00FD703D">
              <w:rPr>
                <w:rFonts w:eastAsia="Calibri" w:cs="Times New Roman"/>
                <w:b/>
                <w:bCs/>
                <w:noProof/>
                <w:sz w:val="22"/>
                <w:lang w:val="en-GB"/>
              </w:rPr>
              <w:lastRenderedPageBreak/>
              <w:t>Hygiene requirements for food of animal origin</w:t>
            </w:r>
          </w:p>
        </w:tc>
      </w:tr>
      <w:tr w:rsidR="009D5C79" w:rsidRPr="00FD703D" w14:paraId="2C775261" w14:textId="77777777" w:rsidTr="006257C2">
        <w:trPr>
          <w:trHeight w:val="300"/>
        </w:trPr>
        <w:tc>
          <w:tcPr>
            <w:tcW w:w="648" w:type="dxa"/>
            <w:tcBorders>
              <w:bottom w:val="nil"/>
            </w:tcBorders>
            <w:vAlign w:val="center"/>
          </w:tcPr>
          <w:p w14:paraId="74C44E33" w14:textId="0B013C9D"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t>31</w:t>
            </w:r>
            <w:r w:rsidR="00E558D0">
              <w:rPr>
                <w:rFonts w:eastAsia="Calibri" w:cs="Times New Roman"/>
                <w:b/>
                <w:bCs/>
                <w:noProof/>
                <w:sz w:val="22"/>
                <w:lang w:val="en-GB"/>
              </w:rPr>
              <w:t>8</w:t>
            </w:r>
          </w:p>
        </w:tc>
        <w:tc>
          <w:tcPr>
            <w:tcW w:w="5917" w:type="dxa"/>
            <w:tcBorders>
              <w:bottom w:val="nil"/>
            </w:tcBorders>
            <w:vAlign w:val="center"/>
          </w:tcPr>
          <w:p w14:paraId="29F8FE1A" w14:textId="7DBE927C" w:rsidR="009D5C79" w:rsidRPr="00FD703D" w:rsidRDefault="14C693F7" w:rsidP="00C5432E">
            <w:pPr>
              <w:spacing w:after="60"/>
              <w:jc w:val="both"/>
              <w:rPr>
                <w:rFonts w:eastAsia="Calibri" w:cs="Times New Roman"/>
                <w:b/>
                <w:bCs/>
                <w:noProof/>
                <w:sz w:val="22"/>
                <w:szCs w:val="20"/>
                <w:lang w:val="en-GB"/>
              </w:rPr>
            </w:pPr>
            <w:r w:rsidRPr="00FD703D">
              <w:rPr>
                <w:rFonts w:eastAsia="Calibri" w:cs="Times New Roman"/>
                <w:b/>
                <w:bCs/>
                <w:noProof/>
                <w:sz w:val="22"/>
                <w:szCs w:val="20"/>
                <w:lang w:val="en-GB"/>
              </w:rPr>
              <w:t>Temperature of melting ice:</w:t>
            </w:r>
            <w:r w:rsidRPr="00FD703D">
              <w:rPr>
                <w:rFonts w:eastAsia="Calibri" w:cs="Times New Roman"/>
                <w:noProof/>
                <w:sz w:val="22"/>
                <w:szCs w:val="20"/>
                <w:lang w:val="en-GB"/>
              </w:rPr>
              <w:t xml:space="preserve"> </w:t>
            </w:r>
            <w:r w:rsidR="0FDB7A79" w:rsidRPr="00FD703D">
              <w:rPr>
                <w:rFonts w:eastAsia="Calibri" w:cs="Times New Roman"/>
                <w:noProof/>
                <w:sz w:val="22"/>
                <w:szCs w:val="20"/>
                <w:lang w:val="en-GB"/>
              </w:rPr>
              <w:t>d</w:t>
            </w:r>
            <w:r w:rsidRPr="00FD703D">
              <w:rPr>
                <w:rFonts w:eastAsia="Calibri" w:cs="Times New Roman"/>
                <w:noProof/>
                <w:sz w:val="22"/>
                <w:szCs w:val="20"/>
                <w:lang w:val="en-GB"/>
              </w:rPr>
              <w:t>efinition of the range temperature corresponding to the temperature of melting ice to facilitate trade between Member States for fishery products (Regulation (EU) 2004/853).</w:t>
            </w:r>
          </w:p>
        </w:tc>
        <w:tc>
          <w:tcPr>
            <w:tcW w:w="1530" w:type="dxa"/>
            <w:tcBorders>
              <w:bottom w:val="nil"/>
            </w:tcBorders>
            <w:vAlign w:val="center"/>
          </w:tcPr>
          <w:p w14:paraId="503903C9" w14:textId="6D4139C5" w:rsidR="009D5C79" w:rsidRPr="00FD703D" w:rsidRDefault="009D5C79" w:rsidP="00C5432E">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EL</w:t>
            </w:r>
          </w:p>
        </w:tc>
        <w:tc>
          <w:tcPr>
            <w:tcW w:w="6392" w:type="dxa"/>
            <w:tcBorders>
              <w:bottom w:val="nil"/>
            </w:tcBorders>
            <w:vAlign w:val="center"/>
          </w:tcPr>
          <w:p w14:paraId="365315C7" w14:textId="3E84F593" w:rsidR="009D5C79" w:rsidRPr="00FD703D" w:rsidRDefault="009D5C79" w:rsidP="00C5432E">
            <w:pPr>
              <w:spacing w:line="259" w:lineRule="auto"/>
              <w:jc w:val="both"/>
              <w:rPr>
                <w:rFonts w:eastAsia="Calibri" w:cs="Times New Roman"/>
                <w:noProof/>
                <w:sz w:val="22"/>
                <w:lang w:val="en-GB"/>
              </w:rPr>
            </w:pPr>
            <w:r w:rsidRPr="00FD703D">
              <w:rPr>
                <w:rFonts w:eastAsia="Calibri" w:cs="Times New Roman"/>
                <w:noProof/>
                <w:sz w:val="22"/>
                <w:lang w:val="en-GB"/>
              </w:rPr>
              <w:t xml:space="preserve">The international standard refers to </w:t>
            </w:r>
            <w:r w:rsidR="00A35431" w:rsidRPr="00FD703D">
              <w:rPr>
                <w:rFonts w:eastAsia="Calibri" w:cs="Times New Roman"/>
                <w:noProof/>
                <w:sz w:val="22"/>
                <w:lang w:val="en-GB"/>
              </w:rPr>
              <w:t xml:space="preserve">the </w:t>
            </w:r>
            <w:r w:rsidRPr="00FD703D">
              <w:rPr>
                <w:rFonts w:eastAsia="Calibri" w:cs="Times New Roman"/>
                <w:noProof/>
                <w:sz w:val="22"/>
                <w:lang w:val="en-GB"/>
              </w:rPr>
              <w:t>temperature of melting ice. The Commission is not aware of any trade issues linked to this provision.</w:t>
            </w:r>
          </w:p>
        </w:tc>
      </w:tr>
      <w:tr w:rsidR="009D5C79" w:rsidRPr="00FD703D" w14:paraId="2AAE0535" w14:textId="77777777" w:rsidTr="006257C2">
        <w:trPr>
          <w:trHeight w:val="300"/>
        </w:trPr>
        <w:tc>
          <w:tcPr>
            <w:tcW w:w="648" w:type="dxa"/>
            <w:tcBorders>
              <w:bottom w:val="single" w:sz="4" w:space="0" w:color="auto"/>
            </w:tcBorders>
            <w:vAlign w:val="center"/>
          </w:tcPr>
          <w:p w14:paraId="343C40C5" w14:textId="68C6AEBC"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t>3</w:t>
            </w:r>
            <w:r w:rsidR="00E558D0">
              <w:rPr>
                <w:rFonts w:eastAsia="Calibri" w:cs="Times New Roman"/>
                <w:b/>
                <w:bCs/>
                <w:noProof/>
                <w:sz w:val="22"/>
                <w:lang w:val="en-GB"/>
              </w:rPr>
              <w:t>19</w:t>
            </w:r>
          </w:p>
        </w:tc>
        <w:tc>
          <w:tcPr>
            <w:tcW w:w="5917" w:type="dxa"/>
            <w:tcBorders>
              <w:bottom w:val="single" w:sz="4" w:space="0" w:color="auto"/>
            </w:tcBorders>
            <w:vAlign w:val="center"/>
          </w:tcPr>
          <w:p w14:paraId="285ED89F" w14:textId="0DCDCF10" w:rsidR="009D5C79" w:rsidRPr="00FD703D" w:rsidRDefault="14C693F7" w:rsidP="00C5432E">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Approval of wild game collection centres:</w:t>
            </w:r>
            <w:r w:rsidRPr="00FD703D">
              <w:rPr>
                <w:rFonts w:eastAsia="Calibri" w:cs="Times New Roman"/>
                <w:noProof/>
                <w:sz w:val="22"/>
                <w:szCs w:val="20"/>
                <w:lang w:val="en-GB"/>
              </w:rPr>
              <w:t xml:space="preserve"> </w:t>
            </w:r>
            <w:r w:rsidR="5AB20B8C" w:rsidRPr="00FD703D">
              <w:rPr>
                <w:rFonts w:eastAsia="Calibri" w:cs="Times New Roman"/>
                <w:noProof/>
                <w:sz w:val="22"/>
                <w:szCs w:val="20"/>
                <w:lang w:val="en-GB"/>
              </w:rPr>
              <w:t>w</w:t>
            </w:r>
            <w:r w:rsidRPr="00FD703D">
              <w:rPr>
                <w:rFonts w:eastAsia="Calibri" w:cs="Times New Roman"/>
                <w:noProof/>
                <w:sz w:val="22"/>
                <w:szCs w:val="20"/>
                <w:lang w:val="en-GB"/>
              </w:rPr>
              <w:t xml:space="preserve">ithdraw the requirement to approve wild game collection centres receiving venison from other wild game collection centres. </w:t>
            </w:r>
          </w:p>
          <w:p w14:paraId="068DA40E" w14:textId="74FD085A" w:rsidR="009D5C79" w:rsidRPr="00FD703D" w:rsidRDefault="14C693F7" w:rsidP="00C5432E">
            <w:pPr>
              <w:spacing w:after="60" w:line="259" w:lineRule="auto"/>
              <w:jc w:val="both"/>
              <w:rPr>
                <w:rFonts w:eastAsia="Calibri" w:cs="Times New Roman"/>
                <w:b/>
                <w:bCs/>
                <w:noProof/>
                <w:sz w:val="22"/>
                <w:szCs w:val="20"/>
                <w:lang w:val="en-GB"/>
              </w:rPr>
            </w:pPr>
            <w:r w:rsidRPr="00FD703D">
              <w:rPr>
                <w:rFonts w:eastAsia="Calibri" w:cs="Times New Roman"/>
                <w:noProof/>
                <w:sz w:val="22"/>
                <w:szCs w:val="20"/>
                <w:lang w:val="en-GB"/>
              </w:rPr>
              <w:t xml:space="preserve">Explanation: These are establishments where no handling of product is allowed. The health approval process is complex for these primary producers, knowing that no health mark can be applied to carcasses </w:t>
            </w:r>
            <w:r w:rsidR="35F6B2F8" w:rsidRPr="00FD703D">
              <w:rPr>
                <w:rFonts w:eastAsia="Calibri" w:cs="Times New Roman"/>
                <w:noProof/>
                <w:sz w:val="22"/>
                <w:szCs w:val="20"/>
                <w:lang w:val="en-GB"/>
              </w:rPr>
              <w:t>covered in</w:t>
            </w:r>
            <w:r w:rsidRPr="00FD703D">
              <w:rPr>
                <w:rFonts w:eastAsia="Calibri" w:cs="Times New Roman"/>
                <w:noProof/>
                <w:sz w:val="22"/>
                <w:szCs w:val="20"/>
                <w:lang w:val="en-GB"/>
              </w:rPr>
              <w:t xml:space="preserve"> hair</w:t>
            </w:r>
            <w:r w:rsidR="35F6B2F8" w:rsidRPr="00FD703D">
              <w:rPr>
                <w:rFonts w:eastAsia="Calibri" w:cs="Times New Roman"/>
                <w:noProof/>
                <w:sz w:val="22"/>
                <w:szCs w:val="20"/>
                <w:lang w:val="en-GB"/>
              </w:rPr>
              <w:t xml:space="preserve"> or </w:t>
            </w:r>
            <w:r w:rsidRPr="00FD703D">
              <w:rPr>
                <w:rFonts w:eastAsia="Calibri" w:cs="Times New Roman"/>
                <w:noProof/>
                <w:sz w:val="22"/>
                <w:szCs w:val="20"/>
                <w:lang w:val="en-GB"/>
              </w:rPr>
              <w:t>feathers which have not been checked by veterinary inspection services</w:t>
            </w:r>
            <w:r w:rsidR="35F6B2F8" w:rsidRPr="00FD703D">
              <w:rPr>
                <w:rFonts w:eastAsia="Calibri" w:cs="Times New Roman"/>
                <w:noProof/>
                <w:sz w:val="22"/>
                <w:szCs w:val="20"/>
                <w:lang w:val="en-GB"/>
              </w:rPr>
              <w:t xml:space="preserve"> (</w:t>
            </w:r>
            <w:r w:rsidRPr="00FD703D">
              <w:rPr>
                <w:rFonts w:eastAsia="Calibri" w:cs="Times New Roman"/>
                <w:noProof/>
                <w:sz w:val="22"/>
                <w:szCs w:val="20"/>
                <w:lang w:val="en-GB"/>
              </w:rPr>
              <w:t xml:space="preserve">Regulation (EC)  853/2004, </w:t>
            </w:r>
            <w:r w:rsidRPr="00FD703D">
              <w:rPr>
                <w:rFonts w:eastAsia="Calibri" w:cs="Times New Roman"/>
                <w:i/>
                <w:iCs/>
                <w:noProof/>
                <w:sz w:val="22"/>
                <w:szCs w:val="20"/>
                <w:lang w:val="en-GB"/>
              </w:rPr>
              <w:t>Annex III, Section IV, Chapter II, Point 10</w:t>
            </w:r>
            <w:r w:rsidRPr="00FD703D">
              <w:rPr>
                <w:rFonts w:eastAsia="Calibri" w:cs="Times New Roman"/>
                <w:noProof/>
                <w:sz w:val="22"/>
                <w:szCs w:val="20"/>
                <w:lang w:val="en-GB"/>
              </w:rPr>
              <w:t xml:space="preserve"> and Regulation (EC)  853/2004, </w:t>
            </w:r>
            <w:r w:rsidRPr="00FD703D">
              <w:rPr>
                <w:rFonts w:eastAsia="Calibri" w:cs="Times New Roman"/>
                <w:i/>
                <w:iCs/>
                <w:noProof/>
                <w:sz w:val="22"/>
                <w:szCs w:val="20"/>
                <w:lang w:val="en-GB"/>
              </w:rPr>
              <w:t>Annex III, Section IV, Chapter III, Point 8</w:t>
            </w:r>
            <w:r w:rsidR="35F6B2F8" w:rsidRPr="00FD703D">
              <w:rPr>
                <w:rFonts w:eastAsia="Calibri" w:cs="Times New Roman"/>
                <w:noProof/>
                <w:sz w:val="22"/>
                <w:szCs w:val="20"/>
                <w:lang w:val="en-GB"/>
              </w:rPr>
              <w:t>)</w:t>
            </w:r>
            <w:r w:rsidRPr="00FD703D">
              <w:rPr>
                <w:rFonts w:eastAsia="Calibri" w:cs="Times New Roman"/>
                <w:noProof/>
                <w:sz w:val="22"/>
                <w:szCs w:val="20"/>
                <w:lang w:val="en-GB"/>
              </w:rPr>
              <w:t>.</w:t>
            </w:r>
          </w:p>
        </w:tc>
        <w:tc>
          <w:tcPr>
            <w:tcW w:w="1530" w:type="dxa"/>
            <w:tcBorders>
              <w:bottom w:val="single" w:sz="4" w:space="0" w:color="auto"/>
            </w:tcBorders>
            <w:vAlign w:val="center"/>
          </w:tcPr>
          <w:p w14:paraId="02DB6270" w14:textId="449F29F6" w:rsidR="009D5C79" w:rsidRPr="00FD703D" w:rsidRDefault="009D5C79" w:rsidP="00C5432E">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FR</w:t>
            </w:r>
          </w:p>
        </w:tc>
        <w:tc>
          <w:tcPr>
            <w:tcW w:w="6392" w:type="dxa"/>
            <w:tcBorders>
              <w:bottom w:val="single" w:sz="4" w:space="0" w:color="auto"/>
            </w:tcBorders>
            <w:vAlign w:val="center"/>
          </w:tcPr>
          <w:p w14:paraId="29198E32" w14:textId="01F7F242" w:rsidR="009D5C79" w:rsidRPr="00FD703D" w:rsidRDefault="14C693F7" w:rsidP="00C5432E">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In accordance with </w:t>
            </w:r>
            <w:r w:rsidRPr="00FD703D">
              <w:rPr>
                <w:rFonts w:eastAsia="Calibri" w:cs="Times New Roman"/>
                <w:i/>
                <w:iCs/>
                <w:noProof/>
                <w:sz w:val="22"/>
                <w:szCs w:val="20"/>
                <w:lang w:val="en-GB"/>
              </w:rPr>
              <w:t>Article 4(2)</w:t>
            </w:r>
            <w:r w:rsidRPr="00FD703D">
              <w:rPr>
                <w:rFonts w:eastAsia="Calibri" w:cs="Times New Roman"/>
                <w:noProof/>
                <w:sz w:val="22"/>
                <w:szCs w:val="20"/>
                <w:lang w:val="en-GB"/>
              </w:rPr>
              <w:t xml:space="preserve"> of Regulation (EC) 853/2004, establishments handling products of animal origin need approval</w:t>
            </w:r>
            <w:r w:rsidR="35F6B2F8" w:rsidRPr="00FD703D">
              <w:rPr>
                <w:rFonts w:eastAsia="Calibri" w:cs="Times New Roman"/>
                <w:noProof/>
                <w:sz w:val="22"/>
                <w:szCs w:val="20"/>
                <w:lang w:val="en-GB"/>
              </w:rPr>
              <w:t>,</w:t>
            </w:r>
            <w:r w:rsidRPr="00FD703D">
              <w:rPr>
                <w:rFonts w:eastAsia="Calibri" w:cs="Times New Roman"/>
                <w:noProof/>
                <w:sz w:val="22"/>
                <w:szCs w:val="20"/>
                <w:lang w:val="en-GB"/>
              </w:rPr>
              <w:t xml:space="preserve"> with some exceptions e.g. primary production. </w:t>
            </w:r>
          </w:p>
          <w:p w14:paraId="5470E71C" w14:textId="60C54F2E" w:rsidR="009D5C79" w:rsidRPr="00FD703D" w:rsidRDefault="01386FF3" w:rsidP="00C5432E">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P</w:t>
            </w:r>
            <w:r w:rsidR="32D1DF67" w:rsidRPr="00FD703D">
              <w:rPr>
                <w:rFonts w:eastAsia="Calibri" w:cs="Times New Roman"/>
                <w:noProof/>
                <w:sz w:val="22"/>
                <w:szCs w:val="20"/>
                <w:lang w:val="en-GB"/>
              </w:rPr>
              <w:t xml:space="preserve">rimary production </w:t>
            </w:r>
            <w:r w:rsidRPr="00FD703D">
              <w:rPr>
                <w:rFonts w:eastAsia="Calibri" w:cs="Times New Roman"/>
                <w:noProof/>
                <w:sz w:val="22"/>
                <w:szCs w:val="20"/>
                <w:lang w:val="en-GB"/>
              </w:rPr>
              <w:t xml:space="preserve">means </w:t>
            </w:r>
            <w:r w:rsidR="32D1DF67" w:rsidRPr="00FD703D">
              <w:rPr>
                <w:rFonts w:eastAsia="Calibri" w:cs="Times New Roman"/>
                <w:noProof/>
                <w:sz w:val="22"/>
                <w:szCs w:val="20"/>
                <w:lang w:val="en-GB"/>
              </w:rPr>
              <w:t xml:space="preserve">only the activity of producing primary products. To avoid burdening primary producers, other activities that are </w:t>
            </w:r>
            <w:r w:rsidR="00CB2F59" w:rsidRPr="00FD703D">
              <w:rPr>
                <w:rFonts w:eastAsia="Calibri" w:cs="Times New Roman"/>
                <w:noProof/>
                <w:sz w:val="22"/>
                <w:szCs w:val="20"/>
                <w:lang w:val="en-GB"/>
              </w:rPr>
              <w:t>not primary</w:t>
            </w:r>
            <w:r w:rsidR="32D1DF67" w:rsidRPr="00FD703D">
              <w:rPr>
                <w:rFonts w:eastAsia="Calibri" w:cs="Times New Roman"/>
                <w:noProof/>
                <w:sz w:val="22"/>
                <w:szCs w:val="20"/>
                <w:lang w:val="en-GB"/>
              </w:rPr>
              <w:t xml:space="preserve"> production are considered ‘associated operations’ only if the primary producers do carry them out. </w:t>
            </w:r>
          </w:p>
          <w:p w14:paraId="0A5EF9F0" w14:textId="17813ED6" w:rsidR="009D5C79" w:rsidRPr="00FD703D" w:rsidRDefault="009D5C79" w:rsidP="00C5432E">
            <w:pPr>
              <w:spacing w:after="60" w:line="259" w:lineRule="auto"/>
              <w:jc w:val="both"/>
              <w:rPr>
                <w:rFonts w:eastAsia="Calibri" w:cs="Times New Roman"/>
                <w:noProof/>
                <w:sz w:val="22"/>
                <w:lang w:val="en-GB"/>
              </w:rPr>
            </w:pPr>
            <w:r w:rsidRPr="00FD703D">
              <w:rPr>
                <w:rFonts w:eastAsia="Calibri" w:cs="Times New Roman"/>
                <w:noProof/>
                <w:sz w:val="22"/>
                <w:lang w:val="en-GB"/>
              </w:rPr>
              <w:t>Therefore, to consider the first collection centr</w:t>
            </w:r>
            <w:r w:rsidR="0056757A" w:rsidRPr="00FD703D">
              <w:rPr>
                <w:rFonts w:eastAsia="Calibri" w:cs="Times New Roman"/>
                <w:noProof/>
                <w:sz w:val="22"/>
                <w:lang w:val="en-GB"/>
              </w:rPr>
              <w:t>e</w:t>
            </w:r>
            <w:r w:rsidRPr="00FD703D">
              <w:rPr>
                <w:rFonts w:eastAsia="Calibri" w:cs="Times New Roman"/>
                <w:noProof/>
                <w:sz w:val="22"/>
                <w:lang w:val="en-GB"/>
              </w:rPr>
              <w:t xml:space="preserve"> where the hunted animals arrive as primary production (no approval), is already a very flexible interpretation of the definition which is currently applied. </w:t>
            </w:r>
          </w:p>
          <w:p w14:paraId="78A71AB7" w14:textId="545448E5" w:rsidR="009D5C79" w:rsidRPr="00FD703D" w:rsidRDefault="009D5C79" w:rsidP="00C5432E">
            <w:pPr>
              <w:spacing w:after="60" w:line="259" w:lineRule="auto"/>
              <w:jc w:val="both"/>
              <w:rPr>
                <w:rFonts w:eastAsia="Calibri" w:cs="Times New Roman"/>
                <w:noProof/>
                <w:sz w:val="22"/>
                <w:lang w:val="en-GB"/>
              </w:rPr>
            </w:pPr>
            <w:r w:rsidRPr="00FD703D">
              <w:rPr>
                <w:rFonts w:eastAsia="Calibri" w:cs="Times New Roman"/>
                <w:noProof/>
                <w:sz w:val="22"/>
                <w:lang w:val="en-GB"/>
              </w:rPr>
              <w:t>A collection centre collecting wild game from other collection centres does not carry out primary production and must therefore be approved. However, there is no limit to the number of collecting centres which may supply the ‘approved</w:t>
            </w:r>
            <w:r w:rsidR="0056757A" w:rsidRPr="00FD703D">
              <w:rPr>
                <w:rFonts w:eastAsia="Calibri" w:cs="Times New Roman"/>
                <w:noProof/>
                <w:sz w:val="22"/>
                <w:lang w:val="en-GB"/>
              </w:rPr>
              <w:t>’ or ‘</w:t>
            </w:r>
            <w:r w:rsidRPr="00FD703D">
              <w:rPr>
                <w:rFonts w:eastAsia="Calibri" w:cs="Times New Roman"/>
                <w:noProof/>
                <w:sz w:val="22"/>
                <w:lang w:val="en-GB"/>
              </w:rPr>
              <w:t>registered’ collecting centre.</w:t>
            </w:r>
          </w:p>
          <w:p w14:paraId="355C22C1" w14:textId="407D5906" w:rsidR="009D5C79" w:rsidRPr="00FD703D" w:rsidRDefault="14C693F7" w:rsidP="00C5432E">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Amendments </w:t>
            </w:r>
            <w:r w:rsidR="35F6B2F8" w:rsidRPr="00FD703D">
              <w:rPr>
                <w:rFonts w:eastAsia="Calibri" w:cs="Times New Roman"/>
                <w:noProof/>
                <w:sz w:val="22"/>
                <w:szCs w:val="20"/>
                <w:lang w:val="en-GB"/>
              </w:rPr>
              <w:t xml:space="preserve">to </w:t>
            </w:r>
            <w:r w:rsidRPr="00FD703D">
              <w:rPr>
                <w:rFonts w:eastAsia="Calibri" w:cs="Times New Roman"/>
                <w:i/>
                <w:iCs/>
                <w:noProof/>
                <w:sz w:val="22"/>
                <w:szCs w:val="20"/>
                <w:lang w:val="en-GB"/>
              </w:rPr>
              <w:t>Article 4</w:t>
            </w:r>
            <w:r w:rsidRPr="00FD703D">
              <w:rPr>
                <w:rFonts w:eastAsia="Calibri" w:cs="Times New Roman"/>
                <w:noProof/>
                <w:sz w:val="22"/>
                <w:szCs w:val="20"/>
                <w:lang w:val="en-GB"/>
              </w:rPr>
              <w:t xml:space="preserve"> of Regulation (EC) No 853/2204 would require </w:t>
            </w:r>
            <w:r w:rsidR="35F6B2F8" w:rsidRPr="00FD703D">
              <w:rPr>
                <w:rFonts w:eastAsia="Calibri" w:cs="Times New Roman"/>
                <w:noProof/>
                <w:sz w:val="22"/>
                <w:szCs w:val="20"/>
                <w:lang w:val="en-GB"/>
              </w:rPr>
              <w:t xml:space="preserve">an </w:t>
            </w:r>
            <w:r w:rsidRPr="00FD703D">
              <w:rPr>
                <w:rFonts w:eastAsia="Calibri" w:cs="Times New Roman"/>
                <w:noProof/>
                <w:sz w:val="22"/>
                <w:szCs w:val="20"/>
                <w:lang w:val="en-GB"/>
              </w:rPr>
              <w:t>ordinary legislative procedure.</w:t>
            </w:r>
          </w:p>
        </w:tc>
      </w:tr>
      <w:tr w:rsidR="00CA19E5" w:rsidRPr="00FD703D" w14:paraId="7702B2EE" w14:textId="77777777" w:rsidTr="006257C2">
        <w:trPr>
          <w:trHeight w:val="300"/>
        </w:trPr>
        <w:tc>
          <w:tcPr>
            <w:tcW w:w="648" w:type="dxa"/>
            <w:tcBorders>
              <w:bottom w:val="single" w:sz="4" w:space="0" w:color="auto"/>
            </w:tcBorders>
            <w:vAlign w:val="center"/>
          </w:tcPr>
          <w:p w14:paraId="3B89508D" w14:textId="174D13A1" w:rsidR="00CA19E5" w:rsidRPr="00FD703D" w:rsidRDefault="00CA19E5" w:rsidP="00CA19E5">
            <w:pPr>
              <w:spacing w:after="60"/>
              <w:jc w:val="both"/>
              <w:rPr>
                <w:rFonts w:eastAsia="Calibri" w:cs="Times New Roman"/>
                <w:b/>
                <w:bCs/>
                <w:noProof/>
                <w:sz w:val="22"/>
                <w:lang w:val="en-GB"/>
              </w:rPr>
            </w:pPr>
            <w:r w:rsidRPr="00FD703D">
              <w:rPr>
                <w:rFonts w:eastAsia="Calibri" w:cs="Times New Roman"/>
                <w:b/>
                <w:bCs/>
                <w:noProof/>
                <w:sz w:val="22"/>
                <w:lang w:val="en-GB"/>
              </w:rPr>
              <w:t>32</w:t>
            </w:r>
            <w:r>
              <w:rPr>
                <w:rFonts w:eastAsia="Calibri" w:cs="Times New Roman"/>
                <w:b/>
                <w:bCs/>
                <w:noProof/>
                <w:sz w:val="22"/>
                <w:lang w:val="en-GB"/>
              </w:rPr>
              <w:t>0</w:t>
            </w:r>
          </w:p>
        </w:tc>
        <w:tc>
          <w:tcPr>
            <w:tcW w:w="5917" w:type="dxa"/>
            <w:tcBorders>
              <w:bottom w:val="single" w:sz="4" w:space="0" w:color="auto"/>
            </w:tcBorders>
            <w:vAlign w:val="center"/>
          </w:tcPr>
          <w:p w14:paraId="02F6B2F3" w14:textId="77777777" w:rsidR="00CA19E5" w:rsidRPr="00FD703D" w:rsidRDefault="00CA19E5" w:rsidP="00CA19E5">
            <w:pPr>
              <w:spacing w:after="60" w:line="22" w:lineRule="atLeast"/>
              <w:jc w:val="both"/>
              <w:rPr>
                <w:rFonts w:eastAsia="Calibri" w:cs="Times New Roman"/>
                <w:noProof/>
                <w:sz w:val="22"/>
                <w:lang w:val="en-GB"/>
              </w:rPr>
            </w:pPr>
            <w:r w:rsidRPr="00FD703D">
              <w:rPr>
                <w:rFonts w:eastAsia="Calibri" w:cs="Times New Roman"/>
                <w:b/>
                <w:bCs/>
                <w:noProof/>
                <w:sz w:val="22"/>
                <w:lang w:val="en-GB"/>
              </w:rPr>
              <w:t>Authorisation of exceptional carcasses:</w:t>
            </w:r>
            <w:r w:rsidRPr="00FD703D">
              <w:rPr>
                <w:rFonts w:eastAsia="Calibri" w:cs="Times New Roman"/>
                <w:noProof/>
                <w:sz w:val="22"/>
                <w:lang w:val="en-GB"/>
              </w:rPr>
              <w:t xml:space="preserve"> </w:t>
            </w:r>
            <w:r w:rsidRPr="00FD703D">
              <w:rPr>
                <w:rFonts w:eastAsia="Calibri" w:cs="Times New Roman"/>
                <w:bCs/>
                <w:noProof/>
                <w:sz w:val="22"/>
                <w:lang w:val="en-GB"/>
              </w:rPr>
              <w:t>remove the process of authorising the transport of ‘exceptional carcasses’</w:t>
            </w:r>
            <w:r w:rsidRPr="00FD703D">
              <w:rPr>
                <w:rFonts w:eastAsia="Calibri" w:cs="Times New Roman"/>
                <w:b/>
                <w:noProof/>
                <w:sz w:val="22"/>
                <w:lang w:val="en-GB"/>
              </w:rPr>
              <w:t xml:space="preserve"> </w:t>
            </w:r>
            <w:r w:rsidRPr="00FD703D">
              <w:rPr>
                <w:rFonts w:eastAsia="Calibri" w:cs="Times New Roman"/>
                <w:noProof/>
                <w:sz w:val="22"/>
                <w:lang w:val="en-GB"/>
              </w:rPr>
              <w:t xml:space="preserve">(carcasses leaving slaughterhouses with a core temperature above 7°C). </w:t>
            </w:r>
          </w:p>
          <w:p w14:paraId="1DE410FC" w14:textId="4D3BD53D" w:rsidR="00CA19E5" w:rsidRPr="00FD703D" w:rsidRDefault="00CA19E5" w:rsidP="00CA19E5">
            <w:pPr>
              <w:spacing w:after="60"/>
              <w:jc w:val="both"/>
              <w:rPr>
                <w:rFonts w:eastAsia="Calibri" w:cs="Times New Roman"/>
                <w:b/>
                <w:bCs/>
                <w:noProof/>
                <w:sz w:val="22"/>
                <w:szCs w:val="20"/>
                <w:lang w:val="en-GB"/>
              </w:rPr>
            </w:pPr>
            <w:r w:rsidRPr="00FD703D">
              <w:rPr>
                <w:rFonts w:eastAsia="Calibri" w:cs="Times New Roman"/>
                <w:noProof/>
                <w:sz w:val="22"/>
                <w:lang w:val="en-GB"/>
              </w:rPr>
              <w:t xml:space="preserve">Explanation: to transport ‘exceptional carcasses’, transporters must have a written authorisation issued by the competent authority. This means that each time ‘exceptional carcasses’ are </w:t>
            </w:r>
            <w:r w:rsidRPr="00FD703D">
              <w:rPr>
                <w:rFonts w:eastAsia="Calibri" w:cs="Times New Roman"/>
                <w:noProof/>
                <w:sz w:val="22"/>
                <w:lang w:val="en-GB"/>
              </w:rPr>
              <w:lastRenderedPageBreak/>
              <w:t>loaded, the competent authority must be present to issue these written authorisations. Loadings are often carried out outside the slaughterhouse's operating hours, when the veterinary inspection service is not present. This authorisation therefore represents a significant logistical obstacle to the free movement of goods, knowing that an authorisation has already been issued in advance to the slaughterhouse to remove these ‘exceptional carcasses’.</w:t>
            </w:r>
          </w:p>
        </w:tc>
        <w:tc>
          <w:tcPr>
            <w:tcW w:w="1530" w:type="dxa"/>
            <w:tcBorders>
              <w:bottom w:val="single" w:sz="4" w:space="0" w:color="auto"/>
            </w:tcBorders>
            <w:vAlign w:val="center"/>
          </w:tcPr>
          <w:p w14:paraId="516C4C44" w14:textId="0B707183" w:rsidR="00CA19E5" w:rsidRPr="00FD703D" w:rsidRDefault="00CA19E5" w:rsidP="00CA19E5">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lastRenderedPageBreak/>
              <w:t>FR</w:t>
            </w:r>
          </w:p>
        </w:tc>
        <w:tc>
          <w:tcPr>
            <w:tcW w:w="6392" w:type="dxa"/>
            <w:tcBorders>
              <w:bottom w:val="single" w:sz="4" w:space="0" w:color="auto"/>
            </w:tcBorders>
            <w:vAlign w:val="center"/>
          </w:tcPr>
          <w:p w14:paraId="044CD5A9" w14:textId="77777777" w:rsidR="00CA19E5" w:rsidRPr="00FD703D" w:rsidRDefault="00CA19E5" w:rsidP="00CA19E5">
            <w:pPr>
              <w:spacing w:after="60" w:line="259" w:lineRule="auto"/>
              <w:jc w:val="both"/>
              <w:rPr>
                <w:rFonts w:eastAsia="Calibri" w:cs="Times New Roman"/>
                <w:noProof/>
                <w:sz w:val="22"/>
                <w:szCs w:val="20"/>
                <w:lang w:val="en-GB"/>
              </w:rPr>
            </w:pPr>
            <w:r w:rsidRPr="00FD703D">
              <w:rPr>
                <w:rFonts w:eastAsia="Calibri" w:cs="Times New Roman"/>
                <w:i/>
                <w:iCs/>
                <w:noProof/>
                <w:sz w:val="22"/>
                <w:szCs w:val="20"/>
                <w:lang w:val="en-GB"/>
              </w:rPr>
              <w:t>Point 3(b) of Chapter VII to Section I of Annex III</w:t>
            </w:r>
            <w:r w:rsidRPr="00FD703D">
              <w:rPr>
                <w:rFonts w:eastAsia="Calibri" w:cs="Times New Roman"/>
                <w:noProof/>
                <w:sz w:val="22"/>
                <w:szCs w:val="20"/>
                <w:lang w:val="en-GB"/>
              </w:rPr>
              <w:t xml:space="preserve"> to Regulation (EC) 853/2004 already allows carcasses, half carcasses or half carcasses cut into three wholesale cuts, to leave the slaughterhouse before the core temperature of 7°C is reached (Amendment by Regulation (EU) 2017/1981). This additional flexibility was introduced based on an </w:t>
            </w:r>
            <w:r w:rsidRPr="00FD703D">
              <w:rPr>
                <w:rFonts w:eastAsia="Calibri" w:cs="Times New Roman"/>
                <w:noProof/>
                <w:sz w:val="22"/>
                <w:szCs w:val="20"/>
                <w:lang w:val="en-GB"/>
              </w:rPr>
              <w:lastRenderedPageBreak/>
              <w:t>EFSA opinion</w:t>
            </w:r>
            <w:r w:rsidRPr="00FD703D">
              <w:rPr>
                <w:rStyle w:val="FootnoteReference"/>
                <w:rFonts w:eastAsia="Calibri" w:cs="Times New Roman"/>
                <w:noProof/>
                <w:sz w:val="22"/>
                <w:szCs w:val="20"/>
                <w:lang w:val="en-GB"/>
              </w:rPr>
              <w:footnoteReference w:id="73"/>
            </w:r>
            <w:r w:rsidRPr="00FD703D">
              <w:rPr>
                <w:rFonts w:eastAsia="Calibri" w:cs="Times New Roman"/>
                <w:noProof/>
                <w:sz w:val="22"/>
                <w:szCs w:val="20"/>
                <w:lang w:val="en-GB"/>
              </w:rPr>
              <w:t>. The EFSA opinion provided combinations of maximum surface temperatures at loading, and maximum chilling and transport times that result in the same microbiological safety as a core temperature of 7°C.</w:t>
            </w:r>
          </w:p>
          <w:p w14:paraId="12AD6002" w14:textId="77777777" w:rsidR="00CA19E5" w:rsidRPr="00FD703D" w:rsidRDefault="00CA19E5" w:rsidP="00CA19E5">
            <w:pPr>
              <w:spacing w:after="60" w:line="259" w:lineRule="auto"/>
              <w:jc w:val="both"/>
              <w:rPr>
                <w:rFonts w:eastAsia="Calibri" w:cs="Times New Roman"/>
                <w:noProof/>
                <w:sz w:val="22"/>
                <w:lang w:val="en-GB"/>
              </w:rPr>
            </w:pPr>
            <w:r w:rsidRPr="00FD703D">
              <w:rPr>
                <w:rFonts w:eastAsia="Calibri" w:cs="Times New Roman"/>
                <w:noProof/>
                <w:sz w:val="22"/>
                <w:lang w:val="en-GB"/>
              </w:rPr>
              <w:t>Increasing the core temperature without considering the other conditions laid down in the Regulation will increase pathogen growth.</w:t>
            </w:r>
          </w:p>
          <w:p w14:paraId="42B6B9CD" w14:textId="2048D544" w:rsidR="00CA19E5" w:rsidRPr="00FD703D" w:rsidRDefault="00CA19E5" w:rsidP="00CA19E5">
            <w:pPr>
              <w:spacing w:after="60"/>
              <w:jc w:val="both"/>
              <w:rPr>
                <w:rFonts w:eastAsia="Calibri" w:cs="Times New Roman"/>
                <w:noProof/>
                <w:sz w:val="22"/>
                <w:szCs w:val="20"/>
                <w:lang w:val="en-GB"/>
              </w:rPr>
            </w:pPr>
            <w:r w:rsidRPr="00FD703D">
              <w:rPr>
                <w:rFonts w:eastAsia="Calibri" w:cs="Times New Roman"/>
                <w:noProof/>
                <w:sz w:val="22"/>
                <w:lang w:val="en-GB"/>
              </w:rPr>
              <w:t>To avoid any food safety issue from the transport of ‘exceptional carcasses’, a certain level of control by the competent authorities in the slaughterhouse needs to be ensured until the safe temperatures of the carcasses has been reached.</w:t>
            </w:r>
          </w:p>
        </w:tc>
      </w:tr>
      <w:tr w:rsidR="009D5C79" w:rsidRPr="00FD703D" w14:paraId="61B5F99D" w14:textId="77777777" w:rsidTr="006257C2">
        <w:trPr>
          <w:trHeight w:val="300"/>
        </w:trPr>
        <w:tc>
          <w:tcPr>
            <w:tcW w:w="648" w:type="dxa"/>
            <w:tcBorders>
              <w:bottom w:val="single" w:sz="4" w:space="0" w:color="auto"/>
            </w:tcBorders>
            <w:vAlign w:val="center"/>
          </w:tcPr>
          <w:p w14:paraId="2E76E71B" w14:textId="58BEBEC6"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lastRenderedPageBreak/>
              <w:t>32</w:t>
            </w:r>
            <w:r w:rsidR="00E558D0">
              <w:rPr>
                <w:rFonts w:eastAsia="Calibri" w:cs="Times New Roman"/>
                <w:b/>
                <w:bCs/>
                <w:noProof/>
                <w:sz w:val="22"/>
                <w:lang w:val="en-GB"/>
              </w:rPr>
              <w:t>1</w:t>
            </w:r>
          </w:p>
        </w:tc>
        <w:tc>
          <w:tcPr>
            <w:tcW w:w="5917" w:type="dxa"/>
            <w:tcBorders>
              <w:bottom w:val="single" w:sz="4" w:space="0" w:color="auto"/>
            </w:tcBorders>
            <w:vAlign w:val="center"/>
          </w:tcPr>
          <w:p w14:paraId="228CC437" w14:textId="4BE24DD9" w:rsidR="009D5C79" w:rsidRPr="00FD703D" w:rsidRDefault="14C693F7" w:rsidP="00C5432E">
            <w:pPr>
              <w:spacing w:line="22" w:lineRule="atLeast"/>
              <w:jc w:val="both"/>
              <w:rPr>
                <w:rFonts w:eastAsia="Calibri" w:cs="Times New Roman"/>
                <w:b/>
                <w:bCs/>
                <w:noProof/>
                <w:sz w:val="22"/>
                <w:szCs w:val="20"/>
                <w:lang w:val="en-GB"/>
              </w:rPr>
            </w:pPr>
            <w:r w:rsidRPr="00FD703D">
              <w:rPr>
                <w:rFonts w:eastAsia="Calibri" w:cs="Times New Roman"/>
                <w:b/>
                <w:bCs/>
                <w:noProof/>
                <w:sz w:val="22"/>
                <w:szCs w:val="20"/>
                <w:lang w:val="en-GB"/>
              </w:rPr>
              <w:t>Health standards:</w:t>
            </w:r>
            <w:r w:rsidRPr="00FD703D">
              <w:rPr>
                <w:rFonts w:eastAsia="Calibri" w:cs="Times New Roman"/>
                <w:noProof/>
                <w:sz w:val="22"/>
                <w:szCs w:val="20"/>
                <w:lang w:val="en-GB"/>
              </w:rPr>
              <w:t xml:space="preserve"> </w:t>
            </w:r>
            <w:r w:rsidR="6EA1AD7A" w:rsidRPr="00FD703D">
              <w:rPr>
                <w:rFonts w:eastAsia="Calibri" w:cs="Times New Roman"/>
                <w:noProof/>
                <w:sz w:val="22"/>
                <w:szCs w:val="20"/>
                <w:lang w:val="en-GB"/>
              </w:rPr>
              <w:t>d</w:t>
            </w:r>
            <w:r w:rsidRPr="00FD703D">
              <w:rPr>
                <w:rFonts w:eastAsia="Calibri" w:cs="Times New Roman"/>
                <w:noProof/>
                <w:sz w:val="22"/>
                <w:szCs w:val="20"/>
                <w:lang w:val="en-GB"/>
              </w:rPr>
              <w:t xml:space="preserve">ifferentiated health standards depending on the destination of the animal product: export, national and/or short circuit; </w:t>
            </w:r>
            <w:r w:rsidR="35F6B2F8" w:rsidRPr="00FD703D">
              <w:rPr>
                <w:rFonts w:eastAsia="Calibri" w:cs="Times New Roman"/>
                <w:noProof/>
                <w:sz w:val="22"/>
                <w:szCs w:val="20"/>
                <w:lang w:val="en-GB"/>
              </w:rPr>
              <w:t>f</w:t>
            </w:r>
            <w:r w:rsidRPr="00FD703D">
              <w:rPr>
                <w:rFonts w:eastAsia="Calibri" w:cs="Times New Roman"/>
                <w:noProof/>
                <w:sz w:val="22"/>
                <w:szCs w:val="20"/>
                <w:lang w:val="en-GB"/>
              </w:rPr>
              <w:t>inancial and administrative support, small milk</w:t>
            </w:r>
            <w:r w:rsidR="35F6B2F8" w:rsidRPr="00FD703D">
              <w:rPr>
                <w:rFonts w:eastAsia="Calibri" w:cs="Times New Roman"/>
                <w:noProof/>
                <w:sz w:val="22"/>
                <w:szCs w:val="20"/>
                <w:lang w:val="en-GB"/>
              </w:rPr>
              <w:t>-</w:t>
            </w:r>
            <w:r w:rsidRPr="00FD703D">
              <w:rPr>
                <w:rFonts w:eastAsia="Calibri" w:cs="Times New Roman"/>
                <w:noProof/>
                <w:sz w:val="22"/>
                <w:szCs w:val="20"/>
                <w:lang w:val="en-GB"/>
              </w:rPr>
              <w:t xml:space="preserve">processing units, butcheries and other animal production facilities. </w:t>
            </w:r>
          </w:p>
        </w:tc>
        <w:tc>
          <w:tcPr>
            <w:tcW w:w="1530" w:type="dxa"/>
            <w:tcBorders>
              <w:bottom w:val="single" w:sz="4" w:space="0" w:color="auto"/>
            </w:tcBorders>
            <w:vAlign w:val="center"/>
          </w:tcPr>
          <w:p w14:paraId="0D502E73" w14:textId="750F79E6" w:rsidR="009D5C79" w:rsidRPr="00FD703D" w:rsidRDefault="009D5C79" w:rsidP="00C5432E">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ECVC</w:t>
            </w:r>
          </w:p>
        </w:tc>
        <w:tc>
          <w:tcPr>
            <w:tcW w:w="6392" w:type="dxa"/>
            <w:tcBorders>
              <w:bottom w:val="single" w:sz="4" w:space="0" w:color="auto"/>
            </w:tcBorders>
            <w:vAlign w:val="center"/>
          </w:tcPr>
          <w:p w14:paraId="6834A8A6" w14:textId="307388AB" w:rsidR="00AB5D45" w:rsidRPr="00FD703D" w:rsidRDefault="009D5C79" w:rsidP="00C5432E">
            <w:pPr>
              <w:spacing w:after="60" w:line="259" w:lineRule="auto"/>
              <w:jc w:val="both"/>
              <w:rPr>
                <w:rFonts w:cs="Times New Roman"/>
                <w:noProof/>
                <w:sz w:val="22"/>
                <w:szCs w:val="20"/>
                <w:lang w:val="en-IE"/>
              </w:rPr>
            </w:pPr>
            <w:r w:rsidRPr="00FD703D">
              <w:rPr>
                <w:rFonts w:eastAsia="Calibri" w:cs="Times New Roman"/>
                <w:noProof/>
                <w:sz w:val="22"/>
                <w:szCs w:val="20"/>
                <w:lang w:val="en-IE"/>
              </w:rPr>
              <w:t xml:space="preserve"> </w:t>
            </w:r>
            <w:r w:rsidR="00AB5D45" w:rsidRPr="00FD703D">
              <w:rPr>
                <w:rFonts w:cs="Times New Roman"/>
                <w:noProof/>
                <w:sz w:val="22"/>
                <w:szCs w:val="20"/>
                <w:lang w:val="en-IE"/>
              </w:rPr>
              <w:t xml:space="preserve">Health standards and risk mitigation measures, including biosecurity, are based on science (risk assessment) and aligned with SPS international standards regardless of the size or commercial vocation of farm. </w:t>
            </w:r>
          </w:p>
          <w:p w14:paraId="205D3695" w14:textId="1C3AC837" w:rsidR="00AB5D45" w:rsidRPr="00FD703D" w:rsidRDefault="00AB5D45" w:rsidP="00C5432E">
            <w:pPr>
              <w:spacing w:after="60" w:line="259" w:lineRule="auto"/>
              <w:jc w:val="both"/>
              <w:rPr>
                <w:rFonts w:cs="Times New Roman"/>
                <w:noProof/>
                <w:sz w:val="22"/>
                <w:lang w:val="en-GB"/>
              </w:rPr>
            </w:pPr>
            <w:r w:rsidRPr="00FD703D">
              <w:rPr>
                <w:rFonts w:cs="Times New Roman"/>
                <w:noProof/>
                <w:sz w:val="22"/>
                <w:lang w:val="en-GB"/>
              </w:rPr>
              <w:t>EU Harmonised rules apply across the EU, whether the product is destined for export or for trade within the EU, covering the hygiene of foodstuffs and the production and placing on the market of products of animal origin applicable to all food and all food operators right through the food chain ("from farm to fork"), together with effective instruments to manage food safety and any future food crises throughout the food chain. Specific rules are applicable for primary production, and these are less burdensome already if compared to those addressing other businesses in the food chain.</w:t>
            </w:r>
          </w:p>
          <w:p w14:paraId="5812BBA8" w14:textId="7F265AFE" w:rsidR="00120BD1" w:rsidRPr="00FD703D" w:rsidRDefault="00AB5D45" w:rsidP="00C5432E">
            <w:pPr>
              <w:spacing w:after="60" w:line="259" w:lineRule="auto"/>
              <w:jc w:val="both"/>
              <w:rPr>
                <w:rFonts w:eastAsia="Calibri" w:cs="Times New Roman"/>
                <w:noProof/>
                <w:sz w:val="22"/>
                <w:lang w:val="en-GB"/>
              </w:rPr>
            </w:pPr>
            <w:r w:rsidRPr="00FD703D">
              <w:rPr>
                <w:rFonts w:cs="Times New Roman"/>
                <w:noProof/>
                <w:sz w:val="22"/>
                <w:lang w:val="en-GB"/>
              </w:rPr>
              <w:t>Exporting countries may have additional conditions. The Commission or Member States address these via export certificates. Companies in Member States decide if they want to participate and meet these conditions. Having different export certificates based on type and size of operators (farms/companies) is impractical.</w:t>
            </w:r>
          </w:p>
        </w:tc>
      </w:tr>
      <w:tr w:rsidR="009D5C79" w:rsidRPr="00FD703D" w14:paraId="50C15FA9" w14:textId="77777777" w:rsidTr="00870740">
        <w:trPr>
          <w:trHeight w:val="300"/>
        </w:trPr>
        <w:tc>
          <w:tcPr>
            <w:tcW w:w="14487" w:type="dxa"/>
            <w:gridSpan w:val="4"/>
            <w:tcBorders>
              <w:bottom w:val="nil"/>
            </w:tcBorders>
            <w:shd w:val="clear" w:color="auto" w:fill="000099"/>
            <w:vAlign w:val="center"/>
          </w:tcPr>
          <w:p w14:paraId="003A1EEF" w14:textId="513A8869" w:rsidR="009D5C79" w:rsidRPr="00FD703D" w:rsidRDefault="009D5C79" w:rsidP="00C5432E">
            <w:pPr>
              <w:spacing w:before="120" w:after="120"/>
              <w:jc w:val="center"/>
              <w:rPr>
                <w:rFonts w:eastAsia="Calibri" w:cs="Times New Roman"/>
                <w:noProof/>
                <w:sz w:val="22"/>
                <w:lang w:val="en-GB"/>
              </w:rPr>
            </w:pPr>
            <w:r w:rsidRPr="00FD703D">
              <w:rPr>
                <w:rFonts w:eastAsia="Calibri" w:cs="Times New Roman"/>
                <w:b/>
                <w:bCs/>
                <w:noProof/>
                <w:color w:val="FFFFFF"/>
                <w:sz w:val="22"/>
                <w:lang w:val="en-GB"/>
              </w:rPr>
              <w:lastRenderedPageBreak/>
              <w:t>Feed / animal by-products</w:t>
            </w:r>
          </w:p>
        </w:tc>
      </w:tr>
      <w:tr w:rsidR="009D5C79" w:rsidRPr="00FD703D" w14:paraId="74162855" w14:textId="77777777" w:rsidTr="00A97D05">
        <w:trPr>
          <w:trHeight w:val="3656"/>
        </w:trPr>
        <w:tc>
          <w:tcPr>
            <w:tcW w:w="648" w:type="dxa"/>
            <w:tcBorders>
              <w:bottom w:val="single" w:sz="4" w:space="0" w:color="auto"/>
            </w:tcBorders>
            <w:vAlign w:val="center"/>
          </w:tcPr>
          <w:p w14:paraId="47D2A413" w14:textId="0A8F1FD0"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t>32</w:t>
            </w:r>
            <w:r w:rsidR="00E558D0">
              <w:rPr>
                <w:rFonts w:eastAsia="Calibri" w:cs="Times New Roman"/>
                <w:b/>
                <w:bCs/>
                <w:noProof/>
                <w:sz w:val="22"/>
                <w:lang w:val="en-GB"/>
              </w:rPr>
              <w:t>2</w:t>
            </w:r>
          </w:p>
        </w:tc>
        <w:tc>
          <w:tcPr>
            <w:tcW w:w="5917" w:type="dxa"/>
            <w:tcBorders>
              <w:bottom w:val="single" w:sz="4" w:space="0" w:color="auto"/>
            </w:tcBorders>
          </w:tcPr>
          <w:p w14:paraId="4AC502CE" w14:textId="58F9D142" w:rsidR="009D5C79" w:rsidRPr="00FD703D" w:rsidRDefault="14C693F7" w:rsidP="00C5432E">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 xml:space="preserve">Upcycle of waste: </w:t>
            </w:r>
            <w:r w:rsidR="0CB46746" w:rsidRPr="00FD703D">
              <w:rPr>
                <w:rFonts w:eastAsia="Calibri" w:cs="Times New Roman"/>
                <w:noProof/>
                <w:sz w:val="22"/>
                <w:szCs w:val="20"/>
                <w:lang w:val="en-GB"/>
              </w:rPr>
              <w:t>u</w:t>
            </w:r>
            <w:r w:rsidRPr="00FD703D">
              <w:rPr>
                <w:rFonts w:eastAsia="Calibri" w:cs="Times New Roman"/>
                <w:noProof/>
                <w:sz w:val="22"/>
                <w:szCs w:val="20"/>
                <w:lang w:val="en-GB"/>
              </w:rPr>
              <w:t xml:space="preserve">pcycling of waste and </w:t>
            </w:r>
            <w:r w:rsidR="335F997E" w:rsidRPr="00FD703D">
              <w:rPr>
                <w:rFonts w:eastAsia="Calibri" w:cs="Times New Roman"/>
                <w:noProof/>
                <w:sz w:val="22"/>
                <w:szCs w:val="20"/>
                <w:lang w:val="en-GB"/>
              </w:rPr>
              <w:t xml:space="preserve">the </w:t>
            </w:r>
            <w:r w:rsidRPr="00FD703D">
              <w:rPr>
                <w:rFonts w:eastAsia="Calibri" w:cs="Times New Roman"/>
                <w:noProof/>
                <w:sz w:val="22"/>
                <w:szCs w:val="20"/>
                <w:lang w:val="en-GB"/>
              </w:rPr>
              <w:t xml:space="preserve">introduction of new feed sources to develop sustainable and circular feed production in the EU. </w:t>
            </w:r>
          </w:p>
          <w:p w14:paraId="03096EA2" w14:textId="74369E56" w:rsidR="009D5C79" w:rsidRPr="00FD703D" w:rsidRDefault="14C693F7" w:rsidP="00C5432E">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Proposal: </w:t>
            </w:r>
            <w:r w:rsidR="00C40985" w:rsidRPr="00FD703D">
              <w:rPr>
                <w:rFonts w:eastAsia="Calibri" w:cs="Times New Roman"/>
                <w:noProof/>
                <w:sz w:val="22"/>
                <w:szCs w:val="20"/>
                <w:lang w:val="en-GB"/>
              </w:rPr>
              <w:t>a</w:t>
            </w:r>
            <w:r w:rsidRPr="00FD703D">
              <w:rPr>
                <w:rFonts w:eastAsia="Calibri" w:cs="Times New Roman"/>
                <w:noProof/>
                <w:sz w:val="22"/>
                <w:szCs w:val="20"/>
                <w:lang w:val="en-GB"/>
              </w:rPr>
              <w:t xml:space="preserve"> more integrated approach between</w:t>
            </w:r>
            <w:r w:rsidR="70BC058A" w:rsidRPr="00FD703D">
              <w:rPr>
                <w:rFonts w:eastAsia="Calibri" w:cs="Times New Roman"/>
                <w:noProof/>
                <w:sz w:val="22"/>
                <w:szCs w:val="20"/>
                <w:lang w:val="en-GB"/>
              </w:rPr>
              <w:t xml:space="preserve"> transmissible spongiform encephalopathy</w:t>
            </w:r>
            <w:r w:rsidRPr="00FD703D">
              <w:rPr>
                <w:rFonts w:eastAsia="Calibri" w:cs="Times New Roman"/>
                <w:noProof/>
                <w:sz w:val="22"/>
                <w:szCs w:val="20"/>
                <w:lang w:val="en-GB"/>
              </w:rPr>
              <w:t xml:space="preserve"> </w:t>
            </w:r>
            <w:r w:rsidR="0F57340D" w:rsidRPr="00FD703D">
              <w:rPr>
                <w:rFonts w:eastAsia="Calibri" w:cs="Times New Roman"/>
                <w:noProof/>
                <w:sz w:val="22"/>
                <w:szCs w:val="20"/>
                <w:lang w:val="en-GB"/>
              </w:rPr>
              <w:t>(</w:t>
            </w:r>
            <w:r w:rsidRPr="00FD703D">
              <w:rPr>
                <w:rFonts w:eastAsia="Calibri" w:cs="Times New Roman"/>
                <w:noProof/>
                <w:sz w:val="22"/>
                <w:szCs w:val="20"/>
                <w:lang w:val="en-GB"/>
              </w:rPr>
              <w:t>TSE</w:t>
            </w:r>
            <w:r w:rsidR="15C24E9D" w:rsidRPr="00FD703D">
              <w:rPr>
                <w:rFonts w:eastAsia="Calibri" w:cs="Times New Roman"/>
                <w:noProof/>
                <w:sz w:val="22"/>
                <w:szCs w:val="20"/>
                <w:lang w:val="en-GB"/>
              </w:rPr>
              <w:t>)</w:t>
            </w:r>
            <w:r w:rsidRPr="00FD703D">
              <w:rPr>
                <w:rFonts w:eastAsia="Calibri" w:cs="Times New Roman"/>
                <w:noProof/>
                <w:sz w:val="22"/>
                <w:szCs w:val="20"/>
                <w:lang w:val="en-GB"/>
              </w:rPr>
              <w:t xml:space="preserve"> legislation and feed hygiene legislation; a revision of the current EU rules, </w:t>
            </w:r>
            <w:r w:rsidR="335F997E" w:rsidRPr="00FD703D">
              <w:rPr>
                <w:rFonts w:eastAsia="Calibri" w:cs="Times New Roman"/>
                <w:noProof/>
                <w:sz w:val="22"/>
                <w:szCs w:val="20"/>
                <w:lang w:val="en-GB"/>
              </w:rPr>
              <w:t>including lifting</w:t>
            </w:r>
            <w:r w:rsidRPr="00FD703D">
              <w:rPr>
                <w:rFonts w:eastAsia="Calibri" w:cs="Times New Roman"/>
                <w:noProof/>
                <w:sz w:val="22"/>
                <w:szCs w:val="20"/>
                <w:lang w:val="en-GB"/>
              </w:rPr>
              <w:t xml:space="preserve"> the current feed ban in the TSE legislation, in the animal by-products legislation, and in the feed marketing legislation to allow for more protein feed of animal origin on the market</w:t>
            </w:r>
            <w:r w:rsidR="335F997E" w:rsidRPr="00FD703D">
              <w:rPr>
                <w:rFonts w:eastAsia="Calibri" w:cs="Times New Roman"/>
                <w:noProof/>
                <w:sz w:val="22"/>
                <w:szCs w:val="20"/>
                <w:lang w:val="en-GB"/>
              </w:rPr>
              <w:t>.</w:t>
            </w:r>
          </w:p>
          <w:p w14:paraId="76ED4ADC" w14:textId="769117BF" w:rsidR="009D5C79" w:rsidRPr="00FD703D" w:rsidRDefault="009D5C79" w:rsidP="00C5432E">
            <w:pPr>
              <w:jc w:val="both"/>
              <w:rPr>
                <w:rFonts w:eastAsia="Calibri" w:cs="Times New Roman"/>
                <w:b/>
                <w:bCs/>
                <w:noProof/>
                <w:sz w:val="22"/>
                <w:lang w:val="en-GB"/>
              </w:rPr>
            </w:pPr>
            <w:r w:rsidRPr="00FD703D">
              <w:rPr>
                <w:rFonts w:eastAsia="Calibri" w:cs="Times New Roman"/>
                <w:b/>
                <w:noProof/>
                <w:sz w:val="22"/>
                <w:lang w:val="en-GB"/>
              </w:rPr>
              <w:t xml:space="preserve">Lifting feed bans to facilitate </w:t>
            </w:r>
            <w:r w:rsidR="007D092D" w:rsidRPr="00FD703D">
              <w:rPr>
                <w:rFonts w:eastAsia="Calibri" w:cs="Times New Roman"/>
                <w:b/>
                <w:noProof/>
                <w:sz w:val="22"/>
                <w:lang w:val="en-GB"/>
              </w:rPr>
              <w:t xml:space="preserve">the </w:t>
            </w:r>
            <w:r w:rsidRPr="00FD703D">
              <w:rPr>
                <w:rFonts w:eastAsia="Calibri" w:cs="Times New Roman"/>
                <w:b/>
                <w:noProof/>
                <w:sz w:val="22"/>
                <w:lang w:val="en-GB"/>
              </w:rPr>
              <w:t xml:space="preserve">use </w:t>
            </w:r>
            <w:r w:rsidR="00D47635" w:rsidRPr="00FD703D">
              <w:rPr>
                <w:rFonts w:eastAsia="Calibri" w:cs="Times New Roman"/>
                <w:b/>
                <w:noProof/>
                <w:sz w:val="22"/>
                <w:lang w:val="en-GB"/>
              </w:rPr>
              <w:t xml:space="preserve">of </w:t>
            </w:r>
            <w:r w:rsidRPr="00FD703D">
              <w:rPr>
                <w:rFonts w:eastAsia="Calibri" w:cs="Times New Roman"/>
                <w:b/>
                <w:noProof/>
                <w:sz w:val="22"/>
                <w:lang w:val="en-GB"/>
              </w:rPr>
              <w:t>insects</w:t>
            </w:r>
            <w:r w:rsidRPr="00FD703D">
              <w:rPr>
                <w:rFonts w:eastAsia="Calibri" w:cs="Times New Roman"/>
                <w:noProof/>
                <w:sz w:val="22"/>
                <w:lang w:val="en-GB"/>
              </w:rPr>
              <w:t xml:space="preserve"> as a potential</w:t>
            </w:r>
            <w:r w:rsidR="00D47635" w:rsidRPr="00FD703D">
              <w:rPr>
                <w:rFonts w:eastAsia="Calibri" w:cs="Times New Roman"/>
                <w:noProof/>
                <w:sz w:val="22"/>
                <w:lang w:val="en-GB"/>
              </w:rPr>
              <w:t xml:space="preserve"> new </w:t>
            </w:r>
            <w:r w:rsidRPr="00FD703D">
              <w:rPr>
                <w:rFonts w:eastAsia="Calibri" w:cs="Times New Roman"/>
                <w:noProof/>
                <w:sz w:val="22"/>
                <w:lang w:val="en-GB"/>
              </w:rPr>
              <w:t>feed source; scientifically assess</w:t>
            </w:r>
            <w:r w:rsidR="00D47635" w:rsidRPr="00FD703D">
              <w:rPr>
                <w:rFonts w:eastAsia="Calibri" w:cs="Times New Roman"/>
                <w:noProof/>
                <w:sz w:val="22"/>
                <w:lang w:val="en-GB"/>
              </w:rPr>
              <w:t xml:space="preserve"> the </w:t>
            </w:r>
            <w:r w:rsidRPr="00FD703D">
              <w:rPr>
                <w:rFonts w:eastAsia="Calibri" w:cs="Times New Roman"/>
                <w:noProof/>
                <w:sz w:val="22"/>
                <w:lang w:val="en-GB"/>
              </w:rPr>
              <w:t>risks of us</w:t>
            </w:r>
            <w:r w:rsidR="00D47635" w:rsidRPr="00FD703D">
              <w:rPr>
                <w:rFonts w:eastAsia="Calibri" w:cs="Times New Roman"/>
                <w:noProof/>
                <w:sz w:val="22"/>
                <w:lang w:val="en-GB"/>
              </w:rPr>
              <w:t>ing</w:t>
            </w:r>
            <w:r w:rsidRPr="00FD703D">
              <w:rPr>
                <w:rFonts w:eastAsia="Calibri" w:cs="Times New Roman"/>
                <w:noProof/>
                <w:sz w:val="22"/>
                <w:lang w:val="en-GB"/>
              </w:rPr>
              <w:t xml:space="preserve"> catering waste</w:t>
            </w:r>
            <w:r w:rsidR="00D47635" w:rsidRPr="00FD703D">
              <w:rPr>
                <w:rFonts w:eastAsia="Calibri" w:cs="Times New Roman"/>
                <w:noProof/>
                <w:sz w:val="22"/>
                <w:lang w:val="en-GB"/>
              </w:rPr>
              <w:t>; a</w:t>
            </w:r>
            <w:r w:rsidRPr="00FD703D">
              <w:rPr>
                <w:rFonts w:eastAsia="Calibri" w:cs="Times New Roman"/>
                <w:noProof/>
                <w:sz w:val="22"/>
                <w:lang w:val="en-GB"/>
              </w:rPr>
              <w:t xml:space="preserve">llow more chemical phosphorous substances of animal origin as animal feed.  </w:t>
            </w:r>
          </w:p>
        </w:tc>
        <w:tc>
          <w:tcPr>
            <w:tcW w:w="1530" w:type="dxa"/>
            <w:tcBorders>
              <w:bottom w:val="single" w:sz="4" w:space="0" w:color="auto"/>
            </w:tcBorders>
            <w:vAlign w:val="center"/>
          </w:tcPr>
          <w:p w14:paraId="085DD196" w14:textId="5F21F99C" w:rsidR="009D5C79" w:rsidRPr="00FD703D" w:rsidRDefault="009D5C79" w:rsidP="00C5432E">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DK</w:t>
            </w:r>
          </w:p>
        </w:tc>
        <w:tc>
          <w:tcPr>
            <w:tcW w:w="6392" w:type="dxa"/>
            <w:tcBorders>
              <w:bottom w:val="single" w:sz="4" w:space="0" w:color="auto"/>
            </w:tcBorders>
          </w:tcPr>
          <w:p w14:paraId="1CD1DDFF" w14:textId="616CDF61" w:rsidR="005B18F1" w:rsidRPr="00FD703D" w:rsidRDefault="14C693F7" w:rsidP="00C5432E">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This is a significant change </w:t>
            </w:r>
            <w:r w:rsidR="4D2313AA" w:rsidRPr="00FD703D">
              <w:rPr>
                <w:rFonts w:eastAsia="Calibri" w:cs="Times New Roman"/>
                <w:noProof/>
                <w:sz w:val="22"/>
                <w:szCs w:val="20"/>
                <w:lang w:val="en-GB"/>
              </w:rPr>
              <w:t>to</w:t>
            </w:r>
            <w:r w:rsidR="335F997E" w:rsidRPr="00FD703D">
              <w:rPr>
                <w:rFonts w:eastAsia="Calibri" w:cs="Times New Roman"/>
                <w:noProof/>
                <w:sz w:val="22"/>
                <w:szCs w:val="20"/>
                <w:lang w:val="en-GB"/>
              </w:rPr>
              <w:t xml:space="preserve"> the </w:t>
            </w:r>
            <w:r w:rsidRPr="00FD703D">
              <w:rPr>
                <w:rFonts w:eastAsia="Calibri" w:cs="Times New Roman"/>
                <w:noProof/>
                <w:sz w:val="22"/>
                <w:szCs w:val="20"/>
                <w:lang w:val="en-GB"/>
              </w:rPr>
              <w:t xml:space="preserve">basic rules that cannot be envisaged before scientific advice </w:t>
            </w:r>
            <w:r w:rsidR="335F997E" w:rsidRPr="00FD703D">
              <w:rPr>
                <w:rFonts w:eastAsia="Calibri" w:cs="Times New Roman"/>
                <w:noProof/>
                <w:sz w:val="22"/>
                <w:szCs w:val="20"/>
                <w:lang w:val="en-GB"/>
              </w:rPr>
              <w:t xml:space="preserve">is obtained </w:t>
            </w:r>
            <w:r w:rsidRPr="00FD703D">
              <w:rPr>
                <w:rFonts w:eastAsia="Calibri" w:cs="Times New Roman"/>
                <w:noProof/>
                <w:sz w:val="22"/>
                <w:szCs w:val="20"/>
                <w:lang w:val="en-GB"/>
              </w:rPr>
              <w:t xml:space="preserve">and further discussion takes place. </w:t>
            </w:r>
          </w:p>
          <w:p w14:paraId="123E1E1E" w14:textId="01D37D20" w:rsidR="009D5C79" w:rsidRPr="00FD703D" w:rsidRDefault="14C693F7" w:rsidP="00F32E90">
            <w:pPr>
              <w:spacing w:after="60" w:line="259" w:lineRule="auto"/>
              <w:jc w:val="both"/>
              <w:rPr>
                <w:rFonts w:eastAsia="Calibri" w:cs="Times New Roman"/>
                <w:noProof/>
                <w:sz w:val="22"/>
                <w:lang w:val="en-GB"/>
              </w:rPr>
            </w:pPr>
            <w:r w:rsidRPr="00FD703D">
              <w:rPr>
                <w:rFonts w:eastAsia="Calibri" w:cs="Times New Roman"/>
                <w:noProof/>
                <w:sz w:val="22"/>
                <w:szCs w:val="20"/>
                <w:lang w:val="en-GB"/>
              </w:rPr>
              <w:t xml:space="preserve">The feed ban is the basic preventive measure against TSE and consists of a ban on the use of processed animal protein (PAP) in feed for farmed animals. The EU feed ban provisions are reviewed regularly based on EFSA opinions and the development of new analytical methods for official controls. The feeding of ruminants with any animal-derived protein </w:t>
            </w:r>
            <w:r w:rsidR="4D2313AA" w:rsidRPr="00FD703D">
              <w:rPr>
                <w:rFonts w:eastAsia="Calibri" w:cs="Times New Roman"/>
                <w:noProof/>
                <w:sz w:val="22"/>
                <w:szCs w:val="20"/>
                <w:lang w:val="en-GB"/>
              </w:rPr>
              <w:t xml:space="preserve">is </w:t>
            </w:r>
            <w:r w:rsidRPr="00FD703D">
              <w:rPr>
                <w:rFonts w:eastAsia="Calibri" w:cs="Times New Roman"/>
                <w:noProof/>
                <w:sz w:val="22"/>
                <w:szCs w:val="20"/>
                <w:lang w:val="en-GB"/>
              </w:rPr>
              <w:t xml:space="preserve">and must remain prohibited, as it was at the origin of the </w:t>
            </w:r>
            <w:r w:rsidR="6089FF0E" w:rsidRPr="00FD703D">
              <w:rPr>
                <w:rFonts w:eastAsia="Calibri" w:cs="Times New Roman"/>
                <w:noProof/>
                <w:sz w:val="22"/>
                <w:szCs w:val="20"/>
                <w:lang w:val="en-GB"/>
              </w:rPr>
              <w:t>b</w:t>
            </w:r>
            <w:r w:rsidR="7E78F5E9" w:rsidRPr="00FD703D">
              <w:rPr>
                <w:rFonts w:eastAsia="Calibri" w:cs="Times New Roman"/>
                <w:noProof/>
                <w:sz w:val="22"/>
                <w:szCs w:val="20"/>
                <w:lang w:val="en-GB"/>
              </w:rPr>
              <w:t>ovine spongiform encephalopathy (</w:t>
            </w:r>
            <w:r w:rsidRPr="00FD703D">
              <w:rPr>
                <w:rFonts w:eastAsia="Calibri" w:cs="Times New Roman"/>
                <w:noProof/>
                <w:sz w:val="22"/>
                <w:szCs w:val="20"/>
                <w:lang w:val="en-GB"/>
              </w:rPr>
              <w:t>BSE</w:t>
            </w:r>
            <w:r w:rsidR="51511226" w:rsidRPr="00FD703D">
              <w:rPr>
                <w:rFonts w:eastAsia="Calibri" w:cs="Times New Roman"/>
                <w:noProof/>
                <w:sz w:val="22"/>
                <w:szCs w:val="20"/>
                <w:lang w:val="en-GB"/>
              </w:rPr>
              <w:t>)</w:t>
            </w:r>
            <w:r w:rsidRPr="00FD703D">
              <w:rPr>
                <w:rFonts w:eastAsia="Calibri" w:cs="Times New Roman"/>
                <w:noProof/>
                <w:sz w:val="22"/>
                <w:szCs w:val="20"/>
                <w:lang w:val="en-GB"/>
              </w:rPr>
              <w:t xml:space="preserve"> epidemic</w:t>
            </w:r>
            <w:r w:rsidR="4D2313AA" w:rsidRPr="00FD703D">
              <w:rPr>
                <w:rFonts w:eastAsia="Calibri" w:cs="Times New Roman"/>
                <w:noProof/>
                <w:sz w:val="22"/>
                <w:szCs w:val="20"/>
                <w:lang w:val="en-GB"/>
              </w:rPr>
              <w:t>,</w:t>
            </w:r>
            <w:r w:rsidRPr="00FD703D">
              <w:rPr>
                <w:rFonts w:eastAsia="Calibri" w:cs="Times New Roman"/>
                <w:noProof/>
                <w:sz w:val="22"/>
                <w:szCs w:val="20"/>
                <w:lang w:val="en-GB"/>
              </w:rPr>
              <w:t xml:space="preserve"> </w:t>
            </w:r>
            <w:r w:rsidR="4D2313AA" w:rsidRPr="00FD703D">
              <w:rPr>
                <w:rFonts w:eastAsia="Calibri" w:cs="Times New Roman"/>
                <w:noProof/>
                <w:sz w:val="22"/>
                <w:szCs w:val="20"/>
                <w:lang w:val="en-GB"/>
              </w:rPr>
              <w:t xml:space="preserve">which has been </w:t>
            </w:r>
            <w:r w:rsidRPr="00FD703D">
              <w:rPr>
                <w:rFonts w:eastAsia="Calibri" w:cs="Times New Roman"/>
                <w:noProof/>
                <w:sz w:val="22"/>
                <w:szCs w:val="20"/>
                <w:lang w:val="en-GB"/>
              </w:rPr>
              <w:t xml:space="preserve">detrimental to the meat sector for decades mainly due to the consumer perception that ruminants became carnivores. </w:t>
            </w:r>
            <w:r w:rsidR="009D5C79" w:rsidRPr="00FD703D">
              <w:rPr>
                <w:rFonts w:eastAsia="Calibri" w:cs="Times New Roman"/>
                <w:noProof/>
                <w:sz w:val="22"/>
                <w:lang w:val="en-GB"/>
              </w:rPr>
              <w:t>In September 2021, a</w:t>
            </w:r>
            <w:r w:rsidR="007D092D" w:rsidRPr="00FD703D">
              <w:rPr>
                <w:rFonts w:eastAsia="Calibri" w:cs="Times New Roman"/>
                <w:noProof/>
                <w:sz w:val="22"/>
                <w:lang w:val="en-GB"/>
              </w:rPr>
              <w:t xml:space="preserve"> significant </w:t>
            </w:r>
            <w:r w:rsidR="009D5C79" w:rsidRPr="00FD703D">
              <w:rPr>
                <w:rFonts w:eastAsia="Calibri" w:cs="Times New Roman"/>
                <w:noProof/>
                <w:sz w:val="22"/>
                <w:lang w:val="en-GB"/>
              </w:rPr>
              <w:t xml:space="preserve">relaxation of the feed ban rules </w:t>
            </w:r>
            <w:r w:rsidR="007D092D" w:rsidRPr="00FD703D">
              <w:rPr>
                <w:rFonts w:eastAsia="Calibri" w:cs="Times New Roman"/>
                <w:noProof/>
                <w:sz w:val="22"/>
                <w:lang w:val="en-GB"/>
              </w:rPr>
              <w:t>was</w:t>
            </w:r>
            <w:r w:rsidR="009D5C79" w:rsidRPr="00FD703D">
              <w:rPr>
                <w:rFonts w:eastAsia="Calibri" w:cs="Times New Roman"/>
                <w:noProof/>
                <w:sz w:val="22"/>
                <w:lang w:val="en-GB"/>
              </w:rPr>
              <w:t xml:space="preserve"> adopted with the authorisation to use PAP derived from pigs and</w:t>
            </w:r>
          </w:p>
        </w:tc>
      </w:tr>
      <w:tr w:rsidR="00C5432E" w:rsidRPr="00FD703D" w14:paraId="44BA6755" w14:textId="77777777" w:rsidTr="009165CA">
        <w:trPr>
          <w:trHeight w:val="5480"/>
        </w:trPr>
        <w:tc>
          <w:tcPr>
            <w:tcW w:w="648" w:type="dxa"/>
            <w:tcBorders>
              <w:bottom w:val="single" w:sz="4" w:space="0" w:color="auto"/>
            </w:tcBorders>
            <w:vAlign w:val="center"/>
          </w:tcPr>
          <w:p w14:paraId="1285EB2A" w14:textId="77777777" w:rsidR="00C5432E" w:rsidRPr="00FD703D" w:rsidRDefault="00C5432E" w:rsidP="00C5432E">
            <w:pPr>
              <w:spacing w:after="60"/>
              <w:jc w:val="both"/>
              <w:rPr>
                <w:rFonts w:eastAsia="Calibri" w:cs="Times New Roman"/>
                <w:b/>
                <w:bCs/>
                <w:noProof/>
                <w:sz w:val="22"/>
                <w:lang w:val="en-GB"/>
              </w:rPr>
            </w:pPr>
          </w:p>
        </w:tc>
        <w:tc>
          <w:tcPr>
            <w:tcW w:w="5917" w:type="dxa"/>
            <w:tcBorders>
              <w:bottom w:val="single" w:sz="4" w:space="0" w:color="auto"/>
            </w:tcBorders>
          </w:tcPr>
          <w:p w14:paraId="369B5485" w14:textId="77777777" w:rsidR="00C5432E" w:rsidRPr="00FD703D" w:rsidRDefault="00C5432E" w:rsidP="00C5432E">
            <w:pPr>
              <w:jc w:val="both"/>
              <w:rPr>
                <w:rFonts w:eastAsia="Calibri" w:cs="Times New Roman"/>
                <w:b/>
                <w:bCs/>
                <w:noProof/>
                <w:sz w:val="22"/>
                <w:szCs w:val="20"/>
                <w:lang w:val="en-GB"/>
              </w:rPr>
            </w:pPr>
          </w:p>
        </w:tc>
        <w:tc>
          <w:tcPr>
            <w:tcW w:w="1530" w:type="dxa"/>
            <w:tcBorders>
              <w:bottom w:val="single" w:sz="4" w:space="0" w:color="auto"/>
            </w:tcBorders>
            <w:vAlign w:val="center"/>
          </w:tcPr>
          <w:p w14:paraId="000636E1" w14:textId="77777777" w:rsidR="00C5432E" w:rsidRPr="00FD703D" w:rsidRDefault="00C5432E" w:rsidP="00C5432E">
            <w:pPr>
              <w:spacing w:after="60"/>
              <w:jc w:val="center"/>
              <w:rPr>
                <w:rFonts w:eastAsia="MS Gothic" w:cs="Times New Roman"/>
                <w:b/>
                <w:noProof/>
                <w:color w:val="0033CC"/>
                <w:sz w:val="22"/>
                <w:lang w:val="en-GB"/>
              </w:rPr>
            </w:pPr>
          </w:p>
        </w:tc>
        <w:tc>
          <w:tcPr>
            <w:tcW w:w="6392" w:type="dxa"/>
            <w:tcBorders>
              <w:bottom w:val="single" w:sz="4" w:space="0" w:color="auto"/>
            </w:tcBorders>
          </w:tcPr>
          <w:p w14:paraId="3E1B0C74" w14:textId="77777777" w:rsidR="00C5432E" w:rsidRPr="00FD703D" w:rsidRDefault="00C5432E" w:rsidP="001B5ACA">
            <w:pPr>
              <w:spacing w:line="259" w:lineRule="auto"/>
              <w:jc w:val="both"/>
              <w:rPr>
                <w:rFonts w:eastAsia="Calibri" w:cs="Times New Roman"/>
                <w:noProof/>
                <w:sz w:val="22"/>
                <w:lang w:val="en-GB"/>
              </w:rPr>
            </w:pPr>
            <w:r w:rsidRPr="00FD703D">
              <w:rPr>
                <w:rFonts w:eastAsia="Calibri" w:cs="Times New Roman"/>
                <w:noProof/>
                <w:sz w:val="22"/>
                <w:lang w:val="en-GB"/>
              </w:rPr>
              <w:t xml:space="preserve"> insects in poultry feed and PAP derived from poultry and insects in pig feed. PAP derived from insects is therefore already authorised in the feeding of all major farmed animal species (except ruminants) and pet and fur animals. These measures already allowed a wider use in feed of high-quality protein derived from pigs, poultry and insects, which are locally produced in the EU, partially substituting soybean imported from the Americas and contributing to a more level playing field for European farmers. In addition, the use of di- and tricalcium phosphate of animal origin is already broadly authorised in the feeding of all animal species except ruminants. </w:t>
            </w:r>
          </w:p>
          <w:p w14:paraId="2EB986F9" w14:textId="77777777" w:rsidR="00C5432E" w:rsidRPr="00FD703D" w:rsidRDefault="00C5432E" w:rsidP="001B5ACA">
            <w:pPr>
              <w:spacing w:line="259" w:lineRule="auto"/>
              <w:jc w:val="both"/>
              <w:rPr>
                <w:rFonts w:eastAsia="Calibri" w:cs="Times New Roman"/>
                <w:noProof/>
                <w:sz w:val="22"/>
                <w:lang w:val="en-GB"/>
              </w:rPr>
            </w:pPr>
            <w:r w:rsidRPr="00FD703D">
              <w:rPr>
                <w:rFonts w:eastAsia="Calibri" w:cs="Times New Roman"/>
                <w:noProof/>
                <w:sz w:val="22"/>
                <w:lang w:val="en-GB"/>
              </w:rPr>
              <w:t xml:space="preserve">The feed ban is supplemented by the prohibition of cannibalism laid down in the Animal By-products Regulation 1069/2009. </w:t>
            </w:r>
          </w:p>
          <w:p w14:paraId="097410EF" w14:textId="77777777" w:rsidR="00C5432E" w:rsidRPr="00FD703D" w:rsidRDefault="00C5432E" w:rsidP="00C5432E">
            <w:pPr>
              <w:spacing w:after="60" w:line="259" w:lineRule="auto"/>
              <w:jc w:val="both"/>
              <w:rPr>
                <w:rFonts w:eastAsia="Calibri" w:cs="Times New Roman"/>
                <w:noProof/>
                <w:sz w:val="22"/>
                <w:szCs w:val="20"/>
                <w:lang w:val="en-GB"/>
              </w:rPr>
            </w:pPr>
            <w:r w:rsidRPr="00FD703D">
              <w:rPr>
                <w:rFonts w:eastAsia="Calibri" w:cs="Times New Roman"/>
                <w:noProof/>
                <w:sz w:val="22"/>
                <w:lang w:val="en-GB"/>
              </w:rPr>
              <w:t>Insects are feed-producing animals and subject to risk mitigation measures for the prevention of animal health risks posed by feed. The Commission is in close contact with the stakeholder organisations of the feed industry, which are developing new technology for the safe use of new feeding substrates for insects, including feeding from catering waste. When a new technology is developed, it will need be subject to the EFSA risk assessment before any change in legislation might be envisaged.</w:t>
            </w:r>
          </w:p>
        </w:tc>
      </w:tr>
      <w:tr w:rsidR="001B5ACA" w:rsidRPr="00FD703D" w14:paraId="0F005EC4" w14:textId="77777777" w:rsidTr="009165CA">
        <w:trPr>
          <w:trHeight w:val="2555"/>
        </w:trPr>
        <w:tc>
          <w:tcPr>
            <w:tcW w:w="648" w:type="dxa"/>
            <w:tcBorders>
              <w:bottom w:val="single" w:sz="4" w:space="0" w:color="auto"/>
            </w:tcBorders>
            <w:vAlign w:val="center"/>
          </w:tcPr>
          <w:p w14:paraId="1F58BE1A" w14:textId="231A7260" w:rsidR="001B5ACA" w:rsidRPr="00FD703D" w:rsidRDefault="001B5ACA" w:rsidP="001B5ACA">
            <w:pPr>
              <w:spacing w:after="60"/>
              <w:jc w:val="both"/>
              <w:rPr>
                <w:rFonts w:eastAsia="Calibri" w:cs="Times New Roman"/>
                <w:b/>
                <w:bCs/>
                <w:noProof/>
                <w:sz w:val="22"/>
                <w:lang w:val="en-GB"/>
              </w:rPr>
            </w:pPr>
            <w:r w:rsidRPr="00FD703D">
              <w:rPr>
                <w:rFonts w:eastAsia="Calibri" w:cs="Times New Roman"/>
                <w:b/>
                <w:bCs/>
                <w:noProof/>
                <w:sz w:val="22"/>
                <w:lang w:val="en-GB"/>
              </w:rPr>
              <w:t>32</w:t>
            </w:r>
            <w:r>
              <w:rPr>
                <w:rFonts w:eastAsia="Calibri" w:cs="Times New Roman"/>
                <w:b/>
                <w:bCs/>
                <w:noProof/>
                <w:sz w:val="22"/>
                <w:lang w:val="en-GB"/>
              </w:rPr>
              <w:t>3</w:t>
            </w:r>
          </w:p>
        </w:tc>
        <w:tc>
          <w:tcPr>
            <w:tcW w:w="5917" w:type="dxa"/>
            <w:tcBorders>
              <w:bottom w:val="single" w:sz="4" w:space="0" w:color="auto"/>
            </w:tcBorders>
          </w:tcPr>
          <w:p w14:paraId="2A81ADE9" w14:textId="1A7B741D" w:rsidR="001B5ACA" w:rsidRPr="00FD703D" w:rsidRDefault="001B5ACA" w:rsidP="001B5ACA">
            <w:pPr>
              <w:jc w:val="both"/>
              <w:rPr>
                <w:rFonts w:eastAsia="Calibri" w:cs="Times New Roman"/>
                <w:b/>
                <w:bCs/>
                <w:noProof/>
                <w:sz w:val="22"/>
                <w:szCs w:val="20"/>
                <w:lang w:val="en-GB"/>
              </w:rPr>
            </w:pPr>
            <w:r w:rsidRPr="00FD703D">
              <w:rPr>
                <w:rFonts w:eastAsia="Calibri" w:cs="Times New Roman"/>
                <w:b/>
                <w:bCs/>
                <w:noProof/>
                <w:sz w:val="22"/>
                <w:szCs w:val="20"/>
                <w:lang w:val="en-GB"/>
              </w:rPr>
              <w:t xml:space="preserve">Revision of the feed additive regulation: </w:t>
            </w:r>
            <w:r w:rsidRPr="00FD703D">
              <w:rPr>
                <w:rFonts w:eastAsia="Calibri" w:cs="Times New Roman"/>
                <w:noProof/>
                <w:sz w:val="22"/>
                <w:szCs w:val="20"/>
                <w:lang w:val="en-GB"/>
              </w:rPr>
              <w:t>in connection with the revision of Regulations (EC) 1831/2003 and 429/2008, the Commission is invited to speed up the authorisation of innovative feed additives, clarify requirements and provide guidance on endpoints. Rules on sustainability claims should preferably be introduced as well. There is a need to improve the current system for the application for authorisation for all types of feed additives, for all relevant animal species. The possibility of extending the authorisation period for certain feed additives beyond the current 10 years, or making the authorisation permanent for certain feed</w:t>
            </w:r>
            <w:r>
              <w:rPr>
                <w:rFonts w:eastAsia="Calibri" w:cs="Times New Roman"/>
                <w:noProof/>
                <w:sz w:val="22"/>
                <w:szCs w:val="20"/>
                <w:lang w:val="en-GB"/>
              </w:rPr>
              <w:t xml:space="preserve"> </w:t>
            </w:r>
            <w:r w:rsidR="009165CA">
              <w:rPr>
                <w:rFonts w:eastAsia="Calibri" w:cs="Times New Roman"/>
                <w:noProof/>
                <w:sz w:val="22"/>
                <w:szCs w:val="20"/>
                <w:lang w:val="en-GB"/>
              </w:rPr>
              <w:t xml:space="preserve"> </w:t>
            </w:r>
          </w:p>
        </w:tc>
        <w:tc>
          <w:tcPr>
            <w:tcW w:w="1530" w:type="dxa"/>
            <w:tcBorders>
              <w:bottom w:val="single" w:sz="4" w:space="0" w:color="auto"/>
            </w:tcBorders>
            <w:vAlign w:val="center"/>
          </w:tcPr>
          <w:p w14:paraId="4BF97B8A" w14:textId="1FEBAE4C" w:rsidR="001B5ACA" w:rsidRPr="00FD703D" w:rsidRDefault="001B5ACA" w:rsidP="001B5ACA">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DK</w:t>
            </w:r>
          </w:p>
        </w:tc>
        <w:tc>
          <w:tcPr>
            <w:tcW w:w="6392" w:type="dxa"/>
            <w:tcBorders>
              <w:bottom w:val="single" w:sz="4" w:space="0" w:color="auto"/>
            </w:tcBorders>
          </w:tcPr>
          <w:p w14:paraId="2F8A5A6C" w14:textId="77777777" w:rsidR="001B5ACA" w:rsidRPr="00FD703D" w:rsidRDefault="001B5ACA" w:rsidP="001B5ACA">
            <w:pPr>
              <w:spacing w:line="259" w:lineRule="auto"/>
              <w:jc w:val="both"/>
              <w:rPr>
                <w:rFonts w:eastAsia="Calibri" w:cs="Times New Roman"/>
                <w:noProof/>
                <w:sz w:val="22"/>
                <w:lang w:val="en-GB"/>
              </w:rPr>
            </w:pPr>
            <w:r w:rsidRPr="00FD703D">
              <w:rPr>
                <w:rFonts w:eastAsia="Calibri" w:cs="Times New Roman"/>
                <w:noProof/>
                <w:sz w:val="22"/>
                <w:lang w:val="en-GB"/>
              </w:rPr>
              <w:t xml:space="preserve">Feed additives are important for the competitiveness of EU farmers and the sustainability of the climate and the environment, given their potential to improve nutrient intake. </w:t>
            </w:r>
          </w:p>
          <w:p w14:paraId="69BBBFA4" w14:textId="77777777" w:rsidR="001B5ACA" w:rsidRPr="00FD703D" w:rsidRDefault="001B5ACA" w:rsidP="001B5ACA">
            <w:pPr>
              <w:spacing w:line="259" w:lineRule="auto"/>
              <w:jc w:val="both"/>
              <w:rPr>
                <w:rFonts w:eastAsia="Calibri" w:cs="Times New Roman"/>
                <w:noProof/>
                <w:sz w:val="22"/>
                <w:lang w:val="en-GB"/>
              </w:rPr>
            </w:pPr>
            <w:r w:rsidRPr="00FD703D">
              <w:rPr>
                <w:rFonts w:eastAsia="Calibri" w:cs="Times New Roman"/>
                <w:noProof/>
                <w:sz w:val="22"/>
                <w:lang w:val="en-GB"/>
              </w:rPr>
              <w:t xml:space="preserve">Certain additives enable a reduction in methane emissions. This will be one of the main building blocks of the EU’s response to curb emissions form livestock, supported by research and innovation funding and projects. </w:t>
            </w:r>
          </w:p>
          <w:p w14:paraId="3D054A4E" w14:textId="794DB5AA" w:rsidR="001B5ACA" w:rsidRPr="00FD703D" w:rsidRDefault="001B5ACA" w:rsidP="001B5ACA">
            <w:pPr>
              <w:jc w:val="both"/>
              <w:rPr>
                <w:rFonts w:eastAsia="Calibri" w:cs="Times New Roman"/>
                <w:noProof/>
                <w:sz w:val="22"/>
                <w:lang w:val="en-GB"/>
              </w:rPr>
            </w:pPr>
            <w:r w:rsidRPr="00FD703D">
              <w:rPr>
                <w:rFonts w:eastAsia="Calibri" w:cs="Times New Roman"/>
                <w:noProof/>
                <w:sz w:val="22"/>
                <w:szCs w:val="20"/>
                <w:lang w:val="en-GB"/>
              </w:rPr>
              <w:t>The outcome of the evaluation of Regulation (EC) 1831/2003 published by the Commission on 28 February 2024 did not identify major issues. However, reflections on possible improvements are</w:t>
            </w:r>
          </w:p>
        </w:tc>
      </w:tr>
    </w:tbl>
    <w:p w14:paraId="353F35F1" w14:textId="77777777" w:rsidR="001B5ACA" w:rsidRDefault="001B5ACA">
      <w:pPr>
        <w:rPr>
          <w:noProof/>
        </w:rPr>
      </w:pPr>
    </w:p>
    <w:tbl>
      <w:tblPr>
        <w:tblStyle w:val="TableGrid1"/>
        <w:tblpPr w:leftFromText="180" w:rightFromText="180" w:vertAnchor="text" w:tblpY="1"/>
        <w:tblOverlap w:val="never"/>
        <w:tblW w:w="14487" w:type="dxa"/>
        <w:tblLayout w:type="fixed"/>
        <w:tblLook w:val="04A0" w:firstRow="1" w:lastRow="0" w:firstColumn="1" w:lastColumn="0" w:noHBand="0" w:noVBand="1"/>
      </w:tblPr>
      <w:tblGrid>
        <w:gridCol w:w="648"/>
        <w:gridCol w:w="5917"/>
        <w:gridCol w:w="1530"/>
        <w:gridCol w:w="6392"/>
      </w:tblGrid>
      <w:tr w:rsidR="001E38DF" w:rsidRPr="00FD703D" w14:paraId="44DB3C85" w14:textId="77777777" w:rsidTr="001E38DF">
        <w:trPr>
          <w:trHeight w:val="300"/>
        </w:trPr>
        <w:tc>
          <w:tcPr>
            <w:tcW w:w="648" w:type="dxa"/>
            <w:tcBorders>
              <w:bottom w:val="single" w:sz="4" w:space="0" w:color="auto"/>
            </w:tcBorders>
            <w:vAlign w:val="center"/>
          </w:tcPr>
          <w:p w14:paraId="7E27970E" w14:textId="77777777" w:rsidR="001E38DF" w:rsidRPr="00FD703D" w:rsidRDefault="001E38DF" w:rsidP="00C5432E">
            <w:pPr>
              <w:spacing w:after="60"/>
              <w:jc w:val="both"/>
              <w:rPr>
                <w:rFonts w:eastAsia="Calibri" w:cs="Times New Roman"/>
                <w:b/>
                <w:bCs/>
                <w:noProof/>
                <w:sz w:val="22"/>
                <w:lang w:val="en-GB"/>
              </w:rPr>
            </w:pPr>
          </w:p>
        </w:tc>
        <w:tc>
          <w:tcPr>
            <w:tcW w:w="5917" w:type="dxa"/>
            <w:tcBorders>
              <w:bottom w:val="single" w:sz="4" w:space="0" w:color="auto"/>
            </w:tcBorders>
          </w:tcPr>
          <w:p w14:paraId="4FDAE90C" w14:textId="33678F37" w:rsidR="001E38DF" w:rsidRPr="00FD703D" w:rsidRDefault="001B5ACA" w:rsidP="00C5432E">
            <w:pPr>
              <w:jc w:val="both"/>
              <w:rPr>
                <w:rFonts w:eastAsia="Calibri" w:cs="Times New Roman"/>
                <w:b/>
                <w:bCs/>
                <w:noProof/>
                <w:sz w:val="22"/>
                <w:szCs w:val="20"/>
                <w:lang w:val="en-GB"/>
              </w:rPr>
            </w:pPr>
            <w:r w:rsidRPr="00FD703D">
              <w:rPr>
                <w:rFonts w:eastAsia="Calibri" w:cs="Times New Roman"/>
                <w:noProof/>
                <w:sz w:val="22"/>
                <w:szCs w:val="20"/>
                <w:lang w:val="en-GB"/>
              </w:rPr>
              <w:t>additives, should be considered without compromising safety and consumer protection.</w:t>
            </w:r>
          </w:p>
        </w:tc>
        <w:tc>
          <w:tcPr>
            <w:tcW w:w="1530" w:type="dxa"/>
            <w:tcBorders>
              <w:bottom w:val="single" w:sz="4" w:space="0" w:color="auto"/>
            </w:tcBorders>
            <w:vAlign w:val="center"/>
          </w:tcPr>
          <w:p w14:paraId="1C2B6008" w14:textId="77777777" w:rsidR="001E38DF" w:rsidRPr="00FD703D" w:rsidRDefault="001E38DF" w:rsidP="00C5432E">
            <w:pPr>
              <w:spacing w:after="60"/>
              <w:jc w:val="center"/>
              <w:rPr>
                <w:rFonts w:eastAsia="MS Gothic" w:cs="Times New Roman"/>
                <w:b/>
                <w:noProof/>
                <w:color w:val="0033CC"/>
                <w:sz w:val="22"/>
                <w:lang w:val="en-GB"/>
              </w:rPr>
            </w:pPr>
          </w:p>
        </w:tc>
        <w:tc>
          <w:tcPr>
            <w:tcW w:w="6392" w:type="dxa"/>
            <w:tcBorders>
              <w:bottom w:val="single" w:sz="4" w:space="0" w:color="auto"/>
            </w:tcBorders>
            <w:vAlign w:val="center"/>
          </w:tcPr>
          <w:p w14:paraId="0DFCD776" w14:textId="77777777" w:rsidR="001E38DF" w:rsidRPr="00FD703D" w:rsidRDefault="001E38DF" w:rsidP="001E38DF">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ongoing. The Commission is prepared to work with Member States to provide clarity on the requirements and procedures as needed, keeping in mind that EFSA provides its own guidance on safety and efficacy assessments of feed additives. </w:t>
            </w:r>
          </w:p>
          <w:p w14:paraId="470FD13F" w14:textId="37E284FD" w:rsidR="001E38DF" w:rsidRPr="00FD703D" w:rsidRDefault="001E38DF" w:rsidP="001E38DF">
            <w:pPr>
              <w:spacing w:after="60"/>
              <w:jc w:val="both"/>
              <w:rPr>
                <w:rFonts w:eastAsia="Calibri" w:cs="Times New Roman"/>
                <w:noProof/>
                <w:sz w:val="22"/>
                <w:lang w:val="en-GB"/>
              </w:rPr>
            </w:pPr>
            <w:r w:rsidRPr="00FD703D">
              <w:rPr>
                <w:rFonts w:eastAsia="Calibri" w:cs="Times New Roman"/>
                <w:noProof/>
                <w:sz w:val="22"/>
                <w:szCs w:val="20"/>
                <w:lang w:val="en-GB"/>
              </w:rPr>
              <w:t>In the meantime, the Commission will continue to process the numerous requests for feed additives authorisations to improve market access for companies, and the existing legal framework is to be used to its full extent to support innovation, in particular as regards sustainable feed additives.</w:t>
            </w:r>
          </w:p>
        </w:tc>
      </w:tr>
      <w:tr w:rsidR="009D5C79" w:rsidRPr="00FD703D" w14:paraId="41EF3E43" w14:textId="77777777" w:rsidTr="00A97D05">
        <w:trPr>
          <w:trHeight w:val="300"/>
        </w:trPr>
        <w:tc>
          <w:tcPr>
            <w:tcW w:w="648" w:type="dxa"/>
            <w:tcBorders>
              <w:bottom w:val="single" w:sz="4" w:space="0" w:color="auto"/>
            </w:tcBorders>
            <w:vAlign w:val="center"/>
          </w:tcPr>
          <w:p w14:paraId="0E8E21E4" w14:textId="1C4DAF4F" w:rsidR="009D5C79" w:rsidRPr="00FD703D" w:rsidRDefault="009D5C79" w:rsidP="00C5432E">
            <w:pPr>
              <w:spacing w:after="60"/>
              <w:jc w:val="both"/>
              <w:rPr>
                <w:rFonts w:eastAsia="Calibri" w:cs="Times New Roman"/>
                <w:b/>
                <w:bCs/>
                <w:noProof/>
                <w:sz w:val="22"/>
                <w:lang w:val="en-GB"/>
              </w:rPr>
            </w:pPr>
            <w:r w:rsidRPr="00FD703D">
              <w:rPr>
                <w:rFonts w:eastAsia="Calibri" w:cs="Times New Roman"/>
                <w:b/>
                <w:bCs/>
                <w:noProof/>
                <w:sz w:val="22"/>
                <w:lang w:val="en-GB"/>
              </w:rPr>
              <w:t>32</w:t>
            </w:r>
            <w:r w:rsidR="00E558D0">
              <w:rPr>
                <w:rFonts w:eastAsia="Calibri" w:cs="Times New Roman"/>
                <w:b/>
                <w:bCs/>
                <w:noProof/>
                <w:sz w:val="22"/>
                <w:lang w:val="en-GB"/>
              </w:rPr>
              <w:t>4</w:t>
            </w:r>
          </w:p>
        </w:tc>
        <w:tc>
          <w:tcPr>
            <w:tcW w:w="5917" w:type="dxa"/>
            <w:tcBorders>
              <w:bottom w:val="single" w:sz="4" w:space="0" w:color="auto"/>
            </w:tcBorders>
            <w:vAlign w:val="center"/>
          </w:tcPr>
          <w:p w14:paraId="7DB6F0CE" w14:textId="26311F95" w:rsidR="009D5C79" w:rsidRPr="00FD703D" w:rsidRDefault="14C693F7" w:rsidP="00C5432E">
            <w:pPr>
              <w:jc w:val="both"/>
              <w:rPr>
                <w:rFonts w:eastAsia="Calibri" w:cs="Times New Roman"/>
                <w:b/>
                <w:bCs/>
                <w:noProof/>
                <w:sz w:val="22"/>
                <w:szCs w:val="20"/>
                <w:lang w:val="en-GB"/>
              </w:rPr>
            </w:pPr>
            <w:r w:rsidRPr="00FD703D">
              <w:rPr>
                <w:rFonts w:eastAsia="Calibri" w:cs="Times New Roman"/>
                <w:b/>
                <w:bCs/>
                <w:noProof/>
                <w:sz w:val="22"/>
                <w:szCs w:val="20"/>
                <w:lang w:val="en-GB"/>
              </w:rPr>
              <w:t xml:space="preserve">Food waste </w:t>
            </w:r>
            <w:r w:rsidR="426FAE23" w:rsidRPr="00FD703D">
              <w:rPr>
                <w:rFonts w:eastAsia="Calibri" w:cs="Times New Roman"/>
                <w:b/>
                <w:bCs/>
                <w:noProof/>
                <w:sz w:val="22"/>
                <w:szCs w:val="20"/>
                <w:lang w:val="en-GB"/>
              </w:rPr>
              <w:t>and</w:t>
            </w:r>
            <w:r w:rsidRPr="00FD703D">
              <w:rPr>
                <w:rFonts w:eastAsia="Calibri" w:cs="Times New Roman"/>
                <w:b/>
                <w:bCs/>
                <w:noProof/>
                <w:sz w:val="22"/>
                <w:szCs w:val="20"/>
                <w:lang w:val="en-GB"/>
              </w:rPr>
              <w:t xml:space="preserve"> food safety:</w:t>
            </w:r>
            <w:r w:rsidRPr="00FD703D">
              <w:rPr>
                <w:rFonts w:eastAsia="Calibri" w:cs="Times New Roman"/>
                <w:noProof/>
                <w:sz w:val="22"/>
                <w:szCs w:val="20"/>
                <w:lang w:val="en-GB"/>
              </w:rPr>
              <w:t xml:space="preserve"> </w:t>
            </w:r>
            <w:r w:rsidR="08316348" w:rsidRPr="00FD703D">
              <w:rPr>
                <w:rFonts w:eastAsia="Calibri" w:cs="Times New Roman"/>
                <w:noProof/>
                <w:sz w:val="22"/>
                <w:szCs w:val="20"/>
                <w:lang w:val="en-GB"/>
              </w:rPr>
              <w:t>r</w:t>
            </w:r>
            <w:r w:rsidRPr="00FD703D">
              <w:rPr>
                <w:rFonts w:eastAsia="Calibri" w:cs="Times New Roman"/>
                <w:noProof/>
                <w:sz w:val="22"/>
                <w:szCs w:val="20"/>
                <w:lang w:val="en-GB"/>
              </w:rPr>
              <w:t xml:space="preserve">epeal EU legislation that has no added value for food safety: rules that prohibit </w:t>
            </w:r>
            <w:r w:rsidR="426FAE23" w:rsidRPr="00FD703D">
              <w:rPr>
                <w:rFonts w:eastAsia="Calibri" w:cs="Times New Roman"/>
                <w:noProof/>
                <w:sz w:val="22"/>
                <w:szCs w:val="20"/>
                <w:lang w:val="en-GB"/>
              </w:rPr>
              <w:t xml:space="preserve">the </w:t>
            </w:r>
            <w:r w:rsidRPr="00FD703D">
              <w:rPr>
                <w:rFonts w:eastAsia="Calibri" w:cs="Times New Roman"/>
                <w:noProof/>
                <w:sz w:val="22"/>
                <w:szCs w:val="20"/>
                <w:lang w:val="en-GB"/>
              </w:rPr>
              <w:t>feeding of kitchen waste, food scraps, manure</w:t>
            </w:r>
            <w:r w:rsidR="426FAE23" w:rsidRPr="00FD703D">
              <w:rPr>
                <w:rFonts w:eastAsia="Calibri" w:cs="Times New Roman"/>
                <w:noProof/>
                <w:sz w:val="22"/>
                <w:szCs w:val="20"/>
                <w:lang w:val="en-GB"/>
              </w:rPr>
              <w:t xml:space="preserve"> and</w:t>
            </w:r>
            <w:r w:rsidRPr="00FD703D">
              <w:rPr>
                <w:rFonts w:eastAsia="Calibri" w:cs="Times New Roman"/>
                <w:noProof/>
                <w:sz w:val="22"/>
                <w:szCs w:val="20"/>
                <w:lang w:val="en-GB"/>
              </w:rPr>
              <w:t xml:space="preserve"> cat</w:t>
            </w:r>
            <w:r w:rsidR="426FAE23" w:rsidRPr="00FD703D">
              <w:rPr>
                <w:rFonts w:eastAsia="Calibri" w:cs="Times New Roman"/>
                <w:noProof/>
                <w:sz w:val="22"/>
                <w:szCs w:val="20"/>
                <w:lang w:val="en-GB"/>
              </w:rPr>
              <w:t xml:space="preserve">egory </w:t>
            </w:r>
            <w:r w:rsidRPr="00FD703D">
              <w:rPr>
                <w:rFonts w:eastAsia="Calibri" w:cs="Times New Roman"/>
                <w:noProof/>
                <w:sz w:val="22"/>
                <w:szCs w:val="20"/>
                <w:lang w:val="en-GB"/>
              </w:rPr>
              <w:t>2 offal, and the rules that prohibit feeding manure (relevant for insects) (Regulation</w:t>
            </w:r>
            <w:r w:rsidR="5223E544" w:rsidRPr="00FD703D">
              <w:rPr>
                <w:rFonts w:eastAsia="Calibri" w:cs="Times New Roman"/>
                <w:noProof/>
                <w:sz w:val="22"/>
                <w:szCs w:val="20"/>
                <w:lang w:val="en-GB"/>
              </w:rPr>
              <w:t xml:space="preserve"> (EC)</w:t>
            </w:r>
            <w:r w:rsidRPr="00FD703D">
              <w:rPr>
                <w:rFonts w:eastAsia="Calibri" w:cs="Times New Roman"/>
                <w:noProof/>
                <w:sz w:val="22"/>
                <w:szCs w:val="20"/>
                <w:lang w:val="en-GB"/>
              </w:rPr>
              <w:t xml:space="preserve">  1069/2009, Regulation </w:t>
            </w:r>
            <w:r w:rsidR="108DF83A" w:rsidRPr="00FD703D">
              <w:rPr>
                <w:rFonts w:eastAsia="Calibri" w:cs="Times New Roman"/>
                <w:noProof/>
                <w:sz w:val="22"/>
                <w:szCs w:val="20"/>
                <w:lang w:val="en-GB"/>
              </w:rPr>
              <w:t>(EU)</w:t>
            </w:r>
            <w:r w:rsidRPr="00FD703D">
              <w:rPr>
                <w:rFonts w:eastAsia="Calibri" w:cs="Times New Roman"/>
                <w:noProof/>
                <w:sz w:val="22"/>
                <w:szCs w:val="20"/>
                <w:lang w:val="en-GB"/>
              </w:rPr>
              <w:t xml:space="preserve"> 142/2011 and Regulation </w:t>
            </w:r>
            <w:r w:rsidR="4A87A641" w:rsidRPr="00FD703D">
              <w:rPr>
                <w:rFonts w:eastAsia="Calibri" w:cs="Times New Roman"/>
                <w:noProof/>
                <w:sz w:val="22"/>
                <w:szCs w:val="20"/>
                <w:lang w:val="en-GB"/>
              </w:rPr>
              <w:t>(EC)</w:t>
            </w:r>
            <w:r w:rsidRPr="00FD703D">
              <w:rPr>
                <w:rFonts w:eastAsia="Calibri" w:cs="Times New Roman"/>
                <w:noProof/>
                <w:sz w:val="22"/>
                <w:szCs w:val="20"/>
                <w:lang w:val="en-GB"/>
              </w:rPr>
              <w:t>. 767/2009).</w:t>
            </w:r>
          </w:p>
        </w:tc>
        <w:tc>
          <w:tcPr>
            <w:tcW w:w="1530" w:type="dxa"/>
            <w:tcBorders>
              <w:bottom w:val="single" w:sz="4" w:space="0" w:color="auto"/>
            </w:tcBorders>
            <w:vAlign w:val="center"/>
          </w:tcPr>
          <w:p w14:paraId="6E410BE4" w14:textId="37CDEEFA" w:rsidR="009D5C79" w:rsidRPr="00FD703D" w:rsidRDefault="009D5C79" w:rsidP="00C5432E">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NL</w:t>
            </w:r>
          </w:p>
        </w:tc>
        <w:tc>
          <w:tcPr>
            <w:tcW w:w="6392" w:type="dxa"/>
            <w:tcBorders>
              <w:bottom w:val="single" w:sz="4" w:space="0" w:color="auto"/>
            </w:tcBorders>
            <w:vAlign w:val="center"/>
          </w:tcPr>
          <w:p w14:paraId="7255CEAD" w14:textId="7EBAEBF9" w:rsidR="009D5C79" w:rsidRPr="00FD703D" w:rsidRDefault="001C02CB" w:rsidP="00C5432E">
            <w:pPr>
              <w:spacing w:after="60" w:line="259" w:lineRule="auto"/>
              <w:jc w:val="both"/>
              <w:rPr>
                <w:rFonts w:eastAsia="Calibri" w:cs="Times New Roman"/>
                <w:noProof/>
                <w:sz w:val="22"/>
                <w:lang w:val="en-GB"/>
              </w:rPr>
            </w:pPr>
            <w:r w:rsidRPr="00FD703D">
              <w:rPr>
                <w:rFonts w:eastAsia="Calibri" w:cs="Times New Roman"/>
                <w:noProof/>
                <w:sz w:val="22"/>
                <w:lang w:val="en-GB"/>
              </w:rPr>
              <w:t>Both recently and in the past t</w:t>
            </w:r>
            <w:r w:rsidR="009D5C79" w:rsidRPr="00FD703D">
              <w:rPr>
                <w:rFonts w:eastAsia="Calibri" w:cs="Times New Roman"/>
                <w:noProof/>
                <w:sz w:val="22"/>
                <w:lang w:val="en-GB"/>
              </w:rPr>
              <w:t xml:space="preserve">here are many examples </w:t>
            </w:r>
            <w:r w:rsidRPr="00FD703D">
              <w:rPr>
                <w:rFonts w:eastAsia="Calibri" w:cs="Times New Roman"/>
                <w:noProof/>
                <w:sz w:val="22"/>
                <w:lang w:val="en-GB"/>
              </w:rPr>
              <w:t xml:space="preserve">of </w:t>
            </w:r>
            <w:r w:rsidR="009D5C79" w:rsidRPr="00FD703D">
              <w:rPr>
                <w:rFonts w:eastAsia="Calibri" w:cs="Times New Roman"/>
                <w:noProof/>
                <w:sz w:val="22"/>
                <w:lang w:val="en-GB"/>
              </w:rPr>
              <w:t xml:space="preserve">animal disease outbreaks </w:t>
            </w:r>
            <w:r w:rsidRPr="00FD703D">
              <w:rPr>
                <w:rFonts w:eastAsia="Calibri" w:cs="Times New Roman"/>
                <w:noProof/>
                <w:sz w:val="22"/>
                <w:lang w:val="en-GB"/>
              </w:rPr>
              <w:t xml:space="preserve">in the EU </w:t>
            </w:r>
            <w:r w:rsidR="009D5C79" w:rsidRPr="00FD703D">
              <w:rPr>
                <w:rFonts w:eastAsia="Calibri" w:cs="Times New Roman"/>
                <w:noProof/>
                <w:sz w:val="22"/>
                <w:lang w:val="en-GB"/>
              </w:rPr>
              <w:t xml:space="preserve">(e.g. ASF in Portugal) </w:t>
            </w:r>
            <w:r w:rsidRPr="00FD703D">
              <w:rPr>
                <w:rFonts w:eastAsia="Calibri" w:cs="Times New Roman"/>
                <w:noProof/>
                <w:sz w:val="22"/>
                <w:lang w:val="en-GB"/>
              </w:rPr>
              <w:t xml:space="preserve">which were further </w:t>
            </w:r>
            <w:r w:rsidR="009D5C79" w:rsidRPr="00FD703D">
              <w:rPr>
                <w:rFonts w:eastAsia="Calibri" w:cs="Times New Roman"/>
                <w:noProof/>
                <w:sz w:val="22"/>
                <w:lang w:val="en-GB"/>
              </w:rPr>
              <w:t>spread because catering waste was fed to animals. Manure and other animal by</w:t>
            </w:r>
            <w:r w:rsidRPr="00FD703D">
              <w:rPr>
                <w:rFonts w:eastAsia="Calibri" w:cs="Times New Roman"/>
                <w:noProof/>
                <w:sz w:val="22"/>
                <w:lang w:val="en-GB"/>
              </w:rPr>
              <w:t>-</w:t>
            </w:r>
            <w:r w:rsidR="009D5C79" w:rsidRPr="00FD703D">
              <w:rPr>
                <w:rFonts w:eastAsia="Calibri" w:cs="Times New Roman"/>
                <w:noProof/>
                <w:sz w:val="22"/>
                <w:lang w:val="en-GB"/>
              </w:rPr>
              <w:t xml:space="preserve">products of </w:t>
            </w:r>
            <w:r w:rsidRPr="00FD703D">
              <w:rPr>
                <w:rFonts w:eastAsia="Calibri" w:cs="Times New Roman"/>
                <w:noProof/>
                <w:sz w:val="22"/>
                <w:lang w:val="en-GB"/>
              </w:rPr>
              <w:t>c</w:t>
            </w:r>
            <w:r w:rsidR="009D5C79" w:rsidRPr="00FD703D">
              <w:rPr>
                <w:rFonts w:eastAsia="Calibri" w:cs="Times New Roman"/>
                <w:noProof/>
                <w:sz w:val="22"/>
                <w:lang w:val="en-GB"/>
              </w:rPr>
              <w:t>at</w:t>
            </w:r>
            <w:r w:rsidRPr="00FD703D">
              <w:rPr>
                <w:rFonts w:eastAsia="Calibri" w:cs="Times New Roman"/>
                <w:noProof/>
                <w:sz w:val="22"/>
                <w:lang w:val="en-GB"/>
              </w:rPr>
              <w:t>egory</w:t>
            </w:r>
            <w:r w:rsidR="009D5C79" w:rsidRPr="00FD703D">
              <w:rPr>
                <w:rFonts w:eastAsia="Calibri" w:cs="Times New Roman"/>
                <w:noProof/>
                <w:sz w:val="22"/>
                <w:lang w:val="en-GB"/>
              </w:rPr>
              <w:t xml:space="preserve"> 2 material also present significant health risks. For this reason, the prohibition </w:t>
            </w:r>
            <w:r w:rsidR="002F2129" w:rsidRPr="00FD703D">
              <w:rPr>
                <w:rFonts w:eastAsia="Calibri" w:cs="Times New Roman"/>
                <w:noProof/>
                <w:sz w:val="22"/>
                <w:lang w:val="en-GB"/>
              </w:rPr>
              <w:t xml:space="preserve">on </w:t>
            </w:r>
            <w:r w:rsidR="009D5C79" w:rsidRPr="00FD703D">
              <w:rPr>
                <w:rFonts w:eastAsia="Calibri" w:cs="Times New Roman"/>
                <w:noProof/>
                <w:sz w:val="22"/>
                <w:lang w:val="en-GB"/>
              </w:rPr>
              <w:t>feeding kitchen waste to animals should remain in place</w:t>
            </w:r>
            <w:r w:rsidR="002F2129" w:rsidRPr="00FD703D">
              <w:rPr>
                <w:rFonts w:eastAsia="Calibri" w:cs="Times New Roman"/>
                <w:noProof/>
                <w:sz w:val="22"/>
                <w:lang w:val="en-GB"/>
              </w:rPr>
              <w:t>, in particular for the purpose of ensuring</w:t>
            </w:r>
            <w:r w:rsidR="009D5C79" w:rsidRPr="00FD703D">
              <w:rPr>
                <w:rFonts w:eastAsia="Calibri" w:cs="Times New Roman"/>
                <w:noProof/>
                <w:sz w:val="22"/>
                <w:lang w:val="en-GB"/>
              </w:rPr>
              <w:t xml:space="preserve"> animal health.</w:t>
            </w:r>
          </w:p>
          <w:p w14:paraId="507209D0" w14:textId="3EC55160" w:rsidR="00BC013F" w:rsidRPr="00FD703D" w:rsidRDefault="009D5C79" w:rsidP="00C5432E">
            <w:pPr>
              <w:jc w:val="both"/>
              <w:rPr>
                <w:rFonts w:eastAsia="Calibri" w:cs="Times New Roman"/>
                <w:noProof/>
                <w:sz w:val="22"/>
                <w:lang w:val="en-GB"/>
              </w:rPr>
            </w:pPr>
            <w:r w:rsidRPr="00FD703D">
              <w:rPr>
                <w:rFonts w:eastAsia="Calibri" w:cs="Times New Roman"/>
                <w:noProof/>
                <w:sz w:val="22"/>
                <w:lang w:val="en-GB"/>
              </w:rPr>
              <w:t xml:space="preserve">Any </w:t>
            </w:r>
            <w:r w:rsidR="002F2129" w:rsidRPr="00FD703D">
              <w:rPr>
                <w:rFonts w:eastAsia="Calibri" w:cs="Times New Roman"/>
                <w:noProof/>
                <w:sz w:val="22"/>
                <w:lang w:val="en-GB"/>
              </w:rPr>
              <w:t>change to</w:t>
            </w:r>
            <w:r w:rsidRPr="00FD703D">
              <w:rPr>
                <w:rFonts w:eastAsia="Calibri" w:cs="Times New Roman"/>
                <w:noProof/>
                <w:sz w:val="22"/>
                <w:lang w:val="en-GB"/>
              </w:rPr>
              <w:t xml:space="preserve"> those rules can only </w:t>
            </w:r>
            <w:r w:rsidR="002F2129" w:rsidRPr="00FD703D">
              <w:rPr>
                <w:rFonts w:eastAsia="Calibri" w:cs="Times New Roman"/>
                <w:noProof/>
                <w:sz w:val="22"/>
                <w:lang w:val="en-GB"/>
              </w:rPr>
              <w:t xml:space="preserve">be made </w:t>
            </w:r>
            <w:r w:rsidRPr="00FD703D">
              <w:rPr>
                <w:rFonts w:eastAsia="Calibri" w:cs="Times New Roman"/>
                <w:noProof/>
                <w:sz w:val="22"/>
                <w:lang w:val="en-GB"/>
              </w:rPr>
              <w:t>after</w:t>
            </w:r>
            <w:r w:rsidR="002F2129" w:rsidRPr="00FD703D">
              <w:rPr>
                <w:rFonts w:eastAsia="Calibri" w:cs="Times New Roman"/>
                <w:noProof/>
                <w:sz w:val="22"/>
                <w:lang w:val="en-GB"/>
              </w:rPr>
              <w:t xml:space="preserve"> a </w:t>
            </w:r>
            <w:r w:rsidRPr="00FD703D">
              <w:rPr>
                <w:rFonts w:eastAsia="Calibri" w:cs="Times New Roman"/>
                <w:noProof/>
                <w:sz w:val="22"/>
                <w:lang w:val="en-GB"/>
              </w:rPr>
              <w:t>thorough risk assessment</w:t>
            </w:r>
            <w:r w:rsidR="00BC013F" w:rsidRPr="00FD703D">
              <w:rPr>
                <w:rFonts w:eastAsia="Calibri" w:cs="Times New Roman"/>
                <w:noProof/>
                <w:sz w:val="22"/>
                <w:lang w:val="en-GB"/>
              </w:rPr>
              <w:t>.</w:t>
            </w:r>
          </w:p>
        </w:tc>
      </w:tr>
      <w:tr w:rsidR="00BE6930" w:rsidRPr="00FD703D" w14:paraId="2055D173" w14:textId="77777777" w:rsidTr="00870740">
        <w:trPr>
          <w:trHeight w:val="406"/>
        </w:trPr>
        <w:tc>
          <w:tcPr>
            <w:tcW w:w="14487" w:type="dxa"/>
            <w:gridSpan w:val="4"/>
            <w:tcBorders>
              <w:bottom w:val="nil"/>
            </w:tcBorders>
            <w:shd w:val="clear" w:color="auto" w:fill="000099"/>
            <w:vAlign w:val="center"/>
          </w:tcPr>
          <w:p w14:paraId="65AC5C17" w14:textId="7447C514" w:rsidR="00BE6930" w:rsidRPr="00FD703D" w:rsidRDefault="00BE6930" w:rsidP="00C5432E">
            <w:pPr>
              <w:spacing w:before="120" w:after="120"/>
              <w:jc w:val="center"/>
              <w:rPr>
                <w:rFonts w:eastAsia="Calibri" w:cs="Times New Roman"/>
                <w:noProof/>
                <w:sz w:val="22"/>
                <w:lang w:val="en-GB"/>
              </w:rPr>
            </w:pPr>
            <w:r w:rsidRPr="00FD703D">
              <w:rPr>
                <w:rFonts w:eastAsia="Calibri" w:cs="Times New Roman"/>
                <w:b/>
                <w:noProof/>
                <w:color w:val="FFFFFF"/>
                <w:sz w:val="22"/>
                <w:lang w:val="en-GB"/>
              </w:rPr>
              <w:t>Animal Health</w:t>
            </w:r>
          </w:p>
        </w:tc>
      </w:tr>
      <w:tr w:rsidR="00BE6930" w:rsidRPr="00FD703D" w14:paraId="729646C3" w14:textId="77777777" w:rsidTr="00A97D05">
        <w:trPr>
          <w:trHeight w:val="300"/>
        </w:trPr>
        <w:tc>
          <w:tcPr>
            <w:tcW w:w="648" w:type="dxa"/>
            <w:tcBorders>
              <w:bottom w:val="single" w:sz="4" w:space="0" w:color="auto"/>
            </w:tcBorders>
            <w:vAlign w:val="center"/>
          </w:tcPr>
          <w:p w14:paraId="1750DC42" w14:textId="3EF27342" w:rsidR="00BE6930" w:rsidRPr="00FD703D" w:rsidRDefault="00BE6930" w:rsidP="00C5432E">
            <w:pPr>
              <w:spacing w:after="60"/>
              <w:jc w:val="both"/>
              <w:rPr>
                <w:rFonts w:eastAsia="Calibri" w:cs="Times New Roman"/>
                <w:b/>
                <w:bCs/>
                <w:noProof/>
                <w:sz w:val="22"/>
                <w:lang w:val="en-GB"/>
              </w:rPr>
            </w:pPr>
            <w:r w:rsidRPr="00FD703D">
              <w:rPr>
                <w:rFonts w:eastAsia="Calibri" w:cs="Times New Roman"/>
                <w:b/>
                <w:bCs/>
                <w:noProof/>
                <w:sz w:val="22"/>
                <w:lang w:val="en-GB"/>
              </w:rPr>
              <w:t>32</w:t>
            </w:r>
            <w:r w:rsidR="00E558D0">
              <w:rPr>
                <w:rFonts w:eastAsia="Calibri" w:cs="Times New Roman"/>
                <w:b/>
                <w:bCs/>
                <w:noProof/>
                <w:sz w:val="22"/>
                <w:lang w:val="en-GB"/>
              </w:rPr>
              <w:t>5</w:t>
            </w:r>
          </w:p>
        </w:tc>
        <w:tc>
          <w:tcPr>
            <w:tcW w:w="5917" w:type="dxa"/>
            <w:tcBorders>
              <w:bottom w:val="single" w:sz="4" w:space="0" w:color="auto"/>
            </w:tcBorders>
            <w:vAlign w:val="center"/>
          </w:tcPr>
          <w:p w14:paraId="141E7B4A" w14:textId="2EA4A631" w:rsidR="00BE6930" w:rsidRPr="00FD703D" w:rsidRDefault="2D1F8254" w:rsidP="00C5432E">
            <w:pPr>
              <w:spacing w:after="60" w:line="259" w:lineRule="auto"/>
              <w:jc w:val="both"/>
              <w:rPr>
                <w:rFonts w:eastAsia="Calibri" w:cs="Times New Roman"/>
                <w:b/>
                <w:bCs/>
                <w:noProof/>
                <w:sz w:val="22"/>
                <w:lang w:val="en-GB"/>
              </w:rPr>
            </w:pPr>
            <w:r w:rsidRPr="00FD703D">
              <w:rPr>
                <w:rFonts w:eastAsia="Calibri" w:cs="Times New Roman"/>
                <w:b/>
                <w:bCs/>
                <w:noProof/>
                <w:color w:val="000000" w:themeColor="text1"/>
                <w:sz w:val="22"/>
                <w:szCs w:val="20"/>
                <w:lang w:val="en-GB"/>
              </w:rPr>
              <w:t>Highly Pathogenic Avian Influenza</w:t>
            </w:r>
            <w:r w:rsidR="690C6EA7" w:rsidRPr="00FD703D">
              <w:rPr>
                <w:rFonts w:eastAsia="Calibri" w:cs="Times New Roman"/>
                <w:b/>
                <w:bCs/>
                <w:noProof/>
                <w:color w:val="000000" w:themeColor="text1"/>
                <w:sz w:val="22"/>
                <w:szCs w:val="20"/>
                <w:lang w:val="en-GB"/>
              </w:rPr>
              <w:t xml:space="preserve"> (</w:t>
            </w:r>
            <w:r w:rsidRPr="00FD703D">
              <w:rPr>
                <w:rFonts w:eastAsia="Calibri" w:cs="Times New Roman"/>
                <w:b/>
                <w:bCs/>
                <w:noProof/>
                <w:color w:val="000000" w:themeColor="text1"/>
                <w:sz w:val="22"/>
                <w:szCs w:val="20"/>
                <w:lang w:val="en-GB"/>
              </w:rPr>
              <w:t>HPAI</w:t>
            </w:r>
            <w:r w:rsidR="690C6EA7" w:rsidRPr="00FD703D">
              <w:rPr>
                <w:rFonts w:eastAsia="Calibri" w:cs="Times New Roman"/>
                <w:b/>
                <w:bCs/>
                <w:noProof/>
                <w:color w:val="000000" w:themeColor="text1"/>
                <w:sz w:val="22"/>
                <w:szCs w:val="20"/>
                <w:lang w:val="en-GB"/>
              </w:rPr>
              <w:t>)</w:t>
            </w:r>
            <w:r w:rsidRPr="00FD703D">
              <w:rPr>
                <w:rFonts w:eastAsia="Calibri" w:cs="Times New Roman"/>
                <w:b/>
                <w:bCs/>
                <w:noProof/>
                <w:color w:val="000000" w:themeColor="text1"/>
                <w:sz w:val="22"/>
                <w:szCs w:val="20"/>
                <w:lang w:val="en-GB"/>
              </w:rPr>
              <w:t xml:space="preserve"> vaccination</w:t>
            </w:r>
            <w:r w:rsidRPr="00FD703D">
              <w:rPr>
                <w:rFonts w:eastAsia="Calibri" w:cs="Times New Roman"/>
                <w:noProof/>
                <w:color w:val="000000" w:themeColor="text1"/>
                <w:sz w:val="22"/>
                <w:szCs w:val="20"/>
                <w:lang w:val="en-GB"/>
              </w:rPr>
              <w:t xml:space="preserve">: </w:t>
            </w:r>
            <w:r w:rsidR="2A386971" w:rsidRPr="00FD703D">
              <w:rPr>
                <w:rFonts w:eastAsia="Calibri" w:cs="Times New Roman"/>
                <w:noProof/>
                <w:color w:val="000000" w:themeColor="text1"/>
                <w:sz w:val="22"/>
                <w:szCs w:val="20"/>
                <w:lang w:val="en-GB"/>
              </w:rPr>
              <w:t>p</w:t>
            </w:r>
            <w:r w:rsidRPr="00FD703D">
              <w:rPr>
                <w:rFonts w:eastAsia="Calibri" w:cs="Times New Roman"/>
                <w:noProof/>
                <w:color w:val="000000" w:themeColor="text1"/>
                <w:sz w:val="22"/>
                <w:szCs w:val="20"/>
                <w:lang w:val="en-GB"/>
              </w:rPr>
              <w:t xml:space="preserve">roposal </w:t>
            </w:r>
            <w:r w:rsidR="690C6EA7" w:rsidRPr="00FD703D">
              <w:rPr>
                <w:rFonts w:eastAsia="Calibri" w:cs="Times New Roman"/>
                <w:noProof/>
                <w:color w:val="000000" w:themeColor="text1"/>
                <w:sz w:val="22"/>
                <w:szCs w:val="20"/>
                <w:lang w:val="en-GB"/>
              </w:rPr>
              <w:t>concerning R</w:t>
            </w:r>
            <w:r w:rsidRPr="00FD703D">
              <w:rPr>
                <w:rFonts w:eastAsia="Calibri" w:cs="Times New Roman"/>
                <w:noProof/>
                <w:color w:val="000000" w:themeColor="text1"/>
                <w:sz w:val="22"/>
                <w:szCs w:val="20"/>
                <w:lang w:val="en-GB"/>
              </w:rPr>
              <w:t xml:space="preserve">egulation (EU) 2023/361 (Highly Pathogenic Avian Influenza - HPAI vaccination). While vaccination against HPAI is an effective tool for reducing the risks of spreading the virus, it is desirable to allow farms that have scheduled preventive vaccination to </w:t>
            </w:r>
            <w:r w:rsidR="690C6EA7" w:rsidRPr="00FD703D">
              <w:rPr>
                <w:rFonts w:eastAsia="Calibri" w:cs="Times New Roman"/>
                <w:noProof/>
                <w:color w:val="000000" w:themeColor="text1"/>
                <w:sz w:val="22"/>
                <w:szCs w:val="20"/>
                <w:lang w:val="en-GB"/>
              </w:rPr>
              <w:t xml:space="preserve">carry </w:t>
            </w:r>
            <w:r w:rsidRPr="00FD703D">
              <w:rPr>
                <w:rFonts w:eastAsia="Calibri" w:cs="Times New Roman"/>
                <w:noProof/>
                <w:color w:val="000000" w:themeColor="text1"/>
                <w:sz w:val="22"/>
                <w:szCs w:val="20"/>
                <w:lang w:val="en-GB"/>
              </w:rPr>
              <w:t>it out, even in restricted areas. However, farms that have not committed to a vaccination schedule before the date of confirmation of the outbreak will not be allowed to use preventive vaccination in restricted areas.</w:t>
            </w:r>
          </w:p>
        </w:tc>
        <w:tc>
          <w:tcPr>
            <w:tcW w:w="1530" w:type="dxa"/>
            <w:tcBorders>
              <w:bottom w:val="single" w:sz="4" w:space="0" w:color="auto"/>
            </w:tcBorders>
            <w:vAlign w:val="center"/>
          </w:tcPr>
          <w:p w14:paraId="706C78E8" w14:textId="4A49FE03" w:rsidR="00BE6930" w:rsidRPr="00FD703D" w:rsidRDefault="00BE6930" w:rsidP="00C5432E">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FR</w:t>
            </w:r>
          </w:p>
        </w:tc>
        <w:tc>
          <w:tcPr>
            <w:tcW w:w="6392" w:type="dxa"/>
            <w:tcBorders>
              <w:bottom w:val="single" w:sz="4" w:space="0" w:color="auto"/>
            </w:tcBorders>
            <w:vAlign w:val="center"/>
          </w:tcPr>
          <w:p w14:paraId="0C6750E0" w14:textId="750C10FC" w:rsidR="00BE6930" w:rsidRPr="00FD703D" w:rsidRDefault="00BE6930" w:rsidP="00C5432E">
            <w:pPr>
              <w:spacing w:after="60"/>
              <w:jc w:val="both"/>
              <w:rPr>
                <w:rFonts w:eastAsia="Calibri" w:cs="Times New Roman"/>
                <w:noProof/>
                <w:sz w:val="22"/>
                <w:lang w:val="en-GB"/>
              </w:rPr>
            </w:pPr>
            <w:r w:rsidRPr="00FD703D">
              <w:rPr>
                <w:rFonts w:eastAsia="MS Mincho" w:cs="Times New Roman"/>
                <w:noProof/>
                <w:color w:val="000000"/>
                <w:sz w:val="22"/>
                <w:lang w:val="en-GB"/>
              </w:rPr>
              <w:t xml:space="preserve">The proposal was not taken up. EU rules on </w:t>
            </w:r>
            <w:r w:rsidR="002F2129" w:rsidRPr="00FD703D">
              <w:rPr>
                <w:rFonts w:eastAsia="MS Mincho" w:cs="Times New Roman"/>
                <w:noProof/>
                <w:color w:val="000000"/>
                <w:sz w:val="22"/>
                <w:lang w:val="en-GB"/>
              </w:rPr>
              <w:t xml:space="preserve">HPAI </w:t>
            </w:r>
            <w:r w:rsidRPr="00FD703D">
              <w:rPr>
                <w:rFonts w:eastAsia="MS Mincho" w:cs="Times New Roman"/>
                <w:noProof/>
                <w:color w:val="000000"/>
                <w:sz w:val="22"/>
                <w:lang w:val="en-GB"/>
              </w:rPr>
              <w:t>vaccination are recent (Regulation (EU) 2023/361) and are modern, proportionate, based on science (EFSA) and aligned to international standards (W</w:t>
            </w:r>
            <w:r w:rsidR="00BE11FC" w:rsidRPr="00FD703D">
              <w:rPr>
                <w:rFonts w:eastAsia="MS Mincho" w:cs="Times New Roman"/>
                <w:noProof/>
                <w:color w:val="000000"/>
                <w:sz w:val="22"/>
                <w:lang w:val="en-GB"/>
              </w:rPr>
              <w:t>orld Organisation for Animal Health</w:t>
            </w:r>
            <w:r w:rsidRPr="00FD703D">
              <w:rPr>
                <w:rFonts w:eastAsia="MS Mincho" w:cs="Times New Roman"/>
                <w:noProof/>
                <w:color w:val="000000"/>
                <w:sz w:val="22"/>
                <w:lang w:val="en-GB"/>
              </w:rPr>
              <w:t xml:space="preserve">). The differentiation between measures applied under preventive vaccination and emergency vaccination needs to be kept. Future amendment to EU rules can only be envisaged after new science (EFSA) and experience is gained on use of vaccination under these two scenarios. </w:t>
            </w:r>
          </w:p>
        </w:tc>
      </w:tr>
    </w:tbl>
    <w:p w14:paraId="0926CEA3" w14:textId="77777777" w:rsidR="00F32E90" w:rsidRDefault="00F32E90">
      <w:pPr>
        <w:rPr>
          <w:noProof/>
        </w:rPr>
      </w:pPr>
    </w:p>
    <w:tbl>
      <w:tblPr>
        <w:tblStyle w:val="TableGrid1"/>
        <w:tblpPr w:leftFromText="180" w:rightFromText="180" w:vertAnchor="text" w:tblpY="1"/>
        <w:tblOverlap w:val="never"/>
        <w:tblW w:w="14454" w:type="dxa"/>
        <w:tblLayout w:type="fixed"/>
        <w:tblLook w:val="04A0" w:firstRow="1" w:lastRow="0" w:firstColumn="1" w:lastColumn="0" w:noHBand="0" w:noVBand="1"/>
      </w:tblPr>
      <w:tblGrid>
        <w:gridCol w:w="648"/>
        <w:gridCol w:w="5917"/>
        <w:gridCol w:w="1530"/>
        <w:gridCol w:w="6359"/>
      </w:tblGrid>
      <w:tr w:rsidR="00BE6930" w:rsidRPr="00FD703D" w14:paraId="092D1817" w14:textId="77777777" w:rsidTr="7AD98673">
        <w:trPr>
          <w:trHeight w:val="300"/>
        </w:trPr>
        <w:tc>
          <w:tcPr>
            <w:tcW w:w="648" w:type="dxa"/>
            <w:tcBorders>
              <w:bottom w:val="single" w:sz="4" w:space="0" w:color="auto"/>
            </w:tcBorders>
            <w:vAlign w:val="center"/>
          </w:tcPr>
          <w:p w14:paraId="54E0609B" w14:textId="0898306F" w:rsidR="00BE6930" w:rsidRPr="00FD703D" w:rsidRDefault="00BE6930" w:rsidP="00C5432E">
            <w:pPr>
              <w:spacing w:after="60"/>
              <w:jc w:val="both"/>
              <w:rPr>
                <w:rFonts w:eastAsia="Calibri" w:cs="Times New Roman"/>
                <w:b/>
                <w:bCs/>
                <w:noProof/>
                <w:sz w:val="22"/>
                <w:lang w:val="en-GB"/>
              </w:rPr>
            </w:pPr>
            <w:r w:rsidRPr="00FD703D">
              <w:rPr>
                <w:rFonts w:eastAsia="Calibri" w:cs="Times New Roman"/>
                <w:b/>
                <w:bCs/>
                <w:noProof/>
                <w:sz w:val="22"/>
                <w:lang w:val="en-GB"/>
              </w:rPr>
              <w:lastRenderedPageBreak/>
              <w:t>32</w:t>
            </w:r>
            <w:r w:rsidR="00E558D0">
              <w:rPr>
                <w:rFonts w:eastAsia="Calibri" w:cs="Times New Roman"/>
                <w:b/>
                <w:bCs/>
                <w:noProof/>
                <w:sz w:val="22"/>
                <w:lang w:val="en-GB"/>
              </w:rPr>
              <w:t>6</w:t>
            </w:r>
          </w:p>
        </w:tc>
        <w:tc>
          <w:tcPr>
            <w:tcW w:w="5917" w:type="dxa"/>
            <w:tcBorders>
              <w:bottom w:val="single" w:sz="4" w:space="0" w:color="auto"/>
            </w:tcBorders>
            <w:vAlign w:val="center"/>
          </w:tcPr>
          <w:p w14:paraId="2C8FA43E" w14:textId="30D1F558" w:rsidR="00BE6930" w:rsidRPr="00FD703D" w:rsidRDefault="2D1F8254" w:rsidP="00F32E90">
            <w:pPr>
              <w:spacing w:line="259" w:lineRule="auto"/>
              <w:jc w:val="both"/>
              <w:rPr>
                <w:rFonts w:eastAsia="Calibri" w:cs="Times New Roman"/>
                <w:b/>
                <w:bCs/>
                <w:noProof/>
                <w:sz w:val="22"/>
                <w:szCs w:val="20"/>
                <w:lang w:val="en-GB"/>
              </w:rPr>
            </w:pPr>
            <w:r w:rsidRPr="00FD703D">
              <w:rPr>
                <w:rFonts w:eastAsia="Calibri" w:cs="Times New Roman"/>
                <w:b/>
                <w:bCs/>
                <w:noProof/>
                <w:sz w:val="22"/>
                <w:szCs w:val="20"/>
                <w:lang w:val="en-GB"/>
              </w:rPr>
              <w:t xml:space="preserve">Epizootic haemorrhagic disease </w:t>
            </w:r>
            <w:r w:rsidR="48C25DB6" w:rsidRPr="00FD703D">
              <w:rPr>
                <w:rFonts w:eastAsia="Calibri" w:cs="Times New Roman"/>
                <w:b/>
                <w:bCs/>
                <w:noProof/>
                <w:sz w:val="22"/>
                <w:szCs w:val="20"/>
                <w:lang w:val="en-GB"/>
              </w:rPr>
              <w:t>(</w:t>
            </w:r>
            <w:r w:rsidRPr="00FD703D">
              <w:rPr>
                <w:rFonts w:eastAsia="Calibri" w:cs="Times New Roman"/>
                <w:b/>
                <w:bCs/>
                <w:noProof/>
                <w:sz w:val="22"/>
                <w:szCs w:val="20"/>
                <w:lang w:val="en-GB"/>
              </w:rPr>
              <w:t>HEH</w:t>
            </w:r>
            <w:r w:rsidR="48C25DB6" w:rsidRPr="00FD703D">
              <w:rPr>
                <w:rFonts w:eastAsia="Calibri" w:cs="Times New Roman"/>
                <w:b/>
                <w:bCs/>
                <w:noProof/>
                <w:sz w:val="22"/>
                <w:szCs w:val="20"/>
                <w:lang w:val="en-GB"/>
              </w:rPr>
              <w:t>)</w:t>
            </w:r>
            <w:r w:rsidRPr="00FD703D">
              <w:rPr>
                <w:rFonts w:eastAsia="Calibri" w:cs="Times New Roman"/>
                <w:b/>
                <w:bCs/>
                <w:noProof/>
                <w:sz w:val="22"/>
                <w:szCs w:val="20"/>
                <w:lang w:val="en-GB"/>
              </w:rPr>
              <w:t xml:space="preserve">: </w:t>
            </w:r>
            <w:r w:rsidR="1BDD7CEB" w:rsidRPr="00FD703D">
              <w:rPr>
                <w:rFonts w:eastAsia="Calibri" w:cs="Times New Roman"/>
                <w:noProof/>
                <w:sz w:val="22"/>
                <w:szCs w:val="20"/>
                <w:lang w:val="en-GB"/>
              </w:rPr>
              <w:t>f</w:t>
            </w:r>
            <w:r w:rsidRPr="00FD703D">
              <w:rPr>
                <w:rFonts w:eastAsia="Calibri" w:cs="Times New Roman"/>
                <w:noProof/>
                <w:sz w:val="22"/>
                <w:szCs w:val="20"/>
                <w:lang w:val="en-GB"/>
              </w:rPr>
              <w:t xml:space="preserve">ollowing the emergence of the HEH in </w:t>
            </w:r>
            <w:r w:rsidR="78048CAE" w:rsidRPr="00FD703D">
              <w:rPr>
                <w:rFonts w:eastAsia="Calibri" w:cs="Times New Roman"/>
                <w:noProof/>
                <w:sz w:val="22"/>
                <w:szCs w:val="20"/>
                <w:lang w:val="en-GB"/>
              </w:rPr>
              <w:t xml:space="preserve">Europe in </w:t>
            </w:r>
            <w:r w:rsidRPr="00FD703D">
              <w:rPr>
                <w:rFonts w:eastAsia="Calibri" w:cs="Times New Roman"/>
                <w:noProof/>
                <w:sz w:val="22"/>
                <w:szCs w:val="20"/>
                <w:lang w:val="en-GB"/>
              </w:rPr>
              <w:t>2022, the Commission amended Regulation (EU) 2020/688, which introduced derogation conditions (</w:t>
            </w:r>
            <w:r w:rsidR="78048CAE" w:rsidRPr="00FD703D">
              <w:rPr>
                <w:rFonts w:eastAsia="Calibri" w:cs="Times New Roman"/>
                <w:noProof/>
                <w:sz w:val="22"/>
                <w:szCs w:val="20"/>
                <w:lang w:val="en-GB"/>
              </w:rPr>
              <w:t xml:space="preserve">for </w:t>
            </w:r>
            <w:r w:rsidRPr="00FD703D">
              <w:rPr>
                <w:rFonts w:eastAsia="Calibri" w:cs="Times New Roman"/>
                <w:noProof/>
                <w:sz w:val="22"/>
                <w:szCs w:val="20"/>
                <w:lang w:val="en-GB"/>
              </w:rPr>
              <w:t>vector-protected establishments or seasonally free zone</w:t>
            </w:r>
            <w:r w:rsidR="78048CAE" w:rsidRPr="00FD703D">
              <w:rPr>
                <w:rFonts w:eastAsia="Calibri" w:cs="Times New Roman"/>
                <w:noProof/>
                <w:sz w:val="22"/>
                <w:szCs w:val="20"/>
                <w:lang w:val="en-GB"/>
              </w:rPr>
              <w:t>s</w:t>
            </w:r>
            <w:r w:rsidRPr="00FD703D">
              <w:rPr>
                <w:rFonts w:eastAsia="Calibri" w:cs="Times New Roman"/>
                <w:noProof/>
                <w:sz w:val="22"/>
                <w:szCs w:val="20"/>
                <w:lang w:val="en-GB"/>
              </w:rPr>
              <w:t>) for movements between Member States, in case of HEH outbreaks.</w:t>
            </w:r>
          </w:p>
          <w:p w14:paraId="1D9CA08A" w14:textId="01BDF84E" w:rsidR="00BE6930" w:rsidRPr="00FD703D" w:rsidRDefault="6E7ED1F2" w:rsidP="00F32E90">
            <w:pPr>
              <w:spacing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The derogation conditions do not provide the expected operational solutions. They are not applicable in </w:t>
            </w:r>
            <w:r w:rsidR="6EAC0909" w:rsidRPr="00FD703D">
              <w:rPr>
                <w:rFonts w:eastAsia="Calibri" w:cs="Times New Roman"/>
                <w:noProof/>
                <w:sz w:val="22"/>
                <w:szCs w:val="20"/>
                <w:lang w:val="en-GB"/>
              </w:rPr>
              <w:t xml:space="preserve">Member States in southern </w:t>
            </w:r>
            <w:r w:rsidRPr="00FD703D">
              <w:rPr>
                <w:rFonts w:eastAsia="Calibri" w:cs="Times New Roman"/>
                <w:noProof/>
                <w:sz w:val="22"/>
                <w:szCs w:val="20"/>
                <w:lang w:val="en-GB"/>
              </w:rPr>
              <w:t>Europe which do not have a vector inactivity period and are poorly adapted to extensive livestock farming (vector-protected establishment). The other option offered in the Regulation is to accept all animals ‘unconditionally’ and to inform the Commission of this, which amounts to allowing some countries to deregulate the disease</w:t>
            </w:r>
            <w:r w:rsidR="6EAC0909" w:rsidRPr="00FD703D">
              <w:rPr>
                <w:rFonts w:eastAsia="Calibri" w:cs="Times New Roman"/>
                <w:noProof/>
                <w:sz w:val="22"/>
                <w:szCs w:val="20"/>
                <w:lang w:val="en-GB"/>
              </w:rPr>
              <w:t>,</w:t>
            </w:r>
            <w:r w:rsidRPr="00FD703D">
              <w:rPr>
                <w:rFonts w:eastAsia="Calibri" w:cs="Times New Roman"/>
                <w:noProof/>
                <w:sz w:val="22"/>
                <w:szCs w:val="20"/>
                <w:lang w:val="en-GB"/>
              </w:rPr>
              <w:t xml:space="preserve"> and </w:t>
            </w:r>
            <w:r w:rsidR="00A0403B" w:rsidRPr="00FD703D">
              <w:rPr>
                <w:rFonts w:eastAsia="Calibri" w:cs="Times New Roman"/>
                <w:noProof/>
                <w:sz w:val="22"/>
                <w:szCs w:val="20"/>
                <w:lang w:val="en-GB"/>
              </w:rPr>
              <w:t>to enabling</w:t>
            </w:r>
            <w:r w:rsidRPr="00FD703D">
              <w:rPr>
                <w:rFonts w:eastAsia="Calibri" w:cs="Times New Roman"/>
                <w:noProof/>
                <w:sz w:val="22"/>
                <w:szCs w:val="20"/>
                <w:lang w:val="en-GB"/>
              </w:rPr>
              <w:t xml:space="preserve"> its spread to other Member States, which is contrary to the very spirit of the LSA.</w:t>
            </w:r>
          </w:p>
          <w:p w14:paraId="3EE702D5" w14:textId="6FEB78D0" w:rsidR="00BE6930" w:rsidRPr="00FD703D" w:rsidRDefault="00BE6930" w:rsidP="00C5432E">
            <w:pPr>
              <w:spacing w:after="60" w:line="259" w:lineRule="auto"/>
              <w:jc w:val="both"/>
              <w:rPr>
                <w:rFonts w:eastAsia="Calibri" w:cs="Times New Roman"/>
                <w:noProof/>
                <w:sz w:val="22"/>
                <w:lang w:val="en-GB"/>
              </w:rPr>
            </w:pPr>
            <w:r w:rsidRPr="00FD703D">
              <w:rPr>
                <w:rFonts w:eastAsia="Calibri" w:cs="Times New Roman"/>
                <w:noProof/>
                <w:sz w:val="22"/>
                <w:lang w:val="en-GB"/>
              </w:rPr>
              <w:t>Proposal:  a new amendment to the provisions of Regulation (EU) No 2020/688 so as not to block trade, which has an important economic impact on the Member States.</w:t>
            </w:r>
          </w:p>
        </w:tc>
        <w:tc>
          <w:tcPr>
            <w:tcW w:w="1530" w:type="dxa"/>
            <w:tcBorders>
              <w:bottom w:val="single" w:sz="4" w:space="0" w:color="auto"/>
            </w:tcBorders>
            <w:vAlign w:val="center"/>
          </w:tcPr>
          <w:p w14:paraId="3F648E21" w14:textId="3057D3F5" w:rsidR="00BE6930" w:rsidRPr="00FD703D" w:rsidRDefault="004E09B7" w:rsidP="00C5432E">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FR</w:t>
            </w:r>
          </w:p>
        </w:tc>
        <w:tc>
          <w:tcPr>
            <w:tcW w:w="6359" w:type="dxa"/>
            <w:tcBorders>
              <w:bottom w:val="single" w:sz="4" w:space="0" w:color="auto"/>
            </w:tcBorders>
            <w:vAlign w:val="center"/>
          </w:tcPr>
          <w:p w14:paraId="52C3423B" w14:textId="1A39421E" w:rsidR="00A15386" w:rsidRPr="00FF77A3" w:rsidRDefault="2D1F8254" w:rsidP="00C5432E">
            <w:pPr>
              <w:spacing w:after="60"/>
              <w:jc w:val="both"/>
              <w:rPr>
                <w:rFonts w:eastAsia="Calibri" w:cs="Times New Roman"/>
                <w:noProof/>
                <w:sz w:val="22"/>
                <w:lang w:val="en-GB"/>
              </w:rPr>
            </w:pPr>
            <w:r w:rsidRPr="00FE7FD3">
              <w:rPr>
                <w:rFonts w:eastAsia="Calibri" w:cs="Times New Roman"/>
                <w:noProof/>
                <w:sz w:val="22"/>
                <w:lang w:val="en-GB"/>
              </w:rPr>
              <w:t xml:space="preserve">EU rules on Epizootic Haemorrhagic disease (EHD) are limited to: </w:t>
            </w:r>
            <w:r w:rsidR="48C25DB6" w:rsidRPr="00FE7FD3">
              <w:rPr>
                <w:rFonts w:eastAsia="Calibri" w:cs="Times New Roman"/>
                <w:noProof/>
                <w:sz w:val="22"/>
                <w:lang w:val="en-GB"/>
              </w:rPr>
              <w:t>(</w:t>
            </w:r>
            <w:r w:rsidRPr="00FE7FD3">
              <w:rPr>
                <w:rFonts w:eastAsia="Calibri" w:cs="Times New Roman"/>
                <w:noProof/>
                <w:sz w:val="22"/>
                <w:lang w:val="en-GB"/>
              </w:rPr>
              <w:t xml:space="preserve">i) surveillance and notification; </w:t>
            </w:r>
            <w:r w:rsidR="48C25DB6" w:rsidRPr="00FE7FD3">
              <w:rPr>
                <w:rFonts w:eastAsia="Calibri" w:cs="Times New Roman"/>
                <w:noProof/>
                <w:sz w:val="22"/>
                <w:lang w:val="en-GB"/>
              </w:rPr>
              <w:t>(</w:t>
            </w:r>
            <w:r w:rsidRPr="00FE7FD3">
              <w:rPr>
                <w:rFonts w:eastAsia="Calibri" w:cs="Times New Roman"/>
                <w:noProof/>
                <w:sz w:val="22"/>
                <w:lang w:val="en-GB"/>
              </w:rPr>
              <w:t>ii) prevent</w:t>
            </w:r>
            <w:r w:rsidR="48C25DB6" w:rsidRPr="00FE7FD3">
              <w:rPr>
                <w:rFonts w:eastAsia="Calibri" w:cs="Times New Roman"/>
                <w:noProof/>
                <w:sz w:val="22"/>
                <w:lang w:val="en-GB"/>
              </w:rPr>
              <w:t>ing</w:t>
            </w:r>
            <w:r w:rsidRPr="00FE7FD3">
              <w:rPr>
                <w:rFonts w:eastAsia="Calibri" w:cs="Times New Roman"/>
                <w:noProof/>
                <w:sz w:val="22"/>
                <w:lang w:val="en-GB"/>
              </w:rPr>
              <w:t xml:space="preserve"> the disease from spreading on account of movements of animals between Member States or from third countries. </w:t>
            </w:r>
          </w:p>
          <w:p w14:paraId="0971C44B" w14:textId="6D586BFC" w:rsidR="006105DB" w:rsidRPr="00C62778" w:rsidRDefault="3A15AA93" w:rsidP="7AD98673">
            <w:pPr>
              <w:spacing w:after="60"/>
              <w:jc w:val="both"/>
              <w:rPr>
                <w:rFonts w:eastAsia="Times New Roman" w:cs="Times New Roman"/>
                <w:noProof/>
                <w:sz w:val="22"/>
                <w:lang w:val="en-GB"/>
              </w:rPr>
            </w:pPr>
            <w:r w:rsidRPr="7AD98673">
              <w:rPr>
                <w:rFonts w:eastAsia="Calibri" w:cs="Times New Roman"/>
                <w:noProof/>
                <w:sz w:val="22"/>
                <w:lang w:val="en-GB"/>
              </w:rPr>
              <w:t xml:space="preserve">EU rules on vaccination are being laid down to take account of </w:t>
            </w:r>
            <w:r w:rsidR="571C1BE0" w:rsidRPr="7AD98673">
              <w:rPr>
                <w:rFonts w:eastAsia="Calibri" w:cs="Times New Roman"/>
                <w:noProof/>
                <w:sz w:val="22"/>
                <w:lang w:val="en-GB"/>
              </w:rPr>
              <w:t xml:space="preserve">the </w:t>
            </w:r>
            <w:r w:rsidRPr="7AD98673">
              <w:rPr>
                <w:rFonts w:eastAsia="Calibri" w:cs="Times New Roman"/>
                <w:noProof/>
                <w:sz w:val="22"/>
                <w:lang w:val="en-GB"/>
              </w:rPr>
              <w:t>imminent availability of new vaccines together with some other optional risk</w:t>
            </w:r>
            <w:r w:rsidR="571C1BE0" w:rsidRPr="7AD98673">
              <w:rPr>
                <w:rFonts w:eastAsia="Calibri" w:cs="Times New Roman"/>
                <w:noProof/>
                <w:sz w:val="22"/>
                <w:lang w:val="en-GB"/>
              </w:rPr>
              <w:t>-</w:t>
            </w:r>
            <w:r w:rsidRPr="7AD98673">
              <w:rPr>
                <w:rFonts w:eastAsia="Calibri" w:cs="Times New Roman"/>
                <w:noProof/>
                <w:sz w:val="22"/>
                <w:lang w:val="en-GB"/>
              </w:rPr>
              <w:t>mitigating measures.</w:t>
            </w:r>
            <w:r w:rsidR="696594FE" w:rsidRPr="7AD98673">
              <w:rPr>
                <w:rFonts w:eastAsia="Calibri" w:cs="Times New Roman"/>
                <w:noProof/>
                <w:sz w:val="22"/>
                <w:lang w:val="en-GB"/>
              </w:rPr>
              <w:t xml:space="preserve"> </w:t>
            </w:r>
            <w:r w:rsidR="062963E8" w:rsidRPr="7AD98673">
              <w:rPr>
                <w:rFonts w:eastAsia="Times New Roman" w:cs="Times New Roman"/>
                <w:noProof/>
                <w:sz w:val="22"/>
                <w:lang w:val="en-GB"/>
              </w:rPr>
              <w:t xml:space="preserve"> The relevant Commission Delegated Regulation (C(2024)6985) was adopted by the Commission on 9 October 2024 and is currently under scrutiny by the European Parliament and the Council.</w:t>
            </w:r>
          </w:p>
          <w:p w14:paraId="73BD8001" w14:textId="6C842F5C" w:rsidR="00F27DB7" w:rsidRPr="00FE7FD3" w:rsidRDefault="00F27DB7" w:rsidP="00C5432E">
            <w:pPr>
              <w:spacing w:after="60"/>
              <w:jc w:val="both"/>
              <w:rPr>
                <w:rFonts w:eastAsia="Calibri" w:cs="Times New Roman"/>
                <w:noProof/>
                <w:sz w:val="22"/>
                <w:lang w:val="en-GB"/>
              </w:rPr>
            </w:pPr>
          </w:p>
          <w:p w14:paraId="0FAD5F48" w14:textId="2903AE65" w:rsidR="00BE6930" w:rsidRPr="00FD703D" w:rsidRDefault="2D1F8254" w:rsidP="00C5432E">
            <w:pPr>
              <w:spacing w:after="60"/>
              <w:jc w:val="both"/>
              <w:rPr>
                <w:rFonts w:eastAsia="Calibri" w:cs="Times New Roman"/>
                <w:noProof/>
                <w:sz w:val="22"/>
                <w:szCs w:val="20"/>
                <w:lang w:val="en-GB"/>
              </w:rPr>
            </w:pPr>
            <w:r w:rsidRPr="00FE7FD3">
              <w:rPr>
                <w:rFonts w:eastAsia="Calibri" w:cs="Times New Roman"/>
                <w:noProof/>
                <w:sz w:val="22"/>
                <w:szCs w:val="20"/>
                <w:lang w:val="en-GB"/>
              </w:rPr>
              <w:t xml:space="preserve">More substantial amendments to EU rules, if appropriate, can only be envisaged after new science </w:t>
            </w:r>
            <w:r w:rsidR="78048CAE" w:rsidRPr="00FE7FD3">
              <w:rPr>
                <w:rFonts w:eastAsia="Calibri" w:cs="Times New Roman"/>
                <w:noProof/>
                <w:sz w:val="22"/>
                <w:szCs w:val="20"/>
                <w:lang w:val="en-GB"/>
              </w:rPr>
              <w:t xml:space="preserve">has been </w:t>
            </w:r>
            <w:r w:rsidRPr="00FE7FD3">
              <w:rPr>
                <w:rFonts w:eastAsia="Calibri" w:cs="Times New Roman"/>
                <w:noProof/>
                <w:sz w:val="22"/>
                <w:szCs w:val="20"/>
                <w:lang w:val="en-GB"/>
              </w:rPr>
              <w:t xml:space="preserve">developed (requiring an EFSA assessment) and experience </w:t>
            </w:r>
            <w:r w:rsidR="78048CAE" w:rsidRPr="00FE7FD3">
              <w:rPr>
                <w:rFonts w:eastAsia="Calibri" w:cs="Times New Roman"/>
                <w:noProof/>
                <w:sz w:val="22"/>
                <w:szCs w:val="20"/>
                <w:lang w:val="en-GB"/>
              </w:rPr>
              <w:t xml:space="preserve">has been </w:t>
            </w:r>
            <w:r w:rsidRPr="00FE7FD3">
              <w:rPr>
                <w:rFonts w:eastAsia="Calibri" w:cs="Times New Roman"/>
                <w:noProof/>
                <w:sz w:val="22"/>
                <w:szCs w:val="20"/>
                <w:lang w:val="en-GB"/>
              </w:rPr>
              <w:t>gained.</w:t>
            </w:r>
            <w:r w:rsidRPr="00FD703D">
              <w:rPr>
                <w:rFonts w:eastAsia="Calibri" w:cs="Times New Roman"/>
                <w:noProof/>
                <w:sz w:val="22"/>
                <w:szCs w:val="20"/>
                <w:lang w:val="en-GB"/>
              </w:rPr>
              <w:t xml:space="preserve"> </w:t>
            </w:r>
          </w:p>
        </w:tc>
      </w:tr>
      <w:tr w:rsidR="00A173AB" w:rsidRPr="00FD703D" w14:paraId="04041815" w14:textId="77777777" w:rsidTr="7AD98673">
        <w:trPr>
          <w:trHeight w:val="300"/>
        </w:trPr>
        <w:tc>
          <w:tcPr>
            <w:tcW w:w="648" w:type="dxa"/>
            <w:tcBorders>
              <w:bottom w:val="single" w:sz="4" w:space="0" w:color="auto"/>
            </w:tcBorders>
            <w:vAlign w:val="center"/>
          </w:tcPr>
          <w:p w14:paraId="0D315D73" w14:textId="13AFE456" w:rsidR="00A173AB" w:rsidRPr="00FD703D" w:rsidRDefault="00A173AB" w:rsidP="00A173AB">
            <w:pPr>
              <w:spacing w:after="60"/>
              <w:jc w:val="both"/>
              <w:rPr>
                <w:rFonts w:eastAsia="Calibri" w:cs="Times New Roman"/>
                <w:b/>
                <w:bCs/>
                <w:noProof/>
                <w:sz w:val="22"/>
                <w:lang w:val="en-GB"/>
              </w:rPr>
            </w:pPr>
            <w:r w:rsidRPr="00FD703D">
              <w:rPr>
                <w:rFonts w:eastAsia="Calibri" w:cs="Times New Roman"/>
                <w:b/>
                <w:bCs/>
                <w:noProof/>
                <w:sz w:val="22"/>
                <w:lang w:val="en-GB"/>
              </w:rPr>
              <w:t>32</w:t>
            </w:r>
            <w:r>
              <w:rPr>
                <w:rFonts w:eastAsia="Calibri" w:cs="Times New Roman"/>
                <w:b/>
                <w:bCs/>
                <w:noProof/>
                <w:sz w:val="22"/>
                <w:lang w:val="en-GB"/>
              </w:rPr>
              <w:t>7</w:t>
            </w:r>
          </w:p>
        </w:tc>
        <w:tc>
          <w:tcPr>
            <w:tcW w:w="5917" w:type="dxa"/>
            <w:tcBorders>
              <w:bottom w:val="single" w:sz="4" w:space="0" w:color="auto"/>
            </w:tcBorders>
            <w:vAlign w:val="center"/>
          </w:tcPr>
          <w:p w14:paraId="39DACE22" w14:textId="592384FA" w:rsidR="00A173AB" w:rsidRPr="00FD703D" w:rsidRDefault="00A173AB" w:rsidP="00A173AB">
            <w:pPr>
              <w:jc w:val="both"/>
              <w:rPr>
                <w:rFonts w:eastAsia="Calibri" w:cs="Times New Roman"/>
                <w:b/>
                <w:bCs/>
                <w:noProof/>
                <w:sz w:val="22"/>
                <w:szCs w:val="20"/>
                <w:lang w:val="en-GB"/>
              </w:rPr>
            </w:pPr>
            <w:r w:rsidRPr="00FD703D">
              <w:rPr>
                <w:rFonts w:eastAsia="Calibri" w:cs="Times New Roman"/>
                <w:b/>
                <w:bCs/>
                <w:noProof/>
                <w:sz w:val="22"/>
                <w:szCs w:val="20"/>
                <w:lang w:val="en-GB"/>
              </w:rPr>
              <w:t>Quarantine pests:</w:t>
            </w:r>
            <w:r w:rsidRPr="00FD703D">
              <w:rPr>
                <w:rFonts w:eastAsia="Calibri" w:cs="Times New Roman"/>
                <w:noProof/>
                <w:sz w:val="22"/>
                <w:szCs w:val="20"/>
                <w:lang w:val="en-GB"/>
              </w:rPr>
              <w:t xml:space="preserve"> simplification of the steps in the administrative procedure for EU co-financing of actions against quarantine pests. Revision of mandatory elements of veterinary programmes due to an increase in costs borne by the authorities and the reduction of EU co-financing (Regulations (EU) 2016/429 and (EU) 2021/690).</w:t>
            </w:r>
          </w:p>
        </w:tc>
        <w:tc>
          <w:tcPr>
            <w:tcW w:w="1530" w:type="dxa"/>
            <w:tcBorders>
              <w:bottom w:val="single" w:sz="4" w:space="0" w:color="auto"/>
            </w:tcBorders>
            <w:vAlign w:val="center"/>
          </w:tcPr>
          <w:p w14:paraId="1A22C186" w14:textId="42B13D51" w:rsidR="00A173AB" w:rsidRPr="00FD703D" w:rsidRDefault="00A173AB" w:rsidP="00A173AB">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t>FR, HU</w:t>
            </w:r>
          </w:p>
        </w:tc>
        <w:tc>
          <w:tcPr>
            <w:tcW w:w="6359" w:type="dxa"/>
            <w:tcBorders>
              <w:bottom w:val="single" w:sz="4" w:space="0" w:color="auto"/>
            </w:tcBorders>
          </w:tcPr>
          <w:p w14:paraId="248A25BE" w14:textId="77777777" w:rsidR="00A173AB" w:rsidRPr="00FD703D" w:rsidRDefault="00A173AB" w:rsidP="00A173AB">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As regards veterinary programmes, Regulation (EU) 2016/429 and supplementing legislation (chiefly Commission Delegated Regulation (EU) 2020/689) lay down the minimum basic requirements for the control and eradication of certain animal diseases through the implementation of EU-approved programmes. </w:t>
            </w:r>
          </w:p>
          <w:p w14:paraId="62D6B147" w14:textId="77777777" w:rsidR="00A173AB" w:rsidRDefault="00A173AB" w:rsidP="00A173AB">
            <w:pPr>
              <w:spacing w:after="60" w:line="259" w:lineRule="auto"/>
              <w:jc w:val="both"/>
              <w:rPr>
                <w:rFonts w:eastAsia="Calibri" w:cs="Times New Roman"/>
                <w:noProof/>
                <w:sz w:val="22"/>
                <w:lang w:val="en-GB"/>
              </w:rPr>
            </w:pPr>
            <w:r w:rsidRPr="00FD703D">
              <w:rPr>
                <w:rFonts w:eastAsia="Calibri" w:cs="Times New Roman"/>
                <w:noProof/>
                <w:sz w:val="22"/>
                <w:lang w:val="en-GB"/>
              </w:rPr>
              <w:t>The requirements are technical aspects based on international standards, scientific advice, and experience. They include surveillance, movement control, vaccination, and disease control measures.  Regardless of the possible EU co-financing of those programmes, they cannot be subject to simplification as they are the minimum necessary for the proper control of certain animal diseases.</w:t>
            </w:r>
          </w:p>
          <w:p w14:paraId="4266FCFC" w14:textId="1E905264" w:rsidR="00A173AB" w:rsidRPr="00FD703D" w:rsidRDefault="00A173AB" w:rsidP="00A173AB">
            <w:pPr>
              <w:spacing w:after="60"/>
              <w:jc w:val="both"/>
              <w:rPr>
                <w:rFonts w:eastAsia="Calibri" w:cs="Times New Roman"/>
                <w:noProof/>
                <w:sz w:val="22"/>
                <w:szCs w:val="20"/>
                <w:lang w:val="en-GB"/>
              </w:rPr>
            </w:pPr>
          </w:p>
        </w:tc>
      </w:tr>
      <w:tr w:rsidR="00A173AB" w:rsidRPr="00FD703D" w14:paraId="13B2F5BC" w14:textId="77777777" w:rsidTr="7AD98673">
        <w:trPr>
          <w:trHeight w:val="300"/>
        </w:trPr>
        <w:tc>
          <w:tcPr>
            <w:tcW w:w="648" w:type="dxa"/>
            <w:tcBorders>
              <w:bottom w:val="nil"/>
            </w:tcBorders>
            <w:vAlign w:val="center"/>
          </w:tcPr>
          <w:p w14:paraId="16271BC3" w14:textId="77777777" w:rsidR="00A173AB" w:rsidRPr="00FD703D" w:rsidRDefault="00A173AB" w:rsidP="00A173AB">
            <w:pPr>
              <w:spacing w:after="60"/>
              <w:jc w:val="both"/>
              <w:rPr>
                <w:rFonts w:eastAsia="Calibri" w:cs="Times New Roman"/>
                <w:b/>
                <w:bCs/>
                <w:noProof/>
                <w:sz w:val="22"/>
                <w:lang w:val="en-GB"/>
              </w:rPr>
            </w:pPr>
          </w:p>
        </w:tc>
        <w:tc>
          <w:tcPr>
            <w:tcW w:w="5917" w:type="dxa"/>
            <w:tcBorders>
              <w:bottom w:val="nil"/>
            </w:tcBorders>
            <w:vAlign w:val="center"/>
          </w:tcPr>
          <w:p w14:paraId="7560D696" w14:textId="77777777" w:rsidR="00A173AB" w:rsidRPr="00FD703D" w:rsidRDefault="00A173AB" w:rsidP="00A173AB">
            <w:pPr>
              <w:spacing w:after="60"/>
              <w:jc w:val="both"/>
              <w:rPr>
                <w:rFonts w:eastAsia="Calibri" w:cs="Times New Roman"/>
                <w:b/>
                <w:bCs/>
                <w:noProof/>
                <w:sz w:val="22"/>
                <w:szCs w:val="20"/>
                <w:lang w:val="en-GB"/>
              </w:rPr>
            </w:pPr>
          </w:p>
        </w:tc>
        <w:tc>
          <w:tcPr>
            <w:tcW w:w="1530" w:type="dxa"/>
            <w:tcBorders>
              <w:bottom w:val="nil"/>
            </w:tcBorders>
            <w:vAlign w:val="center"/>
          </w:tcPr>
          <w:p w14:paraId="1F153506" w14:textId="77777777" w:rsidR="00A173AB" w:rsidRPr="00FD703D" w:rsidRDefault="00A173AB" w:rsidP="00A173AB">
            <w:pPr>
              <w:spacing w:after="60"/>
              <w:jc w:val="center"/>
              <w:rPr>
                <w:rFonts w:eastAsia="MS Gothic" w:cs="Times New Roman"/>
                <w:b/>
                <w:noProof/>
                <w:color w:val="0033CC"/>
                <w:sz w:val="22"/>
                <w:lang w:val="en-GB"/>
              </w:rPr>
            </w:pPr>
          </w:p>
        </w:tc>
        <w:tc>
          <w:tcPr>
            <w:tcW w:w="6359" w:type="dxa"/>
            <w:tcBorders>
              <w:bottom w:val="nil"/>
            </w:tcBorders>
          </w:tcPr>
          <w:p w14:paraId="0B9FFCD4" w14:textId="16B10378" w:rsidR="00A173AB" w:rsidRPr="00FD703D" w:rsidRDefault="00A173AB" w:rsidP="00A173AB">
            <w:pPr>
              <w:spacing w:after="60"/>
              <w:jc w:val="both"/>
              <w:rPr>
                <w:rFonts w:eastAsia="Calibri" w:cs="Times New Roman"/>
                <w:noProof/>
                <w:sz w:val="22"/>
                <w:lang w:val="en-GB"/>
              </w:rPr>
            </w:pPr>
            <w:r w:rsidRPr="00FD703D">
              <w:rPr>
                <w:rFonts w:eastAsia="Calibri" w:cs="Times New Roman"/>
                <w:noProof/>
                <w:sz w:val="22"/>
                <w:lang w:val="en-GB"/>
              </w:rPr>
              <w:t>EU co-financing (Regulation (EU) 2021/690) enables the reimbursement of eligible expenses incurred by Member State authorities to implement those veterinary programmes. As amount of EU funding for veterinary programmes is limited, Member States have to finance the remainder of the costs.</w:t>
            </w:r>
          </w:p>
        </w:tc>
      </w:tr>
      <w:tr w:rsidR="00A173AB" w:rsidRPr="00FD703D" w14:paraId="70D7D646" w14:textId="77777777" w:rsidTr="7AD98673">
        <w:trPr>
          <w:trHeight w:val="300"/>
        </w:trPr>
        <w:tc>
          <w:tcPr>
            <w:tcW w:w="648" w:type="dxa"/>
            <w:tcBorders>
              <w:bottom w:val="single" w:sz="4" w:space="0" w:color="auto"/>
            </w:tcBorders>
            <w:vAlign w:val="center"/>
          </w:tcPr>
          <w:p w14:paraId="34C95A26" w14:textId="55E0D8DC" w:rsidR="00A173AB" w:rsidRPr="00FD703D" w:rsidRDefault="00A173AB" w:rsidP="00A173AB">
            <w:pPr>
              <w:spacing w:after="60"/>
              <w:jc w:val="both"/>
              <w:rPr>
                <w:rFonts w:eastAsia="Calibri" w:cs="Times New Roman"/>
                <w:b/>
                <w:bCs/>
                <w:noProof/>
                <w:sz w:val="22"/>
                <w:lang w:val="en-GB"/>
              </w:rPr>
            </w:pPr>
            <w:r w:rsidRPr="00FD703D">
              <w:rPr>
                <w:rFonts w:eastAsia="Calibri" w:cs="Times New Roman"/>
                <w:b/>
                <w:bCs/>
                <w:noProof/>
                <w:sz w:val="22"/>
                <w:lang w:val="en-GB"/>
              </w:rPr>
              <w:t>32</w:t>
            </w:r>
            <w:r>
              <w:rPr>
                <w:rFonts w:eastAsia="Calibri" w:cs="Times New Roman"/>
                <w:b/>
                <w:bCs/>
                <w:noProof/>
                <w:sz w:val="22"/>
                <w:lang w:val="en-GB"/>
              </w:rPr>
              <w:t>8</w:t>
            </w:r>
          </w:p>
        </w:tc>
        <w:tc>
          <w:tcPr>
            <w:tcW w:w="5917" w:type="dxa"/>
            <w:tcBorders>
              <w:bottom w:val="single" w:sz="4" w:space="0" w:color="auto"/>
            </w:tcBorders>
            <w:vAlign w:val="center"/>
          </w:tcPr>
          <w:p w14:paraId="2B943D0C" w14:textId="5FD11769" w:rsidR="00A173AB" w:rsidRPr="00FD703D" w:rsidRDefault="00A173AB" w:rsidP="00A173AB">
            <w:pPr>
              <w:spacing w:after="60"/>
              <w:jc w:val="both"/>
              <w:rPr>
                <w:rFonts w:eastAsia="Calibri" w:cs="Times New Roman"/>
                <w:b/>
                <w:bCs/>
                <w:noProof/>
                <w:sz w:val="22"/>
                <w:szCs w:val="20"/>
                <w:lang w:val="en-GB"/>
              </w:rPr>
            </w:pPr>
            <w:r w:rsidRPr="00FD703D">
              <w:rPr>
                <w:rFonts w:eastAsia="Calibri" w:cs="Times New Roman"/>
                <w:b/>
                <w:bCs/>
                <w:noProof/>
                <w:sz w:val="22"/>
                <w:szCs w:val="20"/>
                <w:lang w:val="en-GB"/>
              </w:rPr>
              <w:t xml:space="preserve">Data collection on veterinary medicinal products: </w:t>
            </w:r>
            <w:r w:rsidRPr="00FD703D">
              <w:rPr>
                <w:rFonts w:eastAsia="Calibri" w:cs="Times New Roman"/>
                <w:noProof/>
                <w:sz w:val="22"/>
                <w:szCs w:val="20"/>
                <w:lang w:val="en-GB"/>
              </w:rPr>
              <w:t xml:space="preserve">delay the mandatory data collection by Member States of the use of antimicrobial veterinary medicinal products until 2027 (Regulation (EU) 2019/6). </w:t>
            </w:r>
          </w:p>
        </w:tc>
        <w:tc>
          <w:tcPr>
            <w:tcW w:w="1530" w:type="dxa"/>
            <w:tcBorders>
              <w:bottom w:val="single" w:sz="4" w:space="0" w:color="auto"/>
            </w:tcBorders>
            <w:vAlign w:val="center"/>
          </w:tcPr>
          <w:p w14:paraId="70F6B5A5" w14:textId="06ABE7A6" w:rsidR="00A173AB" w:rsidRPr="00FD703D" w:rsidRDefault="00A173AB" w:rsidP="00A173AB">
            <w:pPr>
              <w:spacing w:after="60"/>
              <w:jc w:val="center"/>
              <w:rPr>
                <w:rFonts w:eastAsia="MS Gothic" w:cs="Times New Roman"/>
                <w:b/>
                <w:noProof/>
                <w:sz w:val="22"/>
                <w:lang w:val="en-GB"/>
              </w:rPr>
            </w:pPr>
            <w:r w:rsidRPr="00FD703D">
              <w:rPr>
                <w:rFonts w:eastAsia="MS Gothic" w:cs="Times New Roman"/>
                <w:b/>
                <w:noProof/>
                <w:color w:val="0033CC"/>
                <w:sz w:val="22"/>
                <w:lang w:val="en-GB"/>
              </w:rPr>
              <w:t>LV</w:t>
            </w:r>
          </w:p>
        </w:tc>
        <w:tc>
          <w:tcPr>
            <w:tcW w:w="6359" w:type="dxa"/>
            <w:tcBorders>
              <w:bottom w:val="single" w:sz="4" w:space="0" w:color="auto"/>
            </w:tcBorders>
            <w:vAlign w:val="center"/>
          </w:tcPr>
          <w:p w14:paraId="38C91B89" w14:textId="3D3CE647"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Regulation (EU) 2019/6 was published in January 2019. The stepwise approach provided for in its </w:t>
            </w:r>
            <w:r w:rsidRPr="00FD703D">
              <w:rPr>
                <w:rFonts w:eastAsia="Calibri" w:cs="Times New Roman"/>
                <w:i/>
                <w:iCs/>
                <w:noProof/>
                <w:sz w:val="22"/>
                <w:szCs w:val="20"/>
                <w:lang w:val="en-GB"/>
              </w:rPr>
              <w:t xml:space="preserve">Article 57 </w:t>
            </w:r>
            <w:r w:rsidRPr="00FD703D">
              <w:rPr>
                <w:rFonts w:eastAsia="Calibri" w:cs="Times New Roman"/>
                <w:noProof/>
                <w:sz w:val="22"/>
                <w:szCs w:val="20"/>
                <w:lang w:val="en-GB"/>
              </w:rPr>
              <w:t>aims at providing Member States with sufficient time to put in place data collection systems: i) by January 2024, for the species and categories included in Commission Implementing Decision 2013/652/EU; (ii) by January 2027, for all food-producing animal species; (iii) by January 2030, for other animals which are bred or kept.</w:t>
            </w:r>
          </w:p>
          <w:p w14:paraId="1632229A" w14:textId="38D376C0" w:rsidR="00A173AB" w:rsidRPr="00FD703D" w:rsidRDefault="00A173AB" w:rsidP="00A173AB">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Commission Delegated Regulation (EU) 2021/578 (published in April 2021) provided Member States with the requirements for the data collection. Under the single market programme, the Commission has also provided support to Member States (through multiannual grants) to put in place and operationalise such systems (Latvia being one of the beneficiaries). Therefore, the requested delay until 2027 of the submission of use data seems difficult to justify. </w:t>
            </w:r>
          </w:p>
          <w:p w14:paraId="43A3754D" w14:textId="79CBDF1E"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Commission Delegated Regulation (EU) 2021/578 provides a framework for Member States to decide how to organise such data collection at national level. </w:t>
            </w:r>
            <w:r w:rsidRPr="00FD703D">
              <w:rPr>
                <w:rFonts w:eastAsia="Calibri" w:cs="Times New Roman"/>
                <w:i/>
                <w:iCs/>
                <w:noProof/>
                <w:sz w:val="22"/>
                <w:szCs w:val="20"/>
                <w:lang w:val="en-GB"/>
              </w:rPr>
              <w:t xml:space="preserve">Article 13(1)(a) </w:t>
            </w:r>
            <w:r w:rsidRPr="00FD703D">
              <w:rPr>
                <w:rFonts w:eastAsia="Calibri" w:cs="Times New Roman"/>
                <w:noProof/>
                <w:sz w:val="22"/>
                <w:szCs w:val="20"/>
                <w:lang w:val="en-GB"/>
              </w:rPr>
              <w:t>provides that Member States shall collect those data from the following data providers, as appropriate: veterinarians, retailers, pharmacies, feed mills and end-users, including farmers or breeders. Therefore, Member States may consider collecting the data from possible providers other than farmers to avoid an administrative burden on farmers.</w:t>
            </w:r>
          </w:p>
        </w:tc>
      </w:tr>
    </w:tbl>
    <w:p w14:paraId="4847A181" w14:textId="77777777" w:rsidR="00A173AB" w:rsidRDefault="00A173AB">
      <w:pPr>
        <w:rPr>
          <w:noProof/>
        </w:rPr>
      </w:pPr>
    </w:p>
    <w:p w14:paraId="752F9194" w14:textId="77777777" w:rsidR="00A173AB" w:rsidRDefault="00A173AB">
      <w:pPr>
        <w:rPr>
          <w:noProof/>
        </w:rPr>
      </w:pPr>
    </w:p>
    <w:tbl>
      <w:tblPr>
        <w:tblStyle w:val="TableGrid1"/>
        <w:tblpPr w:leftFromText="180" w:rightFromText="180" w:vertAnchor="text" w:tblpY="1"/>
        <w:tblOverlap w:val="never"/>
        <w:tblW w:w="14454" w:type="dxa"/>
        <w:tblLayout w:type="fixed"/>
        <w:tblLook w:val="04A0" w:firstRow="1" w:lastRow="0" w:firstColumn="1" w:lastColumn="0" w:noHBand="0" w:noVBand="1"/>
      </w:tblPr>
      <w:tblGrid>
        <w:gridCol w:w="648"/>
        <w:gridCol w:w="5917"/>
        <w:gridCol w:w="1530"/>
        <w:gridCol w:w="6359"/>
      </w:tblGrid>
      <w:tr w:rsidR="00A173AB" w:rsidRPr="00FD703D" w14:paraId="7A75FCE9" w14:textId="77777777" w:rsidTr="00F32E90">
        <w:trPr>
          <w:trHeight w:val="300"/>
        </w:trPr>
        <w:tc>
          <w:tcPr>
            <w:tcW w:w="648" w:type="dxa"/>
            <w:tcBorders>
              <w:bottom w:val="nil"/>
            </w:tcBorders>
            <w:vAlign w:val="center"/>
          </w:tcPr>
          <w:p w14:paraId="682483D1" w14:textId="555CDB09" w:rsidR="00A173AB" w:rsidRPr="00FD703D" w:rsidRDefault="00A173AB" w:rsidP="00A173AB">
            <w:pPr>
              <w:spacing w:after="60"/>
              <w:jc w:val="both"/>
              <w:rPr>
                <w:rFonts w:eastAsia="Calibri" w:cs="Times New Roman"/>
                <w:b/>
                <w:bCs/>
                <w:noProof/>
                <w:sz w:val="22"/>
                <w:lang w:val="en-GB"/>
              </w:rPr>
            </w:pPr>
            <w:r w:rsidRPr="00FD703D">
              <w:rPr>
                <w:rFonts w:eastAsia="Calibri" w:cs="Times New Roman"/>
                <w:b/>
                <w:bCs/>
                <w:noProof/>
                <w:sz w:val="22"/>
                <w:lang w:val="en-GB"/>
              </w:rPr>
              <w:lastRenderedPageBreak/>
              <w:t>3</w:t>
            </w:r>
            <w:r>
              <w:rPr>
                <w:rFonts w:eastAsia="Calibri" w:cs="Times New Roman"/>
                <w:b/>
                <w:bCs/>
                <w:noProof/>
                <w:sz w:val="22"/>
                <w:lang w:val="en-GB"/>
              </w:rPr>
              <w:t>29</w:t>
            </w:r>
          </w:p>
        </w:tc>
        <w:tc>
          <w:tcPr>
            <w:tcW w:w="5917" w:type="dxa"/>
            <w:tcBorders>
              <w:bottom w:val="nil"/>
            </w:tcBorders>
            <w:vAlign w:val="center"/>
          </w:tcPr>
          <w:p w14:paraId="5BE1CFE0" w14:textId="44CF7FE0" w:rsidR="00A173AB" w:rsidRPr="00FD703D" w:rsidRDefault="00A173AB" w:rsidP="00A173AB">
            <w:pPr>
              <w:spacing w:after="60" w:line="259" w:lineRule="auto"/>
              <w:jc w:val="both"/>
              <w:rPr>
                <w:rFonts w:eastAsia="Calibri" w:cs="Times New Roman"/>
                <w:b/>
                <w:bCs/>
                <w:noProof/>
                <w:sz w:val="22"/>
                <w:szCs w:val="20"/>
                <w:lang w:val="en-GB"/>
              </w:rPr>
            </w:pPr>
            <w:r w:rsidRPr="00FD703D">
              <w:rPr>
                <w:rFonts w:eastAsia="Calibri" w:cs="Times New Roman"/>
                <w:b/>
                <w:bCs/>
                <w:noProof/>
                <w:sz w:val="22"/>
                <w:szCs w:val="20"/>
                <w:lang w:val="en-GB"/>
              </w:rPr>
              <w:t>Registration of vaccines and medicinal products:</w:t>
            </w:r>
            <w:r w:rsidRPr="00FD703D">
              <w:rPr>
                <w:rFonts w:eastAsia="Calibri" w:cs="Times New Roman"/>
                <w:noProof/>
                <w:sz w:val="22"/>
                <w:szCs w:val="20"/>
                <w:lang w:val="en-GB"/>
              </w:rPr>
              <w:t xml:space="preserve"> simplification of the registration regimes for vaccines and medicinal products, e.g. by having any medicines or vaccines that are registered in a Member State automatically recognised by all Member States (Regulation EU 2019/6,</w:t>
            </w:r>
            <w:r>
              <w:rPr>
                <w:rFonts w:eastAsia="Calibri" w:cs="Times New Roman"/>
                <w:noProof/>
                <w:sz w:val="22"/>
                <w:szCs w:val="20"/>
                <w:lang w:val="en-GB"/>
              </w:rPr>
              <w:t xml:space="preserve"> </w:t>
            </w:r>
            <w:r w:rsidRPr="00FD703D">
              <w:rPr>
                <w:rFonts w:eastAsia="Calibri" w:cs="Times New Roman"/>
                <w:noProof/>
                <w:sz w:val="22"/>
                <w:szCs w:val="20"/>
                <w:lang w:val="en-GB"/>
              </w:rPr>
              <w:t>Veterinary medicinal products/VMPs).</w:t>
            </w:r>
          </w:p>
        </w:tc>
        <w:tc>
          <w:tcPr>
            <w:tcW w:w="1530" w:type="dxa"/>
            <w:tcBorders>
              <w:bottom w:val="nil"/>
            </w:tcBorders>
            <w:vAlign w:val="center"/>
          </w:tcPr>
          <w:p w14:paraId="00F0B43F" w14:textId="1ADF700F" w:rsidR="00A173AB" w:rsidRPr="00FD703D" w:rsidRDefault="00A173AB" w:rsidP="00A173AB">
            <w:pPr>
              <w:spacing w:after="60" w:line="259" w:lineRule="auto"/>
              <w:jc w:val="center"/>
              <w:rPr>
                <w:rFonts w:eastAsia="MS Gothic" w:cs="Times New Roman"/>
                <w:b/>
                <w:noProof/>
                <w:sz w:val="22"/>
                <w:lang w:val="en-GB"/>
              </w:rPr>
            </w:pPr>
            <w:r w:rsidRPr="00FD703D">
              <w:rPr>
                <w:rFonts w:eastAsia="MS Gothic" w:cs="Times New Roman"/>
                <w:b/>
                <w:noProof/>
                <w:color w:val="0033CC"/>
                <w:sz w:val="22"/>
                <w:lang w:val="en-GB"/>
              </w:rPr>
              <w:t>MT</w:t>
            </w:r>
          </w:p>
        </w:tc>
        <w:tc>
          <w:tcPr>
            <w:tcW w:w="6359" w:type="dxa"/>
            <w:tcBorders>
              <w:bottom w:val="nil"/>
            </w:tcBorders>
            <w:vAlign w:val="center"/>
          </w:tcPr>
          <w:p w14:paraId="2D3F8FA2" w14:textId="77B431D7"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The objective of this proposal is already addressed by Regulation 2009/6 on Veterinary Medicinal Products (VMPs). It already provides for the ‘centralised procedure’ (</w:t>
            </w:r>
            <w:r w:rsidRPr="00FD703D">
              <w:rPr>
                <w:rFonts w:eastAsia="Calibri" w:cs="Times New Roman"/>
                <w:i/>
                <w:iCs/>
                <w:noProof/>
                <w:sz w:val="22"/>
                <w:szCs w:val="20"/>
                <w:lang w:val="en-GB"/>
              </w:rPr>
              <w:t>Articles. 42 to 45</w:t>
            </w:r>
            <w:r w:rsidRPr="00FD703D">
              <w:rPr>
                <w:rFonts w:eastAsia="Calibri" w:cs="Times New Roman"/>
                <w:noProof/>
                <w:sz w:val="22"/>
                <w:szCs w:val="20"/>
                <w:lang w:val="en-GB"/>
              </w:rPr>
              <w:t>), under which the marketing authorisations of VMPs are granted by the Commission and valid across the EU i.e. in all Member States). The ‘decentralised’ and ‘mutual recognition’ procedures (</w:t>
            </w:r>
            <w:r w:rsidRPr="00FD703D">
              <w:rPr>
                <w:rFonts w:eastAsia="Calibri" w:cs="Times New Roman"/>
                <w:i/>
                <w:iCs/>
                <w:noProof/>
                <w:sz w:val="22"/>
                <w:szCs w:val="20"/>
                <w:lang w:val="en-GB"/>
              </w:rPr>
              <w:t>Articles. 42 and 52</w:t>
            </w:r>
            <w:r w:rsidRPr="00FD703D">
              <w:rPr>
                <w:rFonts w:eastAsia="Calibri" w:cs="Times New Roman"/>
                <w:noProof/>
                <w:sz w:val="22"/>
                <w:szCs w:val="20"/>
                <w:lang w:val="en-GB"/>
              </w:rPr>
              <w:t>, respectively) also provide for the authorisation of a VMP in several Member States. The ‘subsequent recognition’ procedure (</w:t>
            </w:r>
            <w:r w:rsidRPr="00FD703D">
              <w:rPr>
                <w:rFonts w:eastAsia="Calibri" w:cs="Times New Roman"/>
                <w:i/>
                <w:iCs/>
                <w:noProof/>
                <w:sz w:val="22"/>
                <w:szCs w:val="20"/>
                <w:lang w:val="en-GB"/>
              </w:rPr>
              <w:t>Article 53</w:t>
            </w:r>
            <w:r w:rsidRPr="00FD703D">
              <w:rPr>
                <w:rFonts w:eastAsia="Calibri" w:cs="Times New Roman"/>
                <w:noProof/>
                <w:sz w:val="22"/>
                <w:szCs w:val="20"/>
                <w:lang w:val="en-GB"/>
              </w:rPr>
              <w:t>) provides for the authorisation of aa VMP by additional Member States.  Further provisions (</w:t>
            </w:r>
            <w:r w:rsidRPr="00FD703D">
              <w:rPr>
                <w:rFonts w:eastAsia="Calibri" w:cs="Times New Roman"/>
                <w:i/>
                <w:iCs/>
                <w:noProof/>
                <w:sz w:val="22"/>
                <w:szCs w:val="20"/>
                <w:lang w:val="en-GB"/>
              </w:rPr>
              <w:t>Articles. 112 to 116</w:t>
            </w:r>
            <w:r w:rsidRPr="00FD703D">
              <w:rPr>
                <w:rFonts w:eastAsia="Calibri" w:cs="Times New Roman"/>
                <w:noProof/>
                <w:sz w:val="22"/>
                <w:szCs w:val="20"/>
                <w:lang w:val="en-GB"/>
              </w:rPr>
              <w:t>) allow the use, under certain circumstances, of VMPs authorised in other Member States.</w:t>
            </w:r>
          </w:p>
        </w:tc>
      </w:tr>
      <w:tr w:rsidR="00A173AB" w:rsidRPr="00FD703D" w14:paraId="6888D17F" w14:textId="77777777" w:rsidTr="00F32E90">
        <w:trPr>
          <w:trHeight w:val="300"/>
        </w:trPr>
        <w:tc>
          <w:tcPr>
            <w:tcW w:w="648" w:type="dxa"/>
            <w:tcBorders>
              <w:bottom w:val="nil"/>
            </w:tcBorders>
            <w:vAlign w:val="center"/>
          </w:tcPr>
          <w:p w14:paraId="65E00417" w14:textId="5AD731F9" w:rsidR="00A173AB" w:rsidRPr="00FD703D" w:rsidRDefault="00A173AB" w:rsidP="00A173AB">
            <w:pPr>
              <w:spacing w:after="60"/>
              <w:jc w:val="both"/>
              <w:rPr>
                <w:rFonts w:eastAsia="Calibri" w:cs="Times New Roman"/>
                <w:b/>
                <w:bCs/>
                <w:noProof/>
                <w:sz w:val="22"/>
                <w:lang w:val="en-GB"/>
              </w:rPr>
            </w:pPr>
            <w:r w:rsidRPr="00FD703D">
              <w:rPr>
                <w:rFonts w:eastAsia="Calibri" w:cs="Times New Roman"/>
                <w:b/>
                <w:bCs/>
                <w:noProof/>
                <w:sz w:val="22"/>
                <w:lang w:val="en-GB"/>
              </w:rPr>
              <w:t>33</w:t>
            </w:r>
            <w:r>
              <w:rPr>
                <w:rFonts w:eastAsia="Calibri" w:cs="Times New Roman"/>
                <w:b/>
                <w:bCs/>
                <w:noProof/>
                <w:sz w:val="22"/>
                <w:lang w:val="en-GB"/>
              </w:rPr>
              <w:t>0</w:t>
            </w:r>
          </w:p>
        </w:tc>
        <w:tc>
          <w:tcPr>
            <w:tcW w:w="5917" w:type="dxa"/>
            <w:tcBorders>
              <w:bottom w:val="nil"/>
            </w:tcBorders>
            <w:vAlign w:val="center"/>
          </w:tcPr>
          <w:p w14:paraId="5E09D3C0" w14:textId="72DA4B48" w:rsidR="00A173AB" w:rsidRPr="00FD703D" w:rsidRDefault="00A173AB" w:rsidP="00A173AB">
            <w:pPr>
              <w:spacing w:after="60" w:line="259" w:lineRule="auto"/>
              <w:jc w:val="both"/>
              <w:rPr>
                <w:rFonts w:eastAsia="Calibri" w:cs="Times New Roman"/>
                <w:b/>
                <w:bCs/>
                <w:noProof/>
                <w:sz w:val="22"/>
                <w:szCs w:val="20"/>
                <w:lang w:val="en-GB"/>
              </w:rPr>
            </w:pPr>
            <w:r w:rsidRPr="00FD703D">
              <w:rPr>
                <w:rFonts w:eastAsia="Calibri" w:cs="Times New Roman"/>
                <w:b/>
                <w:bCs/>
                <w:noProof/>
                <w:sz w:val="22"/>
                <w:szCs w:val="20"/>
                <w:lang w:val="en-GB"/>
              </w:rPr>
              <w:t xml:space="preserve">Cost of certification: </w:t>
            </w:r>
            <w:r w:rsidRPr="00FD703D">
              <w:rPr>
                <w:rFonts w:eastAsia="Calibri" w:cs="Times New Roman"/>
                <w:noProof/>
                <w:sz w:val="22"/>
                <w:szCs w:val="20"/>
                <w:lang w:val="en-GB"/>
              </w:rPr>
              <w:t>reduction in the costs of certification (e.g. of genetic material) and by reconsidering what should be done by an official veterinarian and what can be done by another official (Delegated Regulation (EU) 2020/686).</w:t>
            </w:r>
          </w:p>
        </w:tc>
        <w:tc>
          <w:tcPr>
            <w:tcW w:w="1530" w:type="dxa"/>
            <w:tcBorders>
              <w:bottom w:val="nil"/>
            </w:tcBorders>
            <w:vAlign w:val="center"/>
          </w:tcPr>
          <w:p w14:paraId="3A0D4E15" w14:textId="3AFF1A57" w:rsidR="00A173AB" w:rsidRPr="00FD703D" w:rsidRDefault="00A173AB" w:rsidP="00A173AB">
            <w:pPr>
              <w:spacing w:after="60" w:line="259" w:lineRule="auto"/>
              <w:jc w:val="center"/>
              <w:rPr>
                <w:rFonts w:eastAsia="MS Gothic" w:cs="Times New Roman"/>
                <w:b/>
                <w:noProof/>
                <w:sz w:val="22"/>
                <w:lang w:val="en-GB"/>
              </w:rPr>
            </w:pPr>
            <w:r w:rsidRPr="00FD703D">
              <w:rPr>
                <w:rFonts w:eastAsia="MS Gothic" w:cs="Times New Roman"/>
                <w:b/>
                <w:noProof/>
                <w:color w:val="0033CC"/>
                <w:sz w:val="22"/>
                <w:lang w:val="en-GB"/>
              </w:rPr>
              <w:t>NL</w:t>
            </w:r>
          </w:p>
        </w:tc>
        <w:tc>
          <w:tcPr>
            <w:tcW w:w="6359" w:type="dxa"/>
            <w:tcBorders>
              <w:bottom w:val="nil"/>
            </w:tcBorders>
            <w:vAlign w:val="center"/>
          </w:tcPr>
          <w:p w14:paraId="2B795399" w14:textId="2AD480ED"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The type of information and attestation that must be certified by officials necessitate a person with a veterinary degree (e.g. to certify the presence or absence of clinical signs, tests related to transmissible animal diseases, official controls related to the activities of the veterinarian who is responsible for collecting and producing germinal products and running the germinal products establishment, etc.). This is also in line with international standards.</w:t>
            </w:r>
          </w:p>
        </w:tc>
      </w:tr>
      <w:tr w:rsidR="00A173AB" w:rsidRPr="00FD703D" w14:paraId="61285099" w14:textId="77777777" w:rsidTr="00092300">
        <w:trPr>
          <w:trHeight w:val="300"/>
        </w:trPr>
        <w:tc>
          <w:tcPr>
            <w:tcW w:w="648" w:type="dxa"/>
            <w:tcBorders>
              <w:bottom w:val="single" w:sz="4" w:space="0" w:color="auto"/>
            </w:tcBorders>
            <w:vAlign w:val="center"/>
          </w:tcPr>
          <w:p w14:paraId="25B1AE0E" w14:textId="3413DDB7" w:rsidR="00A173AB" w:rsidRPr="00FD703D" w:rsidRDefault="00A173AB" w:rsidP="00A173AB">
            <w:pPr>
              <w:spacing w:after="60"/>
              <w:jc w:val="both"/>
              <w:rPr>
                <w:rFonts w:eastAsia="Calibri" w:cs="Times New Roman"/>
                <w:b/>
                <w:bCs/>
                <w:noProof/>
                <w:sz w:val="22"/>
                <w:lang w:val="en-GB"/>
              </w:rPr>
            </w:pPr>
            <w:r w:rsidRPr="00FD703D">
              <w:rPr>
                <w:rFonts w:eastAsia="Calibri" w:cs="Times New Roman"/>
                <w:b/>
                <w:bCs/>
                <w:noProof/>
                <w:sz w:val="22"/>
                <w:lang w:val="en-GB"/>
              </w:rPr>
              <w:t>33</w:t>
            </w:r>
            <w:r>
              <w:rPr>
                <w:rFonts w:eastAsia="Calibri" w:cs="Times New Roman"/>
                <w:b/>
                <w:bCs/>
                <w:noProof/>
                <w:sz w:val="22"/>
                <w:lang w:val="en-GB"/>
              </w:rPr>
              <w:t>1</w:t>
            </w:r>
          </w:p>
        </w:tc>
        <w:tc>
          <w:tcPr>
            <w:tcW w:w="5917" w:type="dxa"/>
            <w:tcBorders>
              <w:bottom w:val="single" w:sz="4" w:space="0" w:color="auto"/>
            </w:tcBorders>
            <w:vAlign w:val="center"/>
          </w:tcPr>
          <w:p w14:paraId="2C6F1D3D" w14:textId="65115B00" w:rsidR="00A173AB" w:rsidRPr="00FD703D" w:rsidRDefault="00A173AB" w:rsidP="00A173AB">
            <w:pPr>
              <w:spacing w:after="60" w:line="259" w:lineRule="auto"/>
              <w:jc w:val="both"/>
              <w:rPr>
                <w:rFonts w:eastAsia="Calibri" w:cs="Times New Roman"/>
                <w:b/>
                <w:bCs/>
                <w:noProof/>
                <w:sz w:val="22"/>
                <w:lang w:val="en-GB"/>
              </w:rPr>
            </w:pPr>
            <w:r w:rsidRPr="00FD703D">
              <w:rPr>
                <w:rFonts w:eastAsia="Calibri" w:cs="Times New Roman"/>
                <w:b/>
                <w:bCs/>
                <w:noProof/>
                <w:sz w:val="22"/>
                <w:lang w:val="en-GB"/>
              </w:rPr>
              <w:t>Definitions of cattle/bovines:</w:t>
            </w:r>
            <w:r w:rsidRPr="00FD703D">
              <w:rPr>
                <w:rFonts w:eastAsia="Calibri" w:cs="Times New Roman"/>
                <w:noProof/>
                <w:sz w:val="22"/>
                <w:lang w:val="en-GB"/>
              </w:rPr>
              <w:t xml:space="preserve"> request to define the term ‘cattle/ bovines living under semi-wild conditions’ and set a derogation for the identification of these animals (Regulation (EU) 2016/429 (‘Animal Health Law’)).</w:t>
            </w:r>
          </w:p>
        </w:tc>
        <w:tc>
          <w:tcPr>
            <w:tcW w:w="1530" w:type="dxa"/>
            <w:tcBorders>
              <w:bottom w:val="single" w:sz="4" w:space="0" w:color="auto"/>
            </w:tcBorders>
            <w:vAlign w:val="center"/>
          </w:tcPr>
          <w:p w14:paraId="3DC171F2" w14:textId="3219B2C6" w:rsidR="00A173AB" w:rsidRPr="00FD703D" w:rsidRDefault="00A173AB" w:rsidP="00A173AB">
            <w:pPr>
              <w:spacing w:after="60" w:line="259" w:lineRule="auto"/>
              <w:jc w:val="center"/>
              <w:rPr>
                <w:rFonts w:eastAsia="MS Gothic" w:cs="Times New Roman"/>
                <w:b/>
                <w:noProof/>
                <w:sz w:val="22"/>
                <w:lang w:val="en-GB"/>
              </w:rPr>
            </w:pPr>
            <w:r w:rsidRPr="00FD703D">
              <w:rPr>
                <w:rFonts w:eastAsia="MS Gothic" w:cs="Times New Roman"/>
                <w:b/>
                <w:noProof/>
                <w:color w:val="0033CC"/>
                <w:sz w:val="22"/>
                <w:lang w:val="en-GB"/>
              </w:rPr>
              <w:t>LV</w:t>
            </w:r>
          </w:p>
        </w:tc>
        <w:tc>
          <w:tcPr>
            <w:tcW w:w="6359" w:type="dxa"/>
            <w:tcBorders>
              <w:bottom w:val="single" w:sz="4" w:space="0" w:color="auto"/>
            </w:tcBorders>
            <w:vAlign w:val="center"/>
          </w:tcPr>
          <w:p w14:paraId="413D2103" w14:textId="71918AB6"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The proposal has not been taken up as it is legally not possible. Regulation (EU) 2016/429 defines in </w:t>
            </w:r>
            <w:r w:rsidRPr="00FD703D">
              <w:rPr>
                <w:rFonts w:eastAsia="Calibri" w:cs="Times New Roman"/>
                <w:i/>
                <w:iCs/>
                <w:noProof/>
                <w:sz w:val="22"/>
                <w:szCs w:val="20"/>
                <w:lang w:val="en-GB"/>
              </w:rPr>
              <w:t xml:space="preserve">Article 4 </w:t>
            </w:r>
            <w:r w:rsidRPr="00FD703D">
              <w:rPr>
                <w:rFonts w:eastAsia="Calibri" w:cs="Times New Roman"/>
                <w:noProof/>
                <w:sz w:val="22"/>
                <w:szCs w:val="20"/>
                <w:lang w:val="en-GB"/>
              </w:rPr>
              <w:t xml:space="preserve">animals as either kept (i.e. kept by humans), or wild (not kept by humans). This regulation leaves it up to the competent authority in each Member State to decide, depending on the specific circumstances, whether animals should be considered as kept or as wild. This may depend on several factors, and it is often a case-by-case decision taking into account the risk those animals pose for animal and public health.  Moreover, several derogations for animals kept in extensive conditions are already provided in Commission Implementing Regulation (EU) 2021/520 as  regards identification and registration. Adding a new definition for a </w:t>
            </w:r>
          </w:p>
        </w:tc>
      </w:tr>
    </w:tbl>
    <w:p w14:paraId="24E55BFB" w14:textId="77777777" w:rsidR="00092300" w:rsidRDefault="00092300">
      <w:pPr>
        <w:rPr>
          <w:noProof/>
        </w:rPr>
      </w:pPr>
    </w:p>
    <w:tbl>
      <w:tblPr>
        <w:tblStyle w:val="TableGrid1"/>
        <w:tblpPr w:leftFromText="180" w:rightFromText="180" w:vertAnchor="text" w:tblpY="1"/>
        <w:tblOverlap w:val="never"/>
        <w:tblW w:w="14454" w:type="dxa"/>
        <w:tblLayout w:type="fixed"/>
        <w:tblLook w:val="04A0" w:firstRow="1" w:lastRow="0" w:firstColumn="1" w:lastColumn="0" w:noHBand="0" w:noVBand="1"/>
      </w:tblPr>
      <w:tblGrid>
        <w:gridCol w:w="648"/>
        <w:gridCol w:w="5917"/>
        <w:gridCol w:w="1530"/>
        <w:gridCol w:w="6359"/>
      </w:tblGrid>
      <w:tr w:rsidR="00A173AB" w:rsidRPr="00FD703D" w14:paraId="2E516C3C" w14:textId="77777777" w:rsidTr="00F32E90">
        <w:trPr>
          <w:trHeight w:val="300"/>
        </w:trPr>
        <w:tc>
          <w:tcPr>
            <w:tcW w:w="648" w:type="dxa"/>
            <w:tcBorders>
              <w:bottom w:val="nil"/>
            </w:tcBorders>
            <w:vAlign w:val="center"/>
          </w:tcPr>
          <w:p w14:paraId="0B07EF5A" w14:textId="77777777" w:rsidR="00A173AB" w:rsidRPr="00FD703D" w:rsidRDefault="00A173AB" w:rsidP="00A173AB">
            <w:pPr>
              <w:spacing w:after="60"/>
              <w:jc w:val="both"/>
              <w:rPr>
                <w:rFonts w:eastAsia="Calibri" w:cs="Times New Roman"/>
                <w:b/>
                <w:bCs/>
                <w:noProof/>
                <w:sz w:val="22"/>
                <w:lang w:val="en-GB"/>
              </w:rPr>
            </w:pPr>
          </w:p>
        </w:tc>
        <w:tc>
          <w:tcPr>
            <w:tcW w:w="5917" w:type="dxa"/>
            <w:tcBorders>
              <w:bottom w:val="nil"/>
            </w:tcBorders>
            <w:vAlign w:val="center"/>
          </w:tcPr>
          <w:p w14:paraId="4A75F7A2" w14:textId="77777777" w:rsidR="00A173AB" w:rsidRPr="00FD703D" w:rsidRDefault="00A173AB" w:rsidP="00A173AB">
            <w:pPr>
              <w:spacing w:after="60"/>
              <w:jc w:val="both"/>
              <w:rPr>
                <w:rFonts w:eastAsia="Calibri" w:cs="Times New Roman"/>
                <w:b/>
                <w:bCs/>
                <w:noProof/>
                <w:sz w:val="22"/>
                <w:lang w:val="en-GB"/>
              </w:rPr>
            </w:pPr>
          </w:p>
        </w:tc>
        <w:tc>
          <w:tcPr>
            <w:tcW w:w="1530" w:type="dxa"/>
            <w:tcBorders>
              <w:bottom w:val="nil"/>
            </w:tcBorders>
            <w:vAlign w:val="center"/>
          </w:tcPr>
          <w:p w14:paraId="2AA9D493" w14:textId="77777777" w:rsidR="00A173AB" w:rsidRPr="00FD703D" w:rsidRDefault="00A173AB" w:rsidP="00A173AB">
            <w:pPr>
              <w:spacing w:after="60"/>
              <w:jc w:val="center"/>
              <w:rPr>
                <w:rFonts w:eastAsia="MS Gothic" w:cs="Times New Roman"/>
                <w:b/>
                <w:noProof/>
                <w:color w:val="0033CC"/>
                <w:sz w:val="22"/>
                <w:lang w:val="en-GB"/>
              </w:rPr>
            </w:pPr>
          </w:p>
        </w:tc>
        <w:tc>
          <w:tcPr>
            <w:tcW w:w="6359" w:type="dxa"/>
            <w:tcBorders>
              <w:bottom w:val="nil"/>
            </w:tcBorders>
            <w:vAlign w:val="center"/>
          </w:tcPr>
          <w:p w14:paraId="504CD342" w14:textId="0E0670A2" w:rsidR="00A173AB" w:rsidRPr="00FD703D" w:rsidRDefault="00A173AB" w:rsidP="00A173AB">
            <w:pPr>
              <w:spacing w:after="60"/>
              <w:jc w:val="both"/>
              <w:rPr>
                <w:rFonts w:eastAsia="Calibri" w:cs="Times New Roman"/>
                <w:noProof/>
                <w:sz w:val="22"/>
                <w:szCs w:val="20"/>
                <w:lang w:val="en-GB"/>
              </w:rPr>
            </w:pPr>
            <w:r w:rsidRPr="00FD703D">
              <w:rPr>
                <w:rFonts w:eastAsia="Calibri" w:cs="Times New Roman"/>
                <w:noProof/>
                <w:sz w:val="22"/>
                <w:szCs w:val="20"/>
                <w:lang w:val="en-GB"/>
              </w:rPr>
              <w:t>category of semi-wild animals would not, however increase the clarity of the rules, but even reduce their clarity. It would also undermine,</w:t>
            </w:r>
            <w:r>
              <w:rPr>
                <w:rFonts w:eastAsia="Calibri" w:cs="Times New Roman"/>
                <w:noProof/>
                <w:sz w:val="22"/>
                <w:szCs w:val="20"/>
                <w:lang w:val="en-GB"/>
              </w:rPr>
              <w:t xml:space="preserve"> </w:t>
            </w:r>
            <w:r w:rsidRPr="00FD703D">
              <w:rPr>
                <w:rFonts w:eastAsia="Calibri" w:cs="Times New Roman"/>
                <w:noProof/>
                <w:sz w:val="22"/>
                <w:szCs w:val="20"/>
                <w:lang w:val="en-GB"/>
              </w:rPr>
              <w:t>animal traceability, a key element in disease prevention and control leaving major populations of e.g. cattle, susceptible to several serious animal diseases including zoonoses (FMD, LSD, brucellosis, etc), outside the effective control of the competent authorities. This would therefore pose a direct threat to the health of animals and to human health.</w:t>
            </w:r>
          </w:p>
        </w:tc>
      </w:tr>
      <w:tr w:rsidR="00A173AB" w:rsidRPr="00FD703D" w14:paraId="77927F54" w14:textId="77777777" w:rsidTr="00F32E90">
        <w:trPr>
          <w:trHeight w:val="300"/>
        </w:trPr>
        <w:tc>
          <w:tcPr>
            <w:tcW w:w="648" w:type="dxa"/>
            <w:tcBorders>
              <w:bottom w:val="nil"/>
            </w:tcBorders>
            <w:vAlign w:val="center"/>
          </w:tcPr>
          <w:p w14:paraId="19BF64BA" w14:textId="63CBEF5D" w:rsidR="00A173AB" w:rsidRPr="00FD703D" w:rsidRDefault="00A173AB" w:rsidP="00A173AB">
            <w:pPr>
              <w:spacing w:after="60"/>
              <w:jc w:val="both"/>
              <w:rPr>
                <w:rFonts w:eastAsia="Calibri" w:cs="Times New Roman"/>
                <w:b/>
                <w:bCs/>
                <w:noProof/>
                <w:sz w:val="22"/>
                <w:lang w:val="en-GB"/>
              </w:rPr>
            </w:pPr>
            <w:r w:rsidRPr="00FD703D">
              <w:rPr>
                <w:rFonts w:eastAsia="Calibri" w:cs="Times New Roman"/>
                <w:b/>
                <w:bCs/>
                <w:noProof/>
                <w:sz w:val="22"/>
                <w:lang w:val="en-GB"/>
              </w:rPr>
              <w:t>33</w:t>
            </w:r>
            <w:r>
              <w:rPr>
                <w:rFonts w:eastAsia="Calibri" w:cs="Times New Roman"/>
                <w:b/>
                <w:bCs/>
                <w:noProof/>
                <w:sz w:val="22"/>
                <w:lang w:val="en-GB"/>
              </w:rPr>
              <w:t>2</w:t>
            </w:r>
          </w:p>
        </w:tc>
        <w:tc>
          <w:tcPr>
            <w:tcW w:w="5917" w:type="dxa"/>
            <w:tcBorders>
              <w:bottom w:val="nil"/>
            </w:tcBorders>
            <w:vAlign w:val="center"/>
          </w:tcPr>
          <w:p w14:paraId="5E8804CB" w14:textId="162B3141" w:rsidR="00A173AB" w:rsidRPr="00FD703D" w:rsidRDefault="00A173AB" w:rsidP="00A173AB">
            <w:pPr>
              <w:spacing w:after="60"/>
              <w:jc w:val="both"/>
              <w:rPr>
                <w:rFonts w:eastAsia="Calibri" w:cs="Times New Roman"/>
                <w:b/>
                <w:bCs/>
                <w:noProof/>
                <w:sz w:val="22"/>
                <w:szCs w:val="20"/>
                <w:lang w:val="en-GB"/>
              </w:rPr>
            </w:pPr>
            <w:r w:rsidRPr="00FD703D">
              <w:rPr>
                <w:rFonts w:eastAsia="Calibri" w:cs="Times New Roman"/>
                <w:b/>
                <w:bCs/>
                <w:noProof/>
                <w:sz w:val="22"/>
                <w:szCs w:val="20"/>
                <w:lang w:val="en-GB"/>
              </w:rPr>
              <w:t xml:space="preserve">Report on the transfer of sheep and goats </w:t>
            </w:r>
            <w:r w:rsidRPr="00FD703D">
              <w:rPr>
                <w:rFonts w:eastAsia="Calibri" w:cs="Times New Roman"/>
                <w:noProof/>
                <w:sz w:val="22"/>
                <w:szCs w:val="20"/>
                <w:lang w:val="en-GB"/>
              </w:rPr>
              <w:t>from farms to grazing areas (amendment of Commission Implementing Regulation (EU) 2021/520 on traceability of certain kept terrestrial animals).</w:t>
            </w:r>
          </w:p>
        </w:tc>
        <w:tc>
          <w:tcPr>
            <w:tcW w:w="1530" w:type="dxa"/>
            <w:tcBorders>
              <w:bottom w:val="nil"/>
            </w:tcBorders>
            <w:vAlign w:val="center"/>
          </w:tcPr>
          <w:p w14:paraId="1065DB4C" w14:textId="77777777" w:rsidR="00A173AB" w:rsidRPr="00FD703D" w:rsidRDefault="00A173AB" w:rsidP="00A173AB">
            <w:pPr>
              <w:spacing w:after="60" w:line="259" w:lineRule="auto"/>
              <w:jc w:val="center"/>
              <w:rPr>
                <w:rFonts w:eastAsia="MS Gothic" w:cs="Times New Roman"/>
                <w:b/>
                <w:bCs/>
                <w:noProof/>
                <w:color w:val="0033CC"/>
                <w:sz w:val="22"/>
                <w:lang w:val="en-GB"/>
              </w:rPr>
            </w:pPr>
            <w:r w:rsidRPr="00FD703D">
              <w:rPr>
                <w:rFonts w:eastAsia="MS Gothic" w:cs="Times New Roman"/>
                <w:b/>
                <w:noProof/>
                <w:color w:val="0033CC"/>
                <w:sz w:val="22"/>
                <w:lang w:val="en-GB"/>
              </w:rPr>
              <w:t>AT</w:t>
            </w:r>
          </w:p>
          <w:p w14:paraId="2E9ABD2A" w14:textId="77777777" w:rsidR="00A173AB" w:rsidRPr="00FD703D" w:rsidRDefault="00A173AB" w:rsidP="00A173AB">
            <w:pPr>
              <w:spacing w:after="60" w:line="259" w:lineRule="auto"/>
              <w:jc w:val="center"/>
              <w:rPr>
                <w:rFonts w:eastAsia="MS Gothic" w:cs="Times New Roman"/>
                <w:b/>
                <w:bCs/>
                <w:noProof/>
                <w:color w:val="0033CC"/>
                <w:sz w:val="22"/>
                <w:lang w:val="en-GB"/>
              </w:rPr>
            </w:pPr>
          </w:p>
          <w:p w14:paraId="232CB5B1" w14:textId="0157C3D6" w:rsidR="00A173AB" w:rsidRPr="00FD703D" w:rsidRDefault="00A173AB" w:rsidP="00A173AB">
            <w:pPr>
              <w:spacing w:after="60"/>
              <w:jc w:val="center"/>
              <w:rPr>
                <w:rFonts w:eastAsia="MS Gothic" w:cs="Times New Roman"/>
                <w:b/>
                <w:noProof/>
                <w:sz w:val="22"/>
                <w:lang w:val="en-GB"/>
              </w:rPr>
            </w:pPr>
            <w:r w:rsidRPr="00FD703D">
              <w:rPr>
                <w:rFonts w:eastAsia="MS Gothic" w:cs="Times New Roman"/>
                <w:b/>
                <w:noProof/>
                <w:color w:val="0033CC"/>
                <w:sz w:val="22"/>
                <w:lang w:val="en-GB"/>
              </w:rPr>
              <w:t>COPA-COGECA</w:t>
            </w:r>
          </w:p>
        </w:tc>
        <w:tc>
          <w:tcPr>
            <w:tcW w:w="6359" w:type="dxa"/>
            <w:tcBorders>
              <w:bottom w:val="nil"/>
            </w:tcBorders>
            <w:vAlign w:val="center"/>
          </w:tcPr>
          <w:p w14:paraId="054307E5" w14:textId="223EBC94" w:rsidR="00A173AB" w:rsidRPr="00FD703D" w:rsidRDefault="00A173AB" w:rsidP="00A173AB">
            <w:pPr>
              <w:spacing w:after="60"/>
              <w:jc w:val="both"/>
              <w:rPr>
                <w:rFonts w:eastAsia="Calibri" w:cs="Times New Roman"/>
                <w:noProof/>
                <w:sz w:val="22"/>
                <w:szCs w:val="20"/>
                <w:lang w:val="en-GB"/>
              </w:rPr>
            </w:pPr>
            <w:r w:rsidRPr="00FD703D">
              <w:rPr>
                <w:rFonts w:eastAsia="Calibri" w:cs="Times New Roman"/>
                <w:noProof/>
                <w:sz w:val="22"/>
                <w:szCs w:val="20"/>
                <w:lang w:val="en-GB"/>
              </w:rPr>
              <w:t xml:space="preserve">In accordance with </w:t>
            </w:r>
            <w:r w:rsidRPr="00FD703D">
              <w:rPr>
                <w:rFonts w:eastAsia="Calibri" w:cs="Times New Roman"/>
                <w:i/>
                <w:iCs/>
                <w:noProof/>
                <w:sz w:val="22"/>
                <w:szCs w:val="20"/>
                <w:lang w:val="en-GB"/>
              </w:rPr>
              <w:t>Article 3</w:t>
            </w:r>
            <w:r w:rsidRPr="00FD703D">
              <w:rPr>
                <w:rFonts w:eastAsia="Calibri" w:cs="Times New Roman"/>
                <w:noProof/>
                <w:sz w:val="22"/>
                <w:szCs w:val="20"/>
                <w:lang w:val="en-GB"/>
              </w:rPr>
              <w:t xml:space="preserve"> of Commission Implementing Regulation 2021/520, the competent authority may extend the deadline to transmit the information on those movements for bovine animals within the same Member State from establishments of origin to registered pasture establishments located in mountain areas for grazing. A similar derogation could be laid down for ovine and caprine animals.</w:t>
            </w:r>
          </w:p>
        </w:tc>
      </w:tr>
      <w:tr w:rsidR="00A173AB" w:rsidRPr="00FD703D" w14:paraId="4CD2B255" w14:textId="77777777" w:rsidTr="00F32E90">
        <w:trPr>
          <w:trHeight w:val="300"/>
        </w:trPr>
        <w:tc>
          <w:tcPr>
            <w:tcW w:w="648" w:type="dxa"/>
            <w:tcBorders>
              <w:bottom w:val="single" w:sz="4" w:space="0" w:color="auto"/>
            </w:tcBorders>
            <w:vAlign w:val="center"/>
          </w:tcPr>
          <w:p w14:paraId="2A24ECE3" w14:textId="1E8ED50E" w:rsidR="00A173AB" w:rsidRPr="00FD703D" w:rsidRDefault="00A173AB" w:rsidP="00A173AB">
            <w:pPr>
              <w:spacing w:after="60"/>
              <w:jc w:val="both"/>
              <w:rPr>
                <w:rFonts w:eastAsia="Calibri" w:cs="Times New Roman"/>
                <w:b/>
                <w:bCs/>
                <w:noProof/>
                <w:sz w:val="22"/>
                <w:lang w:val="en-GB"/>
              </w:rPr>
            </w:pPr>
            <w:r w:rsidRPr="00FD703D">
              <w:rPr>
                <w:rFonts w:eastAsia="Calibri" w:cs="Times New Roman"/>
                <w:b/>
                <w:bCs/>
                <w:noProof/>
                <w:sz w:val="22"/>
                <w:lang w:val="en-GB"/>
              </w:rPr>
              <w:t>33</w:t>
            </w:r>
            <w:r>
              <w:rPr>
                <w:rFonts w:eastAsia="Calibri" w:cs="Times New Roman"/>
                <w:b/>
                <w:bCs/>
                <w:noProof/>
                <w:sz w:val="22"/>
                <w:lang w:val="en-GB"/>
              </w:rPr>
              <w:t>3</w:t>
            </w:r>
          </w:p>
        </w:tc>
        <w:tc>
          <w:tcPr>
            <w:tcW w:w="5917" w:type="dxa"/>
            <w:tcBorders>
              <w:bottom w:val="single" w:sz="4" w:space="0" w:color="auto"/>
            </w:tcBorders>
            <w:vAlign w:val="center"/>
          </w:tcPr>
          <w:p w14:paraId="65A08FA9" w14:textId="7769A021" w:rsidR="00A173AB" w:rsidRPr="00FD703D" w:rsidRDefault="00A173AB" w:rsidP="00A173AB">
            <w:pPr>
              <w:spacing w:after="60"/>
              <w:jc w:val="both"/>
              <w:rPr>
                <w:rFonts w:eastAsia="Calibri" w:cs="Times New Roman"/>
                <w:b/>
                <w:bCs/>
                <w:noProof/>
                <w:sz w:val="22"/>
                <w:lang w:val="en-GB"/>
              </w:rPr>
            </w:pPr>
            <w:r w:rsidRPr="00FD703D">
              <w:rPr>
                <w:rFonts w:eastAsia="Calibri" w:cs="Times New Roman"/>
                <w:b/>
                <w:bCs/>
                <w:noProof/>
                <w:sz w:val="22"/>
                <w:lang w:val="en-GB"/>
              </w:rPr>
              <w:t xml:space="preserve">Differentiated health standards: </w:t>
            </w:r>
            <w:r w:rsidRPr="00FD703D">
              <w:rPr>
                <w:rFonts w:eastAsia="Calibri" w:cs="Times New Roman"/>
                <w:noProof/>
                <w:sz w:val="22"/>
                <w:lang w:val="en-GB"/>
              </w:rPr>
              <w:t>request for differentiated health standards depending on the destination of the animal product: export, national and/or short circuit; simplified health standards for mixed crop and livestock farms and allowing open-air breeding.</w:t>
            </w:r>
          </w:p>
        </w:tc>
        <w:tc>
          <w:tcPr>
            <w:tcW w:w="1530" w:type="dxa"/>
            <w:tcBorders>
              <w:bottom w:val="single" w:sz="4" w:space="0" w:color="auto"/>
            </w:tcBorders>
            <w:vAlign w:val="center"/>
          </w:tcPr>
          <w:p w14:paraId="5BB4465F" w14:textId="2A359AD1" w:rsidR="00A173AB" w:rsidRPr="00FD703D" w:rsidRDefault="00A173AB" w:rsidP="00A173AB">
            <w:pPr>
              <w:spacing w:after="60"/>
              <w:jc w:val="center"/>
              <w:rPr>
                <w:rFonts w:eastAsia="MS Gothic" w:cs="Times New Roman"/>
                <w:b/>
                <w:noProof/>
                <w:sz w:val="22"/>
                <w:lang w:val="en-GB"/>
              </w:rPr>
            </w:pPr>
            <w:r w:rsidRPr="00FD703D">
              <w:rPr>
                <w:rFonts w:eastAsia="MS Gothic" w:cs="Times New Roman"/>
                <w:b/>
                <w:noProof/>
                <w:color w:val="0033CC"/>
                <w:sz w:val="22"/>
                <w:lang w:val="en-GB"/>
              </w:rPr>
              <w:t>ECVC</w:t>
            </w:r>
          </w:p>
        </w:tc>
        <w:tc>
          <w:tcPr>
            <w:tcW w:w="6359" w:type="dxa"/>
            <w:tcBorders>
              <w:bottom w:val="single" w:sz="4" w:space="0" w:color="auto"/>
            </w:tcBorders>
            <w:vAlign w:val="center"/>
          </w:tcPr>
          <w:p w14:paraId="2DFC8DA5" w14:textId="47FB5F59" w:rsidR="00A173AB" w:rsidRPr="00FD703D" w:rsidRDefault="00A173AB" w:rsidP="00A173AB">
            <w:pPr>
              <w:spacing w:after="60"/>
              <w:jc w:val="both"/>
              <w:rPr>
                <w:rFonts w:eastAsia="Calibri" w:cs="Times New Roman"/>
                <w:noProof/>
                <w:sz w:val="22"/>
                <w:szCs w:val="20"/>
                <w:lang w:val="en-IE"/>
              </w:rPr>
            </w:pPr>
            <w:r w:rsidRPr="00FD703D">
              <w:rPr>
                <w:rFonts w:cs="Times New Roman"/>
                <w:noProof/>
                <w:sz w:val="22"/>
                <w:szCs w:val="20"/>
                <w:lang w:val="en-IE"/>
              </w:rPr>
              <w:t>Health standards and risk mitigation measures, including biosecurity, are based on science (risk assessment) and aligned with SPS international standards regardless of the size or commercial vocation of farm.</w:t>
            </w:r>
          </w:p>
        </w:tc>
      </w:tr>
      <w:tr w:rsidR="00A173AB" w:rsidRPr="00FD703D" w14:paraId="7F80AE3D" w14:textId="77777777" w:rsidTr="00C5432E">
        <w:trPr>
          <w:trHeight w:val="300"/>
        </w:trPr>
        <w:tc>
          <w:tcPr>
            <w:tcW w:w="14454" w:type="dxa"/>
            <w:gridSpan w:val="4"/>
            <w:tcBorders>
              <w:bottom w:val="nil"/>
            </w:tcBorders>
            <w:shd w:val="clear" w:color="auto" w:fill="000099"/>
            <w:vAlign w:val="center"/>
          </w:tcPr>
          <w:p w14:paraId="400AF5B3" w14:textId="1CF7922B" w:rsidR="00A173AB" w:rsidRPr="00FD703D" w:rsidRDefault="00A173AB" w:rsidP="00A173AB">
            <w:pPr>
              <w:spacing w:before="120" w:after="120"/>
              <w:jc w:val="center"/>
              <w:rPr>
                <w:rFonts w:eastAsia="Calibri" w:cs="Times New Roman"/>
                <w:noProof/>
                <w:color w:val="498205"/>
                <w:sz w:val="22"/>
                <w:lang w:val="en-GB"/>
              </w:rPr>
            </w:pPr>
            <w:r w:rsidRPr="00FD703D">
              <w:rPr>
                <w:rFonts w:eastAsia="Calibri" w:cs="Times New Roman"/>
                <w:b/>
                <w:bCs/>
                <w:noProof/>
                <w:color w:val="FFFFFF"/>
                <w:sz w:val="22"/>
                <w:lang w:val="en-GB"/>
              </w:rPr>
              <w:t>Biotechnology and novel food</w:t>
            </w:r>
          </w:p>
        </w:tc>
      </w:tr>
      <w:tr w:rsidR="00A173AB" w:rsidRPr="00FD703D" w14:paraId="4B231B2A" w14:textId="77777777" w:rsidTr="00F32E90">
        <w:trPr>
          <w:trHeight w:val="300"/>
        </w:trPr>
        <w:tc>
          <w:tcPr>
            <w:tcW w:w="648" w:type="dxa"/>
            <w:tcBorders>
              <w:bottom w:val="single" w:sz="4" w:space="0" w:color="auto"/>
            </w:tcBorders>
            <w:vAlign w:val="center"/>
          </w:tcPr>
          <w:p w14:paraId="57FFDD19" w14:textId="7F27F3DC" w:rsidR="00A173AB" w:rsidRPr="00FD703D" w:rsidRDefault="00A173AB" w:rsidP="00A173AB">
            <w:pPr>
              <w:spacing w:after="60"/>
              <w:jc w:val="both"/>
              <w:rPr>
                <w:rFonts w:eastAsia="Calibri" w:cs="Times New Roman"/>
                <w:b/>
                <w:bCs/>
                <w:noProof/>
                <w:sz w:val="22"/>
                <w:lang w:val="en-GB"/>
              </w:rPr>
            </w:pPr>
            <w:r w:rsidRPr="00FD703D">
              <w:rPr>
                <w:rFonts w:eastAsia="Calibri" w:cs="Times New Roman"/>
                <w:b/>
                <w:bCs/>
                <w:noProof/>
                <w:sz w:val="22"/>
                <w:lang w:val="en-GB"/>
              </w:rPr>
              <w:t>33</w:t>
            </w:r>
            <w:r>
              <w:rPr>
                <w:rFonts w:eastAsia="Calibri" w:cs="Times New Roman"/>
                <w:b/>
                <w:bCs/>
                <w:noProof/>
                <w:sz w:val="22"/>
                <w:lang w:val="en-GB"/>
              </w:rPr>
              <w:t>4</w:t>
            </w:r>
          </w:p>
        </w:tc>
        <w:tc>
          <w:tcPr>
            <w:tcW w:w="5917" w:type="dxa"/>
            <w:tcBorders>
              <w:bottom w:val="single" w:sz="4" w:space="0" w:color="auto"/>
            </w:tcBorders>
            <w:vAlign w:val="center"/>
          </w:tcPr>
          <w:p w14:paraId="45FC769F" w14:textId="3B87052A"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Revision of the novel food legislation</w:t>
            </w:r>
            <w:r w:rsidRPr="00FD703D">
              <w:rPr>
                <w:rFonts w:eastAsia="Calibri" w:cs="Times New Roman"/>
                <w:noProof/>
                <w:sz w:val="22"/>
                <w:szCs w:val="20"/>
                <w:lang w:val="en-GB"/>
              </w:rPr>
              <w:t xml:space="preserve">: the legislation has become too restrictive, while the approval process is too expensive and time-consuming, hampering innovation. </w:t>
            </w:r>
          </w:p>
          <w:p w14:paraId="483C52F9" w14:textId="75E9F9F1" w:rsidR="00A173AB" w:rsidRPr="00FD703D" w:rsidRDefault="00A173AB" w:rsidP="00A173AB">
            <w:pPr>
              <w:numPr>
                <w:ilvl w:val="0"/>
                <w:numId w:val="26"/>
              </w:numPr>
              <w:spacing w:after="60" w:line="259" w:lineRule="auto"/>
              <w:ind w:left="180" w:hanging="180"/>
              <w:jc w:val="both"/>
              <w:rPr>
                <w:rFonts w:eastAsia="Calibri" w:cs="Times New Roman"/>
                <w:noProof/>
                <w:sz w:val="22"/>
                <w:lang w:val="en-GB"/>
              </w:rPr>
            </w:pPr>
            <w:r w:rsidRPr="00FD703D">
              <w:rPr>
                <w:rFonts w:eastAsia="Calibri" w:cs="Times New Roman"/>
                <w:noProof/>
                <w:sz w:val="22"/>
                <w:lang w:val="en-GB"/>
              </w:rPr>
              <w:t>Reintroduce the ‘substantial equivalence’ procedure to ease the burden on companies developing new food or food ingredients similar to already known ingredients, which do not pose safety risks for consumers.</w:t>
            </w:r>
          </w:p>
          <w:p w14:paraId="4D47F0ED" w14:textId="77777777" w:rsidR="00A173AB" w:rsidRPr="00FD703D" w:rsidRDefault="00A173AB" w:rsidP="00A173AB">
            <w:pPr>
              <w:numPr>
                <w:ilvl w:val="0"/>
                <w:numId w:val="26"/>
              </w:numPr>
              <w:spacing w:after="60" w:line="259" w:lineRule="auto"/>
              <w:ind w:left="180" w:hanging="180"/>
              <w:jc w:val="both"/>
              <w:rPr>
                <w:rFonts w:eastAsia="Calibri" w:cs="Times New Roman"/>
                <w:noProof/>
                <w:sz w:val="22"/>
                <w:lang w:val="en-GB"/>
              </w:rPr>
            </w:pPr>
            <w:r w:rsidRPr="00FD703D">
              <w:rPr>
                <w:rFonts w:eastAsia="Calibri" w:cs="Times New Roman"/>
                <w:noProof/>
                <w:sz w:val="22"/>
                <w:lang w:val="en-GB"/>
              </w:rPr>
              <w:t xml:space="preserve">Move the cut-off date to prove that a food or food ingredient has been consumed to a significant degree 10 years forward. </w:t>
            </w:r>
          </w:p>
          <w:p w14:paraId="0DD1FBC6" w14:textId="4A4AE692" w:rsidR="00A173AB" w:rsidRPr="00FD703D" w:rsidRDefault="00A173AB" w:rsidP="00A173AB">
            <w:pPr>
              <w:spacing w:after="60"/>
              <w:jc w:val="both"/>
              <w:rPr>
                <w:rFonts w:eastAsia="Calibri" w:cs="Times New Roman"/>
                <w:b/>
                <w:bCs/>
                <w:noProof/>
                <w:sz w:val="22"/>
                <w:lang w:val="en-GB"/>
              </w:rPr>
            </w:pPr>
            <w:r w:rsidRPr="00FD703D">
              <w:rPr>
                <w:rFonts w:eastAsia="Calibri" w:cs="Times New Roman"/>
                <w:noProof/>
                <w:sz w:val="22"/>
                <w:lang w:val="en-GB"/>
              </w:rPr>
              <w:t xml:space="preserve">A triviality limit for safe plants used in small quantities. For example, the use of edible flowers in restaurants to decorate a </w:t>
            </w:r>
            <w:r w:rsidRPr="00FD703D">
              <w:rPr>
                <w:rFonts w:eastAsia="Calibri" w:cs="Times New Roman"/>
                <w:noProof/>
                <w:sz w:val="22"/>
                <w:lang w:val="en-GB"/>
              </w:rPr>
              <w:lastRenderedPageBreak/>
              <w:t xml:space="preserve">dish. Denmark has a list of plants that include various wild Danish plants that are assessed to be safe. Despite this, some of these plants are prohibited from use as there is no historic documentation of consumption prior to 15 May 1997. </w:t>
            </w:r>
          </w:p>
        </w:tc>
        <w:tc>
          <w:tcPr>
            <w:tcW w:w="1530" w:type="dxa"/>
            <w:tcBorders>
              <w:bottom w:val="single" w:sz="4" w:space="0" w:color="auto"/>
            </w:tcBorders>
            <w:vAlign w:val="center"/>
          </w:tcPr>
          <w:p w14:paraId="4BB49FCA" w14:textId="4DBF913B" w:rsidR="00A173AB" w:rsidRPr="00FD703D" w:rsidRDefault="00A173AB" w:rsidP="00A173AB">
            <w:pPr>
              <w:spacing w:after="60"/>
              <w:jc w:val="center"/>
              <w:rPr>
                <w:rFonts w:eastAsia="MS Gothic" w:cs="Times New Roman"/>
                <w:b/>
                <w:noProof/>
                <w:color w:val="0033CC"/>
                <w:sz w:val="22"/>
                <w:lang w:val="en-GB"/>
              </w:rPr>
            </w:pPr>
            <w:r w:rsidRPr="00FD703D">
              <w:rPr>
                <w:rFonts w:eastAsia="MS Gothic" w:cs="Times New Roman"/>
                <w:b/>
                <w:noProof/>
                <w:color w:val="0033CC"/>
                <w:sz w:val="22"/>
                <w:lang w:val="en-GB"/>
              </w:rPr>
              <w:lastRenderedPageBreak/>
              <w:t>DK</w:t>
            </w:r>
          </w:p>
        </w:tc>
        <w:tc>
          <w:tcPr>
            <w:tcW w:w="6359" w:type="dxa"/>
            <w:tcBorders>
              <w:bottom w:val="single" w:sz="4" w:space="0" w:color="auto"/>
            </w:tcBorders>
          </w:tcPr>
          <w:p w14:paraId="4933682A" w14:textId="4B76F3FD"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There is currently no intention to reopen the Novel Food Regulation, which has only been applicable since 2018 and has proven to be successful in authorising innovative products when compared to the previous legislation on the matter. </w:t>
            </w:r>
          </w:p>
          <w:p w14:paraId="542FFB08" w14:textId="0979B6FF" w:rsidR="00A173AB" w:rsidRPr="00FD703D" w:rsidRDefault="00A173AB" w:rsidP="00A173AB">
            <w:pPr>
              <w:spacing w:after="60" w:line="259" w:lineRule="auto"/>
              <w:jc w:val="both"/>
              <w:rPr>
                <w:rFonts w:eastAsia="Calibri" w:cs="Times New Roman"/>
                <w:noProof/>
                <w:sz w:val="22"/>
                <w:lang w:val="en-GB"/>
              </w:rPr>
            </w:pPr>
            <w:r w:rsidRPr="00FD703D">
              <w:rPr>
                <w:rFonts w:eastAsia="Calibri" w:cs="Times New Roman"/>
                <w:noProof/>
                <w:sz w:val="22"/>
                <w:lang w:val="en-GB"/>
              </w:rPr>
              <w:t xml:space="preserve">The ‘substantial equivalence’ concept was used under the previous Novel Food Regulation to speed up the authorisation process at a time when novel food authorisations were applicant-specific. In the current Novel Food Regulation authorisations are generic (i.e. not related to specific companies), which in most cases allow for any food business operator to place their novel food on the market, provided the food is </w:t>
            </w:r>
            <w:r w:rsidRPr="00FD703D">
              <w:rPr>
                <w:rFonts w:eastAsia="Calibri" w:cs="Times New Roman"/>
                <w:noProof/>
                <w:sz w:val="22"/>
                <w:lang w:val="en-GB"/>
              </w:rPr>
              <w:lastRenderedPageBreak/>
              <w:t>compliant with the authorised specifications and conditions of use, in other words essentially equivalent to an already authorised novel food.</w:t>
            </w:r>
          </w:p>
          <w:p w14:paraId="4FBE51B3" w14:textId="2AC980EB"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The safety assessment of novel foods is conducted by EFSA. EFSA is about to adopt a guidance document on the safety assessment of novel foods: Member State authorities have had the possibility to express their views on what should be changed and how.</w:t>
            </w:r>
          </w:p>
          <w:p w14:paraId="6B62DF72" w14:textId="3E5B4D13" w:rsidR="00A173AB" w:rsidRPr="00FD703D" w:rsidRDefault="00A173AB" w:rsidP="00A173AB">
            <w:pPr>
              <w:spacing w:after="60"/>
              <w:jc w:val="both"/>
              <w:rPr>
                <w:rFonts w:eastAsia="Calibri" w:cs="Times New Roman"/>
                <w:noProof/>
                <w:color w:val="498205"/>
                <w:sz w:val="22"/>
                <w:szCs w:val="20"/>
                <w:lang w:val="en-GB"/>
              </w:rPr>
            </w:pPr>
            <w:r w:rsidRPr="00FD703D">
              <w:rPr>
                <w:rFonts w:eastAsia="Calibri" w:cs="Times New Roman"/>
                <w:noProof/>
                <w:sz w:val="22"/>
                <w:szCs w:val="20"/>
                <w:lang w:val="en-GB"/>
              </w:rPr>
              <w:t>By keeping the date of 15 May 1997, the Parliament and the Council aimed to provide legal certainty, predictability and equal treatment in all situations and for all food business operators submitting novel food applications, thus providing for regulatory consistency.</w:t>
            </w:r>
          </w:p>
        </w:tc>
      </w:tr>
      <w:tr w:rsidR="00A173AB" w:rsidRPr="00FD703D" w14:paraId="16225113" w14:textId="77777777" w:rsidTr="00F32E90">
        <w:trPr>
          <w:trHeight w:val="300"/>
        </w:trPr>
        <w:tc>
          <w:tcPr>
            <w:tcW w:w="648" w:type="dxa"/>
            <w:tcBorders>
              <w:bottom w:val="single" w:sz="4" w:space="0" w:color="auto"/>
            </w:tcBorders>
            <w:vAlign w:val="center"/>
          </w:tcPr>
          <w:p w14:paraId="1F469638" w14:textId="54CCC750" w:rsidR="00A173AB" w:rsidRPr="00FD703D" w:rsidRDefault="00A173AB" w:rsidP="00A173AB">
            <w:pPr>
              <w:spacing w:after="60"/>
              <w:jc w:val="both"/>
              <w:rPr>
                <w:rFonts w:eastAsia="Calibri" w:cs="Times New Roman"/>
                <w:b/>
                <w:bCs/>
                <w:noProof/>
                <w:sz w:val="22"/>
                <w:lang w:val="en-GB"/>
              </w:rPr>
            </w:pPr>
            <w:r w:rsidRPr="00FD703D">
              <w:rPr>
                <w:rFonts w:eastAsia="Calibri" w:cs="Times New Roman"/>
                <w:b/>
                <w:bCs/>
                <w:noProof/>
                <w:sz w:val="22"/>
                <w:szCs w:val="20"/>
                <w:lang w:val="en-GB"/>
              </w:rPr>
              <w:lastRenderedPageBreak/>
              <w:t>33</w:t>
            </w:r>
            <w:r>
              <w:rPr>
                <w:rFonts w:eastAsia="Calibri" w:cs="Times New Roman"/>
                <w:b/>
                <w:bCs/>
                <w:noProof/>
                <w:sz w:val="22"/>
                <w:szCs w:val="20"/>
                <w:lang w:val="en-GB"/>
              </w:rPr>
              <w:t>5</w:t>
            </w:r>
          </w:p>
        </w:tc>
        <w:tc>
          <w:tcPr>
            <w:tcW w:w="5917" w:type="dxa"/>
            <w:tcBorders>
              <w:bottom w:val="single" w:sz="4" w:space="0" w:color="auto"/>
            </w:tcBorders>
            <w:vAlign w:val="center"/>
          </w:tcPr>
          <w:p w14:paraId="4FCC084D" w14:textId="676AB061"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b/>
                <w:bCs/>
                <w:noProof/>
                <w:sz w:val="22"/>
                <w:szCs w:val="20"/>
                <w:lang w:val="en-GB"/>
              </w:rPr>
              <w:t xml:space="preserve">Adaptation of legislation: </w:t>
            </w:r>
            <w:r w:rsidRPr="00FD703D">
              <w:rPr>
                <w:rFonts w:eastAsia="Calibri" w:cs="Times New Roman"/>
                <w:noProof/>
                <w:sz w:val="22"/>
                <w:szCs w:val="20"/>
                <w:lang w:val="en-GB"/>
              </w:rPr>
              <w:t>there is an urgent need to adapt the legislation on microorganisms developed with the help of new genomic techniques (NGT)</w:t>
            </w:r>
            <w:r w:rsidRPr="00FD703D">
              <w:rPr>
                <w:rFonts w:eastAsia="Calibri" w:cs="Times New Roman"/>
                <w:b/>
                <w:noProof/>
                <w:sz w:val="22"/>
                <w:szCs w:val="20"/>
                <w:lang w:val="en-GB"/>
              </w:rPr>
              <w:t xml:space="preserve"> </w:t>
            </w:r>
            <w:r w:rsidRPr="00FD703D">
              <w:rPr>
                <w:rFonts w:eastAsia="Calibri" w:cs="Times New Roman"/>
                <w:noProof/>
                <w:sz w:val="22"/>
                <w:szCs w:val="20"/>
                <w:lang w:val="en-GB"/>
              </w:rPr>
              <w:t xml:space="preserve">to ensure competitiveness and contribute to innovation and sustainability, including the objectives of the European Green Deal and its Farm to Fork strategy.    </w:t>
            </w:r>
          </w:p>
          <w:p w14:paraId="71FDAAA6" w14:textId="21A32A9A" w:rsidR="00A173AB" w:rsidRPr="00FD703D" w:rsidRDefault="00A173AB" w:rsidP="00A173AB">
            <w:pPr>
              <w:spacing w:after="60" w:line="259" w:lineRule="auto"/>
              <w:jc w:val="both"/>
              <w:rPr>
                <w:rFonts w:eastAsia="Calibri" w:cs="Times New Roman"/>
                <w:b/>
                <w:bCs/>
                <w:noProof/>
                <w:sz w:val="22"/>
                <w:lang w:val="en-GB"/>
              </w:rPr>
            </w:pPr>
            <w:r w:rsidRPr="00FD703D">
              <w:rPr>
                <w:rFonts w:eastAsia="Calibri" w:cs="Times New Roman"/>
                <w:noProof/>
                <w:sz w:val="22"/>
                <w:szCs w:val="20"/>
                <w:lang w:val="en-GB"/>
              </w:rPr>
              <w:t xml:space="preserve">Live NGT microorganisms used e.g. as starter cultures for fermented foods, food supplements, probiotics for human health, feed additives, and silage agents fall under the risk assessment and labelling requirements of Regulation (EC) 1829/2003 on genetically modified food and feed. Their use as biopesticides and biofertilisers (inoculants) is regulated by Directive 2001/18/EC on the deliberate release of GMOs into the environment. These legal acts need to be adapted to allow the development and marketing of NGT microorganisms in the EU, while maintaining a high level of safety for human and animal health and for the environment. </w:t>
            </w:r>
          </w:p>
        </w:tc>
        <w:tc>
          <w:tcPr>
            <w:tcW w:w="1530" w:type="dxa"/>
            <w:tcBorders>
              <w:bottom w:val="single" w:sz="4" w:space="0" w:color="auto"/>
            </w:tcBorders>
            <w:vAlign w:val="center"/>
          </w:tcPr>
          <w:p w14:paraId="2B888703" w14:textId="54892893" w:rsidR="00A173AB" w:rsidRPr="00FD703D" w:rsidRDefault="00A173AB" w:rsidP="00A173AB">
            <w:pPr>
              <w:spacing w:after="60" w:line="259" w:lineRule="auto"/>
              <w:jc w:val="center"/>
              <w:rPr>
                <w:rFonts w:eastAsia="MS Gothic" w:cs="Times New Roman"/>
                <w:b/>
                <w:noProof/>
                <w:color w:val="0033CC"/>
                <w:sz w:val="22"/>
                <w:lang w:val="en-GB"/>
              </w:rPr>
            </w:pPr>
            <w:r w:rsidRPr="00FD703D">
              <w:rPr>
                <w:rFonts w:eastAsia="MS Gothic" w:cs="Times New Roman"/>
                <w:b/>
                <w:noProof/>
                <w:color w:val="0033CC"/>
                <w:sz w:val="22"/>
                <w:szCs w:val="20"/>
                <w:lang w:val="en-GB"/>
              </w:rPr>
              <w:t>DK</w:t>
            </w:r>
          </w:p>
        </w:tc>
        <w:tc>
          <w:tcPr>
            <w:tcW w:w="6359" w:type="dxa"/>
            <w:tcBorders>
              <w:bottom w:val="single" w:sz="4" w:space="0" w:color="auto"/>
            </w:tcBorders>
            <w:vAlign w:val="center"/>
          </w:tcPr>
          <w:p w14:paraId="479883F6" w14:textId="7CFD97CE"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Any potential new policy initiative addressing NGT microorganisms first of all needs a solid scientific basis.</w:t>
            </w:r>
          </w:p>
          <w:p w14:paraId="158DBBF0" w14:textId="46ADE6D5" w:rsidR="00A173AB" w:rsidRPr="00FD703D" w:rsidRDefault="00A173AB" w:rsidP="00A173AB">
            <w:pPr>
              <w:spacing w:after="60" w:line="259" w:lineRule="auto"/>
              <w:jc w:val="both"/>
              <w:rPr>
                <w:rFonts w:eastAsia="Calibri" w:cs="Times New Roman"/>
                <w:noProof/>
                <w:sz w:val="22"/>
                <w:szCs w:val="20"/>
                <w:lang w:val="en-GB"/>
              </w:rPr>
            </w:pPr>
            <w:r w:rsidRPr="00FD703D">
              <w:rPr>
                <w:rFonts w:eastAsia="Calibri" w:cs="Times New Roman"/>
                <w:noProof/>
                <w:sz w:val="22"/>
                <w:szCs w:val="20"/>
                <w:lang w:val="en-GB"/>
              </w:rPr>
              <w:t xml:space="preserve">The Commission has started to lay this foundation, by mandating specific work to EFSA and the European Union Reference Laboratory together with the European Network of GMO Laboratories. </w:t>
            </w:r>
          </w:p>
          <w:p w14:paraId="2FB0365D" w14:textId="44AD31EE" w:rsidR="00A173AB" w:rsidRPr="00FD703D" w:rsidRDefault="00A173AB" w:rsidP="00A173AB">
            <w:pPr>
              <w:spacing w:after="60" w:line="259" w:lineRule="auto"/>
              <w:jc w:val="both"/>
              <w:rPr>
                <w:rFonts w:eastAsia="Calibri" w:cs="Times New Roman"/>
                <w:noProof/>
                <w:color w:val="498205"/>
                <w:sz w:val="22"/>
                <w:szCs w:val="20"/>
                <w:lang w:val="en-GB"/>
              </w:rPr>
            </w:pPr>
            <w:r w:rsidRPr="00FD703D">
              <w:rPr>
                <w:rFonts w:eastAsia="Calibri" w:cs="Times New Roman"/>
                <w:noProof/>
                <w:sz w:val="22"/>
                <w:szCs w:val="20"/>
                <w:lang w:val="en-GB"/>
              </w:rPr>
              <w:t xml:space="preserve">In addition, in the context of the Commission’s Communication on </w:t>
            </w:r>
            <w:r w:rsidRPr="00FD703D">
              <w:rPr>
                <w:rFonts w:eastAsia="Calibri" w:cs="Times New Roman"/>
                <w:i/>
                <w:iCs/>
                <w:noProof/>
                <w:sz w:val="22"/>
                <w:szCs w:val="20"/>
                <w:lang w:val="en-GB"/>
              </w:rPr>
              <w:t>’Building the future with nature: boosting biotechnology and biomanufacturing in the EU’</w:t>
            </w:r>
            <w:r w:rsidRPr="00FD703D">
              <w:rPr>
                <w:rFonts w:eastAsia="Calibri" w:cs="Times New Roman"/>
                <w:noProof/>
                <w:sz w:val="22"/>
                <w:szCs w:val="20"/>
                <w:lang w:val="en-GB"/>
              </w:rPr>
              <w:t xml:space="preserve"> (COM(2024) 137 final), the Commission will launch a study analysing how the legislation that applies to biotechnology and biomanufacturing could be further streamlined across EU policies, exploring targeted simplifications to the regulatory framework, including for faster approval and bringing products to market more quickly. The study will be finalised by mid-2025 and could lay the foundations for a possible EU Biotech Act.</w:t>
            </w:r>
          </w:p>
        </w:tc>
      </w:tr>
    </w:tbl>
    <w:p w14:paraId="680ED836" w14:textId="7A04C0C1" w:rsidR="00BC5244" w:rsidRPr="00724676" w:rsidRDefault="00BC5244" w:rsidP="00361AC3">
      <w:pPr>
        <w:rPr>
          <w:rFonts w:ascii="Calibri" w:eastAsia="Calibri" w:hAnsi="Calibri" w:cs="Calibri"/>
          <w:noProof/>
          <w:kern w:val="0"/>
          <w:lang w:val="en-GB"/>
          <w14:ligatures w14:val="none"/>
        </w:rPr>
        <w:sectPr w:rsidR="00BC5244" w:rsidRPr="00724676" w:rsidSect="003F0437">
          <w:headerReference w:type="even" r:id="rId58"/>
          <w:headerReference w:type="default" r:id="rId59"/>
          <w:footerReference w:type="even" r:id="rId60"/>
          <w:footerReference w:type="default" r:id="rId61"/>
          <w:headerReference w:type="first" r:id="rId62"/>
          <w:footerReference w:type="first" r:id="rId63"/>
          <w:pgSz w:w="16838" w:h="11906" w:orient="landscape"/>
          <w:pgMar w:top="1440" w:right="1440" w:bottom="1440" w:left="1440" w:header="720" w:footer="720" w:gutter="0"/>
          <w:cols w:space="720"/>
          <w:titlePg/>
          <w:docGrid w:linePitch="360"/>
        </w:sectPr>
      </w:pPr>
    </w:p>
    <w:p w14:paraId="1794C2B5" w14:textId="66D81291" w:rsidR="00A61BC0" w:rsidRPr="00724676" w:rsidRDefault="00A61BC0" w:rsidP="001061AF">
      <w:pPr>
        <w:pStyle w:val="Heading3"/>
        <w:jc w:val="both"/>
        <w:rPr>
          <w:rStyle w:val="Heading1Char"/>
          <w:b/>
          <w:noProof/>
        </w:rPr>
      </w:pPr>
      <w:bookmarkStart w:id="152" w:name="_Toc171106342"/>
      <w:bookmarkStart w:id="153" w:name="_Toc172125143"/>
      <w:r w:rsidRPr="00724676">
        <w:rPr>
          <w:rStyle w:val="Heading1Char"/>
          <w:b/>
          <w:noProof/>
        </w:rPr>
        <w:lastRenderedPageBreak/>
        <w:t>Annex 3</w:t>
      </w:r>
      <w:r w:rsidR="00E340D3">
        <w:rPr>
          <w:rStyle w:val="Heading1Char"/>
          <w:b/>
          <w:noProof/>
        </w:rPr>
        <w:t>.</w:t>
      </w:r>
      <w:r w:rsidRPr="00724676">
        <w:rPr>
          <w:rStyle w:val="Heading1Char"/>
          <w:b/>
          <w:noProof/>
        </w:rPr>
        <w:t xml:space="preserve"> Impact analysis</w:t>
      </w:r>
      <w:r w:rsidR="00E340D3">
        <w:rPr>
          <w:rStyle w:val="Heading1Char"/>
          <w:b/>
          <w:noProof/>
        </w:rPr>
        <w:t>:</w:t>
      </w:r>
      <w:r w:rsidRPr="00724676">
        <w:rPr>
          <w:rStyle w:val="Heading1Char"/>
          <w:b/>
          <w:noProof/>
        </w:rPr>
        <w:t xml:space="preserve"> </w:t>
      </w:r>
      <w:r w:rsidR="00E340D3">
        <w:rPr>
          <w:rStyle w:val="Heading1Char"/>
          <w:b/>
          <w:noProof/>
        </w:rPr>
        <w:t>w</w:t>
      </w:r>
      <w:r w:rsidRPr="00724676">
        <w:rPr>
          <w:rStyle w:val="Heading1Char"/>
          <w:b/>
          <w:noProof/>
        </w:rPr>
        <w:t>ho is affected and how?</w:t>
      </w:r>
      <w:bookmarkStart w:id="154" w:name="_Toc108096508"/>
      <w:bookmarkStart w:id="155" w:name="_Toc126060209"/>
      <w:bookmarkEnd w:id="152"/>
      <w:bookmarkEnd w:id="153"/>
    </w:p>
    <w:bookmarkEnd w:id="154"/>
    <w:bookmarkEnd w:id="155"/>
    <w:p w14:paraId="40FE6309" w14:textId="5354DD9E" w:rsidR="00A61BC0" w:rsidRPr="00724676" w:rsidRDefault="76635B16" w:rsidP="7E954136">
      <w:pPr>
        <w:jc w:val="both"/>
        <w:rPr>
          <w:rFonts w:cs="Times New Roman"/>
          <w:noProof/>
          <w:color w:val="000000" w:themeColor="text1"/>
          <w:lang w:val="en-GB"/>
        </w:rPr>
      </w:pPr>
      <w:r w:rsidRPr="7E954136">
        <w:rPr>
          <w:rFonts w:cs="Times New Roman"/>
          <w:noProof/>
          <w:lang w:val="en-GB"/>
        </w:rPr>
        <w:t xml:space="preserve">This </w:t>
      </w:r>
      <w:r w:rsidR="7015181B" w:rsidRPr="7E954136">
        <w:rPr>
          <w:rFonts w:cs="Times New Roman"/>
          <w:noProof/>
          <w:lang w:val="en-GB"/>
        </w:rPr>
        <w:t xml:space="preserve">staff working document mostly makes use of a qualitative assessment of </w:t>
      </w:r>
      <w:r w:rsidR="7015181B" w:rsidRPr="7E954136">
        <w:rPr>
          <w:rFonts w:cs="Times New Roman"/>
          <w:noProof/>
          <w:color w:val="000000"/>
          <w:shd w:val="clear" w:color="auto" w:fill="FFFFFF"/>
          <w:lang w:val="en-GB"/>
        </w:rPr>
        <w:t xml:space="preserve">measures taken </w:t>
      </w:r>
      <w:r w:rsidR="7015181B" w:rsidRPr="7E954136">
        <w:rPr>
          <w:rFonts w:cs="Times New Roman"/>
          <w:noProof/>
          <w:color w:val="000000" w:themeColor="text1"/>
          <w:lang w:val="en-GB"/>
        </w:rPr>
        <w:t xml:space="preserve">to address the issues brought to light during </w:t>
      </w:r>
      <w:r w:rsidR="7015181B" w:rsidRPr="7E954136">
        <w:rPr>
          <w:rFonts w:cs="Times New Roman"/>
          <w:noProof/>
          <w:color w:val="000000"/>
          <w:shd w:val="clear" w:color="auto" w:fill="FFFFFF"/>
          <w:lang w:val="en-GB"/>
        </w:rPr>
        <w:t xml:space="preserve">farmers’ protests. </w:t>
      </w:r>
      <w:r w:rsidR="7015181B" w:rsidRPr="7E954136">
        <w:rPr>
          <w:rFonts w:cs="Times New Roman"/>
          <w:noProof/>
          <w:color w:val="000000" w:themeColor="text1"/>
          <w:lang w:val="en-GB"/>
        </w:rPr>
        <w:t xml:space="preserve">The Commission has proposed to change certain provisions of the </w:t>
      </w:r>
      <w:r w:rsidR="0726C1DA" w:rsidRPr="7E954136">
        <w:rPr>
          <w:rFonts w:cs="Times New Roman"/>
          <w:noProof/>
          <w:color w:val="000000" w:themeColor="text1"/>
          <w:lang w:val="en-GB"/>
        </w:rPr>
        <w:t>CAP</w:t>
      </w:r>
      <w:r w:rsidR="7015181B" w:rsidRPr="7E954136">
        <w:rPr>
          <w:rFonts w:cs="Times New Roman"/>
          <w:noProof/>
          <w:color w:val="000000" w:themeColor="text1"/>
          <w:lang w:val="en-GB"/>
        </w:rPr>
        <w:t xml:space="preserve">. </w:t>
      </w:r>
    </w:p>
    <w:p w14:paraId="7A2A1C78" w14:textId="5C8B69FD" w:rsidR="00A61BC0" w:rsidRPr="00724676" w:rsidRDefault="7015181B" w:rsidP="7E954136">
      <w:pPr>
        <w:jc w:val="both"/>
        <w:rPr>
          <w:rFonts w:cs="Times New Roman"/>
          <w:noProof/>
          <w:color w:val="000000"/>
          <w:shd w:val="clear" w:color="auto" w:fill="FFFFFF"/>
          <w:lang w:val="en-GB"/>
        </w:rPr>
      </w:pPr>
      <w:r w:rsidRPr="7E954136">
        <w:rPr>
          <w:rFonts w:cs="Times New Roman"/>
          <w:noProof/>
          <w:color w:val="000000" w:themeColor="text1"/>
          <w:lang w:val="en-GB"/>
        </w:rPr>
        <w:t xml:space="preserve">These proposals will mainly reduce the burden related </w:t>
      </w:r>
      <w:r w:rsidRPr="00F52134">
        <w:rPr>
          <w:rFonts w:cs="Times New Roman"/>
          <w:noProof/>
          <w:color w:val="000000" w:themeColor="text1"/>
          <w:lang w:val="en-GB"/>
        </w:rPr>
        <w:t xml:space="preserve">to </w:t>
      </w:r>
      <w:r w:rsidR="00F52134" w:rsidRPr="00F52134">
        <w:rPr>
          <w:rFonts w:cs="Times New Roman"/>
          <w:noProof/>
          <w:color w:val="000000" w:themeColor="text1"/>
          <w:lang w:val="en-GB"/>
        </w:rPr>
        <w:t xml:space="preserve">checks </w:t>
      </w:r>
      <w:r w:rsidR="76635B16" w:rsidRPr="00F52134">
        <w:rPr>
          <w:rFonts w:cs="Times New Roman"/>
          <w:noProof/>
          <w:color w:val="000000" w:themeColor="text1"/>
          <w:lang w:val="en-GB"/>
        </w:rPr>
        <w:t xml:space="preserve">on </w:t>
      </w:r>
      <w:r w:rsidRPr="00F52134">
        <w:rPr>
          <w:rFonts w:cs="Times New Roman"/>
          <w:noProof/>
          <w:color w:val="000000" w:themeColor="text1"/>
          <w:lang w:val="en-GB"/>
        </w:rPr>
        <w:t xml:space="preserve">EU farmers. They will also provide them with greater flexibility </w:t>
      </w:r>
      <w:r w:rsidR="76635B16" w:rsidRPr="00F52134">
        <w:rPr>
          <w:rFonts w:cs="Times New Roman"/>
          <w:noProof/>
          <w:color w:val="000000" w:themeColor="text1"/>
          <w:lang w:val="en-GB"/>
        </w:rPr>
        <w:t xml:space="preserve">in </w:t>
      </w:r>
      <w:r w:rsidRPr="00F52134">
        <w:rPr>
          <w:rFonts w:cs="Times New Roman"/>
          <w:noProof/>
          <w:color w:val="000000" w:themeColor="text1"/>
          <w:lang w:val="en-GB"/>
        </w:rPr>
        <w:t>complying with certain environmental conditionalities, without undermining the related policy</w:t>
      </w:r>
      <w:r w:rsidRPr="7E954136">
        <w:rPr>
          <w:rFonts w:cs="Times New Roman"/>
          <w:noProof/>
          <w:color w:val="000000" w:themeColor="text1"/>
          <w:lang w:val="en-GB"/>
        </w:rPr>
        <w:t xml:space="preserve"> objectives. National administrations will also benefit from greater flexibility </w:t>
      </w:r>
      <w:r w:rsidR="76635B16" w:rsidRPr="7E954136">
        <w:rPr>
          <w:rFonts w:cs="Times New Roman"/>
          <w:noProof/>
          <w:color w:val="000000" w:themeColor="text1"/>
          <w:lang w:val="en-GB"/>
        </w:rPr>
        <w:t xml:space="preserve">in </w:t>
      </w:r>
      <w:r w:rsidRPr="7E954136">
        <w:rPr>
          <w:rFonts w:cs="Times New Roman"/>
          <w:noProof/>
          <w:color w:val="000000" w:themeColor="text1"/>
          <w:lang w:val="en-GB"/>
        </w:rPr>
        <w:t>apply</w:t>
      </w:r>
      <w:r w:rsidR="76635B16" w:rsidRPr="7E954136">
        <w:rPr>
          <w:rFonts w:cs="Times New Roman"/>
          <w:noProof/>
          <w:color w:val="000000" w:themeColor="text1"/>
          <w:lang w:val="en-GB"/>
        </w:rPr>
        <w:t>ing</w:t>
      </w:r>
      <w:r w:rsidRPr="7E954136">
        <w:rPr>
          <w:rFonts w:cs="Times New Roman"/>
          <w:noProof/>
          <w:color w:val="000000" w:themeColor="text1"/>
          <w:lang w:val="en-GB"/>
        </w:rPr>
        <w:t xml:space="preserve"> certain standards.</w:t>
      </w:r>
      <w:r w:rsidRPr="7E954136">
        <w:rPr>
          <w:rFonts w:cs="Times New Roman"/>
          <w:noProof/>
          <w:color w:val="000000"/>
          <w:shd w:val="clear" w:color="auto" w:fill="FFFFFF"/>
          <w:lang w:val="en-GB"/>
        </w:rPr>
        <w:t xml:space="preserve"> </w:t>
      </w:r>
    </w:p>
    <w:p w14:paraId="3C931D62" w14:textId="669F7B4B" w:rsidR="00A61BC0" w:rsidRPr="00724676" w:rsidRDefault="76635B16" w:rsidP="7E954136">
      <w:pPr>
        <w:jc w:val="both"/>
        <w:rPr>
          <w:rFonts w:cs="Times New Roman"/>
          <w:noProof/>
          <w:color w:val="000000" w:themeColor="text1"/>
          <w:lang w:val="en-GB"/>
        </w:rPr>
      </w:pPr>
      <w:r w:rsidRPr="4ABA4507">
        <w:rPr>
          <w:rFonts w:cs="Times New Roman"/>
          <w:noProof/>
          <w:color w:val="000000" w:themeColor="text1"/>
          <w:lang w:val="en-GB"/>
        </w:rPr>
        <w:t xml:space="preserve">It </w:t>
      </w:r>
      <w:r w:rsidR="7015181B" w:rsidRPr="4ABA4507">
        <w:rPr>
          <w:rFonts w:cs="Times New Roman"/>
          <w:noProof/>
          <w:color w:val="000000" w:themeColor="text1"/>
          <w:lang w:val="en-GB"/>
        </w:rPr>
        <w:t>is difficult to estimate</w:t>
      </w:r>
      <w:r w:rsidRPr="4ABA4507">
        <w:rPr>
          <w:rFonts w:cs="Times New Roman"/>
          <w:noProof/>
          <w:color w:val="000000" w:themeColor="text1"/>
          <w:lang w:val="en-GB"/>
        </w:rPr>
        <w:t xml:space="preserve"> the time spent on </w:t>
      </w:r>
      <w:r w:rsidR="00F52134" w:rsidRPr="4ABA4507">
        <w:rPr>
          <w:rFonts w:cs="Times New Roman"/>
          <w:noProof/>
          <w:color w:val="000000" w:themeColor="text1"/>
          <w:lang w:val="en-GB"/>
        </w:rPr>
        <w:t>checks</w:t>
      </w:r>
      <w:r w:rsidR="7015181B" w:rsidRPr="4ABA4507">
        <w:rPr>
          <w:rFonts w:cs="Times New Roman"/>
          <w:noProof/>
          <w:color w:val="000000" w:themeColor="text1"/>
          <w:lang w:val="en-GB"/>
        </w:rPr>
        <w:t>, but rough assumptions have been made to provide an indication of the effect</w:t>
      </w:r>
      <w:r w:rsidRPr="4ABA4507">
        <w:rPr>
          <w:rFonts w:cs="Times New Roman"/>
          <w:noProof/>
          <w:color w:val="000000" w:themeColor="text1"/>
          <w:lang w:val="en-GB"/>
        </w:rPr>
        <w:t xml:space="preserve"> of the </w:t>
      </w:r>
      <w:r w:rsidR="45DCD726" w:rsidRPr="4ABA4507">
        <w:rPr>
          <w:rFonts w:cs="Times New Roman"/>
          <w:noProof/>
          <w:color w:val="000000" w:themeColor="text1"/>
          <w:lang w:val="en-GB"/>
        </w:rPr>
        <w:t xml:space="preserve">elements of the </w:t>
      </w:r>
      <w:r w:rsidRPr="4ABA4507">
        <w:rPr>
          <w:rFonts w:cs="Times New Roman"/>
          <w:noProof/>
          <w:color w:val="000000" w:themeColor="text1"/>
          <w:lang w:val="en-GB"/>
        </w:rPr>
        <w:t xml:space="preserve">simplification </w:t>
      </w:r>
      <w:r w:rsidR="0B5FB965" w:rsidRPr="4ABA4507">
        <w:rPr>
          <w:rFonts w:cs="Times New Roman"/>
          <w:noProof/>
          <w:color w:val="000000" w:themeColor="text1"/>
          <w:lang w:val="en-GB"/>
        </w:rPr>
        <w:t>package</w:t>
      </w:r>
      <w:r w:rsidR="7015181B" w:rsidRPr="4ABA4507">
        <w:rPr>
          <w:rFonts w:cs="Times New Roman"/>
          <w:noProof/>
          <w:color w:val="000000" w:themeColor="text1"/>
          <w:lang w:val="en-GB"/>
        </w:rPr>
        <w:t xml:space="preserve">. These were also based on the replies received </w:t>
      </w:r>
      <w:r w:rsidRPr="4ABA4507">
        <w:rPr>
          <w:rFonts w:cs="Times New Roman"/>
          <w:noProof/>
          <w:color w:val="000000" w:themeColor="text1"/>
          <w:lang w:val="en-GB"/>
        </w:rPr>
        <w:t xml:space="preserve">to </w:t>
      </w:r>
      <w:r w:rsidR="7015181B" w:rsidRPr="4ABA4507">
        <w:rPr>
          <w:rFonts w:cs="Times New Roman"/>
          <w:noProof/>
          <w:color w:val="000000" w:themeColor="text1"/>
          <w:lang w:val="en-GB"/>
        </w:rPr>
        <w:t xml:space="preserve">the questionnaire </w:t>
      </w:r>
      <w:r w:rsidR="7015181B" w:rsidRPr="4ABA4507">
        <w:rPr>
          <w:rFonts w:cs="Times New Roman"/>
          <w:i/>
          <w:iCs/>
          <w:noProof/>
          <w:color w:val="000000" w:themeColor="text1"/>
          <w:lang w:val="en-GB"/>
        </w:rPr>
        <w:t>‘Simplifications</w:t>
      </w:r>
      <w:r w:rsidRPr="4ABA4507">
        <w:rPr>
          <w:rFonts w:cs="Times New Roman"/>
          <w:i/>
          <w:iCs/>
          <w:noProof/>
          <w:color w:val="000000" w:themeColor="text1"/>
          <w:lang w:val="en-GB"/>
        </w:rPr>
        <w:t xml:space="preserve"> </w:t>
      </w:r>
      <w:r w:rsidR="7015181B" w:rsidRPr="4ABA4507">
        <w:rPr>
          <w:rFonts w:cs="Times New Roman"/>
          <w:i/>
          <w:iCs/>
          <w:noProof/>
          <w:color w:val="000000" w:themeColor="text1"/>
          <w:lang w:val="en-GB"/>
        </w:rPr>
        <w:t>- the farmers’ point of view</w:t>
      </w:r>
      <w:r w:rsidRPr="4ABA4507">
        <w:rPr>
          <w:rFonts w:cs="Times New Roman"/>
          <w:i/>
          <w:iCs/>
          <w:noProof/>
          <w:color w:val="000000" w:themeColor="text1"/>
          <w:lang w:val="en-GB"/>
        </w:rPr>
        <w:t>’</w:t>
      </w:r>
      <w:r w:rsidR="7015181B" w:rsidRPr="4ABA4507">
        <w:rPr>
          <w:rFonts w:cs="Times New Roman"/>
          <w:noProof/>
          <w:color w:val="000000" w:themeColor="text1"/>
          <w:lang w:val="en-GB"/>
        </w:rPr>
        <w:t xml:space="preserve"> through the EU survey platform. </w:t>
      </w:r>
    </w:p>
    <w:p w14:paraId="72DB00C1" w14:textId="7AEB6592" w:rsidR="00A61BC0" w:rsidRPr="00F52134" w:rsidRDefault="004005FA" w:rsidP="001061AF">
      <w:pPr>
        <w:jc w:val="both"/>
        <w:rPr>
          <w:rFonts w:cs="Times New Roman"/>
          <w:noProof/>
          <w:color w:val="000000" w:themeColor="text1"/>
          <w:lang w:val="en-GB"/>
        </w:rPr>
      </w:pPr>
      <w:r w:rsidRPr="08E6F44D">
        <w:rPr>
          <w:rFonts w:cs="Times New Roman"/>
          <w:noProof/>
          <w:color w:val="000000" w:themeColor="text1"/>
          <w:lang w:val="en-GB"/>
        </w:rPr>
        <w:t>The m</w:t>
      </w:r>
      <w:r w:rsidR="00A61BC0" w:rsidRPr="08E6F44D">
        <w:rPr>
          <w:rFonts w:cs="Times New Roman"/>
          <w:noProof/>
          <w:color w:val="000000" w:themeColor="text1"/>
          <w:lang w:val="en-GB"/>
        </w:rPr>
        <w:t xml:space="preserve">easures quantified, including those referring to reporting under </w:t>
      </w:r>
      <w:r w:rsidR="0ADC16DF" w:rsidRPr="08E6F44D">
        <w:rPr>
          <w:rFonts w:cs="Times New Roman"/>
          <w:noProof/>
          <w:color w:val="000000" w:themeColor="text1"/>
          <w:lang w:val="en-GB"/>
        </w:rPr>
        <w:t>CAP</w:t>
      </w:r>
      <w:r w:rsidR="00A61BC0" w:rsidRPr="08E6F44D">
        <w:rPr>
          <w:rFonts w:cs="Times New Roman"/>
          <w:noProof/>
          <w:color w:val="000000" w:themeColor="text1"/>
          <w:lang w:val="en-GB"/>
        </w:rPr>
        <w:t xml:space="preserve"> rules and to </w:t>
      </w:r>
      <w:r w:rsidRPr="08E6F44D">
        <w:rPr>
          <w:rFonts w:cs="Times New Roman"/>
          <w:noProof/>
          <w:color w:val="000000" w:themeColor="text1"/>
          <w:lang w:val="en-GB"/>
        </w:rPr>
        <w:t xml:space="preserve">the </w:t>
      </w:r>
      <w:r w:rsidR="00A61BC0" w:rsidRPr="08E6F44D">
        <w:rPr>
          <w:rFonts w:cs="Times New Roman"/>
          <w:noProof/>
          <w:color w:val="000000" w:themeColor="text1"/>
          <w:lang w:val="en-GB"/>
        </w:rPr>
        <w:t>Area Monitoring System</w:t>
      </w:r>
      <w:r w:rsidR="3F017823" w:rsidRPr="1A76E8E2">
        <w:rPr>
          <w:rFonts w:cs="Times New Roman"/>
          <w:noProof/>
          <w:color w:val="000000" w:themeColor="text1"/>
          <w:lang w:val="en-GB"/>
        </w:rPr>
        <w:t xml:space="preserve"> (AMS)</w:t>
      </w:r>
      <w:r w:rsidR="00A61BC0" w:rsidRPr="1A76E8E2">
        <w:rPr>
          <w:rFonts w:cs="Times New Roman"/>
          <w:noProof/>
          <w:color w:val="000000" w:themeColor="text1"/>
          <w:lang w:val="en-GB"/>
        </w:rPr>
        <w:t>,</w:t>
      </w:r>
      <w:r w:rsidR="00A61BC0" w:rsidRPr="08E6F44D">
        <w:rPr>
          <w:rFonts w:cs="Times New Roman"/>
          <w:noProof/>
          <w:color w:val="000000" w:themeColor="text1"/>
          <w:lang w:val="en-GB"/>
        </w:rPr>
        <w:t xml:space="preserve"> will bring estimated savings of around EUR</w:t>
      </w:r>
      <w:r w:rsidRPr="08E6F44D">
        <w:rPr>
          <w:rFonts w:cs="Times New Roman"/>
          <w:noProof/>
          <w:color w:val="000000" w:themeColor="text1"/>
          <w:lang w:val="en-GB"/>
        </w:rPr>
        <w:t> </w:t>
      </w:r>
      <w:r w:rsidR="00E25724" w:rsidRPr="08E6F44D">
        <w:rPr>
          <w:rFonts w:cs="Times New Roman"/>
          <w:noProof/>
          <w:color w:val="000000" w:themeColor="text1"/>
          <w:lang w:val="en-GB"/>
        </w:rPr>
        <w:t>16</w:t>
      </w:r>
      <w:r w:rsidR="00E25724">
        <w:rPr>
          <w:rFonts w:cs="Times New Roman"/>
          <w:noProof/>
          <w:color w:val="000000" w:themeColor="text1"/>
          <w:lang w:val="en-GB"/>
        </w:rPr>
        <w:t>4</w:t>
      </w:r>
      <w:r w:rsidR="00E25724" w:rsidRPr="08E6F44D">
        <w:rPr>
          <w:rFonts w:cs="Times New Roman"/>
          <w:noProof/>
          <w:color w:val="000000" w:themeColor="text1"/>
          <w:lang w:val="en-GB"/>
        </w:rPr>
        <w:t> </w:t>
      </w:r>
      <w:r w:rsidR="00A61BC0" w:rsidRPr="08E6F44D">
        <w:rPr>
          <w:rFonts w:cs="Times New Roman"/>
          <w:noProof/>
          <w:color w:val="000000" w:themeColor="text1"/>
          <w:lang w:val="en-GB"/>
        </w:rPr>
        <w:t xml:space="preserve">million per year for farmers and administrations together. This </w:t>
      </w:r>
      <w:r w:rsidR="00A0403B" w:rsidRPr="08E6F44D">
        <w:rPr>
          <w:rFonts w:cs="Times New Roman"/>
          <w:noProof/>
          <w:color w:val="000000" w:themeColor="text1"/>
          <w:lang w:val="en-GB"/>
        </w:rPr>
        <w:t>refers mainly</w:t>
      </w:r>
      <w:r w:rsidRPr="08E6F44D">
        <w:rPr>
          <w:rFonts w:cs="Times New Roman"/>
          <w:noProof/>
          <w:color w:val="000000" w:themeColor="text1"/>
          <w:lang w:val="en-GB"/>
        </w:rPr>
        <w:t xml:space="preserve"> to </w:t>
      </w:r>
      <w:r w:rsidR="00A61BC0" w:rsidRPr="08E6F44D">
        <w:rPr>
          <w:rFonts w:cs="Times New Roman"/>
          <w:noProof/>
          <w:color w:val="000000" w:themeColor="text1"/>
          <w:lang w:val="en-GB"/>
        </w:rPr>
        <w:t xml:space="preserve">administrative savings and does not include other impactful initiatives, such as those on </w:t>
      </w:r>
      <w:r w:rsidR="00A61BC0" w:rsidRPr="00F52134">
        <w:rPr>
          <w:rFonts w:cs="Times New Roman"/>
          <w:noProof/>
          <w:color w:val="000000" w:themeColor="text1"/>
          <w:lang w:val="en-GB"/>
        </w:rPr>
        <w:t xml:space="preserve">biodiversity, crop rotation or soil coverage. </w:t>
      </w:r>
    </w:p>
    <w:p w14:paraId="56B8E93E" w14:textId="6243643F" w:rsidR="00A61BC0" w:rsidRPr="00724676" w:rsidRDefault="7015181B" w:rsidP="7E954136">
      <w:pPr>
        <w:jc w:val="both"/>
        <w:rPr>
          <w:rFonts w:asciiTheme="minorHAnsi" w:hAnsiTheme="minorHAnsi" w:cs="Times New Roman"/>
          <w:noProof/>
          <w:color w:val="000000" w:themeColor="text1"/>
          <w:sz w:val="22"/>
          <w:lang w:val="en-GB"/>
        </w:rPr>
      </w:pPr>
      <w:r w:rsidRPr="00F52134">
        <w:rPr>
          <w:rFonts w:cs="Times New Roman"/>
          <w:b/>
          <w:bCs/>
          <w:noProof/>
          <w:lang w:val="en-GB"/>
        </w:rPr>
        <w:t>Revision of the EU methodology</w:t>
      </w:r>
      <w:r w:rsidR="6CFD25F8" w:rsidRPr="00F52134">
        <w:rPr>
          <w:rFonts w:cs="Times New Roman"/>
          <w:b/>
          <w:bCs/>
          <w:noProof/>
          <w:lang w:val="en-GB"/>
        </w:rPr>
        <w:t xml:space="preserve"> for</w:t>
      </w:r>
      <w:r w:rsidRPr="00F52134">
        <w:rPr>
          <w:rFonts w:cs="Times New Roman"/>
          <w:b/>
          <w:bCs/>
          <w:noProof/>
          <w:lang w:val="en-GB"/>
        </w:rPr>
        <w:t xml:space="preserve"> </w:t>
      </w:r>
      <w:r w:rsidR="76635B16" w:rsidRPr="00F52134">
        <w:rPr>
          <w:rFonts w:cs="Times New Roman"/>
          <w:b/>
          <w:bCs/>
          <w:noProof/>
          <w:lang w:val="en-GB"/>
        </w:rPr>
        <w:t xml:space="preserve">the quality </w:t>
      </w:r>
      <w:r w:rsidR="014DD8A0" w:rsidRPr="00F52134">
        <w:rPr>
          <w:rFonts w:cs="Times New Roman"/>
          <w:b/>
          <w:bCs/>
          <w:noProof/>
          <w:lang w:val="en-GB"/>
        </w:rPr>
        <w:t xml:space="preserve">assessment </w:t>
      </w:r>
      <w:r w:rsidR="76635B16" w:rsidRPr="00F52134">
        <w:rPr>
          <w:rFonts w:cs="Times New Roman"/>
          <w:b/>
          <w:bCs/>
          <w:noProof/>
          <w:lang w:val="en-GB"/>
        </w:rPr>
        <w:t>of the</w:t>
      </w:r>
      <w:r w:rsidR="09F80BCE" w:rsidRPr="00F52134">
        <w:rPr>
          <w:rFonts w:cs="Times New Roman"/>
          <w:b/>
          <w:bCs/>
          <w:noProof/>
          <w:lang w:val="en-GB"/>
        </w:rPr>
        <w:t xml:space="preserve"> </w:t>
      </w:r>
      <w:r w:rsidR="1DE75FC0" w:rsidRPr="00F52134">
        <w:rPr>
          <w:rFonts w:cs="Times New Roman"/>
          <w:b/>
          <w:bCs/>
          <w:noProof/>
          <w:lang w:val="en-GB"/>
        </w:rPr>
        <w:t xml:space="preserve">AMS </w:t>
      </w:r>
    </w:p>
    <w:p w14:paraId="0ED8D68E" w14:textId="2D027515" w:rsidR="00A61BC0" w:rsidRPr="00724676" w:rsidRDefault="7015181B" w:rsidP="4EE11981">
      <w:pPr>
        <w:jc w:val="both"/>
        <w:rPr>
          <w:rFonts w:cs="Times New Roman"/>
          <w:noProof/>
          <w:bdr w:val="nil"/>
          <w:lang w:val="en-GB"/>
        </w:rPr>
      </w:pPr>
      <w:r w:rsidRPr="4EE11981">
        <w:rPr>
          <w:rFonts w:cs="Times New Roman"/>
          <w:noProof/>
          <w:color w:val="000000" w:themeColor="text1"/>
          <w:lang w:val="en-GB"/>
        </w:rPr>
        <w:t>The Commission has adjusted the methodology of the AMS, so that Member States can significantly reduce the number of visits</w:t>
      </w:r>
      <w:r w:rsidR="76635B16" w:rsidRPr="7E954136">
        <w:rPr>
          <w:rFonts w:cs="Times New Roman"/>
          <w:noProof/>
          <w:color w:val="000000" w:themeColor="text1"/>
          <w:lang w:val="en-GB"/>
        </w:rPr>
        <w:t xml:space="preserve"> to farms</w:t>
      </w:r>
      <w:r w:rsidRPr="4EE11981">
        <w:rPr>
          <w:rFonts w:cs="Times New Roman"/>
          <w:noProof/>
          <w:color w:val="000000" w:themeColor="text1"/>
          <w:lang w:val="en-GB"/>
        </w:rPr>
        <w:t>, while maintaining the effectiveness of the methodology to ensure that taxpayers funds are well spent. In particular, the AMS quality assessment provide</w:t>
      </w:r>
      <w:r w:rsidR="68280AF0" w:rsidRPr="4EE11981">
        <w:rPr>
          <w:rFonts w:cs="Times New Roman"/>
          <w:noProof/>
          <w:color w:val="000000" w:themeColor="text1"/>
          <w:lang w:val="en-GB"/>
        </w:rPr>
        <w:t>s</w:t>
      </w:r>
      <w:r w:rsidRPr="4EE11981">
        <w:rPr>
          <w:rFonts w:cs="Times New Roman"/>
          <w:noProof/>
          <w:color w:val="000000" w:themeColor="text1"/>
          <w:lang w:val="en-GB"/>
        </w:rPr>
        <w:t xml:space="preserve"> diagnostic information on the sources of incorrect decisions at the level of interventions and eligibility conditions, with the aim </w:t>
      </w:r>
      <w:r w:rsidR="1F494019" w:rsidRPr="7E954136">
        <w:rPr>
          <w:rFonts w:cs="Times New Roman"/>
          <w:noProof/>
          <w:color w:val="000000" w:themeColor="text1"/>
          <w:lang w:val="en-GB"/>
        </w:rPr>
        <w:t xml:space="preserve">of </w:t>
      </w:r>
      <w:r w:rsidRPr="4EE11981">
        <w:rPr>
          <w:rFonts w:cs="Times New Roman"/>
          <w:noProof/>
          <w:color w:val="000000" w:themeColor="text1"/>
          <w:lang w:val="en-GB"/>
        </w:rPr>
        <w:t>improv</w:t>
      </w:r>
      <w:r w:rsidR="1F494019" w:rsidRPr="7E954136">
        <w:rPr>
          <w:rFonts w:cs="Times New Roman"/>
          <w:noProof/>
          <w:color w:val="000000" w:themeColor="text1"/>
          <w:lang w:val="en-GB"/>
        </w:rPr>
        <w:t>ing</w:t>
      </w:r>
      <w:r w:rsidRPr="4EE11981">
        <w:rPr>
          <w:rFonts w:cs="Times New Roman"/>
          <w:noProof/>
          <w:color w:val="000000" w:themeColor="text1"/>
          <w:lang w:val="en-GB"/>
        </w:rPr>
        <w:t xml:space="preserve"> the Member States</w:t>
      </w:r>
      <w:r w:rsidR="1F494019" w:rsidRPr="7E954136">
        <w:rPr>
          <w:rFonts w:cs="Times New Roman"/>
          <w:noProof/>
          <w:color w:val="000000" w:themeColor="text1"/>
          <w:lang w:val="en-GB"/>
        </w:rPr>
        <w:t>’</w:t>
      </w:r>
      <w:r w:rsidRPr="4EE11981">
        <w:rPr>
          <w:rFonts w:cs="Times New Roman"/>
          <w:noProof/>
          <w:color w:val="000000" w:themeColor="text1"/>
          <w:lang w:val="en-GB"/>
        </w:rPr>
        <w:t xml:space="preserve"> </w:t>
      </w:r>
      <w:r w:rsidR="6F820A86" w:rsidRPr="7E954136">
        <w:rPr>
          <w:rFonts w:cs="Times New Roman"/>
          <w:noProof/>
          <w:color w:val="000000" w:themeColor="text1"/>
          <w:lang w:val="en-GB"/>
        </w:rPr>
        <w:t>AMS</w:t>
      </w:r>
      <w:r w:rsidRPr="4EE11981">
        <w:rPr>
          <w:rFonts w:cs="Times New Roman"/>
          <w:noProof/>
          <w:color w:val="000000" w:themeColor="text1"/>
          <w:lang w:val="en-GB"/>
        </w:rPr>
        <w:t xml:space="preserve">. This will result </w:t>
      </w:r>
      <w:r w:rsidR="1F494019" w:rsidRPr="7E954136">
        <w:rPr>
          <w:rFonts w:cs="Times New Roman"/>
          <w:noProof/>
          <w:color w:val="000000" w:themeColor="text1"/>
          <w:lang w:val="en-GB"/>
        </w:rPr>
        <w:t xml:space="preserve">in a </w:t>
      </w:r>
      <w:r w:rsidRPr="4EE11981">
        <w:rPr>
          <w:rFonts w:cs="Times New Roman"/>
          <w:noProof/>
          <w:color w:val="000000" w:themeColor="text1"/>
          <w:lang w:val="en-GB"/>
        </w:rPr>
        <w:t>reduction of</w:t>
      </w:r>
      <w:r w:rsidR="09F80BCE" w:rsidRPr="7E954136">
        <w:rPr>
          <w:rFonts w:cs="Times New Roman"/>
          <w:noProof/>
          <w:color w:val="000000" w:themeColor="text1"/>
          <w:lang w:val="en-GB"/>
        </w:rPr>
        <w:t xml:space="preserve"> at least 50% in the number of visits to holdings</w:t>
      </w:r>
      <w:r w:rsidRPr="4EE11981">
        <w:rPr>
          <w:rFonts w:cs="Times New Roman"/>
          <w:noProof/>
          <w:color w:val="000000" w:themeColor="text1"/>
          <w:lang w:val="en-GB"/>
        </w:rPr>
        <w:t xml:space="preserve"> and a reduction of on</w:t>
      </w:r>
      <w:r w:rsidR="76635B16" w:rsidRPr="7E954136">
        <w:rPr>
          <w:rFonts w:cs="Times New Roman"/>
          <w:noProof/>
          <w:color w:val="000000" w:themeColor="text1"/>
          <w:lang w:val="en-GB"/>
        </w:rPr>
        <w:t>-</w:t>
      </w:r>
      <w:r w:rsidRPr="4EE11981">
        <w:rPr>
          <w:rFonts w:cs="Times New Roman"/>
          <w:noProof/>
          <w:color w:val="000000" w:themeColor="text1"/>
          <w:lang w:val="en-GB"/>
        </w:rPr>
        <w:t>the</w:t>
      </w:r>
      <w:r w:rsidR="76635B16" w:rsidRPr="7E954136">
        <w:rPr>
          <w:rFonts w:cs="Times New Roman"/>
          <w:noProof/>
          <w:color w:val="000000" w:themeColor="text1"/>
          <w:lang w:val="en-GB"/>
        </w:rPr>
        <w:t>-</w:t>
      </w:r>
      <w:r w:rsidRPr="4EE11981">
        <w:rPr>
          <w:rFonts w:cs="Times New Roman"/>
          <w:noProof/>
          <w:color w:val="000000" w:themeColor="text1"/>
          <w:lang w:val="en-GB"/>
        </w:rPr>
        <w:t xml:space="preserve">spot checks for AMS quality control of up to 3% </w:t>
      </w:r>
      <w:r w:rsidR="09F80BCE" w:rsidRPr="00F15432">
        <w:rPr>
          <w:rFonts w:cs="Times New Roman"/>
          <w:noProof/>
          <w:color w:val="000000" w:themeColor="text1"/>
          <w:lang w:val="en-GB"/>
        </w:rPr>
        <w:t>for</w:t>
      </w:r>
      <w:r w:rsidR="09F80BCE" w:rsidRPr="7E954136">
        <w:rPr>
          <w:rFonts w:cs="Times New Roman"/>
          <w:noProof/>
          <w:color w:val="000000" w:themeColor="text1"/>
          <w:lang w:val="en-GB"/>
        </w:rPr>
        <w:t xml:space="preserve"> </w:t>
      </w:r>
      <w:r w:rsidRPr="4EE11981">
        <w:rPr>
          <w:rFonts w:cs="Times New Roman"/>
          <w:noProof/>
          <w:color w:val="000000" w:themeColor="text1"/>
          <w:lang w:val="en-GB"/>
        </w:rPr>
        <w:t>all holdings, which translates to 174</w:t>
      </w:r>
      <w:r w:rsidR="76635B16" w:rsidRPr="7E954136">
        <w:rPr>
          <w:rFonts w:cs="Times New Roman"/>
          <w:noProof/>
          <w:color w:val="000000" w:themeColor="text1"/>
          <w:lang w:val="en-GB"/>
        </w:rPr>
        <w:t> </w:t>
      </w:r>
      <w:r w:rsidRPr="4EE11981">
        <w:rPr>
          <w:rFonts w:cs="Times New Roman"/>
          <w:noProof/>
          <w:color w:val="000000" w:themeColor="text1"/>
          <w:lang w:val="en-GB"/>
        </w:rPr>
        <w:t xml:space="preserve">000 </w:t>
      </w:r>
      <w:r w:rsidR="76635B16" w:rsidRPr="7E954136">
        <w:rPr>
          <w:rFonts w:cs="Times New Roman"/>
          <w:noProof/>
          <w:color w:val="000000" w:themeColor="text1"/>
          <w:lang w:val="en-GB"/>
        </w:rPr>
        <w:t xml:space="preserve">fewer </w:t>
      </w:r>
      <w:r w:rsidRPr="4EE11981">
        <w:rPr>
          <w:rFonts w:cs="Times New Roman"/>
          <w:noProof/>
          <w:color w:val="000000" w:themeColor="text1"/>
          <w:lang w:val="en-GB"/>
        </w:rPr>
        <w:t>controls. U</w:t>
      </w:r>
      <w:r w:rsidRPr="4EE11981">
        <w:rPr>
          <w:rFonts w:cs="Times New Roman"/>
          <w:noProof/>
          <w:bdr w:val="nil"/>
          <w:lang w:val="en-GB"/>
        </w:rPr>
        <w:t>sing the standard cost model,</w:t>
      </w:r>
      <w:r w:rsidR="785CB51E" w:rsidRPr="7E954136">
        <w:rPr>
          <w:rFonts w:cs="Times New Roman"/>
          <w:noProof/>
          <w:lang w:val="en-GB"/>
        </w:rPr>
        <w:t xml:space="preserve"> and a</w:t>
      </w:r>
      <w:r w:rsidR="785CB51E" w:rsidRPr="7E954136">
        <w:rPr>
          <w:rFonts w:eastAsia="Times New Roman" w:cs="Times New Roman"/>
          <w:noProof/>
          <w:lang w:val="en-GB"/>
        </w:rPr>
        <w:t xml:space="preserve">ssuming an average 12 hours dedicated by </w:t>
      </w:r>
      <w:r w:rsidR="6E37CADB" w:rsidRPr="7E954136">
        <w:rPr>
          <w:rFonts w:eastAsia="Times New Roman" w:cs="Times New Roman"/>
          <w:noProof/>
          <w:lang w:val="en-GB"/>
        </w:rPr>
        <w:t xml:space="preserve">a </w:t>
      </w:r>
      <w:r w:rsidR="785CB51E" w:rsidRPr="7E954136">
        <w:rPr>
          <w:rFonts w:eastAsia="Times New Roman" w:cs="Times New Roman"/>
          <w:noProof/>
          <w:lang w:val="en-GB"/>
        </w:rPr>
        <w:t>farmer to a single visit</w:t>
      </w:r>
      <w:r w:rsidRPr="4EE11981">
        <w:rPr>
          <w:rFonts w:cs="Times New Roman"/>
          <w:noProof/>
          <w:bdr w:val="nil"/>
          <w:lang w:val="en-GB"/>
        </w:rPr>
        <w:t xml:space="preserve"> this equals a </w:t>
      </w:r>
      <w:r w:rsidR="3A8CCBB8" w:rsidRPr="4EE11981">
        <w:rPr>
          <w:rFonts w:cs="Times New Roman"/>
          <w:noProof/>
          <w:bdr w:val="nil"/>
          <w:lang w:val="en-GB"/>
        </w:rPr>
        <w:t>reduction of</w:t>
      </w:r>
      <w:r w:rsidR="6C93ADD8" w:rsidRPr="4EE11981">
        <w:rPr>
          <w:rFonts w:cs="Times New Roman"/>
          <w:noProof/>
          <w:bdr w:val="nil"/>
          <w:lang w:val="en-GB"/>
        </w:rPr>
        <w:t xml:space="preserve"> </w:t>
      </w:r>
      <w:r w:rsidRPr="4EE11981">
        <w:rPr>
          <w:rFonts w:cs="Times New Roman"/>
          <w:noProof/>
          <w:bdr w:val="nil"/>
          <w:lang w:val="en-GB"/>
        </w:rPr>
        <w:t xml:space="preserve">total cost for farmers of </w:t>
      </w:r>
      <w:r w:rsidRPr="4EE11981">
        <w:rPr>
          <w:rFonts w:cs="Times New Roman"/>
          <w:b/>
          <w:bCs/>
          <w:noProof/>
          <w:bdr w:val="nil"/>
          <w:lang w:val="en-GB"/>
        </w:rPr>
        <w:t>EUR 61.8 million</w:t>
      </w:r>
      <w:r w:rsidR="09F80BCE" w:rsidRPr="7E954136">
        <w:rPr>
          <w:rFonts w:cs="Times New Roman"/>
          <w:b/>
          <w:bCs/>
          <w:noProof/>
          <w:lang w:val="en-GB"/>
        </w:rPr>
        <w:t>,</w:t>
      </w:r>
      <w:r w:rsidRPr="4EE11981">
        <w:rPr>
          <w:rFonts w:cs="Times New Roman"/>
          <w:b/>
          <w:bCs/>
          <w:noProof/>
          <w:bdr w:val="nil"/>
          <w:lang w:val="en-GB"/>
        </w:rPr>
        <w:t xml:space="preserve"> </w:t>
      </w:r>
      <w:r w:rsidRPr="4EE11981">
        <w:rPr>
          <w:rFonts w:cs="Times New Roman"/>
          <w:noProof/>
          <w:bdr w:val="nil"/>
          <w:lang w:val="en-GB"/>
        </w:rPr>
        <w:t xml:space="preserve">linked to time spent on these on-the-spot </w:t>
      </w:r>
      <w:r w:rsidRPr="4ABA4507">
        <w:rPr>
          <w:rFonts w:cs="Times New Roman"/>
          <w:noProof/>
          <w:bdr w:val="nil"/>
          <w:lang w:val="en-GB"/>
        </w:rPr>
        <w:t>controls</w:t>
      </w:r>
      <w:r w:rsidR="09F80BCE" w:rsidRPr="4ABA4507">
        <w:rPr>
          <w:rFonts w:cs="Times New Roman"/>
          <w:noProof/>
          <w:lang w:val="en-GB"/>
        </w:rPr>
        <w:t>,</w:t>
      </w:r>
      <w:r w:rsidRPr="4EE11981">
        <w:rPr>
          <w:rFonts w:cs="Times New Roman"/>
          <w:noProof/>
          <w:color w:val="000000" w:themeColor="text1"/>
          <w:lang w:val="en-GB"/>
        </w:rPr>
        <w:t xml:space="preserve"> and </w:t>
      </w:r>
      <w:r w:rsidR="68280AF0" w:rsidRPr="4EE11981">
        <w:rPr>
          <w:rFonts w:cs="Times New Roman"/>
          <w:noProof/>
          <w:color w:val="000000" w:themeColor="text1"/>
          <w:lang w:val="en-GB"/>
        </w:rPr>
        <w:t xml:space="preserve">of </w:t>
      </w:r>
      <w:r w:rsidR="68280AF0" w:rsidRPr="4EE11981">
        <w:rPr>
          <w:rFonts w:cs="Times New Roman"/>
          <w:b/>
          <w:bCs/>
          <w:noProof/>
          <w:bdr w:val="nil"/>
          <w:lang w:val="en-GB"/>
        </w:rPr>
        <w:t>EUR</w:t>
      </w:r>
      <w:r w:rsidRPr="4EE11981">
        <w:rPr>
          <w:rFonts w:cs="Times New Roman"/>
          <w:b/>
          <w:bCs/>
          <w:noProof/>
          <w:bdr w:val="nil"/>
          <w:lang w:val="en-GB"/>
        </w:rPr>
        <w:t xml:space="preserve"> 82.4 million </w:t>
      </w:r>
      <w:r w:rsidRPr="4EE11981">
        <w:rPr>
          <w:rFonts w:cs="Times New Roman"/>
          <w:noProof/>
          <w:bdr w:val="nil"/>
          <w:lang w:val="en-GB"/>
        </w:rPr>
        <w:t xml:space="preserve">for national administrations in the </w:t>
      </w:r>
      <w:r w:rsidR="09F80BCE" w:rsidRPr="7E954136">
        <w:rPr>
          <w:rFonts w:cs="Times New Roman"/>
          <w:noProof/>
          <w:lang w:val="en-GB"/>
        </w:rPr>
        <w:t>Member States</w:t>
      </w:r>
      <w:r w:rsidR="2B3453C4" w:rsidRPr="7E954136">
        <w:rPr>
          <w:rFonts w:cs="Times New Roman"/>
          <w:noProof/>
          <w:lang w:val="en-GB"/>
        </w:rPr>
        <w:t xml:space="preserve"> a</w:t>
      </w:r>
      <w:r w:rsidR="2B3453C4" w:rsidRPr="7E954136">
        <w:rPr>
          <w:rFonts w:eastAsia="Times New Roman" w:cs="Times New Roman"/>
          <w:noProof/>
          <w:lang w:val="en-GB"/>
        </w:rPr>
        <w:t>ssuming a worklo</w:t>
      </w:r>
      <w:r w:rsidR="2B3453C4" w:rsidRPr="4ABA4507">
        <w:rPr>
          <w:rFonts w:eastAsiaTheme="minorEastAsia"/>
          <w:noProof/>
          <w:lang w:val="en-GB"/>
        </w:rPr>
        <w:t>ad of 2 working days per control</w:t>
      </w:r>
      <w:r w:rsidR="00D82170" w:rsidRPr="4ABA4507">
        <w:rPr>
          <w:rFonts w:eastAsiaTheme="minorEastAsia"/>
          <w:noProof/>
          <w:lang w:val="en-GB"/>
        </w:rPr>
        <w:t>.</w:t>
      </w:r>
    </w:p>
    <w:p w14:paraId="2FABAFB2" w14:textId="77777777" w:rsidR="00A61BC0" w:rsidRPr="00724676" w:rsidRDefault="00A61BC0" w:rsidP="4ABA4507">
      <w:pPr>
        <w:jc w:val="both"/>
        <w:rPr>
          <w:rFonts w:asciiTheme="minorHAnsi" w:hAnsiTheme="minorHAnsi" w:cs="Times New Roman"/>
          <w:noProof/>
          <w:color w:val="000000" w:themeColor="text1"/>
          <w:sz w:val="22"/>
          <w:lang w:val="en-GB"/>
        </w:rPr>
      </w:pPr>
      <w:r w:rsidRPr="4ABA4507">
        <w:rPr>
          <w:rFonts w:cs="Times New Roman"/>
          <w:b/>
          <w:bCs/>
          <w:noProof/>
          <w:lang w:val="en-GB"/>
        </w:rPr>
        <w:t>Exemption of small farms (under 10 ha) from conditionality controls</w:t>
      </w:r>
    </w:p>
    <w:p w14:paraId="68801CA6" w14:textId="2A00153A" w:rsidR="00A61BC0" w:rsidRPr="00724676" w:rsidRDefault="00594B4A" w:rsidP="3A4C5640">
      <w:pPr>
        <w:spacing w:before="120" w:after="0"/>
        <w:jc w:val="both"/>
        <w:rPr>
          <w:rFonts w:cs="Times New Roman"/>
          <w:noProof/>
          <w:bdr w:val="nil"/>
        </w:rPr>
      </w:pPr>
      <w:r w:rsidRPr="10339F63">
        <w:rPr>
          <w:rFonts w:cs="Times New Roman"/>
          <w:noProof/>
          <w:color w:val="000000" w:themeColor="text1"/>
        </w:rPr>
        <w:t>T</w:t>
      </w:r>
      <w:r w:rsidR="00A61BC0" w:rsidRPr="3A4C5640">
        <w:rPr>
          <w:rFonts w:cs="Times New Roman"/>
          <w:noProof/>
          <w:color w:val="000000" w:themeColor="text1"/>
        </w:rPr>
        <w:t>he Commission proposed to exempt </w:t>
      </w:r>
      <w:r w:rsidRPr="10339F63">
        <w:rPr>
          <w:rFonts w:cs="Times New Roman"/>
          <w:noProof/>
          <w:color w:val="000000" w:themeColor="text1"/>
        </w:rPr>
        <w:t xml:space="preserve">small farms of under 10 hectares </w:t>
      </w:r>
      <w:r w:rsidR="00A61BC0" w:rsidRPr="3A4C5640">
        <w:rPr>
          <w:rFonts w:cs="Times New Roman"/>
          <w:noProof/>
          <w:color w:val="000000" w:themeColor="text1"/>
        </w:rPr>
        <w:t xml:space="preserve">from controls and penalties related to compliance with conditionality requirements. This will significantly reduce the administrative burden related to </w:t>
      </w:r>
      <w:r w:rsidR="00A61BC0" w:rsidRPr="4ABA4507">
        <w:rPr>
          <w:rFonts w:cs="Times New Roman"/>
          <w:noProof/>
          <w:color w:val="000000" w:themeColor="text1"/>
        </w:rPr>
        <w:t>controls</w:t>
      </w:r>
      <w:r w:rsidR="00A61BC0" w:rsidRPr="3A4C5640">
        <w:rPr>
          <w:rFonts w:cs="Times New Roman"/>
          <w:noProof/>
          <w:color w:val="000000" w:themeColor="text1"/>
        </w:rPr>
        <w:t xml:space="preserve"> for small farmers, who represent 65% of CAP beneficiaries, and will result in approximately 37</w:t>
      </w:r>
      <w:r w:rsidRPr="10339F63">
        <w:rPr>
          <w:rFonts w:cs="Times New Roman"/>
          <w:noProof/>
          <w:color w:val="000000" w:themeColor="text1"/>
        </w:rPr>
        <w:t> </w:t>
      </w:r>
      <w:r w:rsidR="00A61BC0" w:rsidRPr="3A4C5640">
        <w:rPr>
          <w:rFonts w:cs="Times New Roman"/>
          <w:noProof/>
          <w:color w:val="000000" w:themeColor="text1"/>
        </w:rPr>
        <w:t xml:space="preserve">600 </w:t>
      </w:r>
      <w:r w:rsidRPr="10339F63">
        <w:rPr>
          <w:rFonts w:cs="Times New Roman"/>
          <w:noProof/>
          <w:color w:val="000000" w:themeColor="text1"/>
        </w:rPr>
        <w:t xml:space="preserve">fewer </w:t>
      </w:r>
      <w:r w:rsidR="00A61BC0" w:rsidRPr="3A4C5640">
        <w:rPr>
          <w:rFonts w:cs="Times New Roman"/>
          <w:noProof/>
          <w:color w:val="000000" w:themeColor="text1"/>
        </w:rPr>
        <w:t xml:space="preserve">controls every year. </w:t>
      </w:r>
      <w:r w:rsidRPr="10339F63">
        <w:rPr>
          <w:rFonts w:cs="Times New Roman"/>
          <w:noProof/>
          <w:color w:val="000000" w:themeColor="text1"/>
        </w:rPr>
        <w:t>W</w:t>
      </w:r>
      <w:r w:rsidR="00A61BC0" w:rsidRPr="3A4C5640">
        <w:rPr>
          <w:rFonts w:cs="Times New Roman"/>
          <w:noProof/>
          <w:color w:val="000000" w:themeColor="text1"/>
        </w:rPr>
        <w:t>e estimate</w:t>
      </w:r>
      <w:r w:rsidR="1CADBC09" w:rsidRPr="10339F63">
        <w:rPr>
          <w:rFonts w:cs="Times New Roman"/>
          <w:noProof/>
          <w:color w:val="000000" w:themeColor="text1"/>
        </w:rPr>
        <w:t>, using the standard cost model</w:t>
      </w:r>
      <w:r w:rsidR="00A61BC0" w:rsidRPr="3A4C5640">
        <w:rPr>
          <w:rFonts w:cs="Times New Roman"/>
          <w:noProof/>
          <w:color w:val="000000" w:themeColor="text1"/>
        </w:rPr>
        <w:t xml:space="preserve"> </w:t>
      </w:r>
      <w:r w:rsidRPr="10339F63">
        <w:rPr>
          <w:rFonts w:cs="Times New Roman"/>
          <w:noProof/>
          <w:color w:val="000000" w:themeColor="text1"/>
        </w:rPr>
        <w:t>that this will produce savings of around</w:t>
      </w:r>
      <w:r w:rsidR="00A61BC0" w:rsidRPr="3A4C5640">
        <w:rPr>
          <w:rFonts w:cs="Times New Roman"/>
          <w:noProof/>
          <w:color w:val="000000" w:themeColor="text1"/>
        </w:rPr>
        <w:t xml:space="preserve"> </w:t>
      </w:r>
      <w:r w:rsidR="00A61BC0" w:rsidRPr="3A4C5640">
        <w:rPr>
          <w:rFonts w:cs="Times New Roman"/>
          <w:b/>
          <w:bCs/>
          <w:noProof/>
          <w:color w:val="000000" w:themeColor="text1"/>
        </w:rPr>
        <w:t xml:space="preserve">EUR </w:t>
      </w:r>
      <w:r w:rsidR="4CA34955" w:rsidRPr="00F15432">
        <w:rPr>
          <w:rFonts w:cs="Times New Roman"/>
          <w:b/>
          <w:bCs/>
          <w:noProof/>
          <w:color w:val="000000" w:themeColor="text1"/>
        </w:rPr>
        <w:t>6.</w:t>
      </w:r>
      <w:r w:rsidR="00A61BC0" w:rsidRPr="00F15432">
        <w:rPr>
          <w:rFonts w:cs="Times New Roman"/>
          <w:b/>
          <w:bCs/>
          <w:noProof/>
          <w:color w:val="000000" w:themeColor="text1"/>
        </w:rPr>
        <w:t>7</w:t>
      </w:r>
      <w:r w:rsidR="00A61BC0" w:rsidRPr="3A4C5640">
        <w:rPr>
          <w:rFonts w:cs="Times New Roman"/>
          <w:b/>
          <w:bCs/>
          <w:noProof/>
          <w:color w:val="000000" w:themeColor="text1"/>
        </w:rPr>
        <w:t xml:space="preserve"> million for </w:t>
      </w:r>
      <w:r w:rsidR="629EB5C2" w:rsidRPr="10339F63">
        <w:rPr>
          <w:rFonts w:cs="Times New Roman"/>
          <w:b/>
          <w:bCs/>
          <w:noProof/>
          <w:color w:val="000000" w:themeColor="text1"/>
        </w:rPr>
        <w:t>farmers</w:t>
      </w:r>
      <w:r w:rsidR="00A61BC0" w:rsidRPr="3A4C5640">
        <w:rPr>
          <w:rFonts w:cs="Times New Roman"/>
          <w:noProof/>
          <w:color w:val="000000" w:themeColor="text1"/>
        </w:rPr>
        <w:t xml:space="preserve"> </w:t>
      </w:r>
      <w:r w:rsidR="2BF468B8" w:rsidRPr="10339F63">
        <w:rPr>
          <w:rFonts w:eastAsia="Times New Roman" w:cs="Times New Roman"/>
          <w:noProof/>
        </w:rPr>
        <w:t>assum</w:t>
      </w:r>
      <w:r w:rsidR="34C59957" w:rsidRPr="10339F63">
        <w:rPr>
          <w:rFonts w:eastAsia="Times New Roman" w:cs="Times New Roman"/>
          <w:noProof/>
        </w:rPr>
        <w:t>ing</w:t>
      </w:r>
      <w:r w:rsidR="2BF468B8" w:rsidRPr="10339F63">
        <w:rPr>
          <w:rFonts w:eastAsia="Times New Roman" w:cs="Times New Roman"/>
          <w:noProof/>
        </w:rPr>
        <w:t xml:space="preserve"> a simple metric of 0,75 working day per control for a farm below 10 </w:t>
      </w:r>
      <w:r w:rsidR="00A0403B" w:rsidRPr="10339F63">
        <w:rPr>
          <w:rFonts w:eastAsia="Times New Roman" w:cs="Times New Roman"/>
          <w:noProof/>
        </w:rPr>
        <w:t>hectares</w:t>
      </w:r>
      <w:r w:rsidR="2BF468B8" w:rsidRPr="10339F63">
        <w:rPr>
          <w:rFonts w:eastAsia="Times New Roman" w:cs="Times New Roman"/>
          <w:noProof/>
        </w:rPr>
        <w:t xml:space="preserve"> (6 hours, drawing on the results of the recent survey of farmers)</w:t>
      </w:r>
      <w:r w:rsidR="0A050896" w:rsidRPr="10339F63">
        <w:rPr>
          <w:rFonts w:eastAsia="Times New Roman" w:cs="Times New Roman"/>
          <w:noProof/>
        </w:rPr>
        <w:t xml:space="preserve">.  </w:t>
      </w:r>
      <w:r w:rsidR="647115E5" w:rsidRPr="10339F63">
        <w:rPr>
          <w:rFonts w:eastAsia="Times New Roman" w:cs="Times New Roman"/>
          <w:noProof/>
        </w:rPr>
        <w:t>A</w:t>
      </w:r>
      <w:r w:rsidR="0A050896" w:rsidRPr="10339F63">
        <w:rPr>
          <w:rFonts w:eastAsia="Times New Roman" w:cs="Times New Roman"/>
          <w:noProof/>
        </w:rPr>
        <w:t>ssum</w:t>
      </w:r>
      <w:r w:rsidR="12AE9AC8" w:rsidRPr="10339F63">
        <w:rPr>
          <w:rFonts w:eastAsia="Times New Roman" w:cs="Times New Roman"/>
          <w:noProof/>
        </w:rPr>
        <w:t>ing</w:t>
      </w:r>
      <w:r w:rsidR="0A050896" w:rsidRPr="10339F63">
        <w:rPr>
          <w:rFonts w:eastAsia="Times New Roman" w:cs="Times New Roman"/>
          <w:noProof/>
        </w:rPr>
        <w:t xml:space="preserve"> a workload of 1,5 day per control for administrations this </w:t>
      </w:r>
      <w:r w:rsidR="276694E7" w:rsidRPr="10339F63">
        <w:rPr>
          <w:rFonts w:eastAsia="Times New Roman" w:cs="Times New Roman"/>
          <w:noProof/>
        </w:rPr>
        <w:t>translates into</w:t>
      </w:r>
      <w:r w:rsidR="2BF468B8" w:rsidRPr="10339F63">
        <w:rPr>
          <w:rFonts w:eastAsia="Times New Roman" w:cs="Times New Roman"/>
          <w:noProof/>
        </w:rPr>
        <w:t xml:space="preserve"> </w:t>
      </w:r>
      <w:r w:rsidR="00A61BC0" w:rsidRPr="3A4C5640">
        <w:rPr>
          <w:rFonts w:cs="Times New Roman"/>
          <w:b/>
          <w:bCs/>
          <w:noProof/>
          <w:color w:val="000000" w:themeColor="text1"/>
        </w:rPr>
        <w:t>EUR</w:t>
      </w:r>
      <w:r w:rsidR="00A61BC0" w:rsidRPr="3A4C5640">
        <w:rPr>
          <w:rFonts w:cs="Times New Roman"/>
          <w:noProof/>
          <w:color w:val="000000" w:themeColor="text1"/>
        </w:rPr>
        <w:t xml:space="preserve"> </w:t>
      </w:r>
      <w:r w:rsidR="00A61BC0" w:rsidRPr="3A4C5640">
        <w:rPr>
          <w:rFonts w:cs="Times New Roman"/>
          <w:b/>
          <w:bCs/>
          <w:noProof/>
          <w:color w:val="000000" w:themeColor="text1"/>
        </w:rPr>
        <w:t>13.</w:t>
      </w:r>
      <w:r w:rsidR="212FFB67" w:rsidRPr="10339F63">
        <w:rPr>
          <w:rFonts w:cs="Times New Roman"/>
          <w:b/>
          <w:bCs/>
          <w:noProof/>
          <w:color w:val="000000" w:themeColor="text1"/>
        </w:rPr>
        <w:t>4</w:t>
      </w:r>
      <w:r w:rsidR="00A61BC0" w:rsidRPr="3A4C5640">
        <w:rPr>
          <w:rFonts w:cs="Times New Roman"/>
          <w:b/>
          <w:bCs/>
          <w:noProof/>
          <w:color w:val="000000" w:themeColor="text1"/>
        </w:rPr>
        <w:t xml:space="preserve"> million</w:t>
      </w:r>
      <w:r w:rsidR="00A61BC0" w:rsidRPr="3A4C5640">
        <w:rPr>
          <w:rFonts w:cs="Times New Roman"/>
          <w:noProof/>
          <w:color w:val="000000" w:themeColor="text1"/>
        </w:rPr>
        <w:t xml:space="preserve"> </w:t>
      </w:r>
      <w:r w:rsidR="207C0F99" w:rsidRPr="3A4C5640">
        <w:rPr>
          <w:rFonts w:cs="Times New Roman"/>
          <w:noProof/>
          <w:color w:val="000000" w:themeColor="text1"/>
        </w:rPr>
        <w:t xml:space="preserve">of savings </w:t>
      </w:r>
      <w:r w:rsidR="00A61BC0" w:rsidRPr="3A4C5640">
        <w:rPr>
          <w:rFonts w:cs="Times New Roman"/>
          <w:noProof/>
          <w:color w:val="000000" w:themeColor="text1"/>
        </w:rPr>
        <w:t xml:space="preserve">for </w:t>
      </w:r>
      <w:r w:rsidR="1A7A6B94" w:rsidRPr="10339F63">
        <w:rPr>
          <w:rFonts w:cs="Times New Roman"/>
          <w:noProof/>
          <w:color w:val="000000" w:themeColor="text1"/>
        </w:rPr>
        <w:t>national administration</w:t>
      </w:r>
      <w:r w:rsidR="00A61BC0" w:rsidRPr="3A4C5640">
        <w:rPr>
          <w:rFonts w:cs="Times New Roman"/>
          <w:noProof/>
          <w:color w:val="000000" w:themeColor="text1"/>
        </w:rPr>
        <w:t>s</w:t>
      </w:r>
      <w:r w:rsidRPr="10339F63">
        <w:rPr>
          <w:rFonts w:cs="Times New Roman"/>
          <w:noProof/>
          <w:color w:val="000000" w:themeColor="text1"/>
        </w:rPr>
        <w:t xml:space="preserve">, based on </w:t>
      </w:r>
      <w:r w:rsidR="00A61BC0" w:rsidRPr="3A4C5640">
        <w:rPr>
          <w:rFonts w:cs="Times New Roman"/>
          <w:noProof/>
          <w:color w:val="000000" w:themeColor="text1"/>
        </w:rPr>
        <w:t>average EU values for labour costs</w:t>
      </w:r>
      <w:r w:rsidR="00A61BC0" w:rsidRPr="3A4C5640">
        <w:rPr>
          <w:rFonts w:cs="Times New Roman"/>
          <w:noProof/>
          <w:bdr w:val="nil"/>
        </w:rPr>
        <w:t xml:space="preserve"> </w:t>
      </w:r>
      <w:r w:rsidRPr="10339F63">
        <w:rPr>
          <w:rFonts w:cs="Times New Roman"/>
          <w:noProof/>
        </w:rPr>
        <w:t>(</w:t>
      </w:r>
      <w:r w:rsidRPr="10339F63">
        <w:rPr>
          <w:rFonts w:cs="Times New Roman"/>
          <w:noProof/>
          <w:color w:val="000000" w:themeColor="text1"/>
        </w:rPr>
        <w:t xml:space="preserve">in hourly earnings) </w:t>
      </w:r>
      <w:r w:rsidR="00A61BC0" w:rsidRPr="3A4C5640">
        <w:rPr>
          <w:rFonts w:cs="Times New Roman"/>
          <w:noProof/>
          <w:bdr w:val="nil"/>
        </w:rPr>
        <w:t>using the standard cost model.</w:t>
      </w:r>
    </w:p>
    <w:p w14:paraId="15D7F61B" w14:textId="77777777" w:rsidR="00A61BC0" w:rsidRPr="00724676" w:rsidRDefault="00A61BC0" w:rsidP="001061AF">
      <w:pPr>
        <w:spacing w:before="120" w:after="0"/>
        <w:jc w:val="both"/>
        <w:rPr>
          <w:rFonts w:cs="Times New Roman"/>
          <w:noProof/>
          <w:szCs w:val="24"/>
          <w:bdr w:val="nil"/>
          <w:lang w:val="en-GB"/>
        </w:rPr>
      </w:pPr>
    </w:p>
    <w:p w14:paraId="19092F92" w14:textId="651EB711" w:rsidR="00A61BC0" w:rsidRPr="00724676" w:rsidRDefault="00A61BC0" w:rsidP="001061AF">
      <w:pPr>
        <w:jc w:val="both"/>
        <w:rPr>
          <w:rFonts w:asciiTheme="minorHAnsi" w:hAnsiTheme="minorHAnsi" w:cs="Times New Roman"/>
          <w:bCs/>
          <w:noProof/>
          <w:sz w:val="22"/>
          <w:szCs w:val="24"/>
          <w:lang w:val="en-GB"/>
        </w:rPr>
      </w:pPr>
      <w:r w:rsidRPr="00724676">
        <w:rPr>
          <w:rFonts w:cs="Times New Roman"/>
          <w:b/>
          <w:bCs/>
          <w:noProof/>
          <w:szCs w:val="24"/>
          <w:lang w:val="en-GB"/>
        </w:rPr>
        <w:lastRenderedPageBreak/>
        <w:t>Use of</w:t>
      </w:r>
      <w:r w:rsidR="00594B4A">
        <w:rPr>
          <w:rFonts w:cs="Times New Roman"/>
          <w:b/>
          <w:bCs/>
          <w:noProof/>
          <w:szCs w:val="24"/>
          <w:lang w:val="en-GB"/>
        </w:rPr>
        <w:t xml:space="preserve"> the</w:t>
      </w:r>
      <w:r w:rsidRPr="00724676">
        <w:rPr>
          <w:rFonts w:cs="Times New Roman"/>
          <w:b/>
          <w:bCs/>
          <w:noProof/>
          <w:szCs w:val="24"/>
          <w:lang w:val="en-GB"/>
        </w:rPr>
        <w:t xml:space="preserve"> </w:t>
      </w:r>
      <w:r w:rsidRPr="00F15432">
        <w:rPr>
          <w:rFonts w:cs="Times New Roman"/>
          <w:b/>
          <w:bCs/>
          <w:i/>
          <w:iCs/>
          <w:noProof/>
          <w:szCs w:val="24"/>
          <w:lang w:val="en-GB"/>
        </w:rPr>
        <w:t>force majeure</w:t>
      </w:r>
      <w:r w:rsidRPr="00724676">
        <w:rPr>
          <w:rFonts w:cs="Times New Roman"/>
          <w:b/>
          <w:bCs/>
          <w:noProof/>
          <w:szCs w:val="24"/>
          <w:lang w:val="en-GB"/>
        </w:rPr>
        <w:t xml:space="preserve"> and exceptional circumstances clause</w:t>
      </w:r>
    </w:p>
    <w:p w14:paraId="1072ABA4" w14:textId="2A8C5661" w:rsidR="00A61BC0" w:rsidRPr="00724676" w:rsidRDefault="7015181B" w:rsidP="7E954136">
      <w:pPr>
        <w:jc w:val="both"/>
        <w:rPr>
          <w:rFonts w:eastAsia="Times New Roman" w:cs="Times New Roman"/>
          <w:noProof/>
          <w:color w:val="333333"/>
          <w:lang w:val="en-GB"/>
        </w:rPr>
      </w:pPr>
      <w:r w:rsidRPr="7E954136">
        <w:rPr>
          <w:rFonts w:cs="Times New Roman"/>
          <w:noProof/>
          <w:bdr w:val="nil"/>
          <w:lang w:val="en-GB"/>
        </w:rPr>
        <w:t xml:space="preserve">The </w:t>
      </w:r>
      <w:r w:rsidR="26AEDFCE" w:rsidRPr="7E954136">
        <w:rPr>
          <w:rFonts w:cs="Times New Roman"/>
          <w:noProof/>
          <w:bdr w:val="nil"/>
          <w:lang w:val="en-GB"/>
        </w:rPr>
        <w:t xml:space="preserve">application of the </w:t>
      </w:r>
      <w:r w:rsidRPr="7E954136">
        <w:rPr>
          <w:rFonts w:cs="Times New Roman"/>
          <w:noProof/>
          <w:bdr w:val="nil"/>
          <w:lang w:val="en-GB"/>
        </w:rPr>
        <w:t xml:space="preserve">concept of </w:t>
      </w:r>
      <w:r w:rsidRPr="00F15432">
        <w:rPr>
          <w:rFonts w:cs="Times New Roman"/>
          <w:i/>
          <w:iCs/>
          <w:noProof/>
          <w:bdr w:val="nil"/>
          <w:lang w:val="en-GB"/>
        </w:rPr>
        <w:t>force majeure</w:t>
      </w:r>
      <w:r w:rsidR="3EFA1CF4" w:rsidRPr="10339F63">
        <w:rPr>
          <w:rFonts w:cs="Times New Roman"/>
          <w:i/>
          <w:iCs/>
          <w:noProof/>
          <w:bdr w:val="nil"/>
          <w:lang w:val="en-GB"/>
        </w:rPr>
        <w:t>/</w:t>
      </w:r>
      <w:r w:rsidR="3EFA1CF4" w:rsidRPr="00F15432">
        <w:rPr>
          <w:rFonts w:cs="Times New Roman"/>
          <w:noProof/>
          <w:bdr w:val="nil"/>
          <w:lang w:val="en-GB"/>
        </w:rPr>
        <w:t>exceptional circumstances</w:t>
      </w:r>
      <w:r w:rsidRPr="7E954136">
        <w:rPr>
          <w:rFonts w:cs="Times New Roman"/>
          <w:noProof/>
          <w:bdr w:val="nil"/>
          <w:lang w:val="en-GB"/>
        </w:rPr>
        <w:t xml:space="preserve"> </w:t>
      </w:r>
      <w:r w:rsidRPr="7E954136">
        <w:rPr>
          <w:rFonts w:eastAsia="Times New Roman" w:cs="Times New Roman"/>
          <w:noProof/>
          <w:color w:val="333333"/>
          <w:lang w:val="en-GB"/>
        </w:rPr>
        <w:t>will reduce the administrative burden for farmers by eliminating</w:t>
      </w:r>
      <w:r w:rsidRPr="7E954136">
        <w:rPr>
          <w:rFonts w:eastAsia="Times New Roman" w:cs="Times New Roman"/>
          <w:b/>
          <w:bCs/>
          <w:noProof/>
          <w:color w:val="333333"/>
          <w:lang w:val="en-GB"/>
        </w:rPr>
        <w:t xml:space="preserve"> </w:t>
      </w:r>
      <w:r w:rsidRPr="7E954136">
        <w:rPr>
          <w:rFonts w:eastAsia="Times New Roman" w:cs="Times New Roman"/>
          <w:noProof/>
          <w:color w:val="333333"/>
          <w:lang w:val="en-GB"/>
        </w:rPr>
        <w:t xml:space="preserve">the </w:t>
      </w:r>
      <w:r w:rsidR="00A0403B" w:rsidRPr="7E954136">
        <w:rPr>
          <w:rFonts w:eastAsia="Times New Roman" w:cs="Times New Roman"/>
          <w:noProof/>
          <w:color w:val="333333"/>
          <w:lang w:val="en-GB"/>
        </w:rPr>
        <w:t xml:space="preserve">need </w:t>
      </w:r>
      <w:r w:rsidR="00A0403B" w:rsidRPr="10339F63">
        <w:rPr>
          <w:rFonts w:eastAsia="Times New Roman" w:cs="Times New Roman"/>
          <w:noProof/>
          <w:color w:val="333333"/>
          <w:lang w:val="en-GB"/>
        </w:rPr>
        <w:t>to</w:t>
      </w:r>
      <w:r w:rsidR="32F90A2F" w:rsidRPr="10339F63">
        <w:rPr>
          <w:rFonts w:eastAsia="Times New Roman" w:cs="Times New Roman"/>
          <w:noProof/>
          <w:color w:val="333333"/>
          <w:lang w:val="en-GB"/>
        </w:rPr>
        <w:t xml:space="preserve"> introduce</w:t>
      </w:r>
      <w:r w:rsidRPr="7E954136">
        <w:rPr>
          <w:rFonts w:eastAsia="Times New Roman" w:cs="Times New Roman"/>
          <w:noProof/>
          <w:color w:val="333333"/>
          <w:lang w:val="en-GB"/>
        </w:rPr>
        <w:t xml:space="preserve"> individual requests</w:t>
      </w:r>
      <w:r w:rsidRPr="7E954136">
        <w:rPr>
          <w:rFonts w:cs="Times New Roman"/>
          <w:noProof/>
          <w:lang w:val="en-GB"/>
        </w:rPr>
        <w:t xml:space="preserve"> and for a case-by-case assessment by national administrations. </w:t>
      </w:r>
      <w:r w:rsidR="32F90A2F" w:rsidRPr="10339F63">
        <w:rPr>
          <w:rFonts w:cs="Times New Roman"/>
          <w:noProof/>
          <w:lang w:val="en-GB"/>
        </w:rPr>
        <w:t xml:space="preserve">It was not possible to quantify </w:t>
      </w:r>
      <w:r w:rsidRPr="7E954136">
        <w:rPr>
          <w:rFonts w:cs="Times New Roman"/>
          <w:noProof/>
          <w:lang w:val="en-GB"/>
        </w:rPr>
        <w:t xml:space="preserve">the </w:t>
      </w:r>
      <w:r w:rsidR="00A0403B" w:rsidRPr="7E954136">
        <w:rPr>
          <w:rFonts w:cs="Times New Roman"/>
          <w:noProof/>
          <w:lang w:val="en-GB"/>
        </w:rPr>
        <w:t>benefits as</w:t>
      </w:r>
      <w:r w:rsidRPr="7E954136">
        <w:rPr>
          <w:rFonts w:cs="Times New Roman"/>
          <w:noProof/>
          <w:lang w:val="en-GB"/>
        </w:rPr>
        <w:t xml:space="preserve"> </w:t>
      </w:r>
      <w:r w:rsidR="32F90A2F" w:rsidRPr="10339F63">
        <w:rPr>
          <w:rFonts w:cs="Times New Roman"/>
          <w:noProof/>
          <w:lang w:val="en-GB"/>
        </w:rPr>
        <w:t xml:space="preserve">this </w:t>
      </w:r>
      <w:r w:rsidRPr="7E954136">
        <w:rPr>
          <w:rFonts w:cs="Times New Roman"/>
          <w:noProof/>
          <w:lang w:val="en-GB"/>
        </w:rPr>
        <w:t xml:space="preserve">depends </w:t>
      </w:r>
      <w:r w:rsidRPr="7E954136">
        <w:rPr>
          <w:rFonts w:eastAsia="Times New Roman" w:cs="Times New Roman"/>
          <w:noProof/>
          <w:color w:val="333333"/>
          <w:lang w:val="en-GB"/>
        </w:rPr>
        <w:t>on the occurrence of unpredictable events.</w:t>
      </w:r>
    </w:p>
    <w:p w14:paraId="1A2F5D84" w14:textId="613B03AB" w:rsidR="00A61BC0" w:rsidRPr="00724676" w:rsidRDefault="7015181B" w:rsidP="10339F63">
      <w:pPr>
        <w:rPr>
          <w:rFonts w:asciiTheme="minorHAnsi" w:hAnsiTheme="minorHAnsi" w:cs="Times New Roman"/>
          <w:noProof/>
          <w:sz w:val="22"/>
          <w:lang w:val="en-GB"/>
        </w:rPr>
      </w:pPr>
      <w:r w:rsidRPr="10339F63">
        <w:rPr>
          <w:rFonts w:cs="Times New Roman"/>
          <w:b/>
          <w:bCs/>
          <w:noProof/>
          <w:lang w:val="en-GB"/>
        </w:rPr>
        <w:t xml:space="preserve">Rationalisation of controls including the right </w:t>
      </w:r>
      <w:r w:rsidR="7559CF61" w:rsidRPr="10339F63">
        <w:rPr>
          <w:rFonts w:cs="Times New Roman"/>
          <w:b/>
          <w:bCs/>
          <w:noProof/>
          <w:lang w:val="en-GB"/>
        </w:rPr>
        <w:t>of</w:t>
      </w:r>
      <w:r w:rsidR="73217142" w:rsidRPr="10339F63">
        <w:rPr>
          <w:rFonts w:cs="Times New Roman"/>
          <w:b/>
          <w:bCs/>
          <w:noProof/>
          <w:lang w:val="en-GB"/>
        </w:rPr>
        <w:t xml:space="preserve"> </w:t>
      </w:r>
      <w:r w:rsidRPr="10339F63">
        <w:rPr>
          <w:rFonts w:cs="Times New Roman"/>
          <w:b/>
          <w:bCs/>
          <w:noProof/>
          <w:lang w:val="en-GB"/>
        </w:rPr>
        <w:t>error/exemption of farmers subject to conditionality from cross</w:t>
      </w:r>
      <w:r w:rsidR="419F0B83" w:rsidRPr="10339F63">
        <w:rPr>
          <w:rFonts w:cs="Times New Roman"/>
          <w:b/>
          <w:bCs/>
          <w:noProof/>
          <w:lang w:val="en-GB"/>
        </w:rPr>
        <w:t>-</w:t>
      </w:r>
      <w:r w:rsidRPr="10339F63">
        <w:rPr>
          <w:rFonts w:cs="Times New Roman"/>
          <w:b/>
          <w:bCs/>
          <w:noProof/>
          <w:lang w:val="en-GB"/>
        </w:rPr>
        <w:t>compliance controls</w:t>
      </w:r>
    </w:p>
    <w:p w14:paraId="26234781" w14:textId="41DD2F55" w:rsidR="00A61BC0" w:rsidRPr="00724676" w:rsidRDefault="00A61BC0" w:rsidP="10339F63">
      <w:pPr>
        <w:jc w:val="both"/>
        <w:rPr>
          <w:rFonts w:eastAsia="Calibri" w:cs="Times New Roman"/>
          <w:noProof/>
          <w:lang w:val="en-GB"/>
        </w:rPr>
      </w:pPr>
      <w:r w:rsidRPr="10339F63">
        <w:rPr>
          <w:rFonts w:eastAsia="Times New Roman" w:cs="Times New Roman"/>
          <w:noProof/>
          <w:color w:val="333333"/>
          <w:lang w:val="en-GB"/>
        </w:rPr>
        <w:t xml:space="preserve">This will result in fewer on-site visits from the national administration and will benefit farmers by leaving </w:t>
      </w:r>
      <w:r w:rsidR="00F27B14" w:rsidRPr="10339F63">
        <w:rPr>
          <w:rFonts w:eastAsia="Times New Roman" w:cs="Times New Roman"/>
          <w:noProof/>
          <w:color w:val="333333"/>
          <w:lang w:val="en-GB"/>
        </w:rPr>
        <w:t xml:space="preserve">them </w:t>
      </w:r>
      <w:r w:rsidRPr="10339F63">
        <w:rPr>
          <w:rFonts w:eastAsia="Times New Roman" w:cs="Times New Roman"/>
          <w:noProof/>
          <w:color w:val="333333"/>
          <w:lang w:val="en-GB"/>
        </w:rPr>
        <w:t>more time to work</w:t>
      </w:r>
      <w:r w:rsidR="00F27B14" w:rsidRPr="10339F63">
        <w:rPr>
          <w:rFonts w:eastAsia="Times New Roman" w:cs="Times New Roman"/>
          <w:noProof/>
          <w:color w:val="333333"/>
          <w:lang w:val="en-GB"/>
        </w:rPr>
        <w:t>. Rationalisation</w:t>
      </w:r>
      <w:r w:rsidRPr="10339F63">
        <w:rPr>
          <w:rFonts w:eastAsia="Times New Roman" w:cs="Times New Roman"/>
          <w:noProof/>
          <w:color w:val="333333"/>
          <w:lang w:val="en-GB"/>
        </w:rPr>
        <w:t xml:space="preserve"> will also reduce uncertainty since </w:t>
      </w:r>
      <w:r w:rsidR="00F27B14" w:rsidRPr="10339F63">
        <w:rPr>
          <w:rFonts w:eastAsia="Times New Roman" w:cs="Times New Roman"/>
          <w:noProof/>
          <w:color w:val="333333"/>
          <w:lang w:val="en-GB"/>
        </w:rPr>
        <w:t xml:space="preserve">it </w:t>
      </w:r>
      <w:r w:rsidRPr="10339F63">
        <w:rPr>
          <w:rFonts w:eastAsia="Times New Roman" w:cs="Times New Roman"/>
          <w:noProof/>
          <w:color w:val="333333"/>
          <w:lang w:val="en-GB"/>
        </w:rPr>
        <w:t xml:space="preserve">will prevent </w:t>
      </w:r>
      <w:r w:rsidR="00F27B14" w:rsidRPr="10339F63">
        <w:rPr>
          <w:rFonts w:eastAsia="Times New Roman" w:cs="Times New Roman"/>
          <w:noProof/>
          <w:color w:val="333333"/>
          <w:lang w:val="en-GB"/>
        </w:rPr>
        <w:t xml:space="preserve">the </w:t>
      </w:r>
      <w:r w:rsidRPr="10339F63">
        <w:rPr>
          <w:rFonts w:eastAsia="Times New Roman" w:cs="Times New Roman"/>
          <w:noProof/>
          <w:color w:val="333333"/>
          <w:lang w:val="en-GB"/>
        </w:rPr>
        <w:t>withdrawal of CAP support and will positively impact the mental well</w:t>
      </w:r>
      <w:r w:rsidR="00F27B14" w:rsidRPr="10339F63">
        <w:rPr>
          <w:rFonts w:eastAsia="Times New Roman" w:cs="Times New Roman"/>
          <w:noProof/>
          <w:color w:val="333333"/>
          <w:lang w:val="en-GB"/>
        </w:rPr>
        <w:t>-</w:t>
      </w:r>
      <w:r w:rsidRPr="10339F63">
        <w:rPr>
          <w:rFonts w:eastAsia="Times New Roman" w:cs="Times New Roman"/>
          <w:noProof/>
          <w:color w:val="333333"/>
          <w:lang w:val="en-GB"/>
        </w:rPr>
        <w:t>being of beneficiaries. It will</w:t>
      </w:r>
      <w:r w:rsidRPr="10339F63">
        <w:rPr>
          <w:rFonts w:eastAsia="Calibri" w:cs="Times New Roman"/>
          <w:noProof/>
          <w:lang w:val="en-GB"/>
        </w:rPr>
        <w:t xml:space="preserve"> ease the control burden, remove the hassle costs for these beneficiaries and will result in cost benefits for national administrations</w:t>
      </w:r>
      <w:r w:rsidR="00F27B14" w:rsidRPr="10339F63">
        <w:rPr>
          <w:rFonts w:eastAsia="Calibri" w:cs="Times New Roman"/>
          <w:noProof/>
          <w:lang w:val="en-GB"/>
        </w:rPr>
        <w:t>,</w:t>
      </w:r>
      <w:r w:rsidRPr="10339F63">
        <w:rPr>
          <w:rFonts w:eastAsia="Calibri" w:cs="Times New Roman"/>
          <w:noProof/>
          <w:lang w:val="en-GB"/>
        </w:rPr>
        <w:t xml:space="preserve"> though these benefits could not be quantified due to the lack of data. </w:t>
      </w:r>
    </w:p>
    <w:p w14:paraId="327ADC55" w14:textId="77777777" w:rsidR="00A61BC0" w:rsidRPr="00724676" w:rsidRDefault="00A61BC0" w:rsidP="001061AF">
      <w:pPr>
        <w:jc w:val="both"/>
        <w:rPr>
          <w:rFonts w:cs="Times New Roman"/>
          <w:b/>
          <w:bCs/>
          <w:noProof/>
          <w:szCs w:val="24"/>
          <w:lang w:val="en-GB"/>
        </w:rPr>
      </w:pPr>
      <w:r w:rsidRPr="00724676">
        <w:rPr>
          <w:rFonts w:cs="Times New Roman"/>
          <w:b/>
          <w:bCs/>
          <w:noProof/>
          <w:szCs w:val="24"/>
          <w:lang w:val="en-GB"/>
        </w:rPr>
        <w:t>Adjustments to GAECs</w:t>
      </w:r>
    </w:p>
    <w:p w14:paraId="2E6372C2" w14:textId="33A49B3C" w:rsidR="00A61BC0" w:rsidRPr="00724676" w:rsidRDefault="03689ED2" w:rsidP="10339F63">
      <w:pPr>
        <w:jc w:val="both"/>
        <w:rPr>
          <w:rFonts w:eastAsiaTheme="minorEastAsia" w:cs="Times New Roman"/>
          <w:noProof/>
        </w:rPr>
      </w:pPr>
      <w:r w:rsidRPr="56A6C3AA">
        <w:rPr>
          <w:rFonts w:eastAsiaTheme="minorEastAsia" w:cs="Times New Roman"/>
          <w:noProof/>
        </w:rPr>
        <w:t>Changes to</w:t>
      </w:r>
      <w:r w:rsidR="7015181B" w:rsidRPr="56A6C3AA">
        <w:rPr>
          <w:rFonts w:eastAsiaTheme="minorEastAsia" w:cs="Times New Roman"/>
          <w:noProof/>
        </w:rPr>
        <w:t xml:space="preserve"> the rules under</w:t>
      </w:r>
      <w:r w:rsidRPr="56A6C3AA">
        <w:rPr>
          <w:rFonts w:eastAsiaTheme="minorEastAsia" w:cs="Times New Roman"/>
          <w:noProof/>
        </w:rPr>
        <w:t xml:space="preserve"> the</w:t>
      </w:r>
      <w:r w:rsidR="7015181B" w:rsidRPr="56A6C3AA">
        <w:rPr>
          <w:rFonts w:eastAsiaTheme="minorEastAsia" w:cs="Times New Roman"/>
          <w:noProof/>
        </w:rPr>
        <w:t xml:space="preserve"> GAECs will give Member States the possibility to </w:t>
      </w:r>
      <w:r w:rsidRPr="56A6C3AA">
        <w:rPr>
          <w:rFonts w:eastAsiaTheme="minorEastAsia" w:cs="Times New Roman"/>
          <w:noProof/>
        </w:rPr>
        <w:t xml:space="preserve">allow </w:t>
      </w:r>
      <w:r w:rsidR="7015181B" w:rsidRPr="56A6C3AA">
        <w:rPr>
          <w:rFonts w:eastAsiaTheme="minorEastAsia" w:cs="Times New Roman"/>
          <w:noProof/>
        </w:rPr>
        <w:t>farmers to better manage their farms in response to market developments</w:t>
      </w:r>
      <w:r w:rsidRPr="56A6C3AA">
        <w:rPr>
          <w:rFonts w:eastAsiaTheme="minorEastAsia" w:cs="Times New Roman"/>
          <w:noProof/>
        </w:rPr>
        <w:t xml:space="preserve"> and</w:t>
      </w:r>
      <w:r w:rsidR="7015181B" w:rsidRPr="56A6C3AA">
        <w:rPr>
          <w:rFonts w:eastAsiaTheme="minorEastAsia" w:cs="Times New Roman"/>
          <w:noProof/>
        </w:rPr>
        <w:t xml:space="preserve"> weather conditions</w:t>
      </w:r>
      <w:r w:rsidRPr="56A6C3AA">
        <w:rPr>
          <w:rFonts w:eastAsiaTheme="minorEastAsia" w:cs="Times New Roman"/>
          <w:noProof/>
        </w:rPr>
        <w:t>, thus</w:t>
      </w:r>
      <w:r w:rsidR="7015181B" w:rsidRPr="56A6C3AA">
        <w:rPr>
          <w:rFonts w:eastAsiaTheme="minorEastAsia" w:cs="Times New Roman"/>
          <w:noProof/>
        </w:rPr>
        <w:t xml:space="preserve"> supporting their economic viability. Farmers will be able to better </w:t>
      </w:r>
      <w:r w:rsidR="7015181B" w:rsidRPr="56A6C3AA">
        <w:rPr>
          <w:rFonts w:eastAsia="Calibri" w:cs="Times New Roman"/>
          <w:noProof/>
          <w:color w:val="000000" w:themeColor="text1"/>
        </w:rPr>
        <w:t>organise soil preparation and the related financial risks will be reduced.</w:t>
      </w:r>
      <w:r w:rsidR="7015181B" w:rsidRPr="56A6C3AA">
        <w:rPr>
          <w:rFonts w:eastAsiaTheme="minorEastAsia" w:cs="Times New Roman"/>
          <w:noProof/>
        </w:rPr>
        <w:t xml:space="preserve"> The flexibility and the removal of certain restrictions on farm management are intended to simplify farmers’ daily work</w:t>
      </w:r>
      <w:r w:rsidR="17AC2987" w:rsidRPr="56A6C3AA">
        <w:rPr>
          <w:rFonts w:eastAsiaTheme="minorEastAsia" w:cs="Times New Roman"/>
          <w:noProof/>
        </w:rPr>
        <w:t>,</w:t>
      </w:r>
      <w:r w:rsidR="7015181B" w:rsidRPr="56A6C3AA">
        <w:rPr>
          <w:rFonts w:eastAsiaTheme="minorEastAsia" w:cs="Times New Roman"/>
          <w:noProof/>
        </w:rPr>
        <w:t xml:space="preserve"> address </w:t>
      </w:r>
      <w:r w:rsidRPr="56A6C3AA">
        <w:rPr>
          <w:rFonts w:eastAsiaTheme="minorEastAsia" w:cs="Times New Roman"/>
          <w:noProof/>
        </w:rPr>
        <w:t xml:space="preserve">any </w:t>
      </w:r>
      <w:r w:rsidR="7015181B" w:rsidRPr="56A6C3AA">
        <w:rPr>
          <w:rFonts w:eastAsiaTheme="minorEastAsia" w:cs="Times New Roman"/>
          <w:noProof/>
        </w:rPr>
        <w:t xml:space="preserve">incomprehension </w:t>
      </w:r>
      <w:r w:rsidRPr="56A6C3AA">
        <w:rPr>
          <w:rFonts w:eastAsiaTheme="minorEastAsia" w:cs="Times New Roman"/>
          <w:noProof/>
        </w:rPr>
        <w:t xml:space="preserve">or </w:t>
      </w:r>
      <w:r w:rsidR="7015181B" w:rsidRPr="56A6C3AA">
        <w:rPr>
          <w:rFonts w:eastAsiaTheme="minorEastAsia" w:cs="Times New Roman"/>
          <w:noProof/>
        </w:rPr>
        <w:t xml:space="preserve">frustration linked to what farmers perceive as the </w:t>
      </w:r>
      <w:r w:rsidRPr="56A6C3AA">
        <w:rPr>
          <w:rFonts w:eastAsiaTheme="minorEastAsia" w:cs="Times New Roman"/>
          <w:noProof/>
        </w:rPr>
        <w:t xml:space="preserve">unnecessary </w:t>
      </w:r>
      <w:r w:rsidR="7015181B" w:rsidRPr="56A6C3AA">
        <w:rPr>
          <w:rFonts w:eastAsiaTheme="minorEastAsia" w:cs="Times New Roman"/>
          <w:noProof/>
        </w:rPr>
        <w:t>interference of policy</w:t>
      </w:r>
      <w:r w:rsidRPr="56A6C3AA">
        <w:rPr>
          <w:rFonts w:eastAsiaTheme="minorEastAsia" w:cs="Times New Roman"/>
          <w:noProof/>
        </w:rPr>
        <w:t>making</w:t>
      </w:r>
      <w:r w:rsidR="7015181B" w:rsidRPr="56A6C3AA">
        <w:rPr>
          <w:rFonts w:eastAsiaTheme="minorEastAsia" w:cs="Times New Roman"/>
          <w:noProof/>
        </w:rPr>
        <w:t xml:space="preserve"> </w:t>
      </w:r>
      <w:r w:rsidRPr="56A6C3AA">
        <w:rPr>
          <w:rFonts w:eastAsiaTheme="minorEastAsia" w:cs="Times New Roman"/>
          <w:noProof/>
        </w:rPr>
        <w:t>in</w:t>
      </w:r>
      <w:r w:rsidR="7015181B" w:rsidRPr="56A6C3AA">
        <w:rPr>
          <w:rFonts w:eastAsiaTheme="minorEastAsia" w:cs="Times New Roman"/>
          <w:noProof/>
        </w:rPr>
        <w:t xml:space="preserve"> farm management</w:t>
      </w:r>
      <w:r w:rsidR="225D9438" w:rsidRPr="56A6C3AA">
        <w:rPr>
          <w:rFonts w:eastAsiaTheme="minorEastAsia" w:cs="Times New Roman"/>
          <w:noProof/>
        </w:rPr>
        <w:t>, and address</w:t>
      </w:r>
      <w:r w:rsidR="113D2747" w:rsidRPr="56A6C3AA">
        <w:rPr>
          <w:rFonts w:eastAsiaTheme="minorEastAsia" w:cs="Times New Roman"/>
          <w:noProof/>
        </w:rPr>
        <w:t xml:space="preserve"> their</w:t>
      </w:r>
      <w:r w:rsidR="225D9438" w:rsidRPr="56A6C3AA">
        <w:rPr>
          <w:rFonts w:eastAsiaTheme="minorEastAsia" w:cs="Times New Roman"/>
          <w:noProof/>
        </w:rPr>
        <w:t xml:space="preserve"> income related concerns</w:t>
      </w:r>
      <w:r w:rsidR="7015181B" w:rsidRPr="56A6C3AA">
        <w:rPr>
          <w:rFonts w:eastAsiaTheme="minorEastAsia" w:cs="Times New Roman"/>
          <w:noProof/>
        </w:rPr>
        <w:t xml:space="preserve">. </w:t>
      </w:r>
    </w:p>
    <w:p w14:paraId="38365A10" w14:textId="5D3EF4AD" w:rsidR="00A61BC0" w:rsidRPr="00724676" w:rsidRDefault="6D4F31AC" w:rsidP="7790D53C">
      <w:pPr>
        <w:jc w:val="both"/>
        <w:rPr>
          <w:rFonts w:eastAsiaTheme="minorEastAsia" w:cs="Times New Roman"/>
          <w:noProof/>
          <w:lang w:val="en-GB"/>
        </w:rPr>
      </w:pPr>
      <w:r w:rsidRPr="7790D53C">
        <w:rPr>
          <w:rFonts w:eastAsiaTheme="minorEastAsia" w:cs="Times New Roman"/>
          <w:noProof/>
          <w:lang w:val="en-GB"/>
        </w:rPr>
        <w:t>L</w:t>
      </w:r>
      <w:r w:rsidR="00A61BC0" w:rsidRPr="7790D53C">
        <w:rPr>
          <w:rFonts w:eastAsiaTheme="minorEastAsia" w:cs="Times New Roman"/>
          <w:noProof/>
          <w:lang w:val="en-GB"/>
        </w:rPr>
        <w:t xml:space="preserve">ifting the GAEC 8 </w:t>
      </w:r>
      <w:r w:rsidR="00263FE0" w:rsidRPr="7790D53C">
        <w:rPr>
          <w:rFonts w:eastAsiaTheme="minorEastAsia" w:cs="Times New Roman"/>
          <w:noProof/>
          <w:lang w:val="en-GB"/>
        </w:rPr>
        <w:t xml:space="preserve">first </w:t>
      </w:r>
      <w:r w:rsidR="00A61BC0" w:rsidRPr="7790D53C">
        <w:rPr>
          <w:rFonts w:eastAsiaTheme="minorEastAsia" w:cs="Times New Roman"/>
          <w:noProof/>
          <w:lang w:val="en-GB"/>
        </w:rPr>
        <w:t xml:space="preserve">requirement </w:t>
      </w:r>
      <w:r w:rsidR="2123AB65" w:rsidRPr="7790D53C">
        <w:rPr>
          <w:rFonts w:eastAsiaTheme="minorEastAsia" w:cs="Times New Roman"/>
          <w:noProof/>
          <w:lang w:val="en-GB"/>
        </w:rPr>
        <w:t xml:space="preserve">is estimated </w:t>
      </w:r>
      <w:r w:rsidR="00A0403B" w:rsidRPr="7790D53C">
        <w:rPr>
          <w:rFonts w:eastAsiaTheme="minorEastAsia" w:cs="Times New Roman"/>
          <w:noProof/>
          <w:lang w:val="en-GB"/>
        </w:rPr>
        <w:t>to impact</w:t>
      </w:r>
      <w:r w:rsidR="00A61BC0" w:rsidRPr="7790D53C">
        <w:rPr>
          <w:rFonts w:eastAsiaTheme="minorEastAsia" w:cs="Times New Roman"/>
          <w:noProof/>
          <w:lang w:val="en-GB"/>
        </w:rPr>
        <w:t xml:space="preserve"> roughly 1.1 million farms by freeing close to 2.1 million hectares of GAEC 8 </w:t>
      </w:r>
      <w:r w:rsidR="00BC013F" w:rsidRPr="7790D53C">
        <w:rPr>
          <w:rFonts w:eastAsiaTheme="minorEastAsia" w:cs="Times New Roman"/>
          <w:noProof/>
          <w:lang w:val="en-GB"/>
        </w:rPr>
        <w:t>non-productive</w:t>
      </w:r>
      <w:r w:rsidR="00A61BC0" w:rsidRPr="7790D53C">
        <w:rPr>
          <w:rFonts w:eastAsiaTheme="minorEastAsia" w:cs="Times New Roman"/>
          <w:noProof/>
          <w:lang w:val="en-GB"/>
        </w:rPr>
        <w:t xml:space="preserve"> land</w:t>
      </w:r>
      <w:r w:rsidR="00CA5B29" w:rsidRPr="7790D53C">
        <w:rPr>
          <w:rFonts w:eastAsiaTheme="minorEastAsia" w:cs="Times New Roman"/>
          <w:noProof/>
          <w:lang w:val="en-GB"/>
        </w:rPr>
        <w:t xml:space="preserve"> for production</w:t>
      </w:r>
      <w:r w:rsidR="00A61BC0" w:rsidRPr="7790D53C">
        <w:rPr>
          <w:rFonts w:eastAsiaTheme="minorEastAsia" w:cs="Times New Roman"/>
          <w:noProof/>
          <w:lang w:val="en-GB"/>
        </w:rPr>
        <w:t xml:space="preserve">. The economic impact measured as the annual change </w:t>
      </w:r>
      <w:r w:rsidR="00CA5B29" w:rsidRPr="7790D53C">
        <w:rPr>
          <w:rFonts w:eastAsiaTheme="minorEastAsia" w:cs="Times New Roman"/>
          <w:noProof/>
          <w:lang w:val="en-GB"/>
        </w:rPr>
        <w:t xml:space="preserve">in the </w:t>
      </w:r>
      <w:r w:rsidR="00A61BC0" w:rsidRPr="7790D53C">
        <w:rPr>
          <w:rFonts w:eastAsiaTheme="minorEastAsia" w:cs="Times New Roman"/>
          <w:noProof/>
          <w:lang w:val="en-GB"/>
        </w:rPr>
        <w:t xml:space="preserve">gross margin of arable crops (additional income/avoided income loss), is estimated to be around EUR 930 million. This corresponds to </w:t>
      </w:r>
      <w:r w:rsidR="00CA5B29" w:rsidRPr="7790D53C">
        <w:rPr>
          <w:rFonts w:eastAsiaTheme="minorEastAsia" w:cs="Times New Roman"/>
          <w:noProof/>
          <w:lang w:val="en-GB"/>
        </w:rPr>
        <w:t xml:space="preserve">a </w:t>
      </w:r>
      <w:r w:rsidR="00A61BC0" w:rsidRPr="7790D53C">
        <w:rPr>
          <w:rFonts w:eastAsiaTheme="minorEastAsia" w:cs="Times New Roman"/>
          <w:noProof/>
          <w:lang w:val="en-GB"/>
        </w:rPr>
        <w:t xml:space="preserve">1.5% increase </w:t>
      </w:r>
      <w:r w:rsidR="00CA5B29" w:rsidRPr="7790D53C">
        <w:rPr>
          <w:rFonts w:eastAsiaTheme="minorEastAsia" w:cs="Times New Roman"/>
          <w:noProof/>
          <w:lang w:val="en-GB"/>
        </w:rPr>
        <w:t xml:space="preserve">in </w:t>
      </w:r>
      <w:r w:rsidR="00A61BC0" w:rsidRPr="7790D53C">
        <w:rPr>
          <w:rFonts w:eastAsiaTheme="minorEastAsia" w:cs="Times New Roman"/>
          <w:noProof/>
          <w:lang w:val="en-GB"/>
        </w:rPr>
        <w:t>gross margin for the impacted farms.</w:t>
      </w:r>
    </w:p>
    <w:p w14:paraId="1829ECA2" w14:textId="33786625" w:rsidR="00A61BC0" w:rsidRPr="00724676" w:rsidRDefault="00A61BC0" w:rsidP="10339F63">
      <w:pPr>
        <w:jc w:val="both"/>
        <w:rPr>
          <w:rFonts w:eastAsiaTheme="minorEastAsia" w:cs="Times New Roman"/>
          <w:noProof/>
        </w:rPr>
      </w:pPr>
      <w:r w:rsidRPr="582014A8">
        <w:rPr>
          <w:rFonts w:eastAsiaTheme="minorEastAsia" w:cs="Times New Roman"/>
          <w:noProof/>
        </w:rPr>
        <w:t>The</w:t>
      </w:r>
      <w:r w:rsidR="3E7C149E" w:rsidRPr="582014A8">
        <w:rPr>
          <w:rFonts w:eastAsiaTheme="minorEastAsia" w:cs="Times New Roman"/>
          <w:noProof/>
        </w:rPr>
        <w:t>se</w:t>
      </w:r>
      <w:r w:rsidRPr="582014A8">
        <w:rPr>
          <w:rFonts w:eastAsiaTheme="minorEastAsia" w:cs="Times New Roman"/>
          <w:noProof/>
        </w:rPr>
        <w:t xml:space="preserve"> </w:t>
      </w:r>
      <w:r w:rsidR="00A0403B" w:rsidRPr="582014A8">
        <w:rPr>
          <w:rFonts w:eastAsiaTheme="minorEastAsia" w:cs="Times New Roman"/>
          <w:noProof/>
        </w:rPr>
        <w:t>adjustments require</w:t>
      </w:r>
      <w:r w:rsidRPr="582014A8">
        <w:rPr>
          <w:rFonts w:eastAsiaTheme="minorEastAsia" w:cs="Times New Roman"/>
          <w:noProof/>
        </w:rPr>
        <w:t xml:space="preserve"> modifications of </w:t>
      </w:r>
      <w:r w:rsidR="1B7CE73B" w:rsidRPr="582014A8">
        <w:rPr>
          <w:rFonts w:eastAsiaTheme="minorEastAsia" w:cs="Times New Roman"/>
          <w:noProof/>
        </w:rPr>
        <w:t xml:space="preserve">certain </w:t>
      </w:r>
      <w:r w:rsidR="0841064E" w:rsidRPr="582014A8">
        <w:rPr>
          <w:rFonts w:eastAsiaTheme="minorEastAsia" w:cs="Times New Roman"/>
          <w:noProof/>
        </w:rPr>
        <w:t xml:space="preserve">PMEF </w:t>
      </w:r>
      <w:r w:rsidR="1B7CE73B" w:rsidRPr="582014A8">
        <w:rPr>
          <w:rFonts w:eastAsiaTheme="minorEastAsia" w:cs="Times New Roman"/>
          <w:noProof/>
        </w:rPr>
        <w:t xml:space="preserve">elements </w:t>
      </w:r>
      <w:r w:rsidR="1966B54F" w:rsidRPr="582014A8">
        <w:rPr>
          <w:rFonts w:eastAsiaTheme="minorEastAsia" w:cs="Times New Roman"/>
          <w:noProof/>
        </w:rPr>
        <w:t xml:space="preserve"> of the CAP plans</w:t>
      </w:r>
      <w:r w:rsidRPr="582014A8">
        <w:rPr>
          <w:rFonts w:eastAsiaTheme="minorEastAsia" w:cs="Times New Roman"/>
          <w:noProof/>
        </w:rPr>
        <w:t xml:space="preserve">. The incorporation of new eco-schemes in the </w:t>
      </w:r>
      <w:r w:rsidR="00523AA0" w:rsidRPr="582014A8">
        <w:rPr>
          <w:rFonts w:eastAsiaTheme="minorEastAsia" w:cs="Times New Roman"/>
          <w:noProof/>
        </w:rPr>
        <w:t>CAP Plans</w:t>
      </w:r>
      <w:r w:rsidRPr="582014A8">
        <w:rPr>
          <w:rFonts w:eastAsiaTheme="minorEastAsia" w:cs="Times New Roman"/>
          <w:noProof/>
        </w:rPr>
        <w:t xml:space="preserve"> </w:t>
      </w:r>
      <w:r w:rsidR="65471F6A" w:rsidRPr="582014A8">
        <w:rPr>
          <w:rFonts w:eastAsiaTheme="minorEastAsia" w:cs="Times New Roman"/>
          <w:noProof/>
        </w:rPr>
        <w:t>may</w:t>
      </w:r>
      <w:r w:rsidRPr="582014A8">
        <w:rPr>
          <w:rFonts w:eastAsiaTheme="minorEastAsia" w:cs="Times New Roman"/>
          <w:noProof/>
        </w:rPr>
        <w:t xml:space="preserve"> require</w:t>
      </w:r>
      <w:r w:rsidR="0BF8C55A" w:rsidRPr="582014A8">
        <w:rPr>
          <w:rFonts w:eastAsiaTheme="minorEastAsia" w:cs="Times New Roman"/>
          <w:noProof/>
        </w:rPr>
        <w:t xml:space="preserve"> </w:t>
      </w:r>
      <w:r w:rsidRPr="582014A8">
        <w:rPr>
          <w:rFonts w:eastAsiaTheme="minorEastAsia" w:cs="Times New Roman"/>
          <w:noProof/>
        </w:rPr>
        <w:t xml:space="preserve">the reallocation of the financial allocations. These </w:t>
      </w:r>
      <w:r w:rsidR="3EFD3D3F" w:rsidRPr="582014A8">
        <w:rPr>
          <w:rFonts w:eastAsiaTheme="minorEastAsia" w:cs="Times New Roman"/>
          <w:noProof/>
        </w:rPr>
        <w:t xml:space="preserve">changes </w:t>
      </w:r>
      <w:r w:rsidRPr="582014A8">
        <w:rPr>
          <w:rFonts w:eastAsiaTheme="minorEastAsia" w:cs="Times New Roman"/>
          <w:noProof/>
        </w:rPr>
        <w:t xml:space="preserve">may </w:t>
      </w:r>
      <w:r w:rsidR="00F52134" w:rsidRPr="582014A8">
        <w:rPr>
          <w:rFonts w:eastAsiaTheme="minorEastAsia" w:cs="Times New Roman"/>
          <w:noProof/>
        </w:rPr>
        <w:t>incur</w:t>
      </w:r>
      <w:r w:rsidRPr="582014A8">
        <w:rPr>
          <w:rFonts w:eastAsiaTheme="minorEastAsia" w:cs="Times New Roman"/>
          <w:noProof/>
        </w:rPr>
        <w:t xml:space="preserve"> adjustment costs for national administration</w:t>
      </w:r>
      <w:r w:rsidR="00E340D3" w:rsidRPr="582014A8">
        <w:rPr>
          <w:rFonts w:eastAsiaTheme="minorEastAsia" w:cs="Times New Roman"/>
          <w:noProof/>
        </w:rPr>
        <w:t>s (it has not been possible, however, to quantify this increase)</w:t>
      </w:r>
      <w:r w:rsidRPr="582014A8">
        <w:rPr>
          <w:rFonts w:eastAsiaTheme="minorEastAsia" w:cs="Times New Roman"/>
          <w:noProof/>
        </w:rPr>
        <w:t>.</w:t>
      </w:r>
    </w:p>
    <w:p w14:paraId="1B67CE02" w14:textId="03C54DF0" w:rsidR="00A61BC0" w:rsidRPr="00724676" w:rsidRDefault="00A61BC0" w:rsidP="10339F63">
      <w:pPr>
        <w:jc w:val="both"/>
        <w:rPr>
          <w:rFonts w:cs="Times New Roman"/>
          <w:noProof/>
          <w:lang w:val="en-GB"/>
        </w:rPr>
      </w:pPr>
      <w:r w:rsidRPr="10339F63">
        <w:rPr>
          <w:rFonts w:cs="Times New Roman"/>
          <w:noProof/>
          <w:bdr w:val="nil"/>
          <w:lang w:val="en-GB"/>
        </w:rPr>
        <w:t>Table 1 provides a</w:t>
      </w:r>
      <w:r w:rsidRPr="10339F63">
        <w:rPr>
          <w:rFonts w:cs="Times New Roman"/>
          <w:noProof/>
          <w:lang w:val="en-GB"/>
        </w:rPr>
        <w:t xml:space="preserve"> qualitative overview of the key benefits of the </w:t>
      </w:r>
      <w:r w:rsidR="00E340D3" w:rsidRPr="10339F63">
        <w:rPr>
          <w:rFonts w:cs="Times New Roman"/>
          <w:noProof/>
          <w:lang w:val="en-GB"/>
        </w:rPr>
        <w:t xml:space="preserve">measures in the </w:t>
      </w:r>
      <w:r w:rsidRPr="10339F63">
        <w:rPr>
          <w:rFonts w:cs="Times New Roman"/>
          <w:noProof/>
          <w:lang w:val="en-GB"/>
        </w:rPr>
        <w:t xml:space="preserve">simplification package. Table 2 presents an estimation of cost savings and </w:t>
      </w:r>
      <w:r w:rsidR="00E340D3" w:rsidRPr="10339F63">
        <w:rPr>
          <w:rFonts w:cs="Times New Roman"/>
          <w:noProof/>
          <w:lang w:val="en-GB"/>
        </w:rPr>
        <w:t>T</w:t>
      </w:r>
      <w:r w:rsidRPr="10339F63">
        <w:rPr>
          <w:rFonts w:cs="Times New Roman"/>
          <w:noProof/>
          <w:lang w:val="en-GB"/>
        </w:rPr>
        <w:t xml:space="preserve">able 3 </w:t>
      </w:r>
      <w:r w:rsidR="00E340D3" w:rsidRPr="10339F63">
        <w:rPr>
          <w:rFonts w:cs="Times New Roman"/>
          <w:noProof/>
          <w:lang w:val="en-GB"/>
        </w:rPr>
        <w:t xml:space="preserve">describes how </w:t>
      </w:r>
      <w:r w:rsidRPr="10339F63">
        <w:rPr>
          <w:rFonts w:cs="Times New Roman"/>
          <w:noProof/>
          <w:lang w:val="en-GB"/>
        </w:rPr>
        <w:t>the one in</w:t>
      </w:r>
      <w:r w:rsidR="00DE2532" w:rsidRPr="10339F63">
        <w:rPr>
          <w:rFonts w:cs="Times New Roman"/>
          <w:noProof/>
          <w:lang w:val="en-GB"/>
        </w:rPr>
        <w:t>,</w:t>
      </w:r>
      <w:r w:rsidRPr="10339F63">
        <w:rPr>
          <w:rFonts w:cs="Times New Roman"/>
          <w:noProof/>
          <w:lang w:val="en-GB"/>
        </w:rPr>
        <w:t xml:space="preserve"> one out approach</w:t>
      </w:r>
      <w:r w:rsidR="00E340D3" w:rsidRPr="10339F63">
        <w:rPr>
          <w:rFonts w:cs="Times New Roman"/>
          <w:noProof/>
          <w:lang w:val="en-GB"/>
        </w:rPr>
        <w:t xml:space="preserve"> will be applied</w:t>
      </w:r>
      <w:r w:rsidRPr="10339F63">
        <w:rPr>
          <w:rFonts w:cs="Times New Roman"/>
          <w:noProof/>
          <w:lang w:val="en-GB"/>
        </w:rPr>
        <w:t>.</w:t>
      </w:r>
      <w:bookmarkStart w:id="156" w:name="_Toc108096509"/>
      <w:bookmarkStart w:id="157" w:name="_Toc126060210"/>
    </w:p>
    <w:p w14:paraId="52507012" w14:textId="77777777" w:rsidR="000E6DE9" w:rsidRDefault="000E6DE9">
      <w:pPr>
        <w:rPr>
          <w:rFonts w:cs="Times New Roman"/>
          <w:b/>
          <w:bCs/>
          <w:noProof/>
          <w:szCs w:val="24"/>
          <w:lang w:val="en-GB"/>
        </w:rPr>
      </w:pPr>
      <w:r>
        <w:rPr>
          <w:rFonts w:cs="Times New Roman"/>
          <w:b/>
          <w:bCs/>
          <w:noProof/>
          <w:szCs w:val="24"/>
          <w:lang w:val="en-GB"/>
        </w:rPr>
        <w:br w:type="page"/>
      </w:r>
    </w:p>
    <w:p w14:paraId="73DE7118" w14:textId="4114B429" w:rsidR="00A61BC0" w:rsidRPr="00724676" w:rsidRDefault="00A61BC0" w:rsidP="00A61BC0">
      <w:pPr>
        <w:rPr>
          <w:rFonts w:cs="Times New Roman"/>
          <w:b/>
          <w:bCs/>
          <w:noProof/>
          <w:szCs w:val="24"/>
          <w:lang w:val="en-GB"/>
        </w:rPr>
      </w:pPr>
      <w:r w:rsidRPr="00724676">
        <w:rPr>
          <w:rFonts w:cs="Times New Roman"/>
          <w:b/>
          <w:bCs/>
          <w:noProof/>
          <w:szCs w:val="24"/>
          <w:lang w:val="en-GB"/>
        </w:rPr>
        <w:lastRenderedPageBreak/>
        <w:t>Summary of costs and benefits</w:t>
      </w:r>
      <w:bookmarkStart w:id="158" w:name="_Ref108099855"/>
      <w:bookmarkStart w:id="159" w:name="_Toc126060250"/>
      <w:bookmarkEnd w:id="156"/>
      <w:bookmarkEnd w:id="157"/>
    </w:p>
    <w:p w14:paraId="37A59776" w14:textId="77777777" w:rsidR="00A61BC0" w:rsidRPr="00724676" w:rsidRDefault="00A61BC0" w:rsidP="00A61BC0">
      <w:pPr>
        <w:rPr>
          <w:rFonts w:cs="Times New Roman"/>
          <w:noProof/>
          <w:szCs w:val="24"/>
          <w:lang w:val="en-GB"/>
        </w:rPr>
      </w:pPr>
      <w:r w:rsidRPr="00724676">
        <w:rPr>
          <w:rFonts w:cs="Times New Roman"/>
          <w:i/>
          <w:iCs/>
          <w:noProof/>
          <w:szCs w:val="24"/>
          <w:lang w:val="en-GB"/>
        </w:rPr>
        <w:t xml:space="preserve">Table </w:t>
      </w:r>
      <w:bookmarkEnd w:id="158"/>
      <w:r w:rsidRPr="00724676">
        <w:rPr>
          <w:rFonts w:cs="Times New Roman"/>
          <w:i/>
          <w:iCs/>
          <w:noProof/>
          <w:szCs w:val="24"/>
          <w:lang w:val="en-GB"/>
        </w:rPr>
        <w:t xml:space="preserve">1 - Overview of benefits </w:t>
      </w:r>
      <w:bookmarkEnd w:id="159"/>
    </w:p>
    <w:tbl>
      <w:tblPr>
        <w:tblStyle w:val="CV12"/>
        <w:tblW w:w="10206"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12"/>
        <w:gridCol w:w="1706"/>
        <w:gridCol w:w="5988"/>
      </w:tblGrid>
      <w:tr w:rsidR="00F34C75" w:rsidRPr="00807559" w14:paraId="1666FA04" w14:textId="77777777" w:rsidTr="10339F63">
        <w:tc>
          <w:tcPr>
            <w:tcW w:w="10206" w:type="dxa"/>
            <w:gridSpan w:val="3"/>
            <w:tcBorders>
              <w:top w:val="double" w:sz="4" w:space="0" w:color="auto"/>
              <w:bottom w:val="single" w:sz="4" w:space="0" w:color="auto"/>
            </w:tcBorders>
            <w:shd w:val="clear" w:color="auto" w:fill="D5DCE4" w:themeFill="text2" w:themeFillTint="33"/>
          </w:tcPr>
          <w:p w14:paraId="66B05984" w14:textId="0D9B0E36" w:rsidR="00A61BC0" w:rsidRPr="00724676" w:rsidRDefault="00A61BC0" w:rsidP="00747A67">
            <w:pPr>
              <w:rPr>
                <w:b/>
                <w:noProof/>
              </w:rPr>
            </w:pPr>
            <w:r w:rsidRPr="00807559">
              <w:rPr>
                <w:b/>
                <w:noProof/>
              </w:rPr>
              <w:t xml:space="preserve">I. Overview of </w:t>
            </w:r>
            <w:r w:rsidR="00E340D3">
              <w:rPr>
                <w:b/>
                <w:noProof/>
              </w:rPr>
              <w:t>b</w:t>
            </w:r>
            <w:r w:rsidRPr="00807559">
              <w:rPr>
                <w:b/>
                <w:noProof/>
              </w:rPr>
              <w:t xml:space="preserve">enefits (total for all provisions) – </w:t>
            </w:r>
            <w:r w:rsidR="00E340D3">
              <w:rPr>
                <w:b/>
                <w:noProof/>
              </w:rPr>
              <w:t>p</w:t>
            </w:r>
            <w:r w:rsidRPr="00807559">
              <w:rPr>
                <w:b/>
                <w:noProof/>
              </w:rPr>
              <w:t xml:space="preserve">referred </w:t>
            </w:r>
            <w:r w:rsidR="00E340D3">
              <w:rPr>
                <w:b/>
                <w:noProof/>
              </w:rPr>
              <w:t>o</w:t>
            </w:r>
            <w:r w:rsidRPr="00807559">
              <w:rPr>
                <w:b/>
                <w:noProof/>
              </w:rPr>
              <w:t>ption</w:t>
            </w:r>
          </w:p>
        </w:tc>
      </w:tr>
      <w:tr w:rsidR="00F34C75" w:rsidRPr="00807559" w14:paraId="3B93A44C" w14:textId="77777777" w:rsidTr="10339F63">
        <w:tc>
          <w:tcPr>
            <w:tcW w:w="2512" w:type="dxa"/>
            <w:tcBorders>
              <w:top w:val="single" w:sz="4" w:space="0" w:color="auto"/>
            </w:tcBorders>
            <w:shd w:val="clear" w:color="auto" w:fill="D5DCE4" w:themeFill="text2" w:themeFillTint="33"/>
          </w:tcPr>
          <w:p w14:paraId="079235DC" w14:textId="77777777" w:rsidR="00A61BC0" w:rsidRPr="00724676" w:rsidRDefault="00A61BC0" w:rsidP="00747A67">
            <w:pPr>
              <w:jc w:val="center"/>
              <w:rPr>
                <w:b/>
                <w:i/>
                <w:noProof/>
              </w:rPr>
            </w:pPr>
            <w:r w:rsidRPr="00807559">
              <w:rPr>
                <w:b/>
                <w:i/>
                <w:noProof/>
              </w:rPr>
              <w:t>Description</w:t>
            </w:r>
          </w:p>
        </w:tc>
        <w:tc>
          <w:tcPr>
            <w:tcW w:w="1706" w:type="dxa"/>
            <w:tcBorders>
              <w:top w:val="single" w:sz="4" w:space="0" w:color="auto"/>
            </w:tcBorders>
            <w:shd w:val="clear" w:color="auto" w:fill="D5DCE4" w:themeFill="text2" w:themeFillTint="33"/>
          </w:tcPr>
          <w:p w14:paraId="0F28FA90" w14:textId="77777777" w:rsidR="00A61BC0" w:rsidRPr="00724676" w:rsidRDefault="00A61BC0" w:rsidP="00747A67">
            <w:pPr>
              <w:jc w:val="center"/>
              <w:rPr>
                <w:b/>
                <w:i/>
                <w:noProof/>
              </w:rPr>
            </w:pPr>
            <w:r w:rsidRPr="00807559">
              <w:rPr>
                <w:b/>
                <w:i/>
                <w:noProof/>
              </w:rPr>
              <w:t>Amount</w:t>
            </w:r>
          </w:p>
        </w:tc>
        <w:tc>
          <w:tcPr>
            <w:tcW w:w="5988" w:type="dxa"/>
            <w:tcBorders>
              <w:top w:val="single" w:sz="4" w:space="0" w:color="auto"/>
            </w:tcBorders>
            <w:shd w:val="clear" w:color="auto" w:fill="D5DCE4" w:themeFill="text2" w:themeFillTint="33"/>
            <w:tcMar>
              <w:top w:w="57" w:type="dxa"/>
              <w:left w:w="57" w:type="dxa"/>
              <w:bottom w:w="57" w:type="dxa"/>
              <w:right w:w="57" w:type="dxa"/>
            </w:tcMar>
          </w:tcPr>
          <w:p w14:paraId="32211E49" w14:textId="77777777" w:rsidR="00A61BC0" w:rsidRPr="00724676" w:rsidRDefault="00A61BC0" w:rsidP="00747A67">
            <w:pPr>
              <w:jc w:val="center"/>
              <w:rPr>
                <w:b/>
                <w:i/>
                <w:noProof/>
              </w:rPr>
            </w:pPr>
            <w:r w:rsidRPr="00807559">
              <w:rPr>
                <w:b/>
                <w:i/>
                <w:noProof/>
              </w:rPr>
              <w:t>Comments</w:t>
            </w:r>
          </w:p>
        </w:tc>
      </w:tr>
      <w:tr w:rsidR="00C44968" w:rsidRPr="00807559" w14:paraId="2C5958B7" w14:textId="77777777" w:rsidTr="10339F63">
        <w:tc>
          <w:tcPr>
            <w:tcW w:w="10206" w:type="dxa"/>
            <w:gridSpan w:val="3"/>
            <w:tcBorders>
              <w:top w:val="double" w:sz="4" w:space="0" w:color="auto"/>
            </w:tcBorders>
            <w:shd w:val="clear" w:color="auto" w:fill="F2F2F2" w:themeFill="background1" w:themeFillShade="F2"/>
          </w:tcPr>
          <w:p w14:paraId="2A12BFEB" w14:textId="77777777" w:rsidR="00A61BC0" w:rsidRPr="00724676" w:rsidRDefault="00A61BC0" w:rsidP="00747A67">
            <w:pPr>
              <w:jc w:val="center"/>
              <w:rPr>
                <w:b/>
                <w:i/>
                <w:noProof/>
              </w:rPr>
            </w:pPr>
            <w:r w:rsidRPr="00807559">
              <w:rPr>
                <w:b/>
                <w:i/>
                <w:noProof/>
              </w:rPr>
              <w:t>Direct benefits</w:t>
            </w:r>
          </w:p>
        </w:tc>
      </w:tr>
      <w:tr w:rsidR="00F34C75" w:rsidRPr="00807559" w14:paraId="622B1C1D" w14:textId="77777777" w:rsidTr="10339F63">
        <w:trPr>
          <w:trHeight w:val="513"/>
        </w:trPr>
        <w:tc>
          <w:tcPr>
            <w:tcW w:w="2512" w:type="dxa"/>
            <w:vMerge w:val="restart"/>
            <w:tcBorders>
              <w:top w:val="double" w:sz="4" w:space="0" w:color="auto"/>
            </w:tcBorders>
          </w:tcPr>
          <w:p w14:paraId="7AAD1CC0" w14:textId="77777777" w:rsidR="00A61BC0" w:rsidRPr="00724676" w:rsidRDefault="00A61BC0" w:rsidP="00747A67">
            <w:pPr>
              <w:rPr>
                <w:noProof/>
              </w:rPr>
            </w:pPr>
            <w:r w:rsidRPr="00807559">
              <w:rPr>
                <w:noProof/>
              </w:rPr>
              <w:t>Benefits for farmers – reduction in administrative costs</w:t>
            </w:r>
          </w:p>
          <w:p w14:paraId="5E34DB66" w14:textId="77777777" w:rsidR="00A61BC0" w:rsidRPr="00724676" w:rsidRDefault="00A61BC0" w:rsidP="00747A67">
            <w:pPr>
              <w:rPr>
                <w:noProof/>
              </w:rPr>
            </w:pPr>
          </w:p>
        </w:tc>
        <w:tc>
          <w:tcPr>
            <w:tcW w:w="1706" w:type="dxa"/>
            <w:tcBorders>
              <w:top w:val="double" w:sz="4" w:space="0" w:color="auto"/>
              <w:bottom w:val="double" w:sz="4" w:space="0" w:color="auto"/>
            </w:tcBorders>
            <w:tcMar>
              <w:top w:w="57" w:type="dxa"/>
              <w:left w:w="57" w:type="dxa"/>
              <w:bottom w:w="57" w:type="dxa"/>
              <w:right w:w="57" w:type="dxa"/>
            </w:tcMar>
          </w:tcPr>
          <w:p w14:paraId="25CAE339" w14:textId="77777777" w:rsidR="00A61BC0" w:rsidRDefault="00A61BC0" w:rsidP="00747A67">
            <w:pPr>
              <w:jc w:val="center"/>
              <w:rPr>
                <w:noProof/>
              </w:rPr>
            </w:pPr>
            <w:r w:rsidRPr="00807559">
              <w:rPr>
                <w:noProof/>
              </w:rPr>
              <w:t>EUR 61.8 million</w:t>
            </w:r>
          </w:p>
          <w:p w14:paraId="2CD1B664" w14:textId="62869779" w:rsidR="005B4EDA" w:rsidRPr="00724676" w:rsidRDefault="005B4EDA" w:rsidP="00747A67">
            <w:pPr>
              <w:jc w:val="center"/>
              <w:rPr>
                <w:noProof/>
              </w:rPr>
            </w:pPr>
            <w:r>
              <w:rPr>
                <w:noProof/>
              </w:rPr>
              <w:t>annually</w:t>
            </w:r>
          </w:p>
        </w:tc>
        <w:tc>
          <w:tcPr>
            <w:tcW w:w="5988" w:type="dxa"/>
            <w:tcBorders>
              <w:top w:val="double" w:sz="4" w:space="0" w:color="auto"/>
            </w:tcBorders>
            <w:tcMar>
              <w:top w:w="57" w:type="dxa"/>
              <w:left w:w="57" w:type="dxa"/>
              <w:bottom w:w="57" w:type="dxa"/>
              <w:right w:w="57" w:type="dxa"/>
            </w:tcMar>
          </w:tcPr>
          <w:p w14:paraId="044EE81C" w14:textId="107CDD80" w:rsidR="00A61BC0" w:rsidRPr="00724676" w:rsidRDefault="00A61BC0" w:rsidP="00747A67">
            <w:pPr>
              <w:rPr>
                <w:noProof/>
              </w:rPr>
            </w:pPr>
            <w:r w:rsidRPr="00807559">
              <w:rPr>
                <w:noProof/>
              </w:rPr>
              <w:t>Revision of the IACS quality system will result in</w:t>
            </w:r>
            <w:r w:rsidR="00E340D3">
              <w:rPr>
                <w:noProof/>
              </w:rPr>
              <w:t xml:space="preserve"> fewer visits to farms</w:t>
            </w:r>
            <w:r w:rsidRPr="00807559">
              <w:rPr>
                <w:noProof/>
              </w:rPr>
              <w:t>.</w:t>
            </w:r>
            <w:r w:rsidRPr="00807559">
              <w:rPr>
                <w:rFonts w:eastAsia="Calibri"/>
                <w:noProof/>
              </w:rPr>
              <w:t xml:space="preserve"> </w:t>
            </w:r>
          </w:p>
        </w:tc>
      </w:tr>
      <w:tr w:rsidR="00F34C75" w:rsidRPr="00807559" w14:paraId="2DAD80E1" w14:textId="77777777" w:rsidTr="10339F63">
        <w:tc>
          <w:tcPr>
            <w:tcW w:w="2512" w:type="dxa"/>
            <w:vMerge/>
          </w:tcPr>
          <w:p w14:paraId="2AE2693E" w14:textId="77777777" w:rsidR="00A61BC0" w:rsidRPr="00724676" w:rsidRDefault="00A61BC0" w:rsidP="00747A67">
            <w:pPr>
              <w:rPr>
                <w:noProof/>
              </w:rPr>
            </w:pPr>
          </w:p>
        </w:tc>
        <w:tc>
          <w:tcPr>
            <w:tcW w:w="1706" w:type="dxa"/>
            <w:tcBorders>
              <w:top w:val="double" w:sz="4" w:space="0" w:color="auto"/>
              <w:bottom w:val="double" w:sz="4" w:space="0" w:color="auto"/>
            </w:tcBorders>
            <w:tcMar>
              <w:top w:w="57" w:type="dxa"/>
              <w:left w:w="57" w:type="dxa"/>
              <w:bottom w:w="57" w:type="dxa"/>
              <w:right w:w="57" w:type="dxa"/>
            </w:tcMar>
          </w:tcPr>
          <w:p w14:paraId="732EE6C0" w14:textId="77777777" w:rsidR="00A61BC0" w:rsidRDefault="00A61BC0" w:rsidP="00747A67">
            <w:pPr>
              <w:jc w:val="center"/>
              <w:rPr>
                <w:noProof/>
              </w:rPr>
            </w:pPr>
            <w:r w:rsidRPr="00807559">
              <w:rPr>
                <w:noProof/>
              </w:rPr>
              <w:t>EUR</w:t>
            </w:r>
            <w:r w:rsidR="00E340D3">
              <w:rPr>
                <w:noProof/>
              </w:rPr>
              <w:t xml:space="preserve"> </w:t>
            </w:r>
            <w:r w:rsidRPr="00807559">
              <w:rPr>
                <w:noProof/>
              </w:rPr>
              <w:t>6.7 million</w:t>
            </w:r>
          </w:p>
          <w:p w14:paraId="4AEC27CB" w14:textId="5FA10204" w:rsidR="005B4EDA" w:rsidRPr="00724676" w:rsidRDefault="005B4EDA" w:rsidP="00747A67">
            <w:pPr>
              <w:jc w:val="center"/>
              <w:rPr>
                <w:noProof/>
              </w:rPr>
            </w:pPr>
            <w:r>
              <w:rPr>
                <w:noProof/>
              </w:rPr>
              <w:t>annually</w:t>
            </w:r>
          </w:p>
        </w:tc>
        <w:tc>
          <w:tcPr>
            <w:tcW w:w="5988" w:type="dxa"/>
            <w:tcBorders>
              <w:bottom w:val="double" w:sz="4" w:space="0" w:color="auto"/>
            </w:tcBorders>
            <w:tcMar>
              <w:top w:w="57" w:type="dxa"/>
              <w:left w:w="57" w:type="dxa"/>
              <w:bottom w:w="57" w:type="dxa"/>
              <w:right w:w="57" w:type="dxa"/>
            </w:tcMar>
          </w:tcPr>
          <w:p w14:paraId="60BF8065" w14:textId="7A53A294" w:rsidR="00A61BC0" w:rsidRPr="00724676" w:rsidRDefault="00A61BC0" w:rsidP="3A4C5640">
            <w:pPr>
              <w:spacing w:line="259" w:lineRule="auto"/>
              <w:rPr>
                <w:rStyle w:val="FootnoteReference"/>
                <w:noProof/>
              </w:rPr>
            </w:pPr>
            <w:r>
              <w:rPr>
                <w:noProof/>
              </w:rPr>
              <w:t>Exemption of small farms (under 10 ha) from conditionality controls will result in fewer control</w:t>
            </w:r>
            <w:r w:rsidR="2D728F77">
              <w:rPr>
                <w:noProof/>
              </w:rPr>
              <w:t>s</w:t>
            </w:r>
            <w:r w:rsidR="00D50A4B">
              <w:rPr>
                <w:noProof/>
              </w:rPr>
              <w:t>*</w:t>
            </w:r>
          </w:p>
        </w:tc>
      </w:tr>
      <w:tr w:rsidR="003D4B2D" w:rsidRPr="00807559" w14:paraId="19F32924" w14:textId="77777777" w:rsidTr="10339F63">
        <w:tc>
          <w:tcPr>
            <w:tcW w:w="2512" w:type="dxa"/>
            <w:vMerge/>
          </w:tcPr>
          <w:p w14:paraId="7435F793" w14:textId="77777777" w:rsidR="00A61BC0" w:rsidRPr="00724676" w:rsidRDefault="00A61BC0" w:rsidP="00747A67">
            <w:pPr>
              <w:rPr>
                <w:noProof/>
              </w:rPr>
            </w:pPr>
          </w:p>
        </w:tc>
        <w:tc>
          <w:tcPr>
            <w:tcW w:w="1706" w:type="dxa"/>
            <w:vMerge w:val="restart"/>
            <w:tcMar>
              <w:top w:w="57" w:type="dxa"/>
              <w:left w:w="57" w:type="dxa"/>
              <w:bottom w:w="57" w:type="dxa"/>
              <w:right w:w="57" w:type="dxa"/>
            </w:tcMar>
          </w:tcPr>
          <w:p w14:paraId="5567B950" w14:textId="77777777" w:rsidR="00A61BC0" w:rsidRPr="00724676" w:rsidRDefault="00A61BC0" w:rsidP="00747A67">
            <w:pPr>
              <w:jc w:val="center"/>
              <w:rPr>
                <w:noProof/>
              </w:rPr>
            </w:pPr>
          </w:p>
          <w:p w14:paraId="073D1618" w14:textId="77777777" w:rsidR="00A61BC0" w:rsidRPr="00724676" w:rsidRDefault="00A61BC0" w:rsidP="00747A67">
            <w:pPr>
              <w:jc w:val="center"/>
              <w:rPr>
                <w:noProof/>
              </w:rPr>
            </w:pPr>
          </w:p>
          <w:p w14:paraId="4D855D00" w14:textId="77777777" w:rsidR="00A61BC0" w:rsidRPr="00724676" w:rsidRDefault="00A61BC0" w:rsidP="00747A67">
            <w:pPr>
              <w:jc w:val="center"/>
              <w:rPr>
                <w:noProof/>
              </w:rPr>
            </w:pPr>
          </w:p>
          <w:p w14:paraId="104DB161" w14:textId="77777777" w:rsidR="00A61BC0" w:rsidRPr="00724676" w:rsidRDefault="00A61BC0" w:rsidP="00747A67">
            <w:pPr>
              <w:jc w:val="center"/>
              <w:rPr>
                <w:noProof/>
              </w:rPr>
            </w:pPr>
          </w:p>
          <w:p w14:paraId="0F9A8AB1" w14:textId="77777777" w:rsidR="00A61BC0" w:rsidRPr="00724676" w:rsidRDefault="00A61BC0" w:rsidP="00747A67">
            <w:pPr>
              <w:jc w:val="center"/>
              <w:rPr>
                <w:noProof/>
              </w:rPr>
            </w:pPr>
            <w:r w:rsidRPr="00807559">
              <w:rPr>
                <w:noProof/>
              </w:rPr>
              <w:t>Not quantifiable</w:t>
            </w:r>
          </w:p>
        </w:tc>
        <w:tc>
          <w:tcPr>
            <w:tcW w:w="5988" w:type="dxa"/>
            <w:tcBorders>
              <w:bottom w:val="double" w:sz="4" w:space="0" w:color="auto"/>
            </w:tcBorders>
            <w:tcMar>
              <w:top w:w="57" w:type="dxa"/>
              <w:left w:w="57" w:type="dxa"/>
              <w:bottom w:w="57" w:type="dxa"/>
              <w:right w:w="57" w:type="dxa"/>
            </w:tcMar>
          </w:tcPr>
          <w:p w14:paraId="36C76179" w14:textId="40F15756" w:rsidR="00A61BC0" w:rsidRPr="00724676" w:rsidRDefault="00A61BC0" w:rsidP="00747A67">
            <w:pPr>
              <w:rPr>
                <w:noProof/>
              </w:rPr>
            </w:pPr>
            <w:r>
              <w:rPr>
                <w:noProof/>
              </w:rPr>
              <w:t xml:space="preserve">The Commission’s clarification of the concept of </w:t>
            </w:r>
            <w:r w:rsidRPr="10339F63">
              <w:rPr>
                <w:i/>
                <w:iCs/>
                <w:noProof/>
              </w:rPr>
              <w:t>force majeure</w:t>
            </w:r>
            <w:r w:rsidR="3331D427" w:rsidRPr="10339F63">
              <w:rPr>
                <w:i/>
                <w:iCs/>
                <w:noProof/>
              </w:rPr>
              <w:t>/</w:t>
            </w:r>
            <w:r w:rsidR="3331D427" w:rsidRPr="00F15432">
              <w:rPr>
                <w:noProof/>
              </w:rPr>
              <w:t>exceptional circumstances</w:t>
            </w:r>
            <w:r>
              <w:rPr>
                <w:noProof/>
              </w:rPr>
              <w:t xml:space="preserve"> reduces the administrative burden for farmers as it eliminates the need </w:t>
            </w:r>
            <w:r w:rsidR="00E340D3">
              <w:rPr>
                <w:noProof/>
              </w:rPr>
              <w:t xml:space="preserve">to introduce </w:t>
            </w:r>
            <w:r>
              <w:rPr>
                <w:noProof/>
              </w:rPr>
              <w:t xml:space="preserve">individual requests, including gathering the evidence and </w:t>
            </w:r>
            <w:r w:rsidR="00E340D3">
              <w:rPr>
                <w:noProof/>
              </w:rPr>
              <w:t>providing it</w:t>
            </w:r>
            <w:r>
              <w:rPr>
                <w:noProof/>
              </w:rPr>
              <w:t xml:space="preserve"> to the authorities.</w:t>
            </w:r>
          </w:p>
        </w:tc>
      </w:tr>
      <w:tr w:rsidR="003D4B2D" w:rsidRPr="00807559" w14:paraId="61EFED1F" w14:textId="77777777" w:rsidTr="10339F63">
        <w:tc>
          <w:tcPr>
            <w:tcW w:w="2512" w:type="dxa"/>
            <w:vMerge/>
          </w:tcPr>
          <w:p w14:paraId="207DF6D0" w14:textId="77777777" w:rsidR="00A61BC0" w:rsidRPr="00724676" w:rsidRDefault="00A61BC0" w:rsidP="00747A67">
            <w:pPr>
              <w:rPr>
                <w:noProof/>
              </w:rPr>
            </w:pPr>
          </w:p>
        </w:tc>
        <w:tc>
          <w:tcPr>
            <w:tcW w:w="1706" w:type="dxa"/>
            <w:vMerge/>
            <w:tcMar>
              <w:top w:w="57" w:type="dxa"/>
              <w:left w:w="57" w:type="dxa"/>
              <w:bottom w:w="57" w:type="dxa"/>
              <w:right w:w="57" w:type="dxa"/>
            </w:tcMar>
          </w:tcPr>
          <w:p w14:paraId="1B724DE6" w14:textId="77777777" w:rsidR="00A61BC0" w:rsidRPr="00724676" w:rsidRDefault="00A61BC0" w:rsidP="00747A67">
            <w:pPr>
              <w:jc w:val="center"/>
              <w:rPr>
                <w:noProof/>
              </w:rPr>
            </w:pPr>
          </w:p>
        </w:tc>
        <w:tc>
          <w:tcPr>
            <w:tcW w:w="5988" w:type="dxa"/>
            <w:tcBorders>
              <w:bottom w:val="double" w:sz="4" w:space="0" w:color="auto"/>
            </w:tcBorders>
            <w:tcMar>
              <w:top w:w="57" w:type="dxa"/>
              <w:left w:w="57" w:type="dxa"/>
              <w:bottom w:w="57" w:type="dxa"/>
              <w:right w:w="57" w:type="dxa"/>
            </w:tcMar>
          </w:tcPr>
          <w:p w14:paraId="0B233D36" w14:textId="77777777" w:rsidR="00A61BC0" w:rsidRPr="00724676" w:rsidRDefault="00A61BC0" w:rsidP="00747A67">
            <w:pPr>
              <w:rPr>
                <w:noProof/>
              </w:rPr>
            </w:pPr>
            <w:r w:rsidRPr="00807559">
              <w:rPr>
                <w:noProof/>
              </w:rPr>
              <w:t>Exemption of farmers subject to conditionality from cross compliance controls will contribute to the simplification of controls.</w:t>
            </w:r>
          </w:p>
        </w:tc>
      </w:tr>
      <w:tr w:rsidR="003D4B2D" w:rsidRPr="00807559" w14:paraId="6C839039" w14:textId="77777777" w:rsidTr="10339F63">
        <w:tc>
          <w:tcPr>
            <w:tcW w:w="2512" w:type="dxa"/>
            <w:tcBorders>
              <w:bottom w:val="double" w:sz="4" w:space="0" w:color="auto"/>
            </w:tcBorders>
          </w:tcPr>
          <w:p w14:paraId="4C68BA6B" w14:textId="05B05995" w:rsidR="00A61BC0" w:rsidRPr="00724676" w:rsidRDefault="00A61BC0" w:rsidP="00747A67">
            <w:pPr>
              <w:rPr>
                <w:noProof/>
              </w:rPr>
            </w:pPr>
            <w:r w:rsidRPr="00807559">
              <w:rPr>
                <w:noProof/>
              </w:rPr>
              <w:t xml:space="preserve">Benefits for farmers - </w:t>
            </w:r>
            <w:r w:rsidR="00E340D3">
              <w:rPr>
                <w:noProof/>
              </w:rPr>
              <w:t>reduced</w:t>
            </w:r>
            <w:r w:rsidR="00E340D3" w:rsidRPr="00807559">
              <w:rPr>
                <w:noProof/>
              </w:rPr>
              <w:t xml:space="preserve"> </w:t>
            </w:r>
            <w:r w:rsidRPr="00807559">
              <w:rPr>
                <w:noProof/>
              </w:rPr>
              <w:t>uncertainty and hassle costs</w:t>
            </w:r>
          </w:p>
        </w:tc>
        <w:tc>
          <w:tcPr>
            <w:tcW w:w="1706" w:type="dxa"/>
            <w:tcBorders>
              <w:bottom w:val="double" w:sz="4" w:space="0" w:color="auto"/>
            </w:tcBorders>
            <w:tcMar>
              <w:top w:w="57" w:type="dxa"/>
              <w:left w:w="57" w:type="dxa"/>
              <w:bottom w:w="57" w:type="dxa"/>
              <w:right w:w="57" w:type="dxa"/>
            </w:tcMar>
          </w:tcPr>
          <w:p w14:paraId="68C473E2" w14:textId="77777777" w:rsidR="00A61BC0" w:rsidRPr="00724676" w:rsidRDefault="00A61BC0" w:rsidP="00747A67">
            <w:pPr>
              <w:jc w:val="center"/>
              <w:rPr>
                <w:noProof/>
              </w:rPr>
            </w:pPr>
            <w:r w:rsidRPr="00807559">
              <w:rPr>
                <w:noProof/>
              </w:rPr>
              <w:t>Not quantifiable</w:t>
            </w:r>
          </w:p>
        </w:tc>
        <w:tc>
          <w:tcPr>
            <w:tcW w:w="5988" w:type="dxa"/>
            <w:tcBorders>
              <w:bottom w:val="double" w:sz="4" w:space="0" w:color="auto"/>
            </w:tcBorders>
            <w:tcMar>
              <w:top w:w="57" w:type="dxa"/>
              <w:left w:w="57" w:type="dxa"/>
              <w:bottom w:w="57" w:type="dxa"/>
              <w:right w:w="57" w:type="dxa"/>
            </w:tcMar>
          </w:tcPr>
          <w:p w14:paraId="539E9D36" w14:textId="3C7C7C2D" w:rsidR="00A61BC0" w:rsidRPr="00724676" w:rsidRDefault="00A61BC0" w:rsidP="00747A67">
            <w:pPr>
              <w:rPr>
                <w:noProof/>
              </w:rPr>
            </w:pPr>
            <w:r>
              <w:rPr>
                <w:noProof/>
              </w:rPr>
              <w:t xml:space="preserve">Reduction of uncertainty for farmers with the improvements to the early warning systems and the right </w:t>
            </w:r>
            <w:r w:rsidR="7F244EEB">
              <w:rPr>
                <w:noProof/>
              </w:rPr>
              <w:t>of</w:t>
            </w:r>
            <w:r w:rsidR="00111237">
              <w:rPr>
                <w:noProof/>
              </w:rPr>
              <w:t xml:space="preserve"> </w:t>
            </w:r>
            <w:r>
              <w:rPr>
                <w:noProof/>
              </w:rPr>
              <w:t>error.</w:t>
            </w:r>
          </w:p>
          <w:p w14:paraId="070200FB" w14:textId="3D6BF623" w:rsidR="00A61BC0" w:rsidRPr="00724676" w:rsidRDefault="00A61BC0" w:rsidP="00747A67">
            <w:pPr>
              <w:rPr>
                <w:noProof/>
              </w:rPr>
            </w:pPr>
            <w:r w:rsidRPr="00807559">
              <w:rPr>
                <w:noProof/>
              </w:rPr>
              <w:t>Reduction of uncertainty costs resulting in positive impacts on farmers</w:t>
            </w:r>
            <w:r w:rsidR="00020E2D">
              <w:rPr>
                <w:noProof/>
              </w:rPr>
              <w:t>’</w:t>
            </w:r>
            <w:r w:rsidRPr="00807559">
              <w:rPr>
                <w:noProof/>
              </w:rPr>
              <w:t xml:space="preserve"> frustration due to adjustments to rules under </w:t>
            </w:r>
            <w:r w:rsidR="00020E2D">
              <w:rPr>
                <w:noProof/>
              </w:rPr>
              <w:t xml:space="preserve">the </w:t>
            </w:r>
            <w:r w:rsidRPr="00807559">
              <w:rPr>
                <w:noProof/>
              </w:rPr>
              <w:t xml:space="preserve">GAECs. </w:t>
            </w:r>
          </w:p>
          <w:p w14:paraId="72EC40EC" w14:textId="77777777" w:rsidR="00A61BC0" w:rsidRPr="00724676" w:rsidRDefault="00A61BC0" w:rsidP="00747A67">
            <w:pPr>
              <w:rPr>
                <w:noProof/>
              </w:rPr>
            </w:pPr>
          </w:p>
        </w:tc>
      </w:tr>
      <w:tr w:rsidR="003D4B2D" w:rsidRPr="00807559" w14:paraId="0D7BEFCA" w14:textId="77777777" w:rsidTr="10339F63">
        <w:tc>
          <w:tcPr>
            <w:tcW w:w="2512" w:type="dxa"/>
            <w:tcBorders>
              <w:bottom w:val="double" w:sz="4" w:space="0" w:color="auto"/>
            </w:tcBorders>
          </w:tcPr>
          <w:p w14:paraId="0E40C988" w14:textId="77777777" w:rsidR="00A61BC0" w:rsidRPr="00724676" w:rsidRDefault="00A61BC0" w:rsidP="00747A67">
            <w:pPr>
              <w:rPr>
                <w:noProof/>
              </w:rPr>
            </w:pPr>
            <w:r w:rsidRPr="00807559">
              <w:rPr>
                <w:noProof/>
              </w:rPr>
              <w:t>Benefits for farmers – improved economic viability of farms</w:t>
            </w:r>
          </w:p>
          <w:p w14:paraId="66800C65" w14:textId="77777777" w:rsidR="00A61BC0" w:rsidRPr="00724676" w:rsidRDefault="00A61BC0" w:rsidP="00747A67">
            <w:pPr>
              <w:rPr>
                <w:noProof/>
              </w:rPr>
            </w:pPr>
          </w:p>
        </w:tc>
        <w:tc>
          <w:tcPr>
            <w:tcW w:w="1706" w:type="dxa"/>
            <w:tcBorders>
              <w:bottom w:val="double" w:sz="4" w:space="0" w:color="auto"/>
            </w:tcBorders>
            <w:tcMar>
              <w:top w:w="57" w:type="dxa"/>
              <w:left w:w="57" w:type="dxa"/>
              <w:bottom w:w="57" w:type="dxa"/>
              <w:right w:w="57" w:type="dxa"/>
            </w:tcMar>
          </w:tcPr>
          <w:p w14:paraId="62B1A83B" w14:textId="77777777" w:rsidR="00A61BC0" w:rsidRDefault="00A61BC0" w:rsidP="00747A67">
            <w:pPr>
              <w:jc w:val="center"/>
              <w:rPr>
                <w:noProof/>
              </w:rPr>
            </w:pPr>
            <w:r w:rsidRPr="00807559">
              <w:rPr>
                <w:noProof/>
              </w:rPr>
              <w:t>EUR 930 million</w:t>
            </w:r>
          </w:p>
          <w:p w14:paraId="59685C0D" w14:textId="5A4E52EC" w:rsidR="005B4EDA" w:rsidRPr="00724676" w:rsidRDefault="005B4EDA" w:rsidP="00747A67">
            <w:pPr>
              <w:jc w:val="center"/>
              <w:rPr>
                <w:noProof/>
              </w:rPr>
            </w:pPr>
            <w:r>
              <w:rPr>
                <w:noProof/>
              </w:rPr>
              <w:t>annually</w:t>
            </w:r>
          </w:p>
        </w:tc>
        <w:tc>
          <w:tcPr>
            <w:tcW w:w="5988" w:type="dxa"/>
            <w:tcBorders>
              <w:bottom w:val="double" w:sz="4" w:space="0" w:color="auto"/>
            </w:tcBorders>
            <w:tcMar>
              <w:top w:w="57" w:type="dxa"/>
              <w:left w:w="57" w:type="dxa"/>
              <w:bottom w:w="57" w:type="dxa"/>
              <w:right w:w="57" w:type="dxa"/>
            </w:tcMar>
          </w:tcPr>
          <w:p w14:paraId="13A04501" w14:textId="426D7E39" w:rsidR="00A61BC0" w:rsidRPr="00724676" w:rsidRDefault="00263FE0" w:rsidP="00747A67">
            <w:pPr>
              <w:rPr>
                <w:noProof/>
              </w:rPr>
            </w:pPr>
            <w:r w:rsidRPr="00807559">
              <w:rPr>
                <w:noProof/>
              </w:rPr>
              <w:t xml:space="preserve">Deletion </w:t>
            </w:r>
            <w:r w:rsidR="00A61BC0" w:rsidRPr="00807559">
              <w:rPr>
                <w:noProof/>
              </w:rPr>
              <w:t>of GAEC 8</w:t>
            </w:r>
            <w:r w:rsidRPr="00807559">
              <w:rPr>
                <w:noProof/>
              </w:rPr>
              <w:t>, 1</w:t>
            </w:r>
            <w:r w:rsidRPr="00724676">
              <w:rPr>
                <w:noProof/>
                <w:vertAlign w:val="superscript"/>
              </w:rPr>
              <w:t>st</w:t>
            </w:r>
            <w:r w:rsidRPr="00807559">
              <w:rPr>
                <w:noProof/>
              </w:rPr>
              <w:t xml:space="preserve"> requirement,</w:t>
            </w:r>
            <w:r w:rsidR="00A61BC0" w:rsidRPr="00807559">
              <w:rPr>
                <w:noProof/>
              </w:rPr>
              <w:t xml:space="preserve"> is estimated to result in</w:t>
            </w:r>
            <w:r w:rsidR="00020E2D">
              <w:rPr>
                <w:noProof/>
              </w:rPr>
              <w:t xml:space="preserve"> a</w:t>
            </w:r>
            <w:r w:rsidR="00A61BC0" w:rsidRPr="00807559">
              <w:rPr>
                <w:noProof/>
              </w:rPr>
              <w:t xml:space="preserve"> 1,5 % increase </w:t>
            </w:r>
            <w:r w:rsidR="00020E2D">
              <w:rPr>
                <w:noProof/>
              </w:rPr>
              <w:t>in</w:t>
            </w:r>
            <w:r w:rsidR="00020E2D" w:rsidRPr="00807559">
              <w:rPr>
                <w:noProof/>
              </w:rPr>
              <w:t xml:space="preserve"> </w:t>
            </w:r>
            <w:r w:rsidR="00A61BC0" w:rsidRPr="00807559">
              <w:rPr>
                <w:noProof/>
              </w:rPr>
              <w:t>gross margin for the impacted farms</w:t>
            </w:r>
            <w:r w:rsidR="00020E2D">
              <w:rPr>
                <w:noProof/>
              </w:rPr>
              <w:t>.</w:t>
            </w:r>
          </w:p>
          <w:p w14:paraId="0683E885" w14:textId="25527D8D" w:rsidR="00A61BC0" w:rsidRPr="00724676" w:rsidRDefault="00A61BC0" w:rsidP="00747A67">
            <w:pPr>
              <w:rPr>
                <w:noProof/>
              </w:rPr>
            </w:pPr>
            <w:r w:rsidRPr="00807559">
              <w:rPr>
                <w:noProof/>
              </w:rPr>
              <w:t>Additional benefits (not quantifiable) include better management of farms, support of economic viability and preservation of land productivity thanks to adjustments to rules under GAECs</w:t>
            </w:r>
            <w:r w:rsidR="000066A1">
              <w:rPr>
                <w:noProof/>
              </w:rPr>
              <w:t>*</w:t>
            </w:r>
          </w:p>
        </w:tc>
      </w:tr>
      <w:tr w:rsidR="003D4B2D" w:rsidRPr="00807559" w14:paraId="6BB36273" w14:textId="77777777" w:rsidTr="10339F63">
        <w:tc>
          <w:tcPr>
            <w:tcW w:w="2512" w:type="dxa"/>
            <w:vMerge w:val="restart"/>
          </w:tcPr>
          <w:p w14:paraId="66AAD812" w14:textId="77777777" w:rsidR="00A61BC0" w:rsidRPr="00724676" w:rsidRDefault="00A61BC0" w:rsidP="00747A67">
            <w:pPr>
              <w:rPr>
                <w:noProof/>
              </w:rPr>
            </w:pPr>
            <w:r w:rsidRPr="00807559">
              <w:rPr>
                <w:noProof/>
              </w:rPr>
              <w:t>Benefits for national administrations – reduction in enforcement costs</w:t>
            </w:r>
          </w:p>
          <w:p w14:paraId="43301384" w14:textId="77777777" w:rsidR="00A61BC0" w:rsidRPr="00724676" w:rsidRDefault="00A61BC0" w:rsidP="00747A67">
            <w:pPr>
              <w:rPr>
                <w:noProof/>
              </w:rPr>
            </w:pPr>
          </w:p>
        </w:tc>
        <w:tc>
          <w:tcPr>
            <w:tcW w:w="1706" w:type="dxa"/>
            <w:tcBorders>
              <w:bottom w:val="double" w:sz="4" w:space="0" w:color="auto"/>
            </w:tcBorders>
            <w:tcMar>
              <w:top w:w="57" w:type="dxa"/>
              <w:left w:w="57" w:type="dxa"/>
              <w:bottom w:w="57" w:type="dxa"/>
              <w:right w:w="57" w:type="dxa"/>
            </w:tcMar>
          </w:tcPr>
          <w:p w14:paraId="266974CA" w14:textId="5D61C401" w:rsidR="00A61BC0" w:rsidRPr="00724676" w:rsidRDefault="00A61BC0" w:rsidP="00747A67">
            <w:pPr>
              <w:jc w:val="center"/>
              <w:rPr>
                <w:noProof/>
              </w:rPr>
            </w:pPr>
            <w:r w:rsidRPr="00807559">
              <w:rPr>
                <w:noProof/>
              </w:rPr>
              <w:t>EUR 82.4 million</w:t>
            </w:r>
            <w:r w:rsidR="000066A1">
              <w:rPr>
                <w:noProof/>
              </w:rPr>
              <w:t xml:space="preserve"> annually</w:t>
            </w:r>
          </w:p>
        </w:tc>
        <w:tc>
          <w:tcPr>
            <w:tcW w:w="5988" w:type="dxa"/>
            <w:tcBorders>
              <w:bottom w:val="double" w:sz="4" w:space="0" w:color="auto"/>
            </w:tcBorders>
            <w:tcMar>
              <w:top w:w="57" w:type="dxa"/>
              <w:left w:w="57" w:type="dxa"/>
              <w:bottom w:w="57" w:type="dxa"/>
              <w:right w:w="57" w:type="dxa"/>
            </w:tcMar>
          </w:tcPr>
          <w:p w14:paraId="36B227F3" w14:textId="7D902692" w:rsidR="00A61BC0" w:rsidRPr="00724676" w:rsidRDefault="00A61BC0" w:rsidP="00747A67">
            <w:pPr>
              <w:rPr>
                <w:noProof/>
              </w:rPr>
            </w:pPr>
            <w:r w:rsidRPr="00807559">
              <w:rPr>
                <w:noProof/>
              </w:rPr>
              <w:t>The revision of the IACS quality assessment</w:t>
            </w:r>
            <w:r w:rsidR="00020E2D">
              <w:rPr>
                <w:noProof/>
              </w:rPr>
              <w:t xml:space="preserve"> </w:t>
            </w:r>
            <w:r w:rsidRPr="00807559">
              <w:rPr>
                <w:noProof/>
              </w:rPr>
              <w:t>methodology will result in cost savings for national administrations.</w:t>
            </w:r>
          </w:p>
        </w:tc>
      </w:tr>
      <w:tr w:rsidR="003D4B2D" w:rsidRPr="00807559" w14:paraId="105F54B9" w14:textId="77777777" w:rsidTr="10339F63">
        <w:tc>
          <w:tcPr>
            <w:tcW w:w="2512" w:type="dxa"/>
            <w:vMerge/>
          </w:tcPr>
          <w:p w14:paraId="5BD4D96D" w14:textId="77777777" w:rsidR="00A61BC0" w:rsidRPr="00724676" w:rsidRDefault="00A61BC0" w:rsidP="00747A67">
            <w:pPr>
              <w:rPr>
                <w:noProof/>
              </w:rPr>
            </w:pPr>
          </w:p>
        </w:tc>
        <w:tc>
          <w:tcPr>
            <w:tcW w:w="1706" w:type="dxa"/>
            <w:tcBorders>
              <w:bottom w:val="double" w:sz="4" w:space="0" w:color="auto"/>
            </w:tcBorders>
            <w:tcMar>
              <w:top w:w="57" w:type="dxa"/>
              <w:left w:w="57" w:type="dxa"/>
              <w:bottom w:w="57" w:type="dxa"/>
              <w:right w:w="57" w:type="dxa"/>
            </w:tcMar>
          </w:tcPr>
          <w:p w14:paraId="0FA609FC" w14:textId="3A081052" w:rsidR="00A61BC0" w:rsidRPr="00724676" w:rsidRDefault="00A61BC0" w:rsidP="00747A67">
            <w:pPr>
              <w:jc w:val="center"/>
              <w:rPr>
                <w:noProof/>
              </w:rPr>
            </w:pPr>
            <w:r w:rsidRPr="00807559">
              <w:rPr>
                <w:noProof/>
              </w:rPr>
              <w:t>EUR 13.4 million</w:t>
            </w:r>
            <w:r w:rsidR="000066A1">
              <w:rPr>
                <w:noProof/>
              </w:rPr>
              <w:t xml:space="preserve"> annually</w:t>
            </w:r>
          </w:p>
        </w:tc>
        <w:tc>
          <w:tcPr>
            <w:tcW w:w="5988" w:type="dxa"/>
            <w:tcBorders>
              <w:bottom w:val="double" w:sz="4" w:space="0" w:color="auto"/>
            </w:tcBorders>
            <w:tcMar>
              <w:top w:w="57" w:type="dxa"/>
              <w:left w:w="57" w:type="dxa"/>
              <w:bottom w:w="57" w:type="dxa"/>
              <w:right w:w="57" w:type="dxa"/>
            </w:tcMar>
          </w:tcPr>
          <w:p w14:paraId="6FD9C4C9" w14:textId="0191D1DC" w:rsidR="00A61BC0" w:rsidRPr="00724676" w:rsidRDefault="00A61BC0" w:rsidP="00747A67">
            <w:pPr>
              <w:rPr>
                <w:noProof/>
              </w:rPr>
            </w:pPr>
            <w:r w:rsidRPr="00807559">
              <w:rPr>
                <w:noProof/>
              </w:rPr>
              <w:t>The removal of controls on conditionality for farms under 10 hectares will result in cost savings for national administrations</w:t>
            </w:r>
            <w:r w:rsidR="000066A1">
              <w:rPr>
                <w:noProof/>
              </w:rPr>
              <w:t>*</w:t>
            </w:r>
          </w:p>
        </w:tc>
      </w:tr>
      <w:tr w:rsidR="003D4B2D" w:rsidRPr="00807559" w14:paraId="3F15EE46" w14:textId="77777777" w:rsidTr="10339F63">
        <w:tc>
          <w:tcPr>
            <w:tcW w:w="2512" w:type="dxa"/>
            <w:vMerge/>
          </w:tcPr>
          <w:p w14:paraId="344200DE" w14:textId="77777777" w:rsidR="00A61BC0" w:rsidRPr="00724676" w:rsidRDefault="00A61BC0" w:rsidP="00747A67">
            <w:pPr>
              <w:rPr>
                <w:noProof/>
              </w:rPr>
            </w:pPr>
          </w:p>
        </w:tc>
        <w:tc>
          <w:tcPr>
            <w:tcW w:w="1706" w:type="dxa"/>
            <w:tcBorders>
              <w:bottom w:val="double" w:sz="4" w:space="0" w:color="auto"/>
            </w:tcBorders>
            <w:tcMar>
              <w:top w:w="57" w:type="dxa"/>
              <w:left w:w="57" w:type="dxa"/>
              <w:bottom w:w="57" w:type="dxa"/>
              <w:right w:w="57" w:type="dxa"/>
            </w:tcMar>
          </w:tcPr>
          <w:p w14:paraId="63281F4F" w14:textId="77777777" w:rsidR="00A61BC0" w:rsidRPr="00724676" w:rsidRDefault="00A61BC0" w:rsidP="00747A67">
            <w:pPr>
              <w:rPr>
                <w:noProof/>
              </w:rPr>
            </w:pPr>
          </w:p>
          <w:p w14:paraId="154611AA" w14:textId="77777777" w:rsidR="00A61BC0" w:rsidRPr="00724676" w:rsidRDefault="00A61BC0" w:rsidP="00747A67">
            <w:pPr>
              <w:jc w:val="center"/>
              <w:rPr>
                <w:noProof/>
              </w:rPr>
            </w:pPr>
            <w:r w:rsidRPr="00807559">
              <w:rPr>
                <w:noProof/>
              </w:rPr>
              <w:t>Not quantifiable</w:t>
            </w:r>
          </w:p>
        </w:tc>
        <w:tc>
          <w:tcPr>
            <w:tcW w:w="5988" w:type="dxa"/>
            <w:tcBorders>
              <w:bottom w:val="double" w:sz="4" w:space="0" w:color="auto"/>
            </w:tcBorders>
            <w:tcMar>
              <w:top w:w="57" w:type="dxa"/>
              <w:left w:w="57" w:type="dxa"/>
              <w:bottom w:w="57" w:type="dxa"/>
              <w:right w:w="57" w:type="dxa"/>
            </w:tcMar>
          </w:tcPr>
          <w:p w14:paraId="3C2052D1" w14:textId="77777777" w:rsidR="00A61BC0" w:rsidRPr="00724676" w:rsidRDefault="00A61BC0" w:rsidP="00747A67">
            <w:pPr>
              <w:rPr>
                <w:noProof/>
              </w:rPr>
            </w:pPr>
            <w:r w:rsidRPr="00807559">
              <w:rPr>
                <w:noProof/>
              </w:rPr>
              <w:t xml:space="preserve">The clarification of the concept of </w:t>
            </w:r>
            <w:r w:rsidRPr="00807559">
              <w:rPr>
                <w:i/>
                <w:iCs/>
                <w:noProof/>
              </w:rPr>
              <w:t>force majeure</w:t>
            </w:r>
            <w:r w:rsidRPr="00807559">
              <w:rPr>
                <w:noProof/>
              </w:rPr>
              <w:t xml:space="preserve"> eliminates the need for a case-by-case assessment by national administrations.</w:t>
            </w:r>
          </w:p>
        </w:tc>
      </w:tr>
      <w:tr w:rsidR="00F34C75" w:rsidRPr="00807559" w14:paraId="41754640" w14:textId="77777777" w:rsidTr="10339F63">
        <w:tc>
          <w:tcPr>
            <w:tcW w:w="2512" w:type="dxa"/>
            <w:vMerge/>
          </w:tcPr>
          <w:p w14:paraId="4762BECF" w14:textId="77777777" w:rsidR="00A61BC0" w:rsidRPr="00724676" w:rsidRDefault="00A61BC0" w:rsidP="00747A67">
            <w:pPr>
              <w:rPr>
                <w:noProof/>
              </w:rPr>
            </w:pPr>
          </w:p>
        </w:tc>
        <w:tc>
          <w:tcPr>
            <w:tcW w:w="1706" w:type="dxa"/>
            <w:vMerge w:val="restart"/>
            <w:tcBorders>
              <w:top w:val="double" w:sz="4" w:space="0" w:color="auto"/>
            </w:tcBorders>
            <w:tcMar>
              <w:top w:w="57" w:type="dxa"/>
              <w:left w:w="57" w:type="dxa"/>
              <w:bottom w:w="57" w:type="dxa"/>
              <w:right w:w="57" w:type="dxa"/>
            </w:tcMar>
          </w:tcPr>
          <w:p w14:paraId="323EDAB3" w14:textId="77777777" w:rsidR="00A61BC0" w:rsidRPr="00724676" w:rsidRDefault="00A61BC0" w:rsidP="00747A67">
            <w:pPr>
              <w:rPr>
                <w:noProof/>
              </w:rPr>
            </w:pPr>
          </w:p>
          <w:p w14:paraId="3058D427" w14:textId="77777777" w:rsidR="00A61BC0" w:rsidRPr="00724676" w:rsidRDefault="00A61BC0" w:rsidP="00747A67">
            <w:pPr>
              <w:jc w:val="center"/>
              <w:rPr>
                <w:noProof/>
              </w:rPr>
            </w:pPr>
          </w:p>
          <w:p w14:paraId="5ACFAED0" w14:textId="77777777" w:rsidR="00A61BC0" w:rsidRPr="00724676" w:rsidRDefault="00A61BC0" w:rsidP="00747A67">
            <w:pPr>
              <w:jc w:val="center"/>
              <w:rPr>
                <w:noProof/>
              </w:rPr>
            </w:pPr>
          </w:p>
          <w:p w14:paraId="6C7248D0" w14:textId="77777777" w:rsidR="00A61BC0" w:rsidRPr="00724676" w:rsidRDefault="00A61BC0" w:rsidP="00747A67">
            <w:pPr>
              <w:jc w:val="center"/>
              <w:rPr>
                <w:noProof/>
              </w:rPr>
            </w:pPr>
            <w:r w:rsidRPr="00807559">
              <w:rPr>
                <w:noProof/>
              </w:rPr>
              <w:t>Not quantifiable</w:t>
            </w:r>
          </w:p>
        </w:tc>
        <w:tc>
          <w:tcPr>
            <w:tcW w:w="5988" w:type="dxa"/>
            <w:tcBorders>
              <w:bottom w:val="double" w:sz="4" w:space="0" w:color="auto"/>
            </w:tcBorders>
            <w:tcMar>
              <w:top w:w="57" w:type="dxa"/>
              <w:left w:w="57" w:type="dxa"/>
              <w:bottom w:w="57" w:type="dxa"/>
              <w:right w:w="57" w:type="dxa"/>
            </w:tcMar>
          </w:tcPr>
          <w:p w14:paraId="776038F0" w14:textId="77777777" w:rsidR="00A61BC0" w:rsidRPr="00724676" w:rsidRDefault="00A61BC0" w:rsidP="00747A67">
            <w:pPr>
              <w:rPr>
                <w:noProof/>
              </w:rPr>
            </w:pPr>
            <w:r w:rsidRPr="00807559">
              <w:rPr>
                <w:noProof/>
              </w:rPr>
              <w:t>Exemption of farmers subject to conditionality from cross compliance controls will contribute to the simplification of controls.</w:t>
            </w:r>
          </w:p>
        </w:tc>
      </w:tr>
      <w:tr w:rsidR="003D4B2D" w:rsidRPr="00807559" w14:paraId="1D31089A" w14:textId="77777777" w:rsidTr="10339F63">
        <w:tc>
          <w:tcPr>
            <w:tcW w:w="2512" w:type="dxa"/>
            <w:vMerge/>
          </w:tcPr>
          <w:p w14:paraId="4B14D0DA" w14:textId="77777777" w:rsidR="00A61BC0" w:rsidRPr="00724676" w:rsidRDefault="00A61BC0" w:rsidP="00747A67">
            <w:pPr>
              <w:rPr>
                <w:noProof/>
              </w:rPr>
            </w:pPr>
          </w:p>
        </w:tc>
        <w:tc>
          <w:tcPr>
            <w:tcW w:w="1706" w:type="dxa"/>
            <w:vMerge/>
            <w:tcMar>
              <w:top w:w="57" w:type="dxa"/>
              <w:left w:w="57" w:type="dxa"/>
              <w:bottom w:w="57" w:type="dxa"/>
              <w:right w:w="57" w:type="dxa"/>
            </w:tcMar>
          </w:tcPr>
          <w:p w14:paraId="789D1F99" w14:textId="77777777" w:rsidR="00A61BC0" w:rsidRPr="00724676" w:rsidRDefault="00A61BC0" w:rsidP="00747A67">
            <w:pPr>
              <w:jc w:val="center"/>
              <w:rPr>
                <w:noProof/>
              </w:rPr>
            </w:pPr>
          </w:p>
        </w:tc>
        <w:tc>
          <w:tcPr>
            <w:tcW w:w="5988" w:type="dxa"/>
            <w:tcBorders>
              <w:bottom w:val="double" w:sz="4" w:space="0" w:color="auto"/>
            </w:tcBorders>
            <w:tcMar>
              <w:top w:w="57" w:type="dxa"/>
              <w:left w:w="57" w:type="dxa"/>
              <w:bottom w:w="57" w:type="dxa"/>
              <w:right w:w="57" w:type="dxa"/>
            </w:tcMar>
          </w:tcPr>
          <w:p w14:paraId="3ED219B5" w14:textId="165AAE66" w:rsidR="00A61BC0" w:rsidRPr="00724676" w:rsidRDefault="00A61BC0" w:rsidP="00747A67">
            <w:pPr>
              <w:rPr>
                <w:noProof/>
              </w:rPr>
            </w:pPr>
            <w:r w:rsidRPr="00807559">
              <w:rPr>
                <w:noProof/>
              </w:rPr>
              <w:t>Rationalising controls,</w:t>
            </w:r>
            <w:r w:rsidRPr="00807559">
              <w:rPr>
                <w:noProof/>
                <w:spacing w:val="-15"/>
              </w:rPr>
              <w:t xml:space="preserve"> </w:t>
            </w:r>
            <w:r w:rsidRPr="00807559">
              <w:rPr>
                <w:noProof/>
              </w:rPr>
              <w:t xml:space="preserve">including the right </w:t>
            </w:r>
            <w:r w:rsidR="4348D009">
              <w:rPr>
                <w:noProof/>
              </w:rPr>
              <w:t>of</w:t>
            </w:r>
            <w:r w:rsidR="00F15432">
              <w:rPr>
                <w:noProof/>
              </w:rPr>
              <w:t xml:space="preserve"> </w:t>
            </w:r>
            <w:r w:rsidRPr="00807559">
              <w:rPr>
                <w:noProof/>
              </w:rPr>
              <w:t>error</w:t>
            </w:r>
            <w:r w:rsidR="00020E2D">
              <w:rPr>
                <w:noProof/>
              </w:rPr>
              <w:t>,</w:t>
            </w:r>
            <w:r w:rsidRPr="00807559">
              <w:rPr>
                <w:noProof/>
              </w:rPr>
              <w:t xml:space="preserve"> will </w:t>
            </w:r>
            <w:r w:rsidR="00020E2D">
              <w:rPr>
                <w:noProof/>
              </w:rPr>
              <w:t>reduce</w:t>
            </w:r>
            <w:r w:rsidR="00020E2D" w:rsidRPr="00807559">
              <w:rPr>
                <w:noProof/>
              </w:rPr>
              <w:t xml:space="preserve"> </w:t>
            </w:r>
            <w:r w:rsidRPr="00807559">
              <w:rPr>
                <w:noProof/>
              </w:rPr>
              <w:t>administrative checks by national administrations.</w:t>
            </w:r>
          </w:p>
        </w:tc>
      </w:tr>
      <w:tr w:rsidR="00F34C75" w:rsidRPr="00807559" w14:paraId="7EFFF324" w14:textId="77777777" w:rsidTr="10339F63">
        <w:tc>
          <w:tcPr>
            <w:tcW w:w="2512" w:type="dxa"/>
            <w:vMerge/>
          </w:tcPr>
          <w:p w14:paraId="7D23B93C" w14:textId="77777777" w:rsidR="00A61BC0" w:rsidRPr="00724676" w:rsidRDefault="00A61BC0" w:rsidP="00747A67">
            <w:pPr>
              <w:rPr>
                <w:noProof/>
              </w:rPr>
            </w:pPr>
          </w:p>
        </w:tc>
        <w:tc>
          <w:tcPr>
            <w:tcW w:w="1706" w:type="dxa"/>
            <w:vMerge/>
            <w:tcMar>
              <w:top w:w="57" w:type="dxa"/>
              <w:left w:w="57" w:type="dxa"/>
              <w:bottom w:w="57" w:type="dxa"/>
              <w:right w:w="57" w:type="dxa"/>
            </w:tcMar>
          </w:tcPr>
          <w:p w14:paraId="5E8622F7" w14:textId="77777777" w:rsidR="00A61BC0" w:rsidRPr="00724676" w:rsidRDefault="00A61BC0" w:rsidP="00747A67">
            <w:pPr>
              <w:jc w:val="center"/>
              <w:rPr>
                <w:noProof/>
              </w:rPr>
            </w:pPr>
          </w:p>
        </w:tc>
        <w:tc>
          <w:tcPr>
            <w:tcW w:w="5988" w:type="dxa"/>
            <w:tcMar>
              <w:top w:w="57" w:type="dxa"/>
              <w:left w:w="57" w:type="dxa"/>
              <w:bottom w:w="57" w:type="dxa"/>
              <w:right w:w="57" w:type="dxa"/>
            </w:tcMar>
          </w:tcPr>
          <w:p w14:paraId="5AF8346C" w14:textId="7C219E4A" w:rsidR="00A61BC0" w:rsidRPr="00724676" w:rsidRDefault="00A61BC0" w:rsidP="00747A67">
            <w:pPr>
              <w:rPr>
                <w:noProof/>
              </w:rPr>
            </w:pPr>
            <w:r w:rsidRPr="00807559">
              <w:rPr>
                <w:noProof/>
              </w:rPr>
              <w:t xml:space="preserve">Streamlined </w:t>
            </w:r>
            <w:r w:rsidR="00020E2D">
              <w:rPr>
                <w:noProof/>
              </w:rPr>
              <w:t>process to approve</w:t>
            </w:r>
            <w:r w:rsidRPr="00807559">
              <w:rPr>
                <w:noProof/>
              </w:rPr>
              <w:t xml:space="preserve"> CSP amendments will </w:t>
            </w:r>
            <w:r w:rsidR="00020E2D">
              <w:rPr>
                <w:noProof/>
              </w:rPr>
              <w:t>reduce</w:t>
            </w:r>
            <w:r w:rsidR="00020E2D" w:rsidRPr="00807559">
              <w:rPr>
                <w:noProof/>
              </w:rPr>
              <w:t xml:space="preserve"> </w:t>
            </w:r>
            <w:r w:rsidRPr="00807559">
              <w:rPr>
                <w:noProof/>
              </w:rPr>
              <w:t xml:space="preserve">administrative costs. </w:t>
            </w:r>
          </w:p>
        </w:tc>
      </w:tr>
      <w:tr w:rsidR="00C44968" w:rsidRPr="00807559" w14:paraId="23413903" w14:textId="77777777" w:rsidTr="10339F63">
        <w:tc>
          <w:tcPr>
            <w:tcW w:w="10206" w:type="dxa"/>
            <w:gridSpan w:val="3"/>
            <w:tcBorders>
              <w:top w:val="double" w:sz="4" w:space="0" w:color="auto"/>
            </w:tcBorders>
            <w:shd w:val="clear" w:color="auto" w:fill="F2F2F2" w:themeFill="background1" w:themeFillShade="F2"/>
          </w:tcPr>
          <w:p w14:paraId="3C1F9919" w14:textId="77777777" w:rsidR="00A61BC0" w:rsidRPr="00724676" w:rsidRDefault="00A61BC0" w:rsidP="00747A67">
            <w:pPr>
              <w:jc w:val="center"/>
              <w:rPr>
                <w:b/>
                <w:i/>
                <w:noProof/>
              </w:rPr>
            </w:pPr>
            <w:bookmarkStart w:id="160" w:name="_Ref108099865"/>
            <w:bookmarkStart w:id="161" w:name="_Toc126060251"/>
            <w:r w:rsidRPr="00807559">
              <w:rPr>
                <w:b/>
                <w:i/>
                <w:noProof/>
              </w:rPr>
              <w:t>Indirect benefits</w:t>
            </w:r>
          </w:p>
        </w:tc>
      </w:tr>
      <w:tr w:rsidR="003D4B2D" w:rsidRPr="00807559" w14:paraId="4A8142FB" w14:textId="77777777" w:rsidTr="10339F63">
        <w:tc>
          <w:tcPr>
            <w:tcW w:w="2512" w:type="dxa"/>
            <w:tcBorders>
              <w:bottom w:val="double" w:sz="4" w:space="0" w:color="auto"/>
            </w:tcBorders>
          </w:tcPr>
          <w:p w14:paraId="1834F545" w14:textId="31061E26" w:rsidR="00A61BC0" w:rsidRPr="00724676" w:rsidRDefault="00A61BC0" w:rsidP="00747A67">
            <w:pPr>
              <w:rPr>
                <w:noProof/>
              </w:rPr>
            </w:pPr>
            <w:r w:rsidRPr="00807559">
              <w:rPr>
                <w:noProof/>
              </w:rPr>
              <w:t xml:space="preserve">Benefits for farmers - </w:t>
            </w:r>
            <w:r w:rsidR="00020E2D">
              <w:rPr>
                <w:noProof/>
              </w:rPr>
              <w:t>p</w:t>
            </w:r>
            <w:r w:rsidRPr="00807559">
              <w:rPr>
                <w:noProof/>
              </w:rPr>
              <w:t>ositive impact on mental well</w:t>
            </w:r>
            <w:r w:rsidR="00020E2D">
              <w:rPr>
                <w:noProof/>
              </w:rPr>
              <w:t>-</w:t>
            </w:r>
            <w:r w:rsidRPr="00807559">
              <w:rPr>
                <w:noProof/>
              </w:rPr>
              <w:t xml:space="preserve">being </w:t>
            </w:r>
          </w:p>
        </w:tc>
        <w:tc>
          <w:tcPr>
            <w:tcW w:w="1706" w:type="dxa"/>
            <w:tcBorders>
              <w:bottom w:val="double" w:sz="4" w:space="0" w:color="auto"/>
            </w:tcBorders>
            <w:tcMar>
              <w:top w:w="57" w:type="dxa"/>
              <w:left w:w="57" w:type="dxa"/>
              <w:bottom w:w="57" w:type="dxa"/>
              <w:right w:w="57" w:type="dxa"/>
            </w:tcMar>
          </w:tcPr>
          <w:p w14:paraId="42B20EFD" w14:textId="77777777" w:rsidR="00A61BC0" w:rsidRPr="00724676" w:rsidRDefault="00A61BC0" w:rsidP="00747A67">
            <w:pPr>
              <w:jc w:val="center"/>
              <w:rPr>
                <w:noProof/>
              </w:rPr>
            </w:pPr>
            <w:r w:rsidRPr="00807559">
              <w:rPr>
                <w:noProof/>
              </w:rPr>
              <w:t>Not quantifiable</w:t>
            </w:r>
          </w:p>
        </w:tc>
        <w:tc>
          <w:tcPr>
            <w:tcW w:w="5988" w:type="dxa"/>
            <w:tcBorders>
              <w:bottom w:val="double" w:sz="4" w:space="0" w:color="auto"/>
            </w:tcBorders>
            <w:tcMar>
              <w:top w:w="57" w:type="dxa"/>
              <w:left w:w="57" w:type="dxa"/>
              <w:bottom w:w="57" w:type="dxa"/>
              <w:right w:w="57" w:type="dxa"/>
            </w:tcMar>
          </w:tcPr>
          <w:p w14:paraId="43F5DF38" w14:textId="52BF7790" w:rsidR="00A61BC0" w:rsidRPr="00724676" w:rsidRDefault="00A61BC0" w:rsidP="00747A67">
            <w:pPr>
              <w:rPr>
                <w:noProof/>
              </w:rPr>
            </w:pPr>
            <w:r w:rsidRPr="00807559">
              <w:rPr>
                <w:noProof/>
              </w:rPr>
              <w:t>Reduction of uncertainty and hassle with a positive impact on farmers’ well</w:t>
            </w:r>
            <w:r w:rsidR="00020E2D">
              <w:rPr>
                <w:noProof/>
              </w:rPr>
              <w:t>-</w:t>
            </w:r>
            <w:r w:rsidRPr="00807559">
              <w:rPr>
                <w:noProof/>
              </w:rPr>
              <w:t>being by reducing stress factor</w:t>
            </w:r>
            <w:r w:rsidR="00020E2D">
              <w:rPr>
                <w:noProof/>
              </w:rPr>
              <w:t>s</w:t>
            </w:r>
            <w:r w:rsidRPr="00807559">
              <w:rPr>
                <w:noProof/>
              </w:rPr>
              <w:t>.</w:t>
            </w:r>
          </w:p>
        </w:tc>
      </w:tr>
    </w:tbl>
    <w:p w14:paraId="5BF376A4" w14:textId="0A76DD8E" w:rsidR="00A61BC0" w:rsidRPr="00724676" w:rsidRDefault="13024B3F" w:rsidP="6F217AB4">
      <w:pPr>
        <w:pStyle w:val="Caption"/>
        <w:keepNext/>
        <w:spacing w:before="240" w:after="240"/>
        <w:rPr>
          <w:i w:val="0"/>
          <w:noProof/>
          <w:color w:val="auto"/>
          <w:sz w:val="20"/>
          <w:szCs w:val="20"/>
          <w:lang w:val="en-GB"/>
        </w:rPr>
      </w:pPr>
      <w:r w:rsidRPr="396D7F15">
        <w:rPr>
          <w:noProof/>
          <w:color w:val="auto"/>
          <w:sz w:val="24"/>
          <w:szCs w:val="24"/>
          <w:lang w:val="en-GB"/>
        </w:rPr>
        <w:t>*</w:t>
      </w:r>
      <w:r w:rsidR="00ED5A4A" w:rsidRPr="396D7F15">
        <w:rPr>
          <w:i w:val="0"/>
          <w:iCs w:val="0"/>
          <w:noProof/>
          <w:color w:val="auto"/>
          <w:sz w:val="24"/>
          <w:szCs w:val="24"/>
          <w:lang w:val="en-GB"/>
        </w:rPr>
        <w:t xml:space="preserve"> </w:t>
      </w:r>
      <w:r w:rsidR="742DEFB5" w:rsidRPr="00DD7453">
        <w:rPr>
          <w:i w:val="0"/>
          <w:noProof/>
          <w:color w:val="auto"/>
          <w:sz w:val="20"/>
          <w:szCs w:val="20"/>
          <w:lang w:val="en-GB"/>
        </w:rPr>
        <w:t>Actions embedded in</w:t>
      </w:r>
      <w:r w:rsidR="00F465EE" w:rsidRPr="00DD7453">
        <w:rPr>
          <w:i w:val="0"/>
          <w:iCs w:val="0"/>
          <w:noProof/>
          <w:color w:val="auto"/>
          <w:sz w:val="20"/>
          <w:szCs w:val="20"/>
          <w:lang w:val="en-GB"/>
        </w:rPr>
        <w:t xml:space="preserve"> Regulation (EU) 2024/1468</w:t>
      </w:r>
      <w:r w:rsidR="0E07048D" w:rsidRPr="7CCD998B">
        <w:rPr>
          <w:i w:val="0"/>
          <w:iCs w:val="0"/>
          <w:noProof/>
          <w:color w:val="auto"/>
          <w:sz w:val="20"/>
          <w:szCs w:val="20"/>
          <w:lang w:val="en-GB"/>
        </w:rPr>
        <w:t xml:space="preserve"> (The Simplification Regulation).</w:t>
      </w:r>
    </w:p>
    <w:p w14:paraId="0284BE63" w14:textId="77777777" w:rsidR="00A61BC0" w:rsidRPr="00724676" w:rsidRDefault="00A61BC0" w:rsidP="00A61BC0">
      <w:pPr>
        <w:rPr>
          <w:noProof/>
          <w:lang w:val="en-GB"/>
        </w:rPr>
      </w:pPr>
    </w:p>
    <w:p w14:paraId="39889FED" w14:textId="77777777" w:rsidR="00A61BC0" w:rsidRPr="00724676" w:rsidRDefault="00A61BC0" w:rsidP="00A61BC0">
      <w:pPr>
        <w:pStyle w:val="Caption"/>
        <w:keepNext/>
        <w:spacing w:before="240" w:after="240"/>
        <w:rPr>
          <w:rFonts w:cs="Times New Roman"/>
          <w:noProof/>
          <w:color w:val="auto"/>
          <w:sz w:val="24"/>
          <w:szCs w:val="24"/>
          <w:lang w:val="en-GB"/>
        </w:rPr>
      </w:pPr>
      <w:r w:rsidRPr="00724676">
        <w:rPr>
          <w:rFonts w:cs="Times New Roman"/>
          <w:noProof/>
          <w:color w:val="auto"/>
          <w:sz w:val="24"/>
          <w:szCs w:val="24"/>
          <w:lang w:val="en-GB"/>
        </w:rPr>
        <w:lastRenderedPageBreak/>
        <w:t xml:space="preserve">Table 2 </w:t>
      </w:r>
      <w:bookmarkEnd w:id="160"/>
      <w:r w:rsidRPr="00724676">
        <w:rPr>
          <w:rFonts w:cs="Times New Roman"/>
          <w:noProof/>
          <w:color w:val="auto"/>
          <w:sz w:val="24"/>
          <w:szCs w:val="24"/>
          <w:lang w:val="en-GB"/>
        </w:rPr>
        <w:t xml:space="preserve">- Overview of costs </w:t>
      </w:r>
      <w:bookmarkEnd w:id="161"/>
    </w:p>
    <w:tbl>
      <w:tblPr>
        <w:tblStyle w:val="CV11"/>
        <w:tblW w:w="10359"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215"/>
        <w:gridCol w:w="1575"/>
        <w:gridCol w:w="6"/>
        <w:gridCol w:w="1102"/>
        <w:gridCol w:w="6"/>
        <w:gridCol w:w="1408"/>
        <w:gridCol w:w="6"/>
        <w:gridCol w:w="1380"/>
        <w:gridCol w:w="6"/>
        <w:gridCol w:w="1231"/>
        <w:gridCol w:w="1200"/>
        <w:gridCol w:w="1200"/>
        <w:gridCol w:w="7"/>
        <w:gridCol w:w="17"/>
      </w:tblGrid>
      <w:tr w:rsidR="00F34C75" w:rsidRPr="00807559" w14:paraId="52C5B08B" w14:textId="77777777" w:rsidTr="10339F63">
        <w:trPr>
          <w:trHeight w:val="220"/>
        </w:trPr>
        <w:tc>
          <w:tcPr>
            <w:tcW w:w="10359" w:type="dxa"/>
            <w:gridSpan w:val="14"/>
            <w:shd w:val="clear" w:color="auto" w:fill="D5DCE4" w:themeFill="text2" w:themeFillTint="33"/>
            <w:tcMar>
              <w:top w:w="57" w:type="dxa"/>
              <w:left w:w="57" w:type="dxa"/>
              <w:bottom w:w="57" w:type="dxa"/>
              <w:right w:w="57" w:type="dxa"/>
            </w:tcMar>
          </w:tcPr>
          <w:p w14:paraId="496C1746" w14:textId="77777777" w:rsidR="00A61BC0" w:rsidRPr="00724676" w:rsidRDefault="00A61BC0" w:rsidP="00747A67">
            <w:pPr>
              <w:rPr>
                <w:b/>
                <w:noProof/>
              </w:rPr>
            </w:pPr>
            <w:r w:rsidRPr="00807559">
              <w:rPr>
                <w:b/>
                <w:bCs/>
                <w:noProof/>
              </w:rPr>
              <w:t xml:space="preserve">II. Overview of costs </w:t>
            </w:r>
          </w:p>
        </w:tc>
      </w:tr>
      <w:tr w:rsidR="00F34C75" w:rsidRPr="00807559" w14:paraId="5C02A809" w14:textId="77777777" w:rsidTr="10339F63">
        <w:trPr>
          <w:gridAfter w:val="1"/>
          <w:wAfter w:w="17" w:type="dxa"/>
          <w:trHeight w:val="290"/>
        </w:trPr>
        <w:tc>
          <w:tcPr>
            <w:tcW w:w="2796" w:type="dxa"/>
            <w:gridSpan w:val="3"/>
            <w:vMerge w:val="restart"/>
            <w:tcBorders>
              <w:top w:val="double" w:sz="4" w:space="0" w:color="auto"/>
              <w:right w:val="double" w:sz="4" w:space="0" w:color="auto"/>
              <w:tl2br w:val="double" w:sz="4" w:space="0" w:color="auto"/>
            </w:tcBorders>
            <w:tcMar>
              <w:top w:w="57" w:type="dxa"/>
              <w:left w:w="57" w:type="dxa"/>
              <w:bottom w:w="57" w:type="dxa"/>
              <w:right w:w="57" w:type="dxa"/>
            </w:tcMar>
          </w:tcPr>
          <w:p w14:paraId="0512B5B7" w14:textId="77777777" w:rsidR="00A61BC0" w:rsidRPr="00724676" w:rsidRDefault="00A61BC0" w:rsidP="00747A67">
            <w:pPr>
              <w:rPr>
                <w:b/>
                <w:noProof/>
              </w:rPr>
            </w:pPr>
          </w:p>
        </w:tc>
        <w:tc>
          <w:tcPr>
            <w:tcW w:w="2522" w:type="dxa"/>
            <w:gridSpan w:val="4"/>
            <w:tcBorders>
              <w:left w:val="double" w:sz="4" w:space="0" w:color="auto"/>
            </w:tcBorders>
            <w:tcMar>
              <w:top w:w="57" w:type="dxa"/>
              <w:left w:w="57" w:type="dxa"/>
              <w:bottom w:w="57" w:type="dxa"/>
              <w:right w:w="57" w:type="dxa"/>
            </w:tcMar>
          </w:tcPr>
          <w:p w14:paraId="39D1F291" w14:textId="77777777" w:rsidR="00A61BC0" w:rsidRPr="00724676" w:rsidRDefault="00A61BC0" w:rsidP="00747A67">
            <w:pPr>
              <w:jc w:val="center"/>
              <w:rPr>
                <w:b/>
                <w:noProof/>
              </w:rPr>
            </w:pPr>
            <w:r w:rsidRPr="00807559">
              <w:rPr>
                <w:b/>
                <w:noProof/>
              </w:rPr>
              <w:t>Citizens/Consumers</w:t>
            </w:r>
          </w:p>
        </w:tc>
        <w:tc>
          <w:tcPr>
            <w:tcW w:w="2617" w:type="dxa"/>
            <w:gridSpan w:val="3"/>
            <w:tcMar>
              <w:top w:w="57" w:type="dxa"/>
              <w:left w:w="57" w:type="dxa"/>
              <w:bottom w:w="57" w:type="dxa"/>
              <w:right w:w="57" w:type="dxa"/>
            </w:tcMar>
          </w:tcPr>
          <w:p w14:paraId="46536A49" w14:textId="77777777" w:rsidR="00A61BC0" w:rsidRPr="00724676" w:rsidRDefault="00A61BC0" w:rsidP="00747A67">
            <w:pPr>
              <w:jc w:val="center"/>
              <w:rPr>
                <w:b/>
                <w:noProof/>
              </w:rPr>
            </w:pPr>
            <w:r w:rsidRPr="00807559">
              <w:rPr>
                <w:b/>
                <w:noProof/>
              </w:rPr>
              <w:t>Businesses</w:t>
            </w:r>
          </w:p>
        </w:tc>
        <w:tc>
          <w:tcPr>
            <w:tcW w:w="2407" w:type="dxa"/>
            <w:gridSpan w:val="3"/>
            <w:tcMar>
              <w:top w:w="57" w:type="dxa"/>
              <w:left w:w="57" w:type="dxa"/>
              <w:bottom w:w="57" w:type="dxa"/>
              <w:right w:w="57" w:type="dxa"/>
            </w:tcMar>
          </w:tcPr>
          <w:p w14:paraId="0921428C" w14:textId="77777777" w:rsidR="00A61BC0" w:rsidRPr="00724676" w:rsidRDefault="00A61BC0" w:rsidP="00747A67">
            <w:pPr>
              <w:jc w:val="center"/>
              <w:rPr>
                <w:b/>
                <w:noProof/>
              </w:rPr>
            </w:pPr>
            <w:r w:rsidRPr="00807559">
              <w:rPr>
                <w:b/>
                <w:noProof/>
              </w:rPr>
              <w:t>Administrations</w:t>
            </w:r>
          </w:p>
        </w:tc>
      </w:tr>
      <w:tr w:rsidR="00F34C75" w:rsidRPr="00807559" w14:paraId="4EDE481E" w14:textId="77777777" w:rsidTr="10339F63">
        <w:trPr>
          <w:gridAfter w:val="2"/>
          <w:wAfter w:w="24" w:type="dxa"/>
          <w:trHeight w:val="290"/>
        </w:trPr>
        <w:tc>
          <w:tcPr>
            <w:tcW w:w="2796" w:type="dxa"/>
            <w:gridSpan w:val="3"/>
            <w:vMerge/>
            <w:tcBorders>
              <w:tl2br w:val="double" w:sz="4" w:space="0" w:color="auto"/>
            </w:tcBorders>
            <w:tcMar>
              <w:top w:w="57" w:type="dxa"/>
              <w:left w:w="57" w:type="dxa"/>
              <w:bottom w:w="57" w:type="dxa"/>
              <w:right w:w="57" w:type="dxa"/>
            </w:tcMar>
          </w:tcPr>
          <w:p w14:paraId="6CF53D6E" w14:textId="77777777" w:rsidR="00A61BC0" w:rsidRPr="00724676" w:rsidRDefault="00A61BC0" w:rsidP="00747A67">
            <w:pPr>
              <w:rPr>
                <w:b/>
                <w:noProof/>
              </w:rPr>
            </w:pPr>
          </w:p>
        </w:tc>
        <w:tc>
          <w:tcPr>
            <w:tcW w:w="1108" w:type="dxa"/>
            <w:gridSpan w:val="2"/>
            <w:tcBorders>
              <w:left w:val="double" w:sz="4" w:space="0" w:color="auto"/>
              <w:bottom w:val="double" w:sz="4" w:space="0" w:color="auto"/>
            </w:tcBorders>
            <w:tcMar>
              <w:top w:w="57" w:type="dxa"/>
              <w:left w:w="57" w:type="dxa"/>
              <w:bottom w:w="57" w:type="dxa"/>
              <w:right w:w="57" w:type="dxa"/>
            </w:tcMar>
          </w:tcPr>
          <w:p w14:paraId="17428ED6" w14:textId="77777777" w:rsidR="00A61BC0" w:rsidRPr="00724676" w:rsidRDefault="00A61BC0" w:rsidP="00747A67">
            <w:pPr>
              <w:jc w:val="center"/>
              <w:rPr>
                <w:b/>
                <w:noProof/>
              </w:rPr>
            </w:pPr>
            <w:r w:rsidRPr="00807559">
              <w:rPr>
                <w:b/>
                <w:noProof/>
              </w:rPr>
              <w:t>One-off</w:t>
            </w:r>
          </w:p>
        </w:tc>
        <w:tc>
          <w:tcPr>
            <w:tcW w:w="1414" w:type="dxa"/>
            <w:gridSpan w:val="2"/>
            <w:tcBorders>
              <w:bottom w:val="double" w:sz="4" w:space="0" w:color="auto"/>
            </w:tcBorders>
            <w:tcMar>
              <w:top w:w="57" w:type="dxa"/>
              <w:left w:w="57" w:type="dxa"/>
              <w:bottom w:w="57" w:type="dxa"/>
              <w:right w:w="57" w:type="dxa"/>
            </w:tcMar>
          </w:tcPr>
          <w:p w14:paraId="6F6E748B" w14:textId="77777777" w:rsidR="00A61BC0" w:rsidRPr="00724676" w:rsidRDefault="00A61BC0" w:rsidP="00747A67">
            <w:pPr>
              <w:jc w:val="center"/>
              <w:rPr>
                <w:b/>
                <w:noProof/>
              </w:rPr>
            </w:pPr>
            <w:r w:rsidRPr="00807559">
              <w:rPr>
                <w:b/>
                <w:noProof/>
              </w:rPr>
              <w:t>Recurrent</w:t>
            </w:r>
          </w:p>
        </w:tc>
        <w:tc>
          <w:tcPr>
            <w:tcW w:w="1386" w:type="dxa"/>
            <w:gridSpan w:val="2"/>
            <w:tcBorders>
              <w:bottom w:val="double" w:sz="4" w:space="0" w:color="auto"/>
            </w:tcBorders>
            <w:tcMar>
              <w:top w:w="57" w:type="dxa"/>
              <w:left w:w="57" w:type="dxa"/>
              <w:bottom w:w="57" w:type="dxa"/>
              <w:right w:w="57" w:type="dxa"/>
            </w:tcMar>
          </w:tcPr>
          <w:p w14:paraId="7B79D94D" w14:textId="77777777" w:rsidR="00A61BC0" w:rsidRPr="00724676" w:rsidRDefault="00A61BC0" w:rsidP="00747A67">
            <w:pPr>
              <w:jc w:val="center"/>
              <w:rPr>
                <w:b/>
                <w:noProof/>
              </w:rPr>
            </w:pPr>
            <w:r w:rsidRPr="00807559">
              <w:rPr>
                <w:b/>
                <w:noProof/>
              </w:rPr>
              <w:t>One-off</w:t>
            </w:r>
          </w:p>
        </w:tc>
        <w:tc>
          <w:tcPr>
            <w:tcW w:w="1231" w:type="dxa"/>
            <w:tcBorders>
              <w:bottom w:val="double" w:sz="4" w:space="0" w:color="auto"/>
            </w:tcBorders>
            <w:tcMar>
              <w:top w:w="57" w:type="dxa"/>
              <w:left w:w="57" w:type="dxa"/>
              <w:bottom w:w="57" w:type="dxa"/>
              <w:right w:w="57" w:type="dxa"/>
            </w:tcMar>
          </w:tcPr>
          <w:p w14:paraId="0C9252E4" w14:textId="77777777" w:rsidR="00A61BC0" w:rsidRPr="00724676" w:rsidRDefault="00A61BC0" w:rsidP="00747A67">
            <w:pPr>
              <w:jc w:val="center"/>
              <w:rPr>
                <w:b/>
                <w:noProof/>
              </w:rPr>
            </w:pPr>
            <w:r w:rsidRPr="00807559">
              <w:rPr>
                <w:b/>
                <w:noProof/>
              </w:rPr>
              <w:t>Recurrent</w:t>
            </w:r>
          </w:p>
        </w:tc>
        <w:tc>
          <w:tcPr>
            <w:tcW w:w="1200" w:type="dxa"/>
            <w:tcBorders>
              <w:bottom w:val="double" w:sz="4" w:space="0" w:color="auto"/>
            </w:tcBorders>
            <w:tcMar>
              <w:top w:w="57" w:type="dxa"/>
              <w:left w:w="57" w:type="dxa"/>
              <w:bottom w:w="57" w:type="dxa"/>
              <w:right w:w="57" w:type="dxa"/>
            </w:tcMar>
          </w:tcPr>
          <w:p w14:paraId="6482A84D" w14:textId="77777777" w:rsidR="00A61BC0" w:rsidRPr="00724676" w:rsidRDefault="00A61BC0" w:rsidP="00747A67">
            <w:pPr>
              <w:jc w:val="center"/>
              <w:rPr>
                <w:b/>
                <w:noProof/>
              </w:rPr>
            </w:pPr>
            <w:r w:rsidRPr="00807559">
              <w:rPr>
                <w:b/>
                <w:noProof/>
              </w:rPr>
              <w:t>One-off</w:t>
            </w:r>
          </w:p>
        </w:tc>
        <w:tc>
          <w:tcPr>
            <w:tcW w:w="1200" w:type="dxa"/>
            <w:tcBorders>
              <w:bottom w:val="double" w:sz="4" w:space="0" w:color="auto"/>
            </w:tcBorders>
            <w:tcMar>
              <w:top w:w="57" w:type="dxa"/>
              <w:left w:w="57" w:type="dxa"/>
              <w:bottom w:w="57" w:type="dxa"/>
              <w:right w:w="57" w:type="dxa"/>
            </w:tcMar>
          </w:tcPr>
          <w:p w14:paraId="037F8A03" w14:textId="77777777" w:rsidR="00A61BC0" w:rsidRPr="00724676" w:rsidRDefault="00A61BC0" w:rsidP="00747A67">
            <w:pPr>
              <w:jc w:val="center"/>
              <w:rPr>
                <w:b/>
                <w:noProof/>
              </w:rPr>
            </w:pPr>
            <w:r w:rsidRPr="00807559">
              <w:rPr>
                <w:b/>
                <w:noProof/>
              </w:rPr>
              <w:t>Recurrent</w:t>
            </w:r>
          </w:p>
        </w:tc>
      </w:tr>
      <w:tr w:rsidR="00F34C75" w:rsidRPr="00807559" w14:paraId="06949B47" w14:textId="77777777" w:rsidTr="10339F63">
        <w:trPr>
          <w:gridAfter w:val="2"/>
          <w:wAfter w:w="24" w:type="dxa"/>
          <w:trHeight w:val="307"/>
        </w:trPr>
        <w:tc>
          <w:tcPr>
            <w:tcW w:w="1215" w:type="dxa"/>
            <w:vMerge w:val="restart"/>
            <w:tcMar>
              <w:top w:w="57" w:type="dxa"/>
              <w:left w:w="57" w:type="dxa"/>
              <w:bottom w:w="57" w:type="dxa"/>
              <w:right w:w="57" w:type="dxa"/>
            </w:tcMar>
            <w:vAlign w:val="center"/>
          </w:tcPr>
          <w:p w14:paraId="40817520" w14:textId="77777777" w:rsidR="00A61BC0" w:rsidRPr="00724676" w:rsidRDefault="00A61BC0" w:rsidP="00747A67">
            <w:pPr>
              <w:rPr>
                <w:noProof/>
              </w:rPr>
            </w:pPr>
            <w:r w:rsidRPr="00807559">
              <w:rPr>
                <w:noProof/>
              </w:rPr>
              <w:t xml:space="preserve">Commission’s clarification of the concept of </w:t>
            </w:r>
            <w:r w:rsidRPr="00807559">
              <w:rPr>
                <w:i/>
                <w:iCs/>
                <w:noProof/>
              </w:rPr>
              <w:t>force majeure</w:t>
            </w:r>
          </w:p>
        </w:tc>
        <w:tc>
          <w:tcPr>
            <w:tcW w:w="1575" w:type="dxa"/>
            <w:tcBorders>
              <w:right w:val="double" w:sz="4" w:space="0" w:color="auto"/>
            </w:tcBorders>
            <w:tcMar>
              <w:top w:w="57" w:type="dxa"/>
              <w:left w:w="57" w:type="dxa"/>
              <w:bottom w:w="57" w:type="dxa"/>
              <w:right w:w="57" w:type="dxa"/>
            </w:tcMar>
            <w:vAlign w:val="center"/>
          </w:tcPr>
          <w:p w14:paraId="41771861" w14:textId="77777777" w:rsidR="00A61BC0" w:rsidRPr="00724676" w:rsidRDefault="00A61BC0" w:rsidP="00747A67">
            <w:pPr>
              <w:rPr>
                <w:noProof/>
              </w:rPr>
            </w:pPr>
            <w:r w:rsidRPr="00807559">
              <w:rPr>
                <w:noProof/>
              </w:rPr>
              <w:t>Direct administrative costs</w:t>
            </w:r>
          </w:p>
          <w:p w14:paraId="10EF0D38" w14:textId="77777777" w:rsidR="00A61BC0" w:rsidRPr="00724676" w:rsidRDefault="00A61BC0" w:rsidP="00747A67">
            <w:pPr>
              <w:rPr>
                <w:noProof/>
              </w:rPr>
            </w:pPr>
          </w:p>
        </w:tc>
        <w:tc>
          <w:tcPr>
            <w:tcW w:w="1108" w:type="dxa"/>
            <w:gridSpan w:val="2"/>
            <w:tcBorders>
              <w:left w:val="double" w:sz="4" w:space="0" w:color="auto"/>
            </w:tcBorders>
            <w:tcMar>
              <w:top w:w="57" w:type="dxa"/>
              <w:left w:w="57" w:type="dxa"/>
              <w:bottom w:w="57" w:type="dxa"/>
              <w:right w:w="57" w:type="dxa"/>
            </w:tcMar>
            <w:vAlign w:val="center"/>
          </w:tcPr>
          <w:p w14:paraId="3DDAD7DD"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vAlign w:val="center"/>
          </w:tcPr>
          <w:p w14:paraId="0F980DCF"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vAlign w:val="center"/>
          </w:tcPr>
          <w:p w14:paraId="57566D7A" w14:textId="77777777" w:rsidR="00A61BC0" w:rsidRPr="00724676" w:rsidRDefault="00A61BC0" w:rsidP="00747A67">
            <w:pPr>
              <w:jc w:val="center"/>
              <w:rPr>
                <w:noProof/>
              </w:rPr>
            </w:pPr>
            <w:r w:rsidRPr="00807559">
              <w:rPr>
                <w:noProof/>
              </w:rPr>
              <w:t>0</w:t>
            </w:r>
          </w:p>
        </w:tc>
        <w:tc>
          <w:tcPr>
            <w:tcW w:w="1237" w:type="dxa"/>
            <w:gridSpan w:val="2"/>
            <w:tcMar>
              <w:top w:w="57" w:type="dxa"/>
              <w:left w:w="57" w:type="dxa"/>
              <w:bottom w:w="57" w:type="dxa"/>
              <w:right w:w="57" w:type="dxa"/>
            </w:tcMar>
            <w:vAlign w:val="center"/>
          </w:tcPr>
          <w:p w14:paraId="29B2D2C3" w14:textId="77777777" w:rsidR="00A61BC0" w:rsidRPr="00724676" w:rsidRDefault="00A61BC0" w:rsidP="00747A67">
            <w:pPr>
              <w:jc w:val="center"/>
              <w:rPr>
                <w:noProof/>
              </w:rPr>
            </w:pPr>
            <w:r w:rsidRPr="00807559">
              <w:rPr>
                <w:i/>
                <w:iCs/>
                <w:noProof/>
              </w:rPr>
              <w:t>Reduction in costs</w:t>
            </w:r>
            <w:r w:rsidRPr="00807559">
              <w:rPr>
                <w:noProof/>
              </w:rPr>
              <w:t xml:space="preserve"> </w:t>
            </w:r>
            <w:r w:rsidRPr="00807559">
              <w:rPr>
                <w:i/>
                <w:iCs/>
                <w:noProof/>
              </w:rPr>
              <w:t>(not quantifiable)</w:t>
            </w:r>
          </w:p>
        </w:tc>
        <w:tc>
          <w:tcPr>
            <w:tcW w:w="1200" w:type="dxa"/>
            <w:tcMar>
              <w:top w:w="57" w:type="dxa"/>
              <w:left w:w="57" w:type="dxa"/>
              <w:bottom w:w="57" w:type="dxa"/>
              <w:right w:w="57" w:type="dxa"/>
            </w:tcMar>
            <w:vAlign w:val="center"/>
          </w:tcPr>
          <w:p w14:paraId="4C4C5CD4" w14:textId="77777777" w:rsidR="00A61BC0" w:rsidRPr="00724676" w:rsidRDefault="00A61BC0" w:rsidP="00747A67">
            <w:pPr>
              <w:jc w:val="center"/>
              <w:rPr>
                <w:noProof/>
              </w:rPr>
            </w:pPr>
            <w:r w:rsidRPr="00807559">
              <w:rPr>
                <w:noProof/>
              </w:rPr>
              <w:t>-</w:t>
            </w:r>
          </w:p>
        </w:tc>
        <w:tc>
          <w:tcPr>
            <w:tcW w:w="1200" w:type="dxa"/>
            <w:tcMar>
              <w:top w:w="57" w:type="dxa"/>
              <w:left w:w="57" w:type="dxa"/>
              <w:bottom w:w="57" w:type="dxa"/>
              <w:right w:w="57" w:type="dxa"/>
            </w:tcMar>
            <w:vAlign w:val="center"/>
          </w:tcPr>
          <w:p w14:paraId="289210A0" w14:textId="77777777" w:rsidR="00A61BC0" w:rsidRPr="00724676" w:rsidRDefault="00A61BC0" w:rsidP="00747A67">
            <w:pPr>
              <w:jc w:val="center"/>
              <w:rPr>
                <w:noProof/>
              </w:rPr>
            </w:pPr>
            <w:r w:rsidRPr="00807559">
              <w:rPr>
                <w:noProof/>
              </w:rPr>
              <w:t>-</w:t>
            </w:r>
          </w:p>
        </w:tc>
      </w:tr>
      <w:tr w:rsidR="00F34C75" w:rsidRPr="00807559" w14:paraId="08991E8A" w14:textId="77777777" w:rsidTr="10339F63">
        <w:trPr>
          <w:gridAfter w:val="2"/>
          <w:wAfter w:w="24" w:type="dxa"/>
          <w:trHeight w:val="307"/>
        </w:trPr>
        <w:tc>
          <w:tcPr>
            <w:tcW w:w="1215" w:type="dxa"/>
            <w:vMerge/>
            <w:tcMar>
              <w:top w:w="57" w:type="dxa"/>
              <w:left w:w="57" w:type="dxa"/>
              <w:bottom w:w="57" w:type="dxa"/>
              <w:right w:w="57" w:type="dxa"/>
            </w:tcMar>
            <w:vAlign w:val="center"/>
          </w:tcPr>
          <w:p w14:paraId="0E159B68" w14:textId="77777777" w:rsidR="00A61BC0" w:rsidRPr="00724676" w:rsidRDefault="00A61BC0" w:rsidP="00747A67">
            <w:pPr>
              <w:rPr>
                <w:noProof/>
              </w:rPr>
            </w:pPr>
          </w:p>
        </w:tc>
        <w:tc>
          <w:tcPr>
            <w:tcW w:w="1575" w:type="dxa"/>
            <w:tcBorders>
              <w:right w:val="double" w:sz="4" w:space="0" w:color="auto"/>
            </w:tcBorders>
            <w:tcMar>
              <w:top w:w="57" w:type="dxa"/>
              <w:left w:w="57" w:type="dxa"/>
              <w:bottom w:w="57" w:type="dxa"/>
              <w:right w:w="57" w:type="dxa"/>
            </w:tcMar>
            <w:vAlign w:val="center"/>
          </w:tcPr>
          <w:p w14:paraId="6DF7A97D" w14:textId="77777777" w:rsidR="00A61BC0" w:rsidRPr="00724676" w:rsidRDefault="00A61BC0" w:rsidP="00747A67">
            <w:pPr>
              <w:rPr>
                <w:noProof/>
              </w:rPr>
            </w:pPr>
            <w:r w:rsidRPr="00807559">
              <w:rPr>
                <w:noProof/>
              </w:rPr>
              <w:t>Direct enforcement costs</w:t>
            </w:r>
          </w:p>
        </w:tc>
        <w:tc>
          <w:tcPr>
            <w:tcW w:w="1108" w:type="dxa"/>
            <w:gridSpan w:val="2"/>
            <w:tcBorders>
              <w:left w:val="double" w:sz="4" w:space="0" w:color="auto"/>
            </w:tcBorders>
            <w:tcMar>
              <w:top w:w="57" w:type="dxa"/>
              <w:left w:w="57" w:type="dxa"/>
              <w:bottom w:w="57" w:type="dxa"/>
              <w:right w:w="57" w:type="dxa"/>
            </w:tcMar>
            <w:vAlign w:val="center"/>
          </w:tcPr>
          <w:p w14:paraId="512E0FE7"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vAlign w:val="center"/>
          </w:tcPr>
          <w:p w14:paraId="6F24F58B"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vAlign w:val="center"/>
          </w:tcPr>
          <w:p w14:paraId="77ECD386" w14:textId="77777777" w:rsidR="00A61BC0" w:rsidRPr="00724676" w:rsidRDefault="00A61BC0" w:rsidP="00747A67">
            <w:pPr>
              <w:jc w:val="center"/>
              <w:rPr>
                <w:noProof/>
              </w:rPr>
            </w:pPr>
            <w:r w:rsidRPr="00807559">
              <w:rPr>
                <w:noProof/>
              </w:rPr>
              <w:t>-</w:t>
            </w:r>
          </w:p>
        </w:tc>
        <w:tc>
          <w:tcPr>
            <w:tcW w:w="1237" w:type="dxa"/>
            <w:gridSpan w:val="2"/>
            <w:tcMar>
              <w:top w:w="57" w:type="dxa"/>
              <w:left w:w="57" w:type="dxa"/>
              <w:bottom w:w="57" w:type="dxa"/>
              <w:right w:w="57" w:type="dxa"/>
            </w:tcMar>
          </w:tcPr>
          <w:p w14:paraId="537BA999" w14:textId="77777777" w:rsidR="00A61BC0" w:rsidRPr="00724676" w:rsidRDefault="00A61BC0" w:rsidP="00747A67">
            <w:pPr>
              <w:jc w:val="center"/>
              <w:rPr>
                <w:noProof/>
              </w:rPr>
            </w:pPr>
          </w:p>
          <w:p w14:paraId="4A263E67" w14:textId="77777777" w:rsidR="00A61BC0" w:rsidRPr="00724676" w:rsidRDefault="00A61BC0" w:rsidP="00747A67">
            <w:pPr>
              <w:jc w:val="center"/>
              <w:rPr>
                <w:noProof/>
              </w:rPr>
            </w:pPr>
            <w:r w:rsidRPr="00807559">
              <w:rPr>
                <w:noProof/>
              </w:rPr>
              <w:t>-</w:t>
            </w:r>
          </w:p>
        </w:tc>
        <w:tc>
          <w:tcPr>
            <w:tcW w:w="1200" w:type="dxa"/>
            <w:tcMar>
              <w:top w:w="57" w:type="dxa"/>
              <w:left w:w="57" w:type="dxa"/>
              <w:bottom w:w="57" w:type="dxa"/>
              <w:right w:w="57" w:type="dxa"/>
            </w:tcMar>
          </w:tcPr>
          <w:p w14:paraId="3834DDDE" w14:textId="77777777" w:rsidR="00A61BC0" w:rsidRPr="00724676" w:rsidRDefault="00A61BC0" w:rsidP="00747A67">
            <w:pPr>
              <w:jc w:val="center"/>
              <w:rPr>
                <w:noProof/>
              </w:rPr>
            </w:pPr>
          </w:p>
          <w:p w14:paraId="5F306F6E" w14:textId="77777777" w:rsidR="00A61BC0" w:rsidRPr="00724676" w:rsidRDefault="00A61BC0" w:rsidP="00747A67">
            <w:pPr>
              <w:jc w:val="center"/>
              <w:rPr>
                <w:noProof/>
              </w:rPr>
            </w:pPr>
            <w:r w:rsidRPr="00807559">
              <w:rPr>
                <w:noProof/>
              </w:rPr>
              <w:t>0</w:t>
            </w:r>
          </w:p>
        </w:tc>
        <w:tc>
          <w:tcPr>
            <w:tcW w:w="1200" w:type="dxa"/>
            <w:tcMar>
              <w:top w:w="57" w:type="dxa"/>
              <w:left w:w="57" w:type="dxa"/>
              <w:bottom w:w="57" w:type="dxa"/>
              <w:right w:w="57" w:type="dxa"/>
            </w:tcMar>
          </w:tcPr>
          <w:p w14:paraId="602FAA5F" w14:textId="77777777" w:rsidR="00A61BC0" w:rsidRPr="00724676" w:rsidRDefault="00A61BC0" w:rsidP="00747A67">
            <w:pPr>
              <w:rPr>
                <w:noProof/>
              </w:rPr>
            </w:pPr>
          </w:p>
          <w:p w14:paraId="1FA7EF6E" w14:textId="77777777" w:rsidR="00A61BC0" w:rsidRPr="00724676" w:rsidRDefault="00A61BC0" w:rsidP="00747A67">
            <w:pPr>
              <w:rPr>
                <w:noProof/>
              </w:rPr>
            </w:pPr>
            <w:r w:rsidRPr="00807559">
              <w:rPr>
                <w:i/>
                <w:iCs/>
                <w:noProof/>
              </w:rPr>
              <w:t>Reduction in costs (not quantifiable)</w:t>
            </w:r>
          </w:p>
        </w:tc>
      </w:tr>
      <w:tr w:rsidR="00F34C75" w:rsidRPr="00807559" w14:paraId="235BDBD9" w14:textId="77777777" w:rsidTr="10339F63">
        <w:trPr>
          <w:gridAfter w:val="2"/>
          <w:wAfter w:w="24" w:type="dxa"/>
          <w:trHeight w:val="307"/>
        </w:trPr>
        <w:tc>
          <w:tcPr>
            <w:tcW w:w="1215" w:type="dxa"/>
            <w:vMerge w:val="restart"/>
            <w:tcMar>
              <w:top w:w="57" w:type="dxa"/>
              <w:left w:w="57" w:type="dxa"/>
              <w:bottom w:w="57" w:type="dxa"/>
              <w:right w:w="57" w:type="dxa"/>
            </w:tcMar>
            <w:vAlign w:val="center"/>
          </w:tcPr>
          <w:p w14:paraId="753543DC" w14:textId="2FE145CA" w:rsidR="00A61BC0" w:rsidRPr="00724676" w:rsidRDefault="00A61BC0" w:rsidP="00747A67">
            <w:pPr>
              <w:rPr>
                <w:noProof/>
              </w:rPr>
            </w:pPr>
            <w:r w:rsidRPr="00807559">
              <w:rPr>
                <w:noProof/>
                <w:spacing w:val="-1"/>
              </w:rPr>
              <w:t>Revision of the IACS quality system will result in a reduced number of visited farms</w:t>
            </w:r>
            <w:r w:rsidRPr="00807559">
              <w:rPr>
                <w:rFonts w:eastAsia="Calibri"/>
                <w:noProof/>
              </w:rPr>
              <w:t xml:space="preserve"> </w:t>
            </w:r>
          </w:p>
        </w:tc>
        <w:tc>
          <w:tcPr>
            <w:tcW w:w="1575" w:type="dxa"/>
            <w:tcBorders>
              <w:right w:val="double" w:sz="4" w:space="0" w:color="auto"/>
            </w:tcBorders>
            <w:tcMar>
              <w:top w:w="57" w:type="dxa"/>
              <w:left w:w="57" w:type="dxa"/>
              <w:bottom w:w="57" w:type="dxa"/>
              <w:right w:w="57" w:type="dxa"/>
            </w:tcMar>
            <w:vAlign w:val="center"/>
          </w:tcPr>
          <w:p w14:paraId="177943D0" w14:textId="3B0670C0" w:rsidR="00A61BC0" w:rsidRPr="00724676" w:rsidRDefault="00A61BC0" w:rsidP="00747A67">
            <w:pPr>
              <w:rPr>
                <w:noProof/>
              </w:rPr>
            </w:pPr>
            <w:r w:rsidRPr="00807559">
              <w:rPr>
                <w:noProof/>
              </w:rPr>
              <w:t>Direct administrative costs</w:t>
            </w:r>
          </w:p>
        </w:tc>
        <w:tc>
          <w:tcPr>
            <w:tcW w:w="1108" w:type="dxa"/>
            <w:gridSpan w:val="2"/>
            <w:tcBorders>
              <w:left w:val="double" w:sz="4" w:space="0" w:color="auto"/>
            </w:tcBorders>
            <w:tcMar>
              <w:top w:w="57" w:type="dxa"/>
              <w:left w:w="57" w:type="dxa"/>
              <w:bottom w:w="57" w:type="dxa"/>
              <w:right w:w="57" w:type="dxa"/>
            </w:tcMar>
            <w:vAlign w:val="center"/>
          </w:tcPr>
          <w:p w14:paraId="222B43D4"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vAlign w:val="center"/>
          </w:tcPr>
          <w:p w14:paraId="70D5D782"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vAlign w:val="center"/>
          </w:tcPr>
          <w:p w14:paraId="56B9789B" w14:textId="77777777" w:rsidR="00A61BC0" w:rsidRPr="00724676" w:rsidRDefault="00A61BC0" w:rsidP="00747A67">
            <w:pPr>
              <w:jc w:val="center"/>
              <w:rPr>
                <w:noProof/>
              </w:rPr>
            </w:pPr>
            <w:r w:rsidRPr="00807559">
              <w:rPr>
                <w:noProof/>
              </w:rPr>
              <w:t>0</w:t>
            </w:r>
          </w:p>
        </w:tc>
        <w:tc>
          <w:tcPr>
            <w:tcW w:w="1237" w:type="dxa"/>
            <w:gridSpan w:val="2"/>
            <w:tcMar>
              <w:top w:w="57" w:type="dxa"/>
              <w:left w:w="57" w:type="dxa"/>
              <w:bottom w:w="57" w:type="dxa"/>
              <w:right w:w="57" w:type="dxa"/>
            </w:tcMar>
            <w:vAlign w:val="center"/>
          </w:tcPr>
          <w:p w14:paraId="2454BF2E" w14:textId="77777777" w:rsidR="00A61BC0" w:rsidRPr="00724676" w:rsidRDefault="00A61BC0" w:rsidP="00747A67">
            <w:pPr>
              <w:rPr>
                <w:noProof/>
              </w:rPr>
            </w:pPr>
            <w:r w:rsidRPr="00807559">
              <w:rPr>
                <w:noProof/>
              </w:rPr>
              <w:t>- EUR 61.8 million</w:t>
            </w:r>
          </w:p>
        </w:tc>
        <w:tc>
          <w:tcPr>
            <w:tcW w:w="1200" w:type="dxa"/>
            <w:tcMar>
              <w:top w:w="57" w:type="dxa"/>
              <w:left w:w="57" w:type="dxa"/>
              <w:bottom w:w="57" w:type="dxa"/>
              <w:right w:w="57" w:type="dxa"/>
            </w:tcMar>
            <w:vAlign w:val="center"/>
          </w:tcPr>
          <w:p w14:paraId="62371EA0" w14:textId="77777777" w:rsidR="00A61BC0" w:rsidRPr="00724676" w:rsidRDefault="00A61BC0" w:rsidP="00747A67">
            <w:pPr>
              <w:rPr>
                <w:noProof/>
              </w:rPr>
            </w:pPr>
            <w:r w:rsidRPr="00807559">
              <w:rPr>
                <w:noProof/>
              </w:rPr>
              <w:t>-</w:t>
            </w:r>
          </w:p>
        </w:tc>
        <w:tc>
          <w:tcPr>
            <w:tcW w:w="1200" w:type="dxa"/>
            <w:tcMar>
              <w:top w:w="57" w:type="dxa"/>
              <w:left w:w="57" w:type="dxa"/>
              <w:bottom w:w="57" w:type="dxa"/>
              <w:right w:w="57" w:type="dxa"/>
            </w:tcMar>
            <w:vAlign w:val="center"/>
          </w:tcPr>
          <w:p w14:paraId="779ED4EF" w14:textId="77777777" w:rsidR="00A61BC0" w:rsidRPr="00724676" w:rsidRDefault="00A61BC0" w:rsidP="00747A67">
            <w:pPr>
              <w:rPr>
                <w:noProof/>
              </w:rPr>
            </w:pPr>
            <w:r w:rsidRPr="00807559">
              <w:rPr>
                <w:noProof/>
              </w:rPr>
              <w:t>-</w:t>
            </w:r>
          </w:p>
        </w:tc>
      </w:tr>
      <w:tr w:rsidR="00F34C75" w:rsidRPr="00807559" w14:paraId="545030CD" w14:textId="77777777" w:rsidTr="10339F63">
        <w:trPr>
          <w:gridAfter w:val="2"/>
          <w:wAfter w:w="24" w:type="dxa"/>
          <w:trHeight w:val="307"/>
        </w:trPr>
        <w:tc>
          <w:tcPr>
            <w:tcW w:w="1215" w:type="dxa"/>
            <w:vMerge/>
            <w:tcMar>
              <w:top w:w="57" w:type="dxa"/>
              <w:left w:w="57" w:type="dxa"/>
              <w:bottom w:w="57" w:type="dxa"/>
              <w:right w:w="57" w:type="dxa"/>
            </w:tcMar>
            <w:vAlign w:val="center"/>
          </w:tcPr>
          <w:p w14:paraId="160DD399" w14:textId="77777777" w:rsidR="00A61BC0" w:rsidRPr="00724676" w:rsidRDefault="00A61BC0" w:rsidP="00747A67">
            <w:pPr>
              <w:rPr>
                <w:noProof/>
              </w:rPr>
            </w:pPr>
          </w:p>
        </w:tc>
        <w:tc>
          <w:tcPr>
            <w:tcW w:w="1575" w:type="dxa"/>
            <w:tcBorders>
              <w:right w:val="double" w:sz="4" w:space="0" w:color="auto"/>
            </w:tcBorders>
            <w:tcMar>
              <w:top w:w="57" w:type="dxa"/>
              <w:left w:w="57" w:type="dxa"/>
              <w:bottom w:w="57" w:type="dxa"/>
              <w:right w:w="57" w:type="dxa"/>
            </w:tcMar>
            <w:vAlign w:val="center"/>
          </w:tcPr>
          <w:p w14:paraId="2B7B5E2A" w14:textId="77777777" w:rsidR="00A61BC0" w:rsidRPr="00724676" w:rsidRDefault="00A61BC0" w:rsidP="00747A67">
            <w:pPr>
              <w:rPr>
                <w:noProof/>
              </w:rPr>
            </w:pPr>
            <w:r w:rsidRPr="00807559">
              <w:rPr>
                <w:noProof/>
              </w:rPr>
              <w:t>Direct enforcement costs</w:t>
            </w:r>
          </w:p>
        </w:tc>
        <w:tc>
          <w:tcPr>
            <w:tcW w:w="1108" w:type="dxa"/>
            <w:gridSpan w:val="2"/>
            <w:tcBorders>
              <w:left w:val="double" w:sz="4" w:space="0" w:color="auto"/>
            </w:tcBorders>
            <w:tcMar>
              <w:top w:w="57" w:type="dxa"/>
              <w:left w:w="57" w:type="dxa"/>
              <w:bottom w:w="57" w:type="dxa"/>
              <w:right w:w="57" w:type="dxa"/>
            </w:tcMar>
            <w:vAlign w:val="center"/>
          </w:tcPr>
          <w:p w14:paraId="36D832F9"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vAlign w:val="center"/>
          </w:tcPr>
          <w:p w14:paraId="1F283966"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vAlign w:val="center"/>
          </w:tcPr>
          <w:p w14:paraId="652EC7B5" w14:textId="77777777" w:rsidR="00A61BC0" w:rsidRPr="00724676" w:rsidRDefault="00A61BC0" w:rsidP="00747A67">
            <w:pPr>
              <w:jc w:val="center"/>
              <w:rPr>
                <w:noProof/>
              </w:rPr>
            </w:pPr>
            <w:r w:rsidRPr="00807559">
              <w:rPr>
                <w:noProof/>
              </w:rPr>
              <w:t>-</w:t>
            </w:r>
          </w:p>
        </w:tc>
        <w:tc>
          <w:tcPr>
            <w:tcW w:w="1237" w:type="dxa"/>
            <w:gridSpan w:val="2"/>
            <w:tcMar>
              <w:top w:w="57" w:type="dxa"/>
              <w:left w:w="57" w:type="dxa"/>
              <w:bottom w:w="57" w:type="dxa"/>
              <w:right w:w="57" w:type="dxa"/>
            </w:tcMar>
          </w:tcPr>
          <w:p w14:paraId="4EB059CC" w14:textId="77777777" w:rsidR="00A61BC0" w:rsidRPr="00724676" w:rsidRDefault="00A61BC0" w:rsidP="00747A67">
            <w:pPr>
              <w:rPr>
                <w:noProof/>
              </w:rPr>
            </w:pPr>
          </w:p>
          <w:p w14:paraId="5E71C84A" w14:textId="77777777" w:rsidR="00A61BC0" w:rsidRPr="00724676" w:rsidRDefault="00A61BC0" w:rsidP="00747A67">
            <w:pPr>
              <w:rPr>
                <w:noProof/>
              </w:rPr>
            </w:pPr>
          </w:p>
          <w:p w14:paraId="4E1DAF46" w14:textId="77777777" w:rsidR="00A61BC0" w:rsidRPr="00724676" w:rsidRDefault="00A61BC0" w:rsidP="00747A67">
            <w:pPr>
              <w:jc w:val="center"/>
              <w:rPr>
                <w:noProof/>
              </w:rPr>
            </w:pPr>
            <w:r w:rsidRPr="00807559">
              <w:rPr>
                <w:noProof/>
              </w:rPr>
              <w:t>-</w:t>
            </w:r>
          </w:p>
        </w:tc>
        <w:tc>
          <w:tcPr>
            <w:tcW w:w="1200" w:type="dxa"/>
            <w:tcMar>
              <w:top w:w="57" w:type="dxa"/>
              <w:left w:w="57" w:type="dxa"/>
              <w:bottom w:w="57" w:type="dxa"/>
              <w:right w:w="57" w:type="dxa"/>
            </w:tcMar>
          </w:tcPr>
          <w:p w14:paraId="63D9FBF3" w14:textId="77777777" w:rsidR="00A61BC0" w:rsidRPr="00724676" w:rsidRDefault="00A61BC0" w:rsidP="00747A67">
            <w:pPr>
              <w:rPr>
                <w:noProof/>
              </w:rPr>
            </w:pPr>
          </w:p>
          <w:p w14:paraId="3CA38C38" w14:textId="77777777" w:rsidR="00A61BC0" w:rsidRPr="00724676" w:rsidRDefault="00A61BC0" w:rsidP="00747A67">
            <w:pPr>
              <w:rPr>
                <w:noProof/>
              </w:rPr>
            </w:pPr>
          </w:p>
          <w:p w14:paraId="69470C3E" w14:textId="77777777" w:rsidR="00A61BC0" w:rsidRPr="00724676" w:rsidRDefault="00A61BC0" w:rsidP="00747A67">
            <w:pPr>
              <w:jc w:val="center"/>
              <w:rPr>
                <w:noProof/>
              </w:rPr>
            </w:pPr>
            <w:r w:rsidRPr="00807559">
              <w:rPr>
                <w:noProof/>
              </w:rPr>
              <w:t>0</w:t>
            </w:r>
          </w:p>
        </w:tc>
        <w:tc>
          <w:tcPr>
            <w:tcW w:w="1200" w:type="dxa"/>
            <w:tcMar>
              <w:top w:w="57" w:type="dxa"/>
              <w:left w:w="57" w:type="dxa"/>
              <w:bottom w:w="57" w:type="dxa"/>
              <w:right w:w="57" w:type="dxa"/>
            </w:tcMar>
          </w:tcPr>
          <w:p w14:paraId="65ADA6CC" w14:textId="77777777" w:rsidR="00A61BC0" w:rsidRPr="00724676" w:rsidRDefault="00A61BC0" w:rsidP="00747A67">
            <w:pPr>
              <w:rPr>
                <w:noProof/>
              </w:rPr>
            </w:pPr>
          </w:p>
          <w:p w14:paraId="51E4DF1D" w14:textId="77777777" w:rsidR="00A61BC0" w:rsidRPr="00724676" w:rsidRDefault="00A61BC0" w:rsidP="00747A67">
            <w:pPr>
              <w:jc w:val="center"/>
              <w:rPr>
                <w:noProof/>
              </w:rPr>
            </w:pPr>
            <w:r w:rsidRPr="00807559">
              <w:rPr>
                <w:noProof/>
              </w:rPr>
              <w:t>- EUR 82.4 million</w:t>
            </w:r>
          </w:p>
        </w:tc>
      </w:tr>
      <w:tr w:rsidR="00F34C75" w:rsidRPr="00807559" w14:paraId="5F081BDE" w14:textId="77777777" w:rsidTr="10339F63">
        <w:trPr>
          <w:gridAfter w:val="2"/>
          <w:wAfter w:w="24" w:type="dxa"/>
          <w:trHeight w:val="307"/>
        </w:trPr>
        <w:tc>
          <w:tcPr>
            <w:tcW w:w="1215" w:type="dxa"/>
            <w:vMerge w:val="restart"/>
            <w:tcMar>
              <w:top w:w="57" w:type="dxa"/>
              <w:left w:w="57" w:type="dxa"/>
              <w:bottom w:w="57" w:type="dxa"/>
              <w:right w:w="57" w:type="dxa"/>
            </w:tcMar>
            <w:vAlign w:val="center"/>
          </w:tcPr>
          <w:p w14:paraId="236D1D70" w14:textId="5A71974E" w:rsidR="00A61BC0" w:rsidRPr="00724676" w:rsidRDefault="00A61BC0" w:rsidP="00747A67">
            <w:pPr>
              <w:rPr>
                <w:noProof/>
              </w:rPr>
            </w:pPr>
            <w:r w:rsidRPr="00807559">
              <w:rPr>
                <w:noProof/>
              </w:rPr>
              <w:t>Removal of controls on conditionality for farms under 10 hectares</w:t>
            </w:r>
            <w:r w:rsidR="009001FD">
              <w:rPr>
                <w:noProof/>
              </w:rPr>
              <w:t>*</w:t>
            </w:r>
          </w:p>
        </w:tc>
        <w:tc>
          <w:tcPr>
            <w:tcW w:w="1575" w:type="dxa"/>
            <w:tcBorders>
              <w:right w:val="double" w:sz="4" w:space="0" w:color="auto"/>
            </w:tcBorders>
            <w:tcMar>
              <w:top w:w="57" w:type="dxa"/>
              <w:left w:w="57" w:type="dxa"/>
              <w:bottom w:w="57" w:type="dxa"/>
              <w:right w:w="57" w:type="dxa"/>
            </w:tcMar>
            <w:vAlign w:val="center"/>
          </w:tcPr>
          <w:p w14:paraId="2C0F19EB" w14:textId="77777777" w:rsidR="00A61BC0" w:rsidRPr="00724676" w:rsidRDefault="00A61BC0" w:rsidP="00747A67">
            <w:pPr>
              <w:rPr>
                <w:noProof/>
              </w:rPr>
            </w:pPr>
            <w:r w:rsidRPr="00807559">
              <w:rPr>
                <w:noProof/>
              </w:rPr>
              <w:t>Direct administrative costs</w:t>
            </w:r>
          </w:p>
          <w:p w14:paraId="5A622A1B" w14:textId="77777777" w:rsidR="00A61BC0" w:rsidRPr="00724676" w:rsidRDefault="00A61BC0" w:rsidP="00747A67">
            <w:pPr>
              <w:rPr>
                <w:noProof/>
              </w:rPr>
            </w:pPr>
          </w:p>
        </w:tc>
        <w:tc>
          <w:tcPr>
            <w:tcW w:w="1108" w:type="dxa"/>
            <w:gridSpan w:val="2"/>
            <w:tcBorders>
              <w:left w:val="double" w:sz="4" w:space="0" w:color="auto"/>
            </w:tcBorders>
            <w:tcMar>
              <w:top w:w="57" w:type="dxa"/>
              <w:left w:w="57" w:type="dxa"/>
              <w:bottom w:w="57" w:type="dxa"/>
              <w:right w:w="57" w:type="dxa"/>
            </w:tcMar>
            <w:vAlign w:val="center"/>
          </w:tcPr>
          <w:p w14:paraId="02F63091"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vAlign w:val="center"/>
          </w:tcPr>
          <w:p w14:paraId="39B1ED96"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vAlign w:val="center"/>
          </w:tcPr>
          <w:p w14:paraId="79F47533" w14:textId="77777777" w:rsidR="00A61BC0" w:rsidRPr="00724676" w:rsidRDefault="00A61BC0" w:rsidP="00747A67">
            <w:pPr>
              <w:jc w:val="center"/>
              <w:rPr>
                <w:noProof/>
              </w:rPr>
            </w:pPr>
            <w:r w:rsidRPr="00807559">
              <w:rPr>
                <w:noProof/>
              </w:rPr>
              <w:t>0</w:t>
            </w:r>
          </w:p>
        </w:tc>
        <w:tc>
          <w:tcPr>
            <w:tcW w:w="1237" w:type="dxa"/>
            <w:gridSpan w:val="2"/>
            <w:tcMar>
              <w:top w:w="57" w:type="dxa"/>
              <w:left w:w="57" w:type="dxa"/>
              <w:bottom w:w="57" w:type="dxa"/>
              <w:right w:w="57" w:type="dxa"/>
            </w:tcMar>
            <w:vAlign w:val="center"/>
          </w:tcPr>
          <w:p w14:paraId="324110FA" w14:textId="77777777" w:rsidR="00A61BC0" w:rsidRPr="00724676" w:rsidRDefault="00A61BC0" w:rsidP="00747A67">
            <w:pPr>
              <w:rPr>
                <w:noProof/>
              </w:rPr>
            </w:pPr>
            <w:r w:rsidRPr="00807559">
              <w:rPr>
                <w:noProof/>
              </w:rPr>
              <w:t>- EUR 6.7 million</w:t>
            </w:r>
          </w:p>
        </w:tc>
        <w:tc>
          <w:tcPr>
            <w:tcW w:w="1200" w:type="dxa"/>
            <w:tcMar>
              <w:top w:w="57" w:type="dxa"/>
              <w:left w:w="57" w:type="dxa"/>
              <w:bottom w:w="57" w:type="dxa"/>
              <w:right w:w="57" w:type="dxa"/>
            </w:tcMar>
            <w:vAlign w:val="center"/>
          </w:tcPr>
          <w:p w14:paraId="05350C95" w14:textId="77777777" w:rsidR="00A61BC0" w:rsidRPr="00724676" w:rsidRDefault="00A61BC0" w:rsidP="00747A67">
            <w:pPr>
              <w:rPr>
                <w:noProof/>
              </w:rPr>
            </w:pPr>
            <w:r w:rsidRPr="00807559">
              <w:rPr>
                <w:noProof/>
              </w:rPr>
              <w:t>-</w:t>
            </w:r>
          </w:p>
        </w:tc>
        <w:tc>
          <w:tcPr>
            <w:tcW w:w="1200" w:type="dxa"/>
            <w:tcMar>
              <w:top w:w="57" w:type="dxa"/>
              <w:left w:w="57" w:type="dxa"/>
              <w:bottom w:w="57" w:type="dxa"/>
              <w:right w:w="57" w:type="dxa"/>
            </w:tcMar>
            <w:vAlign w:val="center"/>
          </w:tcPr>
          <w:p w14:paraId="5F3067B9" w14:textId="77777777" w:rsidR="00A61BC0" w:rsidRPr="00724676" w:rsidRDefault="00A61BC0" w:rsidP="00747A67">
            <w:pPr>
              <w:rPr>
                <w:noProof/>
              </w:rPr>
            </w:pPr>
            <w:r w:rsidRPr="00807559">
              <w:rPr>
                <w:noProof/>
              </w:rPr>
              <w:t>-</w:t>
            </w:r>
          </w:p>
        </w:tc>
      </w:tr>
      <w:tr w:rsidR="00F34C75" w:rsidRPr="00807559" w14:paraId="4D509268" w14:textId="77777777" w:rsidTr="10339F63">
        <w:trPr>
          <w:gridAfter w:val="2"/>
          <w:wAfter w:w="24" w:type="dxa"/>
          <w:trHeight w:val="307"/>
        </w:trPr>
        <w:tc>
          <w:tcPr>
            <w:tcW w:w="1215" w:type="dxa"/>
            <w:vMerge/>
            <w:tcMar>
              <w:top w:w="57" w:type="dxa"/>
              <w:left w:w="57" w:type="dxa"/>
              <w:bottom w:w="57" w:type="dxa"/>
              <w:right w:w="57" w:type="dxa"/>
            </w:tcMar>
            <w:vAlign w:val="center"/>
          </w:tcPr>
          <w:p w14:paraId="5521F08F" w14:textId="77777777" w:rsidR="00A61BC0" w:rsidRPr="00724676" w:rsidRDefault="00A61BC0" w:rsidP="00747A67">
            <w:pPr>
              <w:rPr>
                <w:noProof/>
              </w:rPr>
            </w:pPr>
          </w:p>
        </w:tc>
        <w:tc>
          <w:tcPr>
            <w:tcW w:w="1575" w:type="dxa"/>
            <w:tcBorders>
              <w:right w:val="double" w:sz="4" w:space="0" w:color="auto"/>
            </w:tcBorders>
            <w:tcMar>
              <w:top w:w="57" w:type="dxa"/>
              <w:left w:w="57" w:type="dxa"/>
              <w:bottom w:w="57" w:type="dxa"/>
              <w:right w:w="57" w:type="dxa"/>
            </w:tcMar>
            <w:vAlign w:val="center"/>
          </w:tcPr>
          <w:p w14:paraId="121680C8" w14:textId="77777777" w:rsidR="00A61BC0" w:rsidRPr="00724676" w:rsidRDefault="00A61BC0" w:rsidP="00747A67">
            <w:pPr>
              <w:rPr>
                <w:noProof/>
              </w:rPr>
            </w:pPr>
            <w:r w:rsidRPr="00807559">
              <w:rPr>
                <w:noProof/>
              </w:rPr>
              <w:t>Direct enforcement costs</w:t>
            </w:r>
          </w:p>
          <w:p w14:paraId="0457428A" w14:textId="77777777" w:rsidR="00A61BC0" w:rsidRPr="00724676" w:rsidRDefault="00A61BC0" w:rsidP="00747A67">
            <w:pPr>
              <w:rPr>
                <w:noProof/>
              </w:rPr>
            </w:pPr>
          </w:p>
        </w:tc>
        <w:tc>
          <w:tcPr>
            <w:tcW w:w="1108" w:type="dxa"/>
            <w:gridSpan w:val="2"/>
            <w:tcBorders>
              <w:left w:val="double" w:sz="4" w:space="0" w:color="auto"/>
            </w:tcBorders>
            <w:tcMar>
              <w:top w:w="57" w:type="dxa"/>
              <w:left w:w="57" w:type="dxa"/>
              <w:bottom w:w="57" w:type="dxa"/>
              <w:right w:w="57" w:type="dxa"/>
            </w:tcMar>
            <w:vAlign w:val="center"/>
          </w:tcPr>
          <w:p w14:paraId="22A05F5B"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vAlign w:val="center"/>
          </w:tcPr>
          <w:p w14:paraId="7D76FAE0"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vAlign w:val="center"/>
          </w:tcPr>
          <w:p w14:paraId="588354E4" w14:textId="77777777" w:rsidR="00A61BC0" w:rsidRPr="00724676" w:rsidRDefault="00A61BC0" w:rsidP="00747A67">
            <w:pPr>
              <w:jc w:val="center"/>
              <w:rPr>
                <w:noProof/>
              </w:rPr>
            </w:pPr>
            <w:r w:rsidRPr="00807559">
              <w:rPr>
                <w:noProof/>
              </w:rPr>
              <w:t>-</w:t>
            </w:r>
          </w:p>
        </w:tc>
        <w:tc>
          <w:tcPr>
            <w:tcW w:w="1237" w:type="dxa"/>
            <w:gridSpan w:val="2"/>
            <w:tcMar>
              <w:top w:w="57" w:type="dxa"/>
              <w:left w:w="57" w:type="dxa"/>
              <w:bottom w:w="57" w:type="dxa"/>
              <w:right w:w="57" w:type="dxa"/>
            </w:tcMar>
            <w:vAlign w:val="center"/>
          </w:tcPr>
          <w:p w14:paraId="415C8FDC" w14:textId="77777777" w:rsidR="00A61BC0" w:rsidRPr="00724676" w:rsidRDefault="00A61BC0" w:rsidP="00747A67">
            <w:pPr>
              <w:rPr>
                <w:noProof/>
              </w:rPr>
            </w:pPr>
            <w:r w:rsidRPr="00807559">
              <w:rPr>
                <w:noProof/>
              </w:rPr>
              <w:t>-</w:t>
            </w:r>
          </w:p>
        </w:tc>
        <w:tc>
          <w:tcPr>
            <w:tcW w:w="1200" w:type="dxa"/>
            <w:tcMar>
              <w:top w:w="57" w:type="dxa"/>
              <w:left w:w="57" w:type="dxa"/>
              <w:bottom w:w="57" w:type="dxa"/>
              <w:right w:w="57" w:type="dxa"/>
            </w:tcMar>
            <w:vAlign w:val="center"/>
          </w:tcPr>
          <w:p w14:paraId="1707CD61" w14:textId="77777777" w:rsidR="00A61BC0" w:rsidRPr="00724676" w:rsidRDefault="00A61BC0" w:rsidP="00747A67">
            <w:pPr>
              <w:rPr>
                <w:noProof/>
              </w:rPr>
            </w:pPr>
            <w:r w:rsidRPr="00807559">
              <w:rPr>
                <w:noProof/>
              </w:rPr>
              <w:t>0</w:t>
            </w:r>
          </w:p>
        </w:tc>
        <w:tc>
          <w:tcPr>
            <w:tcW w:w="1200" w:type="dxa"/>
            <w:tcMar>
              <w:top w:w="57" w:type="dxa"/>
              <w:left w:w="57" w:type="dxa"/>
              <w:bottom w:w="57" w:type="dxa"/>
              <w:right w:w="57" w:type="dxa"/>
            </w:tcMar>
            <w:vAlign w:val="center"/>
          </w:tcPr>
          <w:p w14:paraId="215ECFA4" w14:textId="77777777" w:rsidR="00A61BC0" w:rsidRPr="00724676" w:rsidRDefault="00A61BC0" w:rsidP="00747A67">
            <w:pPr>
              <w:rPr>
                <w:noProof/>
              </w:rPr>
            </w:pPr>
            <w:r w:rsidRPr="00807559">
              <w:rPr>
                <w:noProof/>
              </w:rPr>
              <w:t>- EUR 13.4 million</w:t>
            </w:r>
          </w:p>
        </w:tc>
      </w:tr>
      <w:tr w:rsidR="00F34C75" w:rsidRPr="00807559" w14:paraId="29DFADDF" w14:textId="77777777" w:rsidTr="10339F63">
        <w:trPr>
          <w:gridAfter w:val="2"/>
          <w:wAfter w:w="24" w:type="dxa"/>
          <w:trHeight w:val="307"/>
        </w:trPr>
        <w:tc>
          <w:tcPr>
            <w:tcW w:w="1215" w:type="dxa"/>
            <w:vMerge w:val="restart"/>
            <w:tcMar>
              <w:top w:w="57" w:type="dxa"/>
              <w:left w:w="57" w:type="dxa"/>
              <w:bottom w:w="57" w:type="dxa"/>
              <w:right w:w="57" w:type="dxa"/>
            </w:tcMar>
          </w:tcPr>
          <w:p w14:paraId="270D72BB" w14:textId="77777777" w:rsidR="00A61BC0" w:rsidRPr="00724676" w:rsidRDefault="00A61BC0" w:rsidP="00747A67">
            <w:pPr>
              <w:rPr>
                <w:noProof/>
              </w:rPr>
            </w:pPr>
            <w:r w:rsidRPr="00807559">
              <w:rPr>
                <w:noProof/>
              </w:rPr>
              <w:t>Exemption of farmers subject to conditionality from cross compliance controls</w:t>
            </w:r>
          </w:p>
        </w:tc>
        <w:tc>
          <w:tcPr>
            <w:tcW w:w="1575" w:type="dxa"/>
            <w:tcBorders>
              <w:right w:val="double" w:sz="4" w:space="0" w:color="auto"/>
            </w:tcBorders>
            <w:tcMar>
              <w:top w:w="57" w:type="dxa"/>
              <w:left w:w="57" w:type="dxa"/>
              <w:bottom w:w="57" w:type="dxa"/>
              <w:right w:w="57" w:type="dxa"/>
            </w:tcMar>
            <w:vAlign w:val="center"/>
          </w:tcPr>
          <w:p w14:paraId="49F72655" w14:textId="77777777" w:rsidR="00A61BC0" w:rsidRPr="00724676" w:rsidRDefault="00A61BC0" w:rsidP="00747A67">
            <w:pPr>
              <w:rPr>
                <w:noProof/>
              </w:rPr>
            </w:pPr>
            <w:r w:rsidRPr="00807559">
              <w:rPr>
                <w:noProof/>
              </w:rPr>
              <w:t>Direct administrative costs</w:t>
            </w:r>
          </w:p>
          <w:p w14:paraId="29865FC6" w14:textId="77777777" w:rsidR="00A61BC0" w:rsidRPr="00724676" w:rsidRDefault="00A61BC0" w:rsidP="00747A67">
            <w:pPr>
              <w:rPr>
                <w:noProof/>
              </w:rPr>
            </w:pPr>
          </w:p>
        </w:tc>
        <w:tc>
          <w:tcPr>
            <w:tcW w:w="1108" w:type="dxa"/>
            <w:gridSpan w:val="2"/>
            <w:tcBorders>
              <w:left w:val="double" w:sz="4" w:space="0" w:color="auto"/>
            </w:tcBorders>
            <w:tcMar>
              <w:top w:w="57" w:type="dxa"/>
              <w:left w:w="57" w:type="dxa"/>
              <w:bottom w:w="57" w:type="dxa"/>
              <w:right w:w="57" w:type="dxa"/>
            </w:tcMar>
            <w:vAlign w:val="center"/>
          </w:tcPr>
          <w:p w14:paraId="2315010E"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vAlign w:val="center"/>
          </w:tcPr>
          <w:p w14:paraId="77D62C8E"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vAlign w:val="center"/>
          </w:tcPr>
          <w:p w14:paraId="6E7845CF" w14:textId="77777777" w:rsidR="00A61BC0" w:rsidRPr="00724676" w:rsidRDefault="00A61BC0" w:rsidP="00747A67">
            <w:pPr>
              <w:jc w:val="center"/>
              <w:rPr>
                <w:noProof/>
              </w:rPr>
            </w:pPr>
            <w:r w:rsidRPr="00807559">
              <w:rPr>
                <w:noProof/>
              </w:rPr>
              <w:t>0</w:t>
            </w:r>
          </w:p>
        </w:tc>
        <w:tc>
          <w:tcPr>
            <w:tcW w:w="1237" w:type="dxa"/>
            <w:gridSpan w:val="2"/>
            <w:tcMar>
              <w:top w:w="57" w:type="dxa"/>
              <w:left w:w="57" w:type="dxa"/>
              <w:bottom w:w="57" w:type="dxa"/>
              <w:right w:w="57" w:type="dxa"/>
            </w:tcMar>
            <w:vAlign w:val="center"/>
          </w:tcPr>
          <w:p w14:paraId="171B0AB7" w14:textId="77777777" w:rsidR="00A61BC0" w:rsidRPr="00724676" w:rsidRDefault="00A61BC0" w:rsidP="00747A67">
            <w:pPr>
              <w:jc w:val="center"/>
              <w:rPr>
                <w:noProof/>
              </w:rPr>
            </w:pPr>
            <w:r w:rsidRPr="00807559">
              <w:rPr>
                <w:i/>
                <w:iCs/>
                <w:noProof/>
              </w:rPr>
              <w:t>Reduction in costs (not quantifiable)</w:t>
            </w:r>
          </w:p>
        </w:tc>
        <w:tc>
          <w:tcPr>
            <w:tcW w:w="1200" w:type="dxa"/>
            <w:tcMar>
              <w:top w:w="57" w:type="dxa"/>
              <w:left w:w="57" w:type="dxa"/>
              <w:bottom w:w="57" w:type="dxa"/>
              <w:right w:w="57" w:type="dxa"/>
            </w:tcMar>
            <w:vAlign w:val="center"/>
          </w:tcPr>
          <w:p w14:paraId="0376D358" w14:textId="77777777" w:rsidR="00A61BC0" w:rsidRPr="00724676" w:rsidRDefault="00A61BC0" w:rsidP="00747A67">
            <w:pPr>
              <w:jc w:val="center"/>
              <w:rPr>
                <w:noProof/>
              </w:rPr>
            </w:pPr>
            <w:r w:rsidRPr="00807559">
              <w:rPr>
                <w:noProof/>
              </w:rPr>
              <w:t>-</w:t>
            </w:r>
          </w:p>
        </w:tc>
        <w:tc>
          <w:tcPr>
            <w:tcW w:w="1200" w:type="dxa"/>
            <w:tcMar>
              <w:top w:w="57" w:type="dxa"/>
              <w:left w:w="57" w:type="dxa"/>
              <w:bottom w:w="57" w:type="dxa"/>
              <w:right w:w="57" w:type="dxa"/>
            </w:tcMar>
            <w:vAlign w:val="center"/>
          </w:tcPr>
          <w:p w14:paraId="009687AD" w14:textId="77777777" w:rsidR="00A61BC0" w:rsidRPr="00724676" w:rsidRDefault="00A61BC0" w:rsidP="00747A67">
            <w:pPr>
              <w:jc w:val="center"/>
              <w:rPr>
                <w:noProof/>
              </w:rPr>
            </w:pPr>
            <w:r w:rsidRPr="00807559">
              <w:rPr>
                <w:i/>
                <w:iCs/>
                <w:noProof/>
              </w:rPr>
              <w:t>-</w:t>
            </w:r>
          </w:p>
        </w:tc>
      </w:tr>
      <w:tr w:rsidR="00F34C75" w:rsidRPr="00807559" w14:paraId="53DB8DE0" w14:textId="77777777" w:rsidTr="10339F63">
        <w:trPr>
          <w:gridAfter w:val="2"/>
          <w:wAfter w:w="24" w:type="dxa"/>
          <w:trHeight w:val="307"/>
        </w:trPr>
        <w:tc>
          <w:tcPr>
            <w:tcW w:w="1215" w:type="dxa"/>
            <w:vMerge/>
            <w:tcMar>
              <w:top w:w="57" w:type="dxa"/>
              <w:left w:w="57" w:type="dxa"/>
              <w:bottom w:w="57" w:type="dxa"/>
              <w:right w:w="57" w:type="dxa"/>
            </w:tcMar>
            <w:vAlign w:val="center"/>
          </w:tcPr>
          <w:p w14:paraId="051E1C6F" w14:textId="77777777" w:rsidR="00A61BC0" w:rsidRPr="00724676" w:rsidRDefault="00A61BC0" w:rsidP="00747A67">
            <w:pPr>
              <w:rPr>
                <w:noProof/>
              </w:rPr>
            </w:pPr>
          </w:p>
        </w:tc>
        <w:tc>
          <w:tcPr>
            <w:tcW w:w="1575" w:type="dxa"/>
            <w:tcBorders>
              <w:right w:val="double" w:sz="4" w:space="0" w:color="auto"/>
            </w:tcBorders>
            <w:tcMar>
              <w:top w:w="57" w:type="dxa"/>
              <w:left w:w="57" w:type="dxa"/>
              <w:bottom w:w="57" w:type="dxa"/>
              <w:right w:w="57" w:type="dxa"/>
            </w:tcMar>
            <w:vAlign w:val="center"/>
          </w:tcPr>
          <w:p w14:paraId="6F3573D3" w14:textId="77777777" w:rsidR="00A61BC0" w:rsidRPr="00724676" w:rsidRDefault="00A61BC0" w:rsidP="00747A67">
            <w:pPr>
              <w:rPr>
                <w:noProof/>
              </w:rPr>
            </w:pPr>
            <w:r w:rsidRPr="00807559">
              <w:rPr>
                <w:noProof/>
              </w:rPr>
              <w:t>Direct enforcement costs</w:t>
            </w:r>
          </w:p>
        </w:tc>
        <w:tc>
          <w:tcPr>
            <w:tcW w:w="1108" w:type="dxa"/>
            <w:gridSpan w:val="2"/>
            <w:tcBorders>
              <w:left w:val="double" w:sz="4" w:space="0" w:color="auto"/>
            </w:tcBorders>
            <w:tcMar>
              <w:top w:w="57" w:type="dxa"/>
              <w:left w:w="57" w:type="dxa"/>
              <w:bottom w:w="57" w:type="dxa"/>
              <w:right w:w="57" w:type="dxa"/>
            </w:tcMar>
            <w:vAlign w:val="center"/>
          </w:tcPr>
          <w:p w14:paraId="70A94F43"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vAlign w:val="center"/>
          </w:tcPr>
          <w:p w14:paraId="2A52AB43"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vAlign w:val="center"/>
          </w:tcPr>
          <w:p w14:paraId="4080EECC" w14:textId="77777777" w:rsidR="00A61BC0" w:rsidRPr="00724676" w:rsidRDefault="00A61BC0" w:rsidP="00747A67">
            <w:pPr>
              <w:jc w:val="center"/>
              <w:rPr>
                <w:noProof/>
              </w:rPr>
            </w:pPr>
            <w:r w:rsidRPr="00807559">
              <w:rPr>
                <w:noProof/>
              </w:rPr>
              <w:t>-</w:t>
            </w:r>
          </w:p>
        </w:tc>
        <w:tc>
          <w:tcPr>
            <w:tcW w:w="1237" w:type="dxa"/>
            <w:gridSpan w:val="2"/>
            <w:tcMar>
              <w:top w:w="57" w:type="dxa"/>
              <w:left w:w="57" w:type="dxa"/>
              <w:bottom w:w="57" w:type="dxa"/>
              <w:right w:w="57" w:type="dxa"/>
            </w:tcMar>
            <w:vAlign w:val="center"/>
          </w:tcPr>
          <w:p w14:paraId="2D55F090" w14:textId="77777777" w:rsidR="00A61BC0" w:rsidRPr="00724676" w:rsidRDefault="00A61BC0" w:rsidP="00747A67">
            <w:pPr>
              <w:jc w:val="center"/>
              <w:rPr>
                <w:noProof/>
              </w:rPr>
            </w:pPr>
            <w:r w:rsidRPr="00807559">
              <w:rPr>
                <w:noProof/>
              </w:rPr>
              <w:t>-</w:t>
            </w:r>
          </w:p>
        </w:tc>
        <w:tc>
          <w:tcPr>
            <w:tcW w:w="1200" w:type="dxa"/>
            <w:tcMar>
              <w:top w:w="57" w:type="dxa"/>
              <w:left w:w="57" w:type="dxa"/>
              <w:bottom w:w="57" w:type="dxa"/>
              <w:right w:w="57" w:type="dxa"/>
            </w:tcMar>
          </w:tcPr>
          <w:p w14:paraId="54FA7FBB" w14:textId="77777777" w:rsidR="00A61BC0" w:rsidRPr="00724676" w:rsidRDefault="00A61BC0" w:rsidP="00747A67">
            <w:pPr>
              <w:rPr>
                <w:noProof/>
              </w:rPr>
            </w:pPr>
          </w:p>
          <w:p w14:paraId="29030459" w14:textId="77777777" w:rsidR="00A61BC0" w:rsidRPr="00724676" w:rsidRDefault="00A61BC0" w:rsidP="00747A67">
            <w:pPr>
              <w:jc w:val="center"/>
              <w:rPr>
                <w:noProof/>
              </w:rPr>
            </w:pPr>
            <w:r w:rsidRPr="00807559">
              <w:rPr>
                <w:noProof/>
              </w:rPr>
              <w:t>0</w:t>
            </w:r>
          </w:p>
        </w:tc>
        <w:tc>
          <w:tcPr>
            <w:tcW w:w="1200" w:type="dxa"/>
            <w:tcMar>
              <w:top w:w="57" w:type="dxa"/>
              <w:left w:w="57" w:type="dxa"/>
              <w:bottom w:w="57" w:type="dxa"/>
              <w:right w:w="57" w:type="dxa"/>
            </w:tcMar>
          </w:tcPr>
          <w:p w14:paraId="73CA94E2" w14:textId="77777777" w:rsidR="00A61BC0" w:rsidRPr="00724676" w:rsidRDefault="00A61BC0" w:rsidP="00747A67">
            <w:pPr>
              <w:rPr>
                <w:noProof/>
              </w:rPr>
            </w:pPr>
          </w:p>
          <w:p w14:paraId="3DBE980A" w14:textId="77777777" w:rsidR="00A61BC0" w:rsidRPr="00724676" w:rsidRDefault="00A61BC0" w:rsidP="00747A67">
            <w:pPr>
              <w:jc w:val="center"/>
              <w:rPr>
                <w:noProof/>
              </w:rPr>
            </w:pPr>
            <w:r w:rsidRPr="00807559">
              <w:rPr>
                <w:i/>
                <w:iCs/>
                <w:noProof/>
              </w:rPr>
              <w:t>Reduction in costs (not quantifiable)</w:t>
            </w:r>
          </w:p>
        </w:tc>
      </w:tr>
      <w:tr w:rsidR="00F34C75" w:rsidRPr="00807559" w14:paraId="181F9457" w14:textId="77777777" w:rsidTr="10339F63">
        <w:trPr>
          <w:gridAfter w:val="2"/>
          <w:wAfter w:w="24" w:type="dxa"/>
          <w:trHeight w:val="307"/>
        </w:trPr>
        <w:tc>
          <w:tcPr>
            <w:tcW w:w="1215" w:type="dxa"/>
            <w:vMerge w:val="restart"/>
            <w:tcMar>
              <w:top w:w="57" w:type="dxa"/>
              <w:left w:w="57" w:type="dxa"/>
              <w:bottom w:w="57" w:type="dxa"/>
              <w:right w:w="57" w:type="dxa"/>
            </w:tcMar>
            <w:vAlign w:val="center"/>
          </w:tcPr>
          <w:p w14:paraId="28DEA6D7" w14:textId="401BEF8E" w:rsidR="00A61BC0" w:rsidRPr="00724676" w:rsidRDefault="00A61BC0" w:rsidP="00747A67">
            <w:pPr>
              <w:rPr>
                <w:noProof/>
              </w:rPr>
            </w:pPr>
            <w:r>
              <w:rPr>
                <w:noProof/>
              </w:rPr>
              <w:t xml:space="preserve">Rationalising controls, including the right </w:t>
            </w:r>
            <w:r w:rsidR="6D2945BF">
              <w:rPr>
                <w:noProof/>
              </w:rPr>
              <w:t>of</w:t>
            </w:r>
            <w:r w:rsidR="00111237">
              <w:rPr>
                <w:noProof/>
              </w:rPr>
              <w:t xml:space="preserve"> </w:t>
            </w:r>
            <w:r>
              <w:rPr>
                <w:noProof/>
              </w:rPr>
              <w:t>error</w:t>
            </w:r>
          </w:p>
        </w:tc>
        <w:tc>
          <w:tcPr>
            <w:tcW w:w="1575" w:type="dxa"/>
            <w:tcBorders>
              <w:right w:val="double" w:sz="4" w:space="0" w:color="auto"/>
            </w:tcBorders>
            <w:tcMar>
              <w:top w:w="57" w:type="dxa"/>
              <w:left w:w="57" w:type="dxa"/>
              <w:bottom w:w="57" w:type="dxa"/>
              <w:right w:w="57" w:type="dxa"/>
            </w:tcMar>
            <w:vAlign w:val="center"/>
          </w:tcPr>
          <w:p w14:paraId="00B33F21" w14:textId="77777777" w:rsidR="00A61BC0" w:rsidRPr="00724676" w:rsidRDefault="00A61BC0" w:rsidP="00747A67">
            <w:pPr>
              <w:rPr>
                <w:noProof/>
              </w:rPr>
            </w:pPr>
            <w:r w:rsidRPr="00807559">
              <w:rPr>
                <w:noProof/>
              </w:rPr>
              <w:t>Direct administrative costs</w:t>
            </w:r>
          </w:p>
        </w:tc>
        <w:tc>
          <w:tcPr>
            <w:tcW w:w="1108" w:type="dxa"/>
            <w:gridSpan w:val="2"/>
            <w:tcBorders>
              <w:left w:val="double" w:sz="4" w:space="0" w:color="auto"/>
            </w:tcBorders>
            <w:tcMar>
              <w:top w:w="57" w:type="dxa"/>
              <w:left w:w="57" w:type="dxa"/>
              <w:bottom w:w="57" w:type="dxa"/>
              <w:right w:w="57" w:type="dxa"/>
            </w:tcMar>
            <w:vAlign w:val="center"/>
          </w:tcPr>
          <w:p w14:paraId="7789913A"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vAlign w:val="center"/>
          </w:tcPr>
          <w:p w14:paraId="73955FC5"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vAlign w:val="center"/>
          </w:tcPr>
          <w:p w14:paraId="4487FE21" w14:textId="77777777" w:rsidR="00A61BC0" w:rsidRPr="00724676" w:rsidRDefault="00A61BC0" w:rsidP="00747A67">
            <w:pPr>
              <w:jc w:val="center"/>
              <w:rPr>
                <w:noProof/>
              </w:rPr>
            </w:pPr>
            <w:r w:rsidRPr="00807559">
              <w:rPr>
                <w:noProof/>
              </w:rPr>
              <w:t>0</w:t>
            </w:r>
          </w:p>
        </w:tc>
        <w:tc>
          <w:tcPr>
            <w:tcW w:w="1237" w:type="dxa"/>
            <w:gridSpan w:val="2"/>
            <w:tcMar>
              <w:top w:w="57" w:type="dxa"/>
              <w:left w:w="57" w:type="dxa"/>
              <w:bottom w:w="57" w:type="dxa"/>
              <w:right w:w="57" w:type="dxa"/>
            </w:tcMar>
            <w:vAlign w:val="center"/>
          </w:tcPr>
          <w:p w14:paraId="302D11AE" w14:textId="77777777" w:rsidR="00A61BC0" w:rsidRPr="00724676" w:rsidRDefault="00A61BC0" w:rsidP="00747A67">
            <w:pPr>
              <w:jc w:val="center"/>
              <w:rPr>
                <w:noProof/>
              </w:rPr>
            </w:pPr>
            <w:r w:rsidRPr="00807559">
              <w:rPr>
                <w:i/>
                <w:iCs/>
                <w:noProof/>
              </w:rPr>
              <w:t>Reduction in costs (not quantifiable)</w:t>
            </w:r>
          </w:p>
        </w:tc>
        <w:tc>
          <w:tcPr>
            <w:tcW w:w="1200" w:type="dxa"/>
            <w:tcMar>
              <w:top w:w="57" w:type="dxa"/>
              <w:left w:w="57" w:type="dxa"/>
              <w:bottom w:w="57" w:type="dxa"/>
              <w:right w:w="57" w:type="dxa"/>
            </w:tcMar>
            <w:vAlign w:val="center"/>
          </w:tcPr>
          <w:p w14:paraId="4C0C03F2" w14:textId="77777777" w:rsidR="00A61BC0" w:rsidRPr="00724676" w:rsidRDefault="00A61BC0" w:rsidP="00747A67">
            <w:pPr>
              <w:jc w:val="center"/>
              <w:rPr>
                <w:noProof/>
              </w:rPr>
            </w:pPr>
            <w:r w:rsidRPr="00807559">
              <w:rPr>
                <w:noProof/>
              </w:rPr>
              <w:t>-</w:t>
            </w:r>
          </w:p>
        </w:tc>
        <w:tc>
          <w:tcPr>
            <w:tcW w:w="1200" w:type="dxa"/>
            <w:tcMar>
              <w:top w:w="57" w:type="dxa"/>
              <w:left w:w="57" w:type="dxa"/>
              <w:bottom w:w="57" w:type="dxa"/>
              <w:right w:w="57" w:type="dxa"/>
            </w:tcMar>
            <w:vAlign w:val="center"/>
          </w:tcPr>
          <w:p w14:paraId="04003C8D" w14:textId="77777777" w:rsidR="00A61BC0" w:rsidRPr="00724676" w:rsidRDefault="00A61BC0" w:rsidP="00747A67">
            <w:pPr>
              <w:jc w:val="center"/>
              <w:rPr>
                <w:noProof/>
              </w:rPr>
            </w:pPr>
            <w:r w:rsidRPr="00807559">
              <w:rPr>
                <w:i/>
                <w:iCs/>
                <w:noProof/>
              </w:rPr>
              <w:t>-</w:t>
            </w:r>
          </w:p>
        </w:tc>
      </w:tr>
      <w:tr w:rsidR="00F34C75" w:rsidRPr="00807559" w14:paraId="1BCEDEF3" w14:textId="77777777" w:rsidTr="10339F63">
        <w:trPr>
          <w:gridAfter w:val="2"/>
          <w:wAfter w:w="24" w:type="dxa"/>
          <w:trHeight w:val="307"/>
        </w:trPr>
        <w:tc>
          <w:tcPr>
            <w:tcW w:w="1215" w:type="dxa"/>
            <w:vMerge/>
            <w:tcMar>
              <w:top w:w="57" w:type="dxa"/>
              <w:left w:w="57" w:type="dxa"/>
              <w:bottom w:w="57" w:type="dxa"/>
              <w:right w:w="57" w:type="dxa"/>
            </w:tcMar>
            <w:vAlign w:val="center"/>
          </w:tcPr>
          <w:p w14:paraId="0E8A7A0B" w14:textId="77777777" w:rsidR="00A61BC0" w:rsidRPr="00724676" w:rsidRDefault="00A61BC0" w:rsidP="00747A67">
            <w:pPr>
              <w:rPr>
                <w:noProof/>
              </w:rPr>
            </w:pPr>
          </w:p>
        </w:tc>
        <w:tc>
          <w:tcPr>
            <w:tcW w:w="1575" w:type="dxa"/>
            <w:tcBorders>
              <w:right w:val="double" w:sz="4" w:space="0" w:color="auto"/>
            </w:tcBorders>
            <w:tcMar>
              <w:top w:w="57" w:type="dxa"/>
              <w:left w:w="57" w:type="dxa"/>
              <w:bottom w:w="57" w:type="dxa"/>
              <w:right w:w="57" w:type="dxa"/>
            </w:tcMar>
            <w:vAlign w:val="center"/>
          </w:tcPr>
          <w:p w14:paraId="7178A074" w14:textId="77777777" w:rsidR="00A61BC0" w:rsidRPr="00724676" w:rsidRDefault="00A61BC0" w:rsidP="00747A67">
            <w:pPr>
              <w:rPr>
                <w:noProof/>
              </w:rPr>
            </w:pPr>
            <w:r w:rsidRPr="00807559">
              <w:rPr>
                <w:noProof/>
              </w:rPr>
              <w:t>Direct enforcement costs</w:t>
            </w:r>
          </w:p>
        </w:tc>
        <w:tc>
          <w:tcPr>
            <w:tcW w:w="1108" w:type="dxa"/>
            <w:gridSpan w:val="2"/>
            <w:tcBorders>
              <w:left w:val="double" w:sz="4" w:space="0" w:color="auto"/>
            </w:tcBorders>
            <w:tcMar>
              <w:top w:w="57" w:type="dxa"/>
              <w:left w:w="57" w:type="dxa"/>
              <w:bottom w:w="57" w:type="dxa"/>
              <w:right w:w="57" w:type="dxa"/>
            </w:tcMar>
            <w:vAlign w:val="center"/>
          </w:tcPr>
          <w:p w14:paraId="3BB085A4"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vAlign w:val="center"/>
          </w:tcPr>
          <w:p w14:paraId="7E03B606"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vAlign w:val="center"/>
          </w:tcPr>
          <w:p w14:paraId="6F6AEF06" w14:textId="77777777" w:rsidR="00A61BC0" w:rsidRPr="00724676" w:rsidRDefault="00A61BC0" w:rsidP="00747A67">
            <w:pPr>
              <w:jc w:val="center"/>
              <w:rPr>
                <w:noProof/>
              </w:rPr>
            </w:pPr>
            <w:r w:rsidRPr="00807559">
              <w:rPr>
                <w:noProof/>
              </w:rPr>
              <w:t>-</w:t>
            </w:r>
          </w:p>
        </w:tc>
        <w:tc>
          <w:tcPr>
            <w:tcW w:w="1237" w:type="dxa"/>
            <w:gridSpan w:val="2"/>
            <w:tcMar>
              <w:top w:w="57" w:type="dxa"/>
              <w:left w:w="57" w:type="dxa"/>
              <w:bottom w:w="57" w:type="dxa"/>
              <w:right w:w="57" w:type="dxa"/>
            </w:tcMar>
          </w:tcPr>
          <w:p w14:paraId="7460BA47" w14:textId="77777777" w:rsidR="00A61BC0" w:rsidRPr="00724676" w:rsidRDefault="00A61BC0" w:rsidP="00747A67">
            <w:pPr>
              <w:rPr>
                <w:noProof/>
              </w:rPr>
            </w:pPr>
          </w:p>
          <w:p w14:paraId="3DD734CC" w14:textId="77777777" w:rsidR="00A61BC0" w:rsidRPr="00724676" w:rsidRDefault="00A61BC0" w:rsidP="00747A67">
            <w:pPr>
              <w:jc w:val="center"/>
              <w:rPr>
                <w:noProof/>
              </w:rPr>
            </w:pPr>
            <w:r w:rsidRPr="00807559">
              <w:rPr>
                <w:noProof/>
              </w:rPr>
              <w:t>-</w:t>
            </w:r>
          </w:p>
        </w:tc>
        <w:tc>
          <w:tcPr>
            <w:tcW w:w="1200" w:type="dxa"/>
            <w:tcMar>
              <w:top w:w="57" w:type="dxa"/>
              <w:left w:w="57" w:type="dxa"/>
              <w:bottom w:w="57" w:type="dxa"/>
              <w:right w:w="57" w:type="dxa"/>
            </w:tcMar>
          </w:tcPr>
          <w:p w14:paraId="04114B75" w14:textId="77777777" w:rsidR="00A61BC0" w:rsidRPr="00724676" w:rsidRDefault="00A61BC0" w:rsidP="00747A67">
            <w:pPr>
              <w:jc w:val="center"/>
              <w:rPr>
                <w:noProof/>
              </w:rPr>
            </w:pPr>
          </w:p>
          <w:p w14:paraId="268876B6" w14:textId="77777777" w:rsidR="00A61BC0" w:rsidRPr="00724676" w:rsidRDefault="00A61BC0" w:rsidP="00747A67">
            <w:pPr>
              <w:jc w:val="center"/>
              <w:rPr>
                <w:noProof/>
              </w:rPr>
            </w:pPr>
            <w:r w:rsidRPr="00807559">
              <w:rPr>
                <w:noProof/>
              </w:rPr>
              <w:t>0</w:t>
            </w:r>
          </w:p>
        </w:tc>
        <w:tc>
          <w:tcPr>
            <w:tcW w:w="1200" w:type="dxa"/>
            <w:tcMar>
              <w:top w:w="57" w:type="dxa"/>
              <w:left w:w="57" w:type="dxa"/>
              <w:bottom w:w="57" w:type="dxa"/>
              <w:right w:w="57" w:type="dxa"/>
            </w:tcMar>
          </w:tcPr>
          <w:p w14:paraId="5C3EE83A" w14:textId="77777777" w:rsidR="00A61BC0" w:rsidRPr="00724676" w:rsidRDefault="00A61BC0" w:rsidP="00747A67">
            <w:pPr>
              <w:rPr>
                <w:noProof/>
              </w:rPr>
            </w:pPr>
          </w:p>
          <w:p w14:paraId="745FD72D" w14:textId="77777777" w:rsidR="00A61BC0" w:rsidRPr="00724676" w:rsidRDefault="00A61BC0" w:rsidP="00747A67">
            <w:pPr>
              <w:jc w:val="center"/>
              <w:rPr>
                <w:noProof/>
              </w:rPr>
            </w:pPr>
            <w:r w:rsidRPr="00807559">
              <w:rPr>
                <w:i/>
                <w:iCs/>
                <w:noProof/>
              </w:rPr>
              <w:t>Reduction in costs (not quantifiable)</w:t>
            </w:r>
          </w:p>
        </w:tc>
      </w:tr>
      <w:tr w:rsidR="00F34C75" w:rsidRPr="00807559" w14:paraId="232F46A3" w14:textId="77777777" w:rsidTr="10339F63">
        <w:trPr>
          <w:gridAfter w:val="2"/>
          <w:wAfter w:w="24" w:type="dxa"/>
          <w:trHeight w:val="690"/>
        </w:trPr>
        <w:tc>
          <w:tcPr>
            <w:tcW w:w="1215" w:type="dxa"/>
            <w:tcMar>
              <w:top w:w="57" w:type="dxa"/>
              <w:left w:w="57" w:type="dxa"/>
              <w:bottom w:w="57" w:type="dxa"/>
              <w:right w:w="57" w:type="dxa"/>
            </w:tcMar>
            <w:vAlign w:val="center"/>
          </w:tcPr>
          <w:p w14:paraId="6A4BBEA8" w14:textId="77777777" w:rsidR="00A61BC0" w:rsidRPr="00724676" w:rsidRDefault="00A61BC0" w:rsidP="00747A67">
            <w:pPr>
              <w:rPr>
                <w:noProof/>
              </w:rPr>
            </w:pPr>
            <w:r w:rsidRPr="00807559">
              <w:rPr>
                <w:noProof/>
              </w:rPr>
              <w:t>Streamlined approval process of CSP amendments</w:t>
            </w:r>
          </w:p>
        </w:tc>
        <w:tc>
          <w:tcPr>
            <w:tcW w:w="1575" w:type="dxa"/>
            <w:tcBorders>
              <w:right w:val="double" w:sz="4" w:space="0" w:color="auto"/>
            </w:tcBorders>
            <w:tcMar>
              <w:top w:w="57" w:type="dxa"/>
              <w:left w:w="57" w:type="dxa"/>
              <w:bottom w:w="57" w:type="dxa"/>
              <w:right w:w="57" w:type="dxa"/>
            </w:tcMar>
          </w:tcPr>
          <w:p w14:paraId="76DE1D94" w14:textId="77777777" w:rsidR="00A61BC0" w:rsidRPr="00724676" w:rsidRDefault="00A61BC0" w:rsidP="00747A67">
            <w:pPr>
              <w:rPr>
                <w:noProof/>
              </w:rPr>
            </w:pPr>
            <w:r w:rsidRPr="00807559">
              <w:rPr>
                <w:noProof/>
              </w:rPr>
              <w:t>Direct administrative costs</w:t>
            </w:r>
          </w:p>
        </w:tc>
        <w:tc>
          <w:tcPr>
            <w:tcW w:w="1108" w:type="dxa"/>
            <w:gridSpan w:val="2"/>
            <w:tcBorders>
              <w:left w:val="double" w:sz="4" w:space="0" w:color="auto"/>
            </w:tcBorders>
            <w:tcMar>
              <w:top w:w="57" w:type="dxa"/>
              <w:left w:w="57" w:type="dxa"/>
              <w:bottom w:w="57" w:type="dxa"/>
              <w:right w:w="57" w:type="dxa"/>
            </w:tcMar>
          </w:tcPr>
          <w:p w14:paraId="42219BD8" w14:textId="77777777" w:rsidR="00A61BC0" w:rsidRPr="00724676" w:rsidRDefault="00A61BC0" w:rsidP="00747A67">
            <w:pPr>
              <w:jc w:val="center"/>
              <w:rPr>
                <w:noProof/>
              </w:rPr>
            </w:pPr>
          </w:p>
          <w:p w14:paraId="1E6488A9"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tcPr>
          <w:p w14:paraId="11DB710C" w14:textId="77777777" w:rsidR="00A61BC0" w:rsidRPr="00724676" w:rsidRDefault="00A61BC0" w:rsidP="00747A67">
            <w:pPr>
              <w:jc w:val="center"/>
              <w:rPr>
                <w:noProof/>
              </w:rPr>
            </w:pPr>
          </w:p>
          <w:p w14:paraId="2A8C8EEF"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tcPr>
          <w:p w14:paraId="6D543BCA" w14:textId="77777777" w:rsidR="00A61BC0" w:rsidRPr="00724676" w:rsidRDefault="00A61BC0" w:rsidP="00747A67">
            <w:pPr>
              <w:jc w:val="center"/>
              <w:rPr>
                <w:noProof/>
              </w:rPr>
            </w:pPr>
          </w:p>
          <w:p w14:paraId="5386B3D6" w14:textId="77777777" w:rsidR="00A61BC0" w:rsidRPr="00724676" w:rsidRDefault="00A61BC0" w:rsidP="00747A67">
            <w:pPr>
              <w:jc w:val="center"/>
              <w:rPr>
                <w:noProof/>
              </w:rPr>
            </w:pPr>
            <w:r w:rsidRPr="00807559">
              <w:rPr>
                <w:noProof/>
              </w:rPr>
              <w:t>-</w:t>
            </w:r>
          </w:p>
        </w:tc>
        <w:tc>
          <w:tcPr>
            <w:tcW w:w="1237" w:type="dxa"/>
            <w:gridSpan w:val="2"/>
          </w:tcPr>
          <w:p w14:paraId="71ADF188" w14:textId="77777777" w:rsidR="00A61BC0" w:rsidRPr="00724676" w:rsidRDefault="00A61BC0" w:rsidP="00747A67">
            <w:pPr>
              <w:jc w:val="center"/>
              <w:rPr>
                <w:noProof/>
              </w:rPr>
            </w:pPr>
          </w:p>
          <w:p w14:paraId="3917D19D" w14:textId="77777777" w:rsidR="00A61BC0" w:rsidRPr="00724676" w:rsidRDefault="00A61BC0" w:rsidP="00747A67">
            <w:pPr>
              <w:jc w:val="center"/>
              <w:rPr>
                <w:noProof/>
              </w:rPr>
            </w:pPr>
            <w:r w:rsidRPr="00807559">
              <w:rPr>
                <w:noProof/>
              </w:rPr>
              <w:t>-</w:t>
            </w:r>
          </w:p>
        </w:tc>
        <w:tc>
          <w:tcPr>
            <w:tcW w:w="1200" w:type="dxa"/>
          </w:tcPr>
          <w:p w14:paraId="61D13A64" w14:textId="77777777" w:rsidR="00A61BC0" w:rsidRPr="00724676" w:rsidRDefault="00A61BC0" w:rsidP="00747A67">
            <w:pPr>
              <w:ind w:right="-228"/>
              <w:rPr>
                <w:noProof/>
              </w:rPr>
            </w:pPr>
          </w:p>
          <w:p w14:paraId="32B9FDAC" w14:textId="77777777" w:rsidR="00A61BC0" w:rsidRPr="00724676" w:rsidRDefault="00A61BC0" w:rsidP="00747A67">
            <w:pPr>
              <w:tabs>
                <w:tab w:val="left" w:pos="348"/>
              </w:tabs>
              <w:ind w:right="-228"/>
              <w:rPr>
                <w:noProof/>
              </w:rPr>
            </w:pPr>
            <w:r w:rsidRPr="00807559">
              <w:rPr>
                <w:noProof/>
              </w:rPr>
              <w:t xml:space="preserve">        0</w:t>
            </w:r>
          </w:p>
        </w:tc>
        <w:tc>
          <w:tcPr>
            <w:tcW w:w="1200" w:type="dxa"/>
            <w:tcMar>
              <w:top w:w="57" w:type="dxa"/>
              <w:left w:w="57" w:type="dxa"/>
              <w:bottom w:w="57" w:type="dxa"/>
              <w:right w:w="57" w:type="dxa"/>
            </w:tcMar>
          </w:tcPr>
          <w:p w14:paraId="2445862E" w14:textId="77777777" w:rsidR="00A61BC0" w:rsidRPr="00724676" w:rsidRDefault="00A61BC0" w:rsidP="00747A67">
            <w:pPr>
              <w:jc w:val="center"/>
              <w:rPr>
                <w:i/>
                <w:iCs/>
                <w:noProof/>
              </w:rPr>
            </w:pPr>
          </w:p>
          <w:p w14:paraId="1A394C42" w14:textId="77777777" w:rsidR="00A61BC0" w:rsidRPr="00724676" w:rsidRDefault="00A61BC0" w:rsidP="00747A67">
            <w:pPr>
              <w:jc w:val="center"/>
              <w:rPr>
                <w:i/>
                <w:iCs/>
                <w:noProof/>
              </w:rPr>
            </w:pPr>
            <w:r w:rsidRPr="00807559">
              <w:rPr>
                <w:i/>
                <w:iCs/>
                <w:noProof/>
              </w:rPr>
              <w:t>Reduction in costs (not quantifiable)</w:t>
            </w:r>
          </w:p>
        </w:tc>
      </w:tr>
      <w:tr w:rsidR="00F34C75" w:rsidRPr="00807559" w14:paraId="2421EB14" w14:textId="77777777" w:rsidTr="10339F63">
        <w:trPr>
          <w:gridAfter w:val="2"/>
          <w:wAfter w:w="24" w:type="dxa"/>
          <w:trHeight w:val="690"/>
        </w:trPr>
        <w:tc>
          <w:tcPr>
            <w:tcW w:w="1215" w:type="dxa"/>
            <w:tcMar>
              <w:top w:w="57" w:type="dxa"/>
              <w:left w:w="57" w:type="dxa"/>
              <w:bottom w:w="57" w:type="dxa"/>
              <w:right w:w="57" w:type="dxa"/>
            </w:tcMar>
            <w:vAlign w:val="center"/>
          </w:tcPr>
          <w:p w14:paraId="67B599B4" w14:textId="14BE8793" w:rsidR="00A61BC0" w:rsidRPr="00724676" w:rsidRDefault="00A61BC0" w:rsidP="00747A67">
            <w:pPr>
              <w:rPr>
                <w:noProof/>
              </w:rPr>
            </w:pPr>
            <w:r w:rsidRPr="00807559">
              <w:rPr>
                <w:noProof/>
              </w:rPr>
              <w:t>Lift</w:t>
            </w:r>
            <w:r w:rsidR="00DE2532">
              <w:rPr>
                <w:noProof/>
              </w:rPr>
              <w:t>ing</w:t>
            </w:r>
            <w:r w:rsidRPr="00807559">
              <w:rPr>
                <w:noProof/>
              </w:rPr>
              <w:t xml:space="preserve"> of GAEC 8</w:t>
            </w:r>
            <w:r w:rsidR="00263FE0" w:rsidRPr="00807559">
              <w:rPr>
                <w:noProof/>
              </w:rPr>
              <w:t>, 1</w:t>
            </w:r>
            <w:r w:rsidR="00263FE0" w:rsidRPr="00724676">
              <w:rPr>
                <w:noProof/>
                <w:vertAlign w:val="superscript"/>
              </w:rPr>
              <w:t>st</w:t>
            </w:r>
            <w:r w:rsidR="00263FE0" w:rsidRPr="00807559">
              <w:rPr>
                <w:noProof/>
              </w:rPr>
              <w:t xml:space="preserve"> requirement</w:t>
            </w:r>
            <w:r w:rsidR="009A33C6">
              <w:rPr>
                <w:noProof/>
              </w:rPr>
              <w:t>*</w:t>
            </w:r>
          </w:p>
        </w:tc>
        <w:tc>
          <w:tcPr>
            <w:tcW w:w="1575" w:type="dxa"/>
            <w:tcBorders>
              <w:right w:val="double" w:sz="4" w:space="0" w:color="auto"/>
            </w:tcBorders>
            <w:tcMar>
              <w:top w:w="57" w:type="dxa"/>
              <w:left w:w="57" w:type="dxa"/>
              <w:bottom w:w="57" w:type="dxa"/>
              <w:right w:w="57" w:type="dxa"/>
            </w:tcMar>
          </w:tcPr>
          <w:p w14:paraId="3CD67AF6" w14:textId="76986F13" w:rsidR="00A61BC0" w:rsidRPr="00724676" w:rsidRDefault="00A61BC0" w:rsidP="00747A67">
            <w:pPr>
              <w:rPr>
                <w:noProof/>
              </w:rPr>
            </w:pPr>
            <w:r w:rsidRPr="00807559">
              <w:rPr>
                <w:noProof/>
              </w:rPr>
              <w:t xml:space="preserve">Indirect cost - </w:t>
            </w:r>
            <w:r w:rsidR="0CAFCD69">
              <w:rPr>
                <w:noProof/>
              </w:rPr>
              <w:t xml:space="preserve"> GHG reduction not materialised </w:t>
            </w:r>
          </w:p>
        </w:tc>
        <w:tc>
          <w:tcPr>
            <w:tcW w:w="1108" w:type="dxa"/>
            <w:gridSpan w:val="2"/>
            <w:tcBorders>
              <w:left w:val="double" w:sz="4" w:space="0" w:color="auto"/>
            </w:tcBorders>
            <w:tcMar>
              <w:top w:w="57" w:type="dxa"/>
              <w:left w:w="57" w:type="dxa"/>
              <w:bottom w:w="57" w:type="dxa"/>
              <w:right w:w="57" w:type="dxa"/>
            </w:tcMar>
          </w:tcPr>
          <w:p w14:paraId="0B3810C7" w14:textId="77777777" w:rsidR="00A61BC0" w:rsidRPr="00724676" w:rsidRDefault="00A61BC0" w:rsidP="00747A67">
            <w:pPr>
              <w:jc w:val="center"/>
              <w:rPr>
                <w:noProof/>
              </w:rPr>
            </w:pPr>
            <w:r w:rsidRPr="00807559">
              <w:rPr>
                <w:noProof/>
              </w:rPr>
              <w:t>0</w:t>
            </w:r>
          </w:p>
        </w:tc>
        <w:tc>
          <w:tcPr>
            <w:tcW w:w="1414" w:type="dxa"/>
            <w:gridSpan w:val="2"/>
            <w:tcMar>
              <w:top w:w="57" w:type="dxa"/>
              <w:left w:w="57" w:type="dxa"/>
              <w:bottom w:w="57" w:type="dxa"/>
              <w:right w:w="57" w:type="dxa"/>
            </w:tcMar>
          </w:tcPr>
          <w:p w14:paraId="00E85ADE" w14:textId="50EA2642" w:rsidR="00A61BC0" w:rsidRPr="00724676" w:rsidRDefault="00A61BC0" w:rsidP="00747A67">
            <w:pPr>
              <w:jc w:val="center"/>
              <w:rPr>
                <w:i/>
                <w:iCs/>
                <w:noProof/>
              </w:rPr>
            </w:pPr>
            <w:r w:rsidRPr="00807559">
              <w:rPr>
                <w:i/>
                <w:iCs/>
                <w:noProof/>
              </w:rPr>
              <w:t xml:space="preserve">Not monetised; estimated at 900 kt </w:t>
            </w:r>
            <w:r w:rsidR="00791722" w:rsidRPr="00791722">
              <w:rPr>
                <w:i/>
                <w:iCs/>
                <w:noProof/>
              </w:rPr>
              <w:t>CO₂</w:t>
            </w:r>
            <w:r w:rsidRPr="00807559">
              <w:rPr>
                <w:i/>
                <w:iCs/>
                <w:noProof/>
              </w:rPr>
              <w:t xml:space="preserve"> eq</w:t>
            </w:r>
          </w:p>
        </w:tc>
        <w:tc>
          <w:tcPr>
            <w:tcW w:w="1386" w:type="dxa"/>
            <w:gridSpan w:val="2"/>
            <w:tcMar>
              <w:top w:w="57" w:type="dxa"/>
              <w:left w:w="57" w:type="dxa"/>
              <w:bottom w:w="57" w:type="dxa"/>
              <w:right w:w="57" w:type="dxa"/>
            </w:tcMar>
          </w:tcPr>
          <w:p w14:paraId="6CF2AF71" w14:textId="77777777" w:rsidR="00A61BC0" w:rsidRPr="00724676" w:rsidRDefault="00A61BC0" w:rsidP="00747A67">
            <w:pPr>
              <w:jc w:val="center"/>
              <w:rPr>
                <w:noProof/>
              </w:rPr>
            </w:pPr>
            <w:r w:rsidRPr="00807559">
              <w:rPr>
                <w:noProof/>
              </w:rPr>
              <w:t>-</w:t>
            </w:r>
          </w:p>
        </w:tc>
        <w:tc>
          <w:tcPr>
            <w:tcW w:w="1237" w:type="dxa"/>
            <w:gridSpan w:val="2"/>
          </w:tcPr>
          <w:p w14:paraId="3541761E" w14:textId="77777777" w:rsidR="00A61BC0" w:rsidRPr="00724676" w:rsidRDefault="00A61BC0" w:rsidP="00747A67">
            <w:pPr>
              <w:pStyle w:val="ListParagraph"/>
              <w:ind w:left="168"/>
              <w:rPr>
                <w:noProof/>
                <w:color w:val="FF0000"/>
              </w:rPr>
            </w:pPr>
            <w:r w:rsidRPr="00807559">
              <w:rPr>
                <w:noProof/>
                <w:color w:val="FF0000"/>
              </w:rPr>
              <w:t>-</w:t>
            </w:r>
          </w:p>
        </w:tc>
        <w:tc>
          <w:tcPr>
            <w:tcW w:w="1200" w:type="dxa"/>
          </w:tcPr>
          <w:p w14:paraId="2B5D29DA" w14:textId="77777777" w:rsidR="00A61BC0" w:rsidRPr="00724676" w:rsidRDefault="00A61BC0" w:rsidP="00747A67">
            <w:pPr>
              <w:ind w:left="-108" w:right="-228"/>
              <w:jc w:val="center"/>
              <w:rPr>
                <w:noProof/>
              </w:rPr>
            </w:pPr>
            <w:r w:rsidRPr="00807559">
              <w:rPr>
                <w:noProof/>
              </w:rPr>
              <w:t>-</w:t>
            </w:r>
          </w:p>
        </w:tc>
        <w:tc>
          <w:tcPr>
            <w:tcW w:w="1200" w:type="dxa"/>
            <w:tcMar>
              <w:top w:w="57" w:type="dxa"/>
              <w:left w:w="57" w:type="dxa"/>
              <w:bottom w:w="57" w:type="dxa"/>
              <w:right w:w="57" w:type="dxa"/>
            </w:tcMar>
          </w:tcPr>
          <w:p w14:paraId="301B5894" w14:textId="77777777" w:rsidR="00A61BC0" w:rsidRPr="00724676" w:rsidRDefault="00A61BC0" w:rsidP="00747A67">
            <w:pPr>
              <w:jc w:val="center"/>
              <w:rPr>
                <w:noProof/>
              </w:rPr>
            </w:pPr>
            <w:r w:rsidRPr="00807559">
              <w:rPr>
                <w:noProof/>
              </w:rPr>
              <w:t>-</w:t>
            </w:r>
          </w:p>
        </w:tc>
      </w:tr>
      <w:tr w:rsidR="00F34C75" w:rsidRPr="00807559" w14:paraId="78422E95" w14:textId="77777777" w:rsidTr="10339F63">
        <w:trPr>
          <w:gridAfter w:val="2"/>
          <w:wAfter w:w="24" w:type="dxa"/>
          <w:trHeight w:val="690"/>
        </w:trPr>
        <w:tc>
          <w:tcPr>
            <w:tcW w:w="1215" w:type="dxa"/>
            <w:tcMar>
              <w:top w:w="57" w:type="dxa"/>
              <w:left w:w="57" w:type="dxa"/>
              <w:bottom w:w="57" w:type="dxa"/>
              <w:right w:w="57" w:type="dxa"/>
            </w:tcMar>
            <w:vAlign w:val="center"/>
          </w:tcPr>
          <w:p w14:paraId="4444126A" w14:textId="5872976E" w:rsidR="00A61BC0" w:rsidRPr="00724676" w:rsidRDefault="00A61BC0" w:rsidP="00747A67">
            <w:pPr>
              <w:rPr>
                <w:noProof/>
              </w:rPr>
            </w:pPr>
            <w:r w:rsidRPr="00807559">
              <w:rPr>
                <w:noProof/>
              </w:rPr>
              <w:lastRenderedPageBreak/>
              <w:t xml:space="preserve">Adjustments to </w:t>
            </w:r>
            <w:r w:rsidR="00263FE0" w:rsidRPr="00807559">
              <w:rPr>
                <w:noProof/>
              </w:rPr>
              <w:t xml:space="preserve">certain </w:t>
            </w:r>
            <w:r w:rsidRPr="00807559">
              <w:rPr>
                <w:noProof/>
              </w:rPr>
              <w:t>GAECs</w:t>
            </w:r>
          </w:p>
        </w:tc>
        <w:tc>
          <w:tcPr>
            <w:tcW w:w="1575" w:type="dxa"/>
            <w:tcBorders>
              <w:right w:val="double" w:sz="4" w:space="0" w:color="auto"/>
            </w:tcBorders>
            <w:tcMar>
              <w:top w:w="57" w:type="dxa"/>
              <w:left w:w="57" w:type="dxa"/>
              <w:bottom w:w="57" w:type="dxa"/>
              <w:right w:w="57" w:type="dxa"/>
            </w:tcMar>
          </w:tcPr>
          <w:p w14:paraId="02835689" w14:textId="687C2A33" w:rsidR="00A61BC0" w:rsidRPr="00724676" w:rsidRDefault="00A61BC0" w:rsidP="00747A67">
            <w:pPr>
              <w:rPr>
                <w:noProof/>
              </w:rPr>
            </w:pPr>
            <w:r w:rsidRPr="00807559">
              <w:rPr>
                <w:noProof/>
              </w:rPr>
              <w:t xml:space="preserve">Adjustment costs - </w:t>
            </w:r>
            <w:r w:rsidR="00A110A2">
              <w:rPr>
                <w:noProof/>
              </w:rPr>
              <w:t>r</w:t>
            </w:r>
            <w:r w:rsidRPr="00807559">
              <w:rPr>
                <w:noProof/>
              </w:rPr>
              <w:t xml:space="preserve">eallocation of financial allocations, </w:t>
            </w:r>
            <w:r w:rsidR="00A110A2">
              <w:rPr>
                <w:noProof/>
              </w:rPr>
              <w:t>i</w:t>
            </w:r>
            <w:r w:rsidRPr="00807559">
              <w:rPr>
                <w:noProof/>
              </w:rPr>
              <w:t xml:space="preserve">ncorporation of new eco-schemes, </w:t>
            </w:r>
            <w:r w:rsidR="00A110A2">
              <w:rPr>
                <w:noProof/>
              </w:rPr>
              <w:t>m</w:t>
            </w:r>
            <w:r w:rsidRPr="00807559">
              <w:rPr>
                <w:noProof/>
              </w:rPr>
              <w:t>odification of result indicators</w:t>
            </w:r>
          </w:p>
        </w:tc>
        <w:tc>
          <w:tcPr>
            <w:tcW w:w="1108" w:type="dxa"/>
            <w:gridSpan w:val="2"/>
            <w:tcBorders>
              <w:left w:val="double" w:sz="4" w:space="0" w:color="auto"/>
            </w:tcBorders>
            <w:tcMar>
              <w:top w:w="57" w:type="dxa"/>
              <w:left w:w="57" w:type="dxa"/>
              <w:bottom w:w="57" w:type="dxa"/>
              <w:right w:w="57" w:type="dxa"/>
            </w:tcMar>
          </w:tcPr>
          <w:p w14:paraId="039B7A13" w14:textId="77777777" w:rsidR="00A61BC0" w:rsidRPr="00724676" w:rsidRDefault="00A61BC0" w:rsidP="00747A67">
            <w:pPr>
              <w:jc w:val="center"/>
              <w:rPr>
                <w:noProof/>
              </w:rPr>
            </w:pPr>
            <w:r w:rsidRPr="00807559">
              <w:rPr>
                <w:noProof/>
              </w:rPr>
              <w:t>-</w:t>
            </w:r>
          </w:p>
        </w:tc>
        <w:tc>
          <w:tcPr>
            <w:tcW w:w="1414" w:type="dxa"/>
            <w:gridSpan w:val="2"/>
            <w:tcMar>
              <w:top w:w="57" w:type="dxa"/>
              <w:left w:w="57" w:type="dxa"/>
              <w:bottom w:w="57" w:type="dxa"/>
              <w:right w:w="57" w:type="dxa"/>
            </w:tcMar>
          </w:tcPr>
          <w:p w14:paraId="7EA6D623" w14:textId="77777777" w:rsidR="00A61BC0" w:rsidRPr="00724676" w:rsidRDefault="00A61BC0" w:rsidP="00747A67">
            <w:pPr>
              <w:jc w:val="center"/>
              <w:rPr>
                <w:noProof/>
              </w:rPr>
            </w:pPr>
            <w:r w:rsidRPr="00807559">
              <w:rPr>
                <w:noProof/>
              </w:rPr>
              <w:t>-</w:t>
            </w:r>
          </w:p>
        </w:tc>
        <w:tc>
          <w:tcPr>
            <w:tcW w:w="1386" w:type="dxa"/>
            <w:gridSpan w:val="2"/>
            <w:tcMar>
              <w:top w:w="57" w:type="dxa"/>
              <w:left w:w="57" w:type="dxa"/>
              <w:bottom w:w="57" w:type="dxa"/>
              <w:right w:w="57" w:type="dxa"/>
            </w:tcMar>
          </w:tcPr>
          <w:p w14:paraId="6171E621" w14:textId="77777777" w:rsidR="00A61BC0" w:rsidRPr="00724676" w:rsidRDefault="00A61BC0" w:rsidP="00747A67">
            <w:pPr>
              <w:jc w:val="center"/>
              <w:rPr>
                <w:noProof/>
              </w:rPr>
            </w:pPr>
            <w:r w:rsidRPr="00807559">
              <w:rPr>
                <w:noProof/>
              </w:rPr>
              <w:t>-</w:t>
            </w:r>
          </w:p>
        </w:tc>
        <w:tc>
          <w:tcPr>
            <w:tcW w:w="1237" w:type="dxa"/>
            <w:gridSpan w:val="2"/>
          </w:tcPr>
          <w:p w14:paraId="6996606B" w14:textId="77777777" w:rsidR="00A61BC0" w:rsidRPr="00724676" w:rsidRDefault="00A61BC0" w:rsidP="00747A67">
            <w:pPr>
              <w:jc w:val="center"/>
              <w:rPr>
                <w:noProof/>
              </w:rPr>
            </w:pPr>
            <w:r w:rsidRPr="00807559">
              <w:rPr>
                <w:noProof/>
              </w:rPr>
              <w:t>-</w:t>
            </w:r>
          </w:p>
        </w:tc>
        <w:tc>
          <w:tcPr>
            <w:tcW w:w="1200" w:type="dxa"/>
          </w:tcPr>
          <w:p w14:paraId="48FDE04E" w14:textId="77777777" w:rsidR="00A61BC0" w:rsidRPr="00724676" w:rsidRDefault="00A61BC0" w:rsidP="00747A67">
            <w:pPr>
              <w:ind w:left="-108" w:right="-228"/>
              <w:jc w:val="center"/>
              <w:rPr>
                <w:i/>
                <w:iCs/>
                <w:noProof/>
              </w:rPr>
            </w:pPr>
            <w:r w:rsidRPr="00807559">
              <w:rPr>
                <w:i/>
                <w:iCs/>
                <w:noProof/>
              </w:rPr>
              <w:t>Increase in costs (not quantifiable)</w:t>
            </w:r>
          </w:p>
        </w:tc>
        <w:tc>
          <w:tcPr>
            <w:tcW w:w="1200" w:type="dxa"/>
            <w:tcMar>
              <w:top w:w="57" w:type="dxa"/>
              <w:left w:w="57" w:type="dxa"/>
              <w:bottom w:w="57" w:type="dxa"/>
              <w:right w:w="57" w:type="dxa"/>
            </w:tcMar>
          </w:tcPr>
          <w:p w14:paraId="4E92FEB4" w14:textId="77777777" w:rsidR="00A61BC0" w:rsidRPr="00724676" w:rsidRDefault="00A61BC0" w:rsidP="00747A67">
            <w:pPr>
              <w:jc w:val="center"/>
              <w:rPr>
                <w:noProof/>
              </w:rPr>
            </w:pPr>
            <w:r w:rsidRPr="00807559">
              <w:rPr>
                <w:noProof/>
              </w:rPr>
              <w:t>0</w:t>
            </w:r>
          </w:p>
        </w:tc>
      </w:tr>
      <w:tr w:rsidR="00F34C75" w:rsidRPr="00807559" w14:paraId="3F5BFB55" w14:textId="77777777" w:rsidTr="10339F63">
        <w:trPr>
          <w:gridAfter w:val="2"/>
          <w:wAfter w:w="24" w:type="dxa"/>
          <w:trHeight w:val="690"/>
        </w:trPr>
        <w:tc>
          <w:tcPr>
            <w:tcW w:w="1215" w:type="dxa"/>
            <w:tcMar>
              <w:top w:w="57" w:type="dxa"/>
              <w:left w:w="57" w:type="dxa"/>
              <w:bottom w:w="57" w:type="dxa"/>
              <w:right w:w="57" w:type="dxa"/>
            </w:tcMar>
            <w:vAlign w:val="center"/>
          </w:tcPr>
          <w:p w14:paraId="1E01F940" w14:textId="77777777" w:rsidR="00A61BC0" w:rsidRPr="00724676" w:rsidRDefault="00A61BC0" w:rsidP="00747A67">
            <w:pPr>
              <w:rPr>
                <w:noProof/>
              </w:rPr>
            </w:pPr>
            <w:r w:rsidRPr="00807559">
              <w:rPr>
                <w:noProof/>
              </w:rPr>
              <w:t>TOTAL</w:t>
            </w:r>
          </w:p>
        </w:tc>
        <w:tc>
          <w:tcPr>
            <w:tcW w:w="1575" w:type="dxa"/>
            <w:tcBorders>
              <w:right w:val="double" w:sz="4" w:space="0" w:color="auto"/>
            </w:tcBorders>
            <w:tcMar>
              <w:top w:w="57" w:type="dxa"/>
              <w:left w:w="57" w:type="dxa"/>
              <w:bottom w:w="57" w:type="dxa"/>
              <w:right w:w="57" w:type="dxa"/>
            </w:tcMar>
          </w:tcPr>
          <w:p w14:paraId="4CC3CE1D" w14:textId="77777777" w:rsidR="00A61BC0" w:rsidRPr="00724676" w:rsidRDefault="00A61BC0" w:rsidP="00747A67">
            <w:pPr>
              <w:rPr>
                <w:noProof/>
              </w:rPr>
            </w:pPr>
          </w:p>
        </w:tc>
        <w:tc>
          <w:tcPr>
            <w:tcW w:w="1108" w:type="dxa"/>
            <w:gridSpan w:val="2"/>
            <w:tcBorders>
              <w:left w:val="double" w:sz="4" w:space="0" w:color="auto"/>
            </w:tcBorders>
            <w:tcMar>
              <w:top w:w="57" w:type="dxa"/>
              <w:left w:w="57" w:type="dxa"/>
              <w:bottom w:w="57" w:type="dxa"/>
              <w:right w:w="57" w:type="dxa"/>
            </w:tcMar>
          </w:tcPr>
          <w:p w14:paraId="0EC6FB6A" w14:textId="77777777" w:rsidR="00A61BC0" w:rsidRPr="00724676" w:rsidRDefault="00A61BC0" w:rsidP="00747A67">
            <w:pPr>
              <w:jc w:val="center"/>
              <w:rPr>
                <w:noProof/>
              </w:rPr>
            </w:pPr>
            <w:r w:rsidRPr="00807559">
              <w:rPr>
                <w:noProof/>
              </w:rPr>
              <w:t>n/a</w:t>
            </w:r>
          </w:p>
        </w:tc>
        <w:tc>
          <w:tcPr>
            <w:tcW w:w="1414" w:type="dxa"/>
            <w:gridSpan w:val="2"/>
            <w:tcMar>
              <w:top w:w="57" w:type="dxa"/>
              <w:left w:w="57" w:type="dxa"/>
              <w:bottom w:w="57" w:type="dxa"/>
              <w:right w:w="57" w:type="dxa"/>
            </w:tcMar>
          </w:tcPr>
          <w:p w14:paraId="02A7D2ED" w14:textId="77777777" w:rsidR="00A61BC0" w:rsidRPr="00724676" w:rsidRDefault="00A61BC0" w:rsidP="00747A67">
            <w:pPr>
              <w:jc w:val="center"/>
              <w:rPr>
                <w:noProof/>
              </w:rPr>
            </w:pPr>
            <w:r w:rsidRPr="00807559">
              <w:rPr>
                <w:noProof/>
              </w:rPr>
              <w:t>n/a</w:t>
            </w:r>
          </w:p>
        </w:tc>
        <w:tc>
          <w:tcPr>
            <w:tcW w:w="1386" w:type="dxa"/>
            <w:gridSpan w:val="2"/>
            <w:tcMar>
              <w:top w:w="57" w:type="dxa"/>
              <w:left w:w="57" w:type="dxa"/>
              <w:bottom w:w="57" w:type="dxa"/>
              <w:right w:w="57" w:type="dxa"/>
            </w:tcMar>
          </w:tcPr>
          <w:p w14:paraId="7B537129" w14:textId="77777777" w:rsidR="00A61BC0" w:rsidRPr="00724676" w:rsidRDefault="00A61BC0" w:rsidP="00747A67">
            <w:pPr>
              <w:jc w:val="center"/>
              <w:rPr>
                <w:noProof/>
              </w:rPr>
            </w:pPr>
            <w:r w:rsidRPr="00807559">
              <w:rPr>
                <w:noProof/>
              </w:rPr>
              <w:t>n/a</w:t>
            </w:r>
          </w:p>
        </w:tc>
        <w:tc>
          <w:tcPr>
            <w:tcW w:w="1237" w:type="dxa"/>
            <w:gridSpan w:val="2"/>
          </w:tcPr>
          <w:p w14:paraId="4B293266" w14:textId="77777777" w:rsidR="00A61BC0" w:rsidRPr="00724676" w:rsidRDefault="00A61BC0" w:rsidP="00747A67">
            <w:pPr>
              <w:jc w:val="center"/>
              <w:rPr>
                <w:noProof/>
              </w:rPr>
            </w:pPr>
            <w:r w:rsidRPr="00807559">
              <w:rPr>
                <w:noProof/>
              </w:rPr>
              <w:t>- EUR 68.5  million</w:t>
            </w:r>
          </w:p>
        </w:tc>
        <w:tc>
          <w:tcPr>
            <w:tcW w:w="1200" w:type="dxa"/>
          </w:tcPr>
          <w:p w14:paraId="067F513E" w14:textId="77777777" w:rsidR="00A61BC0" w:rsidRPr="00724676" w:rsidRDefault="00A61BC0" w:rsidP="00747A67">
            <w:pPr>
              <w:ind w:left="-108" w:right="-228"/>
              <w:jc w:val="center"/>
              <w:rPr>
                <w:noProof/>
              </w:rPr>
            </w:pPr>
            <w:r w:rsidRPr="00807559">
              <w:rPr>
                <w:noProof/>
              </w:rPr>
              <w:t>- EUR 95.8 million</w:t>
            </w:r>
          </w:p>
        </w:tc>
        <w:tc>
          <w:tcPr>
            <w:tcW w:w="1200" w:type="dxa"/>
            <w:tcMar>
              <w:top w:w="57" w:type="dxa"/>
              <w:left w:w="57" w:type="dxa"/>
              <w:bottom w:w="57" w:type="dxa"/>
              <w:right w:w="57" w:type="dxa"/>
            </w:tcMar>
          </w:tcPr>
          <w:p w14:paraId="5D5C775C" w14:textId="77777777" w:rsidR="00A61BC0" w:rsidRPr="00724676" w:rsidRDefault="00A61BC0" w:rsidP="00747A67">
            <w:pPr>
              <w:jc w:val="center"/>
              <w:rPr>
                <w:noProof/>
              </w:rPr>
            </w:pPr>
            <w:r w:rsidRPr="00807559">
              <w:rPr>
                <w:noProof/>
              </w:rPr>
              <w:t>n/a</w:t>
            </w:r>
          </w:p>
        </w:tc>
      </w:tr>
    </w:tbl>
    <w:p w14:paraId="46C5CFD5" w14:textId="1EAE24C0" w:rsidR="00A61BC0" w:rsidRPr="00DD7453" w:rsidRDefault="29C0E272" w:rsidP="365B9462">
      <w:pPr>
        <w:pStyle w:val="Caption"/>
        <w:keepNext/>
        <w:spacing w:before="240" w:after="240"/>
        <w:rPr>
          <w:noProof/>
          <w:color w:val="auto"/>
          <w:sz w:val="20"/>
          <w:szCs w:val="20"/>
          <w:lang w:val="en-GB"/>
        </w:rPr>
      </w:pPr>
      <w:r w:rsidRPr="365B9462">
        <w:rPr>
          <w:noProof/>
          <w:color w:val="auto"/>
          <w:sz w:val="24"/>
          <w:szCs w:val="24"/>
          <w:lang w:val="en-GB"/>
        </w:rPr>
        <w:t xml:space="preserve">* </w:t>
      </w:r>
      <w:r w:rsidR="00DD7453" w:rsidRPr="00DD7453">
        <w:rPr>
          <w:i w:val="0"/>
          <w:iCs w:val="0"/>
          <w:noProof/>
          <w:color w:val="auto"/>
          <w:sz w:val="20"/>
          <w:szCs w:val="20"/>
          <w:lang w:val="en-GB"/>
        </w:rPr>
        <w:t>Actions embedded in Regulation (EU) 2024/1468</w:t>
      </w:r>
      <w:r w:rsidR="24B5EDD3" w:rsidRPr="05E50F6B">
        <w:rPr>
          <w:i w:val="0"/>
          <w:iCs w:val="0"/>
          <w:noProof/>
          <w:color w:val="auto"/>
          <w:sz w:val="20"/>
          <w:szCs w:val="20"/>
          <w:lang w:val="en-GB"/>
        </w:rPr>
        <w:t xml:space="preserve"> </w:t>
      </w:r>
      <w:r w:rsidR="24B5EDD3" w:rsidRPr="4D201E3A">
        <w:rPr>
          <w:i w:val="0"/>
          <w:iCs w:val="0"/>
          <w:noProof/>
          <w:color w:val="auto"/>
          <w:sz w:val="20"/>
          <w:szCs w:val="20"/>
          <w:lang w:val="en-GB"/>
        </w:rPr>
        <w:t xml:space="preserve">(The Simplification </w:t>
      </w:r>
      <w:r w:rsidR="24B5EDD3" w:rsidRPr="7CCD998B">
        <w:rPr>
          <w:i w:val="0"/>
          <w:iCs w:val="0"/>
          <w:noProof/>
          <w:color w:val="auto"/>
          <w:sz w:val="20"/>
          <w:szCs w:val="20"/>
          <w:lang w:val="en-GB"/>
        </w:rPr>
        <w:t>Regulation).</w:t>
      </w:r>
    </w:p>
    <w:p w14:paraId="2DC3040F" w14:textId="77777777" w:rsidR="00A61BC0" w:rsidRPr="00724676" w:rsidRDefault="00A61BC0" w:rsidP="00A61BC0">
      <w:pPr>
        <w:pStyle w:val="Caption"/>
        <w:keepNext/>
        <w:spacing w:before="240" w:after="240"/>
        <w:rPr>
          <w:rFonts w:cs="Times New Roman"/>
          <w:noProof/>
          <w:color w:val="auto"/>
          <w:sz w:val="24"/>
          <w:szCs w:val="24"/>
          <w:lang w:val="en-GB"/>
        </w:rPr>
      </w:pPr>
    </w:p>
    <w:p w14:paraId="2D7F7995" w14:textId="117658B8" w:rsidR="00A61BC0" w:rsidRPr="00724676" w:rsidRDefault="00A61BC0" w:rsidP="00A61BC0">
      <w:pPr>
        <w:pStyle w:val="Caption"/>
        <w:keepNext/>
        <w:spacing w:before="240" w:after="240"/>
        <w:rPr>
          <w:rFonts w:cs="Times New Roman"/>
          <w:noProof/>
          <w:color w:val="auto"/>
          <w:sz w:val="24"/>
          <w:szCs w:val="24"/>
          <w:lang w:val="en-GB"/>
        </w:rPr>
      </w:pPr>
      <w:r w:rsidRPr="00724676">
        <w:rPr>
          <w:rFonts w:cs="Times New Roman"/>
          <w:noProof/>
          <w:color w:val="auto"/>
          <w:sz w:val="24"/>
          <w:szCs w:val="24"/>
          <w:lang w:val="en-GB"/>
        </w:rPr>
        <w:t>Table 3 – One in</w:t>
      </w:r>
      <w:r w:rsidR="00DE2532">
        <w:rPr>
          <w:rFonts w:cs="Times New Roman"/>
          <w:noProof/>
          <w:color w:val="auto"/>
          <w:sz w:val="24"/>
          <w:szCs w:val="24"/>
          <w:lang w:val="en-GB"/>
        </w:rPr>
        <w:t>,</w:t>
      </w:r>
      <w:r w:rsidRPr="00724676">
        <w:rPr>
          <w:rFonts w:cs="Times New Roman"/>
          <w:noProof/>
          <w:color w:val="auto"/>
          <w:sz w:val="24"/>
          <w:szCs w:val="24"/>
          <w:lang w:val="en-GB"/>
        </w:rPr>
        <w:t xml:space="preserve"> one out </w:t>
      </w:r>
    </w:p>
    <w:tbl>
      <w:tblPr>
        <w:tblStyle w:val="TableGrid"/>
        <w:tblpPr w:leftFromText="180" w:rightFromText="180" w:vertAnchor="page" w:horzAnchor="margin" w:tblpXSpec="center" w:tblpY="6181"/>
        <w:tblW w:w="10325" w:type="dxa"/>
        <w:tblLook w:val="04A0" w:firstRow="1" w:lastRow="0" w:firstColumn="1" w:lastColumn="0" w:noHBand="0" w:noVBand="1"/>
      </w:tblPr>
      <w:tblGrid>
        <w:gridCol w:w="2218"/>
        <w:gridCol w:w="2088"/>
        <w:gridCol w:w="2088"/>
        <w:gridCol w:w="3931"/>
      </w:tblGrid>
      <w:tr w:rsidR="00A61BC0" w:rsidRPr="00807559" w14:paraId="4C2954BB" w14:textId="77777777" w:rsidTr="00747A67">
        <w:tc>
          <w:tcPr>
            <w:tcW w:w="10325" w:type="dxa"/>
            <w:gridSpan w:val="4"/>
            <w:shd w:val="clear" w:color="auto" w:fill="D5DCE4" w:themeFill="text2" w:themeFillTint="33"/>
          </w:tcPr>
          <w:p w14:paraId="0E682392" w14:textId="7E6BDF29" w:rsidR="00A61BC0" w:rsidRPr="00724676" w:rsidRDefault="00A61BC0" w:rsidP="00747A67">
            <w:pPr>
              <w:rPr>
                <w:b/>
                <w:i/>
                <w:noProof/>
                <w:sz w:val="20"/>
                <w:szCs w:val="20"/>
                <w:lang w:val="en-GB"/>
              </w:rPr>
            </w:pPr>
            <w:r w:rsidRPr="00724676">
              <w:rPr>
                <w:b/>
                <w:i/>
                <w:noProof/>
                <w:sz w:val="20"/>
                <w:szCs w:val="20"/>
                <w:lang w:val="en-GB"/>
              </w:rPr>
              <w:t>III. Application of the ‘one in, one out’ approach</w:t>
            </w:r>
          </w:p>
        </w:tc>
      </w:tr>
      <w:tr w:rsidR="00A61BC0" w:rsidRPr="00807559" w14:paraId="53E5F3B3" w14:textId="77777777" w:rsidTr="00747A67">
        <w:tc>
          <w:tcPr>
            <w:tcW w:w="2218" w:type="dxa"/>
          </w:tcPr>
          <w:p w14:paraId="68A468B7" w14:textId="0CA1FDD2" w:rsidR="00A61BC0" w:rsidRPr="00724676" w:rsidRDefault="00A61BC0" w:rsidP="00747A67">
            <w:pPr>
              <w:rPr>
                <w:noProof/>
                <w:lang w:val="en-GB"/>
              </w:rPr>
            </w:pPr>
            <w:r w:rsidRPr="00724676">
              <w:rPr>
                <w:noProof/>
                <w:lang w:val="en-GB"/>
              </w:rPr>
              <w:t>(</w:t>
            </w:r>
            <w:r w:rsidR="00DE2532">
              <w:rPr>
                <w:noProof/>
                <w:lang w:val="en-GB"/>
              </w:rPr>
              <w:t>EUR million</w:t>
            </w:r>
            <w:r w:rsidRPr="00724676">
              <w:rPr>
                <w:noProof/>
                <w:lang w:val="en-GB"/>
              </w:rPr>
              <w:t>)</w:t>
            </w:r>
          </w:p>
        </w:tc>
        <w:tc>
          <w:tcPr>
            <w:tcW w:w="2088" w:type="dxa"/>
          </w:tcPr>
          <w:p w14:paraId="06522C12" w14:textId="77777777" w:rsidR="00A61BC0" w:rsidRPr="00724676" w:rsidRDefault="00A61BC0" w:rsidP="00747A67">
            <w:pPr>
              <w:jc w:val="center"/>
              <w:rPr>
                <w:noProof/>
                <w:sz w:val="20"/>
                <w:lang w:val="en-GB"/>
              </w:rPr>
            </w:pPr>
            <w:r w:rsidRPr="00724676">
              <w:rPr>
                <w:noProof/>
                <w:sz w:val="20"/>
                <w:lang w:val="en-GB"/>
              </w:rPr>
              <w:t>One-off</w:t>
            </w:r>
          </w:p>
        </w:tc>
        <w:tc>
          <w:tcPr>
            <w:tcW w:w="2088" w:type="dxa"/>
          </w:tcPr>
          <w:p w14:paraId="19715E1F" w14:textId="77777777" w:rsidR="00A61BC0" w:rsidRPr="00724676" w:rsidRDefault="00A61BC0" w:rsidP="00747A67">
            <w:pPr>
              <w:jc w:val="center"/>
              <w:rPr>
                <w:noProof/>
                <w:sz w:val="20"/>
                <w:lang w:val="en-GB"/>
              </w:rPr>
            </w:pPr>
            <w:r w:rsidRPr="00724676">
              <w:rPr>
                <w:noProof/>
                <w:sz w:val="20"/>
                <w:lang w:val="en-GB"/>
              </w:rPr>
              <w:t>Recurrent</w:t>
            </w:r>
          </w:p>
        </w:tc>
        <w:tc>
          <w:tcPr>
            <w:tcW w:w="3931" w:type="dxa"/>
          </w:tcPr>
          <w:p w14:paraId="2D348BDA" w14:textId="77777777" w:rsidR="00A61BC0" w:rsidRPr="00724676" w:rsidRDefault="00A61BC0" w:rsidP="00747A67">
            <w:pPr>
              <w:jc w:val="center"/>
              <w:rPr>
                <w:noProof/>
                <w:sz w:val="20"/>
                <w:lang w:val="en-GB"/>
              </w:rPr>
            </w:pPr>
            <w:r w:rsidRPr="00724676">
              <w:rPr>
                <w:noProof/>
                <w:sz w:val="20"/>
                <w:lang w:val="en-GB"/>
              </w:rPr>
              <w:t>Total</w:t>
            </w:r>
          </w:p>
        </w:tc>
      </w:tr>
      <w:tr w:rsidR="00A61BC0" w:rsidRPr="00807559" w14:paraId="4E2930C6" w14:textId="77777777" w:rsidTr="00747A67">
        <w:tc>
          <w:tcPr>
            <w:tcW w:w="10325" w:type="dxa"/>
            <w:gridSpan w:val="4"/>
          </w:tcPr>
          <w:p w14:paraId="37C2FB23" w14:textId="77777777" w:rsidR="00A61BC0" w:rsidRPr="00724676" w:rsidRDefault="00A61BC0" w:rsidP="00747A67">
            <w:pPr>
              <w:rPr>
                <w:b/>
                <w:bCs/>
                <w:noProof/>
                <w:lang w:val="en-GB"/>
              </w:rPr>
            </w:pPr>
            <w:r w:rsidRPr="00724676">
              <w:rPr>
                <w:b/>
                <w:bCs/>
                <w:noProof/>
                <w:lang w:val="en-GB"/>
              </w:rPr>
              <w:t>Farmers</w:t>
            </w:r>
          </w:p>
        </w:tc>
      </w:tr>
      <w:tr w:rsidR="00A61BC0" w:rsidRPr="00807559" w14:paraId="413407E8" w14:textId="77777777" w:rsidTr="00747A67">
        <w:tc>
          <w:tcPr>
            <w:tcW w:w="2218" w:type="dxa"/>
          </w:tcPr>
          <w:p w14:paraId="1D410B93" w14:textId="77777777" w:rsidR="00A61BC0" w:rsidRPr="00724676" w:rsidRDefault="00A61BC0" w:rsidP="00747A67">
            <w:pPr>
              <w:pStyle w:val="Listtop-levelParagraph"/>
              <w:numPr>
                <w:ilvl w:val="0"/>
                <w:numId w:val="0"/>
              </w:numPr>
              <w:ind w:left="360" w:hanging="360"/>
              <w:rPr>
                <w:noProof/>
                <w:lang w:val="en-GB"/>
              </w:rPr>
            </w:pPr>
            <w:r w:rsidRPr="00724676">
              <w:rPr>
                <w:noProof/>
                <w:sz w:val="20"/>
                <w:lang w:val="en-GB"/>
              </w:rPr>
              <w:t>Removed administrative burdens (OUTs)</w:t>
            </w:r>
          </w:p>
        </w:tc>
        <w:tc>
          <w:tcPr>
            <w:tcW w:w="2088" w:type="dxa"/>
          </w:tcPr>
          <w:p w14:paraId="6365D29A" w14:textId="77777777" w:rsidR="00A61BC0" w:rsidRPr="00724676" w:rsidRDefault="00A61BC0" w:rsidP="00747A67">
            <w:pPr>
              <w:jc w:val="center"/>
              <w:rPr>
                <w:noProof/>
                <w:lang w:val="en-GB"/>
              </w:rPr>
            </w:pPr>
            <w:r w:rsidRPr="00724676">
              <w:rPr>
                <w:noProof/>
                <w:lang w:val="en-GB"/>
              </w:rPr>
              <w:t>0</w:t>
            </w:r>
          </w:p>
        </w:tc>
        <w:tc>
          <w:tcPr>
            <w:tcW w:w="2088" w:type="dxa"/>
          </w:tcPr>
          <w:p w14:paraId="544D53BB" w14:textId="3D9310A5" w:rsidR="00A61BC0" w:rsidRPr="00724676" w:rsidRDefault="00A61BC0" w:rsidP="00747A67">
            <w:pPr>
              <w:jc w:val="center"/>
              <w:rPr>
                <w:noProof/>
                <w:lang w:val="en-GB"/>
              </w:rPr>
            </w:pPr>
            <w:r w:rsidRPr="00724676">
              <w:rPr>
                <w:noProof/>
                <w:sz w:val="20"/>
                <w:szCs w:val="20"/>
                <w:lang w:val="en-GB"/>
              </w:rPr>
              <w:t xml:space="preserve">EUR </w:t>
            </w:r>
            <w:r w:rsidRPr="00724676">
              <w:rPr>
                <w:noProof/>
                <w:sz w:val="20"/>
                <w:lang w:val="en-GB"/>
              </w:rPr>
              <w:t xml:space="preserve">68.5 </w:t>
            </w:r>
            <w:r w:rsidRPr="00724676">
              <w:rPr>
                <w:noProof/>
                <w:sz w:val="20"/>
                <w:szCs w:val="20"/>
                <w:lang w:val="en-GB"/>
              </w:rPr>
              <w:t>million</w:t>
            </w:r>
          </w:p>
        </w:tc>
        <w:tc>
          <w:tcPr>
            <w:tcW w:w="3931" w:type="dxa"/>
          </w:tcPr>
          <w:p w14:paraId="35921B74" w14:textId="4DF25BFD" w:rsidR="00A61BC0" w:rsidRPr="00724676" w:rsidRDefault="00A61BC0" w:rsidP="00747A67">
            <w:pPr>
              <w:jc w:val="center"/>
              <w:rPr>
                <w:noProof/>
                <w:lang w:val="en-GB"/>
              </w:rPr>
            </w:pPr>
            <w:r w:rsidRPr="00724676">
              <w:rPr>
                <w:noProof/>
                <w:sz w:val="20"/>
                <w:szCs w:val="20"/>
                <w:lang w:val="en-GB"/>
              </w:rPr>
              <w:t xml:space="preserve">EUR </w:t>
            </w:r>
            <w:r w:rsidRPr="00724676">
              <w:rPr>
                <w:noProof/>
                <w:sz w:val="20"/>
                <w:lang w:val="en-GB"/>
              </w:rPr>
              <w:t xml:space="preserve">68.5 </w:t>
            </w:r>
            <w:r w:rsidRPr="00724676">
              <w:rPr>
                <w:noProof/>
                <w:sz w:val="20"/>
                <w:szCs w:val="20"/>
                <w:lang w:val="en-GB"/>
              </w:rPr>
              <w:t>million</w:t>
            </w:r>
          </w:p>
        </w:tc>
      </w:tr>
    </w:tbl>
    <w:p w14:paraId="04203629" w14:textId="77777777" w:rsidR="00A61BC0" w:rsidRPr="00724676" w:rsidRDefault="00A61BC0" w:rsidP="00A61BC0">
      <w:pPr>
        <w:spacing w:after="120"/>
        <w:rPr>
          <w:rFonts w:cs="Times New Roman"/>
          <w:noProof/>
          <w:szCs w:val="24"/>
          <w:lang w:val="en-GB"/>
        </w:rPr>
      </w:pPr>
    </w:p>
    <w:p w14:paraId="57A7F641" w14:textId="72DDFDCE" w:rsidR="00A61BC0" w:rsidRPr="00724676" w:rsidRDefault="00CC5434" w:rsidP="00CC5434">
      <w:pPr>
        <w:rPr>
          <w:rStyle w:val="Heading1Char"/>
          <w:noProof/>
          <w:lang w:val="en-GB"/>
        </w:rPr>
      </w:pPr>
      <w:r w:rsidRPr="00724676">
        <w:rPr>
          <w:rStyle w:val="Heading1Char"/>
          <w:noProof/>
          <w:lang w:val="en-GB"/>
        </w:rPr>
        <w:br w:type="page"/>
      </w:r>
    </w:p>
    <w:p w14:paraId="0E6DB231" w14:textId="12F5E683" w:rsidR="00A61BC0" w:rsidRPr="00724676" w:rsidRDefault="00A61BC0" w:rsidP="007B4A95">
      <w:pPr>
        <w:pStyle w:val="Heading3"/>
        <w:rPr>
          <w:noProof/>
        </w:rPr>
      </w:pPr>
      <w:bookmarkStart w:id="162" w:name="_Toc171106343"/>
      <w:bookmarkStart w:id="163" w:name="_Toc172125144"/>
      <w:r w:rsidRPr="00724676">
        <w:rPr>
          <w:rStyle w:val="Heading1Char"/>
          <w:b/>
          <w:noProof/>
        </w:rPr>
        <w:lastRenderedPageBreak/>
        <w:t xml:space="preserve">Annex 4. Modelling the impact of </w:t>
      </w:r>
      <w:r w:rsidR="00DE2532">
        <w:rPr>
          <w:rStyle w:val="Heading1Char"/>
          <w:b/>
          <w:noProof/>
        </w:rPr>
        <w:t xml:space="preserve">the </w:t>
      </w:r>
      <w:r w:rsidRPr="00724676">
        <w:rPr>
          <w:rStyle w:val="Heading1Char"/>
          <w:b/>
          <w:noProof/>
        </w:rPr>
        <w:t xml:space="preserve">removal of the GAEC 8 </w:t>
      </w:r>
      <w:r w:rsidR="00910B4E" w:rsidRPr="00724676">
        <w:rPr>
          <w:rStyle w:val="Heading1Char"/>
          <w:b/>
          <w:noProof/>
        </w:rPr>
        <w:t xml:space="preserve">first requirement </w:t>
      </w:r>
      <w:r w:rsidRPr="00724676">
        <w:rPr>
          <w:rStyle w:val="Heading1Char"/>
          <w:b/>
          <w:noProof/>
        </w:rPr>
        <w:t xml:space="preserve">(share of non-productive </w:t>
      </w:r>
      <w:r w:rsidR="00910B4E" w:rsidRPr="00724676">
        <w:rPr>
          <w:rStyle w:val="Heading1Char"/>
          <w:b/>
          <w:noProof/>
        </w:rPr>
        <w:t xml:space="preserve">areas and </w:t>
      </w:r>
      <w:r w:rsidRPr="00724676">
        <w:rPr>
          <w:rStyle w:val="Heading1Char"/>
          <w:b/>
          <w:noProof/>
        </w:rPr>
        <w:t>elements in arable land) according to the IFM-CAP model</w:t>
      </w:r>
      <w:bookmarkEnd w:id="162"/>
      <w:r w:rsidRPr="00724676">
        <w:rPr>
          <w:noProof/>
        </w:rPr>
        <w:t>.</w:t>
      </w:r>
      <w:bookmarkEnd w:id="163"/>
      <w:r w:rsidRPr="00724676">
        <w:rPr>
          <w:noProof/>
        </w:rPr>
        <w:t xml:space="preserve"> </w:t>
      </w:r>
    </w:p>
    <w:p w14:paraId="2159C47D" w14:textId="0E645893" w:rsidR="00A61BC0" w:rsidRPr="00724676" w:rsidRDefault="00A61BC0" w:rsidP="32AB66DC">
      <w:pPr>
        <w:spacing w:after="120"/>
        <w:jc w:val="both"/>
        <w:rPr>
          <w:rFonts w:eastAsia="Times New Roman" w:cs="Times New Roman"/>
          <w:noProof/>
          <w:lang w:val="en-GB"/>
        </w:rPr>
      </w:pPr>
      <w:r w:rsidRPr="32AB66DC">
        <w:rPr>
          <w:rFonts w:eastAsia="Times New Roman" w:cs="Times New Roman"/>
          <w:noProof/>
          <w:lang w:val="en-GB"/>
        </w:rPr>
        <w:t xml:space="preserve">The </w:t>
      </w:r>
      <w:r w:rsidRPr="00F15432">
        <w:rPr>
          <w:rFonts w:eastAsia="Times New Roman" w:cs="Times New Roman"/>
          <w:i/>
          <w:iCs/>
          <w:noProof/>
          <w:lang w:val="en-GB"/>
        </w:rPr>
        <w:t>Individual Farm Model for Common Agricultural Policy Analysis</w:t>
      </w:r>
      <w:r w:rsidRPr="32AB66DC">
        <w:rPr>
          <w:rFonts w:eastAsia="Times New Roman" w:cs="Times New Roman"/>
          <w:noProof/>
          <w:lang w:val="en-GB"/>
        </w:rPr>
        <w:t xml:space="preserve"> (IFM-CAP) is a model designed by the Commission</w:t>
      </w:r>
      <w:r w:rsidR="00DE2532" w:rsidRPr="32AB66DC">
        <w:rPr>
          <w:rFonts w:eastAsia="Times New Roman" w:cs="Times New Roman"/>
          <w:noProof/>
          <w:lang w:val="en-GB"/>
        </w:rPr>
        <w:t>’s</w:t>
      </w:r>
      <w:r w:rsidRPr="32AB66DC">
        <w:rPr>
          <w:rFonts w:eastAsia="Times New Roman" w:cs="Times New Roman"/>
          <w:noProof/>
          <w:lang w:val="en-GB"/>
        </w:rPr>
        <w:t xml:space="preserve"> Joint Research Centre for the </w:t>
      </w:r>
      <w:r w:rsidR="00A0403B" w:rsidRPr="00F15432">
        <w:rPr>
          <w:rFonts w:eastAsia="Times New Roman" w:cs="Times New Roman"/>
          <w:i/>
          <w:iCs/>
          <w:noProof/>
          <w:lang w:val="en-GB"/>
        </w:rPr>
        <w:t>ex-ante</w:t>
      </w:r>
      <w:r w:rsidRPr="32AB66DC">
        <w:rPr>
          <w:rFonts w:eastAsia="Times New Roman" w:cs="Times New Roman"/>
          <w:noProof/>
          <w:lang w:val="en-GB"/>
        </w:rPr>
        <w:t xml:space="preserve"> economic and environmental assessment of the medium-term adaptation of individual farm</w:t>
      </w:r>
      <w:r w:rsidR="00DE2532" w:rsidRPr="32AB66DC">
        <w:rPr>
          <w:rFonts w:eastAsia="Times New Roman" w:cs="Times New Roman"/>
          <w:noProof/>
          <w:lang w:val="en-GB"/>
        </w:rPr>
        <w:t>s</w:t>
      </w:r>
      <w:r w:rsidRPr="32AB66DC">
        <w:rPr>
          <w:rFonts w:eastAsia="Times New Roman" w:cs="Times New Roman"/>
          <w:noProof/>
          <w:lang w:val="en-GB"/>
        </w:rPr>
        <w:t xml:space="preserve"> to policy and market changes. The IFM-CAP simulates how a given scenario, for example a change in farm resources, </w:t>
      </w:r>
      <w:r w:rsidR="00DE2532" w:rsidRPr="32AB66DC">
        <w:rPr>
          <w:rFonts w:eastAsia="Times New Roman" w:cs="Times New Roman"/>
          <w:noProof/>
          <w:lang w:val="en-GB"/>
        </w:rPr>
        <w:t xml:space="preserve">or </w:t>
      </w:r>
      <w:r w:rsidRPr="32AB66DC">
        <w:rPr>
          <w:rFonts w:eastAsia="Times New Roman" w:cs="Times New Roman"/>
          <w:noProof/>
          <w:lang w:val="en-GB"/>
        </w:rPr>
        <w:t xml:space="preserve">environmental or agricultural policy (in the specific case, a change in GAEC 8 requirements), might affect a set of selected indicators. </w:t>
      </w:r>
    </w:p>
    <w:p w14:paraId="0BD3BC37" w14:textId="07534EAF" w:rsidR="00A61BC0" w:rsidRPr="00724676" w:rsidRDefault="00A61BC0" w:rsidP="00A61BC0">
      <w:pPr>
        <w:spacing w:after="120"/>
        <w:jc w:val="both"/>
        <w:rPr>
          <w:rFonts w:eastAsia="Times New Roman" w:cs="Times New Roman"/>
          <w:noProof/>
          <w:szCs w:val="24"/>
          <w:lang w:val="en-GB"/>
        </w:rPr>
      </w:pPr>
      <w:r w:rsidRPr="5B7F1876">
        <w:rPr>
          <w:rFonts w:eastAsia="Times New Roman" w:cs="Times New Roman"/>
          <w:noProof/>
          <w:lang w:val="en-GB"/>
        </w:rPr>
        <w:t xml:space="preserve">To obtain the </w:t>
      </w:r>
      <w:r w:rsidRPr="5B7F1876">
        <w:rPr>
          <w:rFonts w:eastAsia="Times New Roman" w:cs="Times New Roman"/>
          <w:b/>
          <w:bCs/>
          <w:noProof/>
          <w:lang w:val="en-GB"/>
        </w:rPr>
        <w:t>estimate of the economic impact</w:t>
      </w:r>
      <w:r w:rsidRPr="5B7F1876">
        <w:rPr>
          <w:rFonts w:eastAsia="Times New Roman" w:cs="Times New Roman"/>
          <w:noProof/>
          <w:lang w:val="en-GB"/>
        </w:rPr>
        <w:t xml:space="preserve"> of the removal of the GAEC 8 first requirement, the IFM-CAP has been applied to each individual farm recorded in the Farm Accountancy Data Network (FADN)</w:t>
      </w:r>
      <w:r w:rsidRPr="5B7F1876">
        <w:rPr>
          <w:rStyle w:val="FootnoteReference"/>
          <w:rFonts w:eastAsia="Times New Roman" w:cs="Times New Roman"/>
          <w:noProof/>
          <w:lang w:val="en-GB"/>
        </w:rPr>
        <w:footnoteReference w:id="74"/>
      </w:r>
      <w:r w:rsidR="00DE2532" w:rsidRPr="55BF963C">
        <w:rPr>
          <w:rFonts w:eastAsia="Times New Roman" w:cs="Times New Roman"/>
          <w:noProof/>
          <w:lang w:val="en-GB"/>
        </w:rPr>
        <w:t>.</w:t>
      </w:r>
      <w:r w:rsidRPr="5B7F1876">
        <w:rPr>
          <w:rFonts w:eastAsia="Times New Roman" w:cs="Times New Roman"/>
          <w:noProof/>
          <w:lang w:val="en-GB"/>
        </w:rPr>
        <w:t xml:space="preserve"> </w:t>
      </w:r>
      <w:r w:rsidR="00DE2532" w:rsidRPr="55BF963C">
        <w:rPr>
          <w:rFonts w:eastAsia="Times New Roman" w:cs="Times New Roman"/>
          <w:noProof/>
          <w:lang w:val="en-GB"/>
        </w:rPr>
        <w:t xml:space="preserve">This </w:t>
      </w:r>
      <w:r w:rsidRPr="5B7F1876">
        <w:rPr>
          <w:rFonts w:eastAsia="Times New Roman" w:cs="Times New Roman"/>
          <w:noProof/>
          <w:lang w:val="en-GB"/>
        </w:rPr>
        <w:t xml:space="preserve">database of </w:t>
      </w:r>
      <w:r w:rsidR="00DE2532" w:rsidRPr="55BF963C">
        <w:rPr>
          <w:rFonts w:eastAsia="Times New Roman" w:cs="Times New Roman"/>
          <w:noProof/>
          <w:lang w:val="en-GB"/>
        </w:rPr>
        <w:t xml:space="preserve">the income and business activity of </w:t>
      </w:r>
      <w:r w:rsidRPr="5B7F1876">
        <w:rPr>
          <w:rFonts w:eastAsia="Times New Roman" w:cs="Times New Roman"/>
          <w:noProof/>
          <w:lang w:val="en-GB"/>
        </w:rPr>
        <w:t>roughly 80 000 EU commercial farms</w:t>
      </w:r>
      <w:r w:rsidR="00DE2532" w:rsidRPr="55BF963C">
        <w:rPr>
          <w:rFonts w:eastAsia="Times New Roman" w:cs="Times New Roman"/>
          <w:noProof/>
          <w:lang w:val="en-GB"/>
        </w:rPr>
        <w:t xml:space="preserve"> has been used</w:t>
      </w:r>
      <w:r w:rsidRPr="5B7F1876">
        <w:rPr>
          <w:rFonts w:eastAsia="Times New Roman" w:cs="Times New Roman"/>
          <w:noProof/>
          <w:lang w:val="en-GB"/>
        </w:rPr>
        <w:t xml:space="preserve"> to </w:t>
      </w:r>
      <w:r w:rsidR="00DE2532" w:rsidRPr="55BF963C">
        <w:rPr>
          <w:rFonts w:eastAsia="Times New Roman" w:cs="Times New Roman"/>
          <w:noProof/>
          <w:lang w:val="en-GB"/>
        </w:rPr>
        <w:t xml:space="preserve">ensure </w:t>
      </w:r>
      <w:r w:rsidRPr="5B7F1876">
        <w:rPr>
          <w:rFonts w:eastAsia="Times New Roman" w:cs="Times New Roman"/>
          <w:noProof/>
          <w:lang w:val="en-GB"/>
        </w:rPr>
        <w:t>the highest possible representativeness of the EU agricultural sector. Farmers are assumed to maximise their expected utility at given yields, product prices and CAP subsidies, subject to resource endowments and policy constraints.</w:t>
      </w:r>
    </w:p>
    <w:p w14:paraId="54E8446C" w14:textId="3011D5E8" w:rsidR="00A61BC0" w:rsidRPr="00724676" w:rsidRDefault="00A61BC0" w:rsidP="00A61BC0">
      <w:pPr>
        <w:spacing w:after="120"/>
        <w:jc w:val="both"/>
        <w:rPr>
          <w:rFonts w:eastAsia="Times New Roman" w:cs="Times New Roman"/>
          <w:noProof/>
          <w:szCs w:val="24"/>
          <w:lang w:val="en-GB"/>
        </w:rPr>
      </w:pPr>
      <w:r w:rsidRPr="00724676">
        <w:rPr>
          <w:rFonts w:eastAsia="Times New Roman" w:cs="Times New Roman"/>
          <w:noProof/>
          <w:szCs w:val="24"/>
          <w:lang w:val="en-GB"/>
        </w:rPr>
        <w:t>In addition to the intrinsic characteristics</w:t>
      </w:r>
      <w:r w:rsidR="00684F6A" w:rsidRPr="00684F6A">
        <w:rPr>
          <w:rFonts w:eastAsia="Times New Roman" w:cs="Times New Roman"/>
          <w:noProof/>
          <w:szCs w:val="24"/>
          <w:lang w:val="en-GB"/>
        </w:rPr>
        <w:t xml:space="preserve"> </w:t>
      </w:r>
      <w:r w:rsidR="00684F6A">
        <w:rPr>
          <w:rFonts w:eastAsia="Times New Roman" w:cs="Times New Roman"/>
          <w:noProof/>
          <w:szCs w:val="24"/>
          <w:lang w:val="en-GB"/>
        </w:rPr>
        <w:t xml:space="preserve">of the </w:t>
      </w:r>
      <w:r w:rsidR="00684F6A" w:rsidRPr="00724676">
        <w:rPr>
          <w:rFonts w:eastAsia="Times New Roman" w:cs="Times New Roman"/>
          <w:noProof/>
          <w:szCs w:val="24"/>
          <w:lang w:val="en-GB"/>
        </w:rPr>
        <w:t>IFM-CAP</w:t>
      </w:r>
      <w:r w:rsidR="00684F6A" w:rsidRPr="00684F6A">
        <w:rPr>
          <w:rFonts w:eastAsia="Times New Roman" w:cs="Times New Roman"/>
          <w:noProof/>
          <w:szCs w:val="24"/>
          <w:lang w:val="en-GB"/>
        </w:rPr>
        <w:t xml:space="preserve"> </w:t>
      </w:r>
      <w:r w:rsidR="00684F6A" w:rsidRPr="00724676">
        <w:rPr>
          <w:rFonts w:eastAsia="Times New Roman" w:cs="Times New Roman"/>
          <w:noProof/>
          <w:szCs w:val="24"/>
          <w:lang w:val="en-GB"/>
        </w:rPr>
        <w:t>model</w:t>
      </w:r>
      <w:r w:rsidRPr="00724676">
        <w:rPr>
          <w:rFonts w:eastAsia="Times New Roman" w:cs="Times New Roman"/>
          <w:noProof/>
          <w:szCs w:val="24"/>
          <w:lang w:val="en-GB"/>
        </w:rPr>
        <w:t xml:space="preserve">, estimating the impacts of removing the first requirement under GAEC 8 required additional assumptions, as explained below. </w:t>
      </w:r>
    </w:p>
    <w:p w14:paraId="6D95D725" w14:textId="60217949" w:rsidR="00A61BC0" w:rsidRPr="00724676" w:rsidRDefault="00A61BC0" w:rsidP="00A61BC0">
      <w:pPr>
        <w:spacing w:after="120"/>
        <w:jc w:val="both"/>
        <w:rPr>
          <w:rFonts w:eastAsia="Times New Roman" w:cs="Times New Roman"/>
          <w:noProof/>
          <w:szCs w:val="24"/>
          <w:lang w:val="en-GB"/>
        </w:rPr>
      </w:pPr>
      <w:r w:rsidRPr="00724676">
        <w:rPr>
          <w:rFonts w:eastAsia="Times New Roman" w:cs="Times New Roman"/>
          <w:noProof/>
          <w:szCs w:val="24"/>
          <w:lang w:val="en-GB"/>
        </w:rPr>
        <w:t xml:space="preserve">The economic impact of the policy change is estimated as the income of the land potentially ‘freed up’ by the lifting of the GAEC 8 first requirement for farms that would be subject to this requirement. More precisely, for the impacted farms it is measured as the change in income that results from the product of: (i) the area of land lying fallow due to </w:t>
      </w:r>
      <w:r w:rsidR="00684F6A">
        <w:rPr>
          <w:rFonts w:eastAsia="Times New Roman" w:cs="Times New Roman"/>
          <w:noProof/>
          <w:szCs w:val="24"/>
          <w:lang w:val="en-GB"/>
        </w:rPr>
        <w:t xml:space="preserve">the </w:t>
      </w:r>
      <w:r w:rsidRPr="00724676">
        <w:rPr>
          <w:rFonts w:eastAsia="Times New Roman" w:cs="Times New Roman"/>
          <w:noProof/>
          <w:szCs w:val="24"/>
          <w:lang w:val="en-GB"/>
        </w:rPr>
        <w:t xml:space="preserve">GAEC 8 first requirement; and (ii) the gross margin of the arable crop that would be cultivated in this ‘GAEC 8 fallow area’. </w:t>
      </w:r>
    </w:p>
    <w:p w14:paraId="44E1F9E4" w14:textId="364544ED" w:rsidR="00A61BC0" w:rsidRPr="00724676" w:rsidRDefault="00A61BC0" w:rsidP="32AB66DC">
      <w:pPr>
        <w:pStyle w:val="ListParagraph"/>
        <w:numPr>
          <w:ilvl w:val="0"/>
          <w:numId w:val="5"/>
        </w:numPr>
        <w:spacing w:after="120"/>
        <w:jc w:val="both"/>
        <w:rPr>
          <w:rFonts w:eastAsia="Times New Roman" w:cs="Times New Roman"/>
          <w:noProof/>
          <w:lang w:val="en-GB"/>
        </w:rPr>
      </w:pPr>
      <w:r w:rsidRPr="32AB66DC">
        <w:rPr>
          <w:rFonts w:eastAsia="Times New Roman" w:cs="Times New Roman"/>
          <w:noProof/>
          <w:lang w:val="en-GB"/>
        </w:rPr>
        <w:t xml:space="preserve">The first step (i) consists in estimating the </w:t>
      </w:r>
      <w:r w:rsidRPr="32AB66DC">
        <w:rPr>
          <w:rFonts w:eastAsia="Times New Roman" w:cs="Times New Roman"/>
          <w:b/>
          <w:bCs/>
          <w:noProof/>
          <w:lang w:val="en-GB"/>
        </w:rPr>
        <w:t>area of fallow land that is fallow due to the GAEC 8 first requirement.</w:t>
      </w:r>
      <w:r w:rsidRPr="32AB66DC">
        <w:rPr>
          <w:rFonts w:eastAsia="Times New Roman" w:cs="Times New Roman"/>
          <w:noProof/>
          <w:lang w:val="en-GB"/>
        </w:rPr>
        <w:t xml:space="preserve"> This is done, for each farm in the FADN database, as follows:</w:t>
      </w:r>
    </w:p>
    <w:p w14:paraId="419BCC20" w14:textId="09F3C6A9" w:rsidR="00684F6A" w:rsidRPr="00F15432" w:rsidRDefault="00A61BC0" w:rsidP="00D30F6A">
      <w:pPr>
        <w:pStyle w:val="ListParagraph"/>
        <w:numPr>
          <w:ilvl w:val="0"/>
          <w:numId w:val="35"/>
        </w:numPr>
        <w:spacing w:after="120"/>
        <w:ind w:left="1080"/>
        <w:jc w:val="both"/>
        <w:rPr>
          <w:rFonts w:eastAsia="Times New Roman" w:cs="Times New Roman"/>
          <w:noProof/>
          <w:lang w:val="en-GB"/>
        </w:rPr>
      </w:pPr>
      <w:r w:rsidRPr="00F15432">
        <w:rPr>
          <w:rFonts w:eastAsia="Times New Roman" w:cs="Times New Roman"/>
          <w:noProof/>
          <w:lang w:val="en-GB"/>
        </w:rPr>
        <w:t>Multiplying the arable land area recorded in FADN by 4% as mandated by the GAEC 8 first requirement.  For the 15 Member States where farms had been given the option to comply with the requirement of GAEC</w:t>
      </w:r>
      <w:r w:rsidR="00684F6A" w:rsidRPr="00F15432">
        <w:rPr>
          <w:rFonts w:eastAsia="Times New Roman" w:cs="Times New Roman"/>
          <w:noProof/>
          <w:lang w:val="en-GB"/>
        </w:rPr>
        <w:t xml:space="preserve"> </w:t>
      </w:r>
      <w:r w:rsidRPr="00F15432">
        <w:rPr>
          <w:rFonts w:eastAsia="Times New Roman" w:cs="Times New Roman"/>
          <w:noProof/>
          <w:lang w:val="en-GB"/>
        </w:rPr>
        <w:t xml:space="preserve">8 by </w:t>
      </w:r>
      <w:r w:rsidR="00684F6A" w:rsidRPr="00F15432">
        <w:rPr>
          <w:rFonts w:eastAsia="Times New Roman" w:cs="Times New Roman"/>
          <w:noProof/>
          <w:lang w:val="en-GB"/>
        </w:rPr>
        <w:t xml:space="preserve">leaving </w:t>
      </w:r>
      <w:r w:rsidRPr="00F15432">
        <w:rPr>
          <w:rFonts w:eastAsia="Times New Roman" w:cs="Times New Roman"/>
          <w:noProof/>
          <w:lang w:val="en-GB"/>
        </w:rPr>
        <w:t>3% of arable land as fallow (instead of 4%)</w:t>
      </w:r>
      <w:r w:rsidR="00684F6A" w:rsidRPr="00F15432">
        <w:rPr>
          <w:rFonts w:eastAsia="Times New Roman" w:cs="Times New Roman"/>
          <w:noProof/>
          <w:lang w:val="en-GB"/>
        </w:rPr>
        <w:t>,</w:t>
      </w:r>
      <w:r w:rsidRPr="00F15432">
        <w:rPr>
          <w:rFonts w:eastAsia="Times New Roman" w:cs="Times New Roman"/>
          <w:noProof/>
          <w:lang w:val="en-GB"/>
        </w:rPr>
        <w:t xml:space="preserve"> combined with an extra 4% of area covered with catch crops or nitrogen-fixing crops cultivated without the use of plant protection products, it is assumed that all farms would adopt this option</w:t>
      </w:r>
      <w:r w:rsidRPr="006E5B8B">
        <w:rPr>
          <w:rStyle w:val="FootnoteReference"/>
          <w:rFonts w:eastAsia="Times New Roman" w:cs="Times New Roman"/>
          <w:noProof/>
          <w:lang w:val="en-GB"/>
        </w:rPr>
        <w:footnoteReference w:id="75"/>
      </w:r>
      <w:r w:rsidRPr="00F15432">
        <w:rPr>
          <w:rFonts w:eastAsia="Times New Roman" w:cs="Times New Roman"/>
          <w:noProof/>
          <w:lang w:val="en-GB"/>
        </w:rPr>
        <w:t>. This assumption is made, in the absence of precise, farm</w:t>
      </w:r>
      <w:r w:rsidR="00684F6A" w:rsidRPr="00F15432">
        <w:rPr>
          <w:rFonts w:eastAsia="Times New Roman" w:cs="Times New Roman"/>
          <w:noProof/>
          <w:lang w:val="en-GB"/>
        </w:rPr>
        <w:t>-</w:t>
      </w:r>
      <w:r w:rsidRPr="00F15432">
        <w:rPr>
          <w:rFonts w:eastAsia="Times New Roman" w:cs="Times New Roman"/>
          <w:noProof/>
          <w:lang w:val="en-GB"/>
        </w:rPr>
        <w:t>level data on the uptake of this option at the time of writing</w:t>
      </w:r>
      <w:r w:rsidR="00684F6A" w:rsidRPr="00F15432">
        <w:rPr>
          <w:rFonts w:eastAsia="Times New Roman" w:cs="Times New Roman"/>
          <w:noProof/>
          <w:lang w:val="en-GB"/>
        </w:rPr>
        <w:t>.</w:t>
      </w:r>
    </w:p>
    <w:p w14:paraId="2C3C8B47" w14:textId="0B391BA6" w:rsidR="00A61BC0" w:rsidRPr="00F15432" w:rsidRDefault="00A61BC0" w:rsidP="00D30F6A">
      <w:pPr>
        <w:pStyle w:val="ListParagraph"/>
        <w:numPr>
          <w:ilvl w:val="0"/>
          <w:numId w:val="35"/>
        </w:numPr>
        <w:spacing w:after="120"/>
        <w:ind w:left="1080"/>
        <w:jc w:val="both"/>
        <w:rPr>
          <w:rFonts w:eastAsia="Times New Roman" w:cs="Times New Roman"/>
          <w:noProof/>
          <w:lang w:val="en-GB"/>
        </w:rPr>
      </w:pPr>
      <w:r w:rsidRPr="00F15432">
        <w:rPr>
          <w:rFonts w:eastAsia="Times New Roman" w:cs="Times New Roman"/>
          <w:noProof/>
          <w:lang w:val="en-GB"/>
        </w:rPr>
        <w:t xml:space="preserve">Further refining the estimation: as not all land is fallow due to GAEC 8 requirements, land lying fallow for agronomic reasons i.e. not due to policy requirements, but as a business-driven decision of the holding (‘voluntary fallow’), is estimated and subtracted from the previous calculation. This estimation is based on the share of fallow land in farms not subject to EFA requirement in the pre-2023 </w:t>
      </w:r>
      <w:r w:rsidRPr="00F15432">
        <w:rPr>
          <w:rFonts w:eastAsia="Times New Roman" w:cs="Times New Roman"/>
          <w:noProof/>
          <w:lang w:val="en-GB"/>
        </w:rPr>
        <w:lastRenderedPageBreak/>
        <w:t xml:space="preserve">period. The result is an estimation of the land lying fallow due to requirements of GAEC 8 (‘imposed fallow’). </w:t>
      </w:r>
    </w:p>
    <w:p w14:paraId="29B7E867" w14:textId="5E9022B0" w:rsidR="00A61BC0" w:rsidRPr="00724676" w:rsidRDefault="00A61BC0" w:rsidP="00D30F6A">
      <w:pPr>
        <w:pStyle w:val="ListParagraph"/>
        <w:numPr>
          <w:ilvl w:val="0"/>
          <w:numId w:val="35"/>
        </w:numPr>
        <w:spacing w:after="120"/>
        <w:ind w:left="1080"/>
        <w:jc w:val="both"/>
        <w:rPr>
          <w:rFonts w:eastAsia="Times New Roman" w:cs="Times New Roman"/>
          <w:noProof/>
          <w:szCs w:val="24"/>
          <w:lang w:val="en-GB"/>
        </w:rPr>
      </w:pPr>
      <w:r w:rsidRPr="5B7F1876">
        <w:rPr>
          <w:rFonts w:eastAsia="Times New Roman" w:cs="Times New Roman"/>
          <w:noProof/>
          <w:lang w:val="en-GB"/>
        </w:rPr>
        <w:t xml:space="preserve">In the same line of reasoning, the </w:t>
      </w:r>
      <w:r w:rsidRPr="006E5B8B">
        <w:rPr>
          <w:rFonts w:eastAsia="Times New Roman" w:cs="Times New Roman"/>
          <w:noProof/>
          <w:lang w:val="en-GB"/>
        </w:rPr>
        <w:t>area devoted to landscape elements is subtracted</w:t>
      </w:r>
      <w:r w:rsidRPr="006E5B8B">
        <w:rPr>
          <w:rStyle w:val="FootnoteReference"/>
          <w:rFonts w:eastAsia="Times New Roman" w:cs="Times New Roman"/>
          <w:noProof/>
          <w:lang w:val="en-GB"/>
        </w:rPr>
        <w:footnoteReference w:id="76"/>
      </w:r>
      <w:r w:rsidRPr="006E5B8B">
        <w:rPr>
          <w:rFonts w:eastAsia="Times New Roman" w:cs="Times New Roman"/>
          <w:noProof/>
          <w:lang w:val="en-GB"/>
        </w:rPr>
        <w:t>, using the amount of EFA landscape features under the pre-2023 period.</w:t>
      </w:r>
    </w:p>
    <w:p w14:paraId="364DCD18" w14:textId="44C16236" w:rsidR="00CB0592" w:rsidRDefault="00A61BC0" w:rsidP="00A61BC0">
      <w:pPr>
        <w:spacing w:after="120"/>
        <w:jc w:val="both"/>
        <w:rPr>
          <w:rFonts w:eastAsia="Times New Roman" w:cs="Times New Roman"/>
          <w:noProof/>
          <w:szCs w:val="24"/>
          <w:lang w:val="en-GB"/>
        </w:rPr>
      </w:pPr>
      <w:r w:rsidRPr="00724676">
        <w:rPr>
          <w:rFonts w:eastAsia="Times New Roman" w:cs="Times New Roman"/>
          <w:noProof/>
          <w:szCs w:val="24"/>
          <w:lang w:val="en-GB"/>
        </w:rPr>
        <w:t xml:space="preserve">A second step (ii) in the computation is the estimation of the </w:t>
      </w:r>
      <w:r w:rsidRPr="00724676">
        <w:rPr>
          <w:rFonts w:eastAsia="Times New Roman" w:cs="Times New Roman"/>
          <w:b/>
          <w:bCs/>
          <w:noProof/>
          <w:szCs w:val="24"/>
          <w:lang w:val="en-GB"/>
        </w:rPr>
        <w:t xml:space="preserve">gross margin of the crop </w:t>
      </w:r>
      <w:r w:rsidRPr="00724676">
        <w:rPr>
          <w:rFonts w:eastAsia="Times New Roman" w:cs="Times New Roman"/>
          <w:noProof/>
          <w:szCs w:val="24"/>
          <w:lang w:val="en-GB"/>
        </w:rPr>
        <w:t>that is</w:t>
      </w:r>
      <w:r w:rsidRPr="00724676">
        <w:rPr>
          <w:rFonts w:eastAsia="Times New Roman" w:cs="Times New Roman"/>
          <w:b/>
          <w:noProof/>
          <w:szCs w:val="24"/>
          <w:lang w:val="en-GB"/>
        </w:rPr>
        <w:t xml:space="preserve"> assumed</w:t>
      </w:r>
      <w:r w:rsidRPr="00724676">
        <w:rPr>
          <w:rFonts w:eastAsia="Times New Roman" w:cs="Times New Roman"/>
          <w:noProof/>
          <w:szCs w:val="24"/>
          <w:lang w:val="en-GB"/>
        </w:rPr>
        <w:t xml:space="preserve"> to be </w:t>
      </w:r>
      <w:r w:rsidRPr="00724676">
        <w:rPr>
          <w:rFonts w:eastAsia="Times New Roman" w:cs="Times New Roman"/>
          <w:b/>
          <w:bCs/>
          <w:noProof/>
          <w:szCs w:val="24"/>
          <w:lang w:val="en-GB"/>
        </w:rPr>
        <w:t>planted on the ‘freed up’ land</w:t>
      </w:r>
      <w:r w:rsidRPr="00724676">
        <w:rPr>
          <w:rFonts w:eastAsia="Times New Roman" w:cs="Times New Roman"/>
          <w:noProof/>
          <w:szCs w:val="24"/>
          <w:lang w:val="en-GB"/>
        </w:rPr>
        <w:t>. This is estimated by multiplying the price of this crop times its yield, taking into account CAP coupled payments</w:t>
      </w:r>
      <w:r w:rsidR="00CB0592">
        <w:rPr>
          <w:rFonts w:eastAsia="Times New Roman" w:cs="Times New Roman"/>
          <w:noProof/>
          <w:szCs w:val="24"/>
          <w:lang w:val="en-GB"/>
        </w:rPr>
        <w:t>,</w:t>
      </w:r>
      <w:r w:rsidRPr="00724676">
        <w:rPr>
          <w:rFonts w:eastAsia="Times New Roman" w:cs="Times New Roman"/>
          <w:noProof/>
          <w:szCs w:val="24"/>
          <w:lang w:val="en-GB"/>
        </w:rPr>
        <w:t xml:space="preserve"> and subtracting the input costs per hectare available in the FADN dataset e.g. seed, pla</w:t>
      </w:r>
      <w:r w:rsidR="00CB0592">
        <w:rPr>
          <w:rFonts w:eastAsia="Times New Roman" w:cs="Times New Roman"/>
          <w:noProof/>
          <w:szCs w:val="24"/>
          <w:lang w:val="en-GB"/>
        </w:rPr>
        <w:t>n</w:t>
      </w:r>
      <w:r w:rsidRPr="00724676">
        <w:rPr>
          <w:rFonts w:eastAsia="Times New Roman" w:cs="Times New Roman"/>
          <w:noProof/>
          <w:szCs w:val="24"/>
          <w:lang w:val="en-GB"/>
        </w:rPr>
        <w:t>t protection products and fertili</w:t>
      </w:r>
      <w:r w:rsidR="00791722">
        <w:rPr>
          <w:rFonts w:eastAsia="Times New Roman" w:cs="Times New Roman"/>
          <w:noProof/>
          <w:szCs w:val="24"/>
          <w:lang w:val="en-GB"/>
        </w:rPr>
        <w:t>s</w:t>
      </w:r>
      <w:r w:rsidRPr="00724676">
        <w:rPr>
          <w:rFonts w:eastAsia="Times New Roman" w:cs="Times New Roman"/>
          <w:noProof/>
          <w:szCs w:val="24"/>
          <w:lang w:val="en-GB"/>
        </w:rPr>
        <w:t xml:space="preserve">ers. </w:t>
      </w:r>
    </w:p>
    <w:p w14:paraId="0F5B8772" w14:textId="5A8FA42F" w:rsidR="00A61BC0" w:rsidRDefault="00A61BC0" w:rsidP="00B97445">
      <w:pPr>
        <w:pStyle w:val="ListParagraph"/>
        <w:numPr>
          <w:ilvl w:val="0"/>
          <w:numId w:val="5"/>
        </w:numPr>
        <w:spacing w:after="120"/>
        <w:jc w:val="both"/>
        <w:rPr>
          <w:rFonts w:eastAsia="Times New Roman" w:cs="Times New Roman"/>
          <w:noProof/>
          <w:szCs w:val="24"/>
          <w:lang w:val="en-GB"/>
        </w:rPr>
      </w:pPr>
      <w:r w:rsidRPr="00724676">
        <w:rPr>
          <w:rFonts w:eastAsia="Times New Roman" w:cs="Times New Roman"/>
          <w:noProof/>
          <w:szCs w:val="24"/>
          <w:lang w:val="en-GB"/>
        </w:rPr>
        <w:t xml:space="preserve">To avoid a strong assumption </w:t>
      </w:r>
      <w:r w:rsidR="00CB0592">
        <w:rPr>
          <w:rFonts w:eastAsia="Times New Roman" w:cs="Times New Roman"/>
          <w:noProof/>
          <w:szCs w:val="24"/>
          <w:lang w:val="en-GB"/>
        </w:rPr>
        <w:t>of</w:t>
      </w:r>
      <w:r w:rsidR="00CB0592" w:rsidRPr="00724676">
        <w:rPr>
          <w:rFonts w:eastAsia="Times New Roman" w:cs="Times New Roman"/>
          <w:noProof/>
          <w:szCs w:val="24"/>
          <w:lang w:val="en-GB"/>
        </w:rPr>
        <w:t xml:space="preserve"> </w:t>
      </w:r>
      <w:r w:rsidRPr="00724676">
        <w:rPr>
          <w:rFonts w:eastAsia="Times New Roman" w:cs="Times New Roman"/>
          <w:noProof/>
          <w:szCs w:val="24"/>
          <w:lang w:val="en-GB"/>
        </w:rPr>
        <w:t xml:space="preserve">the crop assignment on the ‘freed up’ land, the assigned crop is estimated to be the one with the </w:t>
      </w:r>
      <w:r w:rsidRPr="00724676">
        <w:rPr>
          <w:rFonts w:eastAsia="Times New Roman" w:cs="Times New Roman"/>
          <w:b/>
          <w:noProof/>
          <w:szCs w:val="24"/>
          <w:lang w:val="en-GB"/>
        </w:rPr>
        <w:t>minimum gross margin</w:t>
      </w:r>
      <w:r w:rsidRPr="00724676">
        <w:rPr>
          <w:rFonts w:eastAsia="Times New Roman" w:cs="Times New Roman"/>
          <w:noProof/>
          <w:szCs w:val="24"/>
          <w:lang w:val="en-GB"/>
        </w:rPr>
        <w:t xml:space="preserve"> among the ones already present on the holding. This is because farmers are likely to have allocated their least productive land as fallow land under GAEC 8.</w:t>
      </w:r>
    </w:p>
    <w:p w14:paraId="6B5F152C" w14:textId="77777777" w:rsidR="00B97445" w:rsidRPr="00724676" w:rsidRDefault="00B97445" w:rsidP="00B97445">
      <w:pPr>
        <w:pStyle w:val="ListParagraph"/>
        <w:spacing w:after="120"/>
        <w:jc w:val="both"/>
        <w:rPr>
          <w:rFonts w:eastAsia="Times New Roman" w:cs="Times New Roman"/>
          <w:noProof/>
          <w:szCs w:val="24"/>
          <w:lang w:val="en-GB"/>
        </w:rPr>
      </w:pPr>
    </w:p>
    <w:p w14:paraId="4567D397" w14:textId="15AEBD24" w:rsidR="00A61BC0" w:rsidRPr="006E5B8B" w:rsidRDefault="00A61BC0" w:rsidP="00B97445">
      <w:pPr>
        <w:pStyle w:val="ListParagraph"/>
        <w:numPr>
          <w:ilvl w:val="0"/>
          <w:numId w:val="5"/>
        </w:numPr>
        <w:spacing w:after="120"/>
        <w:jc w:val="both"/>
        <w:rPr>
          <w:rFonts w:eastAsia="Times New Roman" w:cs="Times New Roman"/>
          <w:noProof/>
          <w:szCs w:val="24"/>
          <w:lang w:val="en-GB"/>
        </w:rPr>
      </w:pPr>
      <w:r w:rsidRPr="006E5B8B">
        <w:rPr>
          <w:rFonts w:eastAsia="Times New Roman" w:cs="Times New Roman"/>
          <w:noProof/>
          <w:lang w:val="en-GB"/>
        </w:rPr>
        <w:t xml:space="preserve">Then, we filter in those </w:t>
      </w:r>
      <w:r w:rsidRPr="006E5B8B">
        <w:rPr>
          <w:rFonts w:eastAsia="Times New Roman" w:cs="Times New Roman"/>
          <w:b/>
          <w:noProof/>
          <w:lang w:val="en-GB"/>
        </w:rPr>
        <w:t>farms that are actually impacted</w:t>
      </w:r>
      <w:r w:rsidRPr="006E5B8B">
        <w:rPr>
          <w:rFonts w:eastAsia="Times New Roman" w:cs="Times New Roman"/>
          <w:noProof/>
          <w:lang w:val="en-GB"/>
        </w:rPr>
        <w:t xml:space="preserve"> by the change in policy. Farms displaying characteristics </w:t>
      </w:r>
      <w:r w:rsidR="00CB0592" w:rsidRPr="006E5B8B">
        <w:rPr>
          <w:rFonts w:eastAsia="Times New Roman" w:cs="Times New Roman"/>
          <w:noProof/>
          <w:lang w:val="en-GB"/>
        </w:rPr>
        <w:t xml:space="preserve">that </w:t>
      </w:r>
      <w:r w:rsidRPr="006E5B8B">
        <w:rPr>
          <w:rFonts w:eastAsia="Times New Roman" w:cs="Times New Roman"/>
          <w:noProof/>
          <w:lang w:val="en-GB"/>
        </w:rPr>
        <w:t xml:space="preserve">exempt them from </w:t>
      </w:r>
      <w:r w:rsidR="00CB0592" w:rsidRPr="006E5B8B">
        <w:rPr>
          <w:rFonts w:eastAsia="Times New Roman" w:cs="Times New Roman"/>
          <w:noProof/>
          <w:lang w:val="en-GB"/>
        </w:rPr>
        <w:t xml:space="preserve">the </w:t>
      </w:r>
      <w:r w:rsidRPr="006E5B8B">
        <w:rPr>
          <w:rFonts w:eastAsia="Times New Roman" w:cs="Times New Roman"/>
          <w:noProof/>
          <w:lang w:val="en-GB"/>
        </w:rPr>
        <w:t>GAEC 8 first requirement</w:t>
      </w:r>
      <w:r w:rsidRPr="006E5B8B">
        <w:rPr>
          <w:rStyle w:val="FootnoteReference"/>
          <w:rFonts w:eastAsia="Times New Roman" w:cs="Times New Roman"/>
          <w:noProof/>
          <w:lang w:val="en-GB"/>
        </w:rPr>
        <w:footnoteReference w:id="77"/>
      </w:r>
      <w:r w:rsidRPr="006E5B8B">
        <w:rPr>
          <w:rFonts w:eastAsia="Times New Roman" w:cs="Times New Roman"/>
          <w:noProof/>
          <w:lang w:val="en-GB"/>
        </w:rPr>
        <w:t xml:space="preserve"> are excluded as there is no potential impact on income for them. Overall, about 56% of farms are exempted from </w:t>
      </w:r>
      <w:r w:rsidR="00CB0592" w:rsidRPr="006E5B8B">
        <w:rPr>
          <w:rFonts w:eastAsia="Times New Roman" w:cs="Times New Roman"/>
          <w:noProof/>
          <w:lang w:val="en-GB"/>
        </w:rPr>
        <w:t xml:space="preserve">the </w:t>
      </w:r>
      <w:r w:rsidRPr="006E5B8B">
        <w:rPr>
          <w:rFonts w:eastAsia="Times New Roman" w:cs="Times New Roman"/>
          <w:noProof/>
          <w:lang w:val="en-GB"/>
        </w:rPr>
        <w:t xml:space="preserve">GAEC 8 first requirement. </w:t>
      </w:r>
    </w:p>
    <w:p w14:paraId="3B2D2405" w14:textId="399FEC8F" w:rsidR="00A61BC0" w:rsidRPr="00724676" w:rsidRDefault="75CDF23B" w:rsidP="00F15432">
      <w:pPr>
        <w:spacing w:after="120"/>
        <w:jc w:val="both"/>
        <w:rPr>
          <w:rFonts w:eastAsia="Times New Roman" w:cs="Times New Roman"/>
          <w:noProof/>
          <w:lang w:val="en-GB"/>
        </w:rPr>
      </w:pPr>
      <w:r w:rsidRPr="006E5B8B">
        <w:rPr>
          <w:rFonts w:eastAsia="Times New Roman" w:cs="Times New Roman"/>
          <w:noProof/>
          <w:lang w:val="en-GB"/>
        </w:rPr>
        <w:t xml:space="preserve">For </w:t>
      </w:r>
      <w:r w:rsidR="00A61BC0" w:rsidRPr="006E5B8B">
        <w:rPr>
          <w:rFonts w:eastAsia="Times New Roman" w:cs="Times New Roman"/>
          <w:noProof/>
          <w:lang w:val="en-GB"/>
        </w:rPr>
        <w:t>the non-exempted farms (44%): when the sum of the fallow land and any landscape elements is equal or greater than 4% (or 3%</w:t>
      </w:r>
      <w:r w:rsidR="00A61BC0" w:rsidRPr="3DAFB8A8">
        <w:rPr>
          <w:rFonts w:eastAsia="Times New Roman" w:cs="Times New Roman"/>
          <w:noProof/>
          <w:lang w:val="en-GB"/>
        </w:rPr>
        <w:t xml:space="preserve"> in case of the 15 Member States) of the arable land, a zero impact on income </w:t>
      </w:r>
      <w:r w:rsidR="00A61BC0" w:rsidRPr="006E5B8B">
        <w:rPr>
          <w:rFonts w:eastAsia="Times New Roman" w:cs="Times New Roman"/>
          <w:noProof/>
          <w:lang w:val="en-GB"/>
        </w:rPr>
        <w:t xml:space="preserve">from removing </w:t>
      </w:r>
      <w:r w:rsidRPr="006E5B8B">
        <w:rPr>
          <w:rFonts w:eastAsia="Times New Roman" w:cs="Times New Roman"/>
          <w:noProof/>
          <w:lang w:val="en-GB"/>
        </w:rPr>
        <w:t xml:space="preserve">the </w:t>
      </w:r>
      <w:r w:rsidR="00A61BC0" w:rsidRPr="006E5B8B">
        <w:rPr>
          <w:rFonts w:eastAsia="Times New Roman" w:cs="Times New Roman"/>
          <w:noProof/>
          <w:lang w:val="en-GB"/>
        </w:rPr>
        <w:t>GAEC 8 first requi</w:t>
      </w:r>
      <w:r w:rsidR="1959E4DD" w:rsidRPr="006E5B8B">
        <w:rPr>
          <w:rFonts w:eastAsia="Times New Roman" w:cs="Times New Roman"/>
          <w:noProof/>
          <w:lang w:val="en-GB"/>
        </w:rPr>
        <w:t>r</w:t>
      </w:r>
      <w:r w:rsidR="00A61BC0" w:rsidRPr="006E5B8B">
        <w:rPr>
          <w:rFonts w:eastAsia="Times New Roman" w:cs="Times New Roman"/>
          <w:noProof/>
          <w:lang w:val="en-GB"/>
        </w:rPr>
        <w:t>ement is assumed. This is because these farms already comply with the GAEC 8 requirements without having to change their agronomic practices. As a result</w:t>
      </w:r>
      <w:r w:rsidRPr="006E5B8B">
        <w:rPr>
          <w:rFonts w:eastAsia="Times New Roman" w:cs="Times New Roman"/>
          <w:noProof/>
          <w:lang w:val="en-GB"/>
        </w:rPr>
        <w:t xml:space="preserve"> of</w:t>
      </w:r>
      <w:r w:rsidR="00A61BC0" w:rsidRPr="006E5B8B">
        <w:rPr>
          <w:rFonts w:eastAsia="Times New Roman" w:cs="Times New Roman"/>
          <w:noProof/>
          <w:lang w:val="en-GB"/>
        </w:rPr>
        <w:t xml:space="preserve"> these refinements, we estimated that the removal of the GAEC</w:t>
      </w:r>
      <w:r w:rsidR="00A61BC0" w:rsidRPr="006E5B8B">
        <w:rPr>
          <w:noProof/>
          <w:lang w:val="en-GB"/>
        </w:rPr>
        <w:t> </w:t>
      </w:r>
      <w:r w:rsidR="00A61BC0" w:rsidRPr="006E5B8B">
        <w:rPr>
          <w:rFonts w:eastAsia="Times New Roman" w:cs="Times New Roman"/>
          <w:noProof/>
          <w:lang w:val="en-GB"/>
        </w:rPr>
        <w:t xml:space="preserve">8 first requirement impacts roughly 1.1 million farms, covering approximately 76 million hectares of arable land in total. Overall, the removal of </w:t>
      </w:r>
      <w:r w:rsidRPr="006E5B8B">
        <w:rPr>
          <w:rFonts w:eastAsia="Times New Roman" w:cs="Times New Roman"/>
          <w:noProof/>
          <w:lang w:val="en-GB"/>
        </w:rPr>
        <w:t xml:space="preserve">the </w:t>
      </w:r>
      <w:r w:rsidR="00A61BC0" w:rsidRPr="006E5B8B">
        <w:rPr>
          <w:rFonts w:eastAsia="Times New Roman" w:cs="Times New Roman"/>
          <w:noProof/>
          <w:lang w:val="en-GB"/>
        </w:rPr>
        <w:t>GAEC 8</w:t>
      </w:r>
      <w:r w:rsidR="1959E4DD" w:rsidRPr="006E5B8B">
        <w:rPr>
          <w:rFonts w:eastAsia="Times New Roman" w:cs="Times New Roman"/>
          <w:noProof/>
          <w:lang w:val="en-GB"/>
        </w:rPr>
        <w:t xml:space="preserve"> first requirement </w:t>
      </w:r>
      <w:r w:rsidR="00A61BC0" w:rsidRPr="006E5B8B">
        <w:rPr>
          <w:rFonts w:eastAsia="Times New Roman" w:cs="Times New Roman"/>
          <w:noProof/>
          <w:lang w:val="en-GB"/>
        </w:rPr>
        <w:t xml:space="preserve"> </w:t>
      </w:r>
      <w:r w:rsidRPr="006E5B8B">
        <w:rPr>
          <w:rFonts w:eastAsia="Times New Roman" w:cs="Times New Roman"/>
          <w:noProof/>
          <w:lang w:val="en-GB"/>
        </w:rPr>
        <w:t>‘</w:t>
      </w:r>
      <w:r w:rsidR="00A61BC0" w:rsidRPr="006E5B8B">
        <w:rPr>
          <w:rFonts w:eastAsia="Times New Roman" w:cs="Times New Roman"/>
          <w:noProof/>
          <w:lang w:val="en-GB"/>
        </w:rPr>
        <w:t>frees</w:t>
      </w:r>
      <w:r w:rsidRPr="006E5B8B">
        <w:rPr>
          <w:rFonts w:eastAsia="Times New Roman" w:cs="Times New Roman"/>
          <w:noProof/>
          <w:lang w:val="en-GB"/>
        </w:rPr>
        <w:t>’</w:t>
      </w:r>
      <w:r w:rsidR="00A61BC0" w:rsidRPr="006E5B8B">
        <w:rPr>
          <w:rFonts w:eastAsia="Times New Roman" w:cs="Times New Roman"/>
          <w:noProof/>
          <w:lang w:val="en-GB"/>
        </w:rPr>
        <w:t xml:space="preserve"> an</w:t>
      </w:r>
      <w:r w:rsidR="1959E4DD" w:rsidRPr="006E5B8B">
        <w:rPr>
          <w:rFonts w:eastAsia="Times New Roman" w:cs="Times New Roman"/>
          <w:noProof/>
          <w:lang w:val="en-GB"/>
        </w:rPr>
        <w:t xml:space="preserve"> </w:t>
      </w:r>
      <w:r w:rsidR="00A61BC0" w:rsidRPr="006E5B8B">
        <w:rPr>
          <w:rFonts w:eastAsia="Times New Roman" w:cs="Times New Roman"/>
          <w:noProof/>
          <w:lang w:val="en-GB"/>
        </w:rPr>
        <w:t>area of approximately 2.1 million hectares that in the absence of the policy adjustment, would be required to stay non-productive.</w:t>
      </w:r>
    </w:p>
    <w:p w14:paraId="4DCB9754" w14:textId="6FCCC4BC" w:rsidR="00A61BC0" w:rsidRPr="00724676" w:rsidRDefault="00A61BC0" w:rsidP="00A61BC0">
      <w:pPr>
        <w:spacing w:after="120"/>
        <w:jc w:val="both"/>
        <w:rPr>
          <w:rFonts w:eastAsia="Times New Roman" w:cs="Times New Roman"/>
          <w:noProof/>
          <w:szCs w:val="24"/>
          <w:lang w:val="en-GB"/>
        </w:rPr>
      </w:pPr>
      <w:r w:rsidRPr="00724676">
        <w:rPr>
          <w:rFonts w:eastAsia="Times New Roman" w:cs="Times New Roman"/>
          <w:noProof/>
          <w:szCs w:val="24"/>
          <w:lang w:val="en-GB"/>
        </w:rPr>
        <w:t>Implementing steps 1</w:t>
      </w:r>
      <w:r w:rsidR="00CB0592">
        <w:rPr>
          <w:rFonts w:eastAsia="Times New Roman" w:cs="Times New Roman"/>
          <w:noProof/>
          <w:szCs w:val="24"/>
          <w:lang w:val="en-GB"/>
        </w:rPr>
        <w:t xml:space="preserve"> to </w:t>
      </w:r>
      <w:r w:rsidRPr="00724676">
        <w:rPr>
          <w:rFonts w:eastAsia="Times New Roman" w:cs="Times New Roman"/>
          <w:noProof/>
          <w:szCs w:val="24"/>
          <w:lang w:val="en-GB"/>
        </w:rPr>
        <w:t>3 for the EU</w:t>
      </w:r>
      <w:r w:rsidR="00CB0592">
        <w:rPr>
          <w:rFonts w:eastAsia="Times New Roman" w:cs="Times New Roman"/>
          <w:noProof/>
          <w:szCs w:val="24"/>
          <w:lang w:val="en-GB"/>
        </w:rPr>
        <w:t>-</w:t>
      </w:r>
      <w:r w:rsidRPr="00724676">
        <w:rPr>
          <w:rFonts w:eastAsia="Times New Roman" w:cs="Times New Roman"/>
          <w:noProof/>
          <w:szCs w:val="24"/>
          <w:lang w:val="en-GB"/>
        </w:rPr>
        <w:t>level aggregate leads to</w:t>
      </w:r>
      <w:r w:rsidR="00CB0592">
        <w:rPr>
          <w:rFonts w:eastAsia="Times New Roman" w:cs="Times New Roman"/>
          <w:noProof/>
          <w:szCs w:val="24"/>
          <w:lang w:val="en-GB"/>
        </w:rPr>
        <w:t xml:space="preserve"> an</w:t>
      </w:r>
      <w:r w:rsidRPr="00724676">
        <w:rPr>
          <w:rFonts w:eastAsia="Times New Roman" w:cs="Times New Roman"/>
          <w:noProof/>
          <w:szCs w:val="24"/>
          <w:lang w:val="en-GB"/>
        </w:rPr>
        <w:t xml:space="preserve"> </w:t>
      </w:r>
      <w:r w:rsidRPr="00724676">
        <w:rPr>
          <w:rFonts w:eastAsia="Times New Roman" w:cs="Times New Roman"/>
          <w:b/>
          <w:noProof/>
          <w:szCs w:val="24"/>
          <w:lang w:val="en-GB"/>
        </w:rPr>
        <w:t xml:space="preserve">estimated </w:t>
      </w:r>
      <w:r w:rsidRPr="002874FC">
        <w:rPr>
          <w:rFonts w:eastAsia="Times New Roman" w:cs="Times New Roman"/>
          <w:bCs/>
          <w:noProof/>
          <w:szCs w:val="24"/>
          <w:lang w:val="en-GB"/>
        </w:rPr>
        <w:t>annual change</w:t>
      </w:r>
      <w:r w:rsidRPr="00724676">
        <w:rPr>
          <w:rFonts w:eastAsia="Times New Roman" w:cs="Times New Roman"/>
          <w:noProof/>
          <w:szCs w:val="24"/>
          <w:lang w:val="en-GB"/>
        </w:rPr>
        <w:t xml:space="preserve"> </w:t>
      </w:r>
      <w:r w:rsidR="00B84883" w:rsidRPr="00724676">
        <w:rPr>
          <w:rFonts w:eastAsia="Times New Roman" w:cs="Times New Roman"/>
          <w:b/>
          <w:noProof/>
          <w:szCs w:val="24"/>
          <w:lang w:val="en-GB"/>
        </w:rPr>
        <w:t xml:space="preserve">of </w:t>
      </w:r>
      <w:r w:rsidR="00F52134">
        <w:rPr>
          <w:rFonts w:eastAsia="Times New Roman" w:cs="Times New Roman"/>
          <w:b/>
          <w:noProof/>
          <w:szCs w:val="24"/>
          <w:lang w:val="en-GB"/>
        </w:rPr>
        <w:t xml:space="preserve">about </w:t>
      </w:r>
      <w:r w:rsidR="00B84883" w:rsidRPr="00724676">
        <w:rPr>
          <w:rFonts w:eastAsia="Times New Roman" w:cs="Times New Roman"/>
          <w:b/>
          <w:noProof/>
          <w:szCs w:val="24"/>
          <w:lang w:val="en-GB"/>
        </w:rPr>
        <w:t>EUR 930 million</w:t>
      </w:r>
      <w:r w:rsidR="00B84883" w:rsidRPr="00724676" w:rsidDel="00CB0592">
        <w:rPr>
          <w:rFonts w:eastAsia="Times New Roman" w:cs="Times New Roman"/>
          <w:noProof/>
          <w:szCs w:val="24"/>
          <w:lang w:val="en-GB"/>
        </w:rPr>
        <w:t xml:space="preserve"> </w:t>
      </w:r>
      <w:r w:rsidR="00CB0592">
        <w:rPr>
          <w:rFonts w:eastAsia="Times New Roman" w:cs="Times New Roman"/>
          <w:noProof/>
          <w:szCs w:val="24"/>
          <w:lang w:val="en-GB"/>
        </w:rPr>
        <w:t>in the</w:t>
      </w:r>
      <w:r w:rsidR="00CB0592" w:rsidRPr="00724676">
        <w:rPr>
          <w:rFonts w:eastAsia="Times New Roman" w:cs="Times New Roman"/>
          <w:noProof/>
          <w:szCs w:val="24"/>
          <w:lang w:val="en-GB"/>
        </w:rPr>
        <w:t xml:space="preserve"> </w:t>
      </w:r>
      <w:r w:rsidRPr="00724676">
        <w:rPr>
          <w:rFonts w:eastAsia="Times New Roman" w:cs="Times New Roman"/>
          <w:noProof/>
          <w:szCs w:val="24"/>
          <w:lang w:val="en-GB"/>
        </w:rPr>
        <w:t>gross margin of arable crops (the economic impact)</w:t>
      </w:r>
      <w:r w:rsidRPr="00C464D8">
        <w:rPr>
          <w:rFonts w:eastAsia="Times New Roman" w:cs="Times New Roman"/>
          <w:bCs/>
          <w:noProof/>
          <w:szCs w:val="24"/>
          <w:lang w:val="en-GB"/>
        </w:rPr>
        <w:t>.</w:t>
      </w:r>
      <w:r w:rsidRPr="00724676">
        <w:rPr>
          <w:rFonts w:eastAsia="Times New Roman" w:cs="Times New Roman"/>
          <w:noProof/>
          <w:szCs w:val="24"/>
          <w:lang w:val="en-GB"/>
        </w:rPr>
        <w:t xml:space="preserve"> This corresponds to a 1.5% increase </w:t>
      </w:r>
      <w:r w:rsidR="00B84883">
        <w:rPr>
          <w:rFonts w:eastAsia="Times New Roman" w:cs="Times New Roman"/>
          <w:noProof/>
          <w:szCs w:val="24"/>
          <w:lang w:val="en-GB"/>
        </w:rPr>
        <w:t>in</w:t>
      </w:r>
      <w:r w:rsidR="00B84883" w:rsidRPr="00724676">
        <w:rPr>
          <w:rFonts w:eastAsia="Times New Roman" w:cs="Times New Roman"/>
          <w:noProof/>
          <w:szCs w:val="24"/>
          <w:lang w:val="en-GB"/>
        </w:rPr>
        <w:t xml:space="preserve"> </w:t>
      </w:r>
      <w:r w:rsidRPr="00724676">
        <w:rPr>
          <w:rFonts w:eastAsia="Times New Roman" w:cs="Times New Roman"/>
          <w:noProof/>
          <w:szCs w:val="24"/>
          <w:lang w:val="en-GB"/>
        </w:rPr>
        <w:t>gross margin for the impacted farms.</w:t>
      </w:r>
    </w:p>
    <w:p w14:paraId="16793E3F" w14:textId="0F0C8813" w:rsidR="00A61BC0" w:rsidRPr="00724676" w:rsidRDefault="00A61BC0" w:rsidP="00A61BC0">
      <w:pPr>
        <w:spacing w:after="120"/>
        <w:jc w:val="both"/>
        <w:rPr>
          <w:rFonts w:cs="Times New Roman"/>
          <w:noProof/>
          <w:szCs w:val="24"/>
          <w:lang w:val="en-GB"/>
        </w:rPr>
      </w:pPr>
      <w:r w:rsidRPr="00724676">
        <w:rPr>
          <w:rFonts w:cs="Times New Roman"/>
          <w:noProof/>
          <w:szCs w:val="24"/>
          <w:lang w:val="en-GB"/>
        </w:rPr>
        <w:t xml:space="preserve">The same modelling framework was used to estimate the </w:t>
      </w:r>
      <w:r w:rsidRPr="00724676">
        <w:rPr>
          <w:rFonts w:cs="Times New Roman"/>
          <w:b/>
          <w:noProof/>
          <w:szCs w:val="24"/>
          <w:lang w:val="en-GB"/>
        </w:rPr>
        <w:t>environmental impact</w:t>
      </w:r>
      <w:r w:rsidRPr="00724676">
        <w:rPr>
          <w:rFonts w:cs="Times New Roman"/>
          <w:noProof/>
          <w:szCs w:val="24"/>
          <w:lang w:val="en-GB"/>
        </w:rPr>
        <w:t xml:space="preserve"> of the removal of the GAEC 8 first requirement.</w:t>
      </w:r>
    </w:p>
    <w:p w14:paraId="4455AA5D" w14:textId="230840FE" w:rsidR="00A61BC0" w:rsidRPr="00724676" w:rsidRDefault="00A61BC0" w:rsidP="00A61BC0">
      <w:pPr>
        <w:pStyle w:val="ListParagraph"/>
        <w:numPr>
          <w:ilvl w:val="0"/>
          <w:numId w:val="12"/>
        </w:numPr>
        <w:spacing w:after="120"/>
        <w:ind w:left="714" w:hanging="357"/>
        <w:contextualSpacing w:val="0"/>
        <w:jc w:val="both"/>
        <w:rPr>
          <w:rFonts w:cs="Times New Roman"/>
          <w:noProof/>
          <w:szCs w:val="24"/>
          <w:lang w:val="en-GB"/>
        </w:rPr>
      </w:pPr>
      <w:r w:rsidRPr="00724676">
        <w:rPr>
          <w:rFonts w:cs="Times New Roman"/>
          <w:noProof/>
          <w:szCs w:val="24"/>
          <w:lang w:val="en-GB"/>
        </w:rPr>
        <w:t xml:space="preserve">In the estimation, </w:t>
      </w:r>
      <w:r w:rsidR="00A110A2">
        <w:rPr>
          <w:rFonts w:cs="Times New Roman"/>
          <w:b/>
          <w:bCs/>
          <w:noProof/>
          <w:szCs w:val="24"/>
          <w:lang w:val="en-GB"/>
        </w:rPr>
        <w:t>greenhouse gas</w:t>
      </w:r>
      <w:r w:rsidR="00A110A2" w:rsidRPr="00724676">
        <w:rPr>
          <w:rFonts w:cs="Times New Roman"/>
          <w:b/>
          <w:bCs/>
          <w:noProof/>
          <w:szCs w:val="24"/>
          <w:lang w:val="en-GB"/>
        </w:rPr>
        <w:t xml:space="preserve"> </w:t>
      </w:r>
      <w:r w:rsidRPr="00724676">
        <w:rPr>
          <w:rFonts w:cs="Times New Roman"/>
          <w:b/>
          <w:bCs/>
          <w:noProof/>
          <w:szCs w:val="24"/>
          <w:lang w:val="en-GB"/>
        </w:rPr>
        <w:t>emissions</w:t>
      </w:r>
      <w:r w:rsidRPr="00724676">
        <w:rPr>
          <w:rFonts w:cs="Times New Roman"/>
          <w:noProof/>
          <w:szCs w:val="24"/>
          <w:lang w:val="en-GB"/>
        </w:rPr>
        <w:t xml:space="preserve"> are indirectly approximated by changes (increases) in fertiliser use due to the crops cultivated in the GAEC 8 fallow land</w:t>
      </w:r>
      <w:r w:rsidR="00B84883">
        <w:rPr>
          <w:rFonts w:cs="Times New Roman"/>
          <w:noProof/>
          <w:szCs w:val="24"/>
          <w:lang w:val="en-GB"/>
        </w:rPr>
        <w:t xml:space="preserve"> being</w:t>
      </w:r>
      <w:r w:rsidRPr="00724676">
        <w:rPr>
          <w:rFonts w:cs="Times New Roman"/>
          <w:noProof/>
          <w:szCs w:val="24"/>
          <w:lang w:val="en-GB"/>
        </w:rPr>
        <w:t xml:space="preserve"> ‘freed up’, as estimated above.</w:t>
      </w:r>
    </w:p>
    <w:p w14:paraId="25758375" w14:textId="35B4FBCF" w:rsidR="00A61BC0" w:rsidRPr="00724676" w:rsidRDefault="00A61BC0" w:rsidP="00A61BC0">
      <w:pPr>
        <w:pStyle w:val="ListParagraph"/>
        <w:numPr>
          <w:ilvl w:val="0"/>
          <w:numId w:val="12"/>
        </w:numPr>
        <w:spacing w:after="120"/>
        <w:ind w:left="714" w:hanging="357"/>
        <w:contextualSpacing w:val="0"/>
        <w:jc w:val="both"/>
        <w:rPr>
          <w:rFonts w:cs="Times New Roman"/>
          <w:noProof/>
          <w:szCs w:val="24"/>
          <w:lang w:val="en-GB"/>
        </w:rPr>
      </w:pPr>
      <w:r w:rsidRPr="00724676">
        <w:rPr>
          <w:rFonts w:cs="Times New Roman"/>
          <w:noProof/>
          <w:szCs w:val="24"/>
          <w:lang w:val="en-GB"/>
        </w:rPr>
        <w:lastRenderedPageBreak/>
        <w:t xml:space="preserve">To estimate </w:t>
      </w:r>
      <w:r w:rsidR="00B84883">
        <w:rPr>
          <w:rFonts w:cs="Times New Roman"/>
          <w:noProof/>
          <w:szCs w:val="24"/>
          <w:lang w:val="en-GB"/>
        </w:rPr>
        <w:t xml:space="preserve">the </w:t>
      </w:r>
      <w:r w:rsidRPr="00724676">
        <w:rPr>
          <w:rFonts w:cs="Times New Roman"/>
          <w:noProof/>
          <w:szCs w:val="24"/>
          <w:lang w:val="en-GB"/>
        </w:rPr>
        <w:t xml:space="preserve">potential changes in </w:t>
      </w:r>
      <w:r w:rsidRPr="00724676">
        <w:rPr>
          <w:rFonts w:cs="Times New Roman"/>
          <w:b/>
          <w:bCs/>
          <w:noProof/>
          <w:szCs w:val="24"/>
          <w:lang w:val="en-GB"/>
        </w:rPr>
        <w:t>fertiliser use</w:t>
      </w:r>
      <w:r w:rsidRPr="00724676">
        <w:rPr>
          <w:rFonts w:cs="Times New Roman"/>
          <w:noProof/>
          <w:szCs w:val="24"/>
          <w:lang w:val="en-GB"/>
        </w:rPr>
        <w:t xml:space="preserve">, the quantity of </w:t>
      </w:r>
      <w:r w:rsidR="00B84883">
        <w:rPr>
          <w:rFonts w:cs="Times New Roman"/>
          <w:noProof/>
          <w:szCs w:val="24"/>
          <w:lang w:val="en-GB"/>
        </w:rPr>
        <w:t>n</w:t>
      </w:r>
      <w:r w:rsidRPr="00724676">
        <w:rPr>
          <w:rFonts w:cs="Times New Roman"/>
          <w:noProof/>
          <w:szCs w:val="24"/>
          <w:lang w:val="en-GB"/>
        </w:rPr>
        <w:t xml:space="preserve">itrogen in mineral fertilisers used, </w:t>
      </w:r>
      <w:r w:rsidR="00B84883">
        <w:rPr>
          <w:rFonts w:cs="Times New Roman"/>
          <w:noProof/>
          <w:szCs w:val="24"/>
          <w:lang w:val="en-GB"/>
        </w:rPr>
        <w:t xml:space="preserve">as </w:t>
      </w:r>
      <w:r w:rsidRPr="00724676">
        <w:rPr>
          <w:rFonts w:cs="Times New Roman"/>
          <w:noProof/>
          <w:szCs w:val="24"/>
          <w:lang w:val="en-GB"/>
        </w:rPr>
        <w:t xml:space="preserve">recorded in FADN, is utilised. Applying the input allocation method of IFM-CAP, the quantity of </w:t>
      </w:r>
      <w:r w:rsidR="00B84883">
        <w:rPr>
          <w:rFonts w:cs="Times New Roman"/>
          <w:noProof/>
          <w:szCs w:val="24"/>
          <w:lang w:val="en-GB"/>
        </w:rPr>
        <w:t>n</w:t>
      </w:r>
      <w:r w:rsidRPr="00724676">
        <w:rPr>
          <w:rFonts w:cs="Times New Roman"/>
          <w:noProof/>
          <w:szCs w:val="24"/>
          <w:lang w:val="en-GB"/>
        </w:rPr>
        <w:t>itrogen in fertili</w:t>
      </w:r>
      <w:r w:rsidR="00791722">
        <w:rPr>
          <w:rFonts w:cs="Times New Roman"/>
          <w:noProof/>
          <w:szCs w:val="24"/>
          <w:lang w:val="en-GB"/>
        </w:rPr>
        <w:t>s</w:t>
      </w:r>
      <w:r w:rsidRPr="00724676">
        <w:rPr>
          <w:rFonts w:cs="Times New Roman"/>
          <w:noProof/>
          <w:szCs w:val="24"/>
          <w:lang w:val="en-GB"/>
        </w:rPr>
        <w:t xml:space="preserve">er </w:t>
      </w:r>
      <w:r w:rsidR="00B84883">
        <w:rPr>
          <w:rFonts w:cs="Times New Roman"/>
          <w:noProof/>
          <w:szCs w:val="24"/>
          <w:lang w:val="en-GB"/>
        </w:rPr>
        <w:t>on</w:t>
      </w:r>
      <w:r w:rsidR="00B84883" w:rsidRPr="00724676">
        <w:rPr>
          <w:rFonts w:cs="Times New Roman"/>
          <w:noProof/>
          <w:szCs w:val="24"/>
          <w:lang w:val="en-GB"/>
        </w:rPr>
        <w:t xml:space="preserve"> </w:t>
      </w:r>
      <w:r w:rsidRPr="00724676">
        <w:rPr>
          <w:rFonts w:cs="Times New Roman"/>
          <w:noProof/>
          <w:szCs w:val="24"/>
          <w:lang w:val="en-GB"/>
        </w:rPr>
        <w:t>each crop at farm level is derived.</w:t>
      </w:r>
    </w:p>
    <w:p w14:paraId="2840F8E5" w14:textId="7B2CFD67" w:rsidR="00A61BC0" w:rsidRPr="00724676" w:rsidRDefault="00A61BC0" w:rsidP="00A61BC0">
      <w:pPr>
        <w:pStyle w:val="ListParagraph"/>
        <w:numPr>
          <w:ilvl w:val="0"/>
          <w:numId w:val="12"/>
        </w:numPr>
        <w:spacing w:after="120"/>
        <w:jc w:val="both"/>
        <w:rPr>
          <w:rFonts w:cs="Times New Roman"/>
          <w:noProof/>
          <w:szCs w:val="24"/>
          <w:lang w:val="en-GB"/>
        </w:rPr>
      </w:pPr>
      <w:r w:rsidRPr="5B7F1876">
        <w:rPr>
          <w:rFonts w:cs="Times New Roman"/>
          <w:noProof/>
          <w:lang w:val="en-GB"/>
        </w:rPr>
        <w:t xml:space="preserve">Once the increase in fertiliser use is estimated, the related change in </w:t>
      </w:r>
      <w:r w:rsidR="00A110A2" w:rsidRPr="55BF963C">
        <w:rPr>
          <w:rFonts w:cs="Times New Roman"/>
          <w:noProof/>
          <w:lang w:val="en-GB"/>
        </w:rPr>
        <w:t xml:space="preserve">greenhouse gas </w:t>
      </w:r>
      <w:r w:rsidRPr="5B7F1876">
        <w:rPr>
          <w:rFonts w:cs="Times New Roman"/>
          <w:noProof/>
          <w:lang w:val="en-GB"/>
        </w:rPr>
        <w:t>emissions at the farm due to the application of extra fertiliser in GAEC</w:t>
      </w:r>
      <w:r w:rsidR="00B84883" w:rsidRPr="55BF963C">
        <w:rPr>
          <w:rFonts w:cs="Times New Roman"/>
          <w:noProof/>
          <w:lang w:val="en-GB"/>
        </w:rPr>
        <w:t xml:space="preserve"> </w:t>
      </w:r>
      <w:r w:rsidRPr="5B7F1876">
        <w:rPr>
          <w:rFonts w:cs="Times New Roman"/>
          <w:noProof/>
          <w:lang w:val="en-GB"/>
        </w:rPr>
        <w:t>8 fallow land is calculated, using the default emission factor suggested by the United Nations´ Intergovernmental Panel on Climate Change (2019)</w:t>
      </w:r>
      <w:r w:rsidRPr="5B7F1876">
        <w:rPr>
          <w:rStyle w:val="FootnoteReference"/>
          <w:rFonts w:cs="Times New Roman"/>
          <w:noProof/>
          <w:lang w:val="en-GB"/>
        </w:rPr>
        <w:footnoteReference w:id="78"/>
      </w:r>
      <w:r w:rsidRPr="5B7F1876">
        <w:rPr>
          <w:rFonts w:cs="Times New Roman"/>
          <w:noProof/>
          <w:lang w:val="en-GB"/>
        </w:rPr>
        <w:t>.</w:t>
      </w:r>
    </w:p>
    <w:p w14:paraId="5F99376A" w14:textId="08024405" w:rsidR="00A61BC0" w:rsidRPr="00724676" w:rsidRDefault="00A61BC0" w:rsidP="00A61BC0">
      <w:pPr>
        <w:spacing w:after="120"/>
        <w:jc w:val="both"/>
        <w:rPr>
          <w:noProof/>
          <w:lang w:val="en-GB"/>
        </w:rPr>
      </w:pPr>
      <w:r w:rsidRPr="00724676">
        <w:rPr>
          <w:rFonts w:cs="Times New Roman"/>
          <w:noProof/>
          <w:szCs w:val="24"/>
          <w:lang w:val="en-GB"/>
        </w:rPr>
        <w:t>Other environmental impacts, notably on biodiversity, could not be quantitatively assessed using the IFM-CAP</w:t>
      </w:r>
      <w:r w:rsidR="00B84883" w:rsidRPr="00B84883">
        <w:rPr>
          <w:rFonts w:cs="Times New Roman"/>
          <w:noProof/>
          <w:szCs w:val="24"/>
          <w:lang w:val="en-GB"/>
        </w:rPr>
        <w:t xml:space="preserve"> </w:t>
      </w:r>
      <w:r w:rsidR="00B84883" w:rsidRPr="00724676">
        <w:rPr>
          <w:rFonts w:cs="Times New Roman"/>
          <w:noProof/>
          <w:szCs w:val="24"/>
          <w:lang w:val="en-GB"/>
        </w:rPr>
        <w:t>at the time of writing</w:t>
      </w:r>
      <w:r w:rsidRPr="00724676">
        <w:rPr>
          <w:rFonts w:cs="Times New Roman"/>
          <w:noProof/>
          <w:szCs w:val="24"/>
          <w:lang w:val="en-GB"/>
        </w:rPr>
        <w:t>.</w:t>
      </w:r>
    </w:p>
    <w:p w14:paraId="121A4E71" w14:textId="3C6F9C0E" w:rsidR="36CBD7FA" w:rsidRPr="00724676" w:rsidRDefault="36CBD7FA" w:rsidP="00361AC3">
      <w:pPr>
        <w:spacing w:after="120"/>
        <w:rPr>
          <w:rFonts w:eastAsia="Times New Roman"/>
          <w:noProof/>
          <w:szCs w:val="24"/>
          <w:lang w:val="en-GB" w:eastAsia="en-IE"/>
        </w:rPr>
      </w:pPr>
    </w:p>
    <w:sectPr w:rsidR="36CBD7FA" w:rsidRPr="00724676" w:rsidSect="00ED5720">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28A5E" w14:textId="77777777" w:rsidR="00714A29" w:rsidRDefault="00714A29" w:rsidP="00ED5720">
      <w:pPr>
        <w:spacing w:after="0" w:line="240" w:lineRule="auto"/>
      </w:pPr>
      <w:r>
        <w:separator/>
      </w:r>
    </w:p>
  </w:endnote>
  <w:endnote w:type="continuationSeparator" w:id="0">
    <w:p w14:paraId="6A591952" w14:textId="77777777" w:rsidR="00714A29" w:rsidRDefault="00714A29" w:rsidP="00ED5720">
      <w:pPr>
        <w:spacing w:after="0" w:line="240" w:lineRule="auto"/>
      </w:pPr>
      <w:r>
        <w:continuationSeparator/>
      </w:r>
    </w:p>
  </w:endnote>
  <w:endnote w:type="continuationNotice" w:id="1">
    <w:p w14:paraId="1EAE3578" w14:textId="77777777" w:rsidR="00714A29" w:rsidRDefault="00714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44BE" w14:textId="712936DB" w:rsidR="00BE3ED1" w:rsidRPr="00BE3ED1" w:rsidRDefault="00BE3ED1" w:rsidP="00BE3ED1">
    <w:pPr>
      <w:pStyle w:val="FooterCoverPage"/>
      <w:rPr>
        <w:rFonts w:ascii="Arial" w:hAnsi="Arial" w:cs="Arial"/>
        <w:b/>
        <w:sz w:val="48"/>
      </w:rPr>
    </w:pPr>
    <w:r w:rsidRPr="00BE3ED1">
      <w:rPr>
        <w:rFonts w:ascii="Arial" w:hAnsi="Arial" w:cs="Arial"/>
        <w:b/>
        <w:sz w:val="48"/>
      </w:rPr>
      <w:t>EN</w:t>
    </w:r>
    <w:r w:rsidRPr="00BE3ED1">
      <w:rPr>
        <w:rFonts w:ascii="Arial" w:hAnsi="Arial" w:cs="Arial"/>
        <w:b/>
        <w:sz w:val="48"/>
      </w:rPr>
      <w:tab/>
    </w:r>
    <w:r w:rsidRPr="00BE3ED1">
      <w:rPr>
        <w:rFonts w:ascii="Arial" w:hAnsi="Arial" w:cs="Arial"/>
        <w:b/>
        <w:sz w:val="48"/>
      </w:rPr>
      <w:tab/>
    </w:r>
    <w:r w:rsidRPr="00BE3ED1">
      <w:tab/>
    </w:r>
    <w:proofErr w:type="spellStart"/>
    <w:r w:rsidRPr="00BE3ED1">
      <w:rPr>
        <w:rFonts w:ascii="Arial" w:hAnsi="Arial" w:cs="Arial"/>
        <w:b/>
        <w:sz w:val="48"/>
      </w:rPr>
      <w:t>EN</w:t>
    </w:r>
    <w:proofErr w:type="spellEnd"/>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3421" w14:textId="77777777" w:rsidR="00872C68" w:rsidRDefault="00872C6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511466"/>
      <w:docPartObj>
        <w:docPartGallery w:val="Page Numbers (Bottom of Page)"/>
        <w:docPartUnique/>
      </w:docPartObj>
    </w:sdtPr>
    <w:sdtEndPr>
      <w:rPr>
        <w:noProof/>
      </w:rPr>
    </w:sdtEndPr>
    <w:sdtContent>
      <w:p w14:paraId="1F2BD397" w14:textId="77777777" w:rsidR="00872C68" w:rsidRDefault="00872C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119C0" w14:textId="77777777" w:rsidR="00872C68" w:rsidRDefault="00872C68" w:rsidP="00747A6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876091"/>
      <w:docPartObj>
        <w:docPartGallery w:val="Page Numbers (Bottom of Page)"/>
        <w:docPartUnique/>
      </w:docPartObj>
    </w:sdtPr>
    <w:sdtEndPr>
      <w:rPr>
        <w:noProof/>
      </w:rPr>
    </w:sdtEndPr>
    <w:sdtContent>
      <w:p w14:paraId="691A03C1" w14:textId="70AE1A50" w:rsidR="00E17561" w:rsidRDefault="00E17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921DA" w14:textId="77777777" w:rsidR="00872C68" w:rsidRDefault="00872C68" w:rsidP="00747A6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9288" w14:textId="77777777" w:rsidR="00A324A7" w:rsidRDefault="00A324A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462110"/>
      <w:docPartObj>
        <w:docPartGallery w:val="Page Numbers (Bottom of Page)"/>
        <w:docPartUnique/>
      </w:docPartObj>
    </w:sdtPr>
    <w:sdtEndPr>
      <w:rPr>
        <w:noProof/>
      </w:rPr>
    </w:sdtEndPr>
    <w:sdtContent>
      <w:p w14:paraId="64221B1B" w14:textId="77777777" w:rsidR="00A324A7" w:rsidRDefault="00A32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76D219" w14:textId="77777777" w:rsidR="00A324A7" w:rsidRDefault="00A324A7" w:rsidP="00747A6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23450"/>
      <w:docPartObj>
        <w:docPartGallery w:val="Page Numbers (Bottom of Page)"/>
        <w:docPartUnique/>
      </w:docPartObj>
    </w:sdtPr>
    <w:sdtEndPr>
      <w:rPr>
        <w:noProof/>
      </w:rPr>
    </w:sdtEndPr>
    <w:sdtContent>
      <w:p w14:paraId="389C161B" w14:textId="669BC3F1" w:rsidR="00E17561" w:rsidRDefault="00E17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11913" w14:textId="77777777" w:rsidR="00872C68" w:rsidRDefault="00872C68" w:rsidP="00747A6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54B7" w14:textId="77777777" w:rsidR="00A324A7" w:rsidRDefault="00A324A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957102"/>
      <w:docPartObj>
        <w:docPartGallery w:val="Page Numbers (Bottom of Page)"/>
        <w:docPartUnique/>
      </w:docPartObj>
    </w:sdtPr>
    <w:sdtEndPr>
      <w:rPr>
        <w:noProof/>
      </w:rPr>
    </w:sdtEndPr>
    <w:sdtContent>
      <w:p w14:paraId="08B69D65" w14:textId="77777777" w:rsidR="00A324A7" w:rsidRDefault="00A32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0E11D" w14:textId="77777777" w:rsidR="00A324A7" w:rsidRDefault="00A324A7" w:rsidP="00747A6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161127"/>
      <w:docPartObj>
        <w:docPartGallery w:val="Page Numbers (Bottom of Page)"/>
        <w:docPartUnique/>
      </w:docPartObj>
    </w:sdtPr>
    <w:sdtEndPr>
      <w:rPr>
        <w:noProof/>
      </w:rPr>
    </w:sdtEndPr>
    <w:sdtContent>
      <w:p w14:paraId="37BA6406" w14:textId="55FC1473" w:rsidR="00E17561" w:rsidRDefault="00E17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7DB770" w14:textId="77777777" w:rsidR="00A324A7" w:rsidRDefault="00A324A7" w:rsidP="00747A6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ACA5" w14:textId="77777777" w:rsidR="00A324A7" w:rsidRDefault="00A3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7B2F" w14:textId="01638CBD" w:rsidR="00BE3ED1" w:rsidRPr="00BE3ED1" w:rsidRDefault="00BE3ED1" w:rsidP="00BE3ED1">
    <w:pPr>
      <w:pStyle w:val="FooterCoverPage"/>
      <w:rPr>
        <w:rFonts w:ascii="Arial" w:hAnsi="Arial" w:cs="Arial"/>
        <w:b/>
        <w:sz w:val="48"/>
      </w:rPr>
    </w:pPr>
    <w:bookmarkStart w:id="1" w:name="_Hlk184710671"/>
    <w:r w:rsidRPr="00BE3ED1">
      <w:rPr>
        <w:rFonts w:ascii="Arial" w:hAnsi="Arial" w:cs="Arial"/>
        <w:b/>
        <w:sz w:val="48"/>
      </w:rPr>
      <w:t>EN</w:t>
    </w:r>
    <w:r w:rsidRPr="00BE3ED1">
      <w:rPr>
        <w:rFonts w:ascii="Arial" w:hAnsi="Arial" w:cs="Arial"/>
        <w:b/>
        <w:sz w:val="48"/>
      </w:rPr>
      <w:tab/>
    </w:r>
    <w:r w:rsidRPr="00BE3ED1">
      <w:rPr>
        <w:rFonts w:ascii="Arial" w:hAnsi="Arial" w:cs="Arial"/>
        <w:b/>
        <w:sz w:val="48"/>
      </w:rPr>
      <w:tab/>
    </w:r>
    <w:r w:rsidRPr="00BE3ED1">
      <w:tab/>
    </w:r>
    <w:proofErr w:type="spellStart"/>
    <w:r w:rsidRPr="00BE3ED1">
      <w:rPr>
        <w:rFonts w:ascii="Arial" w:hAnsi="Arial" w:cs="Arial"/>
        <w:b/>
        <w:sz w:val="48"/>
      </w:rPr>
      <w:t>EN</w:t>
    </w:r>
    <w:bookmarkEnd w:id="1"/>
    <w:proofErr w:type="spellEnd"/>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166139"/>
      <w:docPartObj>
        <w:docPartGallery w:val="Page Numbers (Bottom of Page)"/>
        <w:docPartUnique/>
      </w:docPartObj>
    </w:sdtPr>
    <w:sdtEndPr>
      <w:rPr>
        <w:noProof/>
      </w:rPr>
    </w:sdtEndPr>
    <w:sdtContent>
      <w:p w14:paraId="7C5E54A0" w14:textId="77777777" w:rsidR="00A324A7" w:rsidRDefault="00A32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16EAB" w14:textId="77777777" w:rsidR="00A324A7" w:rsidRDefault="00A324A7" w:rsidP="00747A6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197188"/>
      <w:docPartObj>
        <w:docPartGallery w:val="Page Numbers (Bottom of Page)"/>
        <w:docPartUnique/>
      </w:docPartObj>
    </w:sdtPr>
    <w:sdtEndPr>
      <w:rPr>
        <w:noProof/>
      </w:rPr>
    </w:sdtEndPr>
    <w:sdtContent>
      <w:p w14:paraId="30EE21E9" w14:textId="77777777" w:rsidR="00A0403B" w:rsidRDefault="00A0403B" w:rsidP="00A0403B">
        <w:pPr>
          <w:pStyle w:val="Footer"/>
          <w:jc w:val="center"/>
        </w:pPr>
        <w:r>
          <w:fldChar w:fldCharType="begin"/>
        </w:r>
        <w:r>
          <w:instrText xml:space="preserve"> PAGE   \* MERGEFORMAT </w:instrText>
        </w:r>
        <w:r>
          <w:fldChar w:fldCharType="separate"/>
        </w:r>
        <w:r>
          <w:t>97</w:t>
        </w:r>
        <w:r>
          <w:rPr>
            <w:noProof/>
          </w:rPr>
          <w:fldChar w:fldCharType="end"/>
        </w:r>
      </w:p>
    </w:sdtContent>
  </w:sdt>
  <w:p w14:paraId="6E8C9EAC" w14:textId="77777777" w:rsidR="00872C68" w:rsidRDefault="00872C68" w:rsidP="00747A6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2E0D" w14:textId="77777777" w:rsidR="00A324A7" w:rsidRDefault="00A324A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7450"/>
      <w:docPartObj>
        <w:docPartGallery w:val="Page Numbers (Bottom of Page)"/>
        <w:docPartUnique/>
      </w:docPartObj>
    </w:sdtPr>
    <w:sdtEndPr>
      <w:rPr>
        <w:noProof/>
      </w:rPr>
    </w:sdtEndPr>
    <w:sdtContent>
      <w:p w14:paraId="63C0FC16" w14:textId="77777777" w:rsidR="00A324A7" w:rsidRDefault="00A32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3B25A" w14:textId="77777777" w:rsidR="00A324A7" w:rsidRDefault="00A324A7" w:rsidP="00747A6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175035"/>
      <w:docPartObj>
        <w:docPartGallery w:val="Page Numbers (Bottom of Page)"/>
        <w:docPartUnique/>
      </w:docPartObj>
    </w:sdtPr>
    <w:sdtEndPr>
      <w:rPr>
        <w:noProof/>
      </w:rPr>
    </w:sdtEndPr>
    <w:sdtContent>
      <w:p w14:paraId="0452101E" w14:textId="5BF796D5" w:rsidR="000D28C4" w:rsidRDefault="000D28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BD1E7" w14:textId="41D64E07" w:rsidR="00A324A7" w:rsidRDefault="00A324A7" w:rsidP="00747A6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78D9" w14:textId="77777777" w:rsidR="00ED5720" w:rsidRDefault="00ED572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211321"/>
      <w:docPartObj>
        <w:docPartGallery w:val="Page Numbers (Bottom of Page)"/>
        <w:docPartUnique/>
      </w:docPartObj>
    </w:sdtPr>
    <w:sdtEndPr>
      <w:rPr>
        <w:noProof/>
      </w:rPr>
    </w:sdtEndPr>
    <w:sdtContent>
      <w:p w14:paraId="65296F41" w14:textId="3B1C7429" w:rsidR="00E17561" w:rsidRDefault="00E17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2ED69F" w14:textId="77777777" w:rsidR="00ED5720" w:rsidRDefault="00ED572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2018" w14:textId="77777777" w:rsidR="00ED5720" w:rsidRDefault="00ED5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8ABE" w14:textId="77777777" w:rsidR="00BE3ED1" w:rsidRPr="00BE3ED1" w:rsidRDefault="00BE3ED1" w:rsidP="00BE3ED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4B5B" w14:textId="77777777" w:rsidR="00CE71D4" w:rsidRPr="00F715F7" w:rsidRDefault="00CE71D4" w:rsidP="00F715F7">
    <w:pPr>
      <w:pStyle w:val="FooterCoverPage"/>
      <w:rPr>
        <w:rFonts w:ascii="Arial" w:hAnsi="Arial" w:cs="Arial"/>
        <w:b/>
        <w:sz w:val="48"/>
      </w:rPr>
    </w:pPr>
    <w:r w:rsidRPr="00F715F7">
      <w:rPr>
        <w:rFonts w:ascii="Arial" w:hAnsi="Arial" w:cs="Arial"/>
        <w:b/>
        <w:sz w:val="48"/>
      </w:rPr>
      <w:t>EN</w:t>
    </w:r>
    <w:r w:rsidRPr="00F715F7">
      <w:rPr>
        <w:rFonts w:ascii="Arial" w:hAnsi="Arial" w:cs="Arial"/>
        <w:b/>
        <w:sz w:val="48"/>
      </w:rPr>
      <w:tab/>
    </w:r>
    <w:r w:rsidRPr="00F715F7">
      <w:rPr>
        <w:rFonts w:ascii="Arial" w:hAnsi="Arial" w:cs="Arial"/>
        <w:b/>
        <w:sz w:val="48"/>
      </w:rPr>
      <w:tab/>
    </w:r>
    <w:r w:rsidRPr="00F715F7">
      <w:tab/>
    </w:r>
    <w:proofErr w:type="spellStart"/>
    <w:r w:rsidRPr="00F715F7">
      <w:rPr>
        <w:rFonts w:ascii="Arial" w:hAnsi="Arial" w:cs="Arial"/>
        <w:b/>
        <w:sz w:val="48"/>
      </w:rPr>
      <w:t>EN</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996486"/>
      <w:docPartObj>
        <w:docPartGallery w:val="Page Numbers (Bottom of Page)"/>
        <w:docPartUnique/>
      </w:docPartObj>
    </w:sdtPr>
    <w:sdtEndPr>
      <w:rPr>
        <w:noProof/>
      </w:rPr>
    </w:sdtEndPr>
    <w:sdtContent>
      <w:p w14:paraId="4932B67E" w14:textId="621982F3" w:rsidR="00CE71D4" w:rsidRDefault="00CE71D4">
        <w:pPr>
          <w:pStyle w:val="Footer"/>
          <w:jc w:val="center"/>
        </w:pPr>
        <w:r>
          <w:fldChar w:fldCharType="begin"/>
        </w:r>
        <w:r>
          <w:instrText xml:space="preserve"> PAGE   \* MERGEFORMAT </w:instrText>
        </w:r>
        <w:r>
          <w:fldChar w:fldCharType="separate"/>
        </w:r>
        <w:r w:rsidR="00C324C4">
          <w:rPr>
            <w:noProof/>
          </w:rPr>
          <w:t>1</w:t>
        </w:r>
        <w:r>
          <w:rPr>
            <w:noProof/>
          </w:rPr>
          <w:fldChar w:fldCharType="end"/>
        </w:r>
      </w:p>
    </w:sdtContent>
  </w:sdt>
  <w:p w14:paraId="398FD68B" w14:textId="77777777" w:rsidR="00CE71D4" w:rsidRDefault="00CE71D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7B90" w14:textId="77777777" w:rsidR="00CE71D4" w:rsidRDefault="00CE71D4" w:rsidP="00255C50">
    <w:pPr>
      <w:pStyle w:val="Footer"/>
      <w:jc w:val="center"/>
    </w:pPr>
    <w:r>
      <w:rPr>
        <w:noProof/>
        <w:lang w:val="en-GB" w:eastAsia="en-GB"/>
      </w:rPr>
      <mc:AlternateContent>
        <mc:Choice Requires="wps">
          <w:drawing>
            <wp:anchor distT="0" distB="0" distL="114300" distR="114300" simplePos="0" relativeHeight="251658240" behindDoc="0" locked="0" layoutInCell="1" allowOverlap="1" wp14:anchorId="60F80331" wp14:editId="259F4844">
              <wp:simplePos x="0" y="0"/>
              <wp:positionH relativeFrom="column">
                <wp:posOffset>2308142</wp:posOffset>
              </wp:positionH>
              <wp:positionV relativeFrom="paragraph">
                <wp:posOffset>6350</wp:posOffset>
              </wp:positionV>
              <wp:extent cx="142709" cy="195565"/>
              <wp:effectExtent l="0" t="0" r="0" b="0"/>
              <wp:wrapNone/>
              <wp:docPr id="756581480" name="Rectangle 1"/>
              <wp:cNvGraphicFramePr/>
              <a:graphic xmlns:a="http://schemas.openxmlformats.org/drawingml/2006/main">
                <a:graphicData uri="http://schemas.microsoft.com/office/word/2010/wordprocessingShape">
                  <wps:wsp>
                    <wps:cNvSpPr/>
                    <wps:spPr>
                      <a:xfrm>
                        <a:off x="0" y="0"/>
                        <a:ext cx="142709" cy="19556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181.75pt;margin-top:.5pt;width:11.2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" w14:anchorId="4E19A734"/>
          </w:pict>
        </mc:Fallback>
      </mc:AlternateContent>
    </w:r>
  </w:p>
  <w:p w14:paraId="3BE52638" w14:textId="77777777" w:rsidR="00CE71D4" w:rsidRPr="00255C50" w:rsidRDefault="00CE71D4" w:rsidP="00255C50">
    <w:pPr>
      <w:pStyle w:val="Footer"/>
      <w:rPr>
        <w:lang w:val="fr-B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BA55" w14:textId="77777777" w:rsidR="00F7169E" w:rsidRDefault="00F716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47888"/>
      <w:docPartObj>
        <w:docPartGallery w:val="Page Numbers (Bottom of Page)"/>
        <w:docPartUnique/>
      </w:docPartObj>
    </w:sdtPr>
    <w:sdtEndPr>
      <w:rPr>
        <w:noProof/>
      </w:rPr>
    </w:sdtEndPr>
    <w:sdtContent>
      <w:p w14:paraId="04478C17" w14:textId="3425A5CA" w:rsidR="00BF1FD7" w:rsidRDefault="00BF1FD7" w:rsidP="000E3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33543" w14:textId="77777777" w:rsidR="00ED5720" w:rsidRDefault="00ED57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217190"/>
      <w:docPartObj>
        <w:docPartGallery w:val="Page Numbers (Bottom of Page)"/>
        <w:docPartUnique/>
      </w:docPartObj>
    </w:sdtPr>
    <w:sdtEndPr>
      <w:rPr>
        <w:noProof/>
      </w:rPr>
    </w:sdtEndPr>
    <w:sdtContent>
      <w:p w14:paraId="48296CAC" w14:textId="7F30E4C2" w:rsidR="00E17561" w:rsidRDefault="00E17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FED4C" w14:textId="77777777" w:rsidR="00F7169E" w:rsidRDefault="00F71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68B4" w14:textId="77777777" w:rsidR="00714A29" w:rsidRDefault="00714A29" w:rsidP="00ED5720">
      <w:pPr>
        <w:spacing w:after="0" w:line="240" w:lineRule="auto"/>
      </w:pPr>
      <w:r>
        <w:separator/>
      </w:r>
    </w:p>
  </w:footnote>
  <w:footnote w:type="continuationSeparator" w:id="0">
    <w:p w14:paraId="3C84FD47" w14:textId="77777777" w:rsidR="00714A29" w:rsidRDefault="00714A29" w:rsidP="00ED5720">
      <w:pPr>
        <w:spacing w:after="0" w:line="240" w:lineRule="auto"/>
      </w:pPr>
      <w:r>
        <w:continuationSeparator/>
      </w:r>
    </w:p>
  </w:footnote>
  <w:footnote w:type="continuationNotice" w:id="1">
    <w:p w14:paraId="6712D3A4" w14:textId="77777777" w:rsidR="00714A29" w:rsidRDefault="00714A29">
      <w:pPr>
        <w:spacing w:after="0" w:line="240" w:lineRule="auto"/>
      </w:pPr>
    </w:p>
  </w:footnote>
  <w:footnote w:id="2">
    <w:p w14:paraId="080BAD05" w14:textId="45DF08DA" w:rsidR="00507155" w:rsidRPr="00D30AE7" w:rsidRDefault="00507155" w:rsidP="00E056D9">
      <w:pPr>
        <w:pStyle w:val="FootnoteText"/>
        <w:spacing w:after="20"/>
        <w:ind w:left="181" w:hanging="181"/>
        <w:jc w:val="both"/>
        <w:rPr>
          <w:rFonts w:cs="Times New Roman"/>
        </w:rPr>
      </w:pPr>
      <w:r w:rsidRPr="00D30AE7">
        <w:rPr>
          <w:rStyle w:val="FootnoteReference"/>
          <w:rFonts w:cs="Times New Roman"/>
        </w:rPr>
        <w:footnoteRef/>
      </w:r>
      <w:r w:rsidRPr="00D30AE7">
        <w:rPr>
          <w:rFonts w:cs="Times New Roman"/>
        </w:rPr>
        <w:t xml:space="preserve"> </w:t>
      </w:r>
      <w:r w:rsidR="008B6B4E">
        <w:rPr>
          <w:rFonts w:cs="Times New Roman"/>
        </w:rPr>
        <w:tab/>
      </w:r>
      <w:hyperlink r:id="rId1" w:history="1">
        <w:r w:rsidR="008B6B4E" w:rsidRPr="009D45E4">
          <w:rPr>
            <w:rStyle w:val="Hyperlink"/>
            <w:rFonts w:cs="Times New Roman"/>
          </w:rPr>
          <w:t>https://ec.europa.eu/commission/presscorner/detail/en/ip_24_1002</w:t>
        </w:r>
      </w:hyperlink>
      <w:r w:rsidR="0048508C">
        <w:rPr>
          <w:rFonts w:cs="Times New Roman"/>
        </w:rPr>
        <w:t xml:space="preserve"> </w:t>
      </w:r>
    </w:p>
  </w:footnote>
  <w:footnote w:id="3">
    <w:p w14:paraId="413AEB6D" w14:textId="39C23F49" w:rsidR="00D63AC1" w:rsidRPr="00BD687F" w:rsidRDefault="00D63AC1" w:rsidP="00E056D9">
      <w:pPr>
        <w:pStyle w:val="FootnoteText"/>
        <w:spacing w:after="20"/>
        <w:ind w:left="181" w:hanging="181"/>
        <w:jc w:val="both"/>
        <w:rPr>
          <w:rFonts w:cs="Times New Roman"/>
        </w:rPr>
      </w:pPr>
      <w:r w:rsidRPr="00BD687F">
        <w:rPr>
          <w:rStyle w:val="FootnoteReference"/>
          <w:rFonts w:cs="Times New Roman"/>
        </w:rPr>
        <w:footnoteRef/>
      </w:r>
      <w:r w:rsidRPr="00BD687F">
        <w:rPr>
          <w:rFonts w:cs="Times New Roman"/>
        </w:rPr>
        <w:t xml:space="preserve"> </w:t>
      </w:r>
      <w:r w:rsidR="008B6B4E">
        <w:rPr>
          <w:rFonts w:cs="Times New Roman"/>
        </w:rPr>
        <w:tab/>
      </w:r>
      <w:r w:rsidR="0083136D" w:rsidRPr="00BD687F">
        <w:rPr>
          <w:rFonts w:cs="Times New Roman"/>
        </w:rPr>
        <w:t>COM(2024) 139 final</w:t>
      </w:r>
      <w:r w:rsidR="00FB3C1D">
        <w:rPr>
          <w:rFonts w:cs="Times New Roman"/>
        </w:rPr>
        <w:t>.</w:t>
      </w:r>
      <w:r w:rsidR="0083136D" w:rsidRPr="00BD687F">
        <w:rPr>
          <w:rFonts w:cs="Times New Roman"/>
        </w:rPr>
        <w:t xml:space="preserve"> </w:t>
      </w:r>
    </w:p>
  </w:footnote>
  <w:footnote w:id="4">
    <w:p w14:paraId="6BE0E5CE" w14:textId="6C02B200" w:rsidR="00B40624" w:rsidRPr="00BD687F" w:rsidRDefault="00B40624" w:rsidP="00E056D9">
      <w:pPr>
        <w:pStyle w:val="FootnoteText"/>
        <w:spacing w:after="20"/>
        <w:ind w:left="181" w:hanging="181"/>
        <w:jc w:val="both"/>
        <w:rPr>
          <w:rFonts w:cs="Times New Roman"/>
        </w:rPr>
      </w:pPr>
      <w:r w:rsidRPr="00BD687F">
        <w:rPr>
          <w:rStyle w:val="FootnoteReference"/>
          <w:rFonts w:cs="Times New Roman"/>
        </w:rPr>
        <w:footnoteRef/>
      </w:r>
      <w:r w:rsidRPr="00BD687F">
        <w:rPr>
          <w:rFonts w:cs="Times New Roman"/>
        </w:rPr>
        <w:t xml:space="preserve"> </w:t>
      </w:r>
      <w:r w:rsidR="008B6B4E">
        <w:rPr>
          <w:rFonts w:cs="Times New Roman"/>
        </w:rPr>
        <w:tab/>
      </w:r>
      <w:r w:rsidR="000E1B6D" w:rsidRPr="00BD687F">
        <w:rPr>
          <w:rFonts w:cs="Times New Roman"/>
        </w:rPr>
        <w:t>Regulation (EU) 2021/2115</w:t>
      </w:r>
      <w:r w:rsidR="00E83F82" w:rsidRPr="00BD687F">
        <w:rPr>
          <w:rFonts w:cs="Times New Roman"/>
        </w:rPr>
        <w:t xml:space="preserve">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w:t>
      </w:r>
      <w:r w:rsidR="00F30C29">
        <w:rPr>
          <w:rFonts w:cs="Times New Roman"/>
        </w:rPr>
        <w:t xml:space="preserve"> </w:t>
      </w:r>
      <w:r w:rsidR="004E7FFD" w:rsidRPr="00BD687F">
        <w:rPr>
          <w:rFonts w:cs="Times New Roman"/>
        </w:rPr>
        <w:t xml:space="preserve">(CSP Regulation) </w:t>
      </w:r>
      <w:r w:rsidR="000E1B6D" w:rsidRPr="00BD687F">
        <w:rPr>
          <w:rFonts w:cs="Times New Roman"/>
        </w:rPr>
        <w:t>and Regulation (EU) 2021/2116</w:t>
      </w:r>
      <w:r w:rsidR="00351FEA" w:rsidRPr="00BD687F">
        <w:rPr>
          <w:rFonts w:cs="Times New Roman"/>
        </w:rPr>
        <w:t xml:space="preserve"> of the European Parliament and of the Council of 2 December 2021 on the financing, management and monitoring of the common agricultural policy and repealing Regulation (EU) No 1306/201, OJ L 435, 6.12.2021, p. 187-261</w:t>
      </w:r>
      <w:r w:rsidR="00282278" w:rsidRPr="00BD687F">
        <w:rPr>
          <w:rFonts w:cs="Times New Roman"/>
        </w:rPr>
        <w:t xml:space="preserve"> </w:t>
      </w:r>
      <w:r w:rsidR="004E7FFD" w:rsidRPr="00BD687F">
        <w:rPr>
          <w:rFonts w:cs="Times New Roman"/>
        </w:rPr>
        <w:t>(Horizontal Regulation)</w:t>
      </w:r>
      <w:r w:rsidR="00FB3C1D">
        <w:rPr>
          <w:rFonts w:cs="Times New Roman"/>
        </w:rPr>
        <w:t>.</w:t>
      </w:r>
    </w:p>
  </w:footnote>
  <w:footnote w:id="5">
    <w:p w14:paraId="6E23D913" w14:textId="3E73AC13" w:rsidR="00861B5E" w:rsidRPr="00BD687F" w:rsidRDefault="00861B5E" w:rsidP="00E056D9">
      <w:pPr>
        <w:pStyle w:val="FootnoteText"/>
        <w:spacing w:after="20"/>
        <w:ind w:left="181" w:hanging="181"/>
        <w:jc w:val="both"/>
        <w:rPr>
          <w:rFonts w:cs="Times New Roman"/>
        </w:rPr>
      </w:pPr>
      <w:r w:rsidRPr="00BD687F">
        <w:rPr>
          <w:rStyle w:val="FootnoteReference"/>
          <w:rFonts w:cs="Times New Roman"/>
        </w:rPr>
        <w:footnoteRef/>
      </w:r>
      <w:r w:rsidRPr="00BD687F">
        <w:rPr>
          <w:rFonts w:cs="Times New Roman"/>
        </w:rPr>
        <w:t xml:space="preserve"> </w:t>
      </w:r>
      <w:r w:rsidR="008B6B4E">
        <w:rPr>
          <w:rFonts w:cs="Times New Roman"/>
        </w:rPr>
        <w:tab/>
      </w:r>
      <w:r w:rsidR="00C05B72" w:rsidRPr="00BD687F">
        <w:rPr>
          <w:rFonts w:cs="Times New Roman"/>
        </w:rPr>
        <w:t>Regulation (EU) 2024/1468</w:t>
      </w:r>
      <w:r w:rsidR="005A5F37" w:rsidRPr="00BD687F">
        <w:rPr>
          <w:rFonts w:cs="Times New Roman"/>
        </w:rPr>
        <w:t xml:space="preserve"> of the European Parliament and of the Council of 14 May 2024 amending Regulations (EU) 2021/2115 and (EU) 2021/2116 as regards good agricultural and environmental condition standards, schemes for climate, environment and animal welfare, amendment of the CAP Strategic Plans, review of the CAP Strategic Plans and exemptions from controls and penalties, OJ L 2024/1468, 24.5.2024</w:t>
      </w:r>
      <w:r w:rsidR="00282278" w:rsidRPr="00BD687F">
        <w:rPr>
          <w:rFonts w:cs="Times New Roman"/>
        </w:rPr>
        <w:t>.</w:t>
      </w:r>
    </w:p>
  </w:footnote>
  <w:footnote w:id="6">
    <w:p w14:paraId="35742EB8" w14:textId="769D3B54" w:rsidR="0027035B" w:rsidRDefault="0027035B" w:rsidP="008B6B4E">
      <w:pPr>
        <w:pStyle w:val="FootnoteText"/>
        <w:ind w:left="180" w:hanging="180"/>
        <w:jc w:val="both"/>
      </w:pPr>
      <w:r w:rsidRPr="00D30AE7">
        <w:rPr>
          <w:rStyle w:val="FootnoteReference"/>
          <w:rFonts w:cs="Times New Roman"/>
        </w:rPr>
        <w:footnoteRef/>
      </w:r>
      <w:r w:rsidRPr="00D30AE7">
        <w:rPr>
          <w:rFonts w:cs="Times New Roman"/>
        </w:rPr>
        <w:t xml:space="preserve"> </w:t>
      </w:r>
      <w:r w:rsidR="008B6B4E">
        <w:rPr>
          <w:rFonts w:cs="Times New Roman"/>
        </w:rPr>
        <w:tab/>
      </w:r>
      <w:r w:rsidR="00F30C29" w:rsidRPr="00D30AE7">
        <w:rPr>
          <w:rStyle w:val="cf01"/>
          <w:rFonts w:ascii="Times New Roman" w:hAnsi="Times New Roman" w:cs="Times New Roman"/>
          <w:sz w:val="20"/>
          <w:szCs w:val="20"/>
        </w:rPr>
        <w:t>COM(2023) 168 final</w:t>
      </w:r>
      <w:r w:rsidR="00FB3C1D">
        <w:rPr>
          <w:rStyle w:val="cf01"/>
          <w:rFonts w:ascii="Times New Roman" w:hAnsi="Times New Roman" w:cs="Times New Roman"/>
          <w:sz w:val="20"/>
          <w:szCs w:val="20"/>
        </w:rPr>
        <w:t>.</w:t>
      </w:r>
    </w:p>
  </w:footnote>
  <w:footnote w:id="7">
    <w:p w14:paraId="1602E93A" w14:textId="6060FF2C" w:rsidR="0072075B" w:rsidRDefault="0072075B" w:rsidP="00E056D9">
      <w:pPr>
        <w:pStyle w:val="FootnoteText"/>
        <w:spacing w:after="20"/>
        <w:ind w:left="181" w:hanging="180"/>
      </w:pPr>
      <w:r>
        <w:rPr>
          <w:rStyle w:val="FootnoteReference"/>
        </w:rPr>
        <w:footnoteRef/>
      </w:r>
      <w:r>
        <w:t xml:space="preserve"> </w:t>
      </w:r>
      <w:r w:rsidR="00673400">
        <w:tab/>
      </w:r>
      <w:r>
        <w:t xml:space="preserve">Member States have one Strategic Plan each, except Belgium, which has two: one for Flanders and one </w:t>
      </w:r>
    </w:p>
    <w:p w14:paraId="24896815" w14:textId="2B63B8DA" w:rsidR="0072075B" w:rsidRPr="00E46D0E" w:rsidRDefault="0072075B" w:rsidP="00E056D9">
      <w:pPr>
        <w:pStyle w:val="FootnoteText"/>
        <w:spacing w:after="20"/>
        <w:ind w:left="181"/>
      </w:pPr>
      <w:r>
        <w:t>for Wallonia</w:t>
      </w:r>
      <w:r w:rsidR="008C2387">
        <w:t>.</w:t>
      </w:r>
    </w:p>
  </w:footnote>
  <w:footnote w:id="8">
    <w:p w14:paraId="0D301A3C" w14:textId="042A2037" w:rsidR="004532B8" w:rsidRPr="00E46D0E" w:rsidRDefault="004532B8" w:rsidP="00E056D9">
      <w:pPr>
        <w:pStyle w:val="FootnoteText"/>
        <w:spacing w:after="20"/>
        <w:ind w:left="181" w:hanging="180"/>
      </w:pPr>
      <w:r>
        <w:rPr>
          <w:rStyle w:val="FootnoteReference"/>
        </w:rPr>
        <w:footnoteRef/>
      </w:r>
      <w:r w:rsidR="00027F47" w:rsidRPr="002169FC">
        <w:t xml:space="preserve"> </w:t>
      </w:r>
      <w:r w:rsidR="00673400">
        <w:tab/>
      </w:r>
      <w:r w:rsidR="00EF4AD4" w:rsidRPr="002169FC">
        <w:t xml:space="preserve">Sometimes </w:t>
      </w:r>
      <w:r w:rsidR="006966E7" w:rsidRPr="002169FC">
        <w:t>also referred to as ‘CSPs’</w:t>
      </w:r>
      <w:r w:rsidR="008C2387">
        <w:t>.</w:t>
      </w:r>
    </w:p>
  </w:footnote>
  <w:footnote w:id="9">
    <w:p w14:paraId="7CEA9DBF" w14:textId="75EFCC5F" w:rsidR="002B0030" w:rsidRPr="008953A5" w:rsidRDefault="002B0030" w:rsidP="00E056D9">
      <w:pPr>
        <w:pStyle w:val="FootnoteText"/>
        <w:spacing w:after="20"/>
        <w:ind w:left="181" w:hanging="180"/>
        <w:jc w:val="both"/>
      </w:pPr>
      <w:r w:rsidRPr="00ED2879">
        <w:rPr>
          <w:rStyle w:val="FootnoteReference"/>
          <w:rFonts w:cs="Times New Roman"/>
        </w:rPr>
        <w:footnoteRef/>
      </w:r>
      <w:r w:rsidRPr="00ED2879">
        <w:rPr>
          <w:rFonts w:cs="Times New Roman"/>
        </w:rPr>
        <w:t xml:space="preserve"> </w:t>
      </w:r>
      <w:r w:rsidR="008B6B4E">
        <w:rPr>
          <w:rFonts w:cs="Times New Roman"/>
        </w:rPr>
        <w:t xml:space="preserve"> </w:t>
      </w:r>
      <w:r w:rsidR="008B6B4E">
        <w:rPr>
          <w:rFonts w:cs="Times New Roman"/>
        </w:rPr>
        <w:tab/>
      </w:r>
      <w:r>
        <w:rPr>
          <w:rFonts w:cs="Times New Roman"/>
        </w:rPr>
        <w:t xml:space="preserve">The </w:t>
      </w:r>
      <w:r w:rsidRPr="00ED2879">
        <w:rPr>
          <w:rFonts w:eastAsia="Calibri" w:cs="Times New Roman"/>
        </w:rPr>
        <w:t>European Agricultural Guarantee Fund (EAGF) and the European</w:t>
      </w:r>
      <w:r>
        <w:rPr>
          <w:rFonts w:eastAsia="Calibri" w:cs="Times New Roman"/>
        </w:rPr>
        <w:t xml:space="preserve"> </w:t>
      </w:r>
      <w:r w:rsidRPr="00ED2879">
        <w:rPr>
          <w:rFonts w:eastAsia="Calibri" w:cs="Times New Roman"/>
        </w:rPr>
        <w:t>Agricultural Fund for Rural Development (EAFRD)</w:t>
      </w:r>
      <w:r w:rsidR="00541E36">
        <w:rPr>
          <w:rFonts w:eastAsia="Calibri" w:cs="Times New Roman"/>
        </w:rPr>
        <w:t>.</w:t>
      </w:r>
      <w:r w:rsidRPr="007C554D">
        <w:rPr>
          <w:rFonts w:eastAsia="Calibri" w:cs="Times New Roman"/>
          <w:sz w:val="24"/>
          <w:szCs w:val="24"/>
        </w:rPr>
        <w:t xml:space="preserve"> </w:t>
      </w:r>
    </w:p>
  </w:footnote>
  <w:footnote w:id="10">
    <w:p w14:paraId="50C438CA" w14:textId="77CB82D0" w:rsidR="00240510" w:rsidRPr="0063250A" w:rsidRDefault="00240510" w:rsidP="008B6B4E">
      <w:pPr>
        <w:pStyle w:val="FootnoteText"/>
        <w:spacing w:after="40"/>
        <w:ind w:left="180" w:hanging="180"/>
        <w:jc w:val="both"/>
        <w:rPr>
          <w:rFonts w:cs="Times New Roman"/>
        </w:rPr>
      </w:pPr>
      <w:r w:rsidRPr="0086096F">
        <w:rPr>
          <w:rStyle w:val="FootnoteReference"/>
          <w:rFonts w:cs="Times New Roman"/>
        </w:rPr>
        <w:footnoteRef/>
      </w:r>
      <w:r w:rsidRPr="0063250A">
        <w:rPr>
          <w:rFonts w:cs="Times New Roman"/>
        </w:rPr>
        <w:t xml:space="preserve"> </w:t>
      </w:r>
      <w:r w:rsidR="008B6B4E">
        <w:rPr>
          <w:rFonts w:cs="Times New Roman"/>
        </w:rPr>
        <w:tab/>
      </w:r>
      <w:r w:rsidRPr="0063250A">
        <w:rPr>
          <w:rFonts w:cs="Times New Roman"/>
        </w:rPr>
        <w:t>COM(2023) 707 final</w:t>
      </w:r>
      <w:r w:rsidR="00541E36">
        <w:rPr>
          <w:rFonts w:cs="Times New Roman"/>
        </w:rPr>
        <w:t>.</w:t>
      </w:r>
    </w:p>
  </w:footnote>
  <w:footnote w:id="11">
    <w:p w14:paraId="3AE3FBF1" w14:textId="0276612E" w:rsidR="002821C5" w:rsidRPr="00550B99" w:rsidRDefault="002821C5" w:rsidP="00D24DE7">
      <w:pPr>
        <w:pStyle w:val="FootnoteText"/>
        <w:spacing w:after="20"/>
        <w:ind w:left="181" w:hanging="180"/>
        <w:rPr>
          <w:rFonts w:cs="Times New Roman"/>
        </w:rPr>
      </w:pPr>
      <w:r w:rsidRPr="00550B99">
        <w:rPr>
          <w:rStyle w:val="FootnoteReference"/>
          <w:rFonts w:cs="Times New Roman"/>
        </w:rPr>
        <w:footnoteRef/>
      </w:r>
      <w:r w:rsidR="00B428A8" w:rsidRPr="006762E5">
        <w:t xml:space="preserve"> </w:t>
      </w:r>
      <w:r w:rsidR="008B6B4E">
        <w:t xml:space="preserve"> </w:t>
      </w:r>
      <w:hyperlink r:id="rId2" w:history="1">
        <w:r w:rsidR="008B6B4E" w:rsidRPr="009D45E4">
          <w:rPr>
            <w:rStyle w:val="Hyperlink"/>
          </w:rPr>
          <w:t>https://multimedia.europarl.europa.eu/en/webstreaming/committee-on-agriculture-and-rural-development_20240226-1900-COMMITTEE-AGRI</w:t>
        </w:r>
      </w:hyperlink>
      <w:r w:rsidR="008F44C9">
        <w:t xml:space="preserve"> </w:t>
      </w:r>
    </w:p>
  </w:footnote>
  <w:footnote w:id="12">
    <w:p w14:paraId="2E16B1EE" w14:textId="696B0557" w:rsidR="00914D05" w:rsidRPr="00A16E98" w:rsidRDefault="00914D05" w:rsidP="00D24DE7">
      <w:pPr>
        <w:spacing w:after="20"/>
        <w:ind w:left="181" w:hanging="180"/>
        <w:jc w:val="both"/>
        <w:rPr>
          <w:rFonts w:cs="Times New Roman"/>
          <w:sz w:val="20"/>
          <w:szCs w:val="20"/>
        </w:rPr>
      </w:pPr>
      <w:r w:rsidRPr="00550B99">
        <w:rPr>
          <w:rStyle w:val="FootnoteReference"/>
          <w:rFonts w:cs="Times New Roman"/>
          <w:sz w:val="20"/>
          <w:szCs w:val="20"/>
        </w:rPr>
        <w:footnoteRef/>
      </w:r>
      <w:r w:rsidR="00DF78C0" w:rsidRPr="00550B99">
        <w:rPr>
          <w:rFonts w:cs="Times New Roman"/>
          <w:sz w:val="20"/>
          <w:szCs w:val="20"/>
        </w:rPr>
        <w:t xml:space="preserve"> Regulation (EU) 2024/1468</w:t>
      </w:r>
      <w:r w:rsidR="00282278" w:rsidRPr="00550B99">
        <w:rPr>
          <w:rFonts w:cs="Times New Roman"/>
          <w:sz w:val="20"/>
          <w:szCs w:val="20"/>
        </w:rPr>
        <w:t xml:space="preserve"> of the European Parliament and of the Council of 14 May 2024 amending</w:t>
      </w:r>
      <w:r w:rsidR="00A16E98">
        <w:rPr>
          <w:rFonts w:cs="Times New Roman"/>
          <w:sz w:val="20"/>
          <w:szCs w:val="20"/>
        </w:rPr>
        <w:t xml:space="preserve"> </w:t>
      </w:r>
      <w:r w:rsidR="00282278" w:rsidRPr="00550B99">
        <w:rPr>
          <w:rFonts w:cs="Times New Roman"/>
          <w:sz w:val="20"/>
          <w:szCs w:val="20"/>
        </w:rPr>
        <w:t xml:space="preserve">Regulations (EU) 2021/2115 and (EU) 2021/2116 as regards good agricultural and environmental condition standards, schemes for climate, environment and animal welfare, amendment of the CAP Strategic Plans, review of the CAP </w:t>
      </w:r>
      <w:r w:rsidR="00FB3C1D">
        <w:rPr>
          <w:rFonts w:cs="Times New Roman"/>
          <w:sz w:val="20"/>
          <w:szCs w:val="20"/>
        </w:rPr>
        <w:t>s</w:t>
      </w:r>
      <w:r w:rsidR="00282278" w:rsidRPr="00550B99">
        <w:rPr>
          <w:rFonts w:cs="Times New Roman"/>
          <w:sz w:val="20"/>
          <w:szCs w:val="20"/>
        </w:rPr>
        <w:t xml:space="preserve">trategic </w:t>
      </w:r>
      <w:r w:rsidR="00FB3C1D">
        <w:rPr>
          <w:rFonts w:cs="Times New Roman"/>
          <w:sz w:val="20"/>
          <w:szCs w:val="20"/>
        </w:rPr>
        <w:t>p</w:t>
      </w:r>
      <w:r w:rsidR="00282278" w:rsidRPr="00550B99">
        <w:rPr>
          <w:rFonts w:cs="Times New Roman"/>
          <w:sz w:val="20"/>
          <w:szCs w:val="20"/>
        </w:rPr>
        <w:t>lans and exemptions from controls and penalties, OJ L, 2024/1468, 24.5.2024</w:t>
      </w:r>
      <w:r w:rsidR="00FB3C1D">
        <w:rPr>
          <w:rFonts w:cs="Times New Roman"/>
          <w:sz w:val="20"/>
          <w:szCs w:val="20"/>
        </w:rPr>
        <w:t>.</w:t>
      </w:r>
    </w:p>
  </w:footnote>
  <w:footnote w:id="13">
    <w:p w14:paraId="21F19107" w14:textId="77777777" w:rsidR="005E0959" w:rsidRDefault="00366F32" w:rsidP="00D24DE7">
      <w:pPr>
        <w:pStyle w:val="FootnoteText"/>
        <w:spacing w:after="20"/>
        <w:ind w:left="181" w:hanging="180"/>
        <w:rPr>
          <w:rFonts w:cs="Times New Roman"/>
        </w:rPr>
      </w:pPr>
      <w:r w:rsidRPr="00550B99">
        <w:rPr>
          <w:rStyle w:val="FootnoteReference"/>
          <w:rFonts w:cs="Times New Roman"/>
        </w:rPr>
        <w:footnoteRef/>
      </w:r>
      <w:r w:rsidRPr="00550B99">
        <w:rPr>
          <w:rFonts w:cs="Times New Roman"/>
        </w:rPr>
        <w:t xml:space="preserve">  As highlighted in the Communication on the Long-term competitiveness of the EU: looking beyond 2030, </w:t>
      </w:r>
      <w:r w:rsidR="005E0959">
        <w:rPr>
          <w:rFonts w:cs="Times New Roman"/>
        </w:rPr>
        <w:t xml:space="preserve">  </w:t>
      </w:r>
    </w:p>
    <w:p w14:paraId="2825701C" w14:textId="5E80E859" w:rsidR="00366F32" w:rsidRPr="00550B99" w:rsidRDefault="005E0959" w:rsidP="00D24DE7">
      <w:pPr>
        <w:pStyle w:val="FootnoteText"/>
        <w:spacing w:after="20"/>
        <w:ind w:left="181" w:hanging="180"/>
        <w:rPr>
          <w:rFonts w:cs="Times New Roman"/>
        </w:rPr>
      </w:pPr>
      <w:r>
        <w:rPr>
          <w:rFonts w:cs="Times New Roman"/>
        </w:rPr>
        <w:t xml:space="preserve"> </w:t>
      </w:r>
      <w:r>
        <w:rPr>
          <w:rFonts w:cs="Times New Roman"/>
        </w:rPr>
        <w:tab/>
      </w:r>
      <w:r w:rsidR="00366F32" w:rsidRPr="00550B99">
        <w:rPr>
          <w:rFonts w:cs="Times New Roman"/>
        </w:rPr>
        <w:t xml:space="preserve">COM(2023) 168 final of 16 March 2023, </w:t>
      </w:r>
      <w:hyperlink r:id="rId3" w:history="1">
        <w:r w:rsidR="00366F32" w:rsidRPr="00550B99">
          <w:rPr>
            <w:rStyle w:val="Hyperlink"/>
            <w:rFonts w:cs="Times New Roman"/>
          </w:rPr>
          <w:t>https://commission.europa.eu/system/files/2023-03/Communication_Long-term-competitiveness.pdf</w:t>
        </w:r>
      </w:hyperlink>
      <w:r w:rsidR="00297936">
        <w:rPr>
          <w:rStyle w:val="Hyperlink"/>
          <w:rFonts w:cs="Times New Roman"/>
        </w:rPr>
        <w:t>.</w:t>
      </w:r>
    </w:p>
  </w:footnote>
  <w:footnote w:id="14">
    <w:p w14:paraId="36CD4084" w14:textId="77777777" w:rsidR="005E0959" w:rsidRDefault="00E72CDE" w:rsidP="00D24DE7">
      <w:pPr>
        <w:pStyle w:val="FootnoteText"/>
        <w:spacing w:after="20"/>
        <w:ind w:left="181" w:hanging="180"/>
        <w:jc w:val="both"/>
        <w:rPr>
          <w:rFonts w:cs="Times New Roman"/>
        </w:rPr>
      </w:pPr>
      <w:r w:rsidRPr="00550B99">
        <w:rPr>
          <w:rStyle w:val="FootnoteReference"/>
          <w:rFonts w:cs="Times New Roman"/>
        </w:rPr>
        <w:footnoteRef/>
      </w:r>
      <w:r w:rsidRPr="00550B99">
        <w:rPr>
          <w:rFonts w:cs="Times New Roman"/>
        </w:rPr>
        <w:t xml:space="preserve"> </w:t>
      </w:r>
      <w:r w:rsidR="008F46AD" w:rsidRPr="00550B99">
        <w:rPr>
          <w:rFonts w:cs="Times New Roman"/>
        </w:rPr>
        <w:t xml:space="preserve">Press release </w:t>
      </w:r>
      <w:hyperlink r:id="rId4" w:history="1">
        <w:r w:rsidR="00037E53" w:rsidRPr="00550B99">
          <w:rPr>
            <w:rStyle w:val="Hyperlink"/>
            <w:rFonts w:cs="Times New Roman"/>
          </w:rPr>
          <w:t>https://ec.europa.eu/commission/presscorner/detail/en/ip_24_1493</w:t>
        </w:r>
      </w:hyperlink>
      <w:r w:rsidR="007368C7" w:rsidRPr="00550B99">
        <w:rPr>
          <w:rFonts w:cs="Times New Roman"/>
        </w:rPr>
        <w:t xml:space="preserve">; </w:t>
      </w:r>
      <w:r w:rsidR="00556898" w:rsidRPr="00550B99">
        <w:rPr>
          <w:rFonts w:cs="Times New Roman"/>
        </w:rPr>
        <w:t>Questions and Answers</w:t>
      </w:r>
      <w:r w:rsidR="00550B99" w:rsidRPr="00550B99">
        <w:rPr>
          <w:rFonts w:cs="Times New Roman"/>
        </w:rPr>
        <w:t xml:space="preserve"> </w:t>
      </w:r>
      <w:r w:rsidR="005E0959">
        <w:rPr>
          <w:rFonts w:cs="Times New Roman"/>
        </w:rPr>
        <w:t xml:space="preserve"> </w:t>
      </w:r>
    </w:p>
    <w:p w14:paraId="29A2F94F" w14:textId="4932B562" w:rsidR="00E72CDE" w:rsidRPr="00550B99" w:rsidRDefault="00BE3ED1" w:rsidP="00D24DE7">
      <w:pPr>
        <w:pStyle w:val="FootnoteText"/>
        <w:spacing w:after="20"/>
        <w:ind w:left="181"/>
        <w:jc w:val="both"/>
        <w:rPr>
          <w:rFonts w:cs="Times New Roman"/>
        </w:rPr>
      </w:pPr>
      <w:hyperlink r:id="rId5" w:history="1">
        <w:r w:rsidR="005E0959" w:rsidRPr="009D45E4">
          <w:rPr>
            <w:rStyle w:val="Hyperlink"/>
            <w:rFonts w:cs="Times New Roman"/>
          </w:rPr>
          <w:t>https://ec.europa.eu/commission/presscorner/detail/en/QANDA_24_1494</w:t>
        </w:r>
      </w:hyperlink>
      <w:r w:rsidR="00916F31" w:rsidRPr="00550B99">
        <w:rPr>
          <w:rFonts w:cs="Times New Roman"/>
        </w:rPr>
        <w:t>.</w:t>
      </w:r>
      <w:r w:rsidR="008F46AD" w:rsidRPr="00550B99">
        <w:rPr>
          <w:rFonts w:cs="Times New Roman"/>
        </w:rPr>
        <w:t xml:space="preserve"> </w:t>
      </w:r>
    </w:p>
  </w:footnote>
  <w:footnote w:id="15">
    <w:p w14:paraId="35DBF132" w14:textId="39BF435D" w:rsidR="00B74C8B" w:rsidRPr="000D76B8" w:rsidRDefault="00B74C8B" w:rsidP="008B6B4E">
      <w:pPr>
        <w:pStyle w:val="FootnoteText"/>
        <w:spacing w:after="20"/>
        <w:ind w:left="180" w:hanging="180"/>
      </w:pPr>
      <w:r w:rsidRPr="000D76B8">
        <w:rPr>
          <w:rStyle w:val="FootnoteReference"/>
          <w:rFonts w:cs="Times New Roman"/>
        </w:rPr>
        <w:footnoteRef/>
      </w:r>
      <w:r w:rsidR="008B6B4E">
        <w:rPr>
          <w:rFonts w:cs="Times New Roman"/>
        </w:rPr>
        <w:t xml:space="preserve"> </w:t>
      </w:r>
      <w:r w:rsidR="000D76B8">
        <w:rPr>
          <w:rFonts w:cs="Times New Roman"/>
        </w:rPr>
        <w:t xml:space="preserve"> </w:t>
      </w:r>
      <w:hyperlink r:id="rId6" w:history="1">
        <w:r w:rsidR="000D76B8" w:rsidRPr="006F78F2">
          <w:rPr>
            <w:rStyle w:val="Hyperlink"/>
            <w:rFonts w:cs="Times New Roman"/>
          </w:rPr>
          <w:t>https://commission.europa.eu/strategy-and-policy/priorities-2019-2024/european-green-deal/agriculture-and-green-deal/strategic-dialogue-future-eu-agriculture_en</w:t>
        </w:r>
      </w:hyperlink>
      <w:r w:rsidR="5B7F1876" w:rsidRPr="000D76B8">
        <w:rPr>
          <w:rFonts w:cs="Times New Roman"/>
        </w:rPr>
        <w:t xml:space="preserve"> </w:t>
      </w:r>
    </w:p>
  </w:footnote>
  <w:footnote w:id="16">
    <w:p w14:paraId="6395073F" w14:textId="687DD771" w:rsidR="5B7F1876" w:rsidRDefault="5B7F1876" w:rsidP="008723B3">
      <w:pPr>
        <w:pStyle w:val="FootnoteText"/>
        <w:ind w:left="180" w:hanging="180"/>
      </w:pPr>
      <w:r w:rsidRPr="00157FB6">
        <w:rPr>
          <w:rStyle w:val="FootnoteReference"/>
        </w:rPr>
        <w:footnoteRef/>
      </w:r>
      <w:r w:rsidR="000D76B8" w:rsidRPr="0049665B" w:rsidDel="000D76B8">
        <w:t xml:space="preserve"> </w:t>
      </w:r>
      <w:hyperlink r:id="rId7" w:history="1">
        <w:r w:rsidR="008723B3" w:rsidRPr="009D45E4">
          <w:rPr>
            <w:rStyle w:val="Hyperlink"/>
          </w:rPr>
          <w:t>https://agriculture.ec.europa.eu/document/download/171329ff-0f50-4fa5-946f-aea11032172e_en?filename=strategic-dialogue-report-2024_en.pdf</w:t>
        </w:r>
      </w:hyperlink>
      <w:r w:rsidR="000D76B8">
        <w:t xml:space="preserve"> </w:t>
      </w:r>
    </w:p>
  </w:footnote>
  <w:footnote w:id="17">
    <w:p w14:paraId="2105E18B" w14:textId="77777777" w:rsidR="00724676" w:rsidRPr="00F35E43" w:rsidRDefault="00724676" w:rsidP="008723B3">
      <w:pPr>
        <w:pStyle w:val="FootnoteText"/>
        <w:ind w:left="180" w:hanging="180"/>
        <w:rPr>
          <w:rFonts w:cs="Times New Roman"/>
        </w:rPr>
      </w:pPr>
      <w:r w:rsidRPr="002D2211">
        <w:rPr>
          <w:rStyle w:val="FootnoteReference"/>
          <w:rFonts w:cs="Times New Roman"/>
        </w:rPr>
        <w:footnoteRef/>
      </w:r>
      <w:r w:rsidRPr="00F35E43">
        <w:t xml:space="preserve"> </w:t>
      </w:r>
      <w:hyperlink r:id="rId8" w:history="1">
        <w:r w:rsidRPr="00F35E43">
          <w:rPr>
            <w:rStyle w:val="Hyperlink"/>
            <w:rFonts w:cs="Times New Roman"/>
          </w:rPr>
          <w:t>https://agriculture.ec.europa.eu/news/simplification-survey-sheds-light-specific-issues-faced-farmers-across-eu-2024-04-12_en</w:t>
        </w:r>
      </w:hyperlink>
      <w:r w:rsidRPr="00F35E43">
        <w:rPr>
          <w:rFonts w:cs="Times New Roman"/>
        </w:rPr>
        <w:t xml:space="preserve"> </w:t>
      </w:r>
    </w:p>
  </w:footnote>
  <w:footnote w:id="18">
    <w:p w14:paraId="0369A3F4" w14:textId="0EEC4F04" w:rsidR="00253E7B" w:rsidRPr="00D30AE7" w:rsidRDefault="00253E7B" w:rsidP="008723B3">
      <w:pPr>
        <w:pStyle w:val="FootnoteText"/>
        <w:ind w:left="180" w:hanging="180"/>
        <w:rPr>
          <w:rFonts w:cs="Times New Roman"/>
        </w:rPr>
      </w:pPr>
      <w:r w:rsidRPr="00EF0D32">
        <w:rPr>
          <w:rStyle w:val="FootnoteReference"/>
          <w:rFonts w:cs="Times New Roman"/>
        </w:rPr>
        <w:footnoteRef/>
      </w:r>
      <w:r w:rsidRPr="00D30AE7">
        <w:rPr>
          <w:rFonts w:cs="Times New Roman"/>
        </w:rPr>
        <w:t xml:space="preserve"> </w:t>
      </w:r>
      <w:r w:rsidR="001534B2" w:rsidRPr="00D30AE7">
        <w:rPr>
          <w:rFonts w:cs="Times New Roman"/>
        </w:rPr>
        <w:t>Article 141 of the CSP Regu</w:t>
      </w:r>
      <w:r w:rsidR="001534B2">
        <w:rPr>
          <w:rFonts w:cs="Times New Roman"/>
        </w:rPr>
        <w:t>lation</w:t>
      </w:r>
      <w:r w:rsidR="00111237">
        <w:rPr>
          <w:rFonts w:cs="Times New Roman"/>
        </w:rPr>
        <w:t>.</w:t>
      </w:r>
    </w:p>
  </w:footnote>
  <w:footnote w:id="19">
    <w:p w14:paraId="10BF9C7D" w14:textId="5138C38D" w:rsidR="006D071C" w:rsidRPr="00D30AE7" w:rsidRDefault="006D071C" w:rsidP="00E056D9">
      <w:pPr>
        <w:pStyle w:val="FootnoteText"/>
        <w:spacing w:after="20"/>
        <w:ind w:left="181" w:hanging="181"/>
        <w:rPr>
          <w:rFonts w:cs="Times New Roman"/>
        </w:rPr>
      </w:pPr>
      <w:r w:rsidRPr="00D30AE7">
        <w:rPr>
          <w:rStyle w:val="FootnoteReference"/>
          <w:rFonts w:cs="Times New Roman"/>
        </w:rPr>
        <w:footnoteRef/>
      </w:r>
      <w:r w:rsidRPr="00D30AE7">
        <w:rPr>
          <w:rFonts w:cs="Times New Roman"/>
        </w:rPr>
        <w:t xml:space="preserve"> Articles 5 and 6 of the CSP Regulation</w:t>
      </w:r>
      <w:r w:rsidR="00A31376">
        <w:rPr>
          <w:rFonts w:cs="Times New Roman"/>
        </w:rPr>
        <w:t>.</w:t>
      </w:r>
    </w:p>
  </w:footnote>
  <w:footnote w:id="20">
    <w:p w14:paraId="6198277F" w14:textId="7DEEA912" w:rsidR="006B248C" w:rsidRPr="00D30AE7" w:rsidRDefault="006B248C" w:rsidP="00E056D9">
      <w:pPr>
        <w:pStyle w:val="FootnoteText"/>
        <w:spacing w:after="20"/>
        <w:ind w:left="181" w:hanging="181"/>
        <w:jc w:val="both"/>
        <w:rPr>
          <w:rFonts w:cs="Times New Roman"/>
        </w:rPr>
      </w:pPr>
      <w:r w:rsidRPr="00D30AE7">
        <w:rPr>
          <w:rStyle w:val="FootnoteReference"/>
          <w:rFonts w:cs="Times New Roman"/>
        </w:rPr>
        <w:footnoteRef/>
      </w:r>
      <w:r w:rsidRPr="00D30AE7">
        <w:rPr>
          <w:rFonts w:cs="Times New Roman"/>
        </w:rPr>
        <w:t xml:space="preserve"> Commission Implementing Regulation (EU) 2024/587</w:t>
      </w:r>
      <w:r w:rsidR="005E0F04" w:rsidRPr="00985C87">
        <w:rPr>
          <w:rFonts w:cs="Times New Roman"/>
        </w:rPr>
        <w:t xml:space="preserve"> of 12 February 2024 providing for a derogation from Regulation (EU) 2021/2115 of the European Parliament and of the Council as regards the application of the standard for good agricultural and environmental conditions of land (GAEC standard 8</w:t>
      </w:r>
      <w:r w:rsidR="00A31376">
        <w:rPr>
          <w:rFonts w:cs="Times New Roman"/>
        </w:rPr>
        <w:t>)</w:t>
      </w:r>
      <w:r w:rsidR="005E0F04" w:rsidRPr="00985C87">
        <w:rPr>
          <w:rFonts w:cs="Times New Roman"/>
        </w:rPr>
        <w:t xml:space="preserve">, dates of eligibility of expenditure for contribution from the EAGF and rules concerning amendments of CAP </w:t>
      </w:r>
      <w:r w:rsidR="00A31376">
        <w:rPr>
          <w:rFonts w:cs="Times New Roman"/>
        </w:rPr>
        <w:t>s</w:t>
      </w:r>
      <w:r w:rsidR="005E0F04" w:rsidRPr="00985C87">
        <w:rPr>
          <w:rFonts w:cs="Times New Roman"/>
        </w:rPr>
        <w:t xml:space="preserve">trategic </w:t>
      </w:r>
      <w:r w:rsidR="00A31376">
        <w:rPr>
          <w:rFonts w:cs="Times New Roman"/>
        </w:rPr>
        <w:t>p</w:t>
      </w:r>
      <w:r w:rsidR="005E0F04" w:rsidRPr="00985C87">
        <w:rPr>
          <w:rFonts w:cs="Times New Roman"/>
        </w:rPr>
        <w:t>lans for modifications of certain eco-schemes for claim year 2024, OJ L 2024/587, 13.2.2024</w:t>
      </w:r>
      <w:r w:rsidR="00C926A2">
        <w:rPr>
          <w:rFonts w:cs="Times New Roman"/>
        </w:rPr>
        <w:t>.</w:t>
      </w:r>
    </w:p>
  </w:footnote>
  <w:footnote w:id="21">
    <w:p w14:paraId="5DE18CEC" w14:textId="597FD2AC" w:rsidR="000B41CB" w:rsidRPr="006E0BB8" w:rsidRDefault="000B41CB" w:rsidP="008723B3">
      <w:pPr>
        <w:pStyle w:val="FootnoteText"/>
        <w:spacing w:after="20"/>
        <w:ind w:left="180" w:hanging="180"/>
        <w:jc w:val="both"/>
        <w:rPr>
          <w:rFonts w:cs="Times New Roman"/>
        </w:rPr>
      </w:pPr>
      <w:r w:rsidRPr="00985C87">
        <w:rPr>
          <w:rStyle w:val="FootnoteReference"/>
          <w:rFonts w:cs="Times New Roman"/>
        </w:rPr>
        <w:footnoteRef/>
      </w:r>
      <w:r w:rsidRPr="00985C87">
        <w:rPr>
          <w:rFonts w:cs="Times New Roman"/>
        </w:rPr>
        <w:t xml:space="preserve"> </w:t>
      </w:r>
      <w:r w:rsidR="00B11C8B" w:rsidRPr="00985C87">
        <w:rPr>
          <w:rFonts w:cs="Times New Roman"/>
        </w:rPr>
        <w:t xml:space="preserve">Commission </w:t>
      </w:r>
      <w:r w:rsidRPr="00985C87">
        <w:rPr>
          <w:rFonts w:cs="Times New Roman"/>
        </w:rPr>
        <w:t xml:space="preserve">Delegated Regulation </w:t>
      </w:r>
      <w:r w:rsidR="008B7A22" w:rsidRPr="00985C87">
        <w:rPr>
          <w:rFonts w:cs="Times New Roman"/>
        </w:rPr>
        <w:t>(</w:t>
      </w:r>
      <w:r w:rsidR="006C37A0" w:rsidRPr="00985C87">
        <w:rPr>
          <w:rFonts w:cs="Times New Roman"/>
        </w:rPr>
        <w:t>EU)</w:t>
      </w:r>
      <w:r w:rsidR="007B44B2" w:rsidRPr="00985C87">
        <w:rPr>
          <w:rFonts w:cs="Times New Roman"/>
        </w:rPr>
        <w:t xml:space="preserve"> 2024/123</w:t>
      </w:r>
      <w:r w:rsidR="006B248C" w:rsidRPr="00985C87">
        <w:rPr>
          <w:rFonts w:cs="Times New Roman"/>
        </w:rPr>
        <w:t>5</w:t>
      </w:r>
      <w:r w:rsidRPr="00985C87">
        <w:rPr>
          <w:rFonts w:cs="Times New Roman"/>
        </w:rPr>
        <w:t xml:space="preserve"> amending Delegated Regulation (EU) 2022/126</w:t>
      </w:r>
      <w:r w:rsidR="00B11C8B" w:rsidRPr="00985C87">
        <w:rPr>
          <w:rFonts w:cs="Times New Roman"/>
          <w:color w:val="333333"/>
          <w:shd w:val="clear" w:color="auto" w:fill="FFFFFF"/>
        </w:rPr>
        <w:t xml:space="preserve"> of</w:t>
      </w:r>
      <w:r w:rsidR="00B11C8B" w:rsidRPr="00985C87">
        <w:rPr>
          <w:rFonts w:cs="Times New Roman"/>
          <w:b/>
          <w:bCs/>
          <w:color w:val="333333"/>
          <w:shd w:val="clear" w:color="auto" w:fill="FFFFFF"/>
        </w:rPr>
        <w:t xml:space="preserve"> </w:t>
      </w:r>
      <w:r w:rsidR="00B11C8B" w:rsidRPr="00985C87">
        <w:rPr>
          <w:rFonts w:cs="Times New Roman"/>
        </w:rPr>
        <w:t>12 March 2024 supplementing Regulation (EU) 2021/2115 of the European Parliament and of the Council as regards the rules on the ratio for the good agricultural and environmental condition (GAEC) standard 1, OJ L 2024/1235, 26.4.2024</w:t>
      </w:r>
      <w:r w:rsidR="00A31376">
        <w:rPr>
          <w:rFonts w:cs="Times New Roman"/>
        </w:rPr>
        <w:t>.</w:t>
      </w:r>
    </w:p>
  </w:footnote>
  <w:footnote w:id="22">
    <w:p w14:paraId="24BF5E39" w14:textId="02F24A41" w:rsidR="00AB3E80" w:rsidRPr="00D30AE7" w:rsidRDefault="00AB3E80" w:rsidP="008723B3">
      <w:pPr>
        <w:pStyle w:val="FootnoteText"/>
        <w:ind w:left="180" w:hanging="180"/>
        <w:jc w:val="both"/>
        <w:rPr>
          <w:rFonts w:cs="Times New Roman"/>
        </w:rPr>
      </w:pPr>
      <w:r w:rsidRPr="00D30AE7">
        <w:rPr>
          <w:rStyle w:val="FootnoteReference"/>
          <w:rFonts w:cs="Times New Roman"/>
        </w:rPr>
        <w:footnoteRef/>
      </w:r>
      <w:r w:rsidR="005A0FE5">
        <w:rPr>
          <w:rFonts w:cs="Times New Roman"/>
        </w:rPr>
        <w:t xml:space="preserve"> </w:t>
      </w:r>
      <w:r w:rsidRPr="00985C87">
        <w:rPr>
          <w:rFonts w:cs="Times New Roman"/>
        </w:rPr>
        <w:t>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671-854</w:t>
      </w:r>
      <w:r w:rsidR="00A95DF5">
        <w:rPr>
          <w:rFonts w:cs="Times New Roman"/>
        </w:rPr>
        <w:t>.</w:t>
      </w:r>
    </w:p>
  </w:footnote>
  <w:footnote w:id="23">
    <w:p w14:paraId="49F3A9F9" w14:textId="0C843900" w:rsidR="00E86A89" w:rsidRPr="00985C87" w:rsidRDefault="00E86A89" w:rsidP="008723B3">
      <w:pPr>
        <w:pStyle w:val="FootnoteText"/>
        <w:ind w:left="180" w:hanging="180"/>
        <w:rPr>
          <w:rFonts w:cs="Times New Roman"/>
        </w:rPr>
      </w:pPr>
      <w:r w:rsidRPr="00985C87">
        <w:rPr>
          <w:rStyle w:val="FootnoteReference"/>
          <w:rFonts w:cs="Times New Roman"/>
        </w:rPr>
        <w:footnoteRef/>
      </w:r>
      <w:r w:rsidRPr="00985C87">
        <w:rPr>
          <w:rFonts w:cs="Times New Roman"/>
        </w:rPr>
        <w:t xml:space="preserve"> </w:t>
      </w:r>
      <w:hyperlink r:id="rId9" w:history="1">
        <w:r w:rsidRPr="00985C87">
          <w:rPr>
            <w:rStyle w:val="Hyperlink"/>
            <w:rFonts w:cs="Times New Roman"/>
          </w:rPr>
          <w:t>https://ec.europa.eu/commission/presscorner/detail/en/ip_24_2332</w:t>
        </w:r>
      </w:hyperlink>
      <w:r w:rsidRPr="00985C87">
        <w:rPr>
          <w:rFonts w:cs="Times New Roman"/>
        </w:rPr>
        <w:t xml:space="preserve"> </w:t>
      </w:r>
    </w:p>
  </w:footnote>
  <w:footnote w:id="24">
    <w:p w14:paraId="0285D1D3" w14:textId="3DE72324" w:rsidR="00985C87" w:rsidRPr="00985C87" w:rsidRDefault="00985C87" w:rsidP="0008420C">
      <w:pPr>
        <w:pStyle w:val="FootnoteText"/>
        <w:spacing w:after="20"/>
        <w:ind w:left="180" w:hanging="180"/>
      </w:pPr>
      <w:r w:rsidRPr="00D30AE7">
        <w:rPr>
          <w:rStyle w:val="FootnoteReference"/>
          <w:rFonts w:cs="Times New Roman"/>
        </w:rPr>
        <w:footnoteRef/>
      </w:r>
      <w:r w:rsidRPr="00D30AE7">
        <w:rPr>
          <w:rFonts w:cs="Times New Roman"/>
        </w:rPr>
        <w:t xml:space="preserve"> </w:t>
      </w:r>
      <w:hyperlink r:id="rId10" w:history="1">
        <w:r w:rsidRPr="00D30AE7">
          <w:rPr>
            <w:rStyle w:val="Hyperlink"/>
            <w:rFonts w:cs="Times New Roman"/>
          </w:rPr>
          <w:t>https://competition-policy.ec.europa.eu/public-consultations/2024-deminimis-agri_en</w:t>
        </w:r>
      </w:hyperlink>
      <w:r>
        <w:t xml:space="preserve"> </w:t>
      </w:r>
    </w:p>
  </w:footnote>
  <w:footnote w:id="25">
    <w:p w14:paraId="593704D4" w14:textId="7450EEA4" w:rsidR="6FE283EC" w:rsidRPr="006A33FC" w:rsidRDefault="6FE283EC" w:rsidP="0008420C">
      <w:pPr>
        <w:pStyle w:val="FootnoteText"/>
        <w:spacing w:after="20"/>
        <w:ind w:left="180" w:hanging="180"/>
      </w:pPr>
      <w:r w:rsidRPr="6FE283EC">
        <w:rPr>
          <w:rStyle w:val="FootnoteReference"/>
        </w:rPr>
        <w:footnoteRef/>
      </w:r>
      <w:r w:rsidR="008723B3">
        <w:t xml:space="preserve"> </w:t>
      </w:r>
      <w:hyperlink r:id="rId11" w:history="1">
        <w:r w:rsidR="008723B3" w:rsidRPr="009D45E4">
          <w:rPr>
            <w:rStyle w:val="Hyperlink"/>
          </w:rPr>
          <w:t>https://ec.europa.eu/transparency/comitology-register/screen/meetings/CMTD%282024%29772/consult?lang=en</w:t>
        </w:r>
      </w:hyperlink>
      <w:r w:rsidR="00B47095" w:rsidRPr="006A33FC">
        <w:t xml:space="preserve"> </w:t>
      </w:r>
    </w:p>
  </w:footnote>
  <w:footnote w:id="26">
    <w:p w14:paraId="1B127E0F" w14:textId="7E0ED4A4" w:rsidR="008B7B65" w:rsidRPr="00D30AE7" w:rsidRDefault="008B7B65" w:rsidP="0008420C">
      <w:pPr>
        <w:pStyle w:val="FootnoteText"/>
        <w:spacing w:after="20"/>
        <w:rPr>
          <w:rFonts w:cs="Times New Roman"/>
        </w:rPr>
      </w:pPr>
      <w:r w:rsidRPr="00D30AE7">
        <w:rPr>
          <w:rStyle w:val="FootnoteReference"/>
          <w:rFonts w:cs="Times New Roman"/>
        </w:rPr>
        <w:footnoteRef/>
      </w:r>
      <w:r w:rsidRPr="00D30AE7">
        <w:rPr>
          <w:rFonts w:cs="Times New Roman"/>
        </w:rPr>
        <w:t xml:space="preserve"> </w:t>
      </w:r>
      <w:hyperlink r:id="rId12" w:history="1">
        <w:r w:rsidR="00B94D53" w:rsidRPr="00D30AE7">
          <w:rPr>
            <w:rStyle w:val="Hyperlink"/>
            <w:rFonts w:cs="Times New Roman"/>
          </w:rPr>
          <w:t>https://ec.europa.eu/transparency/expert-groups-register/screen/meetings/consult?lang=en&amp;meetingId=53235</w:t>
        </w:r>
      </w:hyperlink>
      <w:r w:rsidR="00B94D53" w:rsidRPr="00D30AE7">
        <w:rPr>
          <w:rFonts w:cs="Times New Roman"/>
        </w:rPr>
        <w:t xml:space="preserve"> </w:t>
      </w:r>
    </w:p>
  </w:footnote>
  <w:footnote w:id="27">
    <w:p w14:paraId="40D78CB6" w14:textId="47124681" w:rsidR="7579D475" w:rsidRDefault="7579D475" w:rsidP="7579D475">
      <w:pPr>
        <w:pStyle w:val="FootnoteText"/>
        <w:rPr>
          <w:rFonts w:cs="Times New Roman"/>
        </w:rPr>
      </w:pPr>
      <w:r w:rsidRPr="7579D475">
        <w:rPr>
          <w:rStyle w:val="FootnoteReference"/>
          <w:rFonts w:cs="Times New Roman"/>
        </w:rPr>
        <w:footnoteRef/>
      </w:r>
      <w:r w:rsidRPr="7579D475">
        <w:rPr>
          <w:rFonts w:cs="Times New Roman"/>
        </w:rPr>
        <w:t xml:space="preserve"> Article 119 of </w:t>
      </w:r>
      <w:r w:rsidR="00BC230F">
        <w:rPr>
          <w:rFonts w:cs="Times New Roman"/>
        </w:rPr>
        <w:t>the CSP Regulation</w:t>
      </w:r>
      <w:r w:rsidR="001B4947">
        <w:rPr>
          <w:rFonts w:cs="Times New Roman"/>
        </w:rPr>
        <w:t>.</w:t>
      </w:r>
    </w:p>
  </w:footnote>
  <w:footnote w:id="28">
    <w:p w14:paraId="00F9603A" w14:textId="11910E65" w:rsidR="007B5E95" w:rsidRPr="00D30AE7" w:rsidRDefault="007B5E95" w:rsidP="002E37E3">
      <w:pPr>
        <w:pStyle w:val="FootnoteText"/>
        <w:spacing w:after="20"/>
        <w:ind w:left="181" w:hanging="181"/>
      </w:pPr>
      <w:r w:rsidRPr="00D30AE7">
        <w:rPr>
          <w:rStyle w:val="FootnoteReference"/>
          <w:rFonts w:cs="Times New Roman"/>
        </w:rPr>
        <w:footnoteRef/>
      </w:r>
      <w:r w:rsidR="06E2D374" w:rsidRPr="00D30AE7">
        <w:rPr>
          <w:rFonts w:cs="Times New Roman"/>
        </w:rPr>
        <w:t xml:space="preserve"> </w:t>
      </w:r>
      <w:hyperlink r:id="rId13" w:history="1">
        <w:hyperlink r:id="rId14" w:history="1">
          <w:r w:rsidR="06E2D374" w:rsidRPr="06E2D374">
            <w:rPr>
              <w:rStyle w:val="Hyperlink"/>
            </w:rPr>
            <w:t>eur-lex.europa.eu/legal-content/EN/TXT/PDF/?uri=PI_COM:C(2024)6069&amp;qid=1725451340160</w:t>
          </w:r>
        </w:hyperlink>
      </w:hyperlink>
    </w:p>
  </w:footnote>
  <w:footnote w:id="29">
    <w:p w14:paraId="6A2C2CB6" w14:textId="3FEC7244" w:rsidR="00981F0C" w:rsidRPr="00992AF8" w:rsidRDefault="00981F0C" w:rsidP="008723B3">
      <w:pPr>
        <w:pStyle w:val="FootnoteText"/>
        <w:spacing w:after="20"/>
        <w:ind w:left="180" w:hanging="180"/>
        <w:rPr>
          <w:rFonts w:cs="Times New Roman"/>
        </w:rPr>
      </w:pPr>
      <w:r w:rsidRPr="00992AF8">
        <w:rPr>
          <w:rStyle w:val="FootnoteReference"/>
          <w:rFonts w:cs="Times New Roman"/>
        </w:rPr>
        <w:footnoteRef/>
      </w:r>
      <w:r w:rsidRPr="00992AF8">
        <w:rPr>
          <w:rFonts w:cs="Times New Roman"/>
        </w:rPr>
        <w:t xml:space="preserve"> </w:t>
      </w:r>
      <w:hyperlink r:id="rId15" w:history="1">
        <w:r w:rsidR="00966231" w:rsidRPr="00045DAC">
          <w:rPr>
            <w:rStyle w:val="Hyperlink"/>
            <w:rFonts w:cs="Times New Roman"/>
          </w:rPr>
          <w:t>https://agriculture.ec.europa.eu/common-agricultural-policy/financing-cap/assurance-and-audit/managing-payments_en</w:t>
        </w:r>
      </w:hyperlink>
      <w:r w:rsidR="00966231">
        <w:rPr>
          <w:rFonts w:cs="Times New Roman"/>
        </w:rPr>
        <w:t xml:space="preserve"> </w:t>
      </w:r>
    </w:p>
  </w:footnote>
  <w:footnote w:id="30">
    <w:p w14:paraId="7F38747B" w14:textId="2071E9D1" w:rsidR="5C64349A" w:rsidRDefault="5C64349A" w:rsidP="002E37E3">
      <w:pPr>
        <w:pStyle w:val="FootnoteText"/>
        <w:spacing w:after="20"/>
        <w:ind w:left="181" w:hanging="181"/>
        <w:jc w:val="both"/>
      </w:pPr>
      <w:r w:rsidRPr="5C64349A">
        <w:rPr>
          <w:rStyle w:val="FootnoteReference"/>
          <w:rFonts w:cs="Times New Roman"/>
        </w:rPr>
        <w:footnoteRef/>
      </w:r>
      <w:r w:rsidRPr="5C64349A">
        <w:rPr>
          <w:rFonts w:cs="Times New Roman"/>
        </w:rPr>
        <w:t xml:space="preserve"> Other IACS elements include: the land parcel identification system (LPIS) to identify agricultural parcels, a system for identification </w:t>
      </w:r>
      <w:r w:rsidR="00917176" w:rsidRPr="5C64349A">
        <w:rPr>
          <w:rFonts w:cs="Times New Roman"/>
        </w:rPr>
        <w:t>of</w:t>
      </w:r>
      <w:r w:rsidR="00917176">
        <w:rPr>
          <w:rFonts w:cs="Times New Roman"/>
        </w:rPr>
        <w:t xml:space="preserve"> </w:t>
      </w:r>
      <w:r w:rsidR="00917176" w:rsidRPr="5C64349A">
        <w:rPr>
          <w:rFonts w:cs="Times New Roman"/>
        </w:rPr>
        <w:t>beneficiaries</w:t>
      </w:r>
      <w:r w:rsidRPr="5C64349A">
        <w:rPr>
          <w:rFonts w:cs="Times New Roman"/>
        </w:rPr>
        <w:t>, a control and penalty system,</w:t>
      </w:r>
      <w:r w:rsidRPr="5C64349A">
        <w:rPr>
          <w:rFonts w:eastAsia="Calibri" w:cs="Times New Roman"/>
        </w:rPr>
        <w:t xml:space="preserve"> and a system for identification and registration of animals in cases of CAP related aid.</w:t>
      </w:r>
    </w:p>
  </w:footnote>
  <w:footnote w:id="31">
    <w:p w14:paraId="4BD02AC4" w14:textId="715FDC2C" w:rsidR="004B08AE" w:rsidRPr="0041105C" w:rsidRDefault="004B08AE" w:rsidP="008723B3">
      <w:pPr>
        <w:pStyle w:val="FootnoteText"/>
        <w:ind w:left="180" w:hanging="180"/>
        <w:jc w:val="both"/>
        <w:rPr>
          <w:rFonts w:cs="Times New Roman"/>
        </w:rPr>
      </w:pPr>
      <w:r w:rsidRPr="008354BD">
        <w:rPr>
          <w:rStyle w:val="FootnoteReference"/>
          <w:rFonts w:cs="Times New Roman"/>
        </w:rPr>
        <w:footnoteRef/>
      </w:r>
      <w:r w:rsidRPr="008354BD">
        <w:rPr>
          <w:rFonts w:cs="Times New Roman"/>
        </w:rPr>
        <w:t xml:space="preserve"> </w:t>
      </w:r>
      <w:r w:rsidR="002E224C" w:rsidRPr="008354BD">
        <w:rPr>
          <w:rFonts w:cs="Times New Roman"/>
        </w:rPr>
        <w:t xml:space="preserve">Article 7 of </w:t>
      </w:r>
      <w:r w:rsidR="00FF25B2">
        <w:rPr>
          <w:rFonts w:cs="Times New Roman"/>
        </w:rPr>
        <w:t xml:space="preserve">Commission Implementing </w:t>
      </w:r>
      <w:r w:rsidR="002E224C" w:rsidRPr="008354BD">
        <w:rPr>
          <w:rFonts w:cs="Times New Roman"/>
        </w:rPr>
        <w:t>Regulation (EU) 2022/1173</w:t>
      </w:r>
      <w:r w:rsidR="005912BD" w:rsidRPr="005912BD">
        <w:rPr>
          <w:rFonts w:cs="Times New Roman"/>
        </w:rPr>
        <w:t xml:space="preserve"> </w:t>
      </w:r>
      <w:r w:rsidR="005912BD" w:rsidRPr="00B11A45">
        <w:rPr>
          <w:rFonts w:cs="Times New Roman"/>
        </w:rPr>
        <w:t>of 31 May 2022 laying down rules for the application of Regulation (EU) 2021/2116 of the European Parliament and of the Council with regard to the integrated administration and control system in the common agricultural policy</w:t>
      </w:r>
      <w:r w:rsidR="005912BD">
        <w:rPr>
          <w:rFonts w:cs="Times New Roman"/>
        </w:rPr>
        <w:t>, OJ L 183, 8.7.2022, p. 23-34</w:t>
      </w:r>
      <w:r w:rsidR="00133336">
        <w:rPr>
          <w:rFonts w:cs="Times New Roman"/>
        </w:rPr>
        <w:t>.</w:t>
      </w:r>
    </w:p>
  </w:footnote>
  <w:footnote w:id="32">
    <w:p w14:paraId="45B66C17" w14:textId="71AFC9A7" w:rsidR="00444B68" w:rsidRPr="00230197" w:rsidRDefault="00444B68" w:rsidP="008723B3">
      <w:pPr>
        <w:pStyle w:val="FootnoteText"/>
        <w:ind w:left="180" w:hanging="180"/>
        <w:rPr>
          <w:rFonts w:cs="Times New Roman"/>
        </w:rPr>
      </w:pPr>
      <w:r w:rsidRPr="00230197">
        <w:rPr>
          <w:rStyle w:val="FootnoteReference"/>
          <w:rFonts w:cs="Times New Roman"/>
        </w:rPr>
        <w:footnoteRef/>
      </w:r>
      <w:r w:rsidRPr="00230197">
        <w:rPr>
          <w:rFonts w:cs="Times New Roman"/>
        </w:rPr>
        <w:t xml:space="preserve"> Article 10 of </w:t>
      </w:r>
      <w:r w:rsidR="009805D2" w:rsidRPr="00230197">
        <w:rPr>
          <w:rFonts w:cs="Times New Roman"/>
        </w:rPr>
        <w:t xml:space="preserve">Commission Implementing </w:t>
      </w:r>
      <w:r w:rsidRPr="00230197">
        <w:rPr>
          <w:rFonts w:cs="Times New Roman"/>
        </w:rPr>
        <w:t>Regulation (EU) 2022/1173.</w:t>
      </w:r>
    </w:p>
  </w:footnote>
  <w:footnote w:id="33">
    <w:p w14:paraId="023A0C25" w14:textId="11484726" w:rsidR="00230197" w:rsidRPr="00230197" w:rsidRDefault="00230197" w:rsidP="002E37E3">
      <w:pPr>
        <w:pStyle w:val="FootnoteText"/>
        <w:spacing w:after="20"/>
        <w:ind w:left="181" w:hanging="181"/>
      </w:pPr>
      <w:r w:rsidRPr="00D30AE7">
        <w:rPr>
          <w:rStyle w:val="FootnoteReference"/>
          <w:rFonts w:cs="Times New Roman"/>
        </w:rPr>
        <w:footnoteRef/>
      </w:r>
      <w:r w:rsidRPr="00D30AE7">
        <w:rPr>
          <w:rFonts w:cs="Times New Roman"/>
        </w:rPr>
        <w:t xml:space="preserve"> </w:t>
      </w:r>
      <w:hyperlink r:id="rId16" w:history="1">
        <w:r w:rsidRPr="00D30AE7">
          <w:rPr>
            <w:rStyle w:val="Hyperlink"/>
            <w:rFonts w:cs="Times New Roman"/>
          </w:rPr>
          <w:t>https://ec.europa.eu/transparency/expert-groups-register/screen/meetings/consult?lang=en&amp;meetingId=53804</w:t>
        </w:r>
      </w:hyperlink>
      <w:r>
        <w:t xml:space="preserve"> </w:t>
      </w:r>
    </w:p>
  </w:footnote>
  <w:footnote w:id="34">
    <w:p w14:paraId="22F7BA34" w14:textId="0274BEBE" w:rsidR="00130A39" w:rsidRPr="00130A39" w:rsidRDefault="00130A39" w:rsidP="002E37E3">
      <w:pPr>
        <w:pStyle w:val="FootnoteText"/>
        <w:spacing w:after="20"/>
        <w:ind w:left="181" w:hanging="181"/>
      </w:pPr>
      <w:r>
        <w:rPr>
          <w:rStyle w:val="FootnoteReference"/>
        </w:rPr>
        <w:footnoteRef/>
      </w:r>
      <w:r>
        <w:t xml:space="preserve"> </w:t>
      </w:r>
      <w:hyperlink r:id="rId17" w:history="1">
        <w:r w:rsidR="00745321" w:rsidRPr="006F78F2">
          <w:rPr>
            <w:rStyle w:val="Hyperlink"/>
          </w:rPr>
          <w:t>https://eur-lex.europa.eu/legal-content/EN/TXT/PDF/?uri=PI_COM:C(2024)6069&amp;qid=1725451340160</w:t>
        </w:r>
      </w:hyperlink>
      <w:r w:rsidR="00745321">
        <w:t xml:space="preserve"> </w:t>
      </w:r>
    </w:p>
  </w:footnote>
  <w:footnote w:id="35">
    <w:p w14:paraId="55B6C992" w14:textId="0EBFDEBB" w:rsidR="00F578ED" w:rsidRDefault="00F578ED" w:rsidP="008723B3">
      <w:pPr>
        <w:pStyle w:val="FootnoteText"/>
        <w:spacing w:after="20"/>
        <w:ind w:left="180" w:hanging="180"/>
        <w:jc w:val="both"/>
      </w:pPr>
      <w:r>
        <w:rPr>
          <w:rStyle w:val="FootnoteReference"/>
        </w:rPr>
        <w:footnoteRef/>
      </w:r>
      <w:r>
        <w:t xml:space="preserve"> </w:t>
      </w:r>
      <w:r w:rsidR="00C84C4F" w:rsidRPr="00EF0D32">
        <w:rPr>
          <w:rFonts w:cs="Times New Roman"/>
        </w:rPr>
        <w:t>C</w:t>
      </w:r>
      <w:r w:rsidR="008B737C" w:rsidRPr="00EF0D32">
        <w:rPr>
          <w:rFonts w:cs="Times New Roman"/>
        </w:rPr>
        <w:t>ommunication from the Commission to the</w:t>
      </w:r>
      <w:r w:rsidR="00C84C4F" w:rsidRPr="00EF0D32">
        <w:rPr>
          <w:rFonts w:cs="Times New Roman"/>
        </w:rPr>
        <w:t xml:space="preserve"> C</w:t>
      </w:r>
      <w:r w:rsidR="008B737C" w:rsidRPr="00EF0D32">
        <w:rPr>
          <w:rFonts w:cs="Times New Roman"/>
        </w:rPr>
        <w:t>ouncil</w:t>
      </w:r>
      <w:r w:rsidR="00C84C4F" w:rsidRPr="00EF0D32">
        <w:rPr>
          <w:rFonts w:cs="Times New Roman"/>
        </w:rPr>
        <w:t xml:space="preserve"> on force majeure and exceptional circumstances in Regulation (EU) 2021/2116 of the European Parliament and of the Council on the financing, management and monitoring of the common agricultural policy</w:t>
      </w:r>
      <w:r w:rsidR="008B737C">
        <w:rPr>
          <w:rFonts w:cs="Times New Roman"/>
        </w:rPr>
        <w:t xml:space="preserve">, </w:t>
      </w:r>
      <w:r w:rsidR="008B737C" w:rsidRPr="00FE6098">
        <w:rPr>
          <w:rFonts w:cs="Times New Roman"/>
        </w:rPr>
        <w:t>COM(2024)225</w:t>
      </w:r>
      <w:r w:rsidR="004A755E">
        <w:rPr>
          <w:rFonts w:cs="Times New Roman"/>
        </w:rPr>
        <w:t xml:space="preserve"> final</w:t>
      </w:r>
      <w:r w:rsidRPr="00FE6098">
        <w:rPr>
          <w:rFonts w:cs="Times New Roman"/>
        </w:rPr>
        <w:t>.</w:t>
      </w:r>
    </w:p>
  </w:footnote>
  <w:footnote w:id="36">
    <w:p w14:paraId="76E92725" w14:textId="6FB6DBC6" w:rsidR="00D45B3B" w:rsidRPr="00EF0D32" w:rsidRDefault="00D45B3B" w:rsidP="002E37E3">
      <w:pPr>
        <w:pStyle w:val="FootnoteText"/>
        <w:spacing w:after="20"/>
        <w:ind w:left="181" w:hanging="181"/>
        <w:rPr>
          <w:rFonts w:cs="Times New Roman"/>
        </w:rPr>
      </w:pPr>
      <w:r w:rsidRPr="00EF0D32">
        <w:rPr>
          <w:rStyle w:val="FootnoteReference"/>
          <w:rFonts w:cs="Times New Roman"/>
        </w:rPr>
        <w:footnoteRef/>
      </w:r>
      <w:r w:rsidRPr="00EF0D32">
        <w:rPr>
          <w:rFonts w:cs="Times New Roman"/>
        </w:rPr>
        <w:t xml:space="preserve"> </w:t>
      </w:r>
      <w:r w:rsidR="00C91E37">
        <w:rPr>
          <w:rFonts w:cs="Times New Roman"/>
        </w:rPr>
        <w:t xml:space="preserve">Articles 12-13 and </w:t>
      </w:r>
      <w:r w:rsidR="00E236A3" w:rsidRPr="00EF0D32">
        <w:rPr>
          <w:rStyle w:val="normaltextrun"/>
          <w:rFonts w:cs="Times New Roman"/>
          <w:color w:val="000000"/>
          <w:bdr w:val="none" w:sz="0" w:space="0" w:color="auto" w:frame="1"/>
        </w:rPr>
        <w:t xml:space="preserve">Annex III </w:t>
      </w:r>
      <w:r w:rsidR="00C91E37">
        <w:rPr>
          <w:rStyle w:val="normaltextrun"/>
          <w:rFonts w:cs="Times New Roman"/>
          <w:color w:val="000000"/>
          <w:bdr w:val="none" w:sz="0" w:space="0" w:color="auto" w:frame="1"/>
        </w:rPr>
        <w:t>to</w:t>
      </w:r>
      <w:r w:rsidR="00E236A3" w:rsidRPr="00EF0D32">
        <w:rPr>
          <w:rStyle w:val="normaltextrun"/>
          <w:rFonts w:cs="Times New Roman"/>
          <w:color w:val="000000"/>
          <w:bdr w:val="none" w:sz="0" w:space="0" w:color="auto" w:frame="1"/>
        </w:rPr>
        <w:t xml:space="preserve"> the CSP Regulation.</w:t>
      </w:r>
    </w:p>
  </w:footnote>
  <w:footnote w:id="37">
    <w:p w14:paraId="0F0D7363" w14:textId="551A2181" w:rsidR="00565A1B" w:rsidRPr="00EF0D32" w:rsidRDefault="00565A1B" w:rsidP="002E37E3">
      <w:pPr>
        <w:pStyle w:val="FootnoteText"/>
        <w:spacing w:after="20"/>
        <w:ind w:left="181" w:hanging="181"/>
        <w:rPr>
          <w:rFonts w:cs="Times New Roman"/>
        </w:rPr>
      </w:pPr>
      <w:r w:rsidRPr="00EF0D32">
        <w:rPr>
          <w:rStyle w:val="FootnoteReference"/>
          <w:rFonts w:cs="Times New Roman"/>
        </w:rPr>
        <w:footnoteRef/>
      </w:r>
      <w:r w:rsidRPr="00EF0D32">
        <w:rPr>
          <w:rFonts w:cs="Times New Roman"/>
        </w:rPr>
        <w:t xml:space="preserve"> </w:t>
      </w:r>
      <w:r w:rsidR="00B06820" w:rsidRPr="00EF0D32">
        <w:rPr>
          <w:rStyle w:val="normaltextrun"/>
          <w:rFonts w:cs="Times New Roman"/>
          <w:color w:val="000000"/>
          <w:shd w:val="clear" w:color="auto" w:fill="FFFFFF"/>
        </w:rPr>
        <w:t xml:space="preserve">As </w:t>
      </w:r>
      <w:r w:rsidR="0026602A">
        <w:rPr>
          <w:rStyle w:val="normaltextrun"/>
          <w:rFonts w:cs="Times New Roman"/>
          <w:color w:val="000000"/>
          <w:shd w:val="clear" w:color="auto" w:fill="FFFFFF"/>
        </w:rPr>
        <w:t>set</w:t>
      </w:r>
      <w:r w:rsidR="0026602A" w:rsidRPr="00EF0D32">
        <w:rPr>
          <w:rStyle w:val="normaltextrun"/>
          <w:rFonts w:cs="Times New Roman"/>
          <w:color w:val="000000"/>
          <w:shd w:val="clear" w:color="auto" w:fill="FFFFFF"/>
        </w:rPr>
        <w:t xml:space="preserve"> </w:t>
      </w:r>
      <w:r w:rsidR="00B06820" w:rsidRPr="00EF0D32">
        <w:rPr>
          <w:rStyle w:val="normaltextrun"/>
          <w:rFonts w:cs="Times New Roman"/>
          <w:color w:val="000000"/>
          <w:shd w:val="clear" w:color="auto" w:fill="FFFFFF"/>
        </w:rPr>
        <w:t>by a Member State in its CAP Strategic Plan</w:t>
      </w:r>
      <w:r w:rsidR="00286939">
        <w:rPr>
          <w:rStyle w:val="normaltextrun"/>
          <w:rFonts w:cs="Times New Roman"/>
          <w:color w:val="000000"/>
          <w:shd w:val="clear" w:color="auto" w:fill="FFFFFF"/>
        </w:rPr>
        <w:t>.</w:t>
      </w:r>
    </w:p>
  </w:footnote>
  <w:footnote w:id="38">
    <w:p w14:paraId="7D0F2088" w14:textId="039082F7" w:rsidR="00BE6A96" w:rsidRPr="00EF0D32" w:rsidRDefault="00BE6A96" w:rsidP="002E37E3">
      <w:pPr>
        <w:pStyle w:val="FootnoteText"/>
        <w:spacing w:after="20"/>
        <w:ind w:left="181" w:hanging="181"/>
        <w:jc w:val="both"/>
        <w:rPr>
          <w:rFonts w:cs="Times New Roman"/>
        </w:rPr>
      </w:pPr>
      <w:r w:rsidRPr="00EF0D32">
        <w:rPr>
          <w:rStyle w:val="FootnoteReference"/>
          <w:rFonts w:cs="Times New Roman"/>
        </w:rPr>
        <w:footnoteRef/>
      </w:r>
      <w:r w:rsidRPr="00EF0D32">
        <w:rPr>
          <w:rFonts w:cs="Times New Roman"/>
        </w:rPr>
        <w:t xml:space="preserve"> </w:t>
      </w:r>
      <w:r>
        <w:rPr>
          <w:rFonts w:cs="Times New Roman"/>
        </w:rPr>
        <w:t xml:space="preserve">Commission </w:t>
      </w:r>
      <w:r w:rsidRPr="00EF0D32">
        <w:rPr>
          <w:rStyle w:val="normaltextrun"/>
          <w:rFonts w:cs="Times New Roman"/>
          <w:color w:val="000000"/>
          <w:shd w:val="clear" w:color="auto" w:fill="FFFFFF"/>
        </w:rPr>
        <w:t>Delegated Regulation (EU) No 2022/12</w:t>
      </w:r>
      <w:r>
        <w:rPr>
          <w:rStyle w:val="normaltextrun"/>
          <w:rFonts w:cs="Times New Roman"/>
          <w:color w:val="000000"/>
          <w:shd w:val="clear" w:color="auto" w:fill="FFFFFF"/>
        </w:rPr>
        <w:t xml:space="preserve">6 </w:t>
      </w:r>
      <w:r>
        <w:rPr>
          <w:rStyle w:val="normaltextrun"/>
          <w:rFonts w:cs="Times New Roman"/>
          <w:color w:val="000000"/>
        </w:rPr>
        <w:t>of</w:t>
      </w:r>
      <w:r w:rsidRPr="00B11A45">
        <w:rPr>
          <w:rStyle w:val="normaltextrun"/>
          <w:rFonts w:cs="Times New Roman"/>
          <w:color w:val="000000"/>
        </w:rPr>
        <w:t xml:space="preserve"> 7 December 2021 supplementing Regulation (EU) 2021/2115 of the European Parliament and of the Council with additional requirements for certain types of intervention specified by Member States in their CAP Strategic Plans for 2023</w:t>
      </w:r>
      <w:r w:rsidR="003215AD">
        <w:rPr>
          <w:rStyle w:val="normaltextrun"/>
          <w:rFonts w:cs="Times New Roman"/>
          <w:color w:val="000000"/>
        </w:rPr>
        <w:t>-</w:t>
      </w:r>
      <w:r w:rsidRPr="00B11A45">
        <w:rPr>
          <w:rStyle w:val="normaltextrun"/>
          <w:rFonts w:cs="Times New Roman"/>
          <w:color w:val="000000"/>
        </w:rPr>
        <w:t>2027 under that Regulation</w:t>
      </w:r>
      <w:r w:rsidR="003215AD">
        <w:rPr>
          <w:rStyle w:val="normaltextrun"/>
          <w:rFonts w:cs="Times New Roman"/>
          <w:color w:val="000000"/>
        </w:rPr>
        <w:t>,</w:t>
      </w:r>
      <w:r w:rsidRPr="00B11A45">
        <w:rPr>
          <w:rStyle w:val="normaltextrun"/>
          <w:rFonts w:cs="Times New Roman"/>
          <w:color w:val="000000"/>
        </w:rPr>
        <w:t xml:space="preserve"> as well as rules on the ratio for GAEC standard 1</w:t>
      </w:r>
      <w:r>
        <w:rPr>
          <w:rStyle w:val="normaltextrun"/>
          <w:rFonts w:cs="Times New Roman"/>
          <w:color w:val="000000"/>
        </w:rPr>
        <w:t>, OJ L 20, 31.1.2022, pp. 52-94</w:t>
      </w:r>
      <w:r>
        <w:rPr>
          <w:rStyle w:val="normaltextrun"/>
          <w:rFonts w:cs="Times New Roman"/>
          <w:color w:val="000000"/>
          <w:shd w:val="clear" w:color="auto" w:fill="FFFFFF"/>
        </w:rPr>
        <w:t>.</w:t>
      </w:r>
    </w:p>
  </w:footnote>
  <w:footnote w:id="39">
    <w:p w14:paraId="0BE824A9" w14:textId="058E8038" w:rsidR="0062507C" w:rsidRPr="00EF0D32" w:rsidRDefault="0062507C" w:rsidP="002E37E3">
      <w:pPr>
        <w:pStyle w:val="FootnoteText"/>
        <w:spacing w:after="20"/>
        <w:ind w:left="181" w:hanging="181"/>
        <w:rPr>
          <w:rFonts w:cs="Times New Roman"/>
        </w:rPr>
      </w:pPr>
      <w:r w:rsidRPr="00EF0D32">
        <w:rPr>
          <w:rStyle w:val="FootnoteReference"/>
          <w:rFonts w:cs="Times New Roman"/>
        </w:rPr>
        <w:footnoteRef/>
      </w:r>
      <w:r w:rsidRPr="00EF0D32">
        <w:rPr>
          <w:rFonts w:cs="Times New Roman"/>
        </w:rPr>
        <w:t xml:space="preserve"> </w:t>
      </w:r>
      <w:r w:rsidR="00E11D98" w:rsidRPr="00EF0D32">
        <w:rPr>
          <w:rStyle w:val="normaltextrun"/>
          <w:rFonts w:cs="Times New Roman"/>
          <w:color w:val="000000"/>
          <w:shd w:val="clear" w:color="auto" w:fill="FFFFFF"/>
        </w:rPr>
        <w:t>Commission Delegated Regulation (EU) 2024/1235</w:t>
      </w:r>
      <w:r w:rsidR="00133336">
        <w:rPr>
          <w:rStyle w:val="normaltextrun"/>
          <w:rFonts w:cs="Times New Roman"/>
          <w:color w:val="000000"/>
          <w:shd w:val="clear" w:color="auto" w:fill="FFFFFF"/>
        </w:rPr>
        <w:t>.</w:t>
      </w:r>
    </w:p>
  </w:footnote>
  <w:footnote w:id="40">
    <w:p w14:paraId="7AA8B198" w14:textId="7CBE53C6" w:rsidR="00966322" w:rsidRDefault="00966322" w:rsidP="008723B3">
      <w:pPr>
        <w:pStyle w:val="FootnoteText"/>
        <w:ind w:left="180" w:hanging="180"/>
      </w:pPr>
      <w:r w:rsidRPr="00EF0D32">
        <w:rPr>
          <w:rStyle w:val="FootnoteReference"/>
          <w:rFonts w:cs="Times New Roman"/>
        </w:rPr>
        <w:footnoteRef/>
      </w:r>
      <w:r w:rsidRPr="00EF0D32">
        <w:rPr>
          <w:rFonts w:cs="Times New Roman"/>
        </w:rPr>
        <w:t xml:space="preserve"> </w:t>
      </w:r>
      <w:r w:rsidR="00EE570C" w:rsidRPr="00EF0D32">
        <w:rPr>
          <w:rStyle w:val="normaltextrun"/>
          <w:rFonts w:cs="Times New Roman"/>
          <w:color w:val="000000"/>
          <w:shd w:val="clear" w:color="auto" w:fill="FFFFFF"/>
        </w:rPr>
        <w:t>That are registered in Member States Land Parcel Identification System (LPIS)</w:t>
      </w:r>
      <w:r w:rsidR="00C57878">
        <w:rPr>
          <w:rStyle w:val="normaltextrun"/>
          <w:rFonts w:cs="Times New Roman"/>
          <w:color w:val="000000"/>
          <w:shd w:val="clear" w:color="auto" w:fill="FFFFFF"/>
        </w:rPr>
        <w:t>.</w:t>
      </w:r>
    </w:p>
  </w:footnote>
  <w:footnote w:id="41">
    <w:p w14:paraId="1DC9FCD6" w14:textId="46D99E1D" w:rsidR="003506C6" w:rsidRPr="00D30AE7" w:rsidRDefault="003506C6" w:rsidP="008723B3">
      <w:pPr>
        <w:pStyle w:val="FootnoteText"/>
        <w:spacing w:after="20"/>
        <w:ind w:left="180" w:hanging="180"/>
        <w:rPr>
          <w:rFonts w:cs="Times New Roman"/>
        </w:rPr>
      </w:pPr>
      <w:r w:rsidRPr="00D30AE7">
        <w:rPr>
          <w:rStyle w:val="FootnoteReference"/>
          <w:rFonts w:cs="Times New Roman"/>
        </w:rPr>
        <w:footnoteRef/>
      </w:r>
      <w:r w:rsidRPr="00D30AE7">
        <w:rPr>
          <w:rFonts w:cs="Times New Roman"/>
        </w:rPr>
        <w:t xml:space="preserve"> </w:t>
      </w:r>
      <w:r w:rsidR="00AC12C9" w:rsidRPr="000A3A21">
        <w:rPr>
          <w:rFonts w:cs="Times New Roman"/>
        </w:rPr>
        <w:t xml:space="preserve">Article 1(2), point </w:t>
      </w:r>
      <w:r w:rsidR="00A12E2B">
        <w:rPr>
          <w:rFonts w:cs="Times New Roman"/>
        </w:rPr>
        <w:t>(</w:t>
      </w:r>
      <w:r w:rsidR="00AC12C9" w:rsidRPr="000A3A21">
        <w:rPr>
          <w:rFonts w:cs="Times New Roman"/>
        </w:rPr>
        <w:t>a) of Regulation (EU) 2024/1468</w:t>
      </w:r>
      <w:r w:rsidR="00133336">
        <w:rPr>
          <w:rFonts w:cs="Times New Roman"/>
        </w:rPr>
        <w:t>.</w:t>
      </w:r>
    </w:p>
  </w:footnote>
  <w:footnote w:id="42">
    <w:p w14:paraId="332CEB21" w14:textId="25939A19" w:rsidR="00FD7858" w:rsidRPr="00D30AE7" w:rsidRDefault="00FD7858" w:rsidP="008723B3">
      <w:pPr>
        <w:pStyle w:val="FootnoteText"/>
        <w:spacing w:after="20"/>
        <w:ind w:left="180" w:hanging="180"/>
        <w:rPr>
          <w:rFonts w:cs="Times New Roman"/>
        </w:rPr>
      </w:pPr>
      <w:r w:rsidRPr="00D30AE7">
        <w:rPr>
          <w:rStyle w:val="FootnoteReference"/>
          <w:rFonts w:cs="Times New Roman"/>
        </w:rPr>
        <w:footnoteRef/>
      </w:r>
      <w:r w:rsidRPr="00D30AE7">
        <w:rPr>
          <w:rFonts w:cs="Times New Roman"/>
        </w:rPr>
        <w:t xml:space="preserve"> </w:t>
      </w:r>
      <w:r w:rsidR="00AC12C9" w:rsidRPr="000A3A21">
        <w:rPr>
          <w:rFonts w:cs="Times New Roman"/>
        </w:rPr>
        <w:t xml:space="preserve">Article 1(2), point </w:t>
      </w:r>
      <w:r w:rsidR="00A12E2B">
        <w:rPr>
          <w:rFonts w:cs="Times New Roman"/>
        </w:rPr>
        <w:t>(</w:t>
      </w:r>
      <w:r w:rsidR="00AC12C9" w:rsidRPr="000A3A21">
        <w:rPr>
          <w:rFonts w:cs="Times New Roman"/>
        </w:rPr>
        <w:t>b) of Regulation (EU) 2024/1468</w:t>
      </w:r>
      <w:r w:rsidR="00133336">
        <w:rPr>
          <w:rFonts w:cs="Times New Roman"/>
        </w:rPr>
        <w:t>.</w:t>
      </w:r>
    </w:p>
  </w:footnote>
  <w:footnote w:id="43">
    <w:p w14:paraId="1A7D9F75" w14:textId="2A8B8993" w:rsidR="000A5C10" w:rsidRPr="000A3A21" w:rsidRDefault="000A5C10" w:rsidP="008723B3">
      <w:pPr>
        <w:pStyle w:val="FootnoteText"/>
        <w:ind w:left="180" w:hanging="180"/>
      </w:pPr>
      <w:r w:rsidRPr="00D30AE7">
        <w:rPr>
          <w:rStyle w:val="FootnoteReference"/>
          <w:rFonts w:cs="Times New Roman"/>
        </w:rPr>
        <w:footnoteRef/>
      </w:r>
      <w:r w:rsidRPr="00D30AE7">
        <w:rPr>
          <w:rFonts w:cs="Times New Roman"/>
        </w:rPr>
        <w:t xml:space="preserve"> Article </w:t>
      </w:r>
      <w:r w:rsidR="000A3A21" w:rsidRPr="00D30AE7">
        <w:rPr>
          <w:rFonts w:cs="Times New Roman"/>
        </w:rPr>
        <w:t>120 of the CSP Regulation</w:t>
      </w:r>
      <w:r w:rsidR="00133336">
        <w:rPr>
          <w:rFonts w:cs="Times New Roman"/>
        </w:rPr>
        <w:t>.</w:t>
      </w:r>
    </w:p>
  </w:footnote>
  <w:footnote w:id="44">
    <w:p w14:paraId="3538C9C6" w14:textId="19658069" w:rsidR="00C82F35" w:rsidRPr="00D30AE7" w:rsidRDefault="00C82F35" w:rsidP="000F44A7">
      <w:pPr>
        <w:pStyle w:val="FootnoteText"/>
        <w:spacing w:after="20"/>
        <w:ind w:left="181" w:hanging="181"/>
        <w:rPr>
          <w:rFonts w:cs="Times New Roman"/>
        </w:rPr>
      </w:pPr>
      <w:r w:rsidRPr="00D30AE7">
        <w:rPr>
          <w:rStyle w:val="FootnoteReference"/>
          <w:rFonts w:cs="Times New Roman"/>
        </w:rPr>
        <w:footnoteRef/>
      </w:r>
      <w:r w:rsidRPr="00D30AE7">
        <w:rPr>
          <w:rFonts w:cs="Times New Roman"/>
        </w:rPr>
        <w:t xml:space="preserve"> </w:t>
      </w:r>
      <w:hyperlink r:id="rId18" w:history="1">
        <w:r w:rsidR="00B721DC" w:rsidRPr="00D30AE7">
          <w:rPr>
            <w:rStyle w:val="Hyperlink"/>
            <w:rFonts w:cs="Times New Roman"/>
          </w:rPr>
          <w:t>https://ec.europa.eu/commission/presscorner/detail/en/ip_24_1493</w:t>
        </w:r>
      </w:hyperlink>
      <w:r w:rsidR="00B721DC">
        <w:rPr>
          <w:rFonts w:cs="Times New Roman"/>
        </w:rPr>
        <w:t xml:space="preserve"> </w:t>
      </w:r>
    </w:p>
  </w:footnote>
  <w:footnote w:id="45">
    <w:p w14:paraId="4CD90183" w14:textId="28D422E8" w:rsidR="00726190" w:rsidRPr="00072033" w:rsidRDefault="00726190" w:rsidP="000F44A7">
      <w:pPr>
        <w:pStyle w:val="FootnoteText"/>
        <w:spacing w:after="20"/>
        <w:ind w:left="181" w:hanging="181"/>
        <w:jc w:val="both"/>
        <w:rPr>
          <w:rFonts w:cs="Times New Roman"/>
        </w:rPr>
      </w:pPr>
      <w:r w:rsidRPr="00072033">
        <w:rPr>
          <w:rStyle w:val="FootnoteReference"/>
          <w:rFonts w:cs="Times New Roman"/>
        </w:rPr>
        <w:footnoteRef/>
      </w:r>
      <w:r w:rsidRPr="00F34777">
        <w:rPr>
          <w:rFonts w:cs="Times New Roman"/>
        </w:rPr>
        <w:t xml:space="preserve"> </w:t>
      </w:r>
      <w:r w:rsidR="00072033" w:rsidRPr="00F34777">
        <w:rPr>
          <w:rStyle w:val="normaltextrun"/>
          <w:rFonts w:cs="Times New Roman"/>
          <w:shd w:val="clear" w:color="auto" w:fill="FFFFFF"/>
        </w:rPr>
        <w:t xml:space="preserve"> </w:t>
      </w:r>
      <w:r w:rsidR="006C2889" w:rsidRPr="00844F06">
        <w:rPr>
          <w:rStyle w:val="Hyperlink"/>
          <w:rFonts w:cs="Times New Roman"/>
        </w:rPr>
        <w:t>https://agriculture.ec.europa.eu/common-agricultural-policy/agri-food-supply-chain/afco_en</w:t>
      </w:r>
    </w:p>
  </w:footnote>
  <w:footnote w:id="46">
    <w:p w14:paraId="3E98A63E" w14:textId="08715317" w:rsidR="00800443" w:rsidRPr="00072033" w:rsidRDefault="00800443" w:rsidP="000F44A7">
      <w:pPr>
        <w:pStyle w:val="FootnoteText"/>
        <w:spacing w:after="20"/>
        <w:ind w:left="181" w:hanging="181"/>
        <w:jc w:val="both"/>
        <w:rPr>
          <w:rFonts w:cs="Times New Roman"/>
        </w:rPr>
      </w:pPr>
      <w:r w:rsidRPr="00072033">
        <w:rPr>
          <w:rStyle w:val="FootnoteReference"/>
          <w:rFonts w:cs="Times New Roman"/>
        </w:rPr>
        <w:footnoteRef/>
      </w:r>
      <w:r w:rsidRPr="00F34777">
        <w:rPr>
          <w:rFonts w:cs="Times New Roman"/>
        </w:rPr>
        <w:t xml:space="preserve"> </w:t>
      </w:r>
      <w:r w:rsidR="00E539F9" w:rsidRPr="00F34777">
        <w:rPr>
          <w:rStyle w:val="normaltextrun"/>
          <w:rFonts w:cs="Times New Roman"/>
          <w:shd w:val="clear" w:color="auto" w:fill="FFFFFF"/>
        </w:rPr>
        <w:t> </w:t>
      </w:r>
      <w:r w:rsidR="00072033" w:rsidRPr="00F34777">
        <w:rPr>
          <w:rStyle w:val="normaltextrun"/>
          <w:rFonts w:cs="Times New Roman"/>
          <w:shd w:val="clear" w:color="auto" w:fill="FFFFFF"/>
        </w:rPr>
        <w:t>COM</w:t>
      </w:r>
      <w:r w:rsidR="003C3283">
        <w:rPr>
          <w:rStyle w:val="normaltextrun"/>
          <w:rFonts w:cs="Times New Roman"/>
          <w:shd w:val="clear" w:color="auto" w:fill="FFFFFF"/>
        </w:rPr>
        <w:t>(</w:t>
      </w:r>
      <w:r w:rsidR="00072033" w:rsidRPr="00F34777">
        <w:rPr>
          <w:rStyle w:val="normaltextrun"/>
          <w:rFonts w:cs="Times New Roman"/>
          <w:shd w:val="clear" w:color="auto" w:fill="FFFFFF"/>
        </w:rPr>
        <w:t>2024</w:t>
      </w:r>
      <w:r w:rsidR="003C3283">
        <w:rPr>
          <w:rStyle w:val="normaltextrun"/>
          <w:rFonts w:cs="Times New Roman"/>
          <w:shd w:val="clear" w:color="auto" w:fill="FFFFFF"/>
        </w:rPr>
        <w:t>)</w:t>
      </w:r>
      <w:r w:rsidR="00072033" w:rsidRPr="00F34777">
        <w:rPr>
          <w:rStyle w:val="normaltextrun"/>
          <w:rFonts w:cs="Times New Roman"/>
          <w:shd w:val="clear" w:color="auto" w:fill="FFFFFF"/>
        </w:rPr>
        <w:t>176 ‘</w:t>
      </w:r>
      <w:r w:rsidR="00E539F9" w:rsidRPr="00F34777">
        <w:rPr>
          <w:rStyle w:val="normaltextrun"/>
          <w:rFonts w:cs="Times New Roman"/>
          <w:shd w:val="clear" w:color="auto" w:fill="FFFFFF"/>
        </w:rPr>
        <w:t>Implementing the prohibition of unfair trading practices to strengthen the position of farmers and operators in the agricultural and food supply chain – State of play</w:t>
      </w:r>
      <w:r w:rsidR="00072033" w:rsidRPr="00F34777">
        <w:rPr>
          <w:rStyle w:val="normaltextrun"/>
          <w:rFonts w:cs="Times New Roman"/>
          <w:shd w:val="clear" w:color="auto" w:fill="FFFFFF"/>
        </w:rPr>
        <w:t>’</w:t>
      </w:r>
      <w:r w:rsidR="00A95DF5">
        <w:rPr>
          <w:rStyle w:val="normaltextrun"/>
          <w:rFonts w:cs="Times New Roman"/>
          <w:shd w:val="clear" w:color="auto" w:fill="FFFFFF"/>
        </w:rPr>
        <w:t>.</w:t>
      </w:r>
      <w:r w:rsidR="00E539F9" w:rsidRPr="00F34777">
        <w:rPr>
          <w:rStyle w:val="normaltextrun"/>
          <w:rFonts w:cs="Times New Roman"/>
          <w:shd w:val="clear" w:color="auto" w:fill="FFFFFF"/>
        </w:rPr>
        <w:t>  </w:t>
      </w:r>
      <w:r w:rsidR="0012616A" w:rsidRPr="00F34777" w:rsidDel="0012616A">
        <w:rPr>
          <w:rFonts w:cs="Times New Roman"/>
        </w:rPr>
        <w:t xml:space="preserve"> </w:t>
      </w:r>
    </w:p>
  </w:footnote>
  <w:footnote w:id="47">
    <w:p w14:paraId="3A8CF74E" w14:textId="2D817A09" w:rsidR="00384EAC" w:rsidRPr="00B34204" w:rsidRDefault="00384EAC" w:rsidP="000F44A7">
      <w:pPr>
        <w:pStyle w:val="FootnoteText"/>
        <w:spacing w:after="20"/>
        <w:ind w:left="181" w:hanging="181"/>
        <w:jc w:val="both"/>
        <w:rPr>
          <w:rFonts w:cs="Times New Roman"/>
        </w:rPr>
      </w:pPr>
      <w:r w:rsidRPr="00072033">
        <w:rPr>
          <w:rStyle w:val="FootnoteReference"/>
          <w:rFonts w:cs="Times New Roman"/>
        </w:rPr>
        <w:footnoteRef/>
      </w:r>
      <w:r w:rsidRPr="00072033">
        <w:rPr>
          <w:rFonts w:cs="Times New Roman"/>
        </w:rPr>
        <w:t xml:space="preserve"> </w:t>
      </w:r>
      <w:r w:rsidR="007456C9" w:rsidRPr="00F34777">
        <w:rPr>
          <w:rStyle w:val="normaltextrun"/>
          <w:rFonts w:cs="Times New Roman"/>
          <w:shd w:val="clear" w:color="auto" w:fill="FFFFFF"/>
        </w:rPr>
        <w:t xml:space="preserve">Directive (EU) 2019/633 </w:t>
      </w:r>
      <w:r w:rsidR="0007048A">
        <w:rPr>
          <w:rStyle w:val="normaltextrun"/>
          <w:rFonts w:cs="Times New Roman"/>
          <w:shd w:val="clear" w:color="auto" w:fill="FFFFFF"/>
        </w:rPr>
        <w:t xml:space="preserve">of the European Parliament and of the Council of 17 April 2019 </w:t>
      </w:r>
      <w:r w:rsidR="007456C9" w:rsidRPr="00F34777">
        <w:rPr>
          <w:rStyle w:val="normaltextrun"/>
          <w:rFonts w:cs="Times New Roman"/>
          <w:shd w:val="clear" w:color="auto" w:fill="FFFFFF"/>
        </w:rPr>
        <w:t>on unfair trading practices in business-to-business relationships in the agricultural and food supply chain</w:t>
      </w:r>
      <w:r w:rsidR="00C91F06" w:rsidRPr="00C91F06">
        <w:rPr>
          <w:rStyle w:val="normaltextrun"/>
          <w:rFonts w:cs="Times New Roman"/>
          <w:shd w:val="clear" w:color="auto" w:fill="FFFFFF"/>
        </w:rPr>
        <w:t xml:space="preserve">, OJ L 111, 24.05.2019, p. 59-72.  </w:t>
      </w:r>
      <w:r w:rsidR="007456C9" w:rsidRPr="00B34204" w:rsidDel="007456C9">
        <w:rPr>
          <w:rFonts w:cs="Times New Roman"/>
          <w:highlight w:val="yellow"/>
        </w:rPr>
        <w:t xml:space="preserve"> </w:t>
      </w:r>
    </w:p>
  </w:footnote>
  <w:footnote w:id="48">
    <w:p w14:paraId="7FA0F2AF" w14:textId="30A65981" w:rsidR="008F5FEE" w:rsidRPr="00B34204" w:rsidRDefault="008F5FEE" w:rsidP="000F44A7">
      <w:pPr>
        <w:pStyle w:val="FootnoteText"/>
        <w:spacing w:after="20"/>
        <w:ind w:left="181" w:hanging="181"/>
        <w:rPr>
          <w:rFonts w:cs="Times New Roman"/>
        </w:rPr>
      </w:pPr>
      <w:r w:rsidRPr="00B34204">
        <w:rPr>
          <w:rStyle w:val="FootnoteReference"/>
          <w:rFonts w:cs="Times New Roman"/>
        </w:rPr>
        <w:footnoteRef/>
      </w:r>
      <w:r w:rsidRPr="00F34777">
        <w:rPr>
          <w:rFonts w:cs="Times New Roman"/>
        </w:rPr>
        <w:t xml:space="preserve"> </w:t>
      </w:r>
      <w:r w:rsidR="00294BF0" w:rsidRPr="00F34777">
        <w:rPr>
          <w:rStyle w:val="normaltextrun"/>
          <w:rFonts w:cs="Times New Roman"/>
          <w:shd w:val="clear" w:color="auto" w:fill="FFFFFF"/>
        </w:rPr>
        <w:t>SWD</w:t>
      </w:r>
      <w:r w:rsidR="00B721DC">
        <w:rPr>
          <w:rStyle w:val="normaltextrun"/>
          <w:rFonts w:cs="Times New Roman"/>
          <w:shd w:val="clear" w:color="auto" w:fill="FFFFFF"/>
        </w:rPr>
        <w:t>(</w:t>
      </w:r>
      <w:r w:rsidR="00294BF0" w:rsidRPr="00F34777">
        <w:rPr>
          <w:rStyle w:val="normaltextrun"/>
          <w:rFonts w:cs="Times New Roman"/>
          <w:shd w:val="clear" w:color="auto" w:fill="FFFFFF"/>
        </w:rPr>
        <w:t>2024</w:t>
      </w:r>
      <w:r w:rsidR="00B721DC">
        <w:rPr>
          <w:rStyle w:val="normaltextrun"/>
          <w:rFonts w:cs="Times New Roman"/>
          <w:shd w:val="clear" w:color="auto" w:fill="FFFFFF"/>
        </w:rPr>
        <w:t>)</w:t>
      </w:r>
      <w:r w:rsidR="00294BF0" w:rsidRPr="00F34777">
        <w:rPr>
          <w:rStyle w:val="normaltextrun"/>
          <w:rFonts w:cs="Times New Roman"/>
          <w:shd w:val="clear" w:color="auto" w:fill="FFFFFF"/>
        </w:rPr>
        <w:t>106 final with o</w:t>
      </w:r>
      <w:r w:rsidR="007B6D4B" w:rsidRPr="00F34777">
        <w:rPr>
          <w:rStyle w:val="normaltextrun"/>
          <w:rFonts w:cs="Times New Roman"/>
          <w:shd w:val="clear" w:color="auto" w:fill="FFFFFF"/>
        </w:rPr>
        <w:t xml:space="preserve">verview </w:t>
      </w:r>
      <w:r w:rsidR="00B721DC">
        <w:rPr>
          <w:rStyle w:val="normaltextrun"/>
          <w:rFonts w:cs="Times New Roman"/>
          <w:shd w:val="clear" w:color="auto" w:fill="FFFFFF"/>
        </w:rPr>
        <w:t>of</w:t>
      </w:r>
      <w:r w:rsidR="007B6D4B" w:rsidRPr="00F34777">
        <w:rPr>
          <w:rStyle w:val="normaltextrun"/>
          <w:rFonts w:cs="Times New Roman"/>
          <w:shd w:val="clear" w:color="auto" w:fill="FFFFFF"/>
        </w:rPr>
        <w:t xml:space="preserve"> Member States’ transposition choices and enforcement activities</w:t>
      </w:r>
      <w:r w:rsidR="00A95DF5">
        <w:rPr>
          <w:rStyle w:val="normaltextrun"/>
          <w:rFonts w:cs="Times New Roman"/>
          <w:shd w:val="clear" w:color="auto" w:fill="FFFFFF"/>
        </w:rPr>
        <w:t>.</w:t>
      </w:r>
    </w:p>
  </w:footnote>
  <w:footnote w:id="49">
    <w:p w14:paraId="24BDDE05" w14:textId="77777777" w:rsidR="00A91AA9" w:rsidRPr="00EF0D32" w:rsidRDefault="00A91AA9" w:rsidP="008723B3">
      <w:pPr>
        <w:pStyle w:val="FootnoteText"/>
        <w:spacing w:after="20"/>
        <w:ind w:left="180" w:hanging="180"/>
        <w:rPr>
          <w:rFonts w:cs="Times New Roman"/>
        </w:rPr>
      </w:pPr>
      <w:r w:rsidRPr="00B34204">
        <w:rPr>
          <w:rStyle w:val="FootnoteReference"/>
          <w:rFonts w:cs="Times New Roman"/>
        </w:rPr>
        <w:footnoteRef/>
      </w:r>
      <w:r w:rsidRPr="00B34204">
        <w:rPr>
          <w:rFonts w:cs="Times New Roman"/>
        </w:rPr>
        <w:t xml:space="preserve"> </w:t>
      </w:r>
      <w:r w:rsidR="00045480" w:rsidRPr="00045480">
        <w:rPr>
          <w:rFonts w:cs="Times New Roman"/>
        </w:rPr>
        <w:t>Regulation (EU) No 1308/2013</w:t>
      </w:r>
      <w:r w:rsidR="00A95DF5">
        <w:rPr>
          <w:rFonts w:cs="Times New Roman"/>
        </w:rPr>
        <w:t>.</w:t>
      </w:r>
    </w:p>
  </w:footnote>
  <w:footnote w:id="50">
    <w:p w14:paraId="2AB07512" w14:textId="28146DF1" w:rsidR="00DC5FF7" w:rsidRPr="00DC5FF7" w:rsidRDefault="00DC5FF7" w:rsidP="008723B3">
      <w:pPr>
        <w:pStyle w:val="FootnoteText"/>
        <w:spacing w:after="20"/>
        <w:ind w:left="180" w:hanging="180"/>
      </w:pPr>
      <w:r w:rsidRPr="00EF0D32">
        <w:rPr>
          <w:rStyle w:val="FootnoteReference"/>
          <w:rFonts w:cs="Times New Roman"/>
        </w:rPr>
        <w:footnoteRef/>
      </w:r>
      <w:r w:rsidRPr="00EF0D32">
        <w:rPr>
          <w:rFonts w:cs="Times New Roman"/>
        </w:rPr>
        <w:t xml:space="preserve"> </w:t>
      </w:r>
      <w:r w:rsidR="00ED25E8">
        <w:rPr>
          <w:rFonts w:cs="Times New Roman"/>
        </w:rPr>
        <w:t>S</w:t>
      </w:r>
      <w:r w:rsidR="00B34204" w:rsidRPr="00EF0D32">
        <w:rPr>
          <w:rFonts w:cs="Times New Roman"/>
        </w:rPr>
        <w:t>et up under the CSP Regulation</w:t>
      </w:r>
      <w:r w:rsidR="00DE6E30">
        <w:rPr>
          <w:rFonts w:cs="Times New Roman"/>
        </w:rPr>
        <w:t xml:space="preserve">; see: </w:t>
      </w:r>
      <w:hyperlink r:id="rId19" w:history="1">
        <w:r w:rsidR="00045480" w:rsidRPr="00523824">
          <w:rPr>
            <w:rStyle w:val="Hyperlink"/>
            <w:rFonts w:cs="Times New Roman"/>
          </w:rPr>
          <w:t>https://eu-cap-network.ec.europa.eu/about/eu-cap-network_en</w:t>
        </w:r>
      </w:hyperlink>
      <w:r w:rsidR="00DE6E30">
        <w:rPr>
          <w:rFonts w:cs="Times New Roman"/>
        </w:rPr>
        <w:t xml:space="preserve"> </w:t>
      </w:r>
    </w:p>
  </w:footnote>
  <w:footnote w:id="51">
    <w:p w14:paraId="41194668" w14:textId="094F6D28" w:rsidR="009F1B59" w:rsidRPr="00261DD7" w:rsidRDefault="009F1B59" w:rsidP="000F44A7">
      <w:pPr>
        <w:spacing w:after="20" w:line="240" w:lineRule="auto"/>
        <w:ind w:left="181" w:hanging="181"/>
        <w:jc w:val="both"/>
        <w:rPr>
          <w:rFonts w:cs="Times New Roman"/>
          <w:lang w:val="en-GB"/>
        </w:rPr>
      </w:pPr>
      <w:r w:rsidRPr="00EE5C3E">
        <w:rPr>
          <w:rStyle w:val="FootnoteReference"/>
          <w:rFonts w:cs="Times New Roman"/>
          <w:sz w:val="20"/>
          <w:szCs w:val="20"/>
        </w:rPr>
        <w:footnoteRef/>
      </w:r>
      <w:r w:rsidRPr="00EE5C3E">
        <w:rPr>
          <w:rFonts w:cs="Times New Roman"/>
          <w:sz w:val="20"/>
          <w:szCs w:val="20"/>
        </w:rPr>
        <w:t xml:space="preserve"> </w:t>
      </w:r>
      <w:r w:rsidRPr="00EE5C3E">
        <w:rPr>
          <w:rFonts w:cs="Times New Roman"/>
          <w:sz w:val="20"/>
          <w:szCs w:val="20"/>
          <w:lang w:val="en-GB"/>
        </w:rPr>
        <w:t xml:space="preserve">Under Horizon Europe, the EU Mission </w:t>
      </w:r>
      <w:r w:rsidRPr="00EE5C3E">
        <w:rPr>
          <w:rFonts w:cs="Times New Roman"/>
          <w:i/>
          <w:iCs/>
          <w:sz w:val="20"/>
          <w:szCs w:val="20"/>
          <w:lang w:val="en-GB"/>
        </w:rPr>
        <w:t>‘A Soil Deal for Europe’</w:t>
      </w:r>
      <w:r w:rsidRPr="00EE5C3E">
        <w:rPr>
          <w:rFonts w:cs="Times New Roman"/>
          <w:sz w:val="20"/>
          <w:szCs w:val="20"/>
          <w:lang w:val="en-GB"/>
        </w:rPr>
        <w:t xml:space="preserve"> is </w:t>
      </w:r>
      <w:r w:rsidR="00AD73A9" w:rsidRPr="00EE5C3E">
        <w:rPr>
          <w:rFonts w:cs="Times New Roman"/>
          <w:sz w:val="20"/>
          <w:szCs w:val="20"/>
          <w:lang w:val="en-GB"/>
        </w:rPr>
        <w:t xml:space="preserve">creating </w:t>
      </w:r>
      <w:r w:rsidRPr="00EE5C3E">
        <w:rPr>
          <w:rFonts w:cs="Times New Roman"/>
          <w:sz w:val="20"/>
          <w:szCs w:val="20"/>
          <w:lang w:val="en-GB"/>
        </w:rPr>
        <w:t>a network of 100 Living Labs and Lighthouses, where land managers will test innovative soil health solutions on the ground, to lead the transition towards healthy soils by 2030. The results of the Mission’s Living Labs are expected to be replicated and scaled up by around 1</w:t>
      </w:r>
      <w:r w:rsidR="00AD73A9" w:rsidRPr="00EE5C3E">
        <w:rPr>
          <w:rFonts w:cs="Times New Roman"/>
          <w:sz w:val="20"/>
          <w:szCs w:val="20"/>
          <w:lang w:val="en-GB"/>
        </w:rPr>
        <w:t> </w:t>
      </w:r>
      <w:r w:rsidRPr="00EE5C3E">
        <w:rPr>
          <w:rFonts w:cs="Times New Roman"/>
          <w:sz w:val="20"/>
          <w:szCs w:val="20"/>
          <w:lang w:val="en-GB"/>
        </w:rPr>
        <w:t>000 CAP Network Operational Groups (</w:t>
      </w:r>
      <w:r w:rsidR="00AD73A9" w:rsidRPr="00EE5C3E">
        <w:rPr>
          <w:rFonts w:cs="Times New Roman"/>
          <w:sz w:val="20"/>
          <w:szCs w:val="20"/>
          <w:lang w:val="en-GB"/>
        </w:rPr>
        <w:t xml:space="preserve">with </w:t>
      </w:r>
      <w:r w:rsidRPr="00EE5C3E">
        <w:rPr>
          <w:rFonts w:cs="Times New Roman"/>
          <w:sz w:val="20"/>
          <w:szCs w:val="20"/>
          <w:lang w:val="en-GB"/>
        </w:rPr>
        <w:t>EUR 350 million</w:t>
      </w:r>
      <w:r w:rsidR="00AD73A9" w:rsidRPr="00EE5C3E">
        <w:rPr>
          <w:rFonts w:cs="Times New Roman"/>
          <w:sz w:val="20"/>
          <w:szCs w:val="20"/>
          <w:lang w:val="en-GB"/>
        </w:rPr>
        <w:t xml:space="preserve"> of funding</w:t>
      </w:r>
      <w:r w:rsidRPr="00EE5C3E">
        <w:rPr>
          <w:rFonts w:cs="Times New Roman"/>
          <w:sz w:val="20"/>
          <w:szCs w:val="20"/>
          <w:lang w:val="en-GB"/>
        </w:rPr>
        <w:t xml:space="preserve">) to work on </w:t>
      </w:r>
      <w:r w:rsidR="00AD73A9" w:rsidRPr="00EE5C3E">
        <w:rPr>
          <w:rFonts w:cs="Times New Roman"/>
          <w:sz w:val="20"/>
          <w:szCs w:val="20"/>
          <w:lang w:val="en-GB"/>
        </w:rPr>
        <w:t xml:space="preserve">improving </w:t>
      </w:r>
      <w:r w:rsidRPr="00EE5C3E">
        <w:rPr>
          <w:rFonts w:cs="Times New Roman"/>
          <w:sz w:val="20"/>
          <w:szCs w:val="20"/>
          <w:lang w:val="en-GB"/>
        </w:rPr>
        <w:t>soil quality,</w:t>
      </w:r>
      <w:r w:rsidR="0026311F" w:rsidRPr="00EE5C3E">
        <w:rPr>
          <w:rFonts w:cs="Times New Roman"/>
          <w:sz w:val="20"/>
          <w:szCs w:val="20"/>
          <w:lang w:val="en-GB"/>
        </w:rPr>
        <w:t xml:space="preserve"> </w:t>
      </w:r>
      <w:r w:rsidRPr="00EE5C3E">
        <w:rPr>
          <w:rFonts w:cs="Times New Roman"/>
          <w:sz w:val="20"/>
          <w:szCs w:val="20"/>
          <w:lang w:val="en-GB"/>
        </w:rPr>
        <w:t>bringing together farmers, scientists and industry at the local level to find solutions to soil challenges, such as fertility, water management or pest control.</w:t>
      </w:r>
    </w:p>
  </w:footnote>
  <w:footnote w:id="52">
    <w:p w14:paraId="13091A6D" w14:textId="713A63EC" w:rsidR="00BC4DBE" w:rsidRPr="00413341" w:rsidRDefault="00BC4DBE" w:rsidP="008723B3">
      <w:pPr>
        <w:pStyle w:val="FootnoteText"/>
        <w:spacing w:after="20"/>
        <w:ind w:left="180" w:hanging="180"/>
        <w:jc w:val="both"/>
        <w:rPr>
          <w:rFonts w:cs="Times New Roman"/>
        </w:rPr>
      </w:pPr>
      <w:r w:rsidRPr="00261DD7">
        <w:rPr>
          <w:rStyle w:val="FootnoteReference"/>
          <w:rFonts w:cs="Times New Roman"/>
        </w:rPr>
        <w:footnoteRef/>
      </w:r>
      <w:r w:rsidRPr="00261DD7">
        <w:rPr>
          <w:rFonts w:cs="Times New Roman"/>
        </w:rPr>
        <w:t xml:space="preserve"> </w:t>
      </w:r>
      <w:r w:rsidR="007B209C" w:rsidRPr="00261DD7">
        <w:rPr>
          <w:rFonts w:cs="Times New Roman"/>
        </w:rPr>
        <w:t>Proposal for a Directive of the European Parliament and of the Council on Soil Monitoring and Resilience (Soil Monitoring Law) COM</w:t>
      </w:r>
      <w:r w:rsidR="00261DD7">
        <w:rPr>
          <w:rFonts w:cs="Times New Roman"/>
        </w:rPr>
        <w:t>(</w:t>
      </w:r>
      <w:r w:rsidR="007B209C" w:rsidRPr="00261DD7">
        <w:rPr>
          <w:rFonts w:cs="Times New Roman"/>
        </w:rPr>
        <w:t>2023</w:t>
      </w:r>
      <w:r w:rsidR="00261DD7">
        <w:rPr>
          <w:rFonts w:cs="Times New Roman"/>
        </w:rPr>
        <w:t>)</w:t>
      </w:r>
      <w:r w:rsidR="007B209C" w:rsidRPr="00261DD7">
        <w:rPr>
          <w:rFonts w:cs="Times New Roman"/>
        </w:rPr>
        <w:t>416 final</w:t>
      </w:r>
      <w:r w:rsidR="00DA48F7" w:rsidRPr="00261DD7">
        <w:rPr>
          <w:rFonts w:cs="Times New Roman"/>
        </w:rPr>
        <w:t>;</w:t>
      </w:r>
      <w:r w:rsidRPr="00261DD7">
        <w:rPr>
          <w:rFonts w:cs="Times New Roman"/>
        </w:rPr>
        <w:t xml:space="preserve"> </w:t>
      </w:r>
      <w:r w:rsidR="0034405E" w:rsidRPr="00261DD7">
        <w:rPr>
          <w:rFonts w:cs="Times New Roman"/>
        </w:rPr>
        <w:t xml:space="preserve">Proposal for a </w:t>
      </w:r>
      <w:r w:rsidR="00DA48F7" w:rsidRPr="00261DD7">
        <w:rPr>
          <w:rFonts w:cs="Times New Roman"/>
        </w:rPr>
        <w:t>Regulation of the European Parliament and of the Council</w:t>
      </w:r>
      <w:r w:rsidR="0034405E" w:rsidRPr="00261DD7">
        <w:rPr>
          <w:rFonts w:cs="Times New Roman"/>
        </w:rPr>
        <w:t xml:space="preserve"> on a monitoring framework for resilient European forests</w:t>
      </w:r>
      <w:r w:rsidR="00470BCE" w:rsidRPr="00261DD7">
        <w:rPr>
          <w:rFonts w:cs="Times New Roman"/>
        </w:rPr>
        <w:t xml:space="preserve"> </w:t>
      </w:r>
      <w:r w:rsidR="00DC6745" w:rsidRPr="00261DD7">
        <w:rPr>
          <w:rFonts w:cs="Times New Roman"/>
        </w:rPr>
        <w:t>COM(2023)728</w:t>
      </w:r>
      <w:r w:rsidR="00261DD7">
        <w:rPr>
          <w:rFonts w:cs="Times New Roman"/>
        </w:rPr>
        <w:t xml:space="preserve"> final</w:t>
      </w:r>
      <w:r w:rsidR="00DC6745" w:rsidRPr="00261DD7">
        <w:rPr>
          <w:rFonts w:cs="Times New Roman"/>
        </w:rPr>
        <w:t>.</w:t>
      </w:r>
      <w:r w:rsidR="00DC6745">
        <w:rPr>
          <w:rFonts w:cs="Times New Roman"/>
        </w:rPr>
        <w:t xml:space="preserve"> </w:t>
      </w:r>
    </w:p>
  </w:footnote>
  <w:footnote w:id="53">
    <w:p w14:paraId="1F360AAD" w14:textId="7459E42F" w:rsidR="2E1D0E0E" w:rsidRDefault="2E1D0E0E" w:rsidP="008723B3">
      <w:pPr>
        <w:pStyle w:val="FootnoteText"/>
        <w:spacing w:after="20"/>
        <w:ind w:left="180" w:hanging="180"/>
        <w:rPr>
          <w:rFonts w:cs="Times New Roman"/>
          <w:lang w:val="en-GB"/>
        </w:rPr>
      </w:pPr>
      <w:r w:rsidRPr="2E1D0E0E">
        <w:rPr>
          <w:rStyle w:val="FootnoteReference"/>
        </w:rPr>
        <w:footnoteRef/>
      </w:r>
      <w:r>
        <w:t xml:space="preserve"> </w:t>
      </w:r>
      <w:r w:rsidRPr="2E1D0E0E">
        <w:rPr>
          <w:rFonts w:cs="Times New Roman"/>
          <w:lang w:val="en-GB"/>
        </w:rPr>
        <w:t>COM(2024)137 final</w:t>
      </w:r>
    </w:p>
  </w:footnote>
  <w:footnote w:id="54">
    <w:p w14:paraId="596EC1E4" w14:textId="005C6204" w:rsidR="00C33DF4" w:rsidRPr="00C31FEC" w:rsidRDefault="00C33DF4" w:rsidP="008723B3">
      <w:pPr>
        <w:pStyle w:val="FootnoteText"/>
        <w:spacing w:after="20"/>
        <w:ind w:left="180" w:hanging="180"/>
        <w:rPr>
          <w:rFonts w:cs="Times New Roman"/>
        </w:rPr>
      </w:pPr>
      <w:r w:rsidRPr="00C31FEC">
        <w:rPr>
          <w:rStyle w:val="FootnoteReference"/>
          <w:rFonts w:cs="Times New Roman"/>
        </w:rPr>
        <w:footnoteRef/>
      </w:r>
      <w:r w:rsidRPr="00C31FEC">
        <w:rPr>
          <w:rFonts w:cs="Times New Roman"/>
        </w:rPr>
        <w:t xml:space="preserve"> Article 67(1) of Regulation (EC) No 1107/2009</w:t>
      </w:r>
      <w:r w:rsidR="00A95DF5">
        <w:rPr>
          <w:rFonts w:cs="Times New Roman"/>
        </w:rPr>
        <w:t>.</w:t>
      </w:r>
    </w:p>
  </w:footnote>
  <w:footnote w:id="55">
    <w:p w14:paraId="134AE0AC" w14:textId="30BD1E03" w:rsidR="02BE03D9" w:rsidRDefault="02BE03D9" w:rsidP="008723B3">
      <w:pPr>
        <w:pStyle w:val="FootnoteText"/>
        <w:ind w:left="180" w:hanging="180"/>
      </w:pPr>
      <w:r w:rsidRPr="02BE03D9">
        <w:rPr>
          <w:rStyle w:val="FootnoteReference"/>
        </w:rPr>
        <w:footnoteRef/>
      </w:r>
      <w:r>
        <w:t xml:space="preserve"> Article 9(4) of Directive 2009/128/EC</w:t>
      </w:r>
    </w:p>
  </w:footnote>
  <w:footnote w:id="56">
    <w:p w14:paraId="7F324299" w14:textId="16E6E50D" w:rsidR="00CB1257" w:rsidRPr="00D30AE7" w:rsidRDefault="00CB1257" w:rsidP="008723B3">
      <w:pPr>
        <w:pStyle w:val="FootnoteText"/>
        <w:spacing w:after="20"/>
        <w:ind w:left="180" w:hanging="180"/>
        <w:rPr>
          <w:rFonts w:cs="Times New Roman"/>
        </w:rPr>
      </w:pPr>
      <w:r w:rsidRPr="00C31FEC">
        <w:rPr>
          <w:rStyle w:val="FootnoteReference"/>
          <w:rFonts w:cs="Times New Roman"/>
        </w:rPr>
        <w:footnoteRef/>
      </w:r>
      <w:r w:rsidRPr="00C31FEC">
        <w:rPr>
          <w:rFonts w:cs="Times New Roman"/>
        </w:rPr>
        <w:t xml:space="preserve"> Directive 98/58/EC</w:t>
      </w:r>
      <w:r w:rsidR="00A95DF5">
        <w:rPr>
          <w:rFonts w:cs="Times New Roman"/>
        </w:rPr>
        <w:t>.</w:t>
      </w:r>
    </w:p>
  </w:footnote>
  <w:footnote w:id="57">
    <w:p w14:paraId="7C117BC3" w14:textId="32EDEAE8" w:rsidR="00A13267" w:rsidRPr="00C31FEC" w:rsidRDefault="00A13267" w:rsidP="008723B3">
      <w:pPr>
        <w:pStyle w:val="FootnoteText"/>
        <w:spacing w:after="20"/>
        <w:ind w:left="180" w:hanging="180"/>
        <w:rPr>
          <w:rFonts w:cs="Times New Roman"/>
        </w:rPr>
      </w:pPr>
      <w:r w:rsidRPr="00C31FEC">
        <w:rPr>
          <w:rStyle w:val="FootnoteReference"/>
          <w:rFonts w:cs="Times New Roman"/>
        </w:rPr>
        <w:footnoteRef/>
      </w:r>
      <w:r w:rsidRPr="00C31FEC">
        <w:rPr>
          <w:rFonts w:cs="Times New Roman"/>
        </w:rPr>
        <w:t xml:space="preserve"> Directive 91/676/EEC</w:t>
      </w:r>
      <w:r w:rsidR="00A95DF5">
        <w:rPr>
          <w:rFonts w:cs="Times New Roman"/>
        </w:rPr>
        <w:t>.</w:t>
      </w:r>
    </w:p>
  </w:footnote>
  <w:footnote w:id="58">
    <w:p w14:paraId="6CDF0B24" w14:textId="21F4774B" w:rsidR="00A13267" w:rsidRPr="00D30AE7" w:rsidRDefault="00A13267" w:rsidP="008723B3">
      <w:pPr>
        <w:pStyle w:val="FootnoteText"/>
        <w:spacing w:after="20"/>
        <w:ind w:left="180" w:hanging="180"/>
        <w:jc w:val="both"/>
        <w:rPr>
          <w:rFonts w:cs="Times New Roman"/>
        </w:rPr>
      </w:pPr>
      <w:r w:rsidRPr="00C31FEC">
        <w:rPr>
          <w:rStyle w:val="FootnoteReference"/>
          <w:rFonts w:cs="Times New Roman"/>
        </w:rPr>
        <w:footnoteRef/>
      </w:r>
      <w:r w:rsidRPr="00C31FEC">
        <w:rPr>
          <w:rFonts w:cs="Times New Roman"/>
        </w:rPr>
        <w:t xml:space="preserve"> </w:t>
      </w:r>
      <w:r w:rsidR="00531D1D" w:rsidRPr="00C31FEC">
        <w:rPr>
          <w:rFonts w:cs="Times New Roman"/>
        </w:rPr>
        <w:t xml:space="preserve">Statutory Management Requirement </w:t>
      </w:r>
      <w:r w:rsidR="007B5010" w:rsidRPr="00C31FEC">
        <w:rPr>
          <w:rFonts w:cs="Times New Roman"/>
        </w:rPr>
        <w:t xml:space="preserve">(SMR) </w:t>
      </w:r>
      <w:r w:rsidR="00531D1D" w:rsidRPr="00C31FEC">
        <w:rPr>
          <w:rFonts w:cs="Times New Roman"/>
        </w:rPr>
        <w:t xml:space="preserve">2 </w:t>
      </w:r>
      <w:r w:rsidR="007F2EE5">
        <w:rPr>
          <w:rFonts w:cs="Times New Roman"/>
        </w:rPr>
        <w:t xml:space="preserve">(in Annex III to CSP Regulation) </w:t>
      </w:r>
      <w:r w:rsidR="00531D1D" w:rsidRPr="00C31FEC">
        <w:rPr>
          <w:rFonts w:cs="Times New Roman"/>
        </w:rPr>
        <w:t xml:space="preserve">under the conditionality, </w:t>
      </w:r>
      <w:r w:rsidR="007F2EE5">
        <w:rPr>
          <w:rFonts w:cs="Times New Roman"/>
        </w:rPr>
        <w:t>subjecting</w:t>
      </w:r>
      <w:r w:rsidR="00531D1D" w:rsidRPr="00C31FEC">
        <w:rPr>
          <w:rFonts w:cs="Times New Roman"/>
        </w:rPr>
        <w:t xml:space="preserve"> </w:t>
      </w:r>
      <w:r w:rsidR="007F2EE5">
        <w:rPr>
          <w:rFonts w:cs="Times New Roman"/>
        </w:rPr>
        <w:t>certain</w:t>
      </w:r>
      <w:r w:rsidR="00531D1D" w:rsidRPr="00C31FEC">
        <w:rPr>
          <w:rFonts w:cs="Times New Roman"/>
        </w:rPr>
        <w:t xml:space="preserve"> CAP payments to the respect by beneficiaries of specific requirements of the Nitrates Directive</w:t>
      </w:r>
      <w:r w:rsidR="00A95DF5">
        <w:rPr>
          <w:rFonts w:cs="Times New Roman"/>
        </w:rPr>
        <w:t>.</w:t>
      </w:r>
    </w:p>
  </w:footnote>
  <w:footnote w:id="59">
    <w:p w14:paraId="386EE2F7" w14:textId="782274D1" w:rsidR="00C31FEC" w:rsidRPr="00094D93" w:rsidRDefault="00C31FEC" w:rsidP="008723B3">
      <w:pPr>
        <w:pStyle w:val="FootnoteText"/>
        <w:ind w:left="180" w:hanging="180"/>
      </w:pPr>
      <w:r w:rsidRPr="00D30AE7">
        <w:rPr>
          <w:rStyle w:val="FootnoteReference"/>
          <w:rFonts w:cs="Times New Roman"/>
        </w:rPr>
        <w:footnoteRef/>
      </w:r>
      <w:r w:rsidRPr="00D30AE7">
        <w:rPr>
          <w:rFonts w:cs="Times New Roman"/>
        </w:rPr>
        <w:t xml:space="preserve"> </w:t>
      </w:r>
      <w:hyperlink r:id="rId20" w:history="1">
        <w:r w:rsidRPr="00D30AE7">
          <w:rPr>
            <w:rStyle w:val="Hyperlink"/>
            <w:rFonts w:cs="Times New Roman"/>
          </w:rPr>
          <w:t>https://ec.europa.eu/info/law/better-regulation/have-your-say/initiatives/14242-Nitrates-updated-rules-on-the-use-of-certain-fertilising-materials-from-livestock-manure-RENURE-_en</w:t>
        </w:r>
      </w:hyperlink>
      <w:r>
        <w:t xml:space="preserve"> </w:t>
      </w:r>
    </w:p>
  </w:footnote>
  <w:footnote w:id="60">
    <w:p w14:paraId="67397ADA" w14:textId="25AD5632" w:rsidR="00FB3EDC" w:rsidRPr="00B57B13" w:rsidRDefault="00FB3EDC" w:rsidP="008723B3">
      <w:pPr>
        <w:pStyle w:val="FootnoteText"/>
        <w:ind w:left="180" w:hanging="180"/>
        <w:rPr>
          <w:lang w:val="fr-BE"/>
        </w:rPr>
      </w:pPr>
      <w:r>
        <w:rPr>
          <w:rStyle w:val="FootnoteReference"/>
        </w:rPr>
        <w:footnoteRef/>
      </w:r>
      <w:r w:rsidRPr="00B57B13">
        <w:rPr>
          <w:lang w:val="fr-BE"/>
        </w:rPr>
        <w:t xml:space="preserve"> Regulation (EU) 2023/1115</w:t>
      </w:r>
    </w:p>
  </w:footnote>
  <w:footnote w:id="61">
    <w:p w14:paraId="74B73BC8" w14:textId="69EDCD7D" w:rsidR="00C352A4" w:rsidRPr="00B57B13" w:rsidRDefault="00C352A4">
      <w:pPr>
        <w:pStyle w:val="FootnoteText"/>
        <w:rPr>
          <w:lang w:val="fr-BE"/>
        </w:rPr>
      </w:pPr>
      <w:r>
        <w:rPr>
          <w:rStyle w:val="FootnoteReference"/>
        </w:rPr>
        <w:footnoteRef/>
      </w:r>
      <w:r w:rsidRPr="00B57B13">
        <w:rPr>
          <w:lang w:val="fr-BE"/>
        </w:rPr>
        <w:t xml:space="preserve"> </w:t>
      </w:r>
      <w:r w:rsidR="00BE3ED1">
        <w:fldChar w:fldCharType="begin"/>
      </w:r>
      <w:r w:rsidR="00BE3ED1" w:rsidRPr="00BE3ED1">
        <w:rPr>
          <w:lang w:val="fr-BE"/>
        </w:rPr>
        <w:instrText>HYPERLINK "https://ec.europa.eu/commission/presscorner/detail/en/ip_24_5009"</w:instrText>
      </w:r>
      <w:r w:rsidR="00BE3ED1">
        <w:fldChar w:fldCharType="separate"/>
      </w:r>
      <w:r w:rsidRPr="00B57B13">
        <w:rPr>
          <w:rStyle w:val="Hyperlink"/>
          <w:rFonts w:eastAsia="Times New Roman" w:cs="Times New Roman"/>
          <w:lang w:val="fr-BE"/>
        </w:rPr>
        <w:t>https://ec.europa.eu/commission/presscorner/detail/en/ip_24_5009</w:t>
      </w:r>
      <w:r w:rsidR="00BE3ED1">
        <w:rPr>
          <w:rStyle w:val="Hyperlink"/>
          <w:rFonts w:eastAsia="Times New Roman" w:cs="Times New Roman"/>
          <w:lang w:val="fr-BE"/>
        </w:rPr>
        <w:fldChar w:fldCharType="end"/>
      </w:r>
    </w:p>
  </w:footnote>
  <w:footnote w:id="62">
    <w:p w14:paraId="409731B1" w14:textId="174DFBFD" w:rsidR="00306403" w:rsidRPr="00EF0D32" w:rsidRDefault="00306403" w:rsidP="00782D41">
      <w:pPr>
        <w:pStyle w:val="FootnoteText"/>
        <w:ind w:left="180" w:hanging="180"/>
        <w:rPr>
          <w:rFonts w:cs="Times New Roman"/>
        </w:rPr>
      </w:pPr>
      <w:r w:rsidRPr="00EF0D32">
        <w:rPr>
          <w:rStyle w:val="FootnoteReference"/>
          <w:rFonts w:cs="Times New Roman"/>
        </w:rPr>
        <w:footnoteRef/>
      </w:r>
      <w:r w:rsidRPr="00EF0D32">
        <w:rPr>
          <w:rFonts w:cs="Times New Roman"/>
        </w:rPr>
        <w:t xml:space="preserve"> </w:t>
      </w:r>
      <w:r w:rsidRPr="1F329C66">
        <w:rPr>
          <w:rFonts w:eastAsia="Times New Roman" w:cs="Times New Roman"/>
        </w:rPr>
        <w:t>A model description as well as technical details o</w:t>
      </w:r>
      <w:r>
        <w:rPr>
          <w:rFonts w:eastAsia="Times New Roman" w:cs="Times New Roman"/>
        </w:rPr>
        <w:t>f</w:t>
      </w:r>
      <w:r w:rsidRPr="1F329C66">
        <w:rPr>
          <w:rFonts w:eastAsia="Times New Roman" w:cs="Times New Roman"/>
        </w:rPr>
        <w:t xml:space="preserve"> the model can be found </w:t>
      </w:r>
      <w:r>
        <w:rPr>
          <w:rFonts w:eastAsia="Times New Roman" w:cs="Times New Roman"/>
        </w:rPr>
        <w:t>at:</w:t>
      </w:r>
      <w:r w:rsidRPr="1F329C66">
        <w:rPr>
          <w:rFonts w:eastAsia="Times New Roman" w:cs="Times New Roman"/>
        </w:rPr>
        <w:t xml:space="preserve"> </w:t>
      </w:r>
      <w:hyperlink r:id="rId21" w:history="1">
        <w:r w:rsidRPr="1F329C66">
          <w:rPr>
            <w:rStyle w:val="Hyperlink"/>
            <w:rFonts w:eastAsia="Times New Roman" w:cs="Times New Roman"/>
          </w:rPr>
          <w:t>https://midas.jrc.cec.eu.int/discovery/midas/explore/models/model-ifm-cap/</w:t>
        </w:r>
      </w:hyperlink>
      <w:r w:rsidR="339513EA" w:rsidRPr="00EF0D32">
        <w:rPr>
          <w:rFonts w:cs="Times New Roman"/>
        </w:rPr>
        <w:t xml:space="preserve"> </w:t>
      </w:r>
      <w:r w:rsidR="5FD6BC30" w:rsidRPr="00EF0D32">
        <w:rPr>
          <w:rFonts w:cs="Times New Roman"/>
        </w:rPr>
        <w:t xml:space="preserve">and </w:t>
      </w:r>
      <w:hyperlink r:id="rId22" w:history="1">
        <w:r w:rsidR="002427EA" w:rsidRPr="00EF0D32">
          <w:rPr>
            <w:rStyle w:val="Hyperlink"/>
            <w:rFonts w:cs="Times New Roman"/>
          </w:rPr>
          <w:t>https://publications.jrc.ec.europa.eu/repository/handle/JRC127014</w:t>
        </w:r>
      </w:hyperlink>
      <w:r w:rsidR="002427EA" w:rsidRPr="00EF0D32">
        <w:rPr>
          <w:rFonts w:cs="Times New Roman"/>
        </w:rPr>
        <w:t xml:space="preserve"> </w:t>
      </w:r>
    </w:p>
  </w:footnote>
  <w:footnote w:id="63">
    <w:p w14:paraId="3DF8956E" w14:textId="10A61488" w:rsidR="053B9CB1" w:rsidRPr="00EF0D32" w:rsidRDefault="053B9CB1" w:rsidP="00782D41">
      <w:pPr>
        <w:pStyle w:val="FootnoteText"/>
        <w:spacing w:after="40"/>
        <w:ind w:left="180" w:hanging="180"/>
        <w:jc w:val="both"/>
        <w:rPr>
          <w:rFonts w:cs="Times New Roman"/>
        </w:rPr>
      </w:pPr>
      <w:r w:rsidRPr="00EF0D32">
        <w:rPr>
          <w:rStyle w:val="FootnoteReference"/>
          <w:rFonts w:cs="Times New Roman"/>
        </w:rPr>
        <w:footnoteRef/>
      </w:r>
      <w:r w:rsidR="6D8A48D2" w:rsidRPr="00EF0D32">
        <w:rPr>
          <w:rFonts w:cs="Times New Roman"/>
        </w:rPr>
        <w:t xml:space="preserve"> </w:t>
      </w:r>
      <w:r w:rsidR="4C24ADD0" w:rsidRPr="00EF0D32">
        <w:rPr>
          <w:rFonts w:cs="Times New Roman"/>
        </w:rPr>
        <w:t>These</w:t>
      </w:r>
      <w:r w:rsidR="6D8A48D2" w:rsidRPr="00EF0D32">
        <w:rPr>
          <w:rFonts w:cs="Times New Roman"/>
        </w:rPr>
        <w:t xml:space="preserve"> exemptions only concern controls and penalties of conditionality under the CAP and are without prejudice to any controls or penalties outside the system of conditionality. </w:t>
      </w:r>
      <w:r w:rsidR="00BF692C">
        <w:rPr>
          <w:rFonts w:cs="Times New Roman"/>
        </w:rPr>
        <w:t>A</w:t>
      </w:r>
      <w:r w:rsidR="6D8A48D2" w:rsidRPr="00EF0D32">
        <w:rPr>
          <w:rFonts w:cs="Times New Roman"/>
        </w:rPr>
        <w:t xml:space="preserve"> </w:t>
      </w:r>
      <w:r w:rsidR="00F40567">
        <w:rPr>
          <w:rFonts w:cs="Times New Roman"/>
        </w:rPr>
        <w:t>limited</w:t>
      </w:r>
      <w:r w:rsidR="00F40567" w:rsidRPr="00EF0D32">
        <w:rPr>
          <w:rFonts w:cs="Times New Roman"/>
        </w:rPr>
        <w:t xml:space="preserve"> </w:t>
      </w:r>
      <w:r w:rsidR="6D8A48D2" w:rsidRPr="00EF0D32">
        <w:rPr>
          <w:rFonts w:cs="Times New Roman"/>
        </w:rPr>
        <w:t xml:space="preserve">number of obligations in the scope of conditionality rules are based on existing </w:t>
      </w:r>
      <w:r w:rsidR="00AF7B1A">
        <w:rPr>
          <w:rFonts w:cs="Times New Roman"/>
        </w:rPr>
        <w:t>EU</w:t>
      </w:r>
      <w:r w:rsidR="00AF7B1A" w:rsidRPr="00EF0D32">
        <w:rPr>
          <w:rFonts w:cs="Times New Roman"/>
        </w:rPr>
        <w:t xml:space="preserve"> </w:t>
      </w:r>
      <w:r w:rsidR="6D8A48D2" w:rsidRPr="00EF0D32">
        <w:rPr>
          <w:rFonts w:cs="Times New Roman"/>
        </w:rPr>
        <w:t xml:space="preserve">directives and regulations </w:t>
      </w:r>
      <w:r w:rsidR="00F40567">
        <w:rPr>
          <w:rFonts w:cs="Times New Roman"/>
        </w:rPr>
        <w:t>on</w:t>
      </w:r>
      <w:r w:rsidR="00F40567" w:rsidRPr="00EF0D32">
        <w:rPr>
          <w:rFonts w:cs="Times New Roman"/>
        </w:rPr>
        <w:t xml:space="preserve"> </w:t>
      </w:r>
      <w:r w:rsidR="6D8A48D2" w:rsidRPr="00EF0D32">
        <w:rPr>
          <w:rFonts w:cs="Times New Roman"/>
        </w:rPr>
        <w:t xml:space="preserve">climate and </w:t>
      </w:r>
      <w:r w:rsidR="00F40567">
        <w:rPr>
          <w:rFonts w:cs="Times New Roman"/>
        </w:rPr>
        <w:t xml:space="preserve">the </w:t>
      </w:r>
      <w:r w:rsidR="6D8A48D2" w:rsidRPr="00EF0D32">
        <w:rPr>
          <w:rFonts w:cs="Times New Roman"/>
        </w:rPr>
        <w:t xml:space="preserve">environment, public and plant health, and animal welfare (the sectoral legislation). The requirements laid down in those </w:t>
      </w:r>
      <w:r w:rsidR="00AF7B1A">
        <w:rPr>
          <w:rFonts w:cs="Times New Roman"/>
        </w:rPr>
        <w:t>EU</w:t>
      </w:r>
      <w:r w:rsidR="00AF7B1A" w:rsidRPr="00EF0D32">
        <w:rPr>
          <w:rFonts w:cs="Times New Roman"/>
        </w:rPr>
        <w:t xml:space="preserve"> </w:t>
      </w:r>
      <w:r w:rsidR="6D8A48D2" w:rsidRPr="00EF0D32">
        <w:rPr>
          <w:rFonts w:cs="Times New Roman"/>
        </w:rPr>
        <w:t>legal acts, including provisions on controls and penalties, continue to be applicable outside the CAP framework</w:t>
      </w:r>
      <w:r w:rsidR="00E41116">
        <w:rPr>
          <w:rFonts w:cs="Times New Roman"/>
        </w:rPr>
        <w:t>.</w:t>
      </w:r>
    </w:p>
  </w:footnote>
  <w:footnote w:id="64">
    <w:p w14:paraId="2BC2C053" w14:textId="77777777" w:rsidR="00A85068" w:rsidRPr="00CE470B" w:rsidRDefault="00A85068" w:rsidP="00782D41">
      <w:pPr>
        <w:pStyle w:val="FootnoteText"/>
        <w:spacing w:after="40"/>
        <w:ind w:left="180" w:hanging="180"/>
        <w:jc w:val="both"/>
        <w:rPr>
          <w:rFonts w:cs="Times New Roman"/>
        </w:rPr>
      </w:pPr>
      <w:r w:rsidRPr="00CE470B">
        <w:rPr>
          <w:rStyle w:val="FootnoteReference"/>
          <w:rFonts w:cs="Times New Roman"/>
        </w:rPr>
        <w:footnoteRef/>
      </w:r>
      <w:r w:rsidRPr="00CE470B">
        <w:rPr>
          <w:rFonts w:cs="Times New Roman"/>
        </w:rPr>
        <w:t xml:space="preserve"> </w:t>
      </w:r>
      <w:r w:rsidR="00DC0CCE" w:rsidRPr="00CE470B">
        <w:rPr>
          <w:rFonts w:cs="Times New Roman"/>
        </w:rPr>
        <w:t>Commission Staff Working Document. Evaluation. Impact of the CAP on biodiversity, soil and water (natural resources), SWD/2021/0424 final</w:t>
      </w:r>
      <w:r w:rsidR="00A95DF5">
        <w:rPr>
          <w:rFonts w:cs="Times New Roman"/>
        </w:rPr>
        <w:t>.</w:t>
      </w:r>
    </w:p>
  </w:footnote>
  <w:footnote w:id="65">
    <w:p w14:paraId="50AB8BFB" w14:textId="242CCFC0" w:rsidR="006D4A24" w:rsidRPr="00C826CD" w:rsidRDefault="006D4A24" w:rsidP="00782D41">
      <w:pPr>
        <w:pStyle w:val="FootnoteText"/>
        <w:spacing w:after="20"/>
        <w:ind w:left="180" w:hanging="180"/>
        <w:jc w:val="both"/>
        <w:rPr>
          <w:rFonts w:cs="Times New Roman"/>
        </w:rPr>
      </w:pPr>
      <w:r w:rsidRPr="00C826CD">
        <w:rPr>
          <w:rStyle w:val="FootnoteReference"/>
          <w:rFonts w:cs="Times New Roman"/>
        </w:rPr>
        <w:footnoteRef/>
      </w:r>
      <w:r w:rsidRPr="00C826CD">
        <w:rPr>
          <w:rFonts w:cs="Times New Roman"/>
        </w:rPr>
        <w:t xml:space="preserve"> According to data extracted the 30 April 2024 from the </w:t>
      </w:r>
      <w:hyperlink r:id="rId23" w:history="1">
        <w:r w:rsidRPr="00C826CD">
          <w:rPr>
            <w:rStyle w:val="Hyperlink"/>
            <w:rFonts w:cs="Times New Roman"/>
          </w:rPr>
          <w:t>Catalogue of CAP interventions on the agri food data portal</w:t>
        </w:r>
      </w:hyperlink>
      <w:r w:rsidRPr="00C826CD">
        <w:rPr>
          <w:rFonts w:cs="Times New Roman"/>
        </w:rPr>
        <w:t xml:space="preserve"> 121 </w:t>
      </w:r>
      <w:r w:rsidR="00BA03A2">
        <w:rPr>
          <w:rFonts w:cs="Times New Roman"/>
        </w:rPr>
        <w:t>i</w:t>
      </w:r>
      <w:r w:rsidRPr="00C826CD">
        <w:rPr>
          <w:rFonts w:cs="Times New Roman"/>
        </w:rPr>
        <w:t xml:space="preserve">nterventions </w:t>
      </w:r>
      <w:r w:rsidR="00BA03A2">
        <w:rPr>
          <w:rFonts w:cs="Times New Roman"/>
        </w:rPr>
        <w:t>across</w:t>
      </w:r>
      <w:r w:rsidRPr="00C826CD">
        <w:rPr>
          <w:rFonts w:cs="Times New Roman"/>
        </w:rPr>
        <w:t xml:space="preserve"> all 28 CSP.</w:t>
      </w:r>
    </w:p>
  </w:footnote>
  <w:footnote w:id="66">
    <w:p w14:paraId="067A1F65" w14:textId="410FE397" w:rsidR="00FB464F" w:rsidRPr="003E7CF4" w:rsidRDefault="00FB464F" w:rsidP="00782D41">
      <w:pPr>
        <w:pStyle w:val="FootnoteText"/>
        <w:ind w:left="180" w:hanging="180"/>
      </w:pPr>
      <w:r>
        <w:rPr>
          <w:rStyle w:val="FootnoteReference"/>
        </w:rPr>
        <w:footnoteRef/>
      </w:r>
      <w:r>
        <w:t xml:space="preserve"> </w:t>
      </w:r>
      <w:r>
        <w:rPr>
          <w:rFonts w:cs="Times New Roman"/>
          <w:lang w:val="en-GB"/>
        </w:rPr>
        <w:t xml:space="preserve">Commission </w:t>
      </w:r>
      <w:r w:rsidRPr="00794D70">
        <w:rPr>
          <w:rFonts w:cs="Times New Roman"/>
          <w:lang w:val="en-GB"/>
        </w:rPr>
        <w:t>Implementing Regulation (EU) 2022/1475</w:t>
      </w:r>
    </w:p>
  </w:footnote>
  <w:footnote w:id="67">
    <w:p w14:paraId="2CE2DC14" w14:textId="333D337C" w:rsidR="00016855" w:rsidRPr="00190063" w:rsidRDefault="00016855" w:rsidP="00782D41">
      <w:pPr>
        <w:pStyle w:val="FootnoteText"/>
        <w:spacing w:after="20"/>
        <w:ind w:left="180" w:hanging="180"/>
      </w:pPr>
      <w:r w:rsidRPr="00190063">
        <w:rPr>
          <w:rStyle w:val="FootnoteReference"/>
        </w:rPr>
        <w:footnoteRef/>
      </w:r>
      <w:r w:rsidRPr="00190063">
        <w:rPr>
          <w:rFonts w:cs="Times New Roman"/>
        </w:rPr>
        <w:t xml:space="preserve"> </w:t>
      </w:r>
      <w:hyperlink r:id="rId24" w:history="1">
        <w:r w:rsidR="00261DD7" w:rsidRPr="00190063">
          <w:rPr>
            <w:rStyle w:val="Hyperlink"/>
            <w:rFonts w:cs="Times New Roman"/>
          </w:rPr>
          <w:t>https://ec.europa.eu/transparency/comitology-register/screen/documents/098645/1/consult?lang=en</w:t>
        </w:r>
      </w:hyperlink>
      <w:r w:rsidR="00261DD7" w:rsidRPr="00190063">
        <w:rPr>
          <w:rFonts w:cs="Times New Roman"/>
        </w:rPr>
        <w:t xml:space="preserve"> </w:t>
      </w:r>
    </w:p>
  </w:footnote>
  <w:footnote w:id="68">
    <w:p w14:paraId="2747B637" w14:textId="71952103" w:rsidR="10339F63" w:rsidRDefault="10339F63" w:rsidP="00782D41">
      <w:pPr>
        <w:pStyle w:val="FootnoteText"/>
        <w:spacing w:after="20"/>
        <w:ind w:left="180" w:hanging="180"/>
      </w:pPr>
      <w:r w:rsidRPr="10339F63">
        <w:rPr>
          <w:rStyle w:val="FootnoteReference"/>
        </w:rPr>
        <w:footnoteRef/>
      </w:r>
      <w:r>
        <w:t xml:space="preserve"> Commission Implementing Regulation (EU) 2024/1962  </w:t>
      </w:r>
    </w:p>
  </w:footnote>
  <w:footnote w:id="69">
    <w:p w14:paraId="048B49D2" w14:textId="4E6E6C37" w:rsidR="00C06F1F" w:rsidRPr="00190063" w:rsidRDefault="00C06F1F" w:rsidP="00782D41">
      <w:pPr>
        <w:pStyle w:val="FootnoteText"/>
        <w:spacing w:after="20"/>
        <w:ind w:left="180" w:hanging="180"/>
        <w:rPr>
          <w:rFonts w:cs="Times New Roman"/>
        </w:rPr>
      </w:pPr>
      <w:r w:rsidRPr="00190063">
        <w:rPr>
          <w:rStyle w:val="FootnoteReference"/>
          <w:rFonts w:cs="Times New Roman"/>
        </w:rPr>
        <w:footnoteRef/>
      </w:r>
      <w:r w:rsidRPr="00190063">
        <w:rPr>
          <w:rFonts w:cs="Times New Roman"/>
        </w:rPr>
        <w:t xml:space="preserve"> See Explanatory Memorandum of the proposal</w:t>
      </w:r>
      <w:r w:rsidR="00342D2D">
        <w:rPr>
          <w:rFonts w:cs="Times New Roman"/>
        </w:rPr>
        <w:t xml:space="preserve"> of 15 March 2024</w:t>
      </w:r>
      <w:r w:rsidRPr="00190063">
        <w:rPr>
          <w:rFonts w:cs="Times New Roman"/>
        </w:rPr>
        <w:t>: COM(2024) 139 final</w:t>
      </w:r>
      <w:r w:rsidR="00955709" w:rsidRPr="00190063">
        <w:rPr>
          <w:rFonts w:cs="Times New Roman"/>
        </w:rPr>
        <w:t>.</w:t>
      </w:r>
      <w:r w:rsidR="00082ECE" w:rsidRPr="00190063">
        <w:rPr>
          <w:rFonts w:cs="Times New Roman"/>
        </w:rPr>
        <w:t xml:space="preserve"> </w:t>
      </w:r>
    </w:p>
  </w:footnote>
  <w:footnote w:id="70">
    <w:p w14:paraId="64625BE9" w14:textId="33A6082A" w:rsidR="00BD0928" w:rsidRPr="00BD0E24" w:rsidRDefault="00BD0928" w:rsidP="00782D41">
      <w:pPr>
        <w:pStyle w:val="FootnoteText"/>
        <w:spacing w:after="20"/>
        <w:ind w:left="180" w:hanging="180"/>
        <w:rPr>
          <w:rFonts w:cs="Times New Roman"/>
          <w:lang w:val="en-GB"/>
        </w:rPr>
      </w:pPr>
      <w:r w:rsidRPr="00BD0E24">
        <w:rPr>
          <w:rStyle w:val="FootnoteReference"/>
          <w:rFonts w:cs="Times New Roman"/>
          <w:lang w:val="en-GB"/>
        </w:rPr>
        <w:footnoteRef/>
      </w:r>
      <w:r w:rsidRPr="00BD0E24">
        <w:rPr>
          <w:rFonts w:cs="Times New Roman"/>
          <w:lang w:val="en-GB"/>
        </w:rPr>
        <w:t xml:space="preserve"> Annex </w:t>
      </w:r>
      <w:r w:rsidR="00312A02" w:rsidRPr="00BD0E24">
        <w:rPr>
          <w:rFonts w:cs="Times New Roman"/>
          <w:lang w:val="en-GB"/>
        </w:rPr>
        <w:t>I</w:t>
      </w:r>
      <w:r w:rsidRPr="00BD0E24">
        <w:rPr>
          <w:rFonts w:cs="Times New Roman"/>
          <w:lang w:val="en-GB"/>
        </w:rPr>
        <w:t>V of Implementing Regulation (EU) 2022/1475</w:t>
      </w:r>
      <w:r w:rsidR="00A95DF5" w:rsidRPr="00BD0E24">
        <w:rPr>
          <w:rFonts w:cs="Times New Roman"/>
          <w:lang w:val="en-GB"/>
        </w:rPr>
        <w:t>.</w:t>
      </w:r>
    </w:p>
  </w:footnote>
  <w:footnote w:id="71">
    <w:p w14:paraId="7D96C4CC" w14:textId="14147590" w:rsidR="006F3F52" w:rsidRPr="00AE4510" w:rsidRDefault="006F3F52" w:rsidP="00782D41">
      <w:pPr>
        <w:pStyle w:val="FootnoteText"/>
        <w:ind w:left="180" w:hanging="180"/>
        <w:rPr>
          <w:lang w:val="en-GB"/>
        </w:rPr>
      </w:pPr>
      <w:r w:rsidRPr="00BD0E24">
        <w:rPr>
          <w:rStyle w:val="FootnoteReference"/>
          <w:rFonts w:cs="Times New Roman"/>
          <w:lang w:val="en-GB"/>
        </w:rPr>
        <w:footnoteRef/>
      </w:r>
      <w:r w:rsidRPr="00BD0E24">
        <w:rPr>
          <w:rFonts w:cs="Times New Roman"/>
          <w:lang w:val="en-GB"/>
        </w:rPr>
        <w:t xml:space="preserve"> </w:t>
      </w:r>
      <w:r w:rsidR="00BD0E24" w:rsidRPr="00BD0E24">
        <w:rPr>
          <w:rFonts w:cs="Times New Roman"/>
          <w:lang w:val="en-GB"/>
        </w:rPr>
        <w:t>The SCP Regulation</w:t>
      </w:r>
      <w:r w:rsidR="000531D4" w:rsidRPr="00BD0E24">
        <w:rPr>
          <w:rFonts w:cs="Times New Roman"/>
          <w:lang w:val="en-GB"/>
        </w:rPr>
        <w:t xml:space="preserve">, Article </w:t>
      </w:r>
      <w:r w:rsidR="00EF414F" w:rsidRPr="00BD0E24">
        <w:rPr>
          <w:rFonts w:cs="Times New Roman"/>
          <w:lang w:val="en-GB"/>
        </w:rPr>
        <w:t>141.</w:t>
      </w:r>
    </w:p>
  </w:footnote>
  <w:footnote w:id="72">
    <w:p w14:paraId="37CEF078" w14:textId="6E165A1A" w:rsidR="00510A5F" w:rsidRPr="00BD0E24" w:rsidRDefault="00510A5F" w:rsidP="00782D41">
      <w:pPr>
        <w:pStyle w:val="FootnoteText"/>
        <w:tabs>
          <w:tab w:val="left" w:pos="630"/>
        </w:tabs>
        <w:ind w:left="180" w:hanging="180"/>
        <w:jc w:val="both"/>
        <w:rPr>
          <w:lang w:val="en-GB"/>
        </w:rPr>
      </w:pPr>
      <w:r w:rsidRPr="7579D475">
        <w:rPr>
          <w:rStyle w:val="FootnoteReference"/>
        </w:rPr>
        <w:footnoteRef/>
      </w:r>
      <w:r w:rsidR="00BD0E24">
        <w:rPr>
          <w:rFonts w:cs="Times New Roman"/>
          <w:lang w:val="en-GB"/>
        </w:rPr>
        <w:t xml:space="preserve"> </w:t>
      </w:r>
      <w:hyperlink r:id="rId25" w:history="1">
        <w:r w:rsidR="00BD0E24" w:rsidRPr="00BD0E24">
          <w:rPr>
            <w:rStyle w:val="Hyperlink"/>
            <w:rFonts w:cs="Times New Roman"/>
            <w:lang w:val="en-GB"/>
          </w:rPr>
          <w:t>https://ec.europa.eu/info/law/better-regulation/have-your-say/initiatives/14051/public-consultation_en</w:t>
        </w:r>
      </w:hyperlink>
      <w:r w:rsidR="00BD0E24">
        <w:rPr>
          <w:rFonts w:cs="Times New Roman"/>
          <w:lang w:val="en-GB"/>
        </w:rPr>
        <w:t xml:space="preserve"> </w:t>
      </w:r>
    </w:p>
  </w:footnote>
  <w:footnote w:id="73">
    <w:p w14:paraId="252A4F72" w14:textId="77777777" w:rsidR="00CA19E5" w:rsidRPr="00096DED" w:rsidRDefault="00CA19E5" w:rsidP="55BF963C">
      <w:pPr>
        <w:spacing w:after="0"/>
        <w:rPr>
          <w:rFonts w:eastAsia="Calibri" w:cs="Times New Roman"/>
          <w:sz w:val="20"/>
          <w:szCs w:val="20"/>
          <w:lang w:val="en-GB"/>
        </w:rPr>
      </w:pPr>
      <w:r w:rsidRPr="00F15432">
        <w:rPr>
          <w:rStyle w:val="FootnoteReference"/>
          <w:rFonts w:cs="Times New Roman"/>
          <w:sz w:val="20"/>
          <w:szCs w:val="20"/>
        </w:rPr>
        <w:footnoteRef/>
      </w:r>
      <w:r w:rsidRPr="00096DED">
        <w:rPr>
          <w:rFonts w:cs="Times New Roman"/>
          <w:sz w:val="20"/>
          <w:szCs w:val="20"/>
          <w:lang w:val="en-GB"/>
        </w:rPr>
        <w:t xml:space="preserve"> </w:t>
      </w:r>
      <w:hyperlink r:id="rId26" w:history="1">
        <w:r w:rsidRPr="00096DED">
          <w:rPr>
            <w:rStyle w:val="Hyperlink"/>
            <w:rFonts w:eastAsia="Calibri" w:cs="Times New Roman"/>
            <w:sz w:val="20"/>
            <w:szCs w:val="20"/>
            <w:lang w:val="en-GB"/>
          </w:rPr>
          <w:t>https://www.efsa.europa.eu/en/efsajournal/pub/3601</w:t>
        </w:r>
      </w:hyperlink>
    </w:p>
    <w:p w14:paraId="633695AA" w14:textId="77777777" w:rsidR="00CA19E5" w:rsidRPr="00096DED" w:rsidRDefault="00CA19E5" w:rsidP="55BF963C">
      <w:pPr>
        <w:pStyle w:val="FootnoteText"/>
        <w:rPr>
          <w:lang w:val="en-GB"/>
        </w:rPr>
      </w:pPr>
    </w:p>
  </w:footnote>
  <w:footnote w:id="74">
    <w:p w14:paraId="13EFCFA0" w14:textId="77777777" w:rsidR="00A61BC0" w:rsidRPr="00F17630" w:rsidRDefault="00A61BC0" w:rsidP="00486E6E">
      <w:pPr>
        <w:pStyle w:val="FootnoteText"/>
        <w:ind w:left="180" w:hanging="180"/>
      </w:pPr>
      <w:r>
        <w:rPr>
          <w:rStyle w:val="FootnoteReference"/>
        </w:rPr>
        <w:footnoteRef/>
      </w:r>
      <w:r w:rsidRPr="000331BF">
        <w:rPr>
          <w:lang w:val="en-GB"/>
        </w:rPr>
        <w:t xml:space="preserve"> </w:t>
      </w:r>
      <w:hyperlink r:id="rId27" w:history="1">
        <w:r w:rsidRPr="000331BF">
          <w:rPr>
            <w:rStyle w:val="Hyperlink"/>
            <w:rFonts w:eastAsia="Times New Roman" w:cs="Times New Roman"/>
            <w:lang w:val="en-GB"/>
          </w:rPr>
          <w:t>https://agriculture.ec.europa.eu/data-and-analysis/farm-structures-and-economics/fadn_en</w:t>
        </w:r>
      </w:hyperlink>
      <w:r w:rsidRPr="000331BF">
        <w:rPr>
          <w:rFonts w:eastAsia="Times New Roman" w:cs="Times New Roman"/>
          <w:lang w:val="en-GB"/>
        </w:rPr>
        <w:t xml:space="preserve">. </w:t>
      </w:r>
      <w:r w:rsidRPr="1F329C66">
        <w:rPr>
          <w:rFonts w:eastAsia="Times New Roman" w:cs="Times New Roman"/>
        </w:rPr>
        <w:t>For the estimations FADN 2020 data are the basis.</w:t>
      </w:r>
    </w:p>
  </w:footnote>
  <w:footnote w:id="75">
    <w:p w14:paraId="71FCF919" w14:textId="1627DC2B" w:rsidR="00A61BC0" w:rsidRPr="00921335" w:rsidRDefault="00A61BC0" w:rsidP="00486E6E">
      <w:pPr>
        <w:pStyle w:val="FootnoteText"/>
        <w:ind w:left="180" w:hanging="180"/>
        <w:rPr>
          <w:rFonts w:cs="Times New Roman"/>
        </w:rPr>
      </w:pPr>
      <w:r w:rsidRPr="00921335">
        <w:rPr>
          <w:rStyle w:val="FootnoteReference"/>
          <w:rFonts w:cs="Times New Roman"/>
        </w:rPr>
        <w:footnoteRef/>
      </w:r>
      <w:r w:rsidRPr="00921335">
        <w:rPr>
          <w:rFonts w:cs="Times New Roman"/>
        </w:rPr>
        <w:t xml:space="preserve"> </w:t>
      </w:r>
      <w:r w:rsidRPr="00921335">
        <w:rPr>
          <w:rFonts w:eastAsia="Calibri" w:cs="Times New Roman"/>
        </w:rPr>
        <w:t xml:space="preserve">BE, BG, CZ, EE, EL, ES, NL, PT, FR, CY, LT, HU, PL, RO, SK as in </w:t>
      </w:r>
      <w:hyperlink r:id="rId28" w:history="1">
        <w:r w:rsidRPr="00921335">
          <w:rPr>
            <w:rStyle w:val="Hyperlink"/>
            <w:rFonts w:eastAsia="Calibri" w:cs="Times New Roman"/>
          </w:rPr>
          <w:t>approved-28-cap-strategic-plans-2023-27.pdf (europa.eu)</w:t>
        </w:r>
      </w:hyperlink>
      <w:r w:rsidRPr="00921335">
        <w:rPr>
          <w:rFonts w:eastAsia="Calibri" w:cs="Times New Roman"/>
        </w:rPr>
        <w:t xml:space="preserve"> p 55</w:t>
      </w:r>
      <w:r w:rsidR="00684F6A">
        <w:rPr>
          <w:rFonts w:eastAsia="Calibri" w:cs="Times New Roman"/>
        </w:rPr>
        <w:t>.</w:t>
      </w:r>
    </w:p>
  </w:footnote>
  <w:footnote w:id="76">
    <w:p w14:paraId="10ED3B55" w14:textId="5A76A74E" w:rsidR="00A61BC0" w:rsidRPr="00437B99" w:rsidRDefault="00A61BC0" w:rsidP="00486E6E">
      <w:pPr>
        <w:pStyle w:val="FootnoteText"/>
        <w:spacing w:after="20"/>
        <w:ind w:left="180" w:hanging="180"/>
        <w:jc w:val="both"/>
        <w:rPr>
          <w:rFonts w:cs="Times New Roman"/>
        </w:rPr>
      </w:pPr>
      <w:r w:rsidRPr="00437B99">
        <w:rPr>
          <w:rStyle w:val="FootnoteReference"/>
          <w:rFonts w:cs="Times New Roman"/>
        </w:rPr>
        <w:footnoteRef/>
      </w:r>
      <w:r w:rsidRPr="00437B99">
        <w:rPr>
          <w:rFonts w:cs="Times New Roman"/>
        </w:rPr>
        <w:t xml:space="preserve"> </w:t>
      </w:r>
      <w:r w:rsidRPr="00437B99">
        <w:rPr>
          <w:rFonts w:eastAsia="Calibri" w:cs="Times New Roman"/>
        </w:rPr>
        <w:t>Estimations are based on the following publication</w:t>
      </w:r>
      <w:r w:rsidR="00B84883">
        <w:rPr>
          <w:rFonts w:eastAsia="Calibri" w:cs="Times New Roman"/>
        </w:rPr>
        <w:t>:</w:t>
      </w:r>
      <w:r w:rsidRPr="00437B99">
        <w:rPr>
          <w:rFonts w:eastAsia="Calibri" w:cs="Times New Roman"/>
        </w:rPr>
        <w:t xml:space="preserve"> D`Andrimont, R., Skoien, J., Koble, R., Yordanov, M. and Terres, J., EU Landscape Feature indicator fact sheet, European Commission, 2023, JRC136069. </w:t>
      </w:r>
      <w:hyperlink r:id="rId29" w:history="1">
        <w:r w:rsidRPr="00437B99">
          <w:rPr>
            <w:rStyle w:val="Hyperlink"/>
            <w:rFonts w:eastAsia="Calibri" w:cs="Times New Roman"/>
          </w:rPr>
          <w:t>https://publications.jrc.ec.europa.eu/repository/handle/JRC136069</w:t>
        </w:r>
      </w:hyperlink>
      <w:r w:rsidRPr="00437B99">
        <w:rPr>
          <w:rFonts w:eastAsia="Calibri" w:cs="Times New Roman"/>
          <w:color w:val="0563C1"/>
          <w:u w:val="single"/>
        </w:rPr>
        <w:t xml:space="preserve"> </w:t>
      </w:r>
      <w:r w:rsidRPr="00437B99">
        <w:rPr>
          <w:rFonts w:eastAsia="Calibri" w:cs="Times New Roman"/>
        </w:rPr>
        <w:t>as well as</w:t>
      </w:r>
      <w:r w:rsidRPr="00437B99">
        <w:rPr>
          <w:rFonts w:eastAsia="Calibri" w:cs="Times New Roman"/>
          <w:color w:val="0563C1"/>
          <w:u w:val="single"/>
        </w:rPr>
        <w:t xml:space="preserve"> </w:t>
      </w:r>
      <w:r w:rsidRPr="00437B99">
        <w:rPr>
          <w:rFonts w:eastAsia="Calibri" w:cs="Times New Roman"/>
        </w:rPr>
        <w:t>Ecological Focus Area declarations under the previous programming period of the CAP.</w:t>
      </w:r>
    </w:p>
  </w:footnote>
  <w:footnote w:id="77">
    <w:p w14:paraId="7809DA1B" w14:textId="77777777" w:rsidR="00A61BC0" w:rsidRPr="0059444C" w:rsidRDefault="00A61BC0" w:rsidP="00486E6E">
      <w:pPr>
        <w:pStyle w:val="FootnoteText"/>
        <w:ind w:left="180" w:hanging="180"/>
        <w:jc w:val="both"/>
      </w:pPr>
      <w:r w:rsidRPr="00437B99">
        <w:rPr>
          <w:rStyle w:val="FootnoteReference"/>
          <w:rFonts w:cs="Times New Roman"/>
        </w:rPr>
        <w:footnoteRef/>
      </w:r>
      <w:r w:rsidRPr="00437B99">
        <w:rPr>
          <w:rFonts w:cs="Times New Roman"/>
        </w:rPr>
        <w:t xml:space="preserve"> </w:t>
      </w:r>
      <w:r w:rsidRPr="00437B99">
        <w:rPr>
          <w:rFonts w:eastAsia="Calibri" w:cs="Times New Roman"/>
        </w:rPr>
        <w:t>Farms with less than 10 hectares of arable land, farms where 75% of the arable land is used to produce grasses or other herbaceous forage, land lying fallow, cultivation of leguminous crops, or a combination of these, farms where more than 75 % of the eligible agricultural area is permanent grassland.</w:t>
      </w:r>
    </w:p>
  </w:footnote>
  <w:footnote w:id="78">
    <w:p w14:paraId="2D0140C9" w14:textId="77777777" w:rsidR="00A61BC0" w:rsidRPr="00DD7AD6" w:rsidRDefault="00A61BC0" w:rsidP="00A61BC0">
      <w:pPr>
        <w:pStyle w:val="FootnoteText"/>
      </w:pPr>
      <w:r w:rsidRPr="21FA3035">
        <w:rPr>
          <w:rStyle w:val="FootnoteReference"/>
        </w:rPr>
        <w:footnoteRef/>
      </w:r>
      <w:r w:rsidRPr="00DD7AD6">
        <w:t xml:space="preserve"> </w:t>
      </w:r>
      <w:hyperlink r:id="rId30" w:history="1">
        <w:r w:rsidRPr="00523824">
          <w:rPr>
            <w:rStyle w:val="Hyperlink"/>
          </w:rPr>
          <w:t>https://www.ipcc-nggip.iges.or.jp/public/2019rf/pdf/4_Volume4/19R_V4_Ch11_Soils_N2O_CO2.pdf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B42D" w14:textId="77777777" w:rsidR="00BE3ED1" w:rsidRPr="00BE3ED1" w:rsidRDefault="00BE3ED1" w:rsidP="00BE3ED1">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1956" w14:textId="77777777" w:rsidR="00872C68" w:rsidRDefault="00872C6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4749" w:type="dxa"/>
      <w:tblInd w:w="-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528"/>
      <w:gridCol w:w="1559"/>
      <w:gridCol w:w="6662"/>
    </w:tblGrid>
    <w:tr w:rsidR="00FD0624" w:rsidRPr="00152CB4" w14:paraId="18C231E8" w14:textId="77777777">
      <w:trPr>
        <w:trHeight w:val="562"/>
      </w:trPr>
      <w:tc>
        <w:tcPr>
          <w:tcW w:w="6528" w:type="dxa"/>
          <w:vAlign w:val="center"/>
        </w:tcPr>
        <w:p w14:paraId="19B8751D" w14:textId="77777777" w:rsidR="00D90410" w:rsidRPr="00152CB4" w:rsidRDefault="00D90410" w:rsidP="00C3487A">
          <w:pPr>
            <w:spacing w:line="276" w:lineRule="auto"/>
            <w:jc w:val="center"/>
            <w:rPr>
              <w:rFonts w:eastAsia="Calibri" w:cs="Times New Roman"/>
              <w:szCs w:val="24"/>
              <w:lang w:val="en-GB"/>
            </w:rPr>
          </w:pPr>
          <w:r w:rsidRPr="00152CB4">
            <w:rPr>
              <w:rFonts w:eastAsia="Calibri" w:cs="Times New Roman"/>
              <w:b/>
              <w:szCs w:val="24"/>
              <w:lang w:val="en-GB"/>
            </w:rPr>
            <w:t>Suggestions</w:t>
          </w:r>
        </w:p>
      </w:tc>
      <w:tc>
        <w:tcPr>
          <w:tcW w:w="1559" w:type="dxa"/>
          <w:vAlign w:val="center"/>
        </w:tcPr>
        <w:p w14:paraId="54719208" w14:textId="77777777" w:rsidR="00D90410" w:rsidRPr="00152CB4" w:rsidRDefault="00D90410" w:rsidP="00C3487A">
          <w:pPr>
            <w:spacing w:line="276" w:lineRule="auto"/>
            <w:jc w:val="center"/>
            <w:rPr>
              <w:rFonts w:eastAsia="Calibri" w:cs="Times New Roman"/>
              <w:szCs w:val="24"/>
              <w:lang w:val="en-GB"/>
            </w:rPr>
          </w:pPr>
          <w:r w:rsidRPr="00152CB4">
            <w:rPr>
              <w:rFonts w:eastAsia="Calibri" w:cs="Times New Roman"/>
              <w:b/>
              <w:szCs w:val="24"/>
              <w:lang w:val="en-GB"/>
            </w:rPr>
            <w:t>Proponents</w:t>
          </w:r>
        </w:p>
      </w:tc>
      <w:tc>
        <w:tcPr>
          <w:tcW w:w="6662" w:type="dxa"/>
          <w:vAlign w:val="center"/>
        </w:tcPr>
        <w:p w14:paraId="23FC1519" w14:textId="77777777" w:rsidR="00D90410" w:rsidRPr="00152CB4" w:rsidRDefault="00D90410" w:rsidP="00C3487A">
          <w:pPr>
            <w:spacing w:line="276" w:lineRule="auto"/>
            <w:jc w:val="center"/>
            <w:rPr>
              <w:rFonts w:eastAsia="Calibri" w:cs="Times New Roman"/>
              <w:szCs w:val="24"/>
              <w:lang w:val="en-GB"/>
            </w:rPr>
          </w:pPr>
          <w:r w:rsidRPr="00152CB4">
            <w:rPr>
              <w:rFonts w:eastAsia="Calibri" w:cs="Times New Roman"/>
              <w:b/>
              <w:szCs w:val="24"/>
              <w:lang w:val="en-GB"/>
            </w:rPr>
            <w:t>Assessment</w:t>
          </w:r>
        </w:p>
      </w:tc>
    </w:tr>
  </w:tbl>
  <w:p w14:paraId="35D97BBF" w14:textId="77777777" w:rsidR="00872C68" w:rsidRPr="00C3487A" w:rsidRDefault="00872C68" w:rsidP="00C348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9338" w14:textId="77777777" w:rsidR="00872C68" w:rsidRDefault="00872C68" w:rsidP="00747A6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C32F" w14:textId="77777777" w:rsidR="00A324A7" w:rsidRDefault="00A324A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4749" w:type="dxa"/>
      <w:tblInd w:w="-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528"/>
      <w:gridCol w:w="1559"/>
      <w:gridCol w:w="6662"/>
    </w:tblGrid>
    <w:tr w:rsidR="008A0490" w:rsidRPr="00807559" w14:paraId="55F9E200" w14:textId="77777777" w:rsidTr="009A4429">
      <w:trPr>
        <w:trHeight w:val="562"/>
      </w:trPr>
      <w:tc>
        <w:tcPr>
          <w:tcW w:w="6528" w:type="dxa"/>
          <w:vAlign w:val="center"/>
        </w:tcPr>
        <w:p w14:paraId="4ECD3BC6" w14:textId="77777777" w:rsidR="00362932" w:rsidRPr="00724676" w:rsidRDefault="00362932" w:rsidP="00A50B55">
          <w:pPr>
            <w:spacing w:line="276" w:lineRule="auto"/>
            <w:jc w:val="center"/>
            <w:rPr>
              <w:rFonts w:eastAsia="Calibri" w:cs="Times New Roman"/>
              <w:szCs w:val="24"/>
              <w:lang w:val="en-GB"/>
            </w:rPr>
          </w:pPr>
          <w:r>
            <w:rPr>
              <w:rFonts w:eastAsia="Calibri" w:cs="Times New Roman"/>
              <w:b/>
              <w:bCs/>
              <w:szCs w:val="24"/>
              <w:lang w:val="en-GB"/>
            </w:rPr>
            <w:t>Suggestion</w:t>
          </w:r>
          <w:r w:rsidRPr="00724676">
            <w:rPr>
              <w:rFonts w:eastAsia="Calibri" w:cs="Times New Roman"/>
              <w:b/>
              <w:bCs/>
              <w:szCs w:val="24"/>
              <w:lang w:val="en-GB"/>
            </w:rPr>
            <w:t>s</w:t>
          </w:r>
        </w:p>
      </w:tc>
      <w:tc>
        <w:tcPr>
          <w:tcW w:w="1559" w:type="dxa"/>
          <w:vAlign w:val="center"/>
        </w:tcPr>
        <w:p w14:paraId="327B0C72" w14:textId="77777777" w:rsidR="00362932" w:rsidRPr="00724676" w:rsidRDefault="00362932" w:rsidP="00A50B55">
          <w:pPr>
            <w:spacing w:line="276" w:lineRule="auto"/>
            <w:jc w:val="center"/>
            <w:rPr>
              <w:rFonts w:eastAsia="Calibri" w:cs="Times New Roman"/>
              <w:szCs w:val="24"/>
              <w:lang w:val="en-GB"/>
            </w:rPr>
          </w:pPr>
          <w:r w:rsidRPr="00724676">
            <w:rPr>
              <w:rFonts w:eastAsia="Calibri" w:cs="Times New Roman"/>
              <w:b/>
              <w:bCs/>
              <w:szCs w:val="24"/>
              <w:lang w:val="en-GB"/>
            </w:rPr>
            <w:t>Proponents</w:t>
          </w:r>
        </w:p>
      </w:tc>
      <w:tc>
        <w:tcPr>
          <w:tcW w:w="6662" w:type="dxa"/>
          <w:vAlign w:val="center"/>
        </w:tcPr>
        <w:p w14:paraId="3599525F" w14:textId="77777777" w:rsidR="00362932" w:rsidRPr="00724676" w:rsidRDefault="00362932" w:rsidP="00A50B55">
          <w:pPr>
            <w:spacing w:line="276" w:lineRule="auto"/>
            <w:jc w:val="center"/>
            <w:rPr>
              <w:rFonts w:eastAsia="Calibri" w:cs="Times New Roman"/>
              <w:szCs w:val="24"/>
              <w:lang w:val="en-GB"/>
            </w:rPr>
          </w:pPr>
          <w:r w:rsidRPr="00724676">
            <w:rPr>
              <w:rFonts w:eastAsia="Calibri" w:cs="Times New Roman"/>
              <w:b/>
              <w:bCs/>
              <w:szCs w:val="24"/>
              <w:lang w:val="en-GB"/>
            </w:rPr>
            <w:t>Assessment</w:t>
          </w:r>
        </w:p>
      </w:tc>
    </w:tr>
  </w:tbl>
  <w:p w14:paraId="5ABC2336" w14:textId="77777777" w:rsidR="00A324A7" w:rsidRPr="001061AF" w:rsidRDefault="00A324A7" w:rsidP="001061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1C59" w14:textId="77777777" w:rsidR="00872C68" w:rsidRDefault="00872C68" w:rsidP="00747A6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B4F0" w14:textId="77777777" w:rsidR="00A324A7" w:rsidRDefault="00A324A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4769" w:type="dxa"/>
      <w:tblInd w:w="-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577"/>
      <w:gridCol w:w="1530"/>
      <w:gridCol w:w="6662"/>
    </w:tblGrid>
    <w:tr w:rsidR="008A0490" w:rsidRPr="00BB5286" w14:paraId="6D9FBE29" w14:textId="77777777" w:rsidTr="008A73D8">
      <w:trPr>
        <w:trHeight w:val="562"/>
      </w:trPr>
      <w:tc>
        <w:tcPr>
          <w:tcW w:w="6577" w:type="dxa"/>
          <w:vAlign w:val="center"/>
        </w:tcPr>
        <w:p w14:paraId="09E99C96" w14:textId="77777777" w:rsidR="006E4FA0" w:rsidRPr="00152CB4" w:rsidRDefault="006E4FA0" w:rsidP="009F3EEC">
          <w:pPr>
            <w:spacing w:line="276" w:lineRule="auto"/>
            <w:jc w:val="center"/>
            <w:rPr>
              <w:rFonts w:eastAsia="Calibri" w:cs="Times New Roman"/>
              <w:szCs w:val="24"/>
              <w:lang w:val="en-GB"/>
            </w:rPr>
          </w:pPr>
          <w:r w:rsidRPr="00152CB4">
            <w:rPr>
              <w:rFonts w:eastAsia="Calibri" w:cs="Times New Roman"/>
              <w:b/>
              <w:szCs w:val="24"/>
              <w:lang w:val="en-GB"/>
            </w:rPr>
            <w:t>Suggestions</w:t>
          </w:r>
        </w:p>
      </w:tc>
      <w:tc>
        <w:tcPr>
          <w:tcW w:w="1530" w:type="dxa"/>
          <w:vAlign w:val="center"/>
        </w:tcPr>
        <w:p w14:paraId="6228CC8E" w14:textId="77777777" w:rsidR="006E4FA0" w:rsidRPr="00152CB4" w:rsidRDefault="006E4FA0" w:rsidP="009F3EEC">
          <w:pPr>
            <w:spacing w:line="276" w:lineRule="auto"/>
            <w:jc w:val="center"/>
            <w:rPr>
              <w:rFonts w:eastAsia="Calibri" w:cs="Times New Roman"/>
              <w:szCs w:val="24"/>
              <w:lang w:val="en-GB"/>
            </w:rPr>
          </w:pPr>
          <w:r w:rsidRPr="00152CB4">
            <w:rPr>
              <w:rFonts w:eastAsia="Calibri" w:cs="Times New Roman"/>
              <w:b/>
              <w:szCs w:val="24"/>
              <w:lang w:val="en-GB"/>
            </w:rPr>
            <w:t>Proponents</w:t>
          </w:r>
        </w:p>
      </w:tc>
      <w:tc>
        <w:tcPr>
          <w:tcW w:w="6662" w:type="dxa"/>
          <w:vAlign w:val="center"/>
        </w:tcPr>
        <w:p w14:paraId="523C47EA" w14:textId="77777777" w:rsidR="006E4FA0" w:rsidRPr="00152CB4" w:rsidRDefault="006E4FA0" w:rsidP="009F3EEC">
          <w:pPr>
            <w:spacing w:line="276" w:lineRule="auto"/>
            <w:jc w:val="center"/>
            <w:rPr>
              <w:rFonts w:eastAsia="Calibri" w:cs="Times New Roman"/>
              <w:szCs w:val="24"/>
              <w:lang w:val="en-GB"/>
            </w:rPr>
          </w:pPr>
          <w:r w:rsidRPr="00152CB4">
            <w:rPr>
              <w:rFonts w:eastAsia="Calibri" w:cs="Times New Roman"/>
              <w:b/>
              <w:szCs w:val="24"/>
              <w:lang w:val="en-GB"/>
            </w:rPr>
            <w:t>Assessment</w:t>
          </w:r>
        </w:p>
      </w:tc>
    </w:tr>
  </w:tbl>
  <w:p w14:paraId="04660092" w14:textId="77777777" w:rsidR="00A324A7" w:rsidRPr="001061AF" w:rsidRDefault="00A324A7" w:rsidP="001061A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8928" w14:textId="77777777" w:rsidR="00A324A7" w:rsidRDefault="00A324A7" w:rsidP="00747A6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9909" w14:textId="77777777" w:rsidR="00A324A7" w:rsidRDefault="00A32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5423" w14:textId="77777777" w:rsidR="00BE3ED1" w:rsidRPr="00BE3ED1" w:rsidRDefault="00BE3ED1" w:rsidP="00BE3ED1">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44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565"/>
      <w:gridCol w:w="1530"/>
      <w:gridCol w:w="6330"/>
    </w:tblGrid>
    <w:tr w:rsidR="00BD2137" w:rsidRPr="00724676" w14:paraId="72C07849" w14:textId="77777777" w:rsidTr="00FD703D">
      <w:trPr>
        <w:trHeight w:val="672"/>
      </w:trPr>
      <w:tc>
        <w:tcPr>
          <w:tcW w:w="6565" w:type="dxa"/>
          <w:tcBorders>
            <w:bottom w:val="single" w:sz="4" w:space="0" w:color="000000" w:themeColor="text1"/>
          </w:tcBorders>
          <w:vAlign w:val="center"/>
        </w:tcPr>
        <w:p w14:paraId="68ABDB2C" w14:textId="77777777" w:rsidR="00BD2137" w:rsidRPr="00724676" w:rsidRDefault="00BD2137" w:rsidP="00BD2137">
          <w:pPr>
            <w:spacing w:after="60" w:line="259" w:lineRule="auto"/>
            <w:jc w:val="center"/>
            <w:rPr>
              <w:rFonts w:eastAsia="Calibri" w:cs="Times New Roman"/>
              <w:szCs w:val="24"/>
              <w:lang w:val="en-GB"/>
            </w:rPr>
          </w:pPr>
          <w:r w:rsidRPr="00724676">
            <w:rPr>
              <w:b/>
              <w:bCs/>
              <w:lang w:val="en-GB"/>
            </w:rPr>
            <w:t>Suggestions</w:t>
          </w:r>
        </w:p>
      </w:tc>
      <w:tc>
        <w:tcPr>
          <w:tcW w:w="1530" w:type="dxa"/>
          <w:tcBorders>
            <w:bottom w:val="single" w:sz="4" w:space="0" w:color="000000" w:themeColor="text1"/>
          </w:tcBorders>
          <w:vAlign w:val="center"/>
        </w:tcPr>
        <w:p w14:paraId="24041BBA" w14:textId="77777777" w:rsidR="00BD2137" w:rsidRPr="00724676" w:rsidRDefault="00BD2137" w:rsidP="00364D18">
          <w:pPr>
            <w:spacing w:after="60" w:line="259" w:lineRule="auto"/>
            <w:jc w:val="center"/>
            <w:rPr>
              <w:rFonts w:eastAsia="Calibri" w:cs="Times New Roman"/>
              <w:szCs w:val="24"/>
              <w:lang w:val="en-GB"/>
            </w:rPr>
          </w:pPr>
          <w:r w:rsidRPr="00724676">
            <w:rPr>
              <w:rFonts w:eastAsia="Calibri" w:cs="Times New Roman"/>
              <w:b/>
              <w:bCs/>
              <w:szCs w:val="24"/>
              <w:lang w:val="en-GB"/>
            </w:rPr>
            <w:t>Proponents</w:t>
          </w:r>
        </w:p>
      </w:tc>
      <w:tc>
        <w:tcPr>
          <w:tcW w:w="6330" w:type="dxa"/>
          <w:tcBorders>
            <w:bottom w:val="single" w:sz="4" w:space="0" w:color="000000" w:themeColor="text1"/>
          </w:tcBorders>
          <w:vAlign w:val="center"/>
        </w:tcPr>
        <w:p w14:paraId="4CA861E5" w14:textId="77777777" w:rsidR="00BD2137" w:rsidRPr="00724676" w:rsidRDefault="00BD2137" w:rsidP="00364D18">
          <w:pPr>
            <w:spacing w:after="60" w:line="259" w:lineRule="auto"/>
            <w:jc w:val="center"/>
            <w:rPr>
              <w:rFonts w:eastAsia="Calibri" w:cs="Times New Roman"/>
              <w:szCs w:val="24"/>
              <w:lang w:val="en-GB"/>
            </w:rPr>
          </w:pPr>
          <w:r>
            <w:rPr>
              <w:rFonts w:eastAsia="Calibri" w:cs="Times New Roman"/>
              <w:b/>
              <w:bCs/>
              <w:szCs w:val="24"/>
              <w:lang w:val="en-GB"/>
            </w:rPr>
            <w:t>Assessment</w:t>
          </w:r>
        </w:p>
      </w:tc>
    </w:tr>
  </w:tbl>
  <w:p w14:paraId="096E4777" w14:textId="77777777" w:rsidR="00A324A7" w:rsidRPr="00364D18" w:rsidRDefault="00A324A7" w:rsidP="00364D1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A56D" w14:textId="77777777" w:rsidR="00872C68" w:rsidRDefault="00872C68" w:rsidP="00747A6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DFB1" w14:textId="77777777" w:rsidR="00A324A7" w:rsidRDefault="00A324A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4519" w:type="dxa"/>
      <w:tblInd w:w="-34" w:type="dxa"/>
      <w:tblLayout w:type="fixed"/>
      <w:tblLook w:val="04A0" w:firstRow="1" w:lastRow="0" w:firstColumn="1" w:lastColumn="0" w:noHBand="0" w:noVBand="1"/>
    </w:tblPr>
    <w:tblGrid>
      <w:gridCol w:w="6599"/>
      <w:gridCol w:w="1530"/>
      <w:gridCol w:w="6390"/>
    </w:tblGrid>
    <w:tr w:rsidR="00A3578D" w:rsidRPr="00724676" w14:paraId="03A708EA" w14:textId="77777777" w:rsidTr="00B54A1E">
      <w:trPr>
        <w:trHeight w:val="672"/>
      </w:trPr>
      <w:tc>
        <w:tcPr>
          <w:tcW w:w="6599" w:type="dxa"/>
          <w:vAlign w:val="center"/>
        </w:tcPr>
        <w:p w14:paraId="76E03D16" w14:textId="77777777" w:rsidR="00BD2137" w:rsidRPr="00724676" w:rsidRDefault="00BD2137" w:rsidP="00C01AAA">
          <w:pPr>
            <w:spacing w:after="60" w:line="259" w:lineRule="auto"/>
            <w:jc w:val="center"/>
            <w:rPr>
              <w:rFonts w:eastAsia="Calibri" w:cs="Times New Roman"/>
              <w:szCs w:val="24"/>
              <w:lang w:val="en-GB"/>
            </w:rPr>
          </w:pPr>
          <w:r w:rsidRPr="00724676">
            <w:rPr>
              <w:b/>
              <w:bCs/>
              <w:lang w:val="en-GB"/>
            </w:rPr>
            <w:t>Suggestions</w:t>
          </w:r>
        </w:p>
      </w:tc>
      <w:tc>
        <w:tcPr>
          <w:tcW w:w="1530" w:type="dxa"/>
          <w:vAlign w:val="center"/>
        </w:tcPr>
        <w:p w14:paraId="13945F3E" w14:textId="77777777" w:rsidR="00BD2137" w:rsidRPr="00724676" w:rsidRDefault="00BD2137" w:rsidP="00C01AAA">
          <w:pPr>
            <w:spacing w:after="60" w:line="259" w:lineRule="auto"/>
            <w:jc w:val="center"/>
            <w:rPr>
              <w:rFonts w:eastAsia="Calibri" w:cs="Times New Roman"/>
              <w:szCs w:val="24"/>
              <w:lang w:val="en-GB"/>
            </w:rPr>
          </w:pPr>
          <w:r w:rsidRPr="00724676">
            <w:rPr>
              <w:rFonts w:eastAsia="Calibri" w:cs="Times New Roman"/>
              <w:b/>
              <w:bCs/>
              <w:szCs w:val="24"/>
              <w:lang w:val="en-GB"/>
            </w:rPr>
            <w:t>Proponents</w:t>
          </w:r>
        </w:p>
      </w:tc>
      <w:tc>
        <w:tcPr>
          <w:tcW w:w="6390" w:type="dxa"/>
          <w:vAlign w:val="center"/>
        </w:tcPr>
        <w:p w14:paraId="3E1696E1" w14:textId="77777777" w:rsidR="00BD2137" w:rsidRPr="00724676" w:rsidRDefault="00BD2137" w:rsidP="00C01AAA">
          <w:pPr>
            <w:spacing w:after="60" w:line="259" w:lineRule="auto"/>
            <w:jc w:val="center"/>
            <w:rPr>
              <w:rFonts w:eastAsia="Calibri" w:cs="Times New Roman"/>
              <w:szCs w:val="24"/>
              <w:lang w:val="en-GB"/>
            </w:rPr>
          </w:pPr>
          <w:r>
            <w:rPr>
              <w:rFonts w:eastAsia="Calibri" w:cs="Times New Roman"/>
              <w:b/>
              <w:bCs/>
              <w:szCs w:val="24"/>
              <w:lang w:val="en-GB"/>
            </w:rPr>
            <w:t>Assessment</w:t>
          </w:r>
        </w:p>
      </w:tc>
    </w:tr>
  </w:tbl>
  <w:p w14:paraId="4BAB93B5" w14:textId="77777777" w:rsidR="00A324A7" w:rsidRPr="00C01AAA" w:rsidRDefault="00A324A7" w:rsidP="00C01AA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43FB" w14:textId="77777777" w:rsidR="00A324A7" w:rsidRDefault="00A324A7" w:rsidP="00747A6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2904" w14:textId="77777777" w:rsidR="00ED5720" w:rsidRDefault="00ED572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D533" w14:textId="77777777" w:rsidR="00ED5720" w:rsidRDefault="00ED572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6544" w14:textId="77777777" w:rsidR="00ED5720" w:rsidRDefault="00ED5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3817" w14:textId="77777777" w:rsidR="00BE3ED1" w:rsidRPr="00BE3ED1" w:rsidRDefault="00BE3ED1" w:rsidP="00BE3ED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CC5F" w14:textId="77777777" w:rsidR="00CE71D4" w:rsidRDefault="00CE71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BDF7" w14:textId="77777777" w:rsidR="00CE71D4" w:rsidRDefault="00CE71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D542" w14:textId="77777777" w:rsidR="00CE71D4" w:rsidRDefault="00CE71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C3A1" w14:textId="77777777" w:rsidR="00F7169E" w:rsidRDefault="00F716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82" w:type="dxa"/>
      <w:tblInd w:w="8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CellMar>
        <w:left w:w="0" w:type="dxa"/>
        <w:right w:w="0" w:type="dxa"/>
      </w:tblCellMar>
      <w:tblLook w:val="0000" w:firstRow="0" w:lastRow="0" w:firstColumn="0" w:lastColumn="0" w:noHBand="0" w:noVBand="0"/>
    </w:tblPr>
    <w:tblGrid>
      <w:gridCol w:w="4680"/>
      <w:gridCol w:w="4302"/>
    </w:tblGrid>
    <w:tr w:rsidR="002B144B" w:rsidRPr="00724676" w14:paraId="732A9856" w14:textId="77777777" w:rsidTr="002B144B">
      <w:trPr>
        <w:trHeight w:val="652"/>
      </w:trPr>
      <w:tc>
        <w:tcPr>
          <w:tcW w:w="4680" w:type="dxa"/>
          <w:vAlign w:val="center"/>
        </w:tcPr>
        <w:p w14:paraId="18614E41" w14:textId="77777777" w:rsidR="002B144B" w:rsidRPr="00724676" w:rsidRDefault="002B144B" w:rsidP="002B144B">
          <w:pPr>
            <w:kinsoku w:val="0"/>
            <w:overflowPunct w:val="0"/>
            <w:autoSpaceDE w:val="0"/>
            <w:autoSpaceDN w:val="0"/>
            <w:adjustRightInd w:val="0"/>
            <w:spacing w:after="120" w:line="240" w:lineRule="auto"/>
            <w:ind w:left="110"/>
            <w:jc w:val="center"/>
            <w:rPr>
              <w:rFonts w:cs="Times New Roman"/>
              <w:b/>
              <w:bCs/>
              <w:spacing w:val="-2"/>
              <w:kern w:val="0"/>
              <w:szCs w:val="24"/>
              <w:lang w:val="en-GB"/>
            </w:rPr>
          </w:pPr>
          <w:r w:rsidRPr="00724676">
            <w:rPr>
              <w:rFonts w:cs="Times New Roman"/>
              <w:b/>
              <w:bCs/>
              <w:spacing w:val="-2"/>
              <w:kern w:val="0"/>
              <w:szCs w:val="24"/>
              <w:lang w:val="en-GB"/>
            </w:rPr>
            <w:t>Action</w:t>
          </w:r>
        </w:p>
      </w:tc>
      <w:tc>
        <w:tcPr>
          <w:tcW w:w="4302" w:type="dxa"/>
          <w:vAlign w:val="center"/>
        </w:tcPr>
        <w:p w14:paraId="6803C1B1" w14:textId="77777777" w:rsidR="002B144B" w:rsidRPr="00724676" w:rsidRDefault="002B144B" w:rsidP="002B144B">
          <w:pPr>
            <w:kinsoku w:val="0"/>
            <w:overflowPunct w:val="0"/>
            <w:autoSpaceDE w:val="0"/>
            <w:autoSpaceDN w:val="0"/>
            <w:adjustRightInd w:val="0"/>
            <w:spacing w:after="120" w:line="240" w:lineRule="auto"/>
            <w:ind w:left="111"/>
            <w:jc w:val="center"/>
            <w:rPr>
              <w:rFonts w:cs="Times New Roman"/>
              <w:b/>
              <w:spacing w:val="-2"/>
              <w:kern w:val="0"/>
              <w:szCs w:val="24"/>
              <w:highlight w:val="yellow"/>
              <w:lang w:val="en-GB"/>
            </w:rPr>
          </w:pPr>
          <w:r w:rsidRPr="00724676">
            <w:rPr>
              <w:rFonts w:cs="Times New Roman"/>
              <w:b/>
              <w:spacing w:val="-2"/>
              <w:kern w:val="0"/>
              <w:szCs w:val="24"/>
              <w:lang w:val="en-GB"/>
            </w:rPr>
            <w:t>Delivery</w:t>
          </w:r>
        </w:p>
      </w:tc>
    </w:tr>
  </w:tbl>
  <w:p w14:paraId="58DC3A3B" w14:textId="77777777" w:rsidR="00F7169E" w:rsidRDefault="00F716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3E6B" w14:textId="77777777" w:rsidR="00F7169E" w:rsidRDefault="00F7169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5E74"/>
    <w:multiLevelType w:val="hybridMultilevel"/>
    <w:tmpl w:val="EC5AF384"/>
    <w:lvl w:ilvl="0" w:tplc="11FAECE6">
      <w:start w:val="1"/>
      <w:numFmt w:val="upperRoman"/>
      <w:lvlText w:val="%1."/>
      <w:lvlJc w:val="left"/>
      <w:pPr>
        <w:ind w:left="1080" w:hanging="720"/>
      </w:pPr>
      <w:rPr>
        <w:rFonts w:asciiTheme="minorHAnsi" w:hAnsiTheme="minorHAnsi" w:cstheme="minorBidi" w:hint="default"/>
        <w:b/>
        <w:color w:val="0033CC"/>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A31FD"/>
    <w:multiLevelType w:val="multilevel"/>
    <w:tmpl w:val="91502480"/>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FA260CF"/>
    <w:multiLevelType w:val="hybridMultilevel"/>
    <w:tmpl w:val="8C6EC55C"/>
    <w:lvl w:ilvl="0" w:tplc="F208AF06">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16D3294"/>
    <w:multiLevelType w:val="hybridMultilevel"/>
    <w:tmpl w:val="3EC8EC54"/>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99AF459"/>
    <w:multiLevelType w:val="hybridMultilevel"/>
    <w:tmpl w:val="FFFFFFFF"/>
    <w:lvl w:ilvl="0" w:tplc="2544EA04">
      <w:start w:val="1"/>
      <w:numFmt w:val="bullet"/>
      <w:lvlText w:val="-"/>
      <w:lvlJc w:val="left"/>
      <w:pPr>
        <w:ind w:left="720" w:hanging="360"/>
      </w:pPr>
      <w:rPr>
        <w:rFonts w:ascii="Aptos" w:hAnsi="Aptos" w:hint="default"/>
      </w:rPr>
    </w:lvl>
    <w:lvl w:ilvl="1" w:tplc="5C0CA456">
      <w:start w:val="1"/>
      <w:numFmt w:val="bullet"/>
      <w:lvlText w:val="o"/>
      <w:lvlJc w:val="left"/>
      <w:pPr>
        <w:ind w:left="1440" w:hanging="360"/>
      </w:pPr>
      <w:rPr>
        <w:rFonts w:ascii="Courier New" w:hAnsi="Courier New" w:hint="default"/>
      </w:rPr>
    </w:lvl>
    <w:lvl w:ilvl="2" w:tplc="EB48E5F2">
      <w:start w:val="1"/>
      <w:numFmt w:val="bullet"/>
      <w:lvlText w:val=""/>
      <w:lvlJc w:val="left"/>
      <w:pPr>
        <w:ind w:left="2160" w:hanging="360"/>
      </w:pPr>
      <w:rPr>
        <w:rFonts w:ascii="Wingdings" w:hAnsi="Wingdings" w:hint="default"/>
      </w:rPr>
    </w:lvl>
    <w:lvl w:ilvl="3" w:tplc="1F66EF16">
      <w:start w:val="1"/>
      <w:numFmt w:val="bullet"/>
      <w:lvlText w:val=""/>
      <w:lvlJc w:val="left"/>
      <w:pPr>
        <w:ind w:left="2880" w:hanging="360"/>
      </w:pPr>
      <w:rPr>
        <w:rFonts w:ascii="Symbol" w:hAnsi="Symbol" w:hint="default"/>
      </w:rPr>
    </w:lvl>
    <w:lvl w:ilvl="4" w:tplc="D7847766">
      <w:start w:val="1"/>
      <w:numFmt w:val="bullet"/>
      <w:lvlText w:val="o"/>
      <w:lvlJc w:val="left"/>
      <w:pPr>
        <w:ind w:left="3600" w:hanging="360"/>
      </w:pPr>
      <w:rPr>
        <w:rFonts w:ascii="Courier New" w:hAnsi="Courier New" w:hint="default"/>
      </w:rPr>
    </w:lvl>
    <w:lvl w:ilvl="5" w:tplc="0E866822">
      <w:start w:val="1"/>
      <w:numFmt w:val="bullet"/>
      <w:lvlText w:val=""/>
      <w:lvlJc w:val="left"/>
      <w:pPr>
        <w:ind w:left="4320" w:hanging="360"/>
      </w:pPr>
      <w:rPr>
        <w:rFonts w:ascii="Wingdings" w:hAnsi="Wingdings" w:hint="default"/>
      </w:rPr>
    </w:lvl>
    <w:lvl w:ilvl="6" w:tplc="36FCB212">
      <w:start w:val="1"/>
      <w:numFmt w:val="bullet"/>
      <w:lvlText w:val=""/>
      <w:lvlJc w:val="left"/>
      <w:pPr>
        <w:ind w:left="5040" w:hanging="360"/>
      </w:pPr>
      <w:rPr>
        <w:rFonts w:ascii="Symbol" w:hAnsi="Symbol" w:hint="default"/>
      </w:rPr>
    </w:lvl>
    <w:lvl w:ilvl="7" w:tplc="CA2C9D34">
      <w:start w:val="1"/>
      <w:numFmt w:val="bullet"/>
      <w:lvlText w:val="o"/>
      <w:lvlJc w:val="left"/>
      <w:pPr>
        <w:ind w:left="5760" w:hanging="360"/>
      </w:pPr>
      <w:rPr>
        <w:rFonts w:ascii="Courier New" w:hAnsi="Courier New" w:hint="default"/>
      </w:rPr>
    </w:lvl>
    <w:lvl w:ilvl="8" w:tplc="6C74FE26">
      <w:start w:val="1"/>
      <w:numFmt w:val="bullet"/>
      <w:lvlText w:val=""/>
      <w:lvlJc w:val="left"/>
      <w:pPr>
        <w:ind w:left="6480" w:hanging="360"/>
      </w:pPr>
      <w:rPr>
        <w:rFonts w:ascii="Wingdings" w:hAnsi="Wingdings" w:hint="default"/>
      </w:rPr>
    </w:lvl>
  </w:abstractNum>
  <w:abstractNum w:abstractNumId="5" w15:restartNumberingAfterBreak="0">
    <w:nsid w:val="1B4C6183"/>
    <w:multiLevelType w:val="hybridMultilevel"/>
    <w:tmpl w:val="18FCC48E"/>
    <w:lvl w:ilvl="0" w:tplc="1A8607E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C036274"/>
    <w:multiLevelType w:val="hybridMultilevel"/>
    <w:tmpl w:val="AD02C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E1028A"/>
    <w:multiLevelType w:val="hybridMultilevel"/>
    <w:tmpl w:val="BB9A78D4"/>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7354D1"/>
    <w:multiLevelType w:val="hybridMultilevel"/>
    <w:tmpl w:val="FFFFFFFF"/>
    <w:lvl w:ilvl="0" w:tplc="54C0CA00">
      <w:start w:val="1"/>
      <w:numFmt w:val="bullet"/>
      <w:lvlText w:val="·"/>
      <w:lvlJc w:val="left"/>
      <w:pPr>
        <w:ind w:left="720" w:hanging="360"/>
      </w:pPr>
      <w:rPr>
        <w:rFonts w:ascii="Symbol" w:hAnsi="Symbol" w:hint="default"/>
      </w:rPr>
    </w:lvl>
    <w:lvl w:ilvl="1" w:tplc="19C28F68">
      <w:start w:val="1"/>
      <w:numFmt w:val="bullet"/>
      <w:lvlText w:val="o"/>
      <w:lvlJc w:val="left"/>
      <w:pPr>
        <w:ind w:left="1440" w:hanging="360"/>
      </w:pPr>
      <w:rPr>
        <w:rFonts w:ascii="Courier New" w:hAnsi="Courier New" w:hint="default"/>
      </w:rPr>
    </w:lvl>
    <w:lvl w:ilvl="2" w:tplc="2842EC6E">
      <w:start w:val="1"/>
      <w:numFmt w:val="bullet"/>
      <w:lvlText w:val=""/>
      <w:lvlJc w:val="left"/>
      <w:pPr>
        <w:ind w:left="2160" w:hanging="360"/>
      </w:pPr>
      <w:rPr>
        <w:rFonts w:ascii="Wingdings" w:hAnsi="Wingdings" w:hint="default"/>
      </w:rPr>
    </w:lvl>
    <w:lvl w:ilvl="3" w:tplc="B81E01F4">
      <w:start w:val="1"/>
      <w:numFmt w:val="bullet"/>
      <w:lvlText w:val=""/>
      <w:lvlJc w:val="left"/>
      <w:pPr>
        <w:ind w:left="2880" w:hanging="360"/>
      </w:pPr>
      <w:rPr>
        <w:rFonts w:ascii="Symbol" w:hAnsi="Symbol" w:hint="default"/>
      </w:rPr>
    </w:lvl>
    <w:lvl w:ilvl="4" w:tplc="38A8E0E8">
      <w:start w:val="1"/>
      <w:numFmt w:val="bullet"/>
      <w:lvlText w:val="o"/>
      <w:lvlJc w:val="left"/>
      <w:pPr>
        <w:ind w:left="3600" w:hanging="360"/>
      </w:pPr>
      <w:rPr>
        <w:rFonts w:ascii="Courier New" w:hAnsi="Courier New" w:hint="default"/>
      </w:rPr>
    </w:lvl>
    <w:lvl w:ilvl="5" w:tplc="C5ACF1D6">
      <w:start w:val="1"/>
      <w:numFmt w:val="bullet"/>
      <w:lvlText w:val=""/>
      <w:lvlJc w:val="left"/>
      <w:pPr>
        <w:ind w:left="4320" w:hanging="360"/>
      </w:pPr>
      <w:rPr>
        <w:rFonts w:ascii="Wingdings" w:hAnsi="Wingdings" w:hint="default"/>
      </w:rPr>
    </w:lvl>
    <w:lvl w:ilvl="6" w:tplc="4434E5C4">
      <w:start w:val="1"/>
      <w:numFmt w:val="bullet"/>
      <w:lvlText w:val=""/>
      <w:lvlJc w:val="left"/>
      <w:pPr>
        <w:ind w:left="5040" w:hanging="360"/>
      </w:pPr>
      <w:rPr>
        <w:rFonts w:ascii="Symbol" w:hAnsi="Symbol" w:hint="default"/>
      </w:rPr>
    </w:lvl>
    <w:lvl w:ilvl="7" w:tplc="2A56A60C">
      <w:start w:val="1"/>
      <w:numFmt w:val="bullet"/>
      <w:lvlText w:val="o"/>
      <w:lvlJc w:val="left"/>
      <w:pPr>
        <w:ind w:left="5760" w:hanging="360"/>
      </w:pPr>
      <w:rPr>
        <w:rFonts w:ascii="Courier New" w:hAnsi="Courier New" w:hint="default"/>
      </w:rPr>
    </w:lvl>
    <w:lvl w:ilvl="8" w:tplc="9690C0BE">
      <w:start w:val="1"/>
      <w:numFmt w:val="bullet"/>
      <w:lvlText w:val=""/>
      <w:lvlJc w:val="left"/>
      <w:pPr>
        <w:ind w:left="6480" w:hanging="360"/>
      </w:pPr>
      <w:rPr>
        <w:rFonts w:ascii="Wingdings" w:hAnsi="Wingdings" w:hint="default"/>
      </w:rPr>
    </w:lvl>
  </w:abstractNum>
  <w:abstractNum w:abstractNumId="9" w15:restartNumberingAfterBreak="0">
    <w:nsid w:val="1FCE60B4"/>
    <w:multiLevelType w:val="multilevel"/>
    <w:tmpl w:val="0792E56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21822BF6"/>
    <w:multiLevelType w:val="hybridMultilevel"/>
    <w:tmpl w:val="74A8DEEA"/>
    <w:lvl w:ilvl="0" w:tplc="3760B356">
      <w:start w:val="1"/>
      <w:numFmt w:val="bullet"/>
      <w:lvlText w:val="·"/>
      <w:lvlJc w:val="left"/>
      <w:pPr>
        <w:ind w:left="360" w:hanging="360"/>
      </w:pPr>
      <w:rPr>
        <w:rFonts w:ascii="Symbol" w:hAnsi="Symbol" w:hint="default"/>
      </w:rPr>
    </w:lvl>
    <w:lvl w:ilvl="1" w:tplc="6AD29386">
      <w:start w:val="1"/>
      <w:numFmt w:val="bullet"/>
      <w:lvlText w:val="o"/>
      <w:lvlJc w:val="left"/>
      <w:pPr>
        <w:ind w:left="1080" w:hanging="360"/>
      </w:pPr>
      <w:rPr>
        <w:rFonts w:ascii="Courier New" w:hAnsi="Courier New" w:hint="default"/>
      </w:rPr>
    </w:lvl>
    <w:lvl w:ilvl="2" w:tplc="DF601D0E">
      <w:start w:val="1"/>
      <w:numFmt w:val="bullet"/>
      <w:lvlText w:val=""/>
      <w:lvlJc w:val="left"/>
      <w:pPr>
        <w:ind w:left="1800" w:hanging="360"/>
      </w:pPr>
      <w:rPr>
        <w:rFonts w:ascii="Wingdings" w:hAnsi="Wingdings" w:hint="default"/>
      </w:rPr>
    </w:lvl>
    <w:lvl w:ilvl="3" w:tplc="0C02093C">
      <w:start w:val="1"/>
      <w:numFmt w:val="bullet"/>
      <w:lvlText w:val=""/>
      <w:lvlJc w:val="left"/>
      <w:pPr>
        <w:ind w:left="2520" w:hanging="360"/>
      </w:pPr>
      <w:rPr>
        <w:rFonts w:ascii="Symbol" w:hAnsi="Symbol" w:hint="default"/>
      </w:rPr>
    </w:lvl>
    <w:lvl w:ilvl="4" w:tplc="A9604674">
      <w:start w:val="1"/>
      <w:numFmt w:val="bullet"/>
      <w:lvlText w:val="o"/>
      <w:lvlJc w:val="left"/>
      <w:pPr>
        <w:ind w:left="3240" w:hanging="360"/>
      </w:pPr>
      <w:rPr>
        <w:rFonts w:ascii="Courier New" w:hAnsi="Courier New" w:hint="default"/>
      </w:rPr>
    </w:lvl>
    <w:lvl w:ilvl="5" w:tplc="2758C596">
      <w:start w:val="1"/>
      <w:numFmt w:val="bullet"/>
      <w:lvlText w:val=""/>
      <w:lvlJc w:val="left"/>
      <w:pPr>
        <w:ind w:left="3960" w:hanging="360"/>
      </w:pPr>
      <w:rPr>
        <w:rFonts w:ascii="Wingdings" w:hAnsi="Wingdings" w:hint="default"/>
      </w:rPr>
    </w:lvl>
    <w:lvl w:ilvl="6" w:tplc="AC2C7FC4">
      <w:start w:val="1"/>
      <w:numFmt w:val="bullet"/>
      <w:lvlText w:val=""/>
      <w:lvlJc w:val="left"/>
      <w:pPr>
        <w:ind w:left="4680" w:hanging="360"/>
      </w:pPr>
      <w:rPr>
        <w:rFonts w:ascii="Symbol" w:hAnsi="Symbol" w:hint="default"/>
      </w:rPr>
    </w:lvl>
    <w:lvl w:ilvl="7" w:tplc="0EC62FF2">
      <w:start w:val="1"/>
      <w:numFmt w:val="bullet"/>
      <w:lvlText w:val="o"/>
      <w:lvlJc w:val="left"/>
      <w:pPr>
        <w:ind w:left="5400" w:hanging="360"/>
      </w:pPr>
      <w:rPr>
        <w:rFonts w:ascii="Courier New" w:hAnsi="Courier New" w:hint="default"/>
      </w:rPr>
    </w:lvl>
    <w:lvl w:ilvl="8" w:tplc="B65A12BC">
      <w:start w:val="1"/>
      <w:numFmt w:val="bullet"/>
      <w:lvlText w:val=""/>
      <w:lvlJc w:val="left"/>
      <w:pPr>
        <w:ind w:left="6120" w:hanging="360"/>
      </w:pPr>
      <w:rPr>
        <w:rFonts w:ascii="Wingdings" w:hAnsi="Wingdings" w:hint="default"/>
      </w:rPr>
    </w:lvl>
  </w:abstractNum>
  <w:abstractNum w:abstractNumId="11" w15:restartNumberingAfterBreak="0">
    <w:nsid w:val="241D4722"/>
    <w:multiLevelType w:val="hybridMultilevel"/>
    <w:tmpl w:val="96A0FDE4"/>
    <w:lvl w:ilvl="0" w:tplc="98741326">
      <w:start w:val="1"/>
      <w:numFmt w:val="decimal"/>
      <w:lvlText w:val="%1."/>
      <w:lvlJc w:val="left"/>
      <w:pPr>
        <w:ind w:left="720" w:hanging="360"/>
      </w:pPr>
    </w:lvl>
    <w:lvl w:ilvl="1" w:tplc="08C83472">
      <w:start w:val="1"/>
      <w:numFmt w:val="lowerLetter"/>
      <w:lvlText w:val="%2."/>
      <w:lvlJc w:val="left"/>
      <w:pPr>
        <w:ind w:left="1440" w:hanging="360"/>
      </w:pPr>
    </w:lvl>
    <w:lvl w:ilvl="2" w:tplc="744E3356">
      <w:start w:val="1"/>
      <w:numFmt w:val="lowerRoman"/>
      <w:lvlText w:val="%3."/>
      <w:lvlJc w:val="right"/>
      <w:pPr>
        <w:ind w:left="2160" w:hanging="180"/>
      </w:pPr>
    </w:lvl>
    <w:lvl w:ilvl="3" w:tplc="FACA99A4">
      <w:start w:val="1"/>
      <w:numFmt w:val="decimal"/>
      <w:lvlText w:val="%4."/>
      <w:lvlJc w:val="left"/>
      <w:pPr>
        <w:ind w:left="2880" w:hanging="360"/>
      </w:pPr>
    </w:lvl>
    <w:lvl w:ilvl="4" w:tplc="929AAF8C">
      <w:start w:val="1"/>
      <w:numFmt w:val="lowerLetter"/>
      <w:lvlText w:val="%5."/>
      <w:lvlJc w:val="left"/>
      <w:pPr>
        <w:ind w:left="3600" w:hanging="360"/>
      </w:pPr>
    </w:lvl>
    <w:lvl w:ilvl="5" w:tplc="04601AEA">
      <w:start w:val="1"/>
      <w:numFmt w:val="lowerRoman"/>
      <w:lvlText w:val="%6."/>
      <w:lvlJc w:val="right"/>
      <w:pPr>
        <w:ind w:left="4320" w:hanging="180"/>
      </w:pPr>
    </w:lvl>
    <w:lvl w:ilvl="6" w:tplc="DD00DF5C">
      <w:start w:val="1"/>
      <w:numFmt w:val="decimal"/>
      <w:lvlText w:val="%7."/>
      <w:lvlJc w:val="left"/>
      <w:pPr>
        <w:ind w:left="5040" w:hanging="360"/>
      </w:pPr>
    </w:lvl>
    <w:lvl w:ilvl="7" w:tplc="54360E1C">
      <w:start w:val="1"/>
      <w:numFmt w:val="lowerLetter"/>
      <w:lvlText w:val="%8."/>
      <w:lvlJc w:val="left"/>
      <w:pPr>
        <w:ind w:left="5760" w:hanging="360"/>
      </w:pPr>
    </w:lvl>
    <w:lvl w:ilvl="8" w:tplc="B79EC84A">
      <w:start w:val="1"/>
      <w:numFmt w:val="lowerRoman"/>
      <w:lvlText w:val="%9."/>
      <w:lvlJc w:val="right"/>
      <w:pPr>
        <w:ind w:left="6480" w:hanging="180"/>
      </w:pPr>
    </w:lvl>
  </w:abstractNum>
  <w:abstractNum w:abstractNumId="12" w15:restartNumberingAfterBreak="0">
    <w:nsid w:val="250D2598"/>
    <w:multiLevelType w:val="hybridMultilevel"/>
    <w:tmpl w:val="E22EBFDC"/>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5FA22A5"/>
    <w:multiLevelType w:val="hybridMultilevel"/>
    <w:tmpl w:val="BF7CAD5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DE13E2"/>
    <w:multiLevelType w:val="hybridMultilevel"/>
    <w:tmpl w:val="FFFFFFFF"/>
    <w:lvl w:ilvl="0" w:tplc="109A5B6C">
      <w:start w:val="1"/>
      <w:numFmt w:val="bullet"/>
      <w:lvlText w:val=""/>
      <w:lvlJc w:val="left"/>
      <w:pPr>
        <w:ind w:left="720" w:hanging="360"/>
      </w:pPr>
      <w:rPr>
        <w:rFonts w:ascii="Symbol" w:hAnsi="Symbol" w:hint="default"/>
      </w:rPr>
    </w:lvl>
    <w:lvl w:ilvl="1" w:tplc="AE44EDCC">
      <w:start w:val="1"/>
      <w:numFmt w:val="bullet"/>
      <w:lvlText w:val="o"/>
      <w:lvlJc w:val="left"/>
      <w:pPr>
        <w:ind w:left="1440" w:hanging="360"/>
      </w:pPr>
      <w:rPr>
        <w:rFonts w:ascii="Courier New" w:hAnsi="Courier New" w:hint="default"/>
      </w:rPr>
    </w:lvl>
    <w:lvl w:ilvl="2" w:tplc="57027976">
      <w:start w:val="1"/>
      <w:numFmt w:val="bullet"/>
      <w:lvlText w:val=""/>
      <w:lvlJc w:val="left"/>
      <w:pPr>
        <w:ind w:left="2160" w:hanging="360"/>
      </w:pPr>
      <w:rPr>
        <w:rFonts w:ascii="Wingdings" w:hAnsi="Wingdings" w:hint="default"/>
      </w:rPr>
    </w:lvl>
    <w:lvl w:ilvl="3" w:tplc="13143972">
      <w:start w:val="1"/>
      <w:numFmt w:val="bullet"/>
      <w:lvlText w:val=""/>
      <w:lvlJc w:val="left"/>
      <w:pPr>
        <w:ind w:left="2880" w:hanging="360"/>
      </w:pPr>
      <w:rPr>
        <w:rFonts w:ascii="Symbol" w:hAnsi="Symbol" w:hint="default"/>
      </w:rPr>
    </w:lvl>
    <w:lvl w:ilvl="4" w:tplc="3E7EEF80">
      <w:start w:val="1"/>
      <w:numFmt w:val="bullet"/>
      <w:lvlText w:val="o"/>
      <w:lvlJc w:val="left"/>
      <w:pPr>
        <w:ind w:left="3600" w:hanging="360"/>
      </w:pPr>
      <w:rPr>
        <w:rFonts w:ascii="Courier New" w:hAnsi="Courier New" w:hint="default"/>
      </w:rPr>
    </w:lvl>
    <w:lvl w:ilvl="5" w:tplc="8A8236F6">
      <w:start w:val="1"/>
      <w:numFmt w:val="bullet"/>
      <w:lvlText w:val=""/>
      <w:lvlJc w:val="left"/>
      <w:pPr>
        <w:ind w:left="4320" w:hanging="360"/>
      </w:pPr>
      <w:rPr>
        <w:rFonts w:ascii="Wingdings" w:hAnsi="Wingdings" w:hint="default"/>
      </w:rPr>
    </w:lvl>
    <w:lvl w:ilvl="6" w:tplc="D69CD40A">
      <w:start w:val="1"/>
      <w:numFmt w:val="bullet"/>
      <w:lvlText w:val=""/>
      <w:lvlJc w:val="left"/>
      <w:pPr>
        <w:ind w:left="5040" w:hanging="360"/>
      </w:pPr>
      <w:rPr>
        <w:rFonts w:ascii="Symbol" w:hAnsi="Symbol" w:hint="default"/>
      </w:rPr>
    </w:lvl>
    <w:lvl w:ilvl="7" w:tplc="2C483B5E">
      <w:start w:val="1"/>
      <w:numFmt w:val="bullet"/>
      <w:lvlText w:val="o"/>
      <w:lvlJc w:val="left"/>
      <w:pPr>
        <w:ind w:left="5760" w:hanging="360"/>
      </w:pPr>
      <w:rPr>
        <w:rFonts w:ascii="Courier New" w:hAnsi="Courier New" w:hint="default"/>
      </w:rPr>
    </w:lvl>
    <w:lvl w:ilvl="8" w:tplc="D9EA9F20">
      <w:start w:val="1"/>
      <w:numFmt w:val="bullet"/>
      <w:lvlText w:val=""/>
      <w:lvlJc w:val="left"/>
      <w:pPr>
        <w:ind w:left="6480" w:hanging="360"/>
      </w:pPr>
      <w:rPr>
        <w:rFonts w:ascii="Wingdings" w:hAnsi="Wingdings" w:hint="default"/>
      </w:rPr>
    </w:lvl>
  </w:abstractNum>
  <w:abstractNum w:abstractNumId="15" w15:restartNumberingAfterBreak="0">
    <w:nsid w:val="2F6A2869"/>
    <w:multiLevelType w:val="hybridMultilevel"/>
    <w:tmpl w:val="786409B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5617DF"/>
    <w:multiLevelType w:val="hybridMultilevel"/>
    <w:tmpl w:val="F0B87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804BCB"/>
    <w:multiLevelType w:val="hybridMultilevel"/>
    <w:tmpl w:val="CC36D658"/>
    <w:lvl w:ilvl="0" w:tplc="772C7876">
      <w:numFmt w:val="bullet"/>
      <w:lvlText w:val="-"/>
      <w:lvlJc w:val="left"/>
      <w:pPr>
        <w:ind w:left="720" w:hanging="360"/>
      </w:pPr>
      <w:rPr>
        <w:rFonts w:ascii="Calibri" w:eastAsiaTheme="minorHAnsi" w:hAnsi="Calibri" w:cs="Calibr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1EC375A"/>
    <w:multiLevelType w:val="hybridMultilevel"/>
    <w:tmpl w:val="8064DF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6A1D03"/>
    <w:multiLevelType w:val="hybridMultilevel"/>
    <w:tmpl w:val="5C5A5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F521C1"/>
    <w:multiLevelType w:val="hybridMultilevel"/>
    <w:tmpl w:val="FFFFFFFF"/>
    <w:lvl w:ilvl="0" w:tplc="053E9E02">
      <w:start w:val="1"/>
      <w:numFmt w:val="bullet"/>
      <w:lvlText w:val=""/>
      <w:lvlJc w:val="left"/>
      <w:pPr>
        <w:ind w:left="720" w:hanging="360"/>
      </w:pPr>
      <w:rPr>
        <w:rFonts w:ascii="Symbol" w:hAnsi="Symbol" w:hint="default"/>
      </w:rPr>
    </w:lvl>
    <w:lvl w:ilvl="1" w:tplc="3C90F064">
      <w:start w:val="1"/>
      <w:numFmt w:val="bullet"/>
      <w:lvlText w:val="o"/>
      <w:lvlJc w:val="left"/>
      <w:pPr>
        <w:ind w:left="1440" w:hanging="360"/>
      </w:pPr>
      <w:rPr>
        <w:rFonts w:ascii="Courier New" w:hAnsi="Courier New" w:hint="default"/>
      </w:rPr>
    </w:lvl>
    <w:lvl w:ilvl="2" w:tplc="DC14919E">
      <w:start w:val="1"/>
      <w:numFmt w:val="bullet"/>
      <w:lvlText w:val=""/>
      <w:lvlJc w:val="left"/>
      <w:pPr>
        <w:ind w:left="2160" w:hanging="360"/>
      </w:pPr>
      <w:rPr>
        <w:rFonts w:ascii="Wingdings" w:hAnsi="Wingdings" w:hint="default"/>
      </w:rPr>
    </w:lvl>
    <w:lvl w:ilvl="3" w:tplc="BFACA88E">
      <w:start w:val="1"/>
      <w:numFmt w:val="bullet"/>
      <w:lvlText w:val=""/>
      <w:lvlJc w:val="left"/>
      <w:pPr>
        <w:ind w:left="2880" w:hanging="360"/>
      </w:pPr>
      <w:rPr>
        <w:rFonts w:ascii="Symbol" w:hAnsi="Symbol" w:hint="default"/>
      </w:rPr>
    </w:lvl>
    <w:lvl w:ilvl="4" w:tplc="F1FA8710">
      <w:start w:val="1"/>
      <w:numFmt w:val="bullet"/>
      <w:lvlText w:val="o"/>
      <w:lvlJc w:val="left"/>
      <w:pPr>
        <w:ind w:left="3600" w:hanging="360"/>
      </w:pPr>
      <w:rPr>
        <w:rFonts w:ascii="Courier New" w:hAnsi="Courier New" w:hint="default"/>
      </w:rPr>
    </w:lvl>
    <w:lvl w:ilvl="5" w:tplc="D56E8358">
      <w:start w:val="1"/>
      <w:numFmt w:val="bullet"/>
      <w:lvlText w:val=""/>
      <w:lvlJc w:val="left"/>
      <w:pPr>
        <w:ind w:left="4320" w:hanging="360"/>
      </w:pPr>
      <w:rPr>
        <w:rFonts w:ascii="Wingdings" w:hAnsi="Wingdings" w:hint="default"/>
      </w:rPr>
    </w:lvl>
    <w:lvl w:ilvl="6" w:tplc="4A9E1158">
      <w:start w:val="1"/>
      <w:numFmt w:val="bullet"/>
      <w:lvlText w:val=""/>
      <w:lvlJc w:val="left"/>
      <w:pPr>
        <w:ind w:left="5040" w:hanging="360"/>
      </w:pPr>
      <w:rPr>
        <w:rFonts w:ascii="Symbol" w:hAnsi="Symbol" w:hint="default"/>
      </w:rPr>
    </w:lvl>
    <w:lvl w:ilvl="7" w:tplc="DA322D40">
      <w:start w:val="1"/>
      <w:numFmt w:val="bullet"/>
      <w:lvlText w:val="o"/>
      <w:lvlJc w:val="left"/>
      <w:pPr>
        <w:ind w:left="5760" w:hanging="360"/>
      </w:pPr>
      <w:rPr>
        <w:rFonts w:ascii="Courier New" w:hAnsi="Courier New" w:hint="default"/>
      </w:rPr>
    </w:lvl>
    <w:lvl w:ilvl="8" w:tplc="50E601C4">
      <w:start w:val="1"/>
      <w:numFmt w:val="bullet"/>
      <w:lvlText w:val=""/>
      <w:lvlJc w:val="left"/>
      <w:pPr>
        <w:ind w:left="6480" w:hanging="360"/>
      </w:pPr>
      <w:rPr>
        <w:rFonts w:ascii="Wingdings" w:hAnsi="Wingdings" w:hint="default"/>
      </w:rPr>
    </w:lvl>
  </w:abstractNum>
  <w:abstractNum w:abstractNumId="21" w15:restartNumberingAfterBreak="0">
    <w:nsid w:val="4B022A03"/>
    <w:multiLevelType w:val="hybridMultilevel"/>
    <w:tmpl w:val="FFFFFFFF"/>
    <w:lvl w:ilvl="0" w:tplc="FD7E7962">
      <w:start w:val="1"/>
      <w:numFmt w:val="bullet"/>
      <w:lvlText w:val="·"/>
      <w:lvlJc w:val="left"/>
      <w:pPr>
        <w:ind w:left="720" w:hanging="360"/>
      </w:pPr>
      <w:rPr>
        <w:rFonts w:ascii="Symbol" w:hAnsi="Symbol" w:hint="default"/>
      </w:rPr>
    </w:lvl>
    <w:lvl w:ilvl="1" w:tplc="012C6FC4">
      <w:start w:val="1"/>
      <w:numFmt w:val="bullet"/>
      <w:lvlText w:val="o"/>
      <w:lvlJc w:val="left"/>
      <w:pPr>
        <w:ind w:left="1440" w:hanging="360"/>
      </w:pPr>
      <w:rPr>
        <w:rFonts w:ascii="Courier New" w:hAnsi="Courier New" w:hint="default"/>
      </w:rPr>
    </w:lvl>
    <w:lvl w:ilvl="2" w:tplc="232460B6">
      <w:start w:val="1"/>
      <w:numFmt w:val="bullet"/>
      <w:lvlText w:val=""/>
      <w:lvlJc w:val="left"/>
      <w:pPr>
        <w:ind w:left="2160" w:hanging="360"/>
      </w:pPr>
      <w:rPr>
        <w:rFonts w:ascii="Wingdings" w:hAnsi="Wingdings" w:hint="default"/>
      </w:rPr>
    </w:lvl>
    <w:lvl w:ilvl="3" w:tplc="B15EED54">
      <w:start w:val="1"/>
      <w:numFmt w:val="bullet"/>
      <w:lvlText w:val=""/>
      <w:lvlJc w:val="left"/>
      <w:pPr>
        <w:ind w:left="2880" w:hanging="360"/>
      </w:pPr>
      <w:rPr>
        <w:rFonts w:ascii="Symbol" w:hAnsi="Symbol" w:hint="default"/>
      </w:rPr>
    </w:lvl>
    <w:lvl w:ilvl="4" w:tplc="56A8C074">
      <w:start w:val="1"/>
      <w:numFmt w:val="bullet"/>
      <w:lvlText w:val="o"/>
      <w:lvlJc w:val="left"/>
      <w:pPr>
        <w:ind w:left="3600" w:hanging="360"/>
      </w:pPr>
      <w:rPr>
        <w:rFonts w:ascii="Courier New" w:hAnsi="Courier New" w:hint="default"/>
      </w:rPr>
    </w:lvl>
    <w:lvl w:ilvl="5" w:tplc="D390D6F0">
      <w:start w:val="1"/>
      <w:numFmt w:val="bullet"/>
      <w:lvlText w:val=""/>
      <w:lvlJc w:val="left"/>
      <w:pPr>
        <w:ind w:left="4320" w:hanging="360"/>
      </w:pPr>
      <w:rPr>
        <w:rFonts w:ascii="Wingdings" w:hAnsi="Wingdings" w:hint="default"/>
      </w:rPr>
    </w:lvl>
    <w:lvl w:ilvl="6" w:tplc="410CF5B8">
      <w:start w:val="1"/>
      <w:numFmt w:val="bullet"/>
      <w:lvlText w:val=""/>
      <w:lvlJc w:val="left"/>
      <w:pPr>
        <w:ind w:left="5040" w:hanging="360"/>
      </w:pPr>
      <w:rPr>
        <w:rFonts w:ascii="Symbol" w:hAnsi="Symbol" w:hint="default"/>
      </w:rPr>
    </w:lvl>
    <w:lvl w:ilvl="7" w:tplc="53C8B952">
      <w:start w:val="1"/>
      <w:numFmt w:val="bullet"/>
      <w:lvlText w:val="o"/>
      <w:lvlJc w:val="left"/>
      <w:pPr>
        <w:ind w:left="5760" w:hanging="360"/>
      </w:pPr>
      <w:rPr>
        <w:rFonts w:ascii="Courier New" w:hAnsi="Courier New" w:hint="default"/>
      </w:rPr>
    </w:lvl>
    <w:lvl w:ilvl="8" w:tplc="EF727B70">
      <w:start w:val="1"/>
      <w:numFmt w:val="bullet"/>
      <w:lvlText w:val=""/>
      <w:lvlJc w:val="left"/>
      <w:pPr>
        <w:ind w:left="6480" w:hanging="360"/>
      </w:pPr>
      <w:rPr>
        <w:rFonts w:ascii="Wingdings" w:hAnsi="Wingdings" w:hint="default"/>
      </w:rPr>
    </w:lvl>
  </w:abstractNum>
  <w:abstractNum w:abstractNumId="22" w15:restartNumberingAfterBreak="0">
    <w:nsid w:val="4BD861CC"/>
    <w:multiLevelType w:val="hybridMultilevel"/>
    <w:tmpl w:val="3AB6E1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65F3EF7"/>
    <w:multiLevelType w:val="hybridMultilevel"/>
    <w:tmpl w:val="9C2E415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5FEB8B"/>
    <w:multiLevelType w:val="hybridMultilevel"/>
    <w:tmpl w:val="FFFFFFFF"/>
    <w:lvl w:ilvl="0" w:tplc="FFFFFFFF">
      <w:start w:val="1"/>
      <w:numFmt w:val="bullet"/>
      <w:lvlText w:val="-"/>
      <w:lvlJc w:val="left"/>
      <w:pPr>
        <w:ind w:left="720" w:hanging="360"/>
      </w:pPr>
      <w:rPr>
        <w:rFonts w:ascii="Aptos" w:hAnsi="Aptos" w:hint="default"/>
      </w:rPr>
    </w:lvl>
    <w:lvl w:ilvl="1" w:tplc="8A3EF354">
      <w:start w:val="1"/>
      <w:numFmt w:val="bullet"/>
      <w:lvlText w:val="o"/>
      <w:lvlJc w:val="left"/>
      <w:pPr>
        <w:ind w:left="1440" w:hanging="360"/>
      </w:pPr>
      <w:rPr>
        <w:rFonts w:ascii="Courier New" w:hAnsi="Courier New" w:hint="default"/>
      </w:rPr>
    </w:lvl>
    <w:lvl w:ilvl="2" w:tplc="96F6E7E2">
      <w:start w:val="1"/>
      <w:numFmt w:val="bullet"/>
      <w:lvlText w:val=""/>
      <w:lvlJc w:val="left"/>
      <w:pPr>
        <w:ind w:left="2160" w:hanging="360"/>
      </w:pPr>
      <w:rPr>
        <w:rFonts w:ascii="Wingdings" w:hAnsi="Wingdings" w:hint="default"/>
      </w:rPr>
    </w:lvl>
    <w:lvl w:ilvl="3" w:tplc="8DFC65CA">
      <w:start w:val="1"/>
      <w:numFmt w:val="bullet"/>
      <w:lvlText w:val=""/>
      <w:lvlJc w:val="left"/>
      <w:pPr>
        <w:ind w:left="2880" w:hanging="360"/>
      </w:pPr>
      <w:rPr>
        <w:rFonts w:ascii="Symbol" w:hAnsi="Symbol" w:hint="default"/>
      </w:rPr>
    </w:lvl>
    <w:lvl w:ilvl="4" w:tplc="9006B9A0">
      <w:start w:val="1"/>
      <w:numFmt w:val="bullet"/>
      <w:lvlText w:val="o"/>
      <w:lvlJc w:val="left"/>
      <w:pPr>
        <w:ind w:left="3600" w:hanging="360"/>
      </w:pPr>
      <w:rPr>
        <w:rFonts w:ascii="Courier New" w:hAnsi="Courier New" w:hint="default"/>
      </w:rPr>
    </w:lvl>
    <w:lvl w:ilvl="5" w:tplc="DF52E3C0">
      <w:start w:val="1"/>
      <w:numFmt w:val="bullet"/>
      <w:lvlText w:val=""/>
      <w:lvlJc w:val="left"/>
      <w:pPr>
        <w:ind w:left="4320" w:hanging="360"/>
      </w:pPr>
      <w:rPr>
        <w:rFonts w:ascii="Wingdings" w:hAnsi="Wingdings" w:hint="default"/>
      </w:rPr>
    </w:lvl>
    <w:lvl w:ilvl="6" w:tplc="BC0A7AB2">
      <w:start w:val="1"/>
      <w:numFmt w:val="bullet"/>
      <w:lvlText w:val=""/>
      <w:lvlJc w:val="left"/>
      <w:pPr>
        <w:ind w:left="5040" w:hanging="360"/>
      </w:pPr>
      <w:rPr>
        <w:rFonts w:ascii="Symbol" w:hAnsi="Symbol" w:hint="default"/>
      </w:rPr>
    </w:lvl>
    <w:lvl w:ilvl="7" w:tplc="6FACABCE">
      <w:start w:val="1"/>
      <w:numFmt w:val="bullet"/>
      <w:lvlText w:val="o"/>
      <w:lvlJc w:val="left"/>
      <w:pPr>
        <w:ind w:left="5760" w:hanging="360"/>
      </w:pPr>
      <w:rPr>
        <w:rFonts w:ascii="Courier New" w:hAnsi="Courier New" w:hint="default"/>
      </w:rPr>
    </w:lvl>
    <w:lvl w:ilvl="8" w:tplc="B32C3CCC">
      <w:start w:val="1"/>
      <w:numFmt w:val="bullet"/>
      <w:lvlText w:val=""/>
      <w:lvlJc w:val="left"/>
      <w:pPr>
        <w:ind w:left="6480" w:hanging="360"/>
      </w:pPr>
      <w:rPr>
        <w:rFonts w:ascii="Wingdings" w:hAnsi="Wingdings" w:hint="default"/>
      </w:rPr>
    </w:lvl>
  </w:abstractNum>
  <w:abstractNum w:abstractNumId="25" w15:restartNumberingAfterBreak="0">
    <w:nsid w:val="57202B1C"/>
    <w:multiLevelType w:val="hybridMultilevel"/>
    <w:tmpl w:val="0E0EA19E"/>
    <w:lvl w:ilvl="0" w:tplc="C56ECABC">
      <w:start w:val="1"/>
      <w:numFmt w:val="upperRoman"/>
      <w:lvlText w:val="%1."/>
      <w:lvlJc w:val="right"/>
      <w:pPr>
        <w:ind w:left="720" w:hanging="360"/>
      </w:pPr>
      <w:rPr>
        <w:rFonts w:asciiTheme="minorHAnsi" w:hAnsiTheme="minorHAnsi" w:cstheme="minorHAnsi" w:hint="default"/>
        <w:b/>
        <w:bCs/>
        <w:color w:val="0033CC"/>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C68584D"/>
    <w:multiLevelType w:val="hybridMultilevel"/>
    <w:tmpl w:val="A90230F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777CDE"/>
    <w:multiLevelType w:val="hybridMultilevel"/>
    <w:tmpl w:val="FA866AA0"/>
    <w:lvl w:ilvl="0" w:tplc="FE5CD904">
      <w:start w:val="1"/>
      <w:numFmt w:val="bullet"/>
      <w:pStyle w:val="Listtop-levelParagraph"/>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DE3054"/>
    <w:multiLevelType w:val="hybridMultilevel"/>
    <w:tmpl w:val="FFFFFFFF"/>
    <w:lvl w:ilvl="0" w:tplc="A16C153C">
      <w:start w:val="1"/>
      <w:numFmt w:val="bullet"/>
      <w:lvlText w:val=""/>
      <w:lvlJc w:val="left"/>
      <w:pPr>
        <w:ind w:left="720" w:hanging="360"/>
      </w:pPr>
      <w:rPr>
        <w:rFonts w:ascii="Symbol" w:hAnsi="Symbol" w:hint="default"/>
      </w:rPr>
    </w:lvl>
    <w:lvl w:ilvl="1" w:tplc="E01AEEB6">
      <w:start w:val="1"/>
      <w:numFmt w:val="bullet"/>
      <w:lvlText w:val="o"/>
      <w:lvlJc w:val="left"/>
      <w:pPr>
        <w:ind w:left="1440" w:hanging="360"/>
      </w:pPr>
      <w:rPr>
        <w:rFonts w:ascii="Courier New" w:hAnsi="Courier New" w:hint="default"/>
      </w:rPr>
    </w:lvl>
    <w:lvl w:ilvl="2" w:tplc="6AA6D27A">
      <w:start w:val="1"/>
      <w:numFmt w:val="bullet"/>
      <w:lvlText w:val=""/>
      <w:lvlJc w:val="left"/>
      <w:pPr>
        <w:ind w:left="2160" w:hanging="360"/>
      </w:pPr>
      <w:rPr>
        <w:rFonts w:ascii="Wingdings" w:hAnsi="Wingdings" w:hint="default"/>
      </w:rPr>
    </w:lvl>
    <w:lvl w:ilvl="3" w:tplc="2F24E618">
      <w:start w:val="1"/>
      <w:numFmt w:val="bullet"/>
      <w:lvlText w:val=""/>
      <w:lvlJc w:val="left"/>
      <w:pPr>
        <w:ind w:left="2880" w:hanging="360"/>
      </w:pPr>
      <w:rPr>
        <w:rFonts w:ascii="Symbol" w:hAnsi="Symbol" w:hint="default"/>
      </w:rPr>
    </w:lvl>
    <w:lvl w:ilvl="4" w:tplc="C3E478CE">
      <w:start w:val="1"/>
      <w:numFmt w:val="bullet"/>
      <w:lvlText w:val="o"/>
      <w:lvlJc w:val="left"/>
      <w:pPr>
        <w:ind w:left="3600" w:hanging="360"/>
      </w:pPr>
      <w:rPr>
        <w:rFonts w:ascii="Courier New" w:hAnsi="Courier New" w:hint="default"/>
      </w:rPr>
    </w:lvl>
    <w:lvl w:ilvl="5" w:tplc="0ABE9160">
      <w:start w:val="1"/>
      <w:numFmt w:val="bullet"/>
      <w:lvlText w:val=""/>
      <w:lvlJc w:val="left"/>
      <w:pPr>
        <w:ind w:left="4320" w:hanging="360"/>
      </w:pPr>
      <w:rPr>
        <w:rFonts w:ascii="Wingdings" w:hAnsi="Wingdings" w:hint="default"/>
      </w:rPr>
    </w:lvl>
    <w:lvl w:ilvl="6" w:tplc="80CA6B0C">
      <w:start w:val="1"/>
      <w:numFmt w:val="bullet"/>
      <w:lvlText w:val=""/>
      <w:lvlJc w:val="left"/>
      <w:pPr>
        <w:ind w:left="5040" w:hanging="360"/>
      </w:pPr>
      <w:rPr>
        <w:rFonts w:ascii="Symbol" w:hAnsi="Symbol" w:hint="default"/>
      </w:rPr>
    </w:lvl>
    <w:lvl w:ilvl="7" w:tplc="3C668CAC">
      <w:start w:val="1"/>
      <w:numFmt w:val="bullet"/>
      <w:lvlText w:val="o"/>
      <w:lvlJc w:val="left"/>
      <w:pPr>
        <w:ind w:left="5760" w:hanging="360"/>
      </w:pPr>
      <w:rPr>
        <w:rFonts w:ascii="Courier New" w:hAnsi="Courier New" w:hint="default"/>
      </w:rPr>
    </w:lvl>
    <w:lvl w:ilvl="8" w:tplc="0CA44BAA">
      <w:start w:val="1"/>
      <w:numFmt w:val="bullet"/>
      <w:lvlText w:val=""/>
      <w:lvlJc w:val="left"/>
      <w:pPr>
        <w:ind w:left="6480" w:hanging="360"/>
      </w:pPr>
      <w:rPr>
        <w:rFonts w:ascii="Wingdings" w:hAnsi="Wingdings" w:hint="default"/>
      </w:rPr>
    </w:lvl>
  </w:abstractNum>
  <w:abstractNum w:abstractNumId="29" w15:restartNumberingAfterBreak="0">
    <w:nsid w:val="62151764"/>
    <w:multiLevelType w:val="hybridMultilevel"/>
    <w:tmpl w:val="EBA0EC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8677EC1"/>
    <w:multiLevelType w:val="hybridMultilevel"/>
    <w:tmpl w:val="BDA4C0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0067AE"/>
    <w:multiLevelType w:val="hybridMultilevel"/>
    <w:tmpl w:val="FFFFFFFF"/>
    <w:lvl w:ilvl="0" w:tplc="FD148EE0">
      <w:numFmt w:val="bullet"/>
      <w:lvlText w:val="-"/>
      <w:lvlJc w:val="left"/>
      <w:pPr>
        <w:ind w:left="720" w:hanging="360"/>
      </w:pPr>
      <w:rPr>
        <w:rFonts w:ascii="Calibri" w:hAnsi="Calibri" w:hint="default"/>
      </w:rPr>
    </w:lvl>
    <w:lvl w:ilvl="1" w:tplc="9EEEACC2">
      <w:start w:val="1"/>
      <w:numFmt w:val="bullet"/>
      <w:lvlText w:val="o"/>
      <w:lvlJc w:val="left"/>
      <w:pPr>
        <w:ind w:left="1440" w:hanging="360"/>
      </w:pPr>
      <w:rPr>
        <w:rFonts w:ascii="Courier New" w:hAnsi="Courier New" w:hint="default"/>
      </w:rPr>
    </w:lvl>
    <w:lvl w:ilvl="2" w:tplc="F85EB6F2">
      <w:start w:val="1"/>
      <w:numFmt w:val="bullet"/>
      <w:lvlText w:val=""/>
      <w:lvlJc w:val="left"/>
      <w:pPr>
        <w:ind w:left="2160" w:hanging="360"/>
      </w:pPr>
      <w:rPr>
        <w:rFonts w:ascii="Wingdings" w:hAnsi="Wingdings" w:hint="default"/>
      </w:rPr>
    </w:lvl>
    <w:lvl w:ilvl="3" w:tplc="15081E64">
      <w:start w:val="1"/>
      <w:numFmt w:val="bullet"/>
      <w:lvlText w:val=""/>
      <w:lvlJc w:val="left"/>
      <w:pPr>
        <w:ind w:left="2880" w:hanging="360"/>
      </w:pPr>
      <w:rPr>
        <w:rFonts w:ascii="Symbol" w:hAnsi="Symbol" w:hint="default"/>
      </w:rPr>
    </w:lvl>
    <w:lvl w:ilvl="4" w:tplc="540E0EA0">
      <w:start w:val="1"/>
      <w:numFmt w:val="bullet"/>
      <w:lvlText w:val="o"/>
      <w:lvlJc w:val="left"/>
      <w:pPr>
        <w:ind w:left="3600" w:hanging="360"/>
      </w:pPr>
      <w:rPr>
        <w:rFonts w:ascii="Courier New" w:hAnsi="Courier New" w:hint="default"/>
      </w:rPr>
    </w:lvl>
    <w:lvl w:ilvl="5" w:tplc="57D4F3AA">
      <w:start w:val="1"/>
      <w:numFmt w:val="bullet"/>
      <w:lvlText w:val=""/>
      <w:lvlJc w:val="left"/>
      <w:pPr>
        <w:ind w:left="4320" w:hanging="360"/>
      </w:pPr>
      <w:rPr>
        <w:rFonts w:ascii="Wingdings" w:hAnsi="Wingdings" w:hint="default"/>
      </w:rPr>
    </w:lvl>
    <w:lvl w:ilvl="6" w:tplc="5DBA46B0">
      <w:start w:val="1"/>
      <w:numFmt w:val="bullet"/>
      <w:lvlText w:val=""/>
      <w:lvlJc w:val="left"/>
      <w:pPr>
        <w:ind w:left="5040" w:hanging="360"/>
      </w:pPr>
      <w:rPr>
        <w:rFonts w:ascii="Symbol" w:hAnsi="Symbol" w:hint="default"/>
      </w:rPr>
    </w:lvl>
    <w:lvl w:ilvl="7" w:tplc="1E588EC4">
      <w:start w:val="1"/>
      <w:numFmt w:val="bullet"/>
      <w:lvlText w:val="o"/>
      <w:lvlJc w:val="left"/>
      <w:pPr>
        <w:ind w:left="5760" w:hanging="360"/>
      </w:pPr>
      <w:rPr>
        <w:rFonts w:ascii="Courier New" w:hAnsi="Courier New" w:hint="default"/>
      </w:rPr>
    </w:lvl>
    <w:lvl w:ilvl="8" w:tplc="7CB6F82E">
      <w:start w:val="1"/>
      <w:numFmt w:val="bullet"/>
      <w:lvlText w:val=""/>
      <w:lvlJc w:val="left"/>
      <w:pPr>
        <w:ind w:left="6480" w:hanging="360"/>
      </w:pPr>
      <w:rPr>
        <w:rFonts w:ascii="Wingdings" w:hAnsi="Wingdings" w:hint="default"/>
      </w:rPr>
    </w:lvl>
  </w:abstractNum>
  <w:abstractNum w:abstractNumId="32" w15:restartNumberingAfterBreak="0">
    <w:nsid w:val="6E4A4E5D"/>
    <w:multiLevelType w:val="hybridMultilevel"/>
    <w:tmpl w:val="03BA6BD0"/>
    <w:lvl w:ilvl="0" w:tplc="75746758">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EBA1AA7"/>
    <w:multiLevelType w:val="multilevel"/>
    <w:tmpl w:val="3140B228"/>
    <w:lvl w:ilvl="0">
      <w:start w:val="1"/>
      <w:numFmt w:val="decimal"/>
      <w:pStyle w:val="Style1"/>
      <w:lvlText w:val="%1."/>
      <w:lvlJc w:val="left"/>
      <w:pPr>
        <w:ind w:left="363" w:hanging="360"/>
      </w:pPr>
    </w:lvl>
    <w:lvl w:ilvl="1">
      <w:start w:val="1"/>
      <w:numFmt w:val="decimal"/>
      <w:pStyle w:val="Style6"/>
      <w:lvlText w:val="%1.%2."/>
      <w:lvlJc w:val="left"/>
      <w:pPr>
        <w:ind w:left="363" w:hanging="360"/>
      </w:pPr>
    </w:lvl>
    <w:lvl w:ilvl="2">
      <w:start w:val="1"/>
      <w:numFmt w:val="decimal"/>
      <w:lvlText w:val="%1.%2.%3."/>
      <w:lvlJc w:val="left"/>
      <w:pPr>
        <w:ind w:left="723" w:hanging="720"/>
      </w:pPr>
    </w:lvl>
    <w:lvl w:ilvl="3">
      <w:start w:val="1"/>
      <w:numFmt w:val="decimal"/>
      <w:lvlText w:val="%1.%2.%3.%4."/>
      <w:lvlJc w:val="left"/>
      <w:pPr>
        <w:ind w:left="723" w:hanging="720"/>
      </w:pPr>
    </w:lvl>
    <w:lvl w:ilvl="4">
      <w:start w:val="1"/>
      <w:numFmt w:val="decimal"/>
      <w:lvlText w:val="%1.%2.%3.%4.%5."/>
      <w:lvlJc w:val="left"/>
      <w:pPr>
        <w:ind w:left="1083" w:hanging="1080"/>
      </w:pPr>
    </w:lvl>
    <w:lvl w:ilvl="5">
      <w:start w:val="1"/>
      <w:numFmt w:val="decimal"/>
      <w:lvlText w:val="%1.%2.%3.%4.%5.%6."/>
      <w:lvlJc w:val="left"/>
      <w:pPr>
        <w:ind w:left="1083" w:hanging="1080"/>
      </w:pPr>
    </w:lvl>
    <w:lvl w:ilvl="6">
      <w:start w:val="1"/>
      <w:numFmt w:val="decimal"/>
      <w:lvlText w:val="%1.%2.%3.%4.%5.%6.%7."/>
      <w:lvlJc w:val="left"/>
      <w:pPr>
        <w:ind w:left="1443" w:hanging="1440"/>
      </w:pPr>
    </w:lvl>
    <w:lvl w:ilvl="7">
      <w:start w:val="1"/>
      <w:numFmt w:val="decimal"/>
      <w:lvlText w:val="%1.%2.%3.%4.%5.%6.%7.%8."/>
      <w:lvlJc w:val="left"/>
      <w:pPr>
        <w:ind w:left="1443" w:hanging="1440"/>
      </w:pPr>
    </w:lvl>
    <w:lvl w:ilvl="8">
      <w:start w:val="1"/>
      <w:numFmt w:val="decimal"/>
      <w:lvlText w:val="%1.%2.%3.%4.%5.%6.%7.%8.%9."/>
      <w:lvlJc w:val="left"/>
      <w:pPr>
        <w:ind w:left="1803" w:hanging="1800"/>
      </w:pPr>
    </w:lvl>
  </w:abstractNum>
  <w:abstractNum w:abstractNumId="34" w15:restartNumberingAfterBreak="0">
    <w:nsid w:val="787A3D52"/>
    <w:multiLevelType w:val="hybridMultilevel"/>
    <w:tmpl w:val="9AB82642"/>
    <w:lvl w:ilvl="0" w:tplc="2A321168">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1732078">
    <w:abstractNumId w:val="28"/>
  </w:num>
  <w:num w:numId="2" w16cid:durableId="2108698497">
    <w:abstractNumId w:val="20"/>
  </w:num>
  <w:num w:numId="3" w16cid:durableId="1742634183">
    <w:abstractNumId w:val="33"/>
  </w:num>
  <w:num w:numId="4" w16cid:durableId="170607966">
    <w:abstractNumId w:val="9"/>
  </w:num>
  <w:num w:numId="5" w16cid:durableId="1742869202">
    <w:abstractNumId w:val="1"/>
  </w:num>
  <w:num w:numId="6" w16cid:durableId="1351224821">
    <w:abstractNumId w:val="35"/>
  </w:num>
  <w:num w:numId="7" w16cid:durableId="1437872127">
    <w:abstractNumId w:val="12"/>
  </w:num>
  <w:num w:numId="8" w16cid:durableId="1087731584">
    <w:abstractNumId w:val="13"/>
  </w:num>
  <w:num w:numId="9" w16cid:durableId="378826670">
    <w:abstractNumId w:val="26"/>
  </w:num>
  <w:num w:numId="10" w16cid:durableId="180748528">
    <w:abstractNumId w:val="23"/>
  </w:num>
  <w:num w:numId="11" w16cid:durableId="1066756150">
    <w:abstractNumId w:val="15"/>
  </w:num>
  <w:num w:numId="12" w16cid:durableId="1915503194">
    <w:abstractNumId w:val="2"/>
  </w:num>
  <w:num w:numId="13" w16cid:durableId="1243879632">
    <w:abstractNumId w:val="6"/>
  </w:num>
  <w:num w:numId="14" w16cid:durableId="105469990">
    <w:abstractNumId w:val="1"/>
    <w:lvlOverride w:ilvl="0">
      <w:lvl w:ilvl="0">
        <w:start w:val="1"/>
        <w:numFmt w:val="decimal"/>
        <w:lvlText w:val="%1."/>
        <w:lvlJc w:val="left"/>
        <w:pPr>
          <w:ind w:left="720" w:hanging="360"/>
        </w:pPr>
        <w:rPr>
          <w:rFonts w:hint="default"/>
        </w:rPr>
      </w:lvl>
    </w:lvlOverride>
    <w:lvlOverride w:ilvl="1">
      <w:lvl w:ilvl="1">
        <w:start w:val="1"/>
        <w:numFmt w:val="none"/>
        <w:isLgl/>
        <w:lvlText w:val="(a)"/>
        <w:lvlJc w:val="left"/>
        <w:pPr>
          <w:ind w:left="720" w:hanging="360"/>
        </w:pPr>
        <w:rPr>
          <w:rFonts w:hint="default"/>
          <w:b w:val="0"/>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b w:val="0"/>
        </w:rPr>
      </w:lvl>
    </w:lvlOverride>
    <w:lvlOverride w:ilvl="4">
      <w:lvl w:ilvl="4">
        <w:start w:val="1"/>
        <w:numFmt w:val="decimal"/>
        <w:isLgl/>
        <w:lvlText w:val="%1.%2.%3.%4.%5"/>
        <w:lvlJc w:val="left"/>
        <w:pPr>
          <w:ind w:left="1440" w:hanging="1080"/>
        </w:pPr>
        <w:rPr>
          <w:rFonts w:hint="default"/>
          <w:b w:val="0"/>
        </w:rPr>
      </w:lvl>
    </w:lvlOverride>
    <w:lvlOverride w:ilvl="5">
      <w:lvl w:ilvl="5">
        <w:start w:val="1"/>
        <w:numFmt w:val="decimal"/>
        <w:isLgl/>
        <w:lvlText w:val="%1.%2.%3.%4.%5.%6"/>
        <w:lvlJc w:val="left"/>
        <w:pPr>
          <w:ind w:left="1440" w:hanging="1080"/>
        </w:pPr>
        <w:rPr>
          <w:rFonts w:hint="default"/>
          <w:b w:val="0"/>
        </w:rPr>
      </w:lvl>
    </w:lvlOverride>
    <w:lvlOverride w:ilvl="6">
      <w:lvl w:ilvl="6">
        <w:start w:val="1"/>
        <w:numFmt w:val="decimal"/>
        <w:isLgl/>
        <w:lvlText w:val="%1.%2.%3.%4.%5.%6.%7"/>
        <w:lvlJc w:val="left"/>
        <w:pPr>
          <w:ind w:left="1800" w:hanging="1440"/>
        </w:pPr>
        <w:rPr>
          <w:rFonts w:hint="default"/>
          <w:b w:val="0"/>
        </w:rPr>
      </w:lvl>
    </w:lvlOverride>
    <w:lvlOverride w:ilvl="7">
      <w:lvl w:ilvl="7">
        <w:start w:val="1"/>
        <w:numFmt w:val="decimal"/>
        <w:isLgl/>
        <w:lvlText w:val="%1.%2.%3.%4.%5.%6.%7.%8"/>
        <w:lvlJc w:val="left"/>
        <w:pPr>
          <w:ind w:left="1800" w:hanging="1440"/>
        </w:pPr>
        <w:rPr>
          <w:rFonts w:hint="default"/>
          <w:b w:val="0"/>
        </w:rPr>
      </w:lvl>
    </w:lvlOverride>
    <w:lvlOverride w:ilvl="8">
      <w:lvl w:ilvl="8">
        <w:start w:val="1"/>
        <w:numFmt w:val="decimal"/>
        <w:isLgl/>
        <w:lvlText w:val="%1.%2.%3.%4.%5.%6.%7.%8.%9"/>
        <w:lvlJc w:val="left"/>
        <w:pPr>
          <w:ind w:left="2160" w:hanging="1800"/>
        </w:pPr>
        <w:rPr>
          <w:rFonts w:hint="default"/>
          <w:b w:val="0"/>
        </w:rPr>
      </w:lvl>
    </w:lvlOverride>
  </w:num>
  <w:num w:numId="15" w16cid:durableId="1767188571">
    <w:abstractNumId w:val="5"/>
  </w:num>
  <w:num w:numId="16" w16cid:durableId="1650283204">
    <w:abstractNumId w:val="29"/>
  </w:num>
  <w:num w:numId="17" w16cid:durableId="1077477901">
    <w:abstractNumId w:val="27"/>
  </w:num>
  <w:num w:numId="18" w16cid:durableId="468481431">
    <w:abstractNumId w:val="11"/>
  </w:num>
  <w:num w:numId="19" w16cid:durableId="378669545">
    <w:abstractNumId w:val="4"/>
  </w:num>
  <w:num w:numId="20" w16cid:durableId="1067455441">
    <w:abstractNumId w:val="24"/>
  </w:num>
  <w:num w:numId="21" w16cid:durableId="1838350944">
    <w:abstractNumId w:val="32"/>
  </w:num>
  <w:num w:numId="22" w16cid:durableId="1604342161">
    <w:abstractNumId w:val="31"/>
  </w:num>
  <w:num w:numId="23" w16cid:durableId="810292490">
    <w:abstractNumId w:val="21"/>
  </w:num>
  <w:num w:numId="24" w16cid:durableId="1470634001">
    <w:abstractNumId w:val="14"/>
  </w:num>
  <w:num w:numId="25" w16cid:durableId="515121188">
    <w:abstractNumId w:val="19"/>
  </w:num>
  <w:num w:numId="26" w16cid:durableId="1104227708">
    <w:abstractNumId w:val="30"/>
  </w:num>
  <w:num w:numId="27" w16cid:durableId="2059434572">
    <w:abstractNumId w:val="16"/>
  </w:num>
  <w:num w:numId="28" w16cid:durableId="545679590">
    <w:abstractNumId w:val="18"/>
  </w:num>
  <w:num w:numId="29" w16cid:durableId="1863012440">
    <w:abstractNumId w:val="3"/>
  </w:num>
  <w:num w:numId="30" w16cid:durableId="1213732722">
    <w:abstractNumId w:val="17"/>
  </w:num>
  <w:num w:numId="31" w16cid:durableId="1912085027">
    <w:abstractNumId w:val="22"/>
  </w:num>
  <w:num w:numId="32" w16cid:durableId="495612594">
    <w:abstractNumId w:val="0"/>
  </w:num>
  <w:num w:numId="33" w16cid:durableId="1798329345">
    <w:abstractNumId w:val="25"/>
  </w:num>
  <w:num w:numId="34" w16cid:durableId="548809682">
    <w:abstractNumId w:val="7"/>
  </w:num>
  <w:num w:numId="35" w16cid:durableId="1396901344">
    <w:abstractNumId w:val="34"/>
  </w:num>
  <w:num w:numId="36" w16cid:durableId="281229649">
    <w:abstractNumId w:val="8"/>
  </w:num>
  <w:num w:numId="37" w16cid:durableId="82424653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Accompanying the document"/>
    <w:docVar w:name="LW_CORRIGENDUM" w:val="&lt;UNUSED&gt;"/>
    <w:docVar w:name="LW_COVERPAGE_EXISTS" w:val="True"/>
    <w:docVar w:name="LW_COVERPAGE_GUID" w:val="86B610F3-C973-485F-B7BC-B261DAFD66DD"/>
    <w:docVar w:name="LW_COVERPAGE_TYPE" w:val="1"/>
    <w:docVar w:name="LW_CROSSREFERENCE" w:val="{COM(2024) 139 final/2}"/>
    <w:docVar w:name="LW_DocType" w:val="NORMAL"/>
    <w:docVar w:name="LW_EMISSION" w:val="10.12.2024"/>
    <w:docVar w:name="LW_EMISSION_ISODATE" w:val="2024-12-10"/>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amending Regulations (EU) 2021/2115 and (EU) 2021/2116 as regards good agricultural and environmental condition standards, schemes for climate, environment and animal welfare, amendments to CAP Strategic Plans, review of CAP Strategic Plans and exemptions from controls and penalties"/>
    <w:docVar w:name="LW_PART_NBR" w:val="1"/>
    <w:docVar w:name="LW_PART_NBR_TOTAL" w:val="1"/>
    <w:docVar w:name="LW_REF.INST.NEW" w:val="SWD"/>
    <w:docVar w:name="LW_REF.INST.NEW_ADOPTED" w:val="final"/>
    <w:docVar w:name="LW_REF.INST.NEW_TEXT" w:val="(2024) 36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implification measures for farmers"/>
    <w:docVar w:name="LW_TYPE.DOC.CP" w:val="COMMISSION STAFF WORKING DOCUMENT"/>
    <w:docVar w:name="LW_TYPEACTEPRINCIPAL.CP" w:val="Proposal for a REGULATION OF THE EUROPEAN PARLIAMENT AND OF THE COUNCIL"/>
    <w:docVar w:name="LwApiVersions" w:val="LW4CoDe 1.24.5.0; LW 9.0, Build 20240221"/>
  </w:docVars>
  <w:rsids>
    <w:rsidRoot w:val="00ED5720"/>
    <w:rsid w:val="000000B8"/>
    <w:rsid w:val="000000C3"/>
    <w:rsid w:val="00000119"/>
    <w:rsid w:val="00000541"/>
    <w:rsid w:val="00000554"/>
    <w:rsid w:val="000006DF"/>
    <w:rsid w:val="00000709"/>
    <w:rsid w:val="00000897"/>
    <w:rsid w:val="000008AD"/>
    <w:rsid w:val="000009BD"/>
    <w:rsid w:val="000009F2"/>
    <w:rsid w:val="00000C08"/>
    <w:rsid w:val="00000FD7"/>
    <w:rsid w:val="000013D6"/>
    <w:rsid w:val="0000143F"/>
    <w:rsid w:val="00001552"/>
    <w:rsid w:val="000015DD"/>
    <w:rsid w:val="0000180B"/>
    <w:rsid w:val="0000182F"/>
    <w:rsid w:val="00001845"/>
    <w:rsid w:val="000018A2"/>
    <w:rsid w:val="000018AD"/>
    <w:rsid w:val="00001A5D"/>
    <w:rsid w:val="00001AFB"/>
    <w:rsid w:val="00001B24"/>
    <w:rsid w:val="00001C1D"/>
    <w:rsid w:val="00001CD3"/>
    <w:rsid w:val="00001D74"/>
    <w:rsid w:val="00001FF2"/>
    <w:rsid w:val="0000214F"/>
    <w:rsid w:val="00002276"/>
    <w:rsid w:val="0000273A"/>
    <w:rsid w:val="0000293C"/>
    <w:rsid w:val="00002986"/>
    <w:rsid w:val="00002990"/>
    <w:rsid w:val="000029CC"/>
    <w:rsid w:val="00002BE3"/>
    <w:rsid w:val="00002D14"/>
    <w:rsid w:val="00002D2D"/>
    <w:rsid w:val="00002D7C"/>
    <w:rsid w:val="00002E9D"/>
    <w:rsid w:val="000030ED"/>
    <w:rsid w:val="0000310D"/>
    <w:rsid w:val="00003221"/>
    <w:rsid w:val="000033D0"/>
    <w:rsid w:val="00003481"/>
    <w:rsid w:val="000034AF"/>
    <w:rsid w:val="00003650"/>
    <w:rsid w:val="00003AD6"/>
    <w:rsid w:val="00004033"/>
    <w:rsid w:val="000040AD"/>
    <w:rsid w:val="000040FD"/>
    <w:rsid w:val="00004107"/>
    <w:rsid w:val="00004553"/>
    <w:rsid w:val="0000464F"/>
    <w:rsid w:val="00004749"/>
    <w:rsid w:val="00004990"/>
    <w:rsid w:val="00004AB8"/>
    <w:rsid w:val="00004B70"/>
    <w:rsid w:val="00004BDF"/>
    <w:rsid w:val="00004C8C"/>
    <w:rsid w:val="00004D61"/>
    <w:rsid w:val="00004DD3"/>
    <w:rsid w:val="00004DEE"/>
    <w:rsid w:val="00005138"/>
    <w:rsid w:val="000052CE"/>
    <w:rsid w:val="000052F6"/>
    <w:rsid w:val="000055FF"/>
    <w:rsid w:val="00005722"/>
    <w:rsid w:val="00005737"/>
    <w:rsid w:val="000057B2"/>
    <w:rsid w:val="00005901"/>
    <w:rsid w:val="00005A91"/>
    <w:rsid w:val="00005B7D"/>
    <w:rsid w:val="00005E93"/>
    <w:rsid w:val="00006062"/>
    <w:rsid w:val="0000620D"/>
    <w:rsid w:val="0000624D"/>
    <w:rsid w:val="000063D7"/>
    <w:rsid w:val="000064FE"/>
    <w:rsid w:val="000066A1"/>
    <w:rsid w:val="00006960"/>
    <w:rsid w:val="00006A9C"/>
    <w:rsid w:val="00006B1B"/>
    <w:rsid w:val="00006BB4"/>
    <w:rsid w:val="00006C60"/>
    <w:rsid w:val="00006DEC"/>
    <w:rsid w:val="00006E33"/>
    <w:rsid w:val="00006E7F"/>
    <w:rsid w:val="00006E98"/>
    <w:rsid w:val="00007141"/>
    <w:rsid w:val="000072BC"/>
    <w:rsid w:val="000073ED"/>
    <w:rsid w:val="000075F6"/>
    <w:rsid w:val="0000778C"/>
    <w:rsid w:val="00007791"/>
    <w:rsid w:val="00007863"/>
    <w:rsid w:val="000079B5"/>
    <w:rsid w:val="000079FD"/>
    <w:rsid w:val="00007A9E"/>
    <w:rsid w:val="00007B3C"/>
    <w:rsid w:val="00010012"/>
    <w:rsid w:val="000100FD"/>
    <w:rsid w:val="000101D6"/>
    <w:rsid w:val="000101FB"/>
    <w:rsid w:val="00010324"/>
    <w:rsid w:val="000104A4"/>
    <w:rsid w:val="000104F7"/>
    <w:rsid w:val="00010631"/>
    <w:rsid w:val="0001072E"/>
    <w:rsid w:val="0001076E"/>
    <w:rsid w:val="00010A60"/>
    <w:rsid w:val="00010A99"/>
    <w:rsid w:val="00010AE5"/>
    <w:rsid w:val="00010B2B"/>
    <w:rsid w:val="00010D96"/>
    <w:rsid w:val="00010E7B"/>
    <w:rsid w:val="000110ED"/>
    <w:rsid w:val="0001132E"/>
    <w:rsid w:val="00011353"/>
    <w:rsid w:val="0001151D"/>
    <w:rsid w:val="000115FF"/>
    <w:rsid w:val="00011696"/>
    <w:rsid w:val="000119E0"/>
    <w:rsid w:val="00011B59"/>
    <w:rsid w:val="00011B8F"/>
    <w:rsid w:val="00011E8A"/>
    <w:rsid w:val="00011F39"/>
    <w:rsid w:val="0001210F"/>
    <w:rsid w:val="00012154"/>
    <w:rsid w:val="000121AA"/>
    <w:rsid w:val="0001230D"/>
    <w:rsid w:val="000124E8"/>
    <w:rsid w:val="0001251D"/>
    <w:rsid w:val="00012809"/>
    <w:rsid w:val="00012919"/>
    <w:rsid w:val="00012A9D"/>
    <w:rsid w:val="00012AA8"/>
    <w:rsid w:val="00012ABB"/>
    <w:rsid w:val="00012B6E"/>
    <w:rsid w:val="00012C4A"/>
    <w:rsid w:val="00012EAA"/>
    <w:rsid w:val="00012EB3"/>
    <w:rsid w:val="0001309A"/>
    <w:rsid w:val="000130D7"/>
    <w:rsid w:val="0001311C"/>
    <w:rsid w:val="00013135"/>
    <w:rsid w:val="000132AB"/>
    <w:rsid w:val="0001349C"/>
    <w:rsid w:val="00013692"/>
    <w:rsid w:val="00013902"/>
    <w:rsid w:val="000139C4"/>
    <w:rsid w:val="00013D87"/>
    <w:rsid w:val="00014154"/>
    <w:rsid w:val="0001415B"/>
    <w:rsid w:val="000143AB"/>
    <w:rsid w:val="000143D5"/>
    <w:rsid w:val="000143F6"/>
    <w:rsid w:val="00014473"/>
    <w:rsid w:val="00014591"/>
    <w:rsid w:val="000145D7"/>
    <w:rsid w:val="00014714"/>
    <w:rsid w:val="000147F5"/>
    <w:rsid w:val="00014936"/>
    <w:rsid w:val="00014A04"/>
    <w:rsid w:val="00014AEB"/>
    <w:rsid w:val="00014B5F"/>
    <w:rsid w:val="00014EF5"/>
    <w:rsid w:val="00014F1B"/>
    <w:rsid w:val="00015038"/>
    <w:rsid w:val="00015100"/>
    <w:rsid w:val="0001510B"/>
    <w:rsid w:val="00015132"/>
    <w:rsid w:val="000153B6"/>
    <w:rsid w:val="0001589B"/>
    <w:rsid w:val="000159FF"/>
    <w:rsid w:val="00015C37"/>
    <w:rsid w:val="00015C75"/>
    <w:rsid w:val="00015D95"/>
    <w:rsid w:val="00015F53"/>
    <w:rsid w:val="000163DF"/>
    <w:rsid w:val="0001644C"/>
    <w:rsid w:val="000164B4"/>
    <w:rsid w:val="00016855"/>
    <w:rsid w:val="000168F4"/>
    <w:rsid w:val="0001698A"/>
    <w:rsid w:val="00016A25"/>
    <w:rsid w:val="00016BD2"/>
    <w:rsid w:val="00016CEE"/>
    <w:rsid w:val="00016D52"/>
    <w:rsid w:val="00016EB6"/>
    <w:rsid w:val="00016FC4"/>
    <w:rsid w:val="00016FF2"/>
    <w:rsid w:val="000170DC"/>
    <w:rsid w:val="00017236"/>
    <w:rsid w:val="00017625"/>
    <w:rsid w:val="00017708"/>
    <w:rsid w:val="00017758"/>
    <w:rsid w:val="000179D7"/>
    <w:rsid w:val="00017B3E"/>
    <w:rsid w:val="00017F33"/>
    <w:rsid w:val="00020097"/>
    <w:rsid w:val="0002033A"/>
    <w:rsid w:val="000203B5"/>
    <w:rsid w:val="00020403"/>
    <w:rsid w:val="00020498"/>
    <w:rsid w:val="000205A3"/>
    <w:rsid w:val="0002061E"/>
    <w:rsid w:val="000207EB"/>
    <w:rsid w:val="00020983"/>
    <w:rsid w:val="00020994"/>
    <w:rsid w:val="00020A47"/>
    <w:rsid w:val="00020AC7"/>
    <w:rsid w:val="00020B3A"/>
    <w:rsid w:val="00020DFC"/>
    <w:rsid w:val="00020E2D"/>
    <w:rsid w:val="00020E4E"/>
    <w:rsid w:val="00020F54"/>
    <w:rsid w:val="00021154"/>
    <w:rsid w:val="00021230"/>
    <w:rsid w:val="000212E9"/>
    <w:rsid w:val="00021314"/>
    <w:rsid w:val="000213E2"/>
    <w:rsid w:val="0002151A"/>
    <w:rsid w:val="00021677"/>
    <w:rsid w:val="000216A3"/>
    <w:rsid w:val="000216A6"/>
    <w:rsid w:val="00021707"/>
    <w:rsid w:val="00021887"/>
    <w:rsid w:val="000219AE"/>
    <w:rsid w:val="000219F4"/>
    <w:rsid w:val="00021B04"/>
    <w:rsid w:val="00021E5A"/>
    <w:rsid w:val="000221CA"/>
    <w:rsid w:val="000221F9"/>
    <w:rsid w:val="0002222A"/>
    <w:rsid w:val="0002236F"/>
    <w:rsid w:val="0002257C"/>
    <w:rsid w:val="0002282D"/>
    <w:rsid w:val="00022968"/>
    <w:rsid w:val="00022C88"/>
    <w:rsid w:val="00022C97"/>
    <w:rsid w:val="00022CE2"/>
    <w:rsid w:val="00022FB4"/>
    <w:rsid w:val="000230B1"/>
    <w:rsid w:val="0002311F"/>
    <w:rsid w:val="00023247"/>
    <w:rsid w:val="000233A4"/>
    <w:rsid w:val="000233E6"/>
    <w:rsid w:val="00023473"/>
    <w:rsid w:val="000235C2"/>
    <w:rsid w:val="0002368E"/>
    <w:rsid w:val="00023ACB"/>
    <w:rsid w:val="00023DED"/>
    <w:rsid w:val="00023EE7"/>
    <w:rsid w:val="00023F2C"/>
    <w:rsid w:val="00023FB9"/>
    <w:rsid w:val="00023FDE"/>
    <w:rsid w:val="00024062"/>
    <w:rsid w:val="000242A4"/>
    <w:rsid w:val="0002457A"/>
    <w:rsid w:val="000247CC"/>
    <w:rsid w:val="00024941"/>
    <w:rsid w:val="0002498F"/>
    <w:rsid w:val="00024A06"/>
    <w:rsid w:val="00024A36"/>
    <w:rsid w:val="00024A62"/>
    <w:rsid w:val="00024CB5"/>
    <w:rsid w:val="00024DBD"/>
    <w:rsid w:val="0002505A"/>
    <w:rsid w:val="000250DE"/>
    <w:rsid w:val="00025272"/>
    <w:rsid w:val="000253FF"/>
    <w:rsid w:val="0002542E"/>
    <w:rsid w:val="000254E0"/>
    <w:rsid w:val="000256A4"/>
    <w:rsid w:val="00025709"/>
    <w:rsid w:val="0002574D"/>
    <w:rsid w:val="00025792"/>
    <w:rsid w:val="000257F6"/>
    <w:rsid w:val="00025883"/>
    <w:rsid w:val="00025919"/>
    <w:rsid w:val="000259DF"/>
    <w:rsid w:val="000259F6"/>
    <w:rsid w:val="00025A53"/>
    <w:rsid w:val="00025C28"/>
    <w:rsid w:val="00025CA7"/>
    <w:rsid w:val="00025E28"/>
    <w:rsid w:val="00025E38"/>
    <w:rsid w:val="00025EFC"/>
    <w:rsid w:val="00025F8D"/>
    <w:rsid w:val="00026042"/>
    <w:rsid w:val="0002610A"/>
    <w:rsid w:val="0002617D"/>
    <w:rsid w:val="00026624"/>
    <w:rsid w:val="00026685"/>
    <w:rsid w:val="0002693F"/>
    <w:rsid w:val="00026A09"/>
    <w:rsid w:val="00026AC6"/>
    <w:rsid w:val="00026B8E"/>
    <w:rsid w:val="00026BF8"/>
    <w:rsid w:val="00026C54"/>
    <w:rsid w:val="00026D4A"/>
    <w:rsid w:val="00026E68"/>
    <w:rsid w:val="00026EE4"/>
    <w:rsid w:val="00026FAF"/>
    <w:rsid w:val="0002701B"/>
    <w:rsid w:val="0002714B"/>
    <w:rsid w:val="000272B6"/>
    <w:rsid w:val="00027326"/>
    <w:rsid w:val="000273E7"/>
    <w:rsid w:val="00027462"/>
    <w:rsid w:val="000275B3"/>
    <w:rsid w:val="0002766C"/>
    <w:rsid w:val="000276C6"/>
    <w:rsid w:val="00027926"/>
    <w:rsid w:val="000279C5"/>
    <w:rsid w:val="00027A24"/>
    <w:rsid w:val="00027B3F"/>
    <w:rsid w:val="00027B4A"/>
    <w:rsid w:val="00027C52"/>
    <w:rsid w:val="00027E4D"/>
    <w:rsid w:val="00027EAA"/>
    <w:rsid w:val="00027F47"/>
    <w:rsid w:val="00027F79"/>
    <w:rsid w:val="0003003D"/>
    <w:rsid w:val="000303A3"/>
    <w:rsid w:val="00030447"/>
    <w:rsid w:val="00030482"/>
    <w:rsid w:val="000304AF"/>
    <w:rsid w:val="00030854"/>
    <w:rsid w:val="00030872"/>
    <w:rsid w:val="00030920"/>
    <w:rsid w:val="00030944"/>
    <w:rsid w:val="00030E17"/>
    <w:rsid w:val="00030E36"/>
    <w:rsid w:val="00030E67"/>
    <w:rsid w:val="00030EE6"/>
    <w:rsid w:val="00031072"/>
    <w:rsid w:val="00031173"/>
    <w:rsid w:val="00031300"/>
    <w:rsid w:val="00031486"/>
    <w:rsid w:val="00031785"/>
    <w:rsid w:val="000317AB"/>
    <w:rsid w:val="000317FC"/>
    <w:rsid w:val="000318B7"/>
    <w:rsid w:val="000319CA"/>
    <w:rsid w:val="00031B3A"/>
    <w:rsid w:val="00031BB9"/>
    <w:rsid w:val="00031D83"/>
    <w:rsid w:val="00031D9C"/>
    <w:rsid w:val="00031EFD"/>
    <w:rsid w:val="00031F52"/>
    <w:rsid w:val="00031FBA"/>
    <w:rsid w:val="00031FC4"/>
    <w:rsid w:val="00032122"/>
    <w:rsid w:val="0003255F"/>
    <w:rsid w:val="00032694"/>
    <w:rsid w:val="00032771"/>
    <w:rsid w:val="000327AA"/>
    <w:rsid w:val="00032865"/>
    <w:rsid w:val="00032A2D"/>
    <w:rsid w:val="00032AE5"/>
    <w:rsid w:val="00032AE7"/>
    <w:rsid w:val="00032B2C"/>
    <w:rsid w:val="00032D02"/>
    <w:rsid w:val="00032EB3"/>
    <w:rsid w:val="00032FD3"/>
    <w:rsid w:val="0003300A"/>
    <w:rsid w:val="000330F4"/>
    <w:rsid w:val="000331BF"/>
    <w:rsid w:val="00033296"/>
    <w:rsid w:val="0003329E"/>
    <w:rsid w:val="0003332E"/>
    <w:rsid w:val="00033407"/>
    <w:rsid w:val="000334BA"/>
    <w:rsid w:val="0003352D"/>
    <w:rsid w:val="00033600"/>
    <w:rsid w:val="00033632"/>
    <w:rsid w:val="0003365A"/>
    <w:rsid w:val="000336CA"/>
    <w:rsid w:val="000338AE"/>
    <w:rsid w:val="000338F4"/>
    <w:rsid w:val="00033B58"/>
    <w:rsid w:val="00033E99"/>
    <w:rsid w:val="00033E9C"/>
    <w:rsid w:val="00033EA2"/>
    <w:rsid w:val="000340D0"/>
    <w:rsid w:val="000341FF"/>
    <w:rsid w:val="0003422F"/>
    <w:rsid w:val="000343E1"/>
    <w:rsid w:val="0003445A"/>
    <w:rsid w:val="000344FA"/>
    <w:rsid w:val="000347D5"/>
    <w:rsid w:val="0003482B"/>
    <w:rsid w:val="00034888"/>
    <w:rsid w:val="000348DF"/>
    <w:rsid w:val="00034A83"/>
    <w:rsid w:val="00034B6F"/>
    <w:rsid w:val="00034BF3"/>
    <w:rsid w:val="00034CA3"/>
    <w:rsid w:val="000350AC"/>
    <w:rsid w:val="0003512D"/>
    <w:rsid w:val="00035273"/>
    <w:rsid w:val="00035523"/>
    <w:rsid w:val="00035611"/>
    <w:rsid w:val="0003579A"/>
    <w:rsid w:val="000357A7"/>
    <w:rsid w:val="000359A8"/>
    <w:rsid w:val="00035AF1"/>
    <w:rsid w:val="00035D6E"/>
    <w:rsid w:val="00035EF5"/>
    <w:rsid w:val="0003617F"/>
    <w:rsid w:val="000361C2"/>
    <w:rsid w:val="000363E9"/>
    <w:rsid w:val="00036429"/>
    <w:rsid w:val="000364AF"/>
    <w:rsid w:val="000364E6"/>
    <w:rsid w:val="0003666D"/>
    <w:rsid w:val="000369A9"/>
    <w:rsid w:val="00036E79"/>
    <w:rsid w:val="0003729B"/>
    <w:rsid w:val="000373E4"/>
    <w:rsid w:val="00037641"/>
    <w:rsid w:val="00037869"/>
    <w:rsid w:val="00037884"/>
    <w:rsid w:val="00037A58"/>
    <w:rsid w:val="00037B26"/>
    <w:rsid w:val="00037B49"/>
    <w:rsid w:val="00037B55"/>
    <w:rsid w:val="00037B74"/>
    <w:rsid w:val="00037C06"/>
    <w:rsid w:val="00037E53"/>
    <w:rsid w:val="00037EE8"/>
    <w:rsid w:val="00040097"/>
    <w:rsid w:val="000400FC"/>
    <w:rsid w:val="0004011C"/>
    <w:rsid w:val="000401E9"/>
    <w:rsid w:val="00040211"/>
    <w:rsid w:val="00040357"/>
    <w:rsid w:val="000405BC"/>
    <w:rsid w:val="000406AE"/>
    <w:rsid w:val="00040703"/>
    <w:rsid w:val="000407A6"/>
    <w:rsid w:val="00040840"/>
    <w:rsid w:val="0004086C"/>
    <w:rsid w:val="0004088A"/>
    <w:rsid w:val="00040A55"/>
    <w:rsid w:val="00040A8D"/>
    <w:rsid w:val="00040B28"/>
    <w:rsid w:val="00040B4C"/>
    <w:rsid w:val="00040BA4"/>
    <w:rsid w:val="00040BD1"/>
    <w:rsid w:val="00040C65"/>
    <w:rsid w:val="00040E23"/>
    <w:rsid w:val="00040FD1"/>
    <w:rsid w:val="0004100A"/>
    <w:rsid w:val="00041343"/>
    <w:rsid w:val="0004138A"/>
    <w:rsid w:val="000414D5"/>
    <w:rsid w:val="000415AB"/>
    <w:rsid w:val="00041870"/>
    <w:rsid w:val="00041AA6"/>
    <w:rsid w:val="00041B2B"/>
    <w:rsid w:val="00041CFC"/>
    <w:rsid w:val="00041D21"/>
    <w:rsid w:val="00041D95"/>
    <w:rsid w:val="00041DCB"/>
    <w:rsid w:val="00041E49"/>
    <w:rsid w:val="00041E8E"/>
    <w:rsid w:val="0004212E"/>
    <w:rsid w:val="00042136"/>
    <w:rsid w:val="0004238F"/>
    <w:rsid w:val="000425F2"/>
    <w:rsid w:val="00042612"/>
    <w:rsid w:val="0004262A"/>
    <w:rsid w:val="000426EE"/>
    <w:rsid w:val="00042736"/>
    <w:rsid w:val="00042AC9"/>
    <w:rsid w:val="00042AED"/>
    <w:rsid w:val="00043045"/>
    <w:rsid w:val="00043087"/>
    <w:rsid w:val="000434BF"/>
    <w:rsid w:val="0004352C"/>
    <w:rsid w:val="00043588"/>
    <w:rsid w:val="000435AA"/>
    <w:rsid w:val="000435D2"/>
    <w:rsid w:val="000435E7"/>
    <w:rsid w:val="0004363B"/>
    <w:rsid w:val="00043689"/>
    <w:rsid w:val="000436A5"/>
    <w:rsid w:val="000436F9"/>
    <w:rsid w:val="00043709"/>
    <w:rsid w:val="000437F1"/>
    <w:rsid w:val="00043821"/>
    <w:rsid w:val="000439D5"/>
    <w:rsid w:val="000439E1"/>
    <w:rsid w:val="00043A61"/>
    <w:rsid w:val="00043C30"/>
    <w:rsid w:val="00043D99"/>
    <w:rsid w:val="00043EE9"/>
    <w:rsid w:val="000441EB"/>
    <w:rsid w:val="00044273"/>
    <w:rsid w:val="00044320"/>
    <w:rsid w:val="000443E0"/>
    <w:rsid w:val="00044430"/>
    <w:rsid w:val="000445BD"/>
    <w:rsid w:val="000445BF"/>
    <w:rsid w:val="00044823"/>
    <w:rsid w:val="000449DB"/>
    <w:rsid w:val="00044A90"/>
    <w:rsid w:val="00044BB2"/>
    <w:rsid w:val="00044D3B"/>
    <w:rsid w:val="00044DD4"/>
    <w:rsid w:val="00044E1B"/>
    <w:rsid w:val="00044E55"/>
    <w:rsid w:val="00044FC7"/>
    <w:rsid w:val="000451FE"/>
    <w:rsid w:val="000452DE"/>
    <w:rsid w:val="000452F4"/>
    <w:rsid w:val="0004541D"/>
    <w:rsid w:val="00045459"/>
    <w:rsid w:val="00045480"/>
    <w:rsid w:val="000458AD"/>
    <w:rsid w:val="00045A89"/>
    <w:rsid w:val="00045C17"/>
    <w:rsid w:val="00045DA5"/>
    <w:rsid w:val="00045DAA"/>
    <w:rsid w:val="00045E04"/>
    <w:rsid w:val="00045EE6"/>
    <w:rsid w:val="000461B7"/>
    <w:rsid w:val="000461D9"/>
    <w:rsid w:val="00046279"/>
    <w:rsid w:val="000462E7"/>
    <w:rsid w:val="000466B5"/>
    <w:rsid w:val="000467B3"/>
    <w:rsid w:val="00046886"/>
    <w:rsid w:val="00046ADD"/>
    <w:rsid w:val="00046BA6"/>
    <w:rsid w:val="00046E67"/>
    <w:rsid w:val="00046F2D"/>
    <w:rsid w:val="00047311"/>
    <w:rsid w:val="0004756F"/>
    <w:rsid w:val="0004765B"/>
    <w:rsid w:val="0004782D"/>
    <w:rsid w:val="0004790F"/>
    <w:rsid w:val="0004799E"/>
    <w:rsid w:val="00047AD6"/>
    <w:rsid w:val="00047CC8"/>
    <w:rsid w:val="00047D54"/>
    <w:rsid w:val="00047DCC"/>
    <w:rsid w:val="00047E32"/>
    <w:rsid w:val="00047E9A"/>
    <w:rsid w:val="0005003A"/>
    <w:rsid w:val="0005006A"/>
    <w:rsid w:val="00050295"/>
    <w:rsid w:val="0005048F"/>
    <w:rsid w:val="00050771"/>
    <w:rsid w:val="00050782"/>
    <w:rsid w:val="000508C9"/>
    <w:rsid w:val="000508E0"/>
    <w:rsid w:val="0005092F"/>
    <w:rsid w:val="0005093E"/>
    <w:rsid w:val="00050B61"/>
    <w:rsid w:val="00050BE0"/>
    <w:rsid w:val="00050C79"/>
    <w:rsid w:val="00050F54"/>
    <w:rsid w:val="00050F99"/>
    <w:rsid w:val="00051106"/>
    <w:rsid w:val="00051121"/>
    <w:rsid w:val="0005158F"/>
    <w:rsid w:val="000515CE"/>
    <w:rsid w:val="000515DD"/>
    <w:rsid w:val="00051618"/>
    <w:rsid w:val="0005162A"/>
    <w:rsid w:val="00051784"/>
    <w:rsid w:val="000517B1"/>
    <w:rsid w:val="00051809"/>
    <w:rsid w:val="0005191B"/>
    <w:rsid w:val="00051A5D"/>
    <w:rsid w:val="00051B2D"/>
    <w:rsid w:val="00051D96"/>
    <w:rsid w:val="00052287"/>
    <w:rsid w:val="0005229B"/>
    <w:rsid w:val="0005230C"/>
    <w:rsid w:val="00052346"/>
    <w:rsid w:val="000523E4"/>
    <w:rsid w:val="000523EB"/>
    <w:rsid w:val="000527D8"/>
    <w:rsid w:val="00052969"/>
    <w:rsid w:val="00052A17"/>
    <w:rsid w:val="00052A19"/>
    <w:rsid w:val="00052A3A"/>
    <w:rsid w:val="00052AA6"/>
    <w:rsid w:val="00052C17"/>
    <w:rsid w:val="00052C46"/>
    <w:rsid w:val="00052E58"/>
    <w:rsid w:val="00053001"/>
    <w:rsid w:val="00053189"/>
    <w:rsid w:val="000531D4"/>
    <w:rsid w:val="00053845"/>
    <w:rsid w:val="000538C8"/>
    <w:rsid w:val="0005393C"/>
    <w:rsid w:val="00053B33"/>
    <w:rsid w:val="00053C9D"/>
    <w:rsid w:val="00053DE8"/>
    <w:rsid w:val="00053F0C"/>
    <w:rsid w:val="00053F9C"/>
    <w:rsid w:val="00054250"/>
    <w:rsid w:val="0005426C"/>
    <w:rsid w:val="000544B6"/>
    <w:rsid w:val="0005459E"/>
    <w:rsid w:val="0005484C"/>
    <w:rsid w:val="000548D0"/>
    <w:rsid w:val="00054AC1"/>
    <w:rsid w:val="00054C55"/>
    <w:rsid w:val="00054C7E"/>
    <w:rsid w:val="00054C82"/>
    <w:rsid w:val="00054DB3"/>
    <w:rsid w:val="00054E43"/>
    <w:rsid w:val="00054EB9"/>
    <w:rsid w:val="00054EE8"/>
    <w:rsid w:val="00055046"/>
    <w:rsid w:val="000550D4"/>
    <w:rsid w:val="00055147"/>
    <w:rsid w:val="0005514F"/>
    <w:rsid w:val="00055268"/>
    <w:rsid w:val="00055321"/>
    <w:rsid w:val="000553D1"/>
    <w:rsid w:val="000553F1"/>
    <w:rsid w:val="000555EB"/>
    <w:rsid w:val="00055944"/>
    <w:rsid w:val="00055A34"/>
    <w:rsid w:val="00055A3A"/>
    <w:rsid w:val="00055AFD"/>
    <w:rsid w:val="00055C39"/>
    <w:rsid w:val="00055CC5"/>
    <w:rsid w:val="00055CF9"/>
    <w:rsid w:val="00056012"/>
    <w:rsid w:val="00056295"/>
    <w:rsid w:val="00056469"/>
    <w:rsid w:val="000564C7"/>
    <w:rsid w:val="0005654A"/>
    <w:rsid w:val="0005672F"/>
    <w:rsid w:val="0005678F"/>
    <w:rsid w:val="00056836"/>
    <w:rsid w:val="000568ED"/>
    <w:rsid w:val="000568F2"/>
    <w:rsid w:val="00056984"/>
    <w:rsid w:val="00056B09"/>
    <w:rsid w:val="00056D54"/>
    <w:rsid w:val="00056DF7"/>
    <w:rsid w:val="00056E55"/>
    <w:rsid w:val="000570E0"/>
    <w:rsid w:val="000571C9"/>
    <w:rsid w:val="00057546"/>
    <w:rsid w:val="0005759F"/>
    <w:rsid w:val="0005773B"/>
    <w:rsid w:val="00057764"/>
    <w:rsid w:val="00057804"/>
    <w:rsid w:val="00057900"/>
    <w:rsid w:val="00057945"/>
    <w:rsid w:val="00057B83"/>
    <w:rsid w:val="00057C3C"/>
    <w:rsid w:val="00057E91"/>
    <w:rsid w:val="00057EDF"/>
    <w:rsid w:val="00057F91"/>
    <w:rsid w:val="000603D8"/>
    <w:rsid w:val="0006045B"/>
    <w:rsid w:val="000604A5"/>
    <w:rsid w:val="000605F0"/>
    <w:rsid w:val="000608BE"/>
    <w:rsid w:val="00060B93"/>
    <w:rsid w:val="00060F30"/>
    <w:rsid w:val="000612C1"/>
    <w:rsid w:val="000613BB"/>
    <w:rsid w:val="000616CA"/>
    <w:rsid w:val="0006173B"/>
    <w:rsid w:val="00061EF9"/>
    <w:rsid w:val="00061F5D"/>
    <w:rsid w:val="00062058"/>
    <w:rsid w:val="0006216A"/>
    <w:rsid w:val="00062172"/>
    <w:rsid w:val="000621B8"/>
    <w:rsid w:val="00062423"/>
    <w:rsid w:val="00062776"/>
    <w:rsid w:val="00062796"/>
    <w:rsid w:val="000628D3"/>
    <w:rsid w:val="00062937"/>
    <w:rsid w:val="000629A4"/>
    <w:rsid w:val="000629C4"/>
    <w:rsid w:val="00062B21"/>
    <w:rsid w:val="00062BFF"/>
    <w:rsid w:val="00062C19"/>
    <w:rsid w:val="00062C8F"/>
    <w:rsid w:val="00062CA0"/>
    <w:rsid w:val="00062DB3"/>
    <w:rsid w:val="00062E75"/>
    <w:rsid w:val="00062F2F"/>
    <w:rsid w:val="00062FD2"/>
    <w:rsid w:val="0006307B"/>
    <w:rsid w:val="000630EE"/>
    <w:rsid w:val="00063263"/>
    <w:rsid w:val="0006331E"/>
    <w:rsid w:val="000633D1"/>
    <w:rsid w:val="000636B9"/>
    <w:rsid w:val="000637C9"/>
    <w:rsid w:val="00063924"/>
    <w:rsid w:val="0006399C"/>
    <w:rsid w:val="000639CF"/>
    <w:rsid w:val="00063B14"/>
    <w:rsid w:val="00063B5C"/>
    <w:rsid w:val="00063C28"/>
    <w:rsid w:val="00063FCE"/>
    <w:rsid w:val="0006417F"/>
    <w:rsid w:val="000643D8"/>
    <w:rsid w:val="0006459E"/>
    <w:rsid w:val="000645D0"/>
    <w:rsid w:val="00064827"/>
    <w:rsid w:val="00064875"/>
    <w:rsid w:val="0006489E"/>
    <w:rsid w:val="00064B93"/>
    <w:rsid w:val="00064BE1"/>
    <w:rsid w:val="00064CD8"/>
    <w:rsid w:val="00064DAA"/>
    <w:rsid w:val="000650E6"/>
    <w:rsid w:val="000651DB"/>
    <w:rsid w:val="000651E6"/>
    <w:rsid w:val="000654DF"/>
    <w:rsid w:val="0006584E"/>
    <w:rsid w:val="000659A7"/>
    <w:rsid w:val="000659E2"/>
    <w:rsid w:val="00065A09"/>
    <w:rsid w:val="00065BFA"/>
    <w:rsid w:val="00065C72"/>
    <w:rsid w:val="00065CAF"/>
    <w:rsid w:val="00065E2D"/>
    <w:rsid w:val="00066035"/>
    <w:rsid w:val="000660FF"/>
    <w:rsid w:val="0006610B"/>
    <w:rsid w:val="00066210"/>
    <w:rsid w:val="0006628E"/>
    <w:rsid w:val="00066327"/>
    <w:rsid w:val="000663C6"/>
    <w:rsid w:val="000666DB"/>
    <w:rsid w:val="00066787"/>
    <w:rsid w:val="000667C2"/>
    <w:rsid w:val="00066DC2"/>
    <w:rsid w:val="00066DDD"/>
    <w:rsid w:val="00066EF5"/>
    <w:rsid w:val="00066F3F"/>
    <w:rsid w:val="00066F88"/>
    <w:rsid w:val="0006707C"/>
    <w:rsid w:val="000670E3"/>
    <w:rsid w:val="000673BB"/>
    <w:rsid w:val="000675D0"/>
    <w:rsid w:val="000676B6"/>
    <w:rsid w:val="00067748"/>
    <w:rsid w:val="000678B4"/>
    <w:rsid w:val="00067C2A"/>
    <w:rsid w:val="00067C91"/>
    <w:rsid w:val="00067DC1"/>
    <w:rsid w:val="000701FD"/>
    <w:rsid w:val="00070370"/>
    <w:rsid w:val="0007041A"/>
    <w:rsid w:val="0007043D"/>
    <w:rsid w:val="0007048A"/>
    <w:rsid w:val="00070497"/>
    <w:rsid w:val="00070772"/>
    <w:rsid w:val="00070A3B"/>
    <w:rsid w:val="00070A8A"/>
    <w:rsid w:val="00070B86"/>
    <w:rsid w:val="00070F26"/>
    <w:rsid w:val="00070FC8"/>
    <w:rsid w:val="00071095"/>
    <w:rsid w:val="00071189"/>
    <w:rsid w:val="0007145F"/>
    <w:rsid w:val="000714F9"/>
    <w:rsid w:val="000715F0"/>
    <w:rsid w:val="0007175D"/>
    <w:rsid w:val="00071864"/>
    <w:rsid w:val="0007189E"/>
    <w:rsid w:val="0007190C"/>
    <w:rsid w:val="000719E7"/>
    <w:rsid w:val="00071B75"/>
    <w:rsid w:val="00071E2A"/>
    <w:rsid w:val="00071F57"/>
    <w:rsid w:val="00071F8A"/>
    <w:rsid w:val="00071FB2"/>
    <w:rsid w:val="00071FDF"/>
    <w:rsid w:val="00072033"/>
    <w:rsid w:val="00072086"/>
    <w:rsid w:val="000722A8"/>
    <w:rsid w:val="00072309"/>
    <w:rsid w:val="000724A7"/>
    <w:rsid w:val="000726A9"/>
    <w:rsid w:val="00072730"/>
    <w:rsid w:val="000728DB"/>
    <w:rsid w:val="000728E9"/>
    <w:rsid w:val="00072A62"/>
    <w:rsid w:val="00072B07"/>
    <w:rsid w:val="00072BA8"/>
    <w:rsid w:val="00072CA1"/>
    <w:rsid w:val="00072CDB"/>
    <w:rsid w:val="00072EF3"/>
    <w:rsid w:val="00072F63"/>
    <w:rsid w:val="00072FAD"/>
    <w:rsid w:val="00073031"/>
    <w:rsid w:val="0007322C"/>
    <w:rsid w:val="000733A3"/>
    <w:rsid w:val="0007351C"/>
    <w:rsid w:val="000735A1"/>
    <w:rsid w:val="000735BF"/>
    <w:rsid w:val="000736E3"/>
    <w:rsid w:val="00073BA8"/>
    <w:rsid w:val="00073C00"/>
    <w:rsid w:val="00073D8D"/>
    <w:rsid w:val="00073EE0"/>
    <w:rsid w:val="00073F6E"/>
    <w:rsid w:val="00073FEB"/>
    <w:rsid w:val="0007470D"/>
    <w:rsid w:val="000747FA"/>
    <w:rsid w:val="00074930"/>
    <w:rsid w:val="00074D2B"/>
    <w:rsid w:val="00074DFE"/>
    <w:rsid w:val="00074E59"/>
    <w:rsid w:val="00075019"/>
    <w:rsid w:val="00075027"/>
    <w:rsid w:val="0007505E"/>
    <w:rsid w:val="000750C2"/>
    <w:rsid w:val="000750F9"/>
    <w:rsid w:val="00075742"/>
    <w:rsid w:val="00076159"/>
    <w:rsid w:val="00076276"/>
    <w:rsid w:val="000762D4"/>
    <w:rsid w:val="000764B5"/>
    <w:rsid w:val="000765A5"/>
    <w:rsid w:val="000766A1"/>
    <w:rsid w:val="0007696A"/>
    <w:rsid w:val="00076A73"/>
    <w:rsid w:val="00076D1D"/>
    <w:rsid w:val="00076F8A"/>
    <w:rsid w:val="000770C2"/>
    <w:rsid w:val="000770FB"/>
    <w:rsid w:val="00077281"/>
    <w:rsid w:val="00077306"/>
    <w:rsid w:val="00077398"/>
    <w:rsid w:val="000773E1"/>
    <w:rsid w:val="000773F7"/>
    <w:rsid w:val="00077477"/>
    <w:rsid w:val="000775DA"/>
    <w:rsid w:val="000777DC"/>
    <w:rsid w:val="000778F2"/>
    <w:rsid w:val="0007797B"/>
    <w:rsid w:val="00077BFB"/>
    <w:rsid w:val="00077D18"/>
    <w:rsid w:val="00077D39"/>
    <w:rsid w:val="00077E03"/>
    <w:rsid w:val="00077E4C"/>
    <w:rsid w:val="00077E90"/>
    <w:rsid w:val="00077EC6"/>
    <w:rsid w:val="00077FC7"/>
    <w:rsid w:val="00080065"/>
    <w:rsid w:val="000801D4"/>
    <w:rsid w:val="00080222"/>
    <w:rsid w:val="000802A8"/>
    <w:rsid w:val="000802FD"/>
    <w:rsid w:val="000804C2"/>
    <w:rsid w:val="000804C4"/>
    <w:rsid w:val="0008063D"/>
    <w:rsid w:val="000807F4"/>
    <w:rsid w:val="00080869"/>
    <w:rsid w:val="00080957"/>
    <w:rsid w:val="00080ADE"/>
    <w:rsid w:val="00080B31"/>
    <w:rsid w:val="00080B34"/>
    <w:rsid w:val="00080B82"/>
    <w:rsid w:val="00080D08"/>
    <w:rsid w:val="00080D1A"/>
    <w:rsid w:val="00080E11"/>
    <w:rsid w:val="000811EF"/>
    <w:rsid w:val="0008133D"/>
    <w:rsid w:val="0008147C"/>
    <w:rsid w:val="000814E7"/>
    <w:rsid w:val="000815A4"/>
    <w:rsid w:val="000815AA"/>
    <w:rsid w:val="00081816"/>
    <w:rsid w:val="00081B68"/>
    <w:rsid w:val="00081BEF"/>
    <w:rsid w:val="00081C2B"/>
    <w:rsid w:val="00081C61"/>
    <w:rsid w:val="00081D12"/>
    <w:rsid w:val="00081D21"/>
    <w:rsid w:val="00081D59"/>
    <w:rsid w:val="00081DE6"/>
    <w:rsid w:val="00081E8C"/>
    <w:rsid w:val="00081F29"/>
    <w:rsid w:val="00081F57"/>
    <w:rsid w:val="0008204C"/>
    <w:rsid w:val="0008241B"/>
    <w:rsid w:val="00082531"/>
    <w:rsid w:val="00082551"/>
    <w:rsid w:val="0008258D"/>
    <w:rsid w:val="00082639"/>
    <w:rsid w:val="000826E5"/>
    <w:rsid w:val="0008278D"/>
    <w:rsid w:val="00082BB8"/>
    <w:rsid w:val="00082BC2"/>
    <w:rsid w:val="00082ECE"/>
    <w:rsid w:val="00082FBF"/>
    <w:rsid w:val="00083082"/>
    <w:rsid w:val="000830B9"/>
    <w:rsid w:val="00083189"/>
    <w:rsid w:val="000831F2"/>
    <w:rsid w:val="000832B7"/>
    <w:rsid w:val="0008332A"/>
    <w:rsid w:val="0008332D"/>
    <w:rsid w:val="00083333"/>
    <w:rsid w:val="00083340"/>
    <w:rsid w:val="0008338B"/>
    <w:rsid w:val="00083517"/>
    <w:rsid w:val="00083535"/>
    <w:rsid w:val="0008366C"/>
    <w:rsid w:val="00083797"/>
    <w:rsid w:val="000837A5"/>
    <w:rsid w:val="000837DD"/>
    <w:rsid w:val="00083A30"/>
    <w:rsid w:val="00083BAE"/>
    <w:rsid w:val="00083E9E"/>
    <w:rsid w:val="00083F2C"/>
    <w:rsid w:val="00083F53"/>
    <w:rsid w:val="0008404F"/>
    <w:rsid w:val="0008420C"/>
    <w:rsid w:val="0008453F"/>
    <w:rsid w:val="000845A7"/>
    <w:rsid w:val="00084643"/>
    <w:rsid w:val="00084706"/>
    <w:rsid w:val="00084832"/>
    <w:rsid w:val="0008499F"/>
    <w:rsid w:val="00084D78"/>
    <w:rsid w:val="00084E8A"/>
    <w:rsid w:val="00084EB4"/>
    <w:rsid w:val="00084FF2"/>
    <w:rsid w:val="000851D1"/>
    <w:rsid w:val="000852FC"/>
    <w:rsid w:val="00085303"/>
    <w:rsid w:val="00085328"/>
    <w:rsid w:val="000858AF"/>
    <w:rsid w:val="000859B4"/>
    <w:rsid w:val="00085AB8"/>
    <w:rsid w:val="00085BC5"/>
    <w:rsid w:val="00085C10"/>
    <w:rsid w:val="00085DAA"/>
    <w:rsid w:val="00085E08"/>
    <w:rsid w:val="00085E12"/>
    <w:rsid w:val="0008618B"/>
    <w:rsid w:val="000861AE"/>
    <w:rsid w:val="000861FC"/>
    <w:rsid w:val="000864D9"/>
    <w:rsid w:val="00086510"/>
    <w:rsid w:val="0008651D"/>
    <w:rsid w:val="0008651E"/>
    <w:rsid w:val="00086590"/>
    <w:rsid w:val="0008688E"/>
    <w:rsid w:val="00086945"/>
    <w:rsid w:val="000869E2"/>
    <w:rsid w:val="00086A2B"/>
    <w:rsid w:val="00086A54"/>
    <w:rsid w:val="00086B61"/>
    <w:rsid w:val="00086BA1"/>
    <w:rsid w:val="00086C5D"/>
    <w:rsid w:val="00086EF7"/>
    <w:rsid w:val="000870FA"/>
    <w:rsid w:val="00087279"/>
    <w:rsid w:val="0008743A"/>
    <w:rsid w:val="000874A6"/>
    <w:rsid w:val="0008770B"/>
    <w:rsid w:val="00087750"/>
    <w:rsid w:val="0008791F"/>
    <w:rsid w:val="000879CA"/>
    <w:rsid w:val="00087A3F"/>
    <w:rsid w:val="00087A83"/>
    <w:rsid w:val="00087AF5"/>
    <w:rsid w:val="00087BA4"/>
    <w:rsid w:val="00087D87"/>
    <w:rsid w:val="00087F02"/>
    <w:rsid w:val="00087F43"/>
    <w:rsid w:val="00090189"/>
    <w:rsid w:val="00090203"/>
    <w:rsid w:val="00090262"/>
    <w:rsid w:val="000902BC"/>
    <w:rsid w:val="00090495"/>
    <w:rsid w:val="000909BE"/>
    <w:rsid w:val="000909E7"/>
    <w:rsid w:val="00090A00"/>
    <w:rsid w:val="00090A17"/>
    <w:rsid w:val="00090A2F"/>
    <w:rsid w:val="00090D66"/>
    <w:rsid w:val="00090F85"/>
    <w:rsid w:val="00091067"/>
    <w:rsid w:val="000910B8"/>
    <w:rsid w:val="000910FA"/>
    <w:rsid w:val="00091244"/>
    <w:rsid w:val="000913B8"/>
    <w:rsid w:val="00091469"/>
    <w:rsid w:val="000914DC"/>
    <w:rsid w:val="00091638"/>
    <w:rsid w:val="00091666"/>
    <w:rsid w:val="00091820"/>
    <w:rsid w:val="000918AC"/>
    <w:rsid w:val="000918EE"/>
    <w:rsid w:val="00091982"/>
    <w:rsid w:val="00091B0D"/>
    <w:rsid w:val="00091E32"/>
    <w:rsid w:val="00091E83"/>
    <w:rsid w:val="00091EDE"/>
    <w:rsid w:val="00092045"/>
    <w:rsid w:val="000920A6"/>
    <w:rsid w:val="000920F7"/>
    <w:rsid w:val="00092234"/>
    <w:rsid w:val="00092300"/>
    <w:rsid w:val="00092709"/>
    <w:rsid w:val="0009273C"/>
    <w:rsid w:val="000928EC"/>
    <w:rsid w:val="000929EF"/>
    <w:rsid w:val="00092D33"/>
    <w:rsid w:val="00092DC2"/>
    <w:rsid w:val="00092F66"/>
    <w:rsid w:val="00092FB5"/>
    <w:rsid w:val="0009304A"/>
    <w:rsid w:val="000931D1"/>
    <w:rsid w:val="0009322C"/>
    <w:rsid w:val="00093333"/>
    <w:rsid w:val="000935A2"/>
    <w:rsid w:val="000936B0"/>
    <w:rsid w:val="0009376F"/>
    <w:rsid w:val="000937FE"/>
    <w:rsid w:val="000939C9"/>
    <w:rsid w:val="00093BB4"/>
    <w:rsid w:val="00093CA1"/>
    <w:rsid w:val="00093E38"/>
    <w:rsid w:val="00093EB7"/>
    <w:rsid w:val="0009442F"/>
    <w:rsid w:val="00094433"/>
    <w:rsid w:val="00094484"/>
    <w:rsid w:val="000944CE"/>
    <w:rsid w:val="000944FD"/>
    <w:rsid w:val="000945D5"/>
    <w:rsid w:val="000946E6"/>
    <w:rsid w:val="000949D4"/>
    <w:rsid w:val="00094A7B"/>
    <w:rsid w:val="00094AB8"/>
    <w:rsid w:val="00094B1D"/>
    <w:rsid w:val="00094B41"/>
    <w:rsid w:val="00094CA5"/>
    <w:rsid w:val="00094D93"/>
    <w:rsid w:val="00095178"/>
    <w:rsid w:val="0009520B"/>
    <w:rsid w:val="000956D1"/>
    <w:rsid w:val="000956F3"/>
    <w:rsid w:val="00095777"/>
    <w:rsid w:val="00095804"/>
    <w:rsid w:val="00095A3A"/>
    <w:rsid w:val="00095AEF"/>
    <w:rsid w:val="00095BE9"/>
    <w:rsid w:val="00095C20"/>
    <w:rsid w:val="00095C49"/>
    <w:rsid w:val="00095DDA"/>
    <w:rsid w:val="00095F0F"/>
    <w:rsid w:val="00095FEA"/>
    <w:rsid w:val="000960C2"/>
    <w:rsid w:val="000961FA"/>
    <w:rsid w:val="00096268"/>
    <w:rsid w:val="000962B7"/>
    <w:rsid w:val="000962FA"/>
    <w:rsid w:val="00096399"/>
    <w:rsid w:val="000966BB"/>
    <w:rsid w:val="000967F0"/>
    <w:rsid w:val="0009686C"/>
    <w:rsid w:val="00096A30"/>
    <w:rsid w:val="00096A4F"/>
    <w:rsid w:val="00096A81"/>
    <w:rsid w:val="00096B98"/>
    <w:rsid w:val="00096DA4"/>
    <w:rsid w:val="00096DEC"/>
    <w:rsid w:val="00096DED"/>
    <w:rsid w:val="00096F53"/>
    <w:rsid w:val="0009706E"/>
    <w:rsid w:val="000973B1"/>
    <w:rsid w:val="000976E8"/>
    <w:rsid w:val="0009794F"/>
    <w:rsid w:val="00097974"/>
    <w:rsid w:val="000979D4"/>
    <w:rsid w:val="00097AA2"/>
    <w:rsid w:val="00097BB6"/>
    <w:rsid w:val="00097BC6"/>
    <w:rsid w:val="00097ED0"/>
    <w:rsid w:val="00097EF0"/>
    <w:rsid w:val="00097FFB"/>
    <w:rsid w:val="000A0010"/>
    <w:rsid w:val="000A0066"/>
    <w:rsid w:val="000A0149"/>
    <w:rsid w:val="000A0172"/>
    <w:rsid w:val="000A0205"/>
    <w:rsid w:val="000A0404"/>
    <w:rsid w:val="000A077A"/>
    <w:rsid w:val="000A09E7"/>
    <w:rsid w:val="000A0A40"/>
    <w:rsid w:val="000A0A94"/>
    <w:rsid w:val="000A0B14"/>
    <w:rsid w:val="000A0B98"/>
    <w:rsid w:val="000A0C18"/>
    <w:rsid w:val="000A0C3F"/>
    <w:rsid w:val="000A0C96"/>
    <w:rsid w:val="000A0CBF"/>
    <w:rsid w:val="000A0D22"/>
    <w:rsid w:val="000A0DC7"/>
    <w:rsid w:val="000A0DD7"/>
    <w:rsid w:val="000A0ED7"/>
    <w:rsid w:val="000A0F20"/>
    <w:rsid w:val="000A0F5A"/>
    <w:rsid w:val="000A0F82"/>
    <w:rsid w:val="000A0FCB"/>
    <w:rsid w:val="000A10BF"/>
    <w:rsid w:val="000A10F3"/>
    <w:rsid w:val="000A12D5"/>
    <w:rsid w:val="000A1420"/>
    <w:rsid w:val="000A19BA"/>
    <w:rsid w:val="000A1A0F"/>
    <w:rsid w:val="000A1AAC"/>
    <w:rsid w:val="000A1B16"/>
    <w:rsid w:val="000A1C52"/>
    <w:rsid w:val="000A1F4B"/>
    <w:rsid w:val="000A1FEB"/>
    <w:rsid w:val="000A21DE"/>
    <w:rsid w:val="000A227A"/>
    <w:rsid w:val="000A2427"/>
    <w:rsid w:val="000A244D"/>
    <w:rsid w:val="000A25B1"/>
    <w:rsid w:val="000A25DA"/>
    <w:rsid w:val="000A2672"/>
    <w:rsid w:val="000A26AB"/>
    <w:rsid w:val="000A26BC"/>
    <w:rsid w:val="000A28C5"/>
    <w:rsid w:val="000A28EA"/>
    <w:rsid w:val="000A294F"/>
    <w:rsid w:val="000A2A5E"/>
    <w:rsid w:val="000A2B46"/>
    <w:rsid w:val="000A2BDB"/>
    <w:rsid w:val="000A2BFC"/>
    <w:rsid w:val="000A2C42"/>
    <w:rsid w:val="000A2E45"/>
    <w:rsid w:val="000A2E60"/>
    <w:rsid w:val="000A2F01"/>
    <w:rsid w:val="000A321B"/>
    <w:rsid w:val="000A32C6"/>
    <w:rsid w:val="000A3304"/>
    <w:rsid w:val="000A33A0"/>
    <w:rsid w:val="000A347F"/>
    <w:rsid w:val="000A348E"/>
    <w:rsid w:val="000A35F7"/>
    <w:rsid w:val="000A361F"/>
    <w:rsid w:val="000A3749"/>
    <w:rsid w:val="000A3819"/>
    <w:rsid w:val="000A3929"/>
    <w:rsid w:val="000A3A21"/>
    <w:rsid w:val="000A3A99"/>
    <w:rsid w:val="000A3BA5"/>
    <w:rsid w:val="000A3BC4"/>
    <w:rsid w:val="000A3D13"/>
    <w:rsid w:val="000A3D39"/>
    <w:rsid w:val="000A3DC9"/>
    <w:rsid w:val="000A3DF8"/>
    <w:rsid w:val="000A3F36"/>
    <w:rsid w:val="000A413C"/>
    <w:rsid w:val="000A4255"/>
    <w:rsid w:val="000A4418"/>
    <w:rsid w:val="000A44F7"/>
    <w:rsid w:val="000A468C"/>
    <w:rsid w:val="000A46E2"/>
    <w:rsid w:val="000A4840"/>
    <w:rsid w:val="000A4954"/>
    <w:rsid w:val="000A49C3"/>
    <w:rsid w:val="000A49D8"/>
    <w:rsid w:val="000A4A22"/>
    <w:rsid w:val="000A4B91"/>
    <w:rsid w:val="000A4CC4"/>
    <w:rsid w:val="000A4D92"/>
    <w:rsid w:val="000A4FC9"/>
    <w:rsid w:val="000A50CB"/>
    <w:rsid w:val="000A5167"/>
    <w:rsid w:val="000A539D"/>
    <w:rsid w:val="000A551D"/>
    <w:rsid w:val="000A552C"/>
    <w:rsid w:val="000A553A"/>
    <w:rsid w:val="000A57DE"/>
    <w:rsid w:val="000A5918"/>
    <w:rsid w:val="000A5989"/>
    <w:rsid w:val="000A5C10"/>
    <w:rsid w:val="000A5CF5"/>
    <w:rsid w:val="000A5DA1"/>
    <w:rsid w:val="000A5ED8"/>
    <w:rsid w:val="000A5F86"/>
    <w:rsid w:val="000A60D5"/>
    <w:rsid w:val="000A610D"/>
    <w:rsid w:val="000A614E"/>
    <w:rsid w:val="000A617C"/>
    <w:rsid w:val="000A61C9"/>
    <w:rsid w:val="000A6281"/>
    <w:rsid w:val="000A63C9"/>
    <w:rsid w:val="000A6706"/>
    <w:rsid w:val="000A678C"/>
    <w:rsid w:val="000A6934"/>
    <w:rsid w:val="000A6B19"/>
    <w:rsid w:val="000A6B5D"/>
    <w:rsid w:val="000A6C3F"/>
    <w:rsid w:val="000A6CD3"/>
    <w:rsid w:val="000A6D9C"/>
    <w:rsid w:val="000A7248"/>
    <w:rsid w:val="000A7957"/>
    <w:rsid w:val="000A797C"/>
    <w:rsid w:val="000A7F43"/>
    <w:rsid w:val="000A7F8D"/>
    <w:rsid w:val="000B0026"/>
    <w:rsid w:val="000B0143"/>
    <w:rsid w:val="000B033F"/>
    <w:rsid w:val="000B0403"/>
    <w:rsid w:val="000B050F"/>
    <w:rsid w:val="000B05E4"/>
    <w:rsid w:val="000B091A"/>
    <w:rsid w:val="000B0A68"/>
    <w:rsid w:val="000B0AEE"/>
    <w:rsid w:val="000B0DBC"/>
    <w:rsid w:val="000B0E52"/>
    <w:rsid w:val="000B1001"/>
    <w:rsid w:val="000B116E"/>
    <w:rsid w:val="000B12C5"/>
    <w:rsid w:val="000B1355"/>
    <w:rsid w:val="000B1429"/>
    <w:rsid w:val="000B14E4"/>
    <w:rsid w:val="000B1586"/>
    <w:rsid w:val="000B16B5"/>
    <w:rsid w:val="000B1721"/>
    <w:rsid w:val="000B181D"/>
    <w:rsid w:val="000B191A"/>
    <w:rsid w:val="000B19FF"/>
    <w:rsid w:val="000B1D5C"/>
    <w:rsid w:val="000B1EB7"/>
    <w:rsid w:val="000B2226"/>
    <w:rsid w:val="000B2267"/>
    <w:rsid w:val="000B234B"/>
    <w:rsid w:val="000B2534"/>
    <w:rsid w:val="000B2545"/>
    <w:rsid w:val="000B2686"/>
    <w:rsid w:val="000B282D"/>
    <w:rsid w:val="000B2892"/>
    <w:rsid w:val="000B2932"/>
    <w:rsid w:val="000B2945"/>
    <w:rsid w:val="000B2CAD"/>
    <w:rsid w:val="000B2CBD"/>
    <w:rsid w:val="000B2CDB"/>
    <w:rsid w:val="000B304A"/>
    <w:rsid w:val="000B307B"/>
    <w:rsid w:val="000B30C8"/>
    <w:rsid w:val="000B336B"/>
    <w:rsid w:val="000B3385"/>
    <w:rsid w:val="000B353F"/>
    <w:rsid w:val="000B37E4"/>
    <w:rsid w:val="000B37FB"/>
    <w:rsid w:val="000B3920"/>
    <w:rsid w:val="000B392D"/>
    <w:rsid w:val="000B3964"/>
    <w:rsid w:val="000B39A3"/>
    <w:rsid w:val="000B3AEE"/>
    <w:rsid w:val="000B3AFB"/>
    <w:rsid w:val="000B3B84"/>
    <w:rsid w:val="000B3E43"/>
    <w:rsid w:val="000B3FF8"/>
    <w:rsid w:val="000B404C"/>
    <w:rsid w:val="000B407D"/>
    <w:rsid w:val="000B41CB"/>
    <w:rsid w:val="000B420C"/>
    <w:rsid w:val="000B42EF"/>
    <w:rsid w:val="000B4431"/>
    <w:rsid w:val="000B4514"/>
    <w:rsid w:val="000B4BCC"/>
    <w:rsid w:val="000B4D95"/>
    <w:rsid w:val="000B4E54"/>
    <w:rsid w:val="000B5060"/>
    <w:rsid w:val="000B50D9"/>
    <w:rsid w:val="000B510D"/>
    <w:rsid w:val="000B5134"/>
    <w:rsid w:val="000B5427"/>
    <w:rsid w:val="000B551F"/>
    <w:rsid w:val="000B5635"/>
    <w:rsid w:val="000B5754"/>
    <w:rsid w:val="000B57CE"/>
    <w:rsid w:val="000B57EE"/>
    <w:rsid w:val="000B5973"/>
    <w:rsid w:val="000B59F2"/>
    <w:rsid w:val="000B5A13"/>
    <w:rsid w:val="000B5E17"/>
    <w:rsid w:val="000B639A"/>
    <w:rsid w:val="000B640E"/>
    <w:rsid w:val="000B67F2"/>
    <w:rsid w:val="000B68AB"/>
    <w:rsid w:val="000B692E"/>
    <w:rsid w:val="000B693E"/>
    <w:rsid w:val="000B6ADA"/>
    <w:rsid w:val="000B6C14"/>
    <w:rsid w:val="000B6D24"/>
    <w:rsid w:val="000B6E0E"/>
    <w:rsid w:val="000B6E85"/>
    <w:rsid w:val="000B6F6E"/>
    <w:rsid w:val="000B6FB0"/>
    <w:rsid w:val="000B6FE8"/>
    <w:rsid w:val="000B70BD"/>
    <w:rsid w:val="000B716E"/>
    <w:rsid w:val="000B726A"/>
    <w:rsid w:val="000B7945"/>
    <w:rsid w:val="000B7A6F"/>
    <w:rsid w:val="000B7A7A"/>
    <w:rsid w:val="000B7AA2"/>
    <w:rsid w:val="000B7BFD"/>
    <w:rsid w:val="000B7E1E"/>
    <w:rsid w:val="000B7FD9"/>
    <w:rsid w:val="000C0162"/>
    <w:rsid w:val="000C017C"/>
    <w:rsid w:val="000C0264"/>
    <w:rsid w:val="000C034C"/>
    <w:rsid w:val="000C0369"/>
    <w:rsid w:val="000C03FF"/>
    <w:rsid w:val="000C048B"/>
    <w:rsid w:val="000C04A8"/>
    <w:rsid w:val="000C04CD"/>
    <w:rsid w:val="000C0B2E"/>
    <w:rsid w:val="000C0B3A"/>
    <w:rsid w:val="000C0B82"/>
    <w:rsid w:val="000C0BF0"/>
    <w:rsid w:val="000C0C3F"/>
    <w:rsid w:val="000C0C67"/>
    <w:rsid w:val="000C0C99"/>
    <w:rsid w:val="000C0CAE"/>
    <w:rsid w:val="000C0DC5"/>
    <w:rsid w:val="000C1013"/>
    <w:rsid w:val="000C111A"/>
    <w:rsid w:val="000C17A8"/>
    <w:rsid w:val="000C19A7"/>
    <w:rsid w:val="000C1AFA"/>
    <w:rsid w:val="000C1B3A"/>
    <w:rsid w:val="000C1E6D"/>
    <w:rsid w:val="000C1F1E"/>
    <w:rsid w:val="000C1FD4"/>
    <w:rsid w:val="000C20D3"/>
    <w:rsid w:val="000C22C9"/>
    <w:rsid w:val="000C236A"/>
    <w:rsid w:val="000C25A0"/>
    <w:rsid w:val="000C25FF"/>
    <w:rsid w:val="000C26C6"/>
    <w:rsid w:val="000C275B"/>
    <w:rsid w:val="000C2B53"/>
    <w:rsid w:val="000C2DCE"/>
    <w:rsid w:val="000C2DD7"/>
    <w:rsid w:val="000C2EF4"/>
    <w:rsid w:val="000C2FDC"/>
    <w:rsid w:val="000C3087"/>
    <w:rsid w:val="000C3134"/>
    <w:rsid w:val="000C321A"/>
    <w:rsid w:val="000C324C"/>
    <w:rsid w:val="000C3340"/>
    <w:rsid w:val="000C361C"/>
    <w:rsid w:val="000C3A84"/>
    <w:rsid w:val="000C3AE4"/>
    <w:rsid w:val="000C3AEE"/>
    <w:rsid w:val="000C3B98"/>
    <w:rsid w:val="000C3C6F"/>
    <w:rsid w:val="000C3CCD"/>
    <w:rsid w:val="000C3DB1"/>
    <w:rsid w:val="000C3E0C"/>
    <w:rsid w:val="000C3E5E"/>
    <w:rsid w:val="000C3E8D"/>
    <w:rsid w:val="000C3EE7"/>
    <w:rsid w:val="000C408E"/>
    <w:rsid w:val="000C40EA"/>
    <w:rsid w:val="000C4319"/>
    <w:rsid w:val="000C441E"/>
    <w:rsid w:val="000C441F"/>
    <w:rsid w:val="000C451F"/>
    <w:rsid w:val="000C4559"/>
    <w:rsid w:val="000C45E7"/>
    <w:rsid w:val="000C4733"/>
    <w:rsid w:val="000C47AE"/>
    <w:rsid w:val="000C4AEE"/>
    <w:rsid w:val="000C4BC5"/>
    <w:rsid w:val="000C4C2B"/>
    <w:rsid w:val="000C4C72"/>
    <w:rsid w:val="000C4CF7"/>
    <w:rsid w:val="000C519D"/>
    <w:rsid w:val="000C51BD"/>
    <w:rsid w:val="000C51FF"/>
    <w:rsid w:val="000C5220"/>
    <w:rsid w:val="000C546C"/>
    <w:rsid w:val="000C553C"/>
    <w:rsid w:val="000C55E1"/>
    <w:rsid w:val="000C55E3"/>
    <w:rsid w:val="000C5649"/>
    <w:rsid w:val="000C59B4"/>
    <w:rsid w:val="000C5B2B"/>
    <w:rsid w:val="000C5B5B"/>
    <w:rsid w:val="000C5C8B"/>
    <w:rsid w:val="000C5C90"/>
    <w:rsid w:val="000C5D86"/>
    <w:rsid w:val="000C5DC1"/>
    <w:rsid w:val="000C6009"/>
    <w:rsid w:val="000C6180"/>
    <w:rsid w:val="000C630A"/>
    <w:rsid w:val="000C6356"/>
    <w:rsid w:val="000C6375"/>
    <w:rsid w:val="000C63F2"/>
    <w:rsid w:val="000C6431"/>
    <w:rsid w:val="000C6479"/>
    <w:rsid w:val="000C64F0"/>
    <w:rsid w:val="000C660F"/>
    <w:rsid w:val="000C6658"/>
    <w:rsid w:val="000C6674"/>
    <w:rsid w:val="000C6686"/>
    <w:rsid w:val="000C6762"/>
    <w:rsid w:val="000C67E2"/>
    <w:rsid w:val="000C6AC5"/>
    <w:rsid w:val="000C6B69"/>
    <w:rsid w:val="000C6C5A"/>
    <w:rsid w:val="000C6E61"/>
    <w:rsid w:val="000C6EA5"/>
    <w:rsid w:val="000C7031"/>
    <w:rsid w:val="000C7067"/>
    <w:rsid w:val="000C7088"/>
    <w:rsid w:val="000C70C2"/>
    <w:rsid w:val="000C70E3"/>
    <w:rsid w:val="000C71D5"/>
    <w:rsid w:val="000C7339"/>
    <w:rsid w:val="000C7378"/>
    <w:rsid w:val="000C7411"/>
    <w:rsid w:val="000C7522"/>
    <w:rsid w:val="000C7730"/>
    <w:rsid w:val="000C7751"/>
    <w:rsid w:val="000C7788"/>
    <w:rsid w:val="000C77D4"/>
    <w:rsid w:val="000C7E09"/>
    <w:rsid w:val="000C7E24"/>
    <w:rsid w:val="000C7F40"/>
    <w:rsid w:val="000D0055"/>
    <w:rsid w:val="000D0249"/>
    <w:rsid w:val="000D0340"/>
    <w:rsid w:val="000D0457"/>
    <w:rsid w:val="000D06BB"/>
    <w:rsid w:val="000D07D5"/>
    <w:rsid w:val="000D089C"/>
    <w:rsid w:val="000D0937"/>
    <w:rsid w:val="000D0947"/>
    <w:rsid w:val="000D09C7"/>
    <w:rsid w:val="000D0A64"/>
    <w:rsid w:val="000D0D35"/>
    <w:rsid w:val="000D0EF2"/>
    <w:rsid w:val="000D0F51"/>
    <w:rsid w:val="000D0F94"/>
    <w:rsid w:val="000D1336"/>
    <w:rsid w:val="000D13C1"/>
    <w:rsid w:val="000D1403"/>
    <w:rsid w:val="000D15DC"/>
    <w:rsid w:val="000D166F"/>
    <w:rsid w:val="000D175F"/>
    <w:rsid w:val="000D191E"/>
    <w:rsid w:val="000D195B"/>
    <w:rsid w:val="000D1AF8"/>
    <w:rsid w:val="000D1C07"/>
    <w:rsid w:val="000D1C43"/>
    <w:rsid w:val="000D1D13"/>
    <w:rsid w:val="000D201E"/>
    <w:rsid w:val="000D2060"/>
    <w:rsid w:val="000D2061"/>
    <w:rsid w:val="000D208B"/>
    <w:rsid w:val="000D21E6"/>
    <w:rsid w:val="000D242D"/>
    <w:rsid w:val="000D24DD"/>
    <w:rsid w:val="000D24F3"/>
    <w:rsid w:val="000D250E"/>
    <w:rsid w:val="000D25AC"/>
    <w:rsid w:val="000D25CD"/>
    <w:rsid w:val="000D25E5"/>
    <w:rsid w:val="000D268B"/>
    <w:rsid w:val="000D26D5"/>
    <w:rsid w:val="000D28A4"/>
    <w:rsid w:val="000D28C4"/>
    <w:rsid w:val="000D2C27"/>
    <w:rsid w:val="000D2F22"/>
    <w:rsid w:val="000D2FA2"/>
    <w:rsid w:val="000D3160"/>
    <w:rsid w:val="000D33E5"/>
    <w:rsid w:val="000D3466"/>
    <w:rsid w:val="000D3497"/>
    <w:rsid w:val="000D34FE"/>
    <w:rsid w:val="000D3707"/>
    <w:rsid w:val="000D3741"/>
    <w:rsid w:val="000D388B"/>
    <w:rsid w:val="000D3ABB"/>
    <w:rsid w:val="000D3C2C"/>
    <w:rsid w:val="000D3E59"/>
    <w:rsid w:val="000D3EE0"/>
    <w:rsid w:val="000D3EFA"/>
    <w:rsid w:val="000D400A"/>
    <w:rsid w:val="000D41FE"/>
    <w:rsid w:val="000D4207"/>
    <w:rsid w:val="000D4281"/>
    <w:rsid w:val="000D4393"/>
    <w:rsid w:val="000D440D"/>
    <w:rsid w:val="000D4600"/>
    <w:rsid w:val="000D47A8"/>
    <w:rsid w:val="000D47CC"/>
    <w:rsid w:val="000D48DE"/>
    <w:rsid w:val="000D4B0E"/>
    <w:rsid w:val="000D4BBD"/>
    <w:rsid w:val="000D506E"/>
    <w:rsid w:val="000D520E"/>
    <w:rsid w:val="000D5241"/>
    <w:rsid w:val="000D5256"/>
    <w:rsid w:val="000D5258"/>
    <w:rsid w:val="000D5399"/>
    <w:rsid w:val="000D541B"/>
    <w:rsid w:val="000D5487"/>
    <w:rsid w:val="000D549E"/>
    <w:rsid w:val="000D54DC"/>
    <w:rsid w:val="000D5524"/>
    <w:rsid w:val="000D5736"/>
    <w:rsid w:val="000D579B"/>
    <w:rsid w:val="000D579F"/>
    <w:rsid w:val="000D5AD9"/>
    <w:rsid w:val="000D5B4E"/>
    <w:rsid w:val="000D5CE7"/>
    <w:rsid w:val="000D5F25"/>
    <w:rsid w:val="000D5F40"/>
    <w:rsid w:val="000D64E7"/>
    <w:rsid w:val="000D6720"/>
    <w:rsid w:val="000D6843"/>
    <w:rsid w:val="000D6862"/>
    <w:rsid w:val="000D6933"/>
    <w:rsid w:val="000D6AF2"/>
    <w:rsid w:val="000D6BA1"/>
    <w:rsid w:val="000D6C97"/>
    <w:rsid w:val="000D6E26"/>
    <w:rsid w:val="000D6E30"/>
    <w:rsid w:val="000D6E3D"/>
    <w:rsid w:val="000D71B7"/>
    <w:rsid w:val="000D71E3"/>
    <w:rsid w:val="000D71EA"/>
    <w:rsid w:val="000D7300"/>
    <w:rsid w:val="000D7343"/>
    <w:rsid w:val="000D73F8"/>
    <w:rsid w:val="000D7497"/>
    <w:rsid w:val="000D76A1"/>
    <w:rsid w:val="000D76B8"/>
    <w:rsid w:val="000D7808"/>
    <w:rsid w:val="000D7A3B"/>
    <w:rsid w:val="000D7A8E"/>
    <w:rsid w:val="000D7B34"/>
    <w:rsid w:val="000D7C37"/>
    <w:rsid w:val="000D7CFA"/>
    <w:rsid w:val="000D7F23"/>
    <w:rsid w:val="000D7F7A"/>
    <w:rsid w:val="000D7FC3"/>
    <w:rsid w:val="000E0079"/>
    <w:rsid w:val="000E00FA"/>
    <w:rsid w:val="000E01A2"/>
    <w:rsid w:val="000E040B"/>
    <w:rsid w:val="000E0572"/>
    <w:rsid w:val="000E0589"/>
    <w:rsid w:val="000E0599"/>
    <w:rsid w:val="000E0726"/>
    <w:rsid w:val="000E0745"/>
    <w:rsid w:val="000E0791"/>
    <w:rsid w:val="000E08C2"/>
    <w:rsid w:val="000E0AC0"/>
    <w:rsid w:val="000E0ADE"/>
    <w:rsid w:val="000E0BB1"/>
    <w:rsid w:val="000E0C02"/>
    <w:rsid w:val="000E0DEF"/>
    <w:rsid w:val="000E0E06"/>
    <w:rsid w:val="000E0E71"/>
    <w:rsid w:val="000E0EA2"/>
    <w:rsid w:val="000E0F01"/>
    <w:rsid w:val="000E10F6"/>
    <w:rsid w:val="000E117D"/>
    <w:rsid w:val="000E12AA"/>
    <w:rsid w:val="000E14E7"/>
    <w:rsid w:val="000E14FA"/>
    <w:rsid w:val="000E16FC"/>
    <w:rsid w:val="000E1727"/>
    <w:rsid w:val="000E18A8"/>
    <w:rsid w:val="000E195B"/>
    <w:rsid w:val="000E1A0C"/>
    <w:rsid w:val="000E1A5B"/>
    <w:rsid w:val="000E1B33"/>
    <w:rsid w:val="000E1B6D"/>
    <w:rsid w:val="000E1B8F"/>
    <w:rsid w:val="000E1B9C"/>
    <w:rsid w:val="000E1BA3"/>
    <w:rsid w:val="000E1DEC"/>
    <w:rsid w:val="000E1E25"/>
    <w:rsid w:val="000E1E29"/>
    <w:rsid w:val="000E1E46"/>
    <w:rsid w:val="000E1F1A"/>
    <w:rsid w:val="000E2014"/>
    <w:rsid w:val="000E20ED"/>
    <w:rsid w:val="000E2114"/>
    <w:rsid w:val="000E21BB"/>
    <w:rsid w:val="000E2355"/>
    <w:rsid w:val="000E259D"/>
    <w:rsid w:val="000E25CF"/>
    <w:rsid w:val="000E275F"/>
    <w:rsid w:val="000E276E"/>
    <w:rsid w:val="000E28AD"/>
    <w:rsid w:val="000E28DC"/>
    <w:rsid w:val="000E2945"/>
    <w:rsid w:val="000E29F6"/>
    <w:rsid w:val="000E2A7A"/>
    <w:rsid w:val="000E2B26"/>
    <w:rsid w:val="000E2D1C"/>
    <w:rsid w:val="000E2D38"/>
    <w:rsid w:val="000E2D48"/>
    <w:rsid w:val="000E2D6A"/>
    <w:rsid w:val="000E2F43"/>
    <w:rsid w:val="000E2FE4"/>
    <w:rsid w:val="000E30C3"/>
    <w:rsid w:val="000E3126"/>
    <w:rsid w:val="000E317F"/>
    <w:rsid w:val="000E3390"/>
    <w:rsid w:val="000E3532"/>
    <w:rsid w:val="000E358D"/>
    <w:rsid w:val="000E35A1"/>
    <w:rsid w:val="000E36DD"/>
    <w:rsid w:val="000E387A"/>
    <w:rsid w:val="000E3A5F"/>
    <w:rsid w:val="000E3B03"/>
    <w:rsid w:val="000E3B59"/>
    <w:rsid w:val="000E3BA3"/>
    <w:rsid w:val="000E3EAE"/>
    <w:rsid w:val="000E4198"/>
    <w:rsid w:val="000E4273"/>
    <w:rsid w:val="000E42D3"/>
    <w:rsid w:val="000E43F8"/>
    <w:rsid w:val="000E4485"/>
    <w:rsid w:val="000E48AF"/>
    <w:rsid w:val="000E4951"/>
    <w:rsid w:val="000E4C73"/>
    <w:rsid w:val="000E4DDF"/>
    <w:rsid w:val="000E4E0E"/>
    <w:rsid w:val="000E4E1D"/>
    <w:rsid w:val="000E4F8C"/>
    <w:rsid w:val="000E4FA1"/>
    <w:rsid w:val="000E51CD"/>
    <w:rsid w:val="000E524B"/>
    <w:rsid w:val="000E5347"/>
    <w:rsid w:val="000E53A4"/>
    <w:rsid w:val="000E53CA"/>
    <w:rsid w:val="000E53D5"/>
    <w:rsid w:val="000E542F"/>
    <w:rsid w:val="000E54CE"/>
    <w:rsid w:val="000E5820"/>
    <w:rsid w:val="000E597C"/>
    <w:rsid w:val="000E59E9"/>
    <w:rsid w:val="000E5A72"/>
    <w:rsid w:val="000E5A91"/>
    <w:rsid w:val="000E5B7A"/>
    <w:rsid w:val="000E5C1F"/>
    <w:rsid w:val="000E5DFD"/>
    <w:rsid w:val="000E5E78"/>
    <w:rsid w:val="000E5F77"/>
    <w:rsid w:val="000E5FE0"/>
    <w:rsid w:val="000E6010"/>
    <w:rsid w:val="000E606F"/>
    <w:rsid w:val="000E60B2"/>
    <w:rsid w:val="000E60C8"/>
    <w:rsid w:val="000E61D7"/>
    <w:rsid w:val="000E6455"/>
    <w:rsid w:val="000E6551"/>
    <w:rsid w:val="000E6576"/>
    <w:rsid w:val="000E6619"/>
    <w:rsid w:val="000E6646"/>
    <w:rsid w:val="000E67F1"/>
    <w:rsid w:val="000E685F"/>
    <w:rsid w:val="000E6873"/>
    <w:rsid w:val="000E6879"/>
    <w:rsid w:val="000E68AF"/>
    <w:rsid w:val="000E696E"/>
    <w:rsid w:val="000E69F9"/>
    <w:rsid w:val="000E6A16"/>
    <w:rsid w:val="000E6BDD"/>
    <w:rsid w:val="000E6C0A"/>
    <w:rsid w:val="000E6DA7"/>
    <w:rsid w:val="000E6DE9"/>
    <w:rsid w:val="000E6EBC"/>
    <w:rsid w:val="000E70D8"/>
    <w:rsid w:val="000E72CE"/>
    <w:rsid w:val="000E7625"/>
    <w:rsid w:val="000E778E"/>
    <w:rsid w:val="000E78F6"/>
    <w:rsid w:val="000E7920"/>
    <w:rsid w:val="000E7936"/>
    <w:rsid w:val="000E7AE1"/>
    <w:rsid w:val="000E7B31"/>
    <w:rsid w:val="000E7B74"/>
    <w:rsid w:val="000E7B8C"/>
    <w:rsid w:val="000E7BBE"/>
    <w:rsid w:val="000E7BC6"/>
    <w:rsid w:val="000E7C7F"/>
    <w:rsid w:val="000E7F18"/>
    <w:rsid w:val="000E9A41"/>
    <w:rsid w:val="000EB70C"/>
    <w:rsid w:val="000EF068"/>
    <w:rsid w:val="000F0152"/>
    <w:rsid w:val="000F0268"/>
    <w:rsid w:val="000F0626"/>
    <w:rsid w:val="000F06F7"/>
    <w:rsid w:val="000F06F8"/>
    <w:rsid w:val="000F07E7"/>
    <w:rsid w:val="000F0837"/>
    <w:rsid w:val="000F0AA8"/>
    <w:rsid w:val="000F0B54"/>
    <w:rsid w:val="000F0C5F"/>
    <w:rsid w:val="000F0D7B"/>
    <w:rsid w:val="000F0D90"/>
    <w:rsid w:val="000F0E58"/>
    <w:rsid w:val="000F0E73"/>
    <w:rsid w:val="000F0E88"/>
    <w:rsid w:val="000F0F2C"/>
    <w:rsid w:val="000F101F"/>
    <w:rsid w:val="000F112F"/>
    <w:rsid w:val="000F1135"/>
    <w:rsid w:val="000F126C"/>
    <w:rsid w:val="000F1399"/>
    <w:rsid w:val="000F14B9"/>
    <w:rsid w:val="000F14D4"/>
    <w:rsid w:val="000F15E8"/>
    <w:rsid w:val="000F1665"/>
    <w:rsid w:val="000F1772"/>
    <w:rsid w:val="000F193C"/>
    <w:rsid w:val="000F1955"/>
    <w:rsid w:val="000F19A5"/>
    <w:rsid w:val="000F1A29"/>
    <w:rsid w:val="000F1A32"/>
    <w:rsid w:val="000F1C04"/>
    <w:rsid w:val="000F1CA3"/>
    <w:rsid w:val="000F1D89"/>
    <w:rsid w:val="000F1D91"/>
    <w:rsid w:val="000F1E17"/>
    <w:rsid w:val="000F1E42"/>
    <w:rsid w:val="000F1F54"/>
    <w:rsid w:val="000F2073"/>
    <w:rsid w:val="000F215B"/>
    <w:rsid w:val="000F2355"/>
    <w:rsid w:val="000F237E"/>
    <w:rsid w:val="000F239C"/>
    <w:rsid w:val="000F23FA"/>
    <w:rsid w:val="000F24C5"/>
    <w:rsid w:val="000F257C"/>
    <w:rsid w:val="000F2709"/>
    <w:rsid w:val="000F28E0"/>
    <w:rsid w:val="000F2B09"/>
    <w:rsid w:val="000F2D4A"/>
    <w:rsid w:val="000F2F0D"/>
    <w:rsid w:val="000F2F51"/>
    <w:rsid w:val="000F2F87"/>
    <w:rsid w:val="000F2FB6"/>
    <w:rsid w:val="000F30A4"/>
    <w:rsid w:val="000F32E4"/>
    <w:rsid w:val="000F3447"/>
    <w:rsid w:val="000F3472"/>
    <w:rsid w:val="000F35BE"/>
    <w:rsid w:val="000F36CB"/>
    <w:rsid w:val="000F3717"/>
    <w:rsid w:val="000F392F"/>
    <w:rsid w:val="000F3BA5"/>
    <w:rsid w:val="000F3C5B"/>
    <w:rsid w:val="000F3C5F"/>
    <w:rsid w:val="000F3D28"/>
    <w:rsid w:val="000F3EF9"/>
    <w:rsid w:val="000F3F5A"/>
    <w:rsid w:val="000F4035"/>
    <w:rsid w:val="000F4050"/>
    <w:rsid w:val="000F4443"/>
    <w:rsid w:val="000F44A7"/>
    <w:rsid w:val="000F44DE"/>
    <w:rsid w:val="000F45E4"/>
    <w:rsid w:val="000F464C"/>
    <w:rsid w:val="000F47CA"/>
    <w:rsid w:val="000F4805"/>
    <w:rsid w:val="000F486A"/>
    <w:rsid w:val="000F48F6"/>
    <w:rsid w:val="000F4903"/>
    <w:rsid w:val="000F499C"/>
    <w:rsid w:val="000F4AA5"/>
    <w:rsid w:val="000F4B36"/>
    <w:rsid w:val="000F5017"/>
    <w:rsid w:val="000F5096"/>
    <w:rsid w:val="000F50D5"/>
    <w:rsid w:val="000F50EF"/>
    <w:rsid w:val="000F51AD"/>
    <w:rsid w:val="000F52BA"/>
    <w:rsid w:val="000F540E"/>
    <w:rsid w:val="000F542A"/>
    <w:rsid w:val="000F5509"/>
    <w:rsid w:val="000F56C2"/>
    <w:rsid w:val="000F58A4"/>
    <w:rsid w:val="000F590B"/>
    <w:rsid w:val="000F59C5"/>
    <w:rsid w:val="000F5B77"/>
    <w:rsid w:val="000F5C58"/>
    <w:rsid w:val="000F5E69"/>
    <w:rsid w:val="000F6386"/>
    <w:rsid w:val="000F63E9"/>
    <w:rsid w:val="000F6432"/>
    <w:rsid w:val="000F64F1"/>
    <w:rsid w:val="000F651C"/>
    <w:rsid w:val="000F65B8"/>
    <w:rsid w:val="000F686B"/>
    <w:rsid w:val="000F686D"/>
    <w:rsid w:val="000F687E"/>
    <w:rsid w:val="000F68D2"/>
    <w:rsid w:val="000F6919"/>
    <w:rsid w:val="000F6971"/>
    <w:rsid w:val="000F6995"/>
    <w:rsid w:val="000F6A4B"/>
    <w:rsid w:val="000F6A6D"/>
    <w:rsid w:val="000F6DB4"/>
    <w:rsid w:val="000F6E92"/>
    <w:rsid w:val="000F7276"/>
    <w:rsid w:val="000F736F"/>
    <w:rsid w:val="000F74DA"/>
    <w:rsid w:val="000F7530"/>
    <w:rsid w:val="000F756E"/>
    <w:rsid w:val="000F7780"/>
    <w:rsid w:val="000F77ED"/>
    <w:rsid w:val="000F790D"/>
    <w:rsid w:val="000F798A"/>
    <w:rsid w:val="000F7B55"/>
    <w:rsid w:val="000F7BD5"/>
    <w:rsid w:val="000F7BE6"/>
    <w:rsid w:val="000F7D3A"/>
    <w:rsid w:val="000F7D8F"/>
    <w:rsid w:val="000F7D9D"/>
    <w:rsid w:val="000F7E41"/>
    <w:rsid w:val="000F7E72"/>
    <w:rsid w:val="0010004F"/>
    <w:rsid w:val="00100097"/>
    <w:rsid w:val="0010021B"/>
    <w:rsid w:val="0010023D"/>
    <w:rsid w:val="00100563"/>
    <w:rsid w:val="0010058A"/>
    <w:rsid w:val="00100797"/>
    <w:rsid w:val="00100834"/>
    <w:rsid w:val="00100995"/>
    <w:rsid w:val="00100A06"/>
    <w:rsid w:val="00100A58"/>
    <w:rsid w:val="00100AA9"/>
    <w:rsid w:val="00100BBD"/>
    <w:rsid w:val="00100C77"/>
    <w:rsid w:val="00100CA2"/>
    <w:rsid w:val="00100E1E"/>
    <w:rsid w:val="00100E91"/>
    <w:rsid w:val="00100EBF"/>
    <w:rsid w:val="00100FB3"/>
    <w:rsid w:val="00101080"/>
    <w:rsid w:val="001010A1"/>
    <w:rsid w:val="00101253"/>
    <w:rsid w:val="0010131F"/>
    <w:rsid w:val="001013C7"/>
    <w:rsid w:val="00101467"/>
    <w:rsid w:val="0010147A"/>
    <w:rsid w:val="001018D1"/>
    <w:rsid w:val="00101A58"/>
    <w:rsid w:val="00101B7F"/>
    <w:rsid w:val="00101C5A"/>
    <w:rsid w:val="00101C77"/>
    <w:rsid w:val="00101D88"/>
    <w:rsid w:val="00101DC8"/>
    <w:rsid w:val="00101FAB"/>
    <w:rsid w:val="00101FAE"/>
    <w:rsid w:val="0010201C"/>
    <w:rsid w:val="0010226E"/>
    <w:rsid w:val="001022BD"/>
    <w:rsid w:val="00102452"/>
    <w:rsid w:val="00102489"/>
    <w:rsid w:val="00102497"/>
    <w:rsid w:val="0010252A"/>
    <w:rsid w:val="00102597"/>
    <w:rsid w:val="001026F2"/>
    <w:rsid w:val="001027C2"/>
    <w:rsid w:val="001029C1"/>
    <w:rsid w:val="00102AF8"/>
    <w:rsid w:val="00102B64"/>
    <w:rsid w:val="00102B6B"/>
    <w:rsid w:val="00102BD0"/>
    <w:rsid w:val="001030F2"/>
    <w:rsid w:val="0010315F"/>
    <w:rsid w:val="001031A4"/>
    <w:rsid w:val="001031DF"/>
    <w:rsid w:val="001034F3"/>
    <w:rsid w:val="00103568"/>
    <w:rsid w:val="001035D6"/>
    <w:rsid w:val="00103616"/>
    <w:rsid w:val="001036DA"/>
    <w:rsid w:val="00103710"/>
    <w:rsid w:val="00103938"/>
    <w:rsid w:val="00103AE8"/>
    <w:rsid w:val="00103B18"/>
    <w:rsid w:val="00103D58"/>
    <w:rsid w:val="00103D98"/>
    <w:rsid w:val="00103FED"/>
    <w:rsid w:val="001040AD"/>
    <w:rsid w:val="001040E4"/>
    <w:rsid w:val="00104214"/>
    <w:rsid w:val="0010429E"/>
    <w:rsid w:val="00104323"/>
    <w:rsid w:val="0010442D"/>
    <w:rsid w:val="00104493"/>
    <w:rsid w:val="001044A6"/>
    <w:rsid w:val="001046D2"/>
    <w:rsid w:val="0010485D"/>
    <w:rsid w:val="0010497A"/>
    <w:rsid w:val="00104A56"/>
    <w:rsid w:val="00104A99"/>
    <w:rsid w:val="00104D2E"/>
    <w:rsid w:val="00104D2F"/>
    <w:rsid w:val="00104DB7"/>
    <w:rsid w:val="00104DEA"/>
    <w:rsid w:val="001053C1"/>
    <w:rsid w:val="001055B1"/>
    <w:rsid w:val="001055DA"/>
    <w:rsid w:val="00105809"/>
    <w:rsid w:val="0010584D"/>
    <w:rsid w:val="001058A5"/>
    <w:rsid w:val="00105A8C"/>
    <w:rsid w:val="00105C50"/>
    <w:rsid w:val="00105C9E"/>
    <w:rsid w:val="00105CA5"/>
    <w:rsid w:val="00105D06"/>
    <w:rsid w:val="00105D98"/>
    <w:rsid w:val="00105DA8"/>
    <w:rsid w:val="00105E51"/>
    <w:rsid w:val="00105EED"/>
    <w:rsid w:val="00106100"/>
    <w:rsid w:val="0010615E"/>
    <w:rsid w:val="001061AF"/>
    <w:rsid w:val="00106466"/>
    <w:rsid w:val="00106791"/>
    <w:rsid w:val="00106858"/>
    <w:rsid w:val="00106868"/>
    <w:rsid w:val="0010694B"/>
    <w:rsid w:val="00106AF0"/>
    <w:rsid w:val="00106E8D"/>
    <w:rsid w:val="00106F18"/>
    <w:rsid w:val="00107039"/>
    <w:rsid w:val="00107134"/>
    <w:rsid w:val="00107255"/>
    <w:rsid w:val="00107325"/>
    <w:rsid w:val="00107508"/>
    <w:rsid w:val="001076E1"/>
    <w:rsid w:val="0010774E"/>
    <w:rsid w:val="00107865"/>
    <w:rsid w:val="00107B4A"/>
    <w:rsid w:val="00107D06"/>
    <w:rsid w:val="00107DF2"/>
    <w:rsid w:val="00107E02"/>
    <w:rsid w:val="00107EB4"/>
    <w:rsid w:val="0011010F"/>
    <w:rsid w:val="00110188"/>
    <w:rsid w:val="001102AF"/>
    <w:rsid w:val="00110556"/>
    <w:rsid w:val="0011067B"/>
    <w:rsid w:val="00110807"/>
    <w:rsid w:val="00110E1A"/>
    <w:rsid w:val="00110ECC"/>
    <w:rsid w:val="00110FF2"/>
    <w:rsid w:val="001110FF"/>
    <w:rsid w:val="001111DE"/>
    <w:rsid w:val="00111237"/>
    <w:rsid w:val="0011123A"/>
    <w:rsid w:val="001112F1"/>
    <w:rsid w:val="00111450"/>
    <w:rsid w:val="00111453"/>
    <w:rsid w:val="00111566"/>
    <w:rsid w:val="0011163A"/>
    <w:rsid w:val="00111656"/>
    <w:rsid w:val="00111749"/>
    <w:rsid w:val="001117B6"/>
    <w:rsid w:val="0011183D"/>
    <w:rsid w:val="00111954"/>
    <w:rsid w:val="00111ABB"/>
    <w:rsid w:val="00111AFB"/>
    <w:rsid w:val="00111C72"/>
    <w:rsid w:val="00111E06"/>
    <w:rsid w:val="00111E61"/>
    <w:rsid w:val="00111E69"/>
    <w:rsid w:val="00111E70"/>
    <w:rsid w:val="00112000"/>
    <w:rsid w:val="0011200B"/>
    <w:rsid w:val="001120DE"/>
    <w:rsid w:val="0011245F"/>
    <w:rsid w:val="00112500"/>
    <w:rsid w:val="0011258E"/>
    <w:rsid w:val="001125B1"/>
    <w:rsid w:val="00112711"/>
    <w:rsid w:val="00112844"/>
    <w:rsid w:val="001128B1"/>
    <w:rsid w:val="00112A9A"/>
    <w:rsid w:val="00112CCB"/>
    <w:rsid w:val="00112E60"/>
    <w:rsid w:val="00112E94"/>
    <w:rsid w:val="00112F61"/>
    <w:rsid w:val="00113041"/>
    <w:rsid w:val="00113086"/>
    <w:rsid w:val="001130B4"/>
    <w:rsid w:val="0011323D"/>
    <w:rsid w:val="00113281"/>
    <w:rsid w:val="001133E5"/>
    <w:rsid w:val="0011359E"/>
    <w:rsid w:val="00113614"/>
    <w:rsid w:val="001136B9"/>
    <w:rsid w:val="001136CC"/>
    <w:rsid w:val="00113709"/>
    <w:rsid w:val="0011373F"/>
    <w:rsid w:val="0011380B"/>
    <w:rsid w:val="001138F3"/>
    <w:rsid w:val="00113E29"/>
    <w:rsid w:val="00113FBB"/>
    <w:rsid w:val="0011401A"/>
    <w:rsid w:val="0011401B"/>
    <w:rsid w:val="00114048"/>
    <w:rsid w:val="0011407F"/>
    <w:rsid w:val="001142B9"/>
    <w:rsid w:val="0011435D"/>
    <w:rsid w:val="00114594"/>
    <w:rsid w:val="001147CC"/>
    <w:rsid w:val="001148E3"/>
    <w:rsid w:val="001148EF"/>
    <w:rsid w:val="001148FC"/>
    <w:rsid w:val="0011498A"/>
    <w:rsid w:val="00114A84"/>
    <w:rsid w:val="00114A96"/>
    <w:rsid w:val="00114AA3"/>
    <w:rsid w:val="00114B40"/>
    <w:rsid w:val="00114B77"/>
    <w:rsid w:val="00114BA2"/>
    <w:rsid w:val="00114C67"/>
    <w:rsid w:val="00114C9C"/>
    <w:rsid w:val="00114CE7"/>
    <w:rsid w:val="00115010"/>
    <w:rsid w:val="00115117"/>
    <w:rsid w:val="0011512C"/>
    <w:rsid w:val="00115190"/>
    <w:rsid w:val="00115395"/>
    <w:rsid w:val="0011546C"/>
    <w:rsid w:val="001155CA"/>
    <w:rsid w:val="00115860"/>
    <w:rsid w:val="0011586C"/>
    <w:rsid w:val="001158C5"/>
    <w:rsid w:val="0011591D"/>
    <w:rsid w:val="00115965"/>
    <w:rsid w:val="00115A69"/>
    <w:rsid w:val="00115A8E"/>
    <w:rsid w:val="00115AC0"/>
    <w:rsid w:val="00115ACF"/>
    <w:rsid w:val="00115D0F"/>
    <w:rsid w:val="00116219"/>
    <w:rsid w:val="0011637F"/>
    <w:rsid w:val="001164D4"/>
    <w:rsid w:val="00116544"/>
    <w:rsid w:val="001165A5"/>
    <w:rsid w:val="0011667E"/>
    <w:rsid w:val="0011668B"/>
    <w:rsid w:val="001166F4"/>
    <w:rsid w:val="001167C0"/>
    <w:rsid w:val="001168CE"/>
    <w:rsid w:val="001168F1"/>
    <w:rsid w:val="00116901"/>
    <w:rsid w:val="00116A7F"/>
    <w:rsid w:val="00116BC8"/>
    <w:rsid w:val="00116BFA"/>
    <w:rsid w:val="00116C81"/>
    <w:rsid w:val="0011704D"/>
    <w:rsid w:val="001171F6"/>
    <w:rsid w:val="001172B8"/>
    <w:rsid w:val="00117377"/>
    <w:rsid w:val="001173DD"/>
    <w:rsid w:val="00117486"/>
    <w:rsid w:val="0011749C"/>
    <w:rsid w:val="00117627"/>
    <w:rsid w:val="0011781E"/>
    <w:rsid w:val="0011782B"/>
    <w:rsid w:val="001178CD"/>
    <w:rsid w:val="00117BA7"/>
    <w:rsid w:val="00117C14"/>
    <w:rsid w:val="00117E5D"/>
    <w:rsid w:val="00117F3F"/>
    <w:rsid w:val="00117FEB"/>
    <w:rsid w:val="0011D05A"/>
    <w:rsid w:val="00120101"/>
    <w:rsid w:val="001201D2"/>
    <w:rsid w:val="00120257"/>
    <w:rsid w:val="001202EA"/>
    <w:rsid w:val="00120525"/>
    <w:rsid w:val="001205DC"/>
    <w:rsid w:val="001208F1"/>
    <w:rsid w:val="00120A86"/>
    <w:rsid w:val="00120AEF"/>
    <w:rsid w:val="00120B6A"/>
    <w:rsid w:val="00120BD1"/>
    <w:rsid w:val="00120C89"/>
    <w:rsid w:val="00120CEA"/>
    <w:rsid w:val="00120D1F"/>
    <w:rsid w:val="00120DDE"/>
    <w:rsid w:val="00120E0F"/>
    <w:rsid w:val="00120FE2"/>
    <w:rsid w:val="001210E9"/>
    <w:rsid w:val="0012116F"/>
    <w:rsid w:val="0012148E"/>
    <w:rsid w:val="00121504"/>
    <w:rsid w:val="001216A3"/>
    <w:rsid w:val="0012179D"/>
    <w:rsid w:val="001218C7"/>
    <w:rsid w:val="001218ED"/>
    <w:rsid w:val="0012198C"/>
    <w:rsid w:val="00121A14"/>
    <w:rsid w:val="00121C3E"/>
    <w:rsid w:val="00121E4A"/>
    <w:rsid w:val="00121EDE"/>
    <w:rsid w:val="00121F1D"/>
    <w:rsid w:val="00121FAD"/>
    <w:rsid w:val="00122164"/>
    <w:rsid w:val="00122194"/>
    <w:rsid w:val="00122254"/>
    <w:rsid w:val="00122425"/>
    <w:rsid w:val="00122440"/>
    <w:rsid w:val="001224EA"/>
    <w:rsid w:val="00122799"/>
    <w:rsid w:val="0012280C"/>
    <w:rsid w:val="00122857"/>
    <w:rsid w:val="00122877"/>
    <w:rsid w:val="001228E6"/>
    <w:rsid w:val="00122923"/>
    <w:rsid w:val="0012293B"/>
    <w:rsid w:val="001229CF"/>
    <w:rsid w:val="00122A7A"/>
    <w:rsid w:val="00122B9C"/>
    <w:rsid w:val="00123245"/>
    <w:rsid w:val="0012338B"/>
    <w:rsid w:val="001233DB"/>
    <w:rsid w:val="00123598"/>
    <w:rsid w:val="00123798"/>
    <w:rsid w:val="00123883"/>
    <w:rsid w:val="00123B71"/>
    <w:rsid w:val="00123D29"/>
    <w:rsid w:val="00123DCE"/>
    <w:rsid w:val="00124103"/>
    <w:rsid w:val="00124112"/>
    <w:rsid w:val="0012426E"/>
    <w:rsid w:val="001244A3"/>
    <w:rsid w:val="00124BBC"/>
    <w:rsid w:val="00124CFD"/>
    <w:rsid w:val="00124DA2"/>
    <w:rsid w:val="00124E58"/>
    <w:rsid w:val="00124E90"/>
    <w:rsid w:val="00124F3A"/>
    <w:rsid w:val="00124F66"/>
    <w:rsid w:val="0012503E"/>
    <w:rsid w:val="00125131"/>
    <w:rsid w:val="0012516C"/>
    <w:rsid w:val="00125246"/>
    <w:rsid w:val="00125333"/>
    <w:rsid w:val="0012533F"/>
    <w:rsid w:val="0012537D"/>
    <w:rsid w:val="001253F1"/>
    <w:rsid w:val="001253FA"/>
    <w:rsid w:val="00125423"/>
    <w:rsid w:val="0012543D"/>
    <w:rsid w:val="00125AF6"/>
    <w:rsid w:val="00125B83"/>
    <w:rsid w:val="00125C3A"/>
    <w:rsid w:val="00125E89"/>
    <w:rsid w:val="00126050"/>
    <w:rsid w:val="0012616A"/>
    <w:rsid w:val="00126193"/>
    <w:rsid w:val="00126297"/>
    <w:rsid w:val="00126375"/>
    <w:rsid w:val="0012649D"/>
    <w:rsid w:val="00126566"/>
    <w:rsid w:val="00126619"/>
    <w:rsid w:val="00126631"/>
    <w:rsid w:val="00126679"/>
    <w:rsid w:val="00126750"/>
    <w:rsid w:val="0012694A"/>
    <w:rsid w:val="001269E7"/>
    <w:rsid w:val="00126A14"/>
    <w:rsid w:val="00126A37"/>
    <w:rsid w:val="00126AA1"/>
    <w:rsid w:val="00126AB2"/>
    <w:rsid w:val="00126CB4"/>
    <w:rsid w:val="00126CDD"/>
    <w:rsid w:val="00126D4F"/>
    <w:rsid w:val="00126E6D"/>
    <w:rsid w:val="00127078"/>
    <w:rsid w:val="00127080"/>
    <w:rsid w:val="0012717B"/>
    <w:rsid w:val="001271D7"/>
    <w:rsid w:val="001271E6"/>
    <w:rsid w:val="00127254"/>
    <w:rsid w:val="001272E7"/>
    <w:rsid w:val="00127464"/>
    <w:rsid w:val="00127468"/>
    <w:rsid w:val="001274E1"/>
    <w:rsid w:val="001274F1"/>
    <w:rsid w:val="0012762E"/>
    <w:rsid w:val="001276EE"/>
    <w:rsid w:val="0012797E"/>
    <w:rsid w:val="001279F7"/>
    <w:rsid w:val="00127AF3"/>
    <w:rsid w:val="00127B35"/>
    <w:rsid w:val="00127BB8"/>
    <w:rsid w:val="00127D28"/>
    <w:rsid w:val="00127D99"/>
    <w:rsid w:val="00127E59"/>
    <w:rsid w:val="0013001F"/>
    <w:rsid w:val="00130026"/>
    <w:rsid w:val="00130A03"/>
    <w:rsid w:val="00130A25"/>
    <w:rsid w:val="00130A2B"/>
    <w:rsid w:val="00130A39"/>
    <w:rsid w:val="00130A58"/>
    <w:rsid w:val="00130ACA"/>
    <w:rsid w:val="00130B60"/>
    <w:rsid w:val="00130CA2"/>
    <w:rsid w:val="00130D3F"/>
    <w:rsid w:val="00130EA3"/>
    <w:rsid w:val="00130EA9"/>
    <w:rsid w:val="00130EF8"/>
    <w:rsid w:val="00130F19"/>
    <w:rsid w:val="00130FC1"/>
    <w:rsid w:val="00130FEB"/>
    <w:rsid w:val="0013101A"/>
    <w:rsid w:val="001312E7"/>
    <w:rsid w:val="001312FA"/>
    <w:rsid w:val="001316E1"/>
    <w:rsid w:val="00131966"/>
    <w:rsid w:val="00131993"/>
    <w:rsid w:val="00131A6F"/>
    <w:rsid w:val="00131B94"/>
    <w:rsid w:val="00131CD2"/>
    <w:rsid w:val="00131E26"/>
    <w:rsid w:val="00131EB6"/>
    <w:rsid w:val="0013229C"/>
    <w:rsid w:val="001322C6"/>
    <w:rsid w:val="001322F2"/>
    <w:rsid w:val="00132324"/>
    <w:rsid w:val="001323B9"/>
    <w:rsid w:val="00132532"/>
    <w:rsid w:val="0013262E"/>
    <w:rsid w:val="00132659"/>
    <w:rsid w:val="00132996"/>
    <w:rsid w:val="00132A72"/>
    <w:rsid w:val="00132AF5"/>
    <w:rsid w:val="00132BE1"/>
    <w:rsid w:val="00133336"/>
    <w:rsid w:val="001333A4"/>
    <w:rsid w:val="00133489"/>
    <w:rsid w:val="00133532"/>
    <w:rsid w:val="00133566"/>
    <w:rsid w:val="001336FB"/>
    <w:rsid w:val="0013379A"/>
    <w:rsid w:val="001337F0"/>
    <w:rsid w:val="001338CF"/>
    <w:rsid w:val="00133A6C"/>
    <w:rsid w:val="00133AE9"/>
    <w:rsid w:val="00133B2C"/>
    <w:rsid w:val="00133CAE"/>
    <w:rsid w:val="00133D4C"/>
    <w:rsid w:val="00133DCB"/>
    <w:rsid w:val="00133E22"/>
    <w:rsid w:val="00133E4E"/>
    <w:rsid w:val="00133E9C"/>
    <w:rsid w:val="00133F44"/>
    <w:rsid w:val="00133FA4"/>
    <w:rsid w:val="00133FF6"/>
    <w:rsid w:val="001340A4"/>
    <w:rsid w:val="00134164"/>
    <w:rsid w:val="00134216"/>
    <w:rsid w:val="001343A8"/>
    <w:rsid w:val="001343CD"/>
    <w:rsid w:val="001344D9"/>
    <w:rsid w:val="001347C5"/>
    <w:rsid w:val="001348B4"/>
    <w:rsid w:val="001348CC"/>
    <w:rsid w:val="00134A89"/>
    <w:rsid w:val="00134B49"/>
    <w:rsid w:val="00134B99"/>
    <w:rsid w:val="00134BB0"/>
    <w:rsid w:val="00134D91"/>
    <w:rsid w:val="00134E2F"/>
    <w:rsid w:val="001352E3"/>
    <w:rsid w:val="00135414"/>
    <w:rsid w:val="00135514"/>
    <w:rsid w:val="00135990"/>
    <w:rsid w:val="001359F1"/>
    <w:rsid w:val="00135CDB"/>
    <w:rsid w:val="00135D9C"/>
    <w:rsid w:val="00135E70"/>
    <w:rsid w:val="001361B0"/>
    <w:rsid w:val="00136345"/>
    <w:rsid w:val="00136634"/>
    <w:rsid w:val="0013665E"/>
    <w:rsid w:val="0013678F"/>
    <w:rsid w:val="001368D1"/>
    <w:rsid w:val="00136992"/>
    <w:rsid w:val="001369D4"/>
    <w:rsid w:val="00136A9E"/>
    <w:rsid w:val="00136AAC"/>
    <w:rsid w:val="00136B58"/>
    <w:rsid w:val="00136E41"/>
    <w:rsid w:val="00136EA3"/>
    <w:rsid w:val="00136EA6"/>
    <w:rsid w:val="00137095"/>
    <w:rsid w:val="0013733E"/>
    <w:rsid w:val="001375B3"/>
    <w:rsid w:val="001377AB"/>
    <w:rsid w:val="001377CF"/>
    <w:rsid w:val="00137872"/>
    <w:rsid w:val="00137940"/>
    <w:rsid w:val="00137AD1"/>
    <w:rsid w:val="00137AD2"/>
    <w:rsid w:val="00137AE7"/>
    <w:rsid w:val="00137C63"/>
    <w:rsid w:val="00137C80"/>
    <w:rsid w:val="00137D49"/>
    <w:rsid w:val="00137DB6"/>
    <w:rsid w:val="001402EE"/>
    <w:rsid w:val="00140375"/>
    <w:rsid w:val="001405B5"/>
    <w:rsid w:val="001405D0"/>
    <w:rsid w:val="001406A5"/>
    <w:rsid w:val="001406CD"/>
    <w:rsid w:val="001409A9"/>
    <w:rsid w:val="00140A1E"/>
    <w:rsid w:val="00140B46"/>
    <w:rsid w:val="00140C98"/>
    <w:rsid w:val="00140D48"/>
    <w:rsid w:val="00140ECC"/>
    <w:rsid w:val="00140F10"/>
    <w:rsid w:val="00140F87"/>
    <w:rsid w:val="0014100E"/>
    <w:rsid w:val="001410B6"/>
    <w:rsid w:val="0014118C"/>
    <w:rsid w:val="0014129F"/>
    <w:rsid w:val="001413F1"/>
    <w:rsid w:val="0014140B"/>
    <w:rsid w:val="00141470"/>
    <w:rsid w:val="001417ED"/>
    <w:rsid w:val="00141812"/>
    <w:rsid w:val="001418F1"/>
    <w:rsid w:val="00141BFF"/>
    <w:rsid w:val="00141DD0"/>
    <w:rsid w:val="0014205D"/>
    <w:rsid w:val="001420F8"/>
    <w:rsid w:val="0014222A"/>
    <w:rsid w:val="0014238C"/>
    <w:rsid w:val="001424F0"/>
    <w:rsid w:val="00142515"/>
    <w:rsid w:val="00142528"/>
    <w:rsid w:val="0014283F"/>
    <w:rsid w:val="001428A2"/>
    <w:rsid w:val="00142945"/>
    <w:rsid w:val="001429D5"/>
    <w:rsid w:val="00142A90"/>
    <w:rsid w:val="00142C2D"/>
    <w:rsid w:val="00142DED"/>
    <w:rsid w:val="00142FE9"/>
    <w:rsid w:val="00143187"/>
    <w:rsid w:val="00143205"/>
    <w:rsid w:val="00143511"/>
    <w:rsid w:val="0014367E"/>
    <w:rsid w:val="001436A6"/>
    <w:rsid w:val="0014380E"/>
    <w:rsid w:val="001438DA"/>
    <w:rsid w:val="00143A20"/>
    <w:rsid w:val="00143B18"/>
    <w:rsid w:val="00143C46"/>
    <w:rsid w:val="00143C47"/>
    <w:rsid w:val="00143F7B"/>
    <w:rsid w:val="001441DF"/>
    <w:rsid w:val="001442DB"/>
    <w:rsid w:val="00144362"/>
    <w:rsid w:val="001443BF"/>
    <w:rsid w:val="001445DF"/>
    <w:rsid w:val="00144804"/>
    <w:rsid w:val="0014487D"/>
    <w:rsid w:val="00144982"/>
    <w:rsid w:val="00144A44"/>
    <w:rsid w:val="00144ACB"/>
    <w:rsid w:val="00144DA5"/>
    <w:rsid w:val="00144E6B"/>
    <w:rsid w:val="00144EB2"/>
    <w:rsid w:val="00144F23"/>
    <w:rsid w:val="001450A5"/>
    <w:rsid w:val="001451F7"/>
    <w:rsid w:val="00145376"/>
    <w:rsid w:val="00145478"/>
    <w:rsid w:val="001454F9"/>
    <w:rsid w:val="00145592"/>
    <w:rsid w:val="001455D2"/>
    <w:rsid w:val="001457C7"/>
    <w:rsid w:val="00145896"/>
    <w:rsid w:val="0014599A"/>
    <w:rsid w:val="001459E3"/>
    <w:rsid w:val="00145BDB"/>
    <w:rsid w:val="00145F71"/>
    <w:rsid w:val="00145FAC"/>
    <w:rsid w:val="00146011"/>
    <w:rsid w:val="001460C0"/>
    <w:rsid w:val="001460F2"/>
    <w:rsid w:val="00146186"/>
    <w:rsid w:val="001462C5"/>
    <w:rsid w:val="0014632B"/>
    <w:rsid w:val="0014649D"/>
    <w:rsid w:val="001464F3"/>
    <w:rsid w:val="00146519"/>
    <w:rsid w:val="0014655F"/>
    <w:rsid w:val="0014664A"/>
    <w:rsid w:val="00146663"/>
    <w:rsid w:val="00146766"/>
    <w:rsid w:val="00146999"/>
    <w:rsid w:val="001469EC"/>
    <w:rsid w:val="00146B9E"/>
    <w:rsid w:val="00146CB5"/>
    <w:rsid w:val="00146CDE"/>
    <w:rsid w:val="00146CED"/>
    <w:rsid w:val="00146CF4"/>
    <w:rsid w:val="00146CF8"/>
    <w:rsid w:val="00146D90"/>
    <w:rsid w:val="00146E0E"/>
    <w:rsid w:val="00146F2C"/>
    <w:rsid w:val="00147087"/>
    <w:rsid w:val="00147191"/>
    <w:rsid w:val="001471A1"/>
    <w:rsid w:val="0014723D"/>
    <w:rsid w:val="00147441"/>
    <w:rsid w:val="001474ED"/>
    <w:rsid w:val="001475A9"/>
    <w:rsid w:val="001475B5"/>
    <w:rsid w:val="00147648"/>
    <w:rsid w:val="001476F1"/>
    <w:rsid w:val="00147749"/>
    <w:rsid w:val="0014787F"/>
    <w:rsid w:val="001478A1"/>
    <w:rsid w:val="00147959"/>
    <w:rsid w:val="00147A9D"/>
    <w:rsid w:val="00147CBB"/>
    <w:rsid w:val="00147D4C"/>
    <w:rsid w:val="00147D71"/>
    <w:rsid w:val="00147D99"/>
    <w:rsid w:val="00147E67"/>
    <w:rsid w:val="0015013F"/>
    <w:rsid w:val="001501AB"/>
    <w:rsid w:val="00150202"/>
    <w:rsid w:val="00150370"/>
    <w:rsid w:val="00150675"/>
    <w:rsid w:val="00150683"/>
    <w:rsid w:val="001507D5"/>
    <w:rsid w:val="0015089A"/>
    <w:rsid w:val="00150945"/>
    <w:rsid w:val="00150963"/>
    <w:rsid w:val="00150998"/>
    <w:rsid w:val="00150ACB"/>
    <w:rsid w:val="00150B3C"/>
    <w:rsid w:val="00150B7B"/>
    <w:rsid w:val="00150BCF"/>
    <w:rsid w:val="00150C1C"/>
    <w:rsid w:val="00150D73"/>
    <w:rsid w:val="00150F61"/>
    <w:rsid w:val="001510A3"/>
    <w:rsid w:val="001514B1"/>
    <w:rsid w:val="00151512"/>
    <w:rsid w:val="00151559"/>
    <w:rsid w:val="00151596"/>
    <w:rsid w:val="001516AE"/>
    <w:rsid w:val="001517DA"/>
    <w:rsid w:val="001517F5"/>
    <w:rsid w:val="0015198E"/>
    <w:rsid w:val="00151A1B"/>
    <w:rsid w:val="00151A90"/>
    <w:rsid w:val="00151AEB"/>
    <w:rsid w:val="00151C25"/>
    <w:rsid w:val="00151D93"/>
    <w:rsid w:val="00151EAA"/>
    <w:rsid w:val="00151F4C"/>
    <w:rsid w:val="00152112"/>
    <w:rsid w:val="001521D4"/>
    <w:rsid w:val="00152304"/>
    <w:rsid w:val="0015282F"/>
    <w:rsid w:val="00152A39"/>
    <w:rsid w:val="00152A75"/>
    <w:rsid w:val="00152AF8"/>
    <w:rsid w:val="00152B2F"/>
    <w:rsid w:val="00152B95"/>
    <w:rsid w:val="00152BD9"/>
    <w:rsid w:val="00152CB4"/>
    <w:rsid w:val="00152EB6"/>
    <w:rsid w:val="001530FD"/>
    <w:rsid w:val="0015310B"/>
    <w:rsid w:val="00153118"/>
    <w:rsid w:val="00153142"/>
    <w:rsid w:val="00153183"/>
    <w:rsid w:val="001532AD"/>
    <w:rsid w:val="0015339F"/>
    <w:rsid w:val="001534B2"/>
    <w:rsid w:val="0015351B"/>
    <w:rsid w:val="001535BA"/>
    <w:rsid w:val="001535D7"/>
    <w:rsid w:val="0015363E"/>
    <w:rsid w:val="001537B8"/>
    <w:rsid w:val="0015380E"/>
    <w:rsid w:val="001538A9"/>
    <w:rsid w:val="0015392C"/>
    <w:rsid w:val="001539FA"/>
    <w:rsid w:val="00153B5E"/>
    <w:rsid w:val="00153B76"/>
    <w:rsid w:val="00153CDF"/>
    <w:rsid w:val="00153DE2"/>
    <w:rsid w:val="00153F51"/>
    <w:rsid w:val="00154074"/>
    <w:rsid w:val="001540FF"/>
    <w:rsid w:val="00154121"/>
    <w:rsid w:val="00154168"/>
    <w:rsid w:val="0015416E"/>
    <w:rsid w:val="001541EB"/>
    <w:rsid w:val="001542FB"/>
    <w:rsid w:val="00154521"/>
    <w:rsid w:val="0015467F"/>
    <w:rsid w:val="00154721"/>
    <w:rsid w:val="001548AE"/>
    <w:rsid w:val="00154C4F"/>
    <w:rsid w:val="00154CA1"/>
    <w:rsid w:val="00155102"/>
    <w:rsid w:val="00155209"/>
    <w:rsid w:val="0015527B"/>
    <w:rsid w:val="001553AA"/>
    <w:rsid w:val="00155490"/>
    <w:rsid w:val="001554F6"/>
    <w:rsid w:val="0015559D"/>
    <w:rsid w:val="001557FD"/>
    <w:rsid w:val="00155872"/>
    <w:rsid w:val="00155A94"/>
    <w:rsid w:val="00155E16"/>
    <w:rsid w:val="00155E64"/>
    <w:rsid w:val="001561D8"/>
    <w:rsid w:val="0015638E"/>
    <w:rsid w:val="001563B4"/>
    <w:rsid w:val="0015646B"/>
    <w:rsid w:val="001564E5"/>
    <w:rsid w:val="00156556"/>
    <w:rsid w:val="00156592"/>
    <w:rsid w:val="001566C5"/>
    <w:rsid w:val="001567E6"/>
    <w:rsid w:val="00156972"/>
    <w:rsid w:val="00156A67"/>
    <w:rsid w:val="00156AB5"/>
    <w:rsid w:val="00156B07"/>
    <w:rsid w:val="00156DC0"/>
    <w:rsid w:val="00157057"/>
    <w:rsid w:val="00157156"/>
    <w:rsid w:val="00157163"/>
    <w:rsid w:val="00157334"/>
    <w:rsid w:val="001573C4"/>
    <w:rsid w:val="001574B2"/>
    <w:rsid w:val="00157758"/>
    <w:rsid w:val="001577D4"/>
    <w:rsid w:val="00157A6E"/>
    <w:rsid w:val="00157ACD"/>
    <w:rsid w:val="00157B19"/>
    <w:rsid w:val="00157C0B"/>
    <w:rsid w:val="00157C3A"/>
    <w:rsid w:val="00157CB4"/>
    <w:rsid w:val="00157D6C"/>
    <w:rsid w:val="00157E25"/>
    <w:rsid w:val="00157F23"/>
    <w:rsid w:val="00157F87"/>
    <w:rsid w:val="00157FB6"/>
    <w:rsid w:val="00160359"/>
    <w:rsid w:val="0016037D"/>
    <w:rsid w:val="001604B6"/>
    <w:rsid w:val="001605B1"/>
    <w:rsid w:val="0016065D"/>
    <w:rsid w:val="001606CA"/>
    <w:rsid w:val="00160728"/>
    <w:rsid w:val="00160759"/>
    <w:rsid w:val="001607F3"/>
    <w:rsid w:val="00160891"/>
    <w:rsid w:val="0016097B"/>
    <w:rsid w:val="001609FF"/>
    <w:rsid w:val="00160A9B"/>
    <w:rsid w:val="00160B50"/>
    <w:rsid w:val="00160CCA"/>
    <w:rsid w:val="00160ECB"/>
    <w:rsid w:val="00160EE5"/>
    <w:rsid w:val="00161285"/>
    <w:rsid w:val="001612C5"/>
    <w:rsid w:val="001612DC"/>
    <w:rsid w:val="00161345"/>
    <w:rsid w:val="00161446"/>
    <w:rsid w:val="00161448"/>
    <w:rsid w:val="001614E9"/>
    <w:rsid w:val="00161747"/>
    <w:rsid w:val="00161BDD"/>
    <w:rsid w:val="00161D8B"/>
    <w:rsid w:val="00161F9F"/>
    <w:rsid w:val="00161FD8"/>
    <w:rsid w:val="0016206B"/>
    <w:rsid w:val="001620E0"/>
    <w:rsid w:val="0016215C"/>
    <w:rsid w:val="001622A3"/>
    <w:rsid w:val="001622E7"/>
    <w:rsid w:val="001623A5"/>
    <w:rsid w:val="001623F0"/>
    <w:rsid w:val="00162512"/>
    <w:rsid w:val="00162B25"/>
    <w:rsid w:val="00162BC7"/>
    <w:rsid w:val="00162BDC"/>
    <w:rsid w:val="00162BE6"/>
    <w:rsid w:val="00162C8E"/>
    <w:rsid w:val="00162D6C"/>
    <w:rsid w:val="00162DE3"/>
    <w:rsid w:val="00162F6E"/>
    <w:rsid w:val="00162FE9"/>
    <w:rsid w:val="0016308A"/>
    <w:rsid w:val="00163134"/>
    <w:rsid w:val="001631AA"/>
    <w:rsid w:val="001631BA"/>
    <w:rsid w:val="00163279"/>
    <w:rsid w:val="00163400"/>
    <w:rsid w:val="00163514"/>
    <w:rsid w:val="0016377F"/>
    <w:rsid w:val="0016378D"/>
    <w:rsid w:val="00163ACC"/>
    <w:rsid w:val="00163E28"/>
    <w:rsid w:val="00163F29"/>
    <w:rsid w:val="00163F8C"/>
    <w:rsid w:val="0016402F"/>
    <w:rsid w:val="001640A1"/>
    <w:rsid w:val="0016416C"/>
    <w:rsid w:val="00164231"/>
    <w:rsid w:val="0016423F"/>
    <w:rsid w:val="001643EC"/>
    <w:rsid w:val="001644F6"/>
    <w:rsid w:val="001645BA"/>
    <w:rsid w:val="001647B4"/>
    <w:rsid w:val="001648A4"/>
    <w:rsid w:val="00164A18"/>
    <w:rsid w:val="00164BE5"/>
    <w:rsid w:val="00164C05"/>
    <w:rsid w:val="00164CC9"/>
    <w:rsid w:val="00164D02"/>
    <w:rsid w:val="00164EEB"/>
    <w:rsid w:val="0016500B"/>
    <w:rsid w:val="0016514F"/>
    <w:rsid w:val="0016541A"/>
    <w:rsid w:val="00165690"/>
    <w:rsid w:val="001657B5"/>
    <w:rsid w:val="001657E4"/>
    <w:rsid w:val="00165A43"/>
    <w:rsid w:val="00165D68"/>
    <w:rsid w:val="00165D76"/>
    <w:rsid w:val="00165D79"/>
    <w:rsid w:val="00165E2B"/>
    <w:rsid w:val="00165FE3"/>
    <w:rsid w:val="001660C9"/>
    <w:rsid w:val="00166255"/>
    <w:rsid w:val="0016630B"/>
    <w:rsid w:val="001664F5"/>
    <w:rsid w:val="0016651D"/>
    <w:rsid w:val="001667B1"/>
    <w:rsid w:val="0016684C"/>
    <w:rsid w:val="00166A8F"/>
    <w:rsid w:val="00166B25"/>
    <w:rsid w:val="00166B64"/>
    <w:rsid w:val="00166C7F"/>
    <w:rsid w:val="00166CA6"/>
    <w:rsid w:val="00166F95"/>
    <w:rsid w:val="00167056"/>
    <w:rsid w:val="00167254"/>
    <w:rsid w:val="0016732D"/>
    <w:rsid w:val="001673B6"/>
    <w:rsid w:val="00167436"/>
    <w:rsid w:val="00167448"/>
    <w:rsid w:val="001675D8"/>
    <w:rsid w:val="001676A9"/>
    <w:rsid w:val="00167789"/>
    <w:rsid w:val="00167931"/>
    <w:rsid w:val="00167B1C"/>
    <w:rsid w:val="00170007"/>
    <w:rsid w:val="001702A6"/>
    <w:rsid w:val="001702D6"/>
    <w:rsid w:val="00170399"/>
    <w:rsid w:val="00170434"/>
    <w:rsid w:val="00170455"/>
    <w:rsid w:val="001705EF"/>
    <w:rsid w:val="00170672"/>
    <w:rsid w:val="00170753"/>
    <w:rsid w:val="00170820"/>
    <w:rsid w:val="00170828"/>
    <w:rsid w:val="001708B3"/>
    <w:rsid w:val="00170A22"/>
    <w:rsid w:val="00170D26"/>
    <w:rsid w:val="00170DD0"/>
    <w:rsid w:val="00170EA5"/>
    <w:rsid w:val="00170ED7"/>
    <w:rsid w:val="00170F2B"/>
    <w:rsid w:val="0017122C"/>
    <w:rsid w:val="001712E1"/>
    <w:rsid w:val="00171815"/>
    <w:rsid w:val="001719C6"/>
    <w:rsid w:val="00171A2C"/>
    <w:rsid w:val="00171CE1"/>
    <w:rsid w:val="00171E55"/>
    <w:rsid w:val="00171EC1"/>
    <w:rsid w:val="0017215A"/>
    <w:rsid w:val="001722FA"/>
    <w:rsid w:val="001724F5"/>
    <w:rsid w:val="001725E1"/>
    <w:rsid w:val="00172737"/>
    <w:rsid w:val="00172A82"/>
    <w:rsid w:val="00172B5B"/>
    <w:rsid w:val="00172BAD"/>
    <w:rsid w:val="00172C45"/>
    <w:rsid w:val="00172DDE"/>
    <w:rsid w:val="00172EA6"/>
    <w:rsid w:val="00172FAB"/>
    <w:rsid w:val="00173088"/>
    <w:rsid w:val="0017354E"/>
    <w:rsid w:val="00173573"/>
    <w:rsid w:val="001735E7"/>
    <w:rsid w:val="001739FE"/>
    <w:rsid w:val="00173A8F"/>
    <w:rsid w:val="00173E38"/>
    <w:rsid w:val="00174009"/>
    <w:rsid w:val="001740FD"/>
    <w:rsid w:val="001741BD"/>
    <w:rsid w:val="0017421F"/>
    <w:rsid w:val="00174244"/>
    <w:rsid w:val="001742DE"/>
    <w:rsid w:val="0017431D"/>
    <w:rsid w:val="0017443A"/>
    <w:rsid w:val="001744E8"/>
    <w:rsid w:val="00174605"/>
    <w:rsid w:val="001746E6"/>
    <w:rsid w:val="00174B5F"/>
    <w:rsid w:val="00174EE3"/>
    <w:rsid w:val="00174FF0"/>
    <w:rsid w:val="00175069"/>
    <w:rsid w:val="001751FE"/>
    <w:rsid w:val="001752C3"/>
    <w:rsid w:val="001752DE"/>
    <w:rsid w:val="0017533E"/>
    <w:rsid w:val="0017537B"/>
    <w:rsid w:val="0017545B"/>
    <w:rsid w:val="00175638"/>
    <w:rsid w:val="001756B4"/>
    <w:rsid w:val="0017584C"/>
    <w:rsid w:val="001758CB"/>
    <w:rsid w:val="00175D75"/>
    <w:rsid w:val="00175DDC"/>
    <w:rsid w:val="00175EF3"/>
    <w:rsid w:val="00175F06"/>
    <w:rsid w:val="001764BE"/>
    <w:rsid w:val="0017650E"/>
    <w:rsid w:val="00176540"/>
    <w:rsid w:val="0017659E"/>
    <w:rsid w:val="001766E7"/>
    <w:rsid w:val="00176719"/>
    <w:rsid w:val="00176793"/>
    <w:rsid w:val="00176995"/>
    <w:rsid w:val="00176AD7"/>
    <w:rsid w:val="00176C5D"/>
    <w:rsid w:val="00176DA3"/>
    <w:rsid w:val="00176E28"/>
    <w:rsid w:val="00176E7C"/>
    <w:rsid w:val="001771D8"/>
    <w:rsid w:val="00177309"/>
    <w:rsid w:val="0017739C"/>
    <w:rsid w:val="0017741F"/>
    <w:rsid w:val="00177435"/>
    <w:rsid w:val="001774BB"/>
    <w:rsid w:val="0017753E"/>
    <w:rsid w:val="00177548"/>
    <w:rsid w:val="00177566"/>
    <w:rsid w:val="00177628"/>
    <w:rsid w:val="00177777"/>
    <w:rsid w:val="001779A7"/>
    <w:rsid w:val="00177B19"/>
    <w:rsid w:val="00177CBC"/>
    <w:rsid w:val="00177D61"/>
    <w:rsid w:val="00177EAB"/>
    <w:rsid w:val="001801ED"/>
    <w:rsid w:val="001802A4"/>
    <w:rsid w:val="0018042F"/>
    <w:rsid w:val="001804F3"/>
    <w:rsid w:val="00180526"/>
    <w:rsid w:val="0018052A"/>
    <w:rsid w:val="00180571"/>
    <w:rsid w:val="00180AE5"/>
    <w:rsid w:val="00180B13"/>
    <w:rsid w:val="00180D6E"/>
    <w:rsid w:val="00180F9F"/>
    <w:rsid w:val="00180FB2"/>
    <w:rsid w:val="00181130"/>
    <w:rsid w:val="00181475"/>
    <w:rsid w:val="00181755"/>
    <w:rsid w:val="00181DAB"/>
    <w:rsid w:val="00182010"/>
    <w:rsid w:val="001822EB"/>
    <w:rsid w:val="00182336"/>
    <w:rsid w:val="00182342"/>
    <w:rsid w:val="00182353"/>
    <w:rsid w:val="00182555"/>
    <w:rsid w:val="001826CE"/>
    <w:rsid w:val="00182774"/>
    <w:rsid w:val="0018280E"/>
    <w:rsid w:val="001828ED"/>
    <w:rsid w:val="0018291A"/>
    <w:rsid w:val="00182C4E"/>
    <w:rsid w:val="00182EEB"/>
    <w:rsid w:val="00182FCC"/>
    <w:rsid w:val="0018302E"/>
    <w:rsid w:val="0018305B"/>
    <w:rsid w:val="00183205"/>
    <w:rsid w:val="00183326"/>
    <w:rsid w:val="001834DA"/>
    <w:rsid w:val="001835AC"/>
    <w:rsid w:val="0018379A"/>
    <w:rsid w:val="00183837"/>
    <w:rsid w:val="001839ED"/>
    <w:rsid w:val="00183A0C"/>
    <w:rsid w:val="00183D5A"/>
    <w:rsid w:val="00183D6F"/>
    <w:rsid w:val="00183E06"/>
    <w:rsid w:val="00183E43"/>
    <w:rsid w:val="00183F04"/>
    <w:rsid w:val="001840D9"/>
    <w:rsid w:val="001841A4"/>
    <w:rsid w:val="00184304"/>
    <w:rsid w:val="001843AF"/>
    <w:rsid w:val="0018448D"/>
    <w:rsid w:val="00184681"/>
    <w:rsid w:val="00184A21"/>
    <w:rsid w:val="00184ACF"/>
    <w:rsid w:val="00184B18"/>
    <w:rsid w:val="00184B8A"/>
    <w:rsid w:val="00184DFA"/>
    <w:rsid w:val="00184EE8"/>
    <w:rsid w:val="00184F87"/>
    <w:rsid w:val="00184F93"/>
    <w:rsid w:val="001851C0"/>
    <w:rsid w:val="00185238"/>
    <w:rsid w:val="00185354"/>
    <w:rsid w:val="0018566B"/>
    <w:rsid w:val="00185735"/>
    <w:rsid w:val="001858D7"/>
    <w:rsid w:val="00185901"/>
    <w:rsid w:val="001859D4"/>
    <w:rsid w:val="00185AC0"/>
    <w:rsid w:val="00185CF7"/>
    <w:rsid w:val="00185D80"/>
    <w:rsid w:val="00185DD3"/>
    <w:rsid w:val="00185F48"/>
    <w:rsid w:val="00186089"/>
    <w:rsid w:val="00186105"/>
    <w:rsid w:val="00186394"/>
    <w:rsid w:val="00186472"/>
    <w:rsid w:val="00186595"/>
    <w:rsid w:val="001865B3"/>
    <w:rsid w:val="0018674F"/>
    <w:rsid w:val="00186778"/>
    <w:rsid w:val="00186884"/>
    <w:rsid w:val="00186904"/>
    <w:rsid w:val="00186A48"/>
    <w:rsid w:val="00186B50"/>
    <w:rsid w:val="00186C78"/>
    <w:rsid w:val="00186D37"/>
    <w:rsid w:val="00186DFB"/>
    <w:rsid w:val="00186EA9"/>
    <w:rsid w:val="00186EBE"/>
    <w:rsid w:val="00186FD6"/>
    <w:rsid w:val="00187027"/>
    <w:rsid w:val="0018719A"/>
    <w:rsid w:val="001872EA"/>
    <w:rsid w:val="00187599"/>
    <w:rsid w:val="001875F9"/>
    <w:rsid w:val="00187620"/>
    <w:rsid w:val="001878B4"/>
    <w:rsid w:val="001879C9"/>
    <w:rsid w:val="00187AF5"/>
    <w:rsid w:val="00187B4F"/>
    <w:rsid w:val="00187BAA"/>
    <w:rsid w:val="00187D68"/>
    <w:rsid w:val="00187DA4"/>
    <w:rsid w:val="00187DB2"/>
    <w:rsid w:val="00187E7E"/>
    <w:rsid w:val="00187FCA"/>
    <w:rsid w:val="00190063"/>
    <w:rsid w:val="001900DC"/>
    <w:rsid w:val="0019013A"/>
    <w:rsid w:val="00190337"/>
    <w:rsid w:val="00190421"/>
    <w:rsid w:val="00190538"/>
    <w:rsid w:val="0019066F"/>
    <w:rsid w:val="00190677"/>
    <w:rsid w:val="00190786"/>
    <w:rsid w:val="00190790"/>
    <w:rsid w:val="001907BA"/>
    <w:rsid w:val="001907C9"/>
    <w:rsid w:val="001907EC"/>
    <w:rsid w:val="00190816"/>
    <w:rsid w:val="0019096E"/>
    <w:rsid w:val="001909EC"/>
    <w:rsid w:val="00190AC3"/>
    <w:rsid w:val="00190AFA"/>
    <w:rsid w:val="00190B61"/>
    <w:rsid w:val="00190C4A"/>
    <w:rsid w:val="00190EC0"/>
    <w:rsid w:val="00190F90"/>
    <w:rsid w:val="00191124"/>
    <w:rsid w:val="001911E2"/>
    <w:rsid w:val="0019122F"/>
    <w:rsid w:val="00191263"/>
    <w:rsid w:val="001915EA"/>
    <w:rsid w:val="001916A5"/>
    <w:rsid w:val="0019177F"/>
    <w:rsid w:val="0019185C"/>
    <w:rsid w:val="0019189F"/>
    <w:rsid w:val="001919CC"/>
    <w:rsid w:val="00191AEB"/>
    <w:rsid w:val="00191B72"/>
    <w:rsid w:val="00191BBA"/>
    <w:rsid w:val="00191BFE"/>
    <w:rsid w:val="00191C84"/>
    <w:rsid w:val="00191D04"/>
    <w:rsid w:val="00191E1A"/>
    <w:rsid w:val="00192197"/>
    <w:rsid w:val="00192214"/>
    <w:rsid w:val="001925A1"/>
    <w:rsid w:val="0019264A"/>
    <w:rsid w:val="001926B3"/>
    <w:rsid w:val="00192715"/>
    <w:rsid w:val="0019281E"/>
    <w:rsid w:val="00192A9F"/>
    <w:rsid w:val="00192ADA"/>
    <w:rsid w:val="00192C0F"/>
    <w:rsid w:val="00192D91"/>
    <w:rsid w:val="001930E9"/>
    <w:rsid w:val="00193123"/>
    <w:rsid w:val="0019312F"/>
    <w:rsid w:val="00193276"/>
    <w:rsid w:val="0019339E"/>
    <w:rsid w:val="001935B7"/>
    <w:rsid w:val="001936A2"/>
    <w:rsid w:val="0019374F"/>
    <w:rsid w:val="001937B3"/>
    <w:rsid w:val="001937C0"/>
    <w:rsid w:val="00193822"/>
    <w:rsid w:val="001938C1"/>
    <w:rsid w:val="00193A77"/>
    <w:rsid w:val="00193D0F"/>
    <w:rsid w:val="00193EAA"/>
    <w:rsid w:val="00193EF2"/>
    <w:rsid w:val="00194065"/>
    <w:rsid w:val="00194110"/>
    <w:rsid w:val="0019416F"/>
    <w:rsid w:val="0019429F"/>
    <w:rsid w:val="0019430A"/>
    <w:rsid w:val="00194433"/>
    <w:rsid w:val="0019445E"/>
    <w:rsid w:val="0019451D"/>
    <w:rsid w:val="00194536"/>
    <w:rsid w:val="001945F3"/>
    <w:rsid w:val="001946A4"/>
    <w:rsid w:val="001946B6"/>
    <w:rsid w:val="0019484D"/>
    <w:rsid w:val="00194866"/>
    <w:rsid w:val="00194927"/>
    <w:rsid w:val="00194B41"/>
    <w:rsid w:val="00194C35"/>
    <w:rsid w:val="00194DC1"/>
    <w:rsid w:val="00194DFC"/>
    <w:rsid w:val="00194E2E"/>
    <w:rsid w:val="00195142"/>
    <w:rsid w:val="00195308"/>
    <w:rsid w:val="0019542A"/>
    <w:rsid w:val="001955C6"/>
    <w:rsid w:val="0019564F"/>
    <w:rsid w:val="0019568A"/>
    <w:rsid w:val="001958C8"/>
    <w:rsid w:val="00195A14"/>
    <w:rsid w:val="00195B38"/>
    <w:rsid w:val="00195C23"/>
    <w:rsid w:val="00196060"/>
    <w:rsid w:val="0019606D"/>
    <w:rsid w:val="001960FD"/>
    <w:rsid w:val="00196237"/>
    <w:rsid w:val="001962BE"/>
    <w:rsid w:val="001965A1"/>
    <w:rsid w:val="001967AD"/>
    <w:rsid w:val="001968A7"/>
    <w:rsid w:val="001968C8"/>
    <w:rsid w:val="001969A9"/>
    <w:rsid w:val="00196A55"/>
    <w:rsid w:val="00196B57"/>
    <w:rsid w:val="00196B58"/>
    <w:rsid w:val="00196BF7"/>
    <w:rsid w:val="0019729A"/>
    <w:rsid w:val="0019744E"/>
    <w:rsid w:val="001974FC"/>
    <w:rsid w:val="0019766E"/>
    <w:rsid w:val="001977D1"/>
    <w:rsid w:val="0019788C"/>
    <w:rsid w:val="00197916"/>
    <w:rsid w:val="00197937"/>
    <w:rsid w:val="00197BC5"/>
    <w:rsid w:val="00197C15"/>
    <w:rsid w:val="00197E11"/>
    <w:rsid w:val="00197E33"/>
    <w:rsid w:val="00197EA4"/>
    <w:rsid w:val="00197F48"/>
    <w:rsid w:val="001A0037"/>
    <w:rsid w:val="001A00DE"/>
    <w:rsid w:val="001A024D"/>
    <w:rsid w:val="001A05BC"/>
    <w:rsid w:val="001A05F1"/>
    <w:rsid w:val="001A06B2"/>
    <w:rsid w:val="001A0724"/>
    <w:rsid w:val="001A07EF"/>
    <w:rsid w:val="001A0A4A"/>
    <w:rsid w:val="001A0AB2"/>
    <w:rsid w:val="001A0CD9"/>
    <w:rsid w:val="001A0E0F"/>
    <w:rsid w:val="001A0FED"/>
    <w:rsid w:val="001A14E0"/>
    <w:rsid w:val="001A1830"/>
    <w:rsid w:val="001A19F9"/>
    <w:rsid w:val="001A1A66"/>
    <w:rsid w:val="001A1A8B"/>
    <w:rsid w:val="001A1B4D"/>
    <w:rsid w:val="001A1E31"/>
    <w:rsid w:val="001A207A"/>
    <w:rsid w:val="001A20AE"/>
    <w:rsid w:val="001A236B"/>
    <w:rsid w:val="001A245D"/>
    <w:rsid w:val="001A256F"/>
    <w:rsid w:val="001A28FD"/>
    <w:rsid w:val="001A2943"/>
    <w:rsid w:val="001A2980"/>
    <w:rsid w:val="001A2B32"/>
    <w:rsid w:val="001A2B7A"/>
    <w:rsid w:val="001A2C3D"/>
    <w:rsid w:val="001A2D26"/>
    <w:rsid w:val="001A2D29"/>
    <w:rsid w:val="001A2EDD"/>
    <w:rsid w:val="001A2EE8"/>
    <w:rsid w:val="001A2F00"/>
    <w:rsid w:val="001A3011"/>
    <w:rsid w:val="001A3296"/>
    <w:rsid w:val="001A33C2"/>
    <w:rsid w:val="001A3463"/>
    <w:rsid w:val="001A36E0"/>
    <w:rsid w:val="001A379E"/>
    <w:rsid w:val="001A38FF"/>
    <w:rsid w:val="001A39F6"/>
    <w:rsid w:val="001A3B35"/>
    <w:rsid w:val="001A3C29"/>
    <w:rsid w:val="001A3D3D"/>
    <w:rsid w:val="001A3F5D"/>
    <w:rsid w:val="001A3F8F"/>
    <w:rsid w:val="001A414E"/>
    <w:rsid w:val="001A4190"/>
    <w:rsid w:val="001A429D"/>
    <w:rsid w:val="001A4348"/>
    <w:rsid w:val="001A448C"/>
    <w:rsid w:val="001A44BE"/>
    <w:rsid w:val="001A453F"/>
    <w:rsid w:val="001A473B"/>
    <w:rsid w:val="001A4807"/>
    <w:rsid w:val="001A48A0"/>
    <w:rsid w:val="001A49B2"/>
    <w:rsid w:val="001A4A00"/>
    <w:rsid w:val="001A4B94"/>
    <w:rsid w:val="001A4B9B"/>
    <w:rsid w:val="001A4D74"/>
    <w:rsid w:val="001A4F78"/>
    <w:rsid w:val="001A5097"/>
    <w:rsid w:val="001A5101"/>
    <w:rsid w:val="001A51AE"/>
    <w:rsid w:val="001A5300"/>
    <w:rsid w:val="001A53F3"/>
    <w:rsid w:val="001A5609"/>
    <w:rsid w:val="001A5665"/>
    <w:rsid w:val="001A5745"/>
    <w:rsid w:val="001A57C7"/>
    <w:rsid w:val="001A5861"/>
    <w:rsid w:val="001A5927"/>
    <w:rsid w:val="001A5B76"/>
    <w:rsid w:val="001A5BD6"/>
    <w:rsid w:val="001A5C0D"/>
    <w:rsid w:val="001A5C43"/>
    <w:rsid w:val="001A5CA7"/>
    <w:rsid w:val="001A5DD2"/>
    <w:rsid w:val="001A5DEB"/>
    <w:rsid w:val="001A5FBE"/>
    <w:rsid w:val="001A6139"/>
    <w:rsid w:val="001A6294"/>
    <w:rsid w:val="001A62E3"/>
    <w:rsid w:val="001A62F5"/>
    <w:rsid w:val="001A64EF"/>
    <w:rsid w:val="001A66D8"/>
    <w:rsid w:val="001A6914"/>
    <w:rsid w:val="001A6CF0"/>
    <w:rsid w:val="001A6DBF"/>
    <w:rsid w:val="001A6E27"/>
    <w:rsid w:val="001A6E76"/>
    <w:rsid w:val="001A6EB1"/>
    <w:rsid w:val="001A6ED1"/>
    <w:rsid w:val="001A6F1D"/>
    <w:rsid w:val="001A72D1"/>
    <w:rsid w:val="001A74A4"/>
    <w:rsid w:val="001A7503"/>
    <w:rsid w:val="001A75A6"/>
    <w:rsid w:val="001A7622"/>
    <w:rsid w:val="001A764B"/>
    <w:rsid w:val="001A77D3"/>
    <w:rsid w:val="001A79C2"/>
    <w:rsid w:val="001A7B8D"/>
    <w:rsid w:val="001A7C19"/>
    <w:rsid w:val="001A7D94"/>
    <w:rsid w:val="001A7ED0"/>
    <w:rsid w:val="001A7FBE"/>
    <w:rsid w:val="001B0217"/>
    <w:rsid w:val="001B0253"/>
    <w:rsid w:val="001B0261"/>
    <w:rsid w:val="001B039B"/>
    <w:rsid w:val="001B03D0"/>
    <w:rsid w:val="001B08D7"/>
    <w:rsid w:val="001B0906"/>
    <w:rsid w:val="001B0975"/>
    <w:rsid w:val="001B09C0"/>
    <w:rsid w:val="001B09C2"/>
    <w:rsid w:val="001B0A26"/>
    <w:rsid w:val="001B0A6C"/>
    <w:rsid w:val="001B0AA5"/>
    <w:rsid w:val="001B0BA6"/>
    <w:rsid w:val="001B0DF4"/>
    <w:rsid w:val="001B0ECD"/>
    <w:rsid w:val="001B1129"/>
    <w:rsid w:val="001B135F"/>
    <w:rsid w:val="001B15D2"/>
    <w:rsid w:val="001B15DA"/>
    <w:rsid w:val="001B165A"/>
    <w:rsid w:val="001B1693"/>
    <w:rsid w:val="001B1761"/>
    <w:rsid w:val="001B17F8"/>
    <w:rsid w:val="001B1949"/>
    <w:rsid w:val="001B19CC"/>
    <w:rsid w:val="001B1AB0"/>
    <w:rsid w:val="001B1CD3"/>
    <w:rsid w:val="001B1D15"/>
    <w:rsid w:val="001B1D9E"/>
    <w:rsid w:val="001B1DE5"/>
    <w:rsid w:val="001B1E78"/>
    <w:rsid w:val="001B2060"/>
    <w:rsid w:val="001B2061"/>
    <w:rsid w:val="001B218B"/>
    <w:rsid w:val="001B2481"/>
    <w:rsid w:val="001B24D5"/>
    <w:rsid w:val="001B263B"/>
    <w:rsid w:val="001B2913"/>
    <w:rsid w:val="001B2A26"/>
    <w:rsid w:val="001B2ADE"/>
    <w:rsid w:val="001B2C81"/>
    <w:rsid w:val="001B2EF5"/>
    <w:rsid w:val="001B2FB1"/>
    <w:rsid w:val="001B318F"/>
    <w:rsid w:val="001B31F0"/>
    <w:rsid w:val="001B32B8"/>
    <w:rsid w:val="001B33C2"/>
    <w:rsid w:val="001B34F8"/>
    <w:rsid w:val="001B3652"/>
    <w:rsid w:val="001B373A"/>
    <w:rsid w:val="001B37BA"/>
    <w:rsid w:val="001B3971"/>
    <w:rsid w:val="001B399D"/>
    <w:rsid w:val="001B3B27"/>
    <w:rsid w:val="001B3C32"/>
    <w:rsid w:val="001B3C3B"/>
    <w:rsid w:val="001B3CEB"/>
    <w:rsid w:val="001B3DAD"/>
    <w:rsid w:val="001B4051"/>
    <w:rsid w:val="001B42B4"/>
    <w:rsid w:val="001B4378"/>
    <w:rsid w:val="001B437F"/>
    <w:rsid w:val="001B4947"/>
    <w:rsid w:val="001B4A24"/>
    <w:rsid w:val="001B4AC3"/>
    <w:rsid w:val="001B4B29"/>
    <w:rsid w:val="001B4C3D"/>
    <w:rsid w:val="001B4CF6"/>
    <w:rsid w:val="001B4D89"/>
    <w:rsid w:val="001B4DE6"/>
    <w:rsid w:val="001B4E19"/>
    <w:rsid w:val="001B5032"/>
    <w:rsid w:val="001B50B5"/>
    <w:rsid w:val="001B5204"/>
    <w:rsid w:val="001B5214"/>
    <w:rsid w:val="001B525B"/>
    <w:rsid w:val="001B52CF"/>
    <w:rsid w:val="001B531D"/>
    <w:rsid w:val="001B533A"/>
    <w:rsid w:val="001B535A"/>
    <w:rsid w:val="001B5398"/>
    <w:rsid w:val="001B53B9"/>
    <w:rsid w:val="001B57E6"/>
    <w:rsid w:val="001B5856"/>
    <w:rsid w:val="001B592C"/>
    <w:rsid w:val="001B597E"/>
    <w:rsid w:val="001B5ACA"/>
    <w:rsid w:val="001B5BBB"/>
    <w:rsid w:val="001B5C07"/>
    <w:rsid w:val="001B5C29"/>
    <w:rsid w:val="001B5CE9"/>
    <w:rsid w:val="001B5D9A"/>
    <w:rsid w:val="001B5F38"/>
    <w:rsid w:val="001B600D"/>
    <w:rsid w:val="001B61D9"/>
    <w:rsid w:val="001B61FE"/>
    <w:rsid w:val="001B6275"/>
    <w:rsid w:val="001B644D"/>
    <w:rsid w:val="001B64AF"/>
    <w:rsid w:val="001B64D5"/>
    <w:rsid w:val="001B65A4"/>
    <w:rsid w:val="001B6767"/>
    <w:rsid w:val="001B68F9"/>
    <w:rsid w:val="001B6A18"/>
    <w:rsid w:val="001B6A4D"/>
    <w:rsid w:val="001B6AB4"/>
    <w:rsid w:val="001B70D8"/>
    <w:rsid w:val="001B715F"/>
    <w:rsid w:val="001B7164"/>
    <w:rsid w:val="001B734F"/>
    <w:rsid w:val="001B739C"/>
    <w:rsid w:val="001B759F"/>
    <w:rsid w:val="001B76C6"/>
    <w:rsid w:val="001B76EF"/>
    <w:rsid w:val="001B7705"/>
    <w:rsid w:val="001B7750"/>
    <w:rsid w:val="001B77B6"/>
    <w:rsid w:val="001B7818"/>
    <w:rsid w:val="001B7897"/>
    <w:rsid w:val="001B78BA"/>
    <w:rsid w:val="001B7942"/>
    <w:rsid w:val="001B7C20"/>
    <w:rsid w:val="001B7C61"/>
    <w:rsid w:val="001B7D51"/>
    <w:rsid w:val="001B7D70"/>
    <w:rsid w:val="001B7DBC"/>
    <w:rsid w:val="001B7EA1"/>
    <w:rsid w:val="001B7FF9"/>
    <w:rsid w:val="001C02CB"/>
    <w:rsid w:val="001C046D"/>
    <w:rsid w:val="001C054A"/>
    <w:rsid w:val="001C0664"/>
    <w:rsid w:val="001C08CF"/>
    <w:rsid w:val="001C08FE"/>
    <w:rsid w:val="001C0B0F"/>
    <w:rsid w:val="001C0B3A"/>
    <w:rsid w:val="001C0BCF"/>
    <w:rsid w:val="001C0F45"/>
    <w:rsid w:val="001C10A1"/>
    <w:rsid w:val="001C10B3"/>
    <w:rsid w:val="001C10D1"/>
    <w:rsid w:val="001C114A"/>
    <w:rsid w:val="001C119A"/>
    <w:rsid w:val="001C11AD"/>
    <w:rsid w:val="001C12DC"/>
    <w:rsid w:val="001C13A6"/>
    <w:rsid w:val="001C13F6"/>
    <w:rsid w:val="001C13FF"/>
    <w:rsid w:val="001C145C"/>
    <w:rsid w:val="001C1488"/>
    <w:rsid w:val="001C155A"/>
    <w:rsid w:val="001C1564"/>
    <w:rsid w:val="001C1580"/>
    <w:rsid w:val="001C1589"/>
    <w:rsid w:val="001C179E"/>
    <w:rsid w:val="001C17BD"/>
    <w:rsid w:val="001C17D6"/>
    <w:rsid w:val="001C180A"/>
    <w:rsid w:val="001C195A"/>
    <w:rsid w:val="001C1A76"/>
    <w:rsid w:val="001C1C25"/>
    <w:rsid w:val="001C1D54"/>
    <w:rsid w:val="001C1E01"/>
    <w:rsid w:val="001C1E3D"/>
    <w:rsid w:val="001C1F2C"/>
    <w:rsid w:val="001C1F70"/>
    <w:rsid w:val="001C1FAB"/>
    <w:rsid w:val="001C1FD5"/>
    <w:rsid w:val="001C208D"/>
    <w:rsid w:val="001C24AC"/>
    <w:rsid w:val="001C24C5"/>
    <w:rsid w:val="001C24E1"/>
    <w:rsid w:val="001C2576"/>
    <w:rsid w:val="001C25BA"/>
    <w:rsid w:val="001C2726"/>
    <w:rsid w:val="001C2793"/>
    <w:rsid w:val="001C2B6C"/>
    <w:rsid w:val="001C2C9E"/>
    <w:rsid w:val="001C2D09"/>
    <w:rsid w:val="001C2D8D"/>
    <w:rsid w:val="001C2DF3"/>
    <w:rsid w:val="001C2E61"/>
    <w:rsid w:val="001C2E95"/>
    <w:rsid w:val="001C2FAF"/>
    <w:rsid w:val="001C3094"/>
    <w:rsid w:val="001C3201"/>
    <w:rsid w:val="001C329E"/>
    <w:rsid w:val="001C3470"/>
    <w:rsid w:val="001C3543"/>
    <w:rsid w:val="001C3833"/>
    <w:rsid w:val="001C383E"/>
    <w:rsid w:val="001C387F"/>
    <w:rsid w:val="001C3A5A"/>
    <w:rsid w:val="001C3C88"/>
    <w:rsid w:val="001C3DCD"/>
    <w:rsid w:val="001C3E81"/>
    <w:rsid w:val="001C4097"/>
    <w:rsid w:val="001C40AD"/>
    <w:rsid w:val="001C42A3"/>
    <w:rsid w:val="001C42C5"/>
    <w:rsid w:val="001C44AA"/>
    <w:rsid w:val="001C4733"/>
    <w:rsid w:val="001C47CE"/>
    <w:rsid w:val="001C4931"/>
    <w:rsid w:val="001C4A97"/>
    <w:rsid w:val="001C4D84"/>
    <w:rsid w:val="001C4F1F"/>
    <w:rsid w:val="001C4FAC"/>
    <w:rsid w:val="001C536E"/>
    <w:rsid w:val="001C53A5"/>
    <w:rsid w:val="001C5758"/>
    <w:rsid w:val="001C58B8"/>
    <w:rsid w:val="001C59E5"/>
    <w:rsid w:val="001C5A0C"/>
    <w:rsid w:val="001C5AD9"/>
    <w:rsid w:val="001C5E09"/>
    <w:rsid w:val="001C6318"/>
    <w:rsid w:val="001C667B"/>
    <w:rsid w:val="001C66C7"/>
    <w:rsid w:val="001C672D"/>
    <w:rsid w:val="001C6792"/>
    <w:rsid w:val="001C67CB"/>
    <w:rsid w:val="001C6862"/>
    <w:rsid w:val="001C6870"/>
    <w:rsid w:val="001C6A0A"/>
    <w:rsid w:val="001C6A6B"/>
    <w:rsid w:val="001C6A72"/>
    <w:rsid w:val="001C6B61"/>
    <w:rsid w:val="001C6DA7"/>
    <w:rsid w:val="001C6EEE"/>
    <w:rsid w:val="001C7081"/>
    <w:rsid w:val="001C71CF"/>
    <w:rsid w:val="001C71EF"/>
    <w:rsid w:val="001C768B"/>
    <w:rsid w:val="001C770D"/>
    <w:rsid w:val="001C7848"/>
    <w:rsid w:val="001C7982"/>
    <w:rsid w:val="001C79C6"/>
    <w:rsid w:val="001C7BAF"/>
    <w:rsid w:val="001C7C2B"/>
    <w:rsid w:val="001C7C9B"/>
    <w:rsid w:val="001C7CF1"/>
    <w:rsid w:val="001C7D2C"/>
    <w:rsid w:val="001C7FF7"/>
    <w:rsid w:val="001CB380"/>
    <w:rsid w:val="001CF298"/>
    <w:rsid w:val="001D009B"/>
    <w:rsid w:val="001D00CB"/>
    <w:rsid w:val="001D0203"/>
    <w:rsid w:val="001D03C3"/>
    <w:rsid w:val="001D05D9"/>
    <w:rsid w:val="001D07E3"/>
    <w:rsid w:val="001D080A"/>
    <w:rsid w:val="001D09A6"/>
    <w:rsid w:val="001D0AB3"/>
    <w:rsid w:val="001D0B18"/>
    <w:rsid w:val="001D0D8A"/>
    <w:rsid w:val="001D0D8F"/>
    <w:rsid w:val="001D0DD1"/>
    <w:rsid w:val="001D0F39"/>
    <w:rsid w:val="001D0F7C"/>
    <w:rsid w:val="001D117D"/>
    <w:rsid w:val="001D117F"/>
    <w:rsid w:val="001D121B"/>
    <w:rsid w:val="001D132B"/>
    <w:rsid w:val="001D169E"/>
    <w:rsid w:val="001D16A4"/>
    <w:rsid w:val="001D18AD"/>
    <w:rsid w:val="001D19AD"/>
    <w:rsid w:val="001D1B96"/>
    <w:rsid w:val="001D1E2F"/>
    <w:rsid w:val="001D1E44"/>
    <w:rsid w:val="001D2060"/>
    <w:rsid w:val="001D21C2"/>
    <w:rsid w:val="001D2242"/>
    <w:rsid w:val="001D235E"/>
    <w:rsid w:val="001D23A3"/>
    <w:rsid w:val="001D2408"/>
    <w:rsid w:val="001D240F"/>
    <w:rsid w:val="001D2606"/>
    <w:rsid w:val="001D2776"/>
    <w:rsid w:val="001D2834"/>
    <w:rsid w:val="001D28DE"/>
    <w:rsid w:val="001D2907"/>
    <w:rsid w:val="001D295D"/>
    <w:rsid w:val="001D2DB4"/>
    <w:rsid w:val="001D2E02"/>
    <w:rsid w:val="001D2E24"/>
    <w:rsid w:val="001D2F36"/>
    <w:rsid w:val="001D2F6D"/>
    <w:rsid w:val="001D312F"/>
    <w:rsid w:val="001D3247"/>
    <w:rsid w:val="001D3271"/>
    <w:rsid w:val="001D3793"/>
    <w:rsid w:val="001D390B"/>
    <w:rsid w:val="001D3D8A"/>
    <w:rsid w:val="001D3D8F"/>
    <w:rsid w:val="001D3E26"/>
    <w:rsid w:val="001D3E63"/>
    <w:rsid w:val="001D3E6F"/>
    <w:rsid w:val="001D4104"/>
    <w:rsid w:val="001D474F"/>
    <w:rsid w:val="001D4AF2"/>
    <w:rsid w:val="001D4B37"/>
    <w:rsid w:val="001D4BA2"/>
    <w:rsid w:val="001D4CC0"/>
    <w:rsid w:val="001D4D70"/>
    <w:rsid w:val="001D4FD2"/>
    <w:rsid w:val="001D50B5"/>
    <w:rsid w:val="001D5178"/>
    <w:rsid w:val="001D51E1"/>
    <w:rsid w:val="001D5462"/>
    <w:rsid w:val="001D5737"/>
    <w:rsid w:val="001D57C3"/>
    <w:rsid w:val="001D59A4"/>
    <w:rsid w:val="001D5BA3"/>
    <w:rsid w:val="001D5C36"/>
    <w:rsid w:val="001D5DFF"/>
    <w:rsid w:val="001D5E29"/>
    <w:rsid w:val="001D617C"/>
    <w:rsid w:val="001D61F3"/>
    <w:rsid w:val="001D62C8"/>
    <w:rsid w:val="001D634B"/>
    <w:rsid w:val="001D6464"/>
    <w:rsid w:val="001D666A"/>
    <w:rsid w:val="001D676A"/>
    <w:rsid w:val="001D67FA"/>
    <w:rsid w:val="001D6A0F"/>
    <w:rsid w:val="001D6AC5"/>
    <w:rsid w:val="001D6B0C"/>
    <w:rsid w:val="001D6BBB"/>
    <w:rsid w:val="001D6C4B"/>
    <w:rsid w:val="001D6C4F"/>
    <w:rsid w:val="001D6E6F"/>
    <w:rsid w:val="001D6FEC"/>
    <w:rsid w:val="001D714A"/>
    <w:rsid w:val="001D71C1"/>
    <w:rsid w:val="001D74A5"/>
    <w:rsid w:val="001D777A"/>
    <w:rsid w:val="001D7A50"/>
    <w:rsid w:val="001D7F05"/>
    <w:rsid w:val="001D7F46"/>
    <w:rsid w:val="001E012E"/>
    <w:rsid w:val="001E0238"/>
    <w:rsid w:val="001E0275"/>
    <w:rsid w:val="001E027B"/>
    <w:rsid w:val="001E0329"/>
    <w:rsid w:val="001E04F8"/>
    <w:rsid w:val="001E0536"/>
    <w:rsid w:val="001E055F"/>
    <w:rsid w:val="001E0629"/>
    <w:rsid w:val="001E0675"/>
    <w:rsid w:val="001E077D"/>
    <w:rsid w:val="001E0808"/>
    <w:rsid w:val="001E082F"/>
    <w:rsid w:val="001E0A7F"/>
    <w:rsid w:val="001E0CA8"/>
    <w:rsid w:val="001E0EB2"/>
    <w:rsid w:val="001E0F19"/>
    <w:rsid w:val="001E0FC2"/>
    <w:rsid w:val="001E100F"/>
    <w:rsid w:val="001E10BF"/>
    <w:rsid w:val="001E13CB"/>
    <w:rsid w:val="001E13E5"/>
    <w:rsid w:val="001E1536"/>
    <w:rsid w:val="001E15E6"/>
    <w:rsid w:val="001E173B"/>
    <w:rsid w:val="001E173F"/>
    <w:rsid w:val="001E1A03"/>
    <w:rsid w:val="001E1A2A"/>
    <w:rsid w:val="001E1C25"/>
    <w:rsid w:val="001E1C9A"/>
    <w:rsid w:val="001E1D31"/>
    <w:rsid w:val="001E1F75"/>
    <w:rsid w:val="001E2096"/>
    <w:rsid w:val="001E22F3"/>
    <w:rsid w:val="001E25F9"/>
    <w:rsid w:val="001E271B"/>
    <w:rsid w:val="001E2724"/>
    <w:rsid w:val="001E2746"/>
    <w:rsid w:val="001E2F66"/>
    <w:rsid w:val="001E2FA1"/>
    <w:rsid w:val="001E2FF4"/>
    <w:rsid w:val="001E3238"/>
    <w:rsid w:val="001E32F7"/>
    <w:rsid w:val="001E3322"/>
    <w:rsid w:val="001E3638"/>
    <w:rsid w:val="001E38DF"/>
    <w:rsid w:val="001E3A55"/>
    <w:rsid w:val="001E3A8F"/>
    <w:rsid w:val="001E3AD7"/>
    <w:rsid w:val="001E3B16"/>
    <w:rsid w:val="001E3B43"/>
    <w:rsid w:val="001E3D00"/>
    <w:rsid w:val="001E3DBB"/>
    <w:rsid w:val="001E3F5B"/>
    <w:rsid w:val="001E3F97"/>
    <w:rsid w:val="001E3F9B"/>
    <w:rsid w:val="001E402F"/>
    <w:rsid w:val="001E4292"/>
    <w:rsid w:val="001E4357"/>
    <w:rsid w:val="001E43CA"/>
    <w:rsid w:val="001E4460"/>
    <w:rsid w:val="001E4533"/>
    <w:rsid w:val="001E45E5"/>
    <w:rsid w:val="001E469C"/>
    <w:rsid w:val="001E485B"/>
    <w:rsid w:val="001E4AB5"/>
    <w:rsid w:val="001E4BF3"/>
    <w:rsid w:val="001E50E2"/>
    <w:rsid w:val="001E5273"/>
    <w:rsid w:val="001E52B6"/>
    <w:rsid w:val="001E5400"/>
    <w:rsid w:val="001E5414"/>
    <w:rsid w:val="001E5447"/>
    <w:rsid w:val="001E5676"/>
    <w:rsid w:val="001E56A1"/>
    <w:rsid w:val="001E5766"/>
    <w:rsid w:val="001E5768"/>
    <w:rsid w:val="001E577D"/>
    <w:rsid w:val="001E590C"/>
    <w:rsid w:val="001E5936"/>
    <w:rsid w:val="001E5AB3"/>
    <w:rsid w:val="001E5B1A"/>
    <w:rsid w:val="001E5CAC"/>
    <w:rsid w:val="001E5D3F"/>
    <w:rsid w:val="001E5EB2"/>
    <w:rsid w:val="001E5EBE"/>
    <w:rsid w:val="001E5EEA"/>
    <w:rsid w:val="001E60BD"/>
    <w:rsid w:val="001E6135"/>
    <w:rsid w:val="001E6146"/>
    <w:rsid w:val="001E6202"/>
    <w:rsid w:val="001E62D0"/>
    <w:rsid w:val="001E62FD"/>
    <w:rsid w:val="001E6368"/>
    <w:rsid w:val="001E6410"/>
    <w:rsid w:val="001E6546"/>
    <w:rsid w:val="001E6625"/>
    <w:rsid w:val="001E66A5"/>
    <w:rsid w:val="001E672D"/>
    <w:rsid w:val="001E69E4"/>
    <w:rsid w:val="001E6B5D"/>
    <w:rsid w:val="001E6CDF"/>
    <w:rsid w:val="001E71A1"/>
    <w:rsid w:val="001E7264"/>
    <w:rsid w:val="001E72FE"/>
    <w:rsid w:val="001E738F"/>
    <w:rsid w:val="001E73C6"/>
    <w:rsid w:val="001E7472"/>
    <w:rsid w:val="001E747C"/>
    <w:rsid w:val="001E779A"/>
    <w:rsid w:val="001E77FB"/>
    <w:rsid w:val="001E7834"/>
    <w:rsid w:val="001E78FF"/>
    <w:rsid w:val="001E79A4"/>
    <w:rsid w:val="001E7C33"/>
    <w:rsid w:val="001E7C45"/>
    <w:rsid w:val="001E7CC5"/>
    <w:rsid w:val="001E7F74"/>
    <w:rsid w:val="001F012D"/>
    <w:rsid w:val="001F01C7"/>
    <w:rsid w:val="001F02E0"/>
    <w:rsid w:val="001F02FB"/>
    <w:rsid w:val="001F0494"/>
    <w:rsid w:val="001F06C1"/>
    <w:rsid w:val="001F075B"/>
    <w:rsid w:val="001F080D"/>
    <w:rsid w:val="001F09A6"/>
    <w:rsid w:val="001F0A32"/>
    <w:rsid w:val="001F0A6A"/>
    <w:rsid w:val="001F0BF1"/>
    <w:rsid w:val="001F0DDE"/>
    <w:rsid w:val="001F0E22"/>
    <w:rsid w:val="001F1073"/>
    <w:rsid w:val="001F1137"/>
    <w:rsid w:val="001F1167"/>
    <w:rsid w:val="001F11B5"/>
    <w:rsid w:val="001F1243"/>
    <w:rsid w:val="001F1361"/>
    <w:rsid w:val="001F1673"/>
    <w:rsid w:val="001F183E"/>
    <w:rsid w:val="001F18BB"/>
    <w:rsid w:val="001F198C"/>
    <w:rsid w:val="001F1A28"/>
    <w:rsid w:val="001F1A9F"/>
    <w:rsid w:val="001F1D22"/>
    <w:rsid w:val="001F1DD5"/>
    <w:rsid w:val="001F1DE6"/>
    <w:rsid w:val="001F204F"/>
    <w:rsid w:val="001F2123"/>
    <w:rsid w:val="001F2197"/>
    <w:rsid w:val="001F232C"/>
    <w:rsid w:val="001F2355"/>
    <w:rsid w:val="001F253E"/>
    <w:rsid w:val="001F27A0"/>
    <w:rsid w:val="001F2899"/>
    <w:rsid w:val="001F2946"/>
    <w:rsid w:val="001F2A43"/>
    <w:rsid w:val="001F2A74"/>
    <w:rsid w:val="001F2A7E"/>
    <w:rsid w:val="001F2ABC"/>
    <w:rsid w:val="001F2B60"/>
    <w:rsid w:val="001F2C86"/>
    <w:rsid w:val="001F2C90"/>
    <w:rsid w:val="001F2FD1"/>
    <w:rsid w:val="001F3000"/>
    <w:rsid w:val="001F309D"/>
    <w:rsid w:val="001F30D4"/>
    <w:rsid w:val="001F3120"/>
    <w:rsid w:val="001F31C0"/>
    <w:rsid w:val="001F331D"/>
    <w:rsid w:val="001F336A"/>
    <w:rsid w:val="001F33F9"/>
    <w:rsid w:val="001F36B8"/>
    <w:rsid w:val="001F3799"/>
    <w:rsid w:val="001F3839"/>
    <w:rsid w:val="001F3999"/>
    <w:rsid w:val="001F3BB6"/>
    <w:rsid w:val="001F3C41"/>
    <w:rsid w:val="001F3C9D"/>
    <w:rsid w:val="001F40CB"/>
    <w:rsid w:val="001F41C8"/>
    <w:rsid w:val="001F4239"/>
    <w:rsid w:val="001F4277"/>
    <w:rsid w:val="001F437D"/>
    <w:rsid w:val="001F4466"/>
    <w:rsid w:val="001F44BA"/>
    <w:rsid w:val="001F4531"/>
    <w:rsid w:val="001F4537"/>
    <w:rsid w:val="001F459C"/>
    <w:rsid w:val="001F45AD"/>
    <w:rsid w:val="001F46A8"/>
    <w:rsid w:val="001F4BC0"/>
    <w:rsid w:val="001F4D0C"/>
    <w:rsid w:val="001F4E69"/>
    <w:rsid w:val="001F4E73"/>
    <w:rsid w:val="001F4F3E"/>
    <w:rsid w:val="001F525A"/>
    <w:rsid w:val="001F53A3"/>
    <w:rsid w:val="001F53B5"/>
    <w:rsid w:val="001F5556"/>
    <w:rsid w:val="001F560F"/>
    <w:rsid w:val="001F57E4"/>
    <w:rsid w:val="001F5852"/>
    <w:rsid w:val="001F5AA5"/>
    <w:rsid w:val="001F5B27"/>
    <w:rsid w:val="001F5B7A"/>
    <w:rsid w:val="001F5BFA"/>
    <w:rsid w:val="001F5CBA"/>
    <w:rsid w:val="001F5CDB"/>
    <w:rsid w:val="001F5DEE"/>
    <w:rsid w:val="001F5DFF"/>
    <w:rsid w:val="001F5E58"/>
    <w:rsid w:val="001F5E7E"/>
    <w:rsid w:val="001F613A"/>
    <w:rsid w:val="001F6168"/>
    <w:rsid w:val="001F62B6"/>
    <w:rsid w:val="001F635E"/>
    <w:rsid w:val="001F65E5"/>
    <w:rsid w:val="001F67DF"/>
    <w:rsid w:val="001F69FF"/>
    <w:rsid w:val="001F6B1E"/>
    <w:rsid w:val="001F6B94"/>
    <w:rsid w:val="001F6C84"/>
    <w:rsid w:val="001F6E51"/>
    <w:rsid w:val="001F7095"/>
    <w:rsid w:val="001F7215"/>
    <w:rsid w:val="001F72A0"/>
    <w:rsid w:val="001F7393"/>
    <w:rsid w:val="001F75B5"/>
    <w:rsid w:val="001F7656"/>
    <w:rsid w:val="001F77EA"/>
    <w:rsid w:val="001F7984"/>
    <w:rsid w:val="001F7992"/>
    <w:rsid w:val="001F7B5B"/>
    <w:rsid w:val="001F7C6D"/>
    <w:rsid w:val="001F7CBE"/>
    <w:rsid w:val="001F7CD8"/>
    <w:rsid w:val="001F7E00"/>
    <w:rsid w:val="001F7E7A"/>
    <w:rsid w:val="001F7FB0"/>
    <w:rsid w:val="001F7FFC"/>
    <w:rsid w:val="002000B1"/>
    <w:rsid w:val="0020016F"/>
    <w:rsid w:val="00200299"/>
    <w:rsid w:val="00200387"/>
    <w:rsid w:val="002004CF"/>
    <w:rsid w:val="00200516"/>
    <w:rsid w:val="00200561"/>
    <w:rsid w:val="00200618"/>
    <w:rsid w:val="0020064E"/>
    <w:rsid w:val="00200ADF"/>
    <w:rsid w:val="00200B35"/>
    <w:rsid w:val="00200FAB"/>
    <w:rsid w:val="00200FC7"/>
    <w:rsid w:val="00201205"/>
    <w:rsid w:val="0020128C"/>
    <w:rsid w:val="00201390"/>
    <w:rsid w:val="00201535"/>
    <w:rsid w:val="002016C1"/>
    <w:rsid w:val="002016DF"/>
    <w:rsid w:val="002017DA"/>
    <w:rsid w:val="002019B0"/>
    <w:rsid w:val="002019FB"/>
    <w:rsid w:val="00201A9E"/>
    <w:rsid w:val="00201C1F"/>
    <w:rsid w:val="00201C69"/>
    <w:rsid w:val="00201D5D"/>
    <w:rsid w:val="00201FDE"/>
    <w:rsid w:val="00202127"/>
    <w:rsid w:val="00202154"/>
    <w:rsid w:val="002021D1"/>
    <w:rsid w:val="002021EC"/>
    <w:rsid w:val="00202316"/>
    <w:rsid w:val="0020260F"/>
    <w:rsid w:val="00202688"/>
    <w:rsid w:val="00202708"/>
    <w:rsid w:val="00202752"/>
    <w:rsid w:val="00202949"/>
    <w:rsid w:val="00202A7E"/>
    <w:rsid w:val="00202A8E"/>
    <w:rsid w:val="00202B8A"/>
    <w:rsid w:val="00202CA3"/>
    <w:rsid w:val="00202D33"/>
    <w:rsid w:val="00202D9D"/>
    <w:rsid w:val="00202E8B"/>
    <w:rsid w:val="00202F68"/>
    <w:rsid w:val="00202F90"/>
    <w:rsid w:val="00202FBF"/>
    <w:rsid w:val="00203028"/>
    <w:rsid w:val="00203048"/>
    <w:rsid w:val="0020322D"/>
    <w:rsid w:val="00203378"/>
    <w:rsid w:val="002033EA"/>
    <w:rsid w:val="00203456"/>
    <w:rsid w:val="002034A2"/>
    <w:rsid w:val="002037B8"/>
    <w:rsid w:val="00203855"/>
    <w:rsid w:val="0020388F"/>
    <w:rsid w:val="00203A1C"/>
    <w:rsid w:val="00203CB6"/>
    <w:rsid w:val="00203E9B"/>
    <w:rsid w:val="00203FA0"/>
    <w:rsid w:val="00204121"/>
    <w:rsid w:val="00204289"/>
    <w:rsid w:val="002042CF"/>
    <w:rsid w:val="00204392"/>
    <w:rsid w:val="0020440D"/>
    <w:rsid w:val="0020441C"/>
    <w:rsid w:val="00204444"/>
    <w:rsid w:val="002046B7"/>
    <w:rsid w:val="00204776"/>
    <w:rsid w:val="0020481A"/>
    <w:rsid w:val="002048FB"/>
    <w:rsid w:val="00204A43"/>
    <w:rsid w:val="00204E7C"/>
    <w:rsid w:val="00204EA2"/>
    <w:rsid w:val="0020511D"/>
    <w:rsid w:val="0020513A"/>
    <w:rsid w:val="0020520C"/>
    <w:rsid w:val="002053D1"/>
    <w:rsid w:val="002055C5"/>
    <w:rsid w:val="00205909"/>
    <w:rsid w:val="00205911"/>
    <w:rsid w:val="0020599D"/>
    <w:rsid w:val="002059E3"/>
    <w:rsid w:val="00205A01"/>
    <w:rsid w:val="00205A85"/>
    <w:rsid w:val="00205BED"/>
    <w:rsid w:val="00205ED8"/>
    <w:rsid w:val="00205FA6"/>
    <w:rsid w:val="00205FD2"/>
    <w:rsid w:val="0020610B"/>
    <w:rsid w:val="00206114"/>
    <w:rsid w:val="002061C9"/>
    <w:rsid w:val="00206382"/>
    <w:rsid w:val="00206487"/>
    <w:rsid w:val="002064BD"/>
    <w:rsid w:val="002064E8"/>
    <w:rsid w:val="00206A23"/>
    <w:rsid w:val="00206B32"/>
    <w:rsid w:val="00206C29"/>
    <w:rsid w:val="00206C42"/>
    <w:rsid w:val="00206CD1"/>
    <w:rsid w:val="00207026"/>
    <w:rsid w:val="00207344"/>
    <w:rsid w:val="0020779B"/>
    <w:rsid w:val="00207976"/>
    <w:rsid w:val="00207ADF"/>
    <w:rsid w:val="00207D46"/>
    <w:rsid w:val="00207D48"/>
    <w:rsid w:val="00207E4C"/>
    <w:rsid w:val="00207EF4"/>
    <w:rsid w:val="00207EF8"/>
    <w:rsid w:val="00207F14"/>
    <w:rsid w:val="0021019C"/>
    <w:rsid w:val="0021028A"/>
    <w:rsid w:val="002102D9"/>
    <w:rsid w:val="0021041C"/>
    <w:rsid w:val="00210454"/>
    <w:rsid w:val="002104C5"/>
    <w:rsid w:val="002104EA"/>
    <w:rsid w:val="0021051A"/>
    <w:rsid w:val="00210564"/>
    <w:rsid w:val="002106DD"/>
    <w:rsid w:val="00210744"/>
    <w:rsid w:val="00210A49"/>
    <w:rsid w:val="00210B57"/>
    <w:rsid w:val="00210C57"/>
    <w:rsid w:val="00210CD0"/>
    <w:rsid w:val="00210E5E"/>
    <w:rsid w:val="00210EE3"/>
    <w:rsid w:val="002110BD"/>
    <w:rsid w:val="002110CB"/>
    <w:rsid w:val="002112D8"/>
    <w:rsid w:val="002112E0"/>
    <w:rsid w:val="002112FA"/>
    <w:rsid w:val="002114B8"/>
    <w:rsid w:val="00211691"/>
    <w:rsid w:val="002116B9"/>
    <w:rsid w:val="00211B1D"/>
    <w:rsid w:val="00211C03"/>
    <w:rsid w:val="00211FA2"/>
    <w:rsid w:val="00212139"/>
    <w:rsid w:val="00212144"/>
    <w:rsid w:val="0021219A"/>
    <w:rsid w:val="002122F8"/>
    <w:rsid w:val="002123E6"/>
    <w:rsid w:val="00212543"/>
    <w:rsid w:val="00212595"/>
    <w:rsid w:val="002125BE"/>
    <w:rsid w:val="0021279B"/>
    <w:rsid w:val="002129D7"/>
    <w:rsid w:val="00212ACE"/>
    <w:rsid w:val="00212BB5"/>
    <w:rsid w:val="00212C2C"/>
    <w:rsid w:val="00212CC0"/>
    <w:rsid w:val="00212CF8"/>
    <w:rsid w:val="00212DB1"/>
    <w:rsid w:val="00212DF9"/>
    <w:rsid w:val="00212F79"/>
    <w:rsid w:val="002131C8"/>
    <w:rsid w:val="0021328A"/>
    <w:rsid w:val="002132F0"/>
    <w:rsid w:val="00213479"/>
    <w:rsid w:val="0021357C"/>
    <w:rsid w:val="002138BA"/>
    <w:rsid w:val="0021396B"/>
    <w:rsid w:val="00213991"/>
    <w:rsid w:val="00213CC3"/>
    <w:rsid w:val="00213CFD"/>
    <w:rsid w:val="00213ED3"/>
    <w:rsid w:val="00213F87"/>
    <w:rsid w:val="00214214"/>
    <w:rsid w:val="00214238"/>
    <w:rsid w:val="00214411"/>
    <w:rsid w:val="00214500"/>
    <w:rsid w:val="00214548"/>
    <w:rsid w:val="0021472A"/>
    <w:rsid w:val="00214765"/>
    <w:rsid w:val="0021478A"/>
    <w:rsid w:val="0021478B"/>
    <w:rsid w:val="00214885"/>
    <w:rsid w:val="00214A31"/>
    <w:rsid w:val="00214A81"/>
    <w:rsid w:val="00214B5B"/>
    <w:rsid w:val="00214CD3"/>
    <w:rsid w:val="00214DAF"/>
    <w:rsid w:val="00214E6D"/>
    <w:rsid w:val="00214F27"/>
    <w:rsid w:val="00214F97"/>
    <w:rsid w:val="00215098"/>
    <w:rsid w:val="002154C4"/>
    <w:rsid w:val="00215633"/>
    <w:rsid w:val="00215657"/>
    <w:rsid w:val="00215676"/>
    <w:rsid w:val="002156BD"/>
    <w:rsid w:val="002157E7"/>
    <w:rsid w:val="00215803"/>
    <w:rsid w:val="00215875"/>
    <w:rsid w:val="002158B2"/>
    <w:rsid w:val="002158BC"/>
    <w:rsid w:val="002158EA"/>
    <w:rsid w:val="00215B53"/>
    <w:rsid w:val="00215B78"/>
    <w:rsid w:val="00215BAF"/>
    <w:rsid w:val="00215CF5"/>
    <w:rsid w:val="00215E15"/>
    <w:rsid w:val="00215FAF"/>
    <w:rsid w:val="00215FB7"/>
    <w:rsid w:val="00215FBC"/>
    <w:rsid w:val="00215FE7"/>
    <w:rsid w:val="00216173"/>
    <w:rsid w:val="002161CD"/>
    <w:rsid w:val="002162D0"/>
    <w:rsid w:val="00216451"/>
    <w:rsid w:val="00216566"/>
    <w:rsid w:val="00216586"/>
    <w:rsid w:val="002167A4"/>
    <w:rsid w:val="00216920"/>
    <w:rsid w:val="002169FC"/>
    <w:rsid w:val="00216AD0"/>
    <w:rsid w:val="00216D94"/>
    <w:rsid w:val="00216E14"/>
    <w:rsid w:val="00216E80"/>
    <w:rsid w:val="00216ECB"/>
    <w:rsid w:val="00216F5E"/>
    <w:rsid w:val="002171AF"/>
    <w:rsid w:val="002171FB"/>
    <w:rsid w:val="00217212"/>
    <w:rsid w:val="00217223"/>
    <w:rsid w:val="0021725F"/>
    <w:rsid w:val="00217297"/>
    <w:rsid w:val="00217645"/>
    <w:rsid w:val="00217717"/>
    <w:rsid w:val="00217733"/>
    <w:rsid w:val="0021782B"/>
    <w:rsid w:val="00217898"/>
    <w:rsid w:val="002178ED"/>
    <w:rsid w:val="00217A38"/>
    <w:rsid w:val="00217C04"/>
    <w:rsid w:val="00217C0D"/>
    <w:rsid w:val="00217C1D"/>
    <w:rsid w:val="00217E0C"/>
    <w:rsid w:val="00217F15"/>
    <w:rsid w:val="00220451"/>
    <w:rsid w:val="00220480"/>
    <w:rsid w:val="002206E4"/>
    <w:rsid w:val="002206E8"/>
    <w:rsid w:val="0022072C"/>
    <w:rsid w:val="002207AD"/>
    <w:rsid w:val="0022088A"/>
    <w:rsid w:val="00220896"/>
    <w:rsid w:val="00220965"/>
    <w:rsid w:val="00220C7B"/>
    <w:rsid w:val="00220D44"/>
    <w:rsid w:val="002210D8"/>
    <w:rsid w:val="00221274"/>
    <w:rsid w:val="00221342"/>
    <w:rsid w:val="00221394"/>
    <w:rsid w:val="00221456"/>
    <w:rsid w:val="002214C0"/>
    <w:rsid w:val="002216E7"/>
    <w:rsid w:val="002217E0"/>
    <w:rsid w:val="0022184E"/>
    <w:rsid w:val="00221905"/>
    <w:rsid w:val="0022193C"/>
    <w:rsid w:val="002219B0"/>
    <w:rsid w:val="002219E2"/>
    <w:rsid w:val="00221CA0"/>
    <w:rsid w:val="00221D00"/>
    <w:rsid w:val="0022200A"/>
    <w:rsid w:val="002221D2"/>
    <w:rsid w:val="00222364"/>
    <w:rsid w:val="002224D7"/>
    <w:rsid w:val="00222723"/>
    <w:rsid w:val="0022282D"/>
    <w:rsid w:val="0022293D"/>
    <w:rsid w:val="00222947"/>
    <w:rsid w:val="00222A93"/>
    <w:rsid w:val="00222AA4"/>
    <w:rsid w:val="00222E92"/>
    <w:rsid w:val="0022307C"/>
    <w:rsid w:val="0022329D"/>
    <w:rsid w:val="002232F8"/>
    <w:rsid w:val="002233E9"/>
    <w:rsid w:val="00223535"/>
    <w:rsid w:val="0022358E"/>
    <w:rsid w:val="00223DA3"/>
    <w:rsid w:val="00223DF6"/>
    <w:rsid w:val="00223ED5"/>
    <w:rsid w:val="00223ED9"/>
    <w:rsid w:val="00224061"/>
    <w:rsid w:val="00224086"/>
    <w:rsid w:val="002240AA"/>
    <w:rsid w:val="002241D4"/>
    <w:rsid w:val="0022433A"/>
    <w:rsid w:val="00224356"/>
    <w:rsid w:val="00224546"/>
    <w:rsid w:val="00224555"/>
    <w:rsid w:val="00224695"/>
    <w:rsid w:val="0022479B"/>
    <w:rsid w:val="0022480E"/>
    <w:rsid w:val="0022488E"/>
    <w:rsid w:val="002248CA"/>
    <w:rsid w:val="002249D0"/>
    <w:rsid w:val="00224B65"/>
    <w:rsid w:val="00224C8B"/>
    <w:rsid w:val="00224CB3"/>
    <w:rsid w:val="00224D04"/>
    <w:rsid w:val="00224F18"/>
    <w:rsid w:val="0022511B"/>
    <w:rsid w:val="002253D5"/>
    <w:rsid w:val="002254D7"/>
    <w:rsid w:val="002256DB"/>
    <w:rsid w:val="002256DF"/>
    <w:rsid w:val="0022588F"/>
    <w:rsid w:val="002259B4"/>
    <w:rsid w:val="00225AC6"/>
    <w:rsid w:val="00225C3B"/>
    <w:rsid w:val="00225D2A"/>
    <w:rsid w:val="00225E56"/>
    <w:rsid w:val="00225EC4"/>
    <w:rsid w:val="0022612D"/>
    <w:rsid w:val="002262B4"/>
    <w:rsid w:val="00226382"/>
    <w:rsid w:val="0022656B"/>
    <w:rsid w:val="00226584"/>
    <w:rsid w:val="002265F2"/>
    <w:rsid w:val="002266A1"/>
    <w:rsid w:val="00226706"/>
    <w:rsid w:val="00226782"/>
    <w:rsid w:val="002268FB"/>
    <w:rsid w:val="00226970"/>
    <w:rsid w:val="00226A69"/>
    <w:rsid w:val="00226B31"/>
    <w:rsid w:val="00226B54"/>
    <w:rsid w:val="00226BDC"/>
    <w:rsid w:val="00226C31"/>
    <w:rsid w:val="00226E51"/>
    <w:rsid w:val="00226FC9"/>
    <w:rsid w:val="00227019"/>
    <w:rsid w:val="002271CC"/>
    <w:rsid w:val="002271D1"/>
    <w:rsid w:val="002272A9"/>
    <w:rsid w:val="00227436"/>
    <w:rsid w:val="00227498"/>
    <w:rsid w:val="002275E2"/>
    <w:rsid w:val="002278D8"/>
    <w:rsid w:val="00227917"/>
    <w:rsid w:val="002279C0"/>
    <w:rsid w:val="00227A05"/>
    <w:rsid w:val="00227B5B"/>
    <w:rsid w:val="00227E03"/>
    <w:rsid w:val="00230197"/>
    <w:rsid w:val="00230198"/>
    <w:rsid w:val="00230210"/>
    <w:rsid w:val="002302DC"/>
    <w:rsid w:val="0023042B"/>
    <w:rsid w:val="00230478"/>
    <w:rsid w:val="00230482"/>
    <w:rsid w:val="002305FD"/>
    <w:rsid w:val="002308BC"/>
    <w:rsid w:val="00230B22"/>
    <w:rsid w:val="00230BD9"/>
    <w:rsid w:val="00230CBF"/>
    <w:rsid w:val="00230EC4"/>
    <w:rsid w:val="00230ED1"/>
    <w:rsid w:val="00230F74"/>
    <w:rsid w:val="00231015"/>
    <w:rsid w:val="0023105D"/>
    <w:rsid w:val="00231131"/>
    <w:rsid w:val="0023124B"/>
    <w:rsid w:val="00231390"/>
    <w:rsid w:val="00231637"/>
    <w:rsid w:val="00231CCA"/>
    <w:rsid w:val="00231D7F"/>
    <w:rsid w:val="00231DBE"/>
    <w:rsid w:val="00231EE6"/>
    <w:rsid w:val="00232056"/>
    <w:rsid w:val="00232073"/>
    <w:rsid w:val="002320B7"/>
    <w:rsid w:val="00232181"/>
    <w:rsid w:val="00232231"/>
    <w:rsid w:val="0023237F"/>
    <w:rsid w:val="00232383"/>
    <w:rsid w:val="002323E9"/>
    <w:rsid w:val="00232458"/>
    <w:rsid w:val="00232578"/>
    <w:rsid w:val="002325B6"/>
    <w:rsid w:val="002325E7"/>
    <w:rsid w:val="002325F6"/>
    <w:rsid w:val="0023264F"/>
    <w:rsid w:val="00232839"/>
    <w:rsid w:val="00232852"/>
    <w:rsid w:val="00232A39"/>
    <w:rsid w:val="00232A5E"/>
    <w:rsid w:val="00232A77"/>
    <w:rsid w:val="00232B0F"/>
    <w:rsid w:val="00232E01"/>
    <w:rsid w:val="00232EF4"/>
    <w:rsid w:val="0023323C"/>
    <w:rsid w:val="002333E5"/>
    <w:rsid w:val="002336F9"/>
    <w:rsid w:val="0023378B"/>
    <w:rsid w:val="002337CA"/>
    <w:rsid w:val="002337CC"/>
    <w:rsid w:val="0023387F"/>
    <w:rsid w:val="00233A53"/>
    <w:rsid w:val="00233AA8"/>
    <w:rsid w:val="00233BD6"/>
    <w:rsid w:val="00233C97"/>
    <w:rsid w:val="00233CFA"/>
    <w:rsid w:val="00233E1D"/>
    <w:rsid w:val="00233EB6"/>
    <w:rsid w:val="00233ED0"/>
    <w:rsid w:val="002340DE"/>
    <w:rsid w:val="00234435"/>
    <w:rsid w:val="002344E4"/>
    <w:rsid w:val="00234540"/>
    <w:rsid w:val="002345AD"/>
    <w:rsid w:val="002346E2"/>
    <w:rsid w:val="00234C2A"/>
    <w:rsid w:val="00234C3F"/>
    <w:rsid w:val="00234C83"/>
    <w:rsid w:val="00234D42"/>
    <w:rsid w:val="00234F1A"/>
    <w:rsid w:val="0023511B"/>
    <w:rsid w:val="00235272"/>
    <w:rsid w:val="002354B0"/>
    <w:rsid w:val="0023561A"/>
    <w:rsid w:val="0023565B"/>
    <w:rsid w:val="00235816"/>
    <w:rsid w:val="002358BF"/>
    <w:rsid w:val="002358D0"/>
    <w:rsid w:val="00235B1B"/>
    <w:rsid w:val="00235BB9"/>
    <w:rsid w:val="00235D0B"/>
    <w:rsid w:val="00235DE3"/>
    <w:rsid w:val="00235EDC"/>
    <w:rsid w:val="00235F90"/>
    <w:rsid w:val="002364CE"/>
    <w:rsid w:val="002366EE"/>
    <w:rsid w:val="002369D0"/>
    <w:rsid w:val="002369DF"/>
    <w:rsid w:val="00236AA8"/>
    <w:rsid w:val="00236B72"/>
    <w:rsid w:val="00236F4F"/>
    <w:rsid w:val="002371D9"/>
    <w:rsid w:val="00237297"/>
    <w:rsid w:val="002373CC"/>
    <w:rsid w:val="00237467"/>
    <w:rsid w:val="002377D1"/>
    <w:rsid w:val="0023783D"/>
    <w:rsid w:val="00237907"/>
    <w:rsid w:val="002379EF"/>
    <w:rsid w:val="00237D02"/>
    <w:rsid w:val="00237DE7"/>
    <w:rsid w:val="00237E8F"/>
    <w:rsid w:val="00237ED3"/>
    <w:rsid w:val="002402C8"/>
    <w:rsid w:val="002402F0"/>
    <w:rsid w:val="00240309"/>
    <w:rsid w:val="00240510"/>
    <w:rsid w:val="00240798"/>
    <w:rsid w:val="002407A6"/>
    <w:rsid w:val="0024089F"/>
    <w:rsid w:val="002408C7"/>
    <w:rsid w:val="002408E8"/>
    <w:rsid w:val="00240A9D"/>
    <w:rsid w:val="00240B09"/>
    <w:rsid w:val="00240B8C"/>
    <w:rsid w:val="00240C0F"/>
    <w:rsid w:val="00240D08"/>
    <w:rsid w:val="00240D19"/>
    <w:rsid w:val="00240DE1"/>
    <w:rsid w:val="00240FD5"/>
    <w:rsid w:val="00241164"/>
    <w:rsid w:val="002411E9"/>
    <w:rsid w:val="002413DA"/>
    <w:rsid w:val="00241580"/>
    <w:rsid w:val="00241607"/>
    <w:rsid w:val="002416C4"/>
    <w:rsid w:val="002416D4"/>
    <w:rsid w:val="00241975"/>
    <w:rsid w:val="002419D3"/>
    <w:rsid w:val="00241ACF"/>
    <w:rsid w:val="00241ADF"/>
    <w:rsid w:val="00241C36"/>
    <w:rsid w:val="00241D35"/>
    <w:rsid w:val="00241DCC"/>
    <w:rsid w:val="00241E1C"/>
    <w:rsid w:val="0024218B"/>
    <w:rsid w:val="002424D1"/>
    <w:rsid w:val="0024263B"/>
    <w:rsid w:val="0024279D"/>
    <w:rsid w:val="002427EA"/>
    <w:rsid w:val="002427F5"/>
    <w:rsid w:val="0024288F"/>
    <w:rsid w:val="00242997"/>
    <w:rsid w:val="00242A5E"/>
    <w:rsid w:val="00242ADA"/>
    <w:rsid w:val="0024302E"/>
    <w:rsid w:val="002433A9"/>
    <w:rsid w:val="0024378C"/>
    <w:rsid w:val="002438D4"/>
    <w:rsid w:val="0024392E"/>
    <w:rsid w:val="00243AC5"/>
    <w:rsid w:val="00243AF5"/>
    <w:rsid w:val="00243C72"/>
    <w:rsid w:val="00243D75"/>
    <w:rsid w:val="00244040"/>
    <w:rsid w:val="00244334"/>
    <w:rsid w:val="002445F5"/>
    <w:rsid w:val="00244BE3"/>
    <w:rsid w:val="00244CE7"/>
    <w:rsid w:val="00244DC7"/>
    <w:rsid w:val="00244EA2"/>
    <w:rsid w:val="00244ECE"/>
    <w:rsid w:val="00245008"/>
    <w:rsid w:val="002450BF"/>
    <w:rsid w:val="00245281"/>
    <w:rsid w:val="002452B2"/>
    <w:rsid w:val="00245408"/>
    <w:rsid w:val="002454BB"/>
    <w:rsid w:val="002455AF"/>
    <w:rsid w:val="002457F9"/>
    <w:rsid w:val="00245809"/>
    <w:rsid w:val="0024581B"/>
    <w:rsid w:val="0024585E"/>
    <w:rsid w:val="002458FC"/>
    <w:rsid w:val="002459D3"/>
    <w:rsid w:val="002459FD"/>
    <w:rsid w:val="00245A26"/>
    <w:rsid w:val="00245A4C"/>
    <w:rsid w:val="00245AB0"/>
    <w:rsid w:val="00245B39"/>
    <w:rsid w:val="00245BF8"/>
    <w:rsid w:val="00245CE7"/>
    <w:rsid w:val="00245D46"/>
    <w:rsid w:val="00245FF9"/>
    <w:rsid w:val="00246021"/>
    <w:rsid w:val="00246036"/>
    <w:rsid w:val="00246095"/>
    <w:rsid w:val="0024622F"/>
    <w:rsid w:val="0024629F"/>
    <w:rsid w:val="002462D9"/>
    <w:rsid w:val="002463D8"/>
    <w:rsid w:val="002463F6"/>
    <w:rsid w:val="00246431"/>
    <w:rsid w:val="0024656E"/>
    <w:rsid w:val="002465DC"/>
    <w:rsid w:val="00246974"/>
    <w:rsid w:val="002469C9"/>
    <w:rsid w:val="002469EE"/>
    <w:rsid w:val="00246A63"/>
    <w:rsid w:val="00246A7E"/>
    <w:rsid w:val="00246BE6"/>
    <w:rsid w:val="00246C02"/>
    <w:rsid w:val="00246D5A"/>
    <w:rsid w:val="00246EED"/>
    <w:rsid w:val="00246FDF"/>
    <w:rsid w:val="00247053"/>
    <w:rsid w:val="00247189"/>
    <w:rsid w:val="002473D6"/>
    <w:rsid w:val="00247437"/>
    <w:rsid w:val="0024746A"/>
    <w:rsid w:val="002477DD"/>
    <w:rsid w:val="00247B46"/>
    <w:rsid w:val="00247CF5"/>
    <w:rsid w:val="00247D97"/>
    <w:rsid w:val="00247E78"/>
    <w:rsid w:val="00247EFD"/>
    <w:rsid w:val="002500B5"/>
    <w:rsid w:val="002500D1"/>
    <w:rsid w:val="0025013B"/>
    <w:rsid w:val="002502D5"/>
    <w:rsid w:val="0025047C"/>
    <w:rsid w:val="00250548"/>
    <w:rsid w:val="00250630"/>
    <w:rsid w:val="002506A0"/>
    <w:rsid w:val="00250A89"/>
    <w:rsid w:val="00250ADB"/>
    <w:rsid w:val="00250AE8"/>
    <w:rsid w:val="00250B4D"/>
    <w:rsid w:val="00250B54"/>
    <w:rsid w:val="00250EBB"/>
    <w:rsid w:val="00250FD0"/>
    <w:rsid w:val="00251448"/>
    <w:rsid w:val="002514A5"/>
    <w:rsid w:val="002516CB"/>
    <w:rsid w:val="00251712"/>
    <w:rsid w:val="00251A04"/>
    <w:rsid w:val="00251AC2"/>
    <w:rsid w:val="00251BC0"/>
    <w:rsid w:val="00251BE4"/>
    <w:rsid w:val="00251CFF"/>
    <w:rsid w:val="002520AC"/>
    <w:rsid w:val="002525E5"/>
    <w:rsid w:val="00252607"/>
    <w:rsid w:val="00252780"/>
    <w:rsid w:val="002527AB"/>
    <w:rsid w:val="002528E5"/>
    <w:rsid w:val="0025296E"/>
    <w:rsid w:val="00252976"/>
    <w:rsid w:val="00252A4D"/>
    <w:rsid w:val="00252C21"/>
    <w:rsid w:val="00252C28"/>
    <w:rsid w:val="00252CE1"/>
    <w:rsid w:val="00252E6E"/>
    <w:rsid w:val="00252F19"/>
    <w:rsid w:val="00252F3B"/>
    <w:rsid w:val="00252FCC"/>
    <w:rsid w:val="002530C3"/>
    <w:rsid w:val="0025311C"/>
    <w:rsid w:val="0025328D"/>
    <w:rsid w:val="002535E4"/>
    <w:rsid w:val="0025373C"/>
    <w:rsid w:val="00253810"/>
    <w:rsid w:val="002538EE"/>
    <w:rsid w:val="0025396D"/>
    <w:rsid w:val="00253AC8"/>
    <w:rsid w:val="00253CCB"/>
    <w:rsid w:val="00253D38"/>
    <w:rsid w:val="00253D46"/>
    <w:rsid w:val="00253D94"/>
    <w:rsid w:val="00253E7B"/>
    <w:rsid w:val="00253ED5"/>
    <w:rsid w:val="002540E0"/>
    <w:rsid w:val="00254290"/>
    <w:rsid w:val="0025441B"/>
    <w:rsid w:val="002546E3"/>
    <w:rsid w:val="00254713"/>
    <w:rsid w:val="00254751"/>
    <w:rsid w:val="002547D8"/>
    <w:rsid w:val="00254944"/>
    <w:rsid w:val="00254D67"/>
    <w:rsid w:val="00254DFA"/>
    <w:rsid w:val="002552A4"/>
    <w:rsid w:val="002553C6"/>
    <w:rsid w:val="00255430"/>
    <w:rsid w:val="00255540"/>
    <w:rsid w:val="002555FE"/>
    <w:rsid w:val="002558BE"/>
    <w:rsid w:val="00255B0A"/>
    <w:rsid w:val="00255C50"/>
    <w:rsid w:val="00255C84"/>
    <w:rsid w:val="00255E40"/>
    <w:rsid w:val="00255FAB"/>
    <w:rsid w:val="002560BA"/>
    <w:rsid w:val="0025628A"/>
    <w:rsid w:val="002562DD"/>
    <w:rsid w:val="0025666C"/>
    <w:rsid w:val="00256681"/>
    <w:rsid w:val="0025675F"/>
    <w:rsid w:val="00256772"/>
    <w:rsid w:val="002568DC"/>
    <w:rsid w:val="00256A70"/>
    <w:rsid w:val="00256AB4"/>
    <w:rsid w:val="00256C0A"/>
    <w:rsid w:val="00256C67"/>
    <w:rsid w:val="00256C6C"/>
    <w:rsid w:val="00256CE7"/>
    <w:rsid w:val="00256EE5"/>
    <w:rsid w:val="0025720B"/>
    <w:rsid w:val="0025726F"/>
    <w:rsid w:val="00257377"/>
    <w:rsid w:val="002574F8"/>
    <w:rsid w:val="00257520"/>
    <w:rsid w:val="002575DF"/>
    <w:rsid w:val="00257655"/>
    <w:rsid w:val="002577D2"/>
    <w:rsid w:val="002578D4"/>
    <w:rsid w:val="00257A61"/>
    <w:rsid w:val="00257B58"/>
    <w:rsid w:val="00257B78"/>
    <w:rsid w:val="00257BE1"/>
    <w:rsid w:val="00257C11"/>
    <w:rsid w:val="00257E2D"/>
    <w:rsid w:val="00257FDB"/>
    <w:rsid w:val="002607BC"/>
    <w:rsid w:val="00260809"/>
    <w:rsid w:val="002608A7"/>
    <w:rsid w:val="0026090B"/>
    <w:rsid w:val="00260AAC"/>
    <w:rsid w:val="00260F8F"/>
    <w:rsid w:val="002612E1"/>
    <w:rsid w:val="00261344"/>
    <w:rsid w:val="0026167E"/>
    <w:rsid w:val="002616EE"/>
    <w:rsid w:val="0026184E"/>
    <w:rsid w:val="0026198C"/>
    <w:rsid w:val="002619F5"/>
    <w:rsid w:val="00261A9F"/>
    <w:rsid w:val="00261B4E"/>
    <w:rsid w:val="00261C48"/>
    <w:rsid w:val="00261CFB"/>
    <w:rsid w:val="00261DD7"/>
    <w:rsid w:val="00261E0E"/>
    <w:rsid w:val="00261E25"/>
    <w:rsid w:val="00261F0C"/>
    <w:rsid w:val="00261F1D"/>
    <w:rsid w:val="00262071"/>
    <w:rsid w:val="002621D9"/>
    <w:rsid w:val="002621EC"/>
    <w:rsid w:val="00262288"/>
    <w:rsid w:val="002622AC"/>
    <w:rsid w:val="00262325"/>
    <w:rsid w:val="002624F3"/>
    <w:rsid w:val="002624F6"/>
    <w:rsid w:val="00262554"/>
    <w:rsid w:val="0026258A"/>
    <w:rsid w:val="00262767"/>
    <w:rsid w:val="002629AA"/>
    <w:rsid w:val="00262B74"/>
    <w:rsid w:val="00262B86"/>
    <w:rsid w:val="00262C37"/>
    <w:rsid w:val="00262C5A"/>
    <w:rsid w:val="00262CD8"/>
    <w:rsid w:val="00262F16"/>
    <w:rsid w:val="00262F64"/>
    <w:rsid w:val="0026311F"/>
    <w:rsid w:val="00263123"/>
    <w:rsid w:val="0026340E"/>
    <w:rsid w:val="00263442"/>
    <w:rsid w:val="00263550"/>
    <w:rsid w:val="002636CD"/>
    <w:rsid w:val="002636FB"/>
    <w:rsid w:val="002637A9"/>
    <w:rsid w:val="002638FE"/>
    <w:rsid w:val="00263A53"/>
    <w:rsid w:val="00263B4A"/>
    <w:rsid w:val="00263DCA"/>
    <w:rsid w:val="00263E18"/>
    <w:rsid w:val="00263EA6"/>
    <w:rsid w:val="00263EAF"/>
    <w:rsid w:val="00263EFA"/>
    <w:rsid w:val="00263F3A"/>
    <w:rsid w:val="00263FB2"/>
    <w:rsid w:val="00263FE0"/>
    <w:rsid w:val="00264103"/>
    <w:rsid w:val="0026425C"/>
    <w:rsid w:val="00264455"/>
    <w:rsid w:val="002644E8"/>
    <w:rsid w:val="00264500"/>
    <w:rsid w:val="00264632"/>
    <w:rsid w:val="002647A9"/>
    <w:rsid w:val="00264B40"/>
    <w:rsid w:val="00264D2D"/>
    <w:rsid w:val="00264F11"/>
    <w:rsid w:val="002650ED"/>
    <w:rsid w:val="0026534B"/>
    <w:rsid w:val="00265449"/>
    <w:rsid w:val="0026565B"/>
    <w:rsid w:val="002656D6"/>
    <w:rsid w:val="002658B4"/>
    <w:rsid w:val="00265901"/>
    <w:rsid w:val="00265ABA"/>
    <w:rsid w:val="00265B64"/>
    <w:rsid w:val="00265C5B"/>
    <w:rsid w:val="00265CCC"/>
    <w:rsid w:val="00265DCC"/>
    <w:rsid w:val="00265ECE"/>
    <w:rsid w:val="0026602A"/>
    <w:rsid w:val="0026606B"/>
    <w:rsid w:val="002660E7"/>
    <w:rsid w:val="002661B2"/>
    <w:rsid w:val="002661C2"/>
    <w:rsid w:val="00266275"/>
    <w:rsid w:val="00266849"/>
    <w:rsid w:val="002668F3"/>
    <w:rsid w:val="00266A6A"/>
    <w:rsid w:val="00266CCE"/>
    <w:rsid w:val="00266E17"/>
    <w:rsid w:val="00266FD5"/>
    <w:rsid w:val="00266FDC"/>
    <w:rsid w:val="002672AE"/>
    <w:rsid w:val="002674C6"/>
    <w:rsid w:val="002674D9"/>
    <w:rsid w:val="002678BC"/>
    <w:rsid w:val="002678D9"/>
    <w:rsid w:val="00267963"/>
    <w:rsid w:val="00267AD3"/>
    <w:rsid w:val="00267B13"/>
    <w:rsid w:val="00267B59"/>
    <w:rsid w:val="00267BAD"/>
    <w:rsid w:val="00267F18"/>
    <w:rsid w:val="00267F4A"/>
    <w:rsid w:val="00267F6A"/>
    <w:rsid w:val="00267F99"/>
    <w:rsid w:val="0026F19D"/>
    <w:rsid w:val="002702F1"/>
    <w:rsid w:val="0027035B"/>
    <w:rsid w:val="002705C0"/>
    <w:rsid w:val="002707F2"/>
    <w:rsid w:val="0027094C"/>
    <w:rsid w:val="00270A1C"/>
    <w:rsid w:val="00270A67"/>
    <w:rsid w:val="00270A82"/>
    <w:rsid w:val="00270AAE"/>
    <w:rsid w:val="00270AFE"/>
    <w:rsid w:val="00270C2B"/>
    <w:rsid w:val="00270F37"/>
    <w:rsid w:val="00270FEF"/>
    <w:rsid w:val="0027108E"/>
    <w:rsid w:val="002710A4"/>
    <w:rsid w:val="00271117"/>
    <w:rsid w:val="002711A4"/>
    <w:rsid w:val="002711B7"/>
    <w:rsid w:val="002711F4"/>
    <w:rsid w:val="00271250"/>
    <w:rsid w:val="00271393"/>
    <w:rsid w:val="002713D7"/>
    <w:rsid w:val="002714D5"/>
    <w:rsid w:val="00271695"/>
    <w:rsid w:val="0027173F"/>
    <w:rsid w:val="00271984"/>
    <w:rsid w:val="002719C4"/>
    <w:rsid w:val="00271B4D"/>
    <w:rsid w:val="00271F67"/>
    <w:rsid w:val="002722D0"/>
    <w:rsid w:val="00272303"/>
    <w:rsid w:val="0027244C"/>
    <w:rsid w:val="00272454"/>
    <w:rsid w:val="002724E2"/>
    <w:rsid w:val="00272651"/>
    <w:rsid w:val="00272656"/>
    <w:rsid w:val="0027273E"/>
    <w:rsid w:val="002728C7"/>
    <w:rsid w:val="0027299A"/>
    <w:rsid w:val="00272AB0"/>
    <w:rsid w:val="00272CC8"/>
    <w:rsid w:val="00272F7E"/>
    <w:rsid w:val="00272F91"/>
    <w:rsid w:val="00272FA7"/>
    <w:rsid w:val="002730DF"/>
    <w:rsid w:val="00273194"/>
    <w:rsid w:val="0027326F"/>
    <w:rsid w:val="002732EF"/>
    <w:rsid w:val="0027337E"/>
    <w:rsid w:val="002733A3"/>
    <w:rsid w:val="00273426"/>
    <w:rsid w:val="002734CF"/>
    <w:rsid w:val="00273658"/>
    <w:rsid w:val="002737EC"/>
    <w:rsid w:val="0027389A"/>
    <w:rsid w:val="00273A80"/>
    <w:rsid w:val="00273B4A"/>
    <w:rsid w:val="00273BE4"/>
    <w:rsid w:val="00273C2E"/>
    <w:rsid w:val="00273C48"/>
    <w:rsid w:val="00273D51"/>
    <w:rsid w:val="00273F44"/>
    <w:rsid w:val="002740A3"/>
    <w:rsid w:val="002741B2"/>
    <w:rsid w:val="002741F4"/>
    <w:rsid w:val="0027433B"/>
    <w:rsid w:val="002748D4"/>
    <w:rsid w:val="00274A46"/>
    <w:rsid w:val="00274BCF"/>
    <w:rsid w:val="00274E00"/>
    <w:rsid w:val="00274ECA"/>
    <w:rsid w:val="00274F23"/>
    <w:rsid w:val="00274F9A"/>
    <w:rsid w:val="00275061"/>
    <w:rsid w:val="0027523B"/>
    <w:rsid w:val="002752F5"/>
    <w:rsid w:val="00275497"/>
    <w:rsid w:val="002754C7"/>
    <w:rsid w:val="0027550F"/>
    <w:rsid w:val="00275533"/>
    <w:rsid w:val="00275552"/>
    <w:rsid w:val="0027585F"/>
    <w:rsid w:val="00275C67"/>
    <w:rsid w:val="00275D92"/>
    <w:rsid w:val="00275ECF"/>
    <w:rsid w:val="00275F3D"/>
    <w:rsid w:val="00275FCD"/>
    <w:rsid w:val="00276147"/>
    <w:rsid w:val="002763EB"/>
    <w:rsid w:val="00276429"/>
    <w:rsid w:val="00276483"/>
    <w:rsid w:val="0027649B"/>
    <w:rsid w:val="0027663D"/>
    <w:rsid w:val="00276665"/>
    <w:rsid w:val="00276825"/>
    <w:rsid w:val="0027699A"/>
    <w:rsid w:val="00276A2E"/>
    <w:rsid w:val="00276ACD"/>
    <w:rsid w:val="00276B58"/>
    <w:rsid w:val="00276C01"/>
    <w:rsid w:val="00276D39"/>
    <w:rsid w:val="00276D68"/>
    <w:rsid w:val="00276E72"/>
    <w:rsid w:val="00276EA4"/>
    <w:rsid w:val="00276EA6"/>
    <w:rsid w:val="00276F62"/>
    <w:rsid w:val="0027723A"/>
    <w:rsid w:val="00277313"/>
    <w:rsid w:val="00277525"/>
    <w:rsid w:val="00277571"/>
    <w:rsid w:val="0027757E"/>
    <w:rsid w:val="0027764A"/>
    <w:rsid w:val="0027769B"/>
    <w:rsid w:val="002776C9"/>
    <w:rsid w:val="0027775C"/>
    <w:rsid w:val="002777EB"/>
    <w:rsid w:val="002779CB"/>
    <w:rsid w:val="00277A1B"/>
    <w:rsid w:val="00277A42"/>
    <w:rsid w:val="00277BEC"/>
    <w:rsid w:val="00277CF6"/>
    <w:rsid w:val="00277D42"/>
    <w:rsid w:val="00277D71"/>
    <w:rsid w:val="00280128"/>
    <w:rsid w:val="002801B4"/>
    <w:rsid w:val="0028027B"/>
    <w:rsid w:val="002803BB"/>
    <w:rsid w:val="00280412"/>
    <w:rsid w:val="00280502"/>
    <w:rsid w:val="00280642"/>
    <w:rsid w:val="0028069B"/>
    <w:rsid w:val="002807DB"/>
    <w:rsid w:val="00280A14"/>
    <w:rsid w:val="00280AE6"/>
    <w:rsid w:val="00280AE9"/>
    <w:rsid w:val="00280BA1"/>
    <w:rsid w:val="00280BF3"/>
    <w:rsid w:val="00280F2B"/>
    <w:rsid w:val="00280F8D"/>
    <w:rsid w:val="0028111C"/>
    <w:rsid w:val="00281216"/>
    <w:rsid w:val="00281368"/>
    <w:rsid w:val="00281449"/>
    <w:rsid w:val="0028153D"/>
    <w:rsid w:val="0028161C"/>
    <w:rsid w:val="00281931"/>
    <w:rsid w:val="00281AB4"/>
    <w:rsid w:val="00281B04"/>
    <w:rsid w:val="00281B0D"/>
    <w:rsid w:val="00281B1C"/>
    <w:rsid w:val="00281B7E"/>
    <w:rsid w:val="00281BD0"/>
    <w:rsid w:val="00281DD9"/>
    <w:rsid w:val="00281F63"/>
    <w:rsid w:val="00281FDC"/>
    <w:rsid w:val="002821C5"/>
    <w:rsid w:val="00282278"/>
    <w:rsid w:val="00282524"/>
    <w:rsid w:val="002825A4"/>
    <w:rsid w:val="002826E0"/>
    <w:rsid w:val="00282ADC"/>
    <w:rsid w:val="00282B2B"/>
    <w:rsid w:val="00282B87"/>
    <w:rsid w:val="00282B96"/>
    <w:rsid w:val="00283157"/>
    <w:rsid w:val="0028324C"/>
    <w:rsid w:val="002832C3"/>
    <w:rsid w:val="00283304"/>
    <w:rsid w:val="002833B3"/>
    <w:rsid w:val="00283407"/>
    <w:rsid w:val="00283483"/>
    <w:rsid w:val="00283773"/>
    <w:rsid w:val="002837B4"/>
    <w:rsid w:val="002838C8"/>
    <w:rsid w:val="00283BC5"/>
    <w:rsid w:val="00283BF4"/>
    <w:rsid w:val="00283D4F"/>
    <w:rsid w:val="00283E3A"/>
    <w:rsid w:val="00283E59"/>
    <w:rsid w:val="00283ED9"/>
    <w:rsid w:val="00283FAB"/>
    <w:rsid w:val="00283FF6"/>
    <w:rsid w:val="002841FF"/>
    <w:rsid w:val="00284428"/>
    <w:rsid w:val="002846F9"/>
    <w:rsid w:val="002847BC"/>
    <w:rsid w:val="00284A6D"/>
    <w:rsid w:val="00284A94"/>
    <w:rsid w:val="00284BA3"/>
    <w:rsid w:val="00284BF8"/>
    <w:rsid w:val="00284C28"/>
    <w:rsid w:val="00284E94"/>
    <w:rsid w:val="00284EFA"/>
    <w:rsid w:val="002850CF"/>
    <w:rsid w:val="0028515E"/>
    <w:rsid w:val="002851DF"/>
    <w:rsid w:val="00285389"/>
    <w:rsid w:val="002854A6"/>
    <w:rsid w:val="00285559"/>
    <w:rsid w:val="00285773"/>
    <w:rsid w:val="002857DC"/>
    <w:rsid w:val="00285816"/>
    <w:rsid w:val="00285CD7"/>
    <w:rsid w:val="00285E02"/>
    <w:rsid w:val="00285E0F"/>
    <w:rsid w:val="00285E3C"/>
    <w:rsid w:val="00285E9E"/>
    <w:rsid w:val="00285EF0"/>
    <w:rsid w:val="00285F03"/>
    <w:rsid w:val="00285F5D"/>
    <w:rsid w:val="00285F80"/>
    <w:rsid w:val="0028624C"/>
    <w:rsid w:val="002862BD"/>
    <w:rsid w:val="00286551"/>
    <w:rsid w:val="002865AB"/>
    <w:rsid w:val="00286650"/>
    <w:rsid w:val="00286881"/>
    <w:rsid w:val="00286939"/>
    <w:rsid w:val="00286BC9"/>
    <w:rsid w:val="00286D65"/>
    <w:rsid w:val="00286DB3"/>
    <w:rsid w:val="00286DF5"/>
    <w:rsid w:val="00286FEF"/>
    <w:rsid w:val="002871AB"/>
    <w:rsid w:val="002871D8"/>
    <w:rsid w:val="002872DE"/>
    <w:rsid w:val="00287382"/>
    <w:rsid w:val="002874DA"/>
    <w:rsid w:val="002874FC"/>
    <w:rsid w:val="00287533"/>
    <w:rsid w:val="00287715"/>
    <w:rsid w:val="00287897"/>
    <w:rsid w:val="00287B11"/>
    <w:rsid w:val="00287BA6"/>
    <w:rsid w:val="00287C37"/>
    <w:rsid w:val="00287C6F"/>
    <w:rsid w:val="00287E0E"/>
    <w:rsid w:val="00287F73"/>
    <w:rsid w:val="00290010"/>
    <w:rsid w:val="002902E1"/>
    <w:rsid w:val="002904CC"/>
    <w:rsid w:val="002907EC"/>
    <w:rsid w:val="0029096E"/>
    <w:rsid w:val="00290AD4"/>
    <w:rsid w:val="00290D63"/>
    <w:rsid w:val="00290DAE"/>
    <w:rsid w:val="00290F0F"/>
    <w:rsid w:val="00291027"/>
    <w:rsid w:val="00291126"/>
    <w:rsid w:val="002911BC"/>
    <w:rsid w:val="002911C4"/>
    <w:rsid w:val="002911E3"/>
    <w:rsid w:val="00291424"/>
    <w:rsid w:val="00291452"/>
    <w:rsid w:val="00291518"/>
    <w:rsid w:val="002916B8"/>
    <w:rsid w:val="0029176F"/>
    <w:rsid w:val="00291801"/>
    <w:rsid w:val="00291B15"/>
    <w:rsid w:val="00291C86"/>
    <w:rsid w:val="00291DD2"/>
    <w:rsid w:val="00291E25"/>
    <w:rsid w:val="00291F5C"/>
    <w:rsid w:val="00292065"/>
    <w:rsid w:val="00292333"/>
    <w:rsid w:val="002923AA"/>
    <w:rsid w:val="002927A8"/>
    <w:rsid w:val="00292A42"/>
    <w:rsid w:val="00292B43"/>
    <w:rsid w:val="00292BE5"/>
    <w:rsid w:val="00292CB4"/>
    <w:rsid w:val="00292E78"/>
    <w:rsid w:val="00292FB7"/>
    <w:rsid w:val="0029300D"/>
    <w:rsid w:val="00293157"/>
    <w:rsid w:val="002932B0"/>
    <w:rsid w:val="002932EA"/>
    <w:rsid w:val="00293410"/>
    <w:rsid w:val="0029346E"/>
    <w:rsid w:val="002934FC"/>
    <w:rsid w:val="00293759"/>
    <w:rsid w:val="0029388B"/>
    <w:rsid w:val="002939B5"/>
    <w:rsid w:val="00293A13"/>
    <w:rsid w:val="00293AD4"/>
    <w:rsid w:val="00293AF7"/>
    <w:rsid w:val="00293B7A"/>
    <w:rsid w:val="00293BFD"/>
    <w:rsid w:val="00293DB6"/>
    <w:rsid w:val="00293F5E"/>
    <w:rsid w:val="00294011"/>
    <w:rsid w:val="00294152"/>
    <w:rsid w:val="0029443C"/>
    <w:rsid w:val="002944F9"/>
    <w:rsid w:val="002945F7"/>
    <w:rsid w:val="002946AE"/>
    <w:rsid w:val="002946C7"/>
    <w:rsid w:val="00294705"/>
    <w:rsid w:val="002947B7"/>
    <w:rsid w:val="0029483C"/>
    <w:rsid w:val="002948E5"/>
    <w:rsid w:val="00294A6E"/>
    <w:rsid w:val="00294BF0"/>
    <w:rsid w:val="00294D62"/>
    <w:rsid w:val="002950F0"/>
    <w:rsid w:val="0029510B"/>
    <w:rsid w:val="0029538A"/>
    <w:rsid w:val="002953C9"/>
    <w:rsid w:val="002954A4"/>
    <w:rsid w:val="002955F4"/>
    <w:rsid w:val="00295880"/>
    <w:rsid w:val="002959C1"/>
    <w:rsid w:val="002959CA"/>
    <w:rsid w:val="00295B6D"/>
    <w:rsid w:val="00295E05"/>
    <w:rsid w:val="00295FC4"/>
    <w:rsid w:val="00296001"/>
    <w:rsid w:val="0029601C"/>
    <w:rsid w:val="00296365"/>
    <w:rsid w:val="0029638E"/>
    <w:rsid w:val="00296441"/>
    <w:rsid w:val="002967B1"/>
    <w:rsid w:val="00296B51"/>
    <w:rsid w:val="00296C4D"/>
    <w:rsid w:val="00296D9E"/>
    <w:rsid w:val="00296DF0"/>
    <w:rsid w:val="00296DF2"/>
    <w:rsid w:val="00296E83"/>
    <w:rsid w:val="00297061"/>
    <w:rsid w:val="0029726F"/>
    <w:rsid w:val="0029732F"/>
    <w:rsid w:val="002975EB"/>
    <w:rsid w:val="002976B3"/>
    <w:rsid w:val="002977CD"/>
    <w:rsid w:val="00297936"/>
    <w:rsid w:val="00297C53"/>
    <w:rsid w:val="00297DF5"/>
    <w:rsid w:val="00297F18"/>
    <w:rsid w:val="00297F22"/>
    <w:rsid w:val="002A0186"/>
    <w:rsid w:val="002A0537"/>
    <w:rsid w:val="002A066B"/>
    <w:rsid w:val="002A074A"/>
    <w:rsid w:val="002A07EC"/>
    <w:rsid w:val="002A080D"/>
    <w:rsid w:val="002A0A3A"/>
    <w:rsid w:val="002A0BE0"/>
    <w:rsid w:val="002A0E46"/>
    <w:rsid w:val="002A0EBC"/>
    <w:rsid w:val="002A0EC4"/>
    <w:rsid w:val="002A0EC9"/>
    <w:rsid w:val="002A113E"/>
    <w:rsid w:val="002A12FA"/>
    <w:rsid w:val="002A1311"/>
    <w:rsid w:val="002A1402"/>
    <w:rsid w:val="002A15C8"/>
    <w:rsid w:val="002A15E2"/>
    <w:rsid w:val="002A170F"/>
    <w:rsid w:val="002A171E"/>
    <w:rsid w:val="002A1813"/>
    <w:rsid w:val="002A19DF"/>
    <w:rsid w:val="002A1A03"/>
    <w:rsid w:val="002A1A53"/>
    <w:rsid w:val="002A1C70"/>
    <w:rsid w:val="002A1C74"/>
    <w:rsid w:val="002A20F3"/>
    <w:rsid w:val="002A2244"/>
    <w:rsid w:val="002A228E"/>
    <w:rsid w:val="002A247A"/>
    <w:rsid w:val="002A24CD"/>
    <w:rsid w:val="002A266D"/>
    <w:rsid w:val="002A26B7"/>
    <w:rsid w:val="002A26CA"/>
    <w:rsid w:val="002A2788"/>
    <w:rsid w:val="002A283D"/>
    <w:rsid w:val="002A2923"/>
    <w:rsid w:val="002A2B34"/>
    <w:rsid w:val="002A2B44"/>
    <w:rsid w:val="002A2CC8"/>
    <w:rsid w:val="002A2D20"/>
    <w:rsid w:val="002A2E41"/>
    <w:rsid w:val="002A2F64"/>
    <w:rsid w:val="002A301A"/>
    <w:rsid w:val="002A32FE"/>
    <w:rsid w:val="002A34AC"/>
    <w:rsid w:val="002A35FF"/>
    <w:rsid w:val="002A398E"/>
    <w:rsid w:val="002A39D9"/>
    <w:rsid w:val="002A3AA0"/>
    <w:rsid w:val="002A3AEB"/>
    <w:rsid w:val="002A3CCD"/>
    <w:rsid w:val="002A3DD2"/>
    <w:rsid w:val="002A3DE5"/>
    <w:rsid w:val="002A3E13"/>
    <w:rsid w:val="002A3F09"/>
    <w:rsid w:val="002A3F11"/>
    <w:rsid w:val="002A41CA"/>
    <w:rsid w:val="002A42AF"/>
    <w:rsid w:val="002A43D7"/>
    <w:rsid w:val="002A4408"/>
    <w:rsid w:val="002A466C"/>
    <w:rsid w:val="002A47A9"/>
    <w:rsid w:val="002A47DE"/>
    <w:rsid w:val="002A48E1"/>
    <w:rsid w:val="002A4A38"/>
    <w:rsid w:val="002A4B66"/>
    <w:rsid w:val="002A4BFF"/>
    <w:rsid w:val="002A4CCE"/>
    <w:rsid w:val="002A4CD9"/>
    <w:rsid w:val="002A4DE5"/>
    <w:rsid w:val="002A5064"/>
    <w:rsid w:val="002A50AA"/>
    <w:rsid w:val="002A5113"/>
    <w:rsid w:val="002A5299"/>
    <w:rsid w:val="002A52F5"/>
    <w:rsid w:val="002A5319"/>
    <w:rsid w:val="002A5341"/>
    <w:rsid w:val="002A5438"/>
    <w:rsid w:val="002A54A4"/>
    <w:rsid w:val="002A57C9"/>
    <w:rsid w:val="002A57E1"/>
    <w:rsid w:val="002A5BFD"/>
    <w:rsid w:val="002A5C2F"/>
    <w:rsid w:val="002A5D00"/>
    <w:rsid w:val="002A5D07"/>
    <w:rsid w:val="002A5E02"/>
    <w:rsid w:val="002A5F7E"/>
    <w:rsid w:val="002A61A6"/>
    <w:rsid w:val="002A6240"/>
    <w:rsid w:val="002A6331"/>
    <w:rsid w:val="002A63DB"/>
    <w:rsid w:val="002A64FE"/>
    <w:rsid w:val="002A675A"/>
    <w:rsid w:val="002A67AE"/>
    <w:rsid w:val="002A6865"/>
    <w:rsid w:val="002A6880"/>
    <w:rsid w:val="002A6913"/>
    <w:rsid w:val="002A69A3"/>
    <w:rsid w:val="002A6A16"/>
    <w:rsid w:val="002A701F"/>
    <w:rsid w:val="002A719E"/>
    <w:rsid w:val="002A72CC"/>
    <w:rsid w:val="002A73A6"/>
    <w:rsid w:val="002A7616"/>
    <w:rsid w:val="002A764E"/>
    <w:rsid w:val="002A76DC"/>
    <w:rsid w:val="002A7808"/>
    <w:rsid w:val="002A7959"/>
    <w:rsid w:val="002A7AF0"/>
    <w:rsid w:val="002A7D34"/>
    <w:rsid w:val="002A7FD0"/>
    <w:rsid w:val="002B0030"/>
    <w:rsid w:val="002B0176"/>
    <w:rsid w:val="002B033C"/>
    <w:rsid w:val="002B06B1"/>
    <w:rsid w:val="002B089A"/>
    <w:rsid w:val="002B08AE"/>
    <w:rsid w:val="002B08E4"/>
    <w:rsid w:val="002B09D7"/>
    <w:rsid w:val="002B0F17"/>
    <w:rsid w:val="002B0F82"/>
    <w:rsid w:val="002B0FCE"/>
    <w:rsid w:val="002B1270"/>
    <w:rsid w:val="002B135A"/>
    <w:rsid w:val="002B1442"/>
    <w:rsid w:val="002B144B"/>
    <w:rsid w:val="002B1479"/>
    <w:rsid w:val="002B15AE"/>
    <w:rsid w:val="002B167A"/>
    <w:rsid w:val="002B17D7"/>
    <w:rsid w:val="002B17F1"/>
    <w:rsid w:val="002B1936"/>
    <w:rsid w:val="002B1A43"/>
    <w:rsid w:val="002B1B04"/>
    <w:rsid w:val="002B1F07"/>
    <w:rsid w:val="002B1FEE"/>
    <w:rsid w:val="002B2323"/>
    <w:rsid w:val="002B23A3"/>
    <w:rsid w:val="002B23E3"/>
    <w:rsid w:val="002B27A8"/>
    <w:rsid w:val="002B2AE6"/>
    <w:rsid w:val="002B2D0D"/>
    <w:rsid w:val="002B2D88"/>
    <w:rsid w:val="002B30DE"/>
    <w:rsid w:val="002B310A"/>
    <w:rsid w:val="002B3341"/>
    <w:rsid w:val="002B355F"/>
    <w:rsid w:val="002B38B2"/>
    <w:rsid w:val="002B399A"/>
    <w:rsid w:val="002B3BB8"/>
    <w:rsid w:val="002B3C1E"/>
    <w:rsid w:val="002B3C3E"/>
    <w:rsid w:val="002B3D40"/>
    <w:rsid w:val="002B3D5C"/>
    <w:rsid w:val="002B3E06"/>
    <w:rsid w:val="002B401D"/>
    <w:rsid w:val="002B4068"/>
    <w:rsid w:val="002B4124"/>
    <w:rsid w:val="002B4334"/>
    <w:rsid w:val="002B4381"/>
    <w:rsid w:val="002B43E1"/>
    <w:rsid w:val="002B4475"/>
    <w:rsid w:val="002B4650"/>
    <w:rsid w:val="002B47F1"/>
    <w:rsid w:val="002B48EF"/>
    <w:rsid w:val="002B494B"/>
    <w:rsid w:val="002B49EA"/>
    <w:rsid w:val="002B4A9C"/>
    <w:rsid w:val="002B4C2D"/>
    <w:rsid w:val="002B4CA1"/>
    <w:rsid w:val="002B4DF1"/>
    <w:rsid w:val="002B5034"/>
    <w:rsid w:val="002B510A"/>
    <w:rsid w:val="002B529D"/>
    <w:rsid w:val="002B54FF"/>
    <w:rsid w:val="002B55A4"/>
    <w:rsid w:val="002B55B6"/>
    <w:rsid w:val="002B5639"/>
    <w:rsid w:val="002B5939"/>
    <w:rsid w:val="002B5A4E"/>
    <w:rsid w:val="002B5B03"/>
    <w:rsid w:val="002B5BE6"/>
    <w:rsid w:val="002B5BF5"/>
    <w:rsid w:val="002B5C8C"/>
    <w:rsid w:val="002B5D53"/>
    <w:rsid w:val="002B5D69"/>
    <w:rsid w:val="002B5D9F"/>
    <w:rsid w:val="002B5E5A"/>
    <w:rsid w:val="002B5E62"/>
    <w:rsid w:val="002B5E8E"/>
    <w:rsid w:val="002B5EEE"/>
    <w:rsid w:val="002B60AD"/>
    <w:rsid w:val="002B61A9"/>
    <w:rsid w:val="002B6256"/>
    <w:rsid w:val="002B635F"/>
    <w:rsid w:val="002B63F7"/>
    <w:rsid w:val="002B643D"/>
    <w:rsid w:val="002B65A2"/>
    <w:rsid w:val="002B65E9"/>
    <w:rsid w:val="002B66AB"/>
    <w:rsid w:val="002B66CE"/>
    <w:rsid w:val="002B67D3"/>
    <w:rsid w:val="002B6A1C"/>
    <w:rsid w:val="002B6A27"/>
    <w:rsid w:val="002B6A3B"/>
    <w:rsid w:val="002B6C7F"/>
    <w:rsid w:val="002B6DF6"/>
    <w:rsid w:val="002B6E92"/>
    <w:rsid w:val="002B6F4A"/>
    <w:rsid w:val="002B6FDF"/>
    <w:rsid w:val="002B6FEC"/>
    <w:rsid w:val="002B70A8"/>
    <w:rsid w:val="002B71C8"/>
    <w:rsid w:val="002B72A5"/>
    <w:rsid w:val="002B72AA"/>
    <w:rsid w:val="002B73A2"/>
    <w:rsid w:val="002B74DE"/>
    <w:rsid w:val="002B76AF"/>
    <w:rsid w:val="002B772B"/>
    <w:rsid w:val="002B77B3"/>
    <w:rsid w:val="002B77F9"/>
    <w:rsid w:val="002B7898"/>
    <w:rsid w:val="002B78DB"/>
    <w:rsid w:val="002B7A5D"/>
    <w:rsid w:val="002B7BD6"/>
    <w:rsid w:val="002B7D7F"/>
    <w:rsid w:val="002B7F75"/>
    <w:rsid w:val="002B7FA7"/>
    <w:rsid w:val="002C005A"/>
    <w:rsid w:val="002C00AE"/>
    <w:rsid w:val="002C0244"/>
    <w:rsid w:val="002C0345"/>
    <w:rsid w:val="002C0618"/>
    <w:rsid w:val="002C086E"/>
    <w:rsid w:val="002C09FC"/>
    <w:rsid w:val="002C0AEF"/>
    <w:rsid w:val="002C0C08"/>
    <w:rsid w:val="002C0C74"/>
    <w:rsid w:val="002C0DA7"/>
    <w:rsid w:val="002C0DD7"/>
    <w:rsid w:val="002C0DEE"/>
    <w:rsid w:val="002C0F39"/>
    <w:rsid w:val="002C0FA6"/>
    <w:rsid w:val="002C154D"/>
    <w:rsid w:val="002C1567"/>
    <w:rsid w:val="002C1593"/>
    <w:rsid w:val="002C16A2"/>
    <w:rsid w:val="002C1715"/>
    <w:rsid w:val="002C1965"/>
    <w:rsid w:val="002C1B6F"/>
    <w:rsid w:val="002C1B98"/>
    <w:rsid w:val="002C1D80"/>
    <w:rsid w:val="002C1EAE"/>
    <w:rsid w:val="002C1EE6"/>
    <w:rsid w:val="002C1FEC"/>
    <w:rsid w:val="002C214B"/>
    <w:rsid w:val="002C218A"/>
    <w:rsid w:val="002C2194"/>
    <w:rsid w:val="002C229B"/>
    <w:rsid w:val="002C24B9"/>
    <w:rsid w:val="002C252A"/>
    <w:rsid w:val="002C2538"/>
    <w:rsid w:val="002C276D"/>
    <w:rsid w:val="002C2797"/>
    <w:rsid w:val="002C28B9"/>
    <w:rsid w:val="002C29F2"/>
    <w:rsid w:val="002C2AD9"/>
    <w:rsid w:val="002C2C4D"/>
    <w:rsid w:val="002C2EB7"/>
    <w:rsid w:val="002C3012"/>
    <w:rsid w:val="002C30E4"/>
    <w:rsid w:val="002C34E6"/>
    <w:rsid w:val="002C36F7"/>
    <w:rsid w:val="002C37A6"/>
    <w:rsid w:val="002C3844"/>
    <w:rsid w:val="002C39C8"/>
    <w:rsid w:val="002C39D5"/>
    <w:rsid w:val="002C3AC7"/>
    <w:rsid w:val="002C3CC4"/>
    <w:rsid w:val="002C408C"/>
    <w:rsid w:val="002C444C"/>
    <w:rsid w:val="002C4497"/>
    <w:rsid w:val="002C4ADB"/>
    <w:rsid w:val="002C4CB7"/>
    <w:rsid w:val="002C4DFF"/>
    <w:rsid w:val="002C5017"/>
    <w:rsid w:val="002C5219"/>
    <w:rsid w:val="002C5360"/>
    <w:rsid w:val="002C5367"/>
    <w:rsid w:val="002C56F7"/>
    <w:rsid w:val="002C57A1"/>
    <w:rsid w:val="002C58B5"/>
    <w:rsid w:val="002C5962"/>
    <w:rsid w:val="002C5BF1"/>
    <w:rsid w:val="002C5D21"/>
    <w:rsid w:val="002C5DFF"/>
    <w:rsid w:val="002C601E"/>
    <w:rsid w:val="002C60AC"/>
    <w:rsid w:val="002C648C"/>
    <w:rsid w:val="002C65A9"/>
    <w:rsid w:val="002C662C"/>
    <w:rsid w:val="002C684E"/>
    <w:rsid w:val="002C69AB"/>
    <w:rsid w:val="002C6AE4"/>
    <w:rsid w:val="002C6C07"/>
    <w:rsid w:val="002C6C8F"/>
    <w:rsid w:val="002C6CA0"/>
    <w:rsid w:val="002C6F77"/>
    <w:rsid w:val="002C6F7E"/>
    <w:rsid w:val="002C6F8B"/>
    <w:rsid w:val="002C7062"/>
    <w:rsid w:val="002C7087"/>
    <w:rsid w:val="002C7124"/>
    <w:rsid w:val="002C7486"/>
    <w:rsid w:val="002C75A7"/>
    <w:rsid w:val="002C75DA"/>
    <w:rsid w:val="002C762C"/>
    <w:rsid w:val="002C76A0"/>
    <w:rsid w:val="002C7895"/>
    <w:rsid w:val="002C78A1"/>
    <w:rsid w:val="002C7BB4"/>
    <w:rsid w:val="002C7BFB"/>
    <w:rsid w:val="002C7E28"/>
    <w:rsid w:val="002C7E4F"/>
    <w:rsid w:val="002C7F2C"/>
    <w:rsid w:val="002C7F44"/>
    <w:rsid w:val="002D0063"/>
    <w:rsid w:val="002D0251"/>
    <w:rsid w:val="002D026C"/>
    <w:rsid w:val="002D04FB"/>
    <w:rsid w:val="002D0674"/>
    <w:rsid w:val="002D069B"/>
    <w:rsid w:val="002D0885"/>
    <w:rsid w:val="002D0893"/>
    <w:rsid w:val="002D0ADE"/>
    <w:rsid w:val="002D0AEB"/>
    <w:rsid w:val="002D0B5C"/>
    <w:rsid w:val="002D0BE5"/>
    <w:rsid w:val="002D0C8A"/>
    <w:rsid w:val="002D0D22"/>
    <w:rsid w:val="002D0D85"/>
    <w:rsid w:val="002D0FD0"/>
    <w:rsid w:val="002D109D"/>
    <w:rsid w:val="002D10D1"/>
    <w:rsid w:val="002D1154"/>
    <w:rsid w:val="002D1335"/>
    <w:rsid w:val="002D140C"/>
    <w:rsid w:val="002D1431"/>
    <w:rsid w:val="002D15B9"/>
    <w:rsid w:val="002D1981"/>
    <w:rsid w:val="002D1AB5"/>
    <w:rsid w:val="002D1B8F"/>
    <w:rsid w:val="002D1D59"/>
    <w:rsid w:val="002D1EC8"/>
    <w:rsid w:val="002D1F82"/>
    <w:rsid w:val="002D2211"/>
    <w:rsid w:val="002D22AE"/>
    <w:rsid w:val="002D25FE"/>
    <w:rsid w:val="002D2818"/>
    <w:rsid w:val="002D2826"/>
    <w:rsid w:val="002D293A"/>
    <w:rsid w:val="002D299D"/>
    <w:rsid w:val="002D2C8F"/>
    <w:rsid w:val="002D2E39"/>
    <w:rsid w:val="002D30BC"/>
    <w:rsid w:val="002D3105"/>
    <w:rsid w:val="002D31FE"/>
    <w:rsid w:val="002D33C8"/>
    <w:rsid w:val="002D36F2"/>
    <w:rsid w:val="002D394B"/>
    <w:rsid w:val="002D3A45"/>
    <w:rsid w:val="002D3A55"/>
    <w:rsid w:val="002D3AFA"/>
    <w:rsid w:val="002D3BA7"/>
    <w:rsid w:val="002D3E26"/>
    <w:rsid w:val="002D3F33"/>
    <w:rsid w:val="002D40A7"/>
    <w:rsid w:val="002D4171"/>
    <w:rsid w:val="002D4183"/>
    <w:rsid w:val="002D4249"/>
    <w:rsid w:val="002D429F"/>
    <w:rsid w:val="002D432E"/>
    <w:rsid w:val="002D4383"/>
    <w:rsid w:val="002D439E"/>
    <w:rsid w:val="002D44A2"/>
    <w:rsid w:val="002D464D"/>
    <w:rsid w:val="002D478A"/>
    <w:rsid w:val="002D485E"/>
    <w:rsid w:val="002D4886"/>
    <w:rsid w:val="002D490C"/>
    <w:rsid w:val="002D4A4E"/>
    <w:rsid w:val="002D4BEF"/>
    <w:rsid w:val="002D4C23"/>
    <w:rsid w:val="002D4D3D"/>
    <w:rsid w:val="002D4EA2"/>
    <w:rsid w:val="002D4ED3"/>
    <w:rsid w:val="002D4EF6"/>
    <w:rsid w:val="002D501E"/>
    <w:rsid w:val="002D50D6"/>
    <w:rsid w:val="002D54F2"/>
    <w:rsid w:val="002D56BA"/>
    <w:rsid w:val="002D5731"/>
    <w:rsid w:val="002D58BC"/>
    <w:rsid w:val="002D59EE"/>
    <w:rsid w:val="002D5A32"/>
    <w:rsid w:val="002D5A44"/>
    <w:rsid w:val="002D5A48"/>
    <w:rsid w:val="002D5B70"/>
    <w:rsid w:val="002D5CB3"/>
    <w:rsid w:val="002D5E5C"/>
    <w:rsid w:val="002D5ECF"/>
    <w:rsid w:val="002D5F31"/>
    <w:rsid w:val="002D5FAC"/>
    <w:rsid w:val="002D5FEC"/>
    <w:rsid w:val="002D6118"/>
    <w:rsid w:val="002D61B6"/>
    <w:rsid w:val="002D644A"/>
    <w:rsid w:val="002D65DB"/>
    <w:rsid w:val="002D67BD"/>
    <w:rsid w:val="002D6BC8"/>
    <w:rsid w:val="002D6C6A"/>
    <w:rsid w:val="002D6CF7"/>
    <w:rsid w:val="002D6D18"/>
    <w:rsid w:val="002D6F90"/>
    <w:rsid w:val="002D7076"/>
    <w:rsid w:val="002D7092"/>
    <w:rsid w:val="002D713D"/>
    <w:rsid w:val="002D722A"/>
    <w:rsid w:val="002D7328"/>
    <w:rsid w:val="002D7407"/>
    <w:rsid w:val="002D75B7"/>
    <w:rsid w:val="002D763B"/>
    <w:rsid w:val="002D776B"/>
    <w:rsid w:val="002D7895"/>
    <w:rsid w:val="002D7963"/>
    <w:rsid w:val="002D7A13"/>
    <w:rsid w:val="002D7A50"/>
    <w:rsid w:val="002D7C50"/>
    <w:rsid w:val="002D7C93"/>
    <w:rsid w:val="002D7D14"/>
    <w:rsid w:val="002D7E2D"/>
    <w:rsid w:val="002D7F3D"/>
    <w:rsid w:val="002D7F71"/>
    <w:rsid w:val="002D7FA5"/>
    <w:rsid w:val="002D7FEA"/>
    <w:rsid w:val="002E0092"/>
    <w:rsid w:val="002E0120"/>
    <w:rsid w:val="002E022A"/>
    <w:rsid w:val="002E031F"/>
    <w:rsid w:val="002E04B3"/>
    <w:rsid w:val="002E052D"/>
    <w:rsid w:val="002E0885"/>
    <w:rsid w:val="002E08C8"/>
    <w:rsid w:val="002E0926"/>
    <w:rsid w:val="002E098A"/>
    <w:rsid w:val="002E0A1E"/>
    <w:rsid w:val="002E0AAB"/>
    <w:rsid w:val="002E0AC9"/>
    <w:rsid w:val="002E0B58"/>
    <w:rsid w:val="002E0C1D"/>
    <w:rsid w:val="002E0F46"/>
    <w:rsid w:val="002E0FCB"/>
    <w:rsid w:val="002E100C"/>
    <w:rsid w:val="002E101D"/>
    <w:rsid w:val="002E1052"/>
    <w:rsid w:val="002E1183"/>
    <w:rsid w:val="002E1193"/>
    <w:rsid w:val="002E1268"/>
    <w:rsid w:val="002E15B3"/>
    <w:rsid w:val="002E15D3"/>
    <w:rsid w:val="002E16EB"/>
    <w:rsid w:val="002E191D"/>
    <w:rsid w:val="002E1984"/>
    <w:rsid w:val="002E19D5"/>
    <w:rsid w:val="002E1A77"/>
    <w:rsid w:val="002E1C0A"/>
    <w:rsid w:val="002E1DA6"/>
    <w:rsid w:val="002E1E26"/>
    <w:rsid w:val="002E1F96"/>
    <w:rsid w:val="002E20AE"/>
    <w:rsid w:val="002E224C"/>
    <w:rsid w:val="002E229D"/>
    <w:rsid w:val="002E2306"/>
    <w:rsid w:val="002E2387"/>
    <w:rsid w:val="002E240C"/>
    <w:rsid w:val="002E26A6"/>
    <w:rsid w:val="002E2729"/>
    <w:rsid w:val="002E27D3"/>
    <w:rsid w:val="002E2809"/>
    <w:rsid w:val="002E2837"/>
    <w:rsid w:val="002E2ACF"/>
    <w:rsid w:val="002E2BA5"/>
    <w:rsid w:val="002E2C70"/>
    <w:rsid w:val="002E2DA6"/>
    <w:rsid w:val="002E2E0E"/>
    <w:rsid w:val="002E2F06"/>
    <w:rsid w:val="002E2F19"/>
    <w:rsid w:val="002E32EF"/>
    <w:rsid w:val="002E335C"/>
    <w:rsid w:val="002E339E"/>
    <w:rsid w:val="002E3506"/>
    <w:rsid w:val="002E3646"/>
    <w:rsid w:val="002E36CC"/>
    <w:rsid w:val="002E37D8"/>
    <w:rsid w:val="002E37E3"/>
    <w:rsid w:val="002E37F2"/>
    <w:rsid w:val="002E3855"/>
    <w:rsid w:val="002E38D8"/>
    <w:rsid w:val="002E3B08"/>
    <w:rsid w:val="002E3B0D"/>
    <w:rsid w:val="002E3D4D"/>
    <w:rsid w:val="002E40DF"/>
    <w:rsid w:val="002E4188"/>
    <w:rsid w:val="002E4464"/>
    <w:rsid w:val="002E448D"/>
    <w:rsid w:val="002E4592"/>
    <w:rsid w:val="002E4746"/>
    <w:rsid w:val="002E4853"/>
    <w:rsid w:val="002E4984"/>
    <w:rsid w:val="002E4A64"/>
    <w:rsid w:val="002E4D64"/>
    <w:rsid w:val="002E4DC4"/>
    <w:rsid w:val="002E4ED1"/>
    <w:rsid w:val="002E4F61"/>
    <w:rsid w:val="002E4FF8"/>
    <w:rsid w:val="002E508D"/>
    <w:rsid w:val="002E510C"/>
    <w:rsid w:val="002E5191"/>
    <w:rsid w:val="002E5277"/>
    <w:rsid w:val="002E536A"/>
    <w:rsid w:val="002E5396"/>
    <w:rsid w:val="002E540E"/>
    <w:rsid w:val="002E5414"/>
    <w:rsid w:val="002E542E"/>
    <w:rsid w:val="002E5612"/>
    <w:rsid w:val="002E56CA"/>
    <w:rsid w:val="002E5766"/>
    <w:rsid w:val="002E57C4"/>
    <w:rsid w:val="002E5818"/>
    <w:rsid w:val="002E58D1"/>
    <w:rsid w:val="002E5A8B"/>
    <w:rsid w:val="002E5A9F"/>
    <w:rsid w:val="002E5BBD"/>
    <w:rsid w:val="002E5C0E"/>
    <w:rsid w:val="002E5C58"/>
    <w:rsid w:val="002E5D2B"/>
    <w:rsid w:val="002E5DB1"/>
    <w:rsid w:val="002E5F39"/>
    <w:rsid w:val="002E605A"/>
    <w:rsid w:val="002E64AF"/>
    <w:rsid w:val="002E6500"/>
    <w:rsid w:val="002E651D"/>
    <w:rsid w:val="002E6909"/>
    <w:rsid w:val="002E699A"/>
    <w:rsid w:val="002E6BDC"/>
    <w:rsid w:val="002E7045"/>
    <w:rsid w:val="002E7254"/>
    <w:rsid w:val="002E73F2"/>
    <w:rsid w:val="002E74F0"/>
    <w:rsid w:val="002E7522"/>
    <w:rsid w:val="002E76A1"/>
    <w:rsid w:val="002E78C5"/>
    <w:rsid w:val="002E78F1"/>
    <w:rsid w:val="002E793E"/>
    <w:rsid w:val="002E7955"/>
    <w:rsid w:val="002E79E1"/>
    <w:rsid w:val="002E7DDE"/>
    <w:rsid w:val="002E7FFC"/>
    <w:rsid w:val="002F000B"/>
    <w:rsid w:val="002F0029"/>
    <w:rsid w:val="002F00C1"/>
    <w:rsid w:val="002F01B6"/>
    <w:rsid w:val="002F0476"/>
    <w:rsid w:val="002F04D0"/>
    <w:rsid w:val="002F053F"/>
    <w:rsid w:val="002F0659"/>
    <w:rsid w:val="002F0672"/>
    <w:rsid w:val="002F0855"/>
    <w:rsid w:val="002F0900"/>
    <w:rsid w:val="002F09CD"/>
    <w:rsid w:val="002F0A56"/>
    <w:rsid w:val="002F0BFD"/>
    <w:rsid w:val="002F0CBB"/>
    <w:rsid w:val="002F0D50"/>
    <w:rsid w:val="002F0FC3"/>
    <w:rsid w:val="002F0FCB"/>
    <w:rsid w:val="002F10CD"/>
    <w:rsid w:val="002F1103"/>
    <w:rsid w:val="002F1322"/>
    <w:rsid w:val="002F1369"/>
    <w:rsid w:val="002F139A"/>
    <w:rsid w:val="002F145C"/>
    <w:rsid w:val="002F145F"/>
    <w:rsid w:val="002F1476"/>
    <w:rsid w:val="002F1745"/>
    <w:rsid w:val="002F18E9"/>
    <w:rsid w:val="002F19CB"/>
    <w:rsid w:val="002F1A6D"/>
    <w:rsid w:val="002F1B4E"/>
    <w:rsid w:val="002F1B5D"/>
    <w:rsid w:val="002F1C8A"/>
    <w:rsid w:val="002F1CF7"/>
    <w:rsid w:val="002F2077"/>
    <w:rsid w:val="002F2129"/>
    <w:rsid w:val="002F2221"/>
    <w:rsid w:val="002F24C8"/>
    <w:rsid w:val="002F24E5"/>
    <w:rsid w:val="002F255A"/>
    <w:rsid w:val="002F25D4"/>
    <w:rsid w:val="002F2606"/>
    <w:rsid w:val="002F2933"/>
    <w:rsid w:val="002F2A65"/>
    <w:rsid w:val="002F2B4C"/>
    <w:rsid w:val="002F2D9B"/>
    <w:rsid w:val="002F2E00"/>
    <w:rsid w:val="002F2E09"/>
    <w:rsid w:val="002F2F91"/>
    <w:rsid w:val="002F30CA"/>
    <w:rsid w:val="002F30FC"/>
    <w:rsid w:val="002F321E"/>
    <w:rsid w:val="002F34D6"/>
    <w:rsid w:val="002F34EE"/>
    <w:rsid w:val="002F366F"/>
    <w:rsid w:val="002F3752"/>
    <w:rsid w:val="002F3AC1"/>
    <w:rsid w:val="002F3AD7"/>
    <w:rsid w:val="002F3AE0"/>
    <w:rsid w:val="002F3BB4"/>
    <w:rsid w:val="002F3C67"/>
    <w:rsid w:val="002F3ECD"/>
    <w:rsid w:val="002F4172"/>
    <w:rsid w:val="002F421D"/>
    <w:rsid w:val="002F4362"/>
    <w:rsid w:val="002F45AB"/>
    <w:rsid w:val="002F4794"/>
    <w:rsid w:val="002F4A38"/>
    <w:rsid w:val="002F4CB6"/>
    <w:rsid w:val="002F4CEC"/>
    <w:rsid w:val="002F4DF3"/>
    <w:rsid w:val="002F4E00"/>
    <w:rsid w:val="002F4EEF"/>
    <w:rsid w:val="002F4F40"/>
    <w:rsid w:val="002F51BD"/>
    <w:rsid w:val="002F51C8"/>
    <w:rsid w:val="002F535C"/>
    <w:rsid w:val="002F53DA"/>
    <w:rsid w:val="002F5488"/>
    <w:rsid w:val="002F55D1"/>
    <w:rsid w:val="002F5710"/>
    <w:rsid w:val="002F5754"/>
    <w:rsid w:val="002F57BB"/>
    <w:rsid w:val="002F58C3"/>
    <w:rsid w:val="002F58F9"/>
    <w:rsid w:val="002F5C3B"/>
    <w:rsid w:val="002F6093"/>
    <w:rsid w:val="002F640C"/>
    <w:rsid w:val="002F6477"/>
    <w:rsid w:val="002F66C3"/>
    <w:rsid w:val="002F67CC"/>
    <w:rsid w:val="002F6816"/>
    <w:rsid w:val="002F693A"/>
    <w:rsid w:val="002F69C8"/>
    <w:rsid w:val="002F69E3"/>
    <w:rsid w:val="002F6A8B"/>
    <w:rsid w:val="002F6B40"/>
    <w:rsid w:val="002F6B77"/>
    <w:rsid w:val="002F6C43"/>
    <w:rsid w:val="002F6F8D"/>
    <w:rsid w:val="002F73F2"/>
    <w:rsid w:val="002F7547"/>
    <w:rsid w:val="002F77BB"/>
    <w:rsid w:val="002F78AD"/>
    <w:rsid w:val="002F7912"/>
    <w:rsid w:val="002F7A3B"/>
    <w:rsid w:val="002F7A52"/>
    <w:rsid w:val="002F7C93"/>
    <w:rsid w:val="002F7CF0"/>
    <w:rsid w:val="002F7E00"/>
    <w:rsid w:val="003004A8"/>
    <w:rsid w:val="003004D0"/>
    <w:rsid w:val="00300618"/>
    <w:rsid w:val="003008D0"/>
    <w:rsid w:val="00300989"/>
    <w:rsid w:val="00300E8E"/>
    <w:rsid w:val="00301141"/>
    <w:rsid w:val="003012EA"/>
    <w:rsid w:val="0030156A"/>
    <w:rsid w:val="0030159F"/>
    <w:rsid w:val="0030177A"/>
    <w:rsid w:val="0030195A"/>
    <w:rsid w:val="00301E70"/>
    <w:rsid w:val="00301E92"/>
    <w:rsid w:val="003021D0"/>
    <w:rsid w:val="0030224A"/>
    <w:rsid w:val="003022A6"/>
    <w:rsid w:val="003022BA"/>
    <w:rsid w:val="003022C6"/>
    <w:rsid w:val="003024B4"/>
    <w:rsid w:val="003024FB"/>
    <w:rsid w:val="00302618"/>
    <w:rsid w:val="003027F1"/>
    <w:rsid w:val="00302802"/>
    <w:rsid w:val="00302A1E"/>
    <w:rsid w:val="00302A99"/>
    <w:rsid w:val="00302AA3"/>
    <w:rsid w:val="00302B81"/>
    <w:rsid w:val="00302C7C"/>
    <w:rsid w:val="00302C8F"/>
    <w:rsid w:val="00302CAF"/>
    <w:rsid w:val="00302D91"/>
    <w:rsid w:val="00302D97"/>
    <w:rsid w:val="00302E82"/>
    <w:rsid w:val="00302FE0"/>
    <w:rsid w:val="00303033"/>
    <w:rsid w:val="003031C5"/>
    <w:rsid w:val="0030321C"/>
    <w:rsid w:val="00303569"/>
    <w:rsid w:val="003036EE"/>
    <w:rsid w:val="003036F3"/>
    <w:rsid w:val="00303708"/>
    <w:rsid w:val="00303752"/>
    <w:rsid w:val="00303787"/>
    <w:rsid w:val="00303959"/>
    <w:rsid w:val="00303988"/>
    <w:rsid w:val="003039E0"/>
    <w:rsid w:val="00303C34"/>
    <w:rsid w:val="00303D25"/>
    <w:rsid w:val="00304047"/>
    <w:rsid w:val="00304052"/>
    <w:rsid w:val="00304053"/>
    <w:rsid w:val="003040DB"/>
    <w:rsid w:val="003042DB"/>
    <w:rsid w:val="003046F6"/>
    <w:rsid w:val="003049CF"/>
    <w:rsid w:val="00304FA2"/>
    <w:rsid w:val="00304FFE"/>
    <w:rsid w:val="0030518C"/>
    <w:rsid w:val="003051C8"/>
    <w:rsid w:val="003051F6"/>
    <w:rsid w:val="00305813"/>
    <w:rsid w:val="00305841"/>
    <w:rsid w:val="00305A5F"/>
    <w:rsid w:val="00305B11"/>
    <w:rsid w:val="00305C0E"/>
    <w:rsid w:val="00305CFE"/>
    <w:rsid w:val="00305D2E"/>
    <w:rsid w:val="00305F27"/>
    <w:rsid w:val="00305F2E"/>
    <w:rsid w:val="00305F4F"/>
    <w:rsid w:val="00305F86"/>
    <w:rsid w:val="003060CD"/>
    <w:rsid w:val="00306139"/>
    <w:rsid w:val="003061B7"/>
    <w:rsid w:val="00306369"/>
    <w:rsid w:val="00306403"/>
    <w:rsid w:val="0030643D"/>
    <w:rsid w:val="0030652F"/>
    <w:rsid w:val="00306649"/>
    <w:rsid w:val="0030665E"/>
    <w:rsid w:val="0030679A"/>
    <w:rsid w:val="00306815"/>
    <w:rsid w:val="00306A2C"/>
    <w:rsid w:val="00306AB2"/>
    <w:rsid w:val="00306CA9"/>
    <w:rsid w:val="00306D2E"/>
    <w:rsid w:val="00306D54"/>
    <w:rsid w:val="00306DA8"/>
    <w:rsid w:val="00306F99"/>
    <w:rsid w:val="00307035"/>
    <w:rsid w:val="0030713B"/>
    <w:rsid w:val="00307194"/>
    <w:rsid w:val="0030733E"/>
    <w:rsid w:val="00307383"/>
    <w:rsid w:val="00307455"/>
    <w:rsid w:val="003074D7"/>
    <w:rsid w:val="00307627"/>
    <w:rsid w:val="00307648"/>
    <w:rsid w:val="003076E8"/>
    <w:rsid w:val="00307745"/>
    <w:rsid w:val="00307960"/>
    <w:rsid w:val="0030799C"/>
    <w:rsid w:val="00307AE2"/>
    <w:rsid w:val="00307B18"/>
    <w:rsid w:val="00307B2B"/>
    <w:rsid w:val="00307C68"/>
    <w:rsid w:val="00307CDE"/>
    <w:rsid w:val="00307DFF"/>
    <w:rsid w:val="00307F43"/>
    <w:rsid w:val="00310274"/>
    <w:rsid w:val="0031042A"/>
    <w:rsid w:val="00310528"/>
    <w:rsid w:val="00310581"/>
    <w:rsid w:val="003105AC"/>
    <w:rsid w:val="003105AD"/>
    <w:rsid w:val="003105DB"/>
    <w:rsid w:val="00310AB1"/>
    <w:rsid w:val="00310AE9"/>
    <w:rsid w:val="00310B14"/>
    <w:rsid w:val="00310DCE"/>
    <w:rsid w:val="00310F00"/>
    <w:rsid w:val="00310F05"/>
    <w:rsid w:val="00310F1D"/>
    <w:rsid w:val="003110C6"/>
    <w:rsid w:val="00311118"/>
    <w:rsid w:val="00311599"/>
    <w:rsid w:val="0031159E"/>
    <w:rsid w:val="0031169F"/>
    <w:rsid w:val="00311A0A"/>
    <w:rsid w:val="00311AFD"/>
    <w:rsid w:val="00311B03"/>
    <w:rsid w:val="00311BF1"/>
    <w:rsid w:val="00311D74"/>
    <w:rsid w:val="00311E27"/>
    <w:rsid w:val="00311F09"/>
    <w:rsid w:val="00311FEF"/>
    <w:rsid w:val="003120F5"/>
    <w:rsid w:val="0031210B"/>
    <w:rsid w:val="00312185"/>
    <w:rsid w:val="00312189"/>
    <w:rsid w:val="003122A3"/>
    <w:rsid w:val="0031245F"/>
    <w:rsid w:val="00312477"/>
    <w:rsid w:val="0031286E"/>
    <w:rsid w:val="003128EF"/>
    <w:rsid w:val="00312A02"/>
    <w:rsid w:val="00312A4A"/>
    <w:rsid w:val="00312A4F"/>
    <w:rsid w:val="00312D6E"/>
    <w:rsid w:val="00312F07"/>
    <w:rsid w:val="00313165"/>
    <w:rsid w:val="003131C1"/>
    <w:rsid w:val="00313312"/>
    <w:rsid w:val="00313394"/>
    <w:rsid w:val="0031344A"/>
    <w:rsid w:val="0031378A"/>
    <w:rsid w:val="00313A99"/>
    <w:rsid w:val="00313D3B"/>
    <w:rsid w:val="00313D6E"/>
    <w:rsid w:val="00313D9F"/>
    <w:rsid w:val="00313DFA"/>
    <w:rsid w:val="00314212"/>
    <w:rsid w:val="003142A8"/>
    <w:rsid w:val="003143C8"/>
    <w:rsid w:val="00314466"/>
    <w:rsid w:val="00314495"/>
    <w:rsid w:val="00314610"/>
    <w:rsid w:val="00314611"/>
    <w:rsid w:val="003146D9"/>
    <w:rsid w:val="003146F1"/>
    <w:rsid w:val="0031479D"/>
    <w:rsid w:val="0031487D"/>
    <w:rsid w:val="00314A3A"/>
    <w:rsid w:val="00314A93"/>
    <w:rsid w:val="00314AD4"/>
    <w:rsid w:val="00314B13"/>
    <w:rsid w:val="00314FD8"/>
    <w:rsid w:val="00314FEB"/>
    <w:rsid w:val="00315074"/>
    <w:rsid w:val="003150B1"/>
    <w:rsid w:val="003152E5"/>
    <w:rsid w:val="00315303"/>
    <w:rsid w:val="00315484"/>
    <w:rsid w:val="00315486"/>
    <w:rsid w:val="003154E1"/>
    <w:rsid w:val="00315519"/>
    <w:rsid w:val="00315537"/>
    <w:rsid w:val="00315596"/>
    <w:rsid w:val="003155FF"/>
    <w:rsid w:val="0031570E"/>
    <w:rsid w:val="00315963"/>
    <w:rsid w:val="00315AF5"/>
    <w:rsid w:val="00315B5B"/>
    <w:rsid w:val="00315C82"/>
    <w:rsid w:val="00315C95"/>
    <w:rsid w:val="00315E85"/>
    <w:rsid w:val="00315EF2"/>
    <w:rsid w:val="00316061"/>
    <w:rsid w:val="003160DB"/>
    <w:rsid w:val="00316158"/>
    <w:rsid w:val="0031623D"/>
    <w:rsid w:val="00316736"/>
    <w:rsid w:val="003167A5"/>
    <w:rsid w:val="00316829"/>
    <w:rsid w:val="00316A0A"/>
    <w:rsid w:val="00316A2B"/>
    <w:rsid w:val="00316A7C"/>
    <w:rsid w:val="00316B15"/>
    <w:rsid w:val="00316B3C"/>
    <w:rsid w:val="00316B5C"/>
    <w:rsid w:val="00316D36"/>
    <w:rsid w:val="00316D5A"/>
    <w:rsid w:val="00316E5B"/>
    <w:rsid w:val="00317042"/>
    <w:rsid w:val="003170C4"/>
    <w:rsid w:val="003171D4"/>
    <w:rsid w:val="00317498"/>
    <w:rsid w:val="0031750D"/>
    <w:rsid w:val="00317542"/>
    <w:rsid w:val="003177EF"/>
    <w:rsid w:val="00317A86"/>
    <w:rsid w:val="00317B3C"/>
    <w:rsid w:val="00317CAF"/>
    <w:rsid w:val="00317CE1"/>
    <w:rsid w:val="00317E0E"/>
    <w:rsid w:val="003200C0"/>
    <w:rsid w:val="0032028C"/>
    <w:rsid w:val="0032040D"/>
    <w:rsid w:val="00320544"/>
    <w:rsid w:val="00320599"/>
    <w:rsid w:val="003206D0"/>
    <w:rsid w:val="00320982"/>
    <w:rsid w:val="00320AA2"/>
    <w:rsid w:val="00320AA5"/>
    <w:rsid w:val="00320D60"/>
    <w:rsid w:val="003211A0"/>
    <w:rsid w:val="00321241"/>
    <w:rsid w:val="0032141C"/>
    <w:rsid w:val="003214D4"/>
    <w:rsid w:val="003215AD"/>
    <w:rsid w:val="00321630"/>
    <w:rsid w:val="003217EA"/>
    <w:rsid w:val="003218A5"/>
    <w:rsid w:val="00321EF1"/>
    <w:rsid w:val="00321F2A"/>
    <w:rsid w:val="00321F34"/>
    <w:rsid w:val="0032201A"/>
    <w:rsid w:val="00322026"/>
    <w:rsid w:val="0032203B"/>
    <w:rsid w:val="0032218F"/>
    <w:rsid w:val="00322229"/>
    <w:rsid w:val="0032224F"/>
    <w:rsid w:val="003222B7"/>
    <w:rsid w:val="003222D7"/>
    <w:rsid w:val="0032233A"/>
    <w:rsid w:val="00322353"/>
    <w:rsid w:val="003223A7"/>
    <w:rsid w:val="00322503"/>
    <w:rsid w:val="00322570"/>
    <w:rsid w:val="003225F9"/>
    <w:rsid w:val="003227C5"/>
    <w:rsid w:val="00322911"/>
    <w:rsid w:val="00322D20"/>
    <w:rsid w:val="00322E56"/>
    <w:rsid w:val="00323377"/>
    <w:rsid w:val="003233BD"/>
    <w:rsid w:val="0032353E"/>
    <w:rsid w:val="0032363A"/>
    <w:rsid w:val="003236B7"/>
    <w:rsid w:val="003237FB"/>
    <w:rsid w:val="003238B4"/>
    <w:rsid w:val="00323956"/>
    <w:rsid w:val="00323DE9"/>
    <w:rsid w:val="00323E81"/>
    <w:rsid w:val="00323EBA"/>
    <w:rsid w:val="00323F58"/>
    <w:rsid w:val="00323FB1"/>
    <w:rsid w:val="003240DB"/>
    <w:rsid w:val="00324262"/>
    <w:rsid w:val="0032436B"/>
    <w:rsid w:val="003243B6"/>
    <w:rsid w:val="003244D9"/>
    <w:rsid w:val="0032458B"/>
    <w:rsid w:val="0032459E"/>
    <w:rsid w:val="0032465D"/>
    <w:rsid w:val="003247EA"/>
    <w:rsid w:val="0032480F"/>
    <w:rsid w:val="00324A6F"/>
    <w:rsid w:val="00324B35"/>
    <w:rsid w:val="00324F15"/>
    <w:rsid w:val="00324FC3"/>
    <w:rsid w:val="00325081"/>
    <w:rsid w:val="0032531A"/>
    <w:rsid w:val="00325379"/>
    <w:rsid w:val="0032543F"/>
    <w:rsid w:val="003255EA"/>
    <w:rsid w:val="0032560F"/>
    <w:rsid w:val="0032588A"/>
    <w:rsid w:val="00325AE4"/>
    <w:rsid w:val="00325B55"/>
    <w:rsid w:val="00325BA8"/>
    <w:rsid w:val="00325C76"/>
    <w:rsid w:val="00325ED9"/>
    <w:rsid w:val="00325FF4"/>
    <w:rsid w:val="00326039"/>
    <w:rsid w:val="00326048"/>
    <w:rsid w:val="00326162"/>
    <w:rsid w:val="00326258"/>
    <w:rsid w:val="003262DB"/>
    <w:rsid w:val="00326311"/>
    <w:rsid w:val="00326509"/>
    <w:rsid w:val="00326715"/>
    <w:rsid w:val="0032671C"/>
    <w:rsid w:val="00326720"/>
    <w:rsid w:val="0032673E"/>
    <w:rsid w:val="0032694B"/>
    <w:rsid w:val="0032698B"/>
    <w:rsid w:val="00326B89"/>
    <w:rsid w:val="00326D26"/>
    <w:rsid w:val="00326ED4"/>
    <w:rsid w:val="00326F06"/>
    <w:rsid w:val="00327121"/>
    <w:rsid w:val="003271FC"/>
    <w:rsid w:val="003273AB"/>
    <w:rsid w:val="003273F2"/>
    <w:rsid w:val="0032747E"/>
    <w:rsid w:val="0032772D"/>
    <w:rsid w:val="00327953"/>
    <w:rsid w:val="00327A59"/>
    <w:rsid w:val="00327CB8"/>
    <w:rsid w:val="00327F6B"/>
    <w:rsid w:val="0032FDEE"/>
    <w:rsid w:val="0033009F"/>
    <w:rsid w:val="0033040A"/>
    <w:rsid w:val="00330491"/>
    <w:rsid w:val="00330565"/>
    <w:rsid w:val="00330597"/>
    <w:rsid w:val="0033091D"/>
    <w:rsid w:val="003309DA"/>
    <w:rsid w:val="003309F9"/>
    <w:rsid w:val="00330A4F"/>
    <w:rsid w:val="00330AF5"/>
    <w:rsid w:val="00330B90"/>
    <w:rsid w:val="00330DCA"/>
    <w:rsid w:val="00330DE0"/>
    <w:rsid w:val="00330F12"/>
    <w:rsid w:val="003310A4"/>
    <w:rsid w:val="0033111F"/>
    <w:rsid w:val="003311BB"/>
    <w:rsid w:val="0033121F"/>
    <w:rsid w:val="003314AA"/>
    <w:rsid w:val="00331633"/>
    <w:rsid w:val="003316F7"/>
    <w:rsid w:val="0033180F"/>
    <w:rsid w:val="00331880"/>
    <w:rsid w:val="003318C2"/>
    <w:rsid w:val="003318E4"/>
    <w:rsid w:val="003319B8"/>
    <w:rsid w:val="00331D6B"/>
    <w:rsid w:val="00331D80"/>
    <w:rsid w:val="00331E7C"/>
    <w:rsid w:val="00331EEC"/>
    <w:rsid w:val="00331F96"/>
    <w:rsid w:val="0033200C"/>
    <w:rsid w:val="003321D3"/>
    <w:rsid w:val="003321EC"/>
    <w:rsid w:val="00332242"/>
    <w:rsid w:val="0033226D"/>
    <w:rsid w:val="003323CF"/>
    <w:rsid w:val="0033242A"/>
    <w:rsid w:val="00332566"/>
    <w:rsid w:val="00332583"/>
    <w:rsid w:val="003326B8"/>
    <w:rsid w:val="003326D0"/>
    <w:rsid w:val="00332751"/>
    <w:rsid w:val="003328FC"/>
    <w:rsid w:val="003329F9"/>
    <w:rsid w:val="00332D77"/>
    <w:rsid w:val="00332D8F"/>
    <w:rsid w:val="0033325A"/>
    <w:rsid w:val="003333DA"/>
    <w:rsid w:val="0033349B"/>
    <w:rsid w:val="0033374E"/>
    <w:rsid w:val="00333783"/>
    <w:rsid w:val="003338BC"/>
    <w:rsid w:val="00333B91"/>
    <w:rsid w:val="00333C56"/>
    <w:rsid w:val="00333F14"/>
    <w:rsid w:val="00333F4E"/>
    <w:rsid w:val="00334053"/>
    <w:rsid w:val="003340DC"/>
    <w:rsid w:val="00334129"/>
    <w:rsid w:val="00334258"/>
    <w:rsid w:val="00334301"/>
    <w:rsid w:val="00334715"/>
    <w:rsid w:val="00334743"/>
    <w:rsid w:val="003347DD"/>
    <w:rsid w:val="00334827"/>
    <w:rsid w:val="003348CE"/>
    <w:rsid w:val="0033491B"/>
    <w:rsid w:val="00334997"/>
    <w:rsid w:val="00334A44"/>
    <w:rsid w:val="00334C16"/>
    <w:rsid w:val="00334C38"/>
    <w:rsid w:val="00334C87"/>
    <w:rsid w:val="00334CAE"/>
    <w:rsid w:val="00334DD6"/>
    <w:rsid w:val="00334FA3"/>
    <w:rsid w:val="00335045"/>
    <w:rsid w:val="003351F0"/>
    <w:rsid w:val="003354C6"/>
    <w:rsid w:val="00335517"/>
    <w:rsid w:val="003355D5"/>
    <w:rsid w:val="00335736"/>
    <w:rsid w:val="00335976"/>
    <w:rsid w:val="003359C8"/>
    <w:rsid w:val="00335AC4"/>
    <w:rsid w:val="00335ACF"/>
    <w:rsid w:val="00335B11"/>
    <w:rsid w:val="00335CF9"/>
    <w:rsid w:val="00336098"/>
    <w:rsid w:val="003360B2"/>
    <w:rsid w:val="0033632F"/>
    <w:rsid w:val="00336499"/>
    <w:rsid w:val="00336615"/>
    <w:rsid w:val="0033663A"/>
    <w:rsid w:val="00336796"/>
    <w:rsid w:val="00336803"/>
    <w:rsid w:val="0033687D"/>
    <w:rsid w:val="00336992"/>
    <w:rsid w:val="00336A1B"/>
    <w:rsid w:val="00336A97"/>
    <w:rsid w:val="00336BAF"/>
    <w:rsid w:val="00336CD0"/>
    <w:rsid w:val="00336D90"/>
    <w:rsid w:val="00336EC9"/>
    <w:rsid w:val="003370E5"/>
    <w:rsid w:val="003375F1"/>
    <w:rsid w:val="00337694"/>
    <w:rsid w:val="003376E3"/>
    <w:rsid w:val="0033772A"/>
    <w:rsid w:val="003377E1"/>
    <w:rsid w:val="00337A03"/>
    <w:rsid w:val="00337A39"/>
    <w:rsid w:val="00337C08"/>
    <w:rsid w:val="00337C80"/>
    <w:rsid w:val="00337CD0"/>
    <w:rsid w:val="00337E6C"/>
    <w:rsid w:val="00337EBD"/>
    <w:rsid w:val="00337EE2"/>
    <w:rsid w:val="0033F222"/>
    <w:rsid w:val="0034007B"/>
    <w:rsid w:val="00340213"/>
    <w:rsid w:val="0034021D"/>
    <w:rsid w:val="00340264"/>
    <w:rsid w:val="00340358"/>
    <w:rsid w:val="0034041E"/>
    <w:rsid w:val="00340579"/>
    <w:rsid w:val="0034073E"/>
    <w:rsid w:val="00340849"/>
    <w:rsid w:val="00340B7C"/>
    <w:rsid w:val="00340D7B"/>
    <w:rsid w:val="00340E45"/>
    <w:rsid w:val="00340EF8"/>
    <w:rsid w:val="00340F24"/>
    <w:rsid w:val="00341032"/>
    <w:rsid w:val="00341043"/>
    <w:rsid w:val="0034113D"/>
    <w:rsid w:val="003411DB"/>
    <w:rsid w:val="00341332"/>
    <w:rsid w:val="0034138A"/>
    <w:rsid w:val="003413EE"/>
    <w:rsid w:val="003417DA"/>
    <w:rsid w:val="0034185A"/>
    <w:rsid w:val="003418DF"/>
    <w:rsid w:val="00341BD5"/>
    <w:rsid w:val="00341C55"/>
    <w:rsid w:val="00341C71"/>
    <w:rsid w:val="00341D45"/>
    <w:rsid w:val="00341E63"/>
    <w:rsid w:val="00341ED9"/>
    <w:rsid w:val="003420C6"/>
    <w:rsid w:val="00342398"/>
    <w:rsid w:val="003423BF"/>
    <w:rsid w:val="003423FD"/>
    <w:rsid w:val="00342557"/>
    <w:rsid w:val="003426B0"/>
    <w:rsid w:val="003426D3"/>
    <w:rsid w:val="003428DC"/>
    <w:rsid w:val="0034298F"/>
    <w:rsid w:val="00342C56"/>
    <w:rsid w:val="00342C98"/>
    <w:rsid w:val="00342CF7"/>
    <w:rsid w:val="00342D2D"/>
    <w:rsid w:val="00342DD3"/>
    <w:rsid w:val="00342F57"/>
    <w:rsid w:val="003434A1"/>
    <w:rsid w:val="00343545"/>
    <w:rsid w:val="00343622"/>
    <w:rsid w:val="0034367D"/>
    <w:rsid w:val="003437A7"/>
    <w:rsid w:val="0034393C"/>
    <w:rsid w:val="003439EA"/>
    <w:rsid w:val="00343C6C"/>
    <w:rsid w:val="00343E71"/>
    <w:rsid w:val="00343E7C"/>
    <w:rsid w:val="00343F1E"/>
    <w:rsid w:val="00343F43"/>
    <w:rsid w:val="0034405E"/>
    <w:rsid w:val="003441E3"/>
    <w:rsid w:val="003443ED"/>
    <w:rsid w:val="00344455"/>
    <w:rsid w:val="0034446A"/>
    <w:rsid w:val="0034471C"/>
    <w:rsid w:val="00344934"/>
    <w:rsid w:val="00344A6F"/>
    <w:rsid w:val="00344CD1"/>
    <w:rsid w:val="00344D13"/>
    <w:rsid w:val="00344DB2"/>
    <w:rsid w:val="00345085"/>
    <w:rsid w:val="00345086"/>
    <w:rsid w:val="0034536F"/>
    <w:rsid w:val="00345415"/>
    <w:rsid w:val="0034557A"/>
    <w:rsid w:val="00345597"/>
    <w:rsid w:val="003457ED"/>
    <w:rsid w:val="00345817"/>
    <w:rsid w:val="00345863"/>
    <w:rsid w:val="003458AD"/>
    <w:rsid w:val="0034596B"/>
    <w:rsid w:val="00345A34"/>
    <w:rsid w:val="00345CB4"/>
    <w:rsid w:val="00345D19"/>
    <w:rsid w:val="00345D3A"/>
    <w:rsid w:val="00345F0B"/>
    <w:rsid w:val="0034604D"/>
    <w:rsid w:val="003460F6"/>
    <w:rsid w:val="00346508"/>
    <w:rsid w:val="003466B8"/>
    <w:rsid w:val="00346747"/>
    <w:rsid w:val="0034676B"/>
    <w:rsid w:val="003467AE"/>
    <w:rsid w:val="00346801"/>
    <w:rsid w:val="0034692E"/>
    <w:rsid w:val="00346958"/>
    <w:rsid w:val="0034697D"/>
    <w:rsid w:val="00346A2E"/>
    <w:rsid w:val="00346AFD"/>
    <w:rsid w:val="00346B2C"/>
    <w:rsid w:val="00346B88"/>
    <w:rsid w:val="00346C23"/>
    <w:rsid w:val="00346D04"/>
    <w:rsid w:val="003473DF"/>
    <w:rsid w:val="00347538"/>
    <w:rsid w:val="003475C2"/>
    <w:rsid w:val="003475CD"/>
    <w:rsid w:val="003477DE"/>
    <w:rsid w:val="00347A07"/>
    <w:rsid w:val="00347AA9"/>
    <w:rsid w:val="00347C27"/>
    <w:rsid w:val="00347CE5"/>
    <w:rsid w:val="00347CF1"/>
    <w:rsid w:val="00347D3B"/>
    <w:rsid w:val="00350098"/>
    <w:rsid w:val="003502ED"/>
    <w:rsid w:val="0035037B"/>
    <w:rsid w:val="003503A9"/>
    <w:rsid w:val="00350454"/>
    <w:rsid w:val="003504FB"/>
    <w:rsid w:val="0035053E"/>
    <w:rsid w:val="0035061E"/>
    <w:rsid w:val="003506C6"/>
    <w:rsid w:val="003508CE"/>
    <w:rsid w:val="00350A1D"/>
    <w:rsid w:val="00350A7A"/>
    <w:rsid w:val="00350C2B"/>
    <w:rsid w:val="00350C60"/>
    <w:rsid w:val="00350E30"/>
    <w:rsid w:val="00350F43"/>
    <w:rsid w:val="00350FB3"/>
    <w:rsid w:val="003510F7"/>
    <w:rsid w:val="00351117"/>
    <w:rsid w:val="003512FE"/>
    <w:rsid w:val="00351335"/>
    <w:rsid w:val="003513C3"/>
    <w:rsid w:val="003513EE"/>
    <w:rsid w:val="003514D1"/>
    <w:rsid w:val="003514E1"/>
    <w:rsid w:val="0035182D"/>
    <w:rsid w:val="00351929"/>
    <w:rsid w:val="0035197E"/>
    <w:rsid w:val="00351B3B"/>
    <w:rsid w:val="00351B5D"/>
    <w:rsid w:val="00351B61"/>
    <w:rsid w:val="00351B85"/>
    <w:rsid w:val="00351C6E"/>
    <w:rsid w:val="00351D0A"/>
    <w:rsid w:val="00351D0B"/>
    <w:rsid w:val="00351DD8"/>
    <w:rsid w:val="00351E88"/>
    <w:rsid w:val="00351ED1"/>
    <w:rsid w:val="00351EDC"/>
    <w:rsid w:val="00351F1B"/>
    <w:rsid w:val="00351F83"/>
    <w:rsid w:val="00351FD5"/>
    <w:rsid w:val="00351FEA"/>
    <w:rsid w:val="00352055"/>
    <w:rsid w:val="003520A4"/>
    <w:rsid w:val="0035210E"/>
    <w:rsid w:val="0035213D"/>
    <w:rsid w:val="00352370"/>
    <w:rsid w:val="003525FA"/>
    <w:rsid w:val="00352722"/>
    <w:rsid w:val="00352729"/>
    <w:rsid w:val="00352BB5"/>
    <w:rsid w:val="00352CBF"/>
    <w:rsid w:val="00352CEA"/>
    <w:rsid w:val="00352E8F"/>
    <w:rsid w:val="00352ED8"/>
    <w:rsid w:val="00353024"/>
    <w:rsid w:val="0035308D"/>
    <w:rsid w:val="003530E1"/>
    <w:rsid w:val="00353121"/>
    <w:rsid w:val="00353244"/>
    <w:rsid w:val="0035324F"/>
    <w:rsid w:val="00353259"/>
    <w:rsid w:val="00353573"/>
    <w:rsid w:val="00353610"/>
    <w:rsid w:val="00353633"/>
    <w:rsid w:val="00353685"/>
    <w:rsid w:val="003536E6"/>
    <w:rsid w:val="003537CD"/>
    <w:rsid w:val="0035388F"/>
    <w:rsid w:val="003538F1"/>
    <w:rsid w:val="00353CC9"/>
    <w:rsid w:val="00353CD2"/>
    <w:rsid w:val="00353D07"/>
    <w:rsid w:val="00353DFE"/>
    <w:rsid w:val="00353E32"/>
    <w:rsid w:val="003541D2"/>
    <w:rsid w:val="0035427D"/>
    <w:rsid w:val="0035428E"/>
    <w:rsid w:val="00354638"/>
    <w:rsid w:val="0035479B"/>
    <w:rsid w:val="003547AE"/>
    <w:rsid w:val="00354901"/>
    <w:rsid w:val="00354B3F"/>
    <w:rsid w:val="00354B40"/>
    <w:rsid w:val="00354C59"/>
    <w:rsid w:val="00354D90"/>
    <w:rsid w:val="00354F70"/>
    <w:rsid w:val="00355096"/>
    <w:rsid w:val="00355258"/>
    <w:rsid w:val="00355391"/>
    <w:rsid w:val="003553BB"/>
    <w:rsid w:val="003553FC"/>
    <w:rsid w:val="0035548E"/>
    <w:rsid w:val="003554A4"/>
    <w:rsid w:val="003555CF"/>
    <w:rsid w:val="003556C9"/>
    <w:rsid w:val="00355730"/>
    <w:rsid w:val="003557CB"/>
    <w:rsid w:val="00355845"/>
    <w:rsid w:val="0035594D"/>
    <w:rsid w:val="003559DD"/>
    <w:rsid w:val="00355A5A"/>
    <w:rsid w:val="00355BB8"/>
    <w:rsid w:val="00355CFA"/>
    <w:rsid w:val="00355FF8"/>
    <w:rsid w:val="0035608E"/>
    <w:rsid w:val="003560A2"/>
    <w:rsid w:val="00356118"/>
    <w:rsid w:val="0035613E"/>
    <w:rsid w:val="00356188"/>
    <w:rsid w:val="003561C6"/>
    <w:rsid w:val="00356324"/>
    <w:rsid w:val="00356392"/>
    <w:rsid w:val="00356566"/>
    <w:rsid w:val="00356676"/>
    <w:rsid w:val="003568AA"/>
    <w:rsid w:val="0035696C"/>
    <w:rsid w:val="0035697B"/>
    <w:rsid w:val="00356A33"/>
    <w:rsid w:val="00356ADA"/>
    <w:rsid w:val="00356B1F"/>
    <w:rsid w:val="00356D2B"/>
    <w:rsid w:val="00356D4D"/>
    <w:rsid w:val="00356DBF"/>
    <w:rsid w:val="00356E1E"/>
    <w:rsid w:val="00356EC5"/>
    <w:rsid w:val="00356F25"/>
    <w:rsid w:val="00356F9F"/>
    <w:rsid w:val="0035701D"/>
    <w:rsid w:val="0035705F"/>
    <w:rsid w:val="003570AE"/>
    <w:rsid w:val="00357262"/>
    <w:rsid w:val="00357296"/>
    <w:rsid w:val="0035729D"/>
    <w:rsid w:val="00357317"/>
    <w:rsid w:val="0035752E"/>
    <w:rsid w:val="00357549"/>
    <w:rsid w:val="00357629"/>
    <w:rsid w:val="00357718"/>
    <w:rsid w:val="0035771D"/>
    <w:rsid w:val="003577BF"/>
    <w:rsid w:val="003577F0"/>
    <w:rsid w:val="003579B7"/>
    <w:rsid w:val="00357B3E"/>
    <w:rsid w:val="00357B9A"/>
    <w:rsid w:val="00357CF6"/>
    <w:rsid w:val="00357DDF"/>
    <w:rsid w:val="00357F78"/>
    <w:rsid w:val="0036011A"/>
    <w:rsid w:val="0036016D"/>
    <w:rsid w:val="003601A3"/>
    <w:rsid w:val="0036024F"/>
    <w:rsid w:val="0036051F"/>
    <w:rsid w:val="00360601"/>
    <w:rsid w:val="0036064F"/>
    <w:rsid w:val="0036086F"/>
    <w:rsid w:val="00360A28"/>
    <w:rsid w:val="00360A58"/>
    <w:rsid w:val="00360C68"/>
    <w:rsid w:val="00360D55"/>
    <w:rsid w:val="00360ED8"/>
    <w:rsid w:val="00360F8C"/>
    <w:rsid w:val="003611B8"/>
    <w:rsid w:val="0036130D"/>
    <w:rsid w:val="003613FB"/>
    <w:rsid w:val="00361453"/>
    <w:rsid w:val="003615DB"/>
    <w:rsid w:val="00361629"/>
    <w:rsid w:val="00361903"/>
    <w:rsid w:val="00361AC3"/>
    <w:rsid w:val="00361AC5"/>
    <w:rsid w:val="00361C86"/>
    <w:rsid w:val="00361CF0"/>
    <w:rsid w:val="00361D42"/>
    <w:rsid w:val="00361D51"/>
    <w:rsid w:val="00361FF9"/>
    <w:rsid w:val="00362002"/>
    <w:rsid w:val="003620D6"/>
    <w:rsid w:val="003626FF"/>
    <w:rsid w:val="0036288E"/>
    <w:rsid w:val="00362932"/>
    <w:rsid w:val="00362967"/>
    <w:rsid w:val="003629FC"/>
    <w:rsid w:val="00362A77"/>
    <w:rsid w:val="00362C31"/>
    <w:rsid w:val="00362CF7"/>
    <w:rsid w:val="00362D23"/>
    <w:rsid w:val="00362DC8"/>
    <w:rsid w:val="00362E04"/>
    <w:rsid w:val="003630C9"/>
    <w:rsid w:val="00363174"/>
    <w:rsid w:val="0036326C"/>
    <w:rsid w:val="003632B0"/>
    <w:rsid w:val="0036340C"/>
    <w:rsid w:val="00363431"/>
    <w:rsid w:val="003635BF"/>
    <w:rsid w:val="00363602"/>
    <w:rsid w:val="003636D5"/>
    <w:rsid w:val="0036383E"/>
    <w:rsid w:val="00363889"/>
    <w:rsid w:val="003638A6"/>
    <w:rsid w:val="003638B7"/>
    <w:rsid w:val="00363920"/>
    <w:rsid w:val="00363AAA"/>
    <w:rsid w:val="00363C5C"/>
    <w:rsid w:val="00363C81"/>
    <w:rsid w:val="00363EAB"/>
    <w:rsid w:val="00363EDA"/>
    <w:rsid w:val="00363EDB"/>
    <w:rsid w:val="00363EEF"/>
    <w:rsid w:val="003640AC"/>
    <w:rsid w:val="00364114"/>
    <w:rsid w:val="00364146"/>
    <w:rsid w:val="0036414D"/>
    <w:rsid w:val="00364273"/>
    <w:rsid w:val="003642AA"/>
    <w:rsid w:val="00364310"/>
    <w:rsid w:val="00364324"/>
    <w:rsid w:val="0036452E"/>
    <w:rsid w:val="00364688"/>
    <w:rsid w:val="00364714"/>
    <w:rsid w:val="00364816"/>
    <w:rsid w:val="0036482D"/>
    <w:rsid w:val="00364D18"/>
    <w:rsid w:val="00364D62"/>
    <w:rsid w:val="00364F4D"/>
    <w:rsid w:val="00365047"/>
    <w:rsid w:val="00365258"/>
    <w:rsid w:val="0036526D"/>
    <w:rsid w:val="00365427"/>
    <w:rsid w:val="003654DE"/>
    <w:rsid w:val="0036577D"/>
    <w:rsid w:val="00365950"/>
    <w:rsid w:val="003659B7"/>
    <w:rsid w:val="00365B25"/>
    <w:rsid w:val="00365B2D"/>
    <w:rsid w:val="00365C3E"/>
    <w:rsid w:val="00365F99"/>
    <w:rsid w:val="00365FFB"/>
    <w:rsid w:val="00365FFF"/>
    <w:rsid w:val="003661B5"/>
    <w:rsid w:val="003662E9"/>
    <w:rsid w:val="0036636F"/>
    <w:rsid w:val="003664D5"/>
    <w:rsid w:val="0036651B"/>
    <w:rsid w:val="003665D6"/>
    <w:rsid w:val="00366776"/>
    <w:rsid w:val="00366A92"/>
    <w:rsid w:val="00366CC1"/>
    <w:rsid w:val="00366CE3"/>
    <w:rsid w:val="00366D1D"/>
    <w:rsid w:val="00366E49"/>
    <w:rsid w:val="00366EB3"/>
    <w:rsid w:val="00366F2C"/>
    <w:rsid w:val="00366F32"/>
    <w:rsid w:val="00367000"/>
    <w:rsid w:val="0036707E"/>
    <w:rsid w:val="0036714B"/>
    <w:rsid w:val="0036725D"/>
    <w:rsid w:val="00367343"/>
    <w:rsid w:val="003673CD"/>
    <w:rsid w:val="003674C1"/>
    <w:rsid w:val="003675B6"/>
    <w:rsid w:val="0036769B"/>
    <w:rsid w:val="003676BA"/>
    <w:rsid w:val="003676E0"/>
    <w:rsid w:val="0036773B"/>
    <w:rsid w:val="00367940"/>
    <w:rsid w:val="00367B95"/>
    <w:rsid w:val="00367CEE"/>
    <w:rsid w:val="00367DC4"/>
    <w:rsid w:val="00367F6A"/>
    <w:rsid w:val="00370016"/>
    <w:rsid w:val="00370545"/>
    <w:rsid w:val="00370749"/>
    <w:rsid w:val="0037093F"/>
    <w:rsid w:val="00370C73"/>
    <w:rsid w:val="00370EC2"/>
    <w:rsid w:val="00370F40"/>
    <w:rsid w:val="00370F47"/>
    <w:rsid w:val="0037138F"/>
    <w:rsid w:val="003716B5"/>
    <w:rsid w:val="00371759"/>
    <w:rsid w:val="00371AE8"/>
    <w:rsid w:val="00371BF2"/>
    <w:rsid w:val="00371C4B"/>
    <w:rsid w:val="00371D87"/>
    <w:rsid w:val="00371E90"/>
    <w:rsid w:val="00372153"/>
    <w:rsid w:val="00372187"/>
    <w:rsid w:val="0037219E"/>
    <w:rsid w:val="0037232E"/>
    <w:rsid w:val="00372377"/>
    <w:rsid w:val="0037242C"/>
    <w:rsid w:val="00372451"/>
    <w:rsid w:val="003724E7"/>
    <w:rsid w:val="00372679"/>
    <w:rsid w:val="00372687"/>
    <w:rsid w:val="003728BA"/>
    <w:rsid w:val="003728FA"/>
    <w:rsid w:val="00372E23"/>
    <w:rsid w:val="00373049"/>
    <w:rsid w:val="0037315F"/>
    <w:rsid w:val="003731A0"/>
    <w:rsid w:val="003731BC"/>
    <w:rsid w:val="00373229"/>
    <w:rsid w:val="0037335C"/>
    <w:rsid w:val="00373401"/>
    <w:rsid w:val="00373468"/>
    <w:rsid w:val="00373485"/>
    <w:rsid w:val="00373500"/>
    <w:rsid w:val="00373770"/>
    <w:rsid w:val="00373793"/>
    <w:rsid w:val="003737ED"/>
    <w:rsid w:val="00373874"/>
    <w:rsid w:val="003739D4"/>
    <w:rsid w:val="00373AA8"/>
    <w:rsid w:val="00373B6F"/>
    <w:rsid w:val="00373BA4"/>
    <w:rsid w:val="00373C72"/>
    <w:rsid w:val="00373C89"/>
    <w:rsid w:val="00373ED3"/>
    <w:rsid w:val="00374099"/>
    <w:rsid w:val="003740F2"/>
    <w:rsid w:val="0037416F"/>
    <w:rsid w:val="003741AD"/>
    <w:rsid w:val="0037422A"/>
    <w:rsid w:val="0037426A"/>
    <w:rsid w:val="0037436F"/>
    <w:rsid w:val="003743C5"/>
    <w:rsid w:val="0037443B"/>
    <w:rsid w:val="003746E1"/>
    <w:rsid w:val="003746E5"/>
    <w:rsid w:val="003747BA"/>
    <w:rsid w:val="00374834"/>
    <w:rsid w:val="003748A7"/>
    <w:rsid w:val="003749B3"/>
    <w:rsid w:val="00374A73"/>
    <w:rsid w:val="00374C2A"/>
    <w:rsid w:val="00375090"/>
    <w:rsid w:val="00375314"/>
    <w:rsid w:val="003753C7"/>
    <w:rsid w:val="003754D7"/>
    <w:rsid w:val="00375637"/>
    <w:rsid w:val="00375698"/>
    <w:rsid w:val="003756BF"/>
    <w:rsid w:val="003756FE"/>
    <w:rsid w:val="00375711"/>
    <w:rsid w:val="00375777"/>
    <w:rsid w:val="0037578C"/>
    <w:rsid w:val="003757F7"/>
    <w:rsid w:val="00375880"/>
    <w:rsid w:val="003758A1"/>
    <w:rsid w:val="003759F1"/>
    <w:rsid w:val="00375A28"/>
    <w:rsid w:val="00375BA3"/>
    <w:rsid w:val="00375BFA"/>
    <w:rsid w:val="00375EBA"/>
    <w:rsid w:val="003761F4"/>
    <w:rsid w:val="003762F2"/>
    <w:rsid w:val="00376330"/>
    <w:rsid w:val="003763DF"/>
    <w:rsid w:val="00376654"/>
    <w:rsid w:val="00376691"/>
    <w:rsid w:val="00376746"/>
    <w:rsid w:val="00376754"/>
    <w:rsid w:val="00376792"/>
    <w:rsid w:val="0037699F"/>
    <w:rsid w:val="00376A48"/>
    <w:rsid w:val="00376BD9"/>
    <w:rsid w:val="00376DCE"/>
    <w:rsid w:val="00376F2F"/>
    <w:rsid w:val="00377249"/>
    <w:rsid w:val="00377250"/>
    <w:rsid w:val="003772A7"/>
    <w:rsid w:val="00377372"/>
    <w:rsid w:val="0037753C"/>
    <w:rsid w:val="00377637"/>
    <w:rsid w:val="0037765A"/>
    <w:rsid w:val="0037785F"/>
    <w:rsid w:val="003778C9"/>
    <w:rsid w:val="00377C1A"/>
    <w:rsid w:val="00377CAB"/>
    <w:rsid w:val="00377D33"/>
    <w:rsid w:val="00377D55"/>
    <w:rsid w:val="00377EA4"/>
    <w:rsid w:val="0037872C"/>
    <w:rsid w:val="00380161"/>
    <w:rsid w:val="00380354"/>
    <w:rsid w:val="0038061B"/>
    <w:rsid w:val="00380721"/>
    <w:rsid w:val="00380807"/>
    <w:rsid w:val="003808AA"/>
    <w:rsid w:val="0038093B"/>
    <w:rsid w:val="00380985"/>
    <w:rsid w:val="0038098A"/>
    <w:rsid w:val="00380A31"/>
    <w:rsid w:val="00380A82"/>
    <w:rsid w:val="00380B70"/>
    <w:rsid w:val="00380DD3"/>
    <w:rsid w:val="00380EF8"/>
    <w:rsid w:val="0038144B"/>
    <w:rsid w:val="0038148C"/>
    <w:rsid w:val="003816C2"/>
    <w:rsid w:val="003816F2"/>
    <w:rsid w:val="003819A4"/>
    <w:rsid w:val="00381A10"/>
    <w:rsid w:val="00381B10"/>
    <w:rsid w:val="00381BFA"/>
    <w:rsid w:val="00381DD2"/>
    <w:rsid w:val="00381E44"/>
    <w:rsid w:val="00382097"/>
    <w:rsid w:val="00382132"/>
    <w:rsid w:val="00382297"/>
    <w:rsid w:val="0038229C"/>
    <w:rsid w:val="003822B8"/>
    <w:rsid w:val="0038235C"/>
    <w:rsid w:val="00382487"/>
    <w:rsid w:val="003824AD"/>
    <w:rsid w:val="0038267E"/>
    <w:rsid w:val="003826B0"/>
    <w:rsid w:val="00382771"/>
    <w:rsid w:val="0038289D"/>
    <w:rsid w:val="003828DE"/>
    <w:rsid w:val="00382AE7"/>
    <w:rsid w:val="00382BFA"/>
    <w:rsid w:val="00382C21"/>
    <w:rsid w:val="00382DEB"/>
    <w:rsid w:val="00382E00"/>
    <w:rsid w:val="00382EE9"/>
    <w:rsid w:val="00382F78"/>
    <w:rsid w:val="00382FD9"/>
    <w:rsid w:val="0038308E"/>
    <w:rsid w:val="00383174"/>
    <w:rsid w:val="00383363"/>
    <w:rsid w:val="00383376"/>
    <w:rsid w:val="003833BB"/>
    <w:rsid w:val="003833D8"/>
    <w:rsid w:val="00383794"/>
    <w:rsid w:val="003838F4"/>
    <w:rsid w:val="003838F6"/>
    <w:rsid w:val="00383960"/>
    <w:rsid w:val="00383AD4"/>
    <w:rsid w:val="00383AF9"/>
    <w:rsid w:val="00383B79"/>
    <w:rsid w:val="0038407A"/>
    <w:rsid w:val="003841B4"/>
    <w:rsid w:val="003841C0"/>
    <w:rsid w:val="0038438D"/>
    <w:rsid w:val="003843EC"/>
    <w:rsid w:val="00384407"/>
    <w:rsid w:val="003844C6"/>
    <w:rsid w:val="003845C4"/>
    <w:rsid w:val="00384632"/>
    <w:rsid w:val="00384664"/>
    <w:rsid w:val="00384825"/>
    <w:rsid w:val="00384948"/>
    <w:rsid w:val="00384A0D"/>
    <w:rsid w:val="00384C7B"/>
    <w:rsid w:val="00384D03"/>
    <w:rsid w:val="00384EAC"/>
    <w:rsid w:val="00385097"/>
    <w:rsid w:val="00385373"/>
    <w:rsid w:val="00385470"/>
    <w:rsid w:val="003854B6"/>
    <w:rsid w:val="00385536"/>
    <w:rsid w:val="0038588A"/>
    <w:rsid w:val="00385958"/>
    <w:rsid w:val="003859AE"/>
    <w:rsid w:val="00385A59"/>
    <w:rsid w:val="00385ABD"/>
    <w:rsid w:val="00385C6C"/>
    <w:rsid w:val="00385C7E"/>
    <w:rsid w:val="00385CB5"/>
    <w:rsid w:val="00385D7D"/>
    <w:rsid w:val="00385F20"/>
    <w:rsid w:val="003861C8"/>
    <w:rsid w:val="003863C6"/>
    <w:rsid w:val="003863D6"/>
    <w:rsid w:val="00386452"/>
    <w:rsid w:val="0038649A"/>
    <w:rsid w:val="0038664B"/>
    <w:rsid w:val="003867F5"/>
    <w:rsid w:val="00386823"/>
    <w:rsid w:val="00386AE3"/>
    <w:rsid w:val="00386E28"/>
    <w:rsid w:val="00387370"/>
    <w:rsid w:val="0038744A"/>
    <w:rsid w:val="00387491"/>
    <w:rsid w:val="0038781B"/>
    <w:rsid w:val="00387871"/>
    <w:rsid w:val="00387B6A"/>
    <w:rsid w:val="00387C3E"/>
    <w:rsid w:val="00387FFD"/>
    <w:rsid w:val="00390033"/>
    <w:rsid w:val="00390089"/>
    <w:rsid w:val="0039039B"/>
    <w:rsid w:val="003904C3"/>
    <w:rsid w:val="00390641"/>
    <w:rsid w:val="00390917"/>
    <w:rsid w:val="0039092F"/>
    <w:rsid w:val="00390AD6"/>
    <w:rsid w:val="00390C02"/>
    <w:rsid w:val="00390C04"/>
    <w:rsid w:val="00390CD7"/>
    <w:rsid w:val="00390F0F"/>
    <w:rsid w:val="00390F2F"/>
    <w:rsid w:val="00390F56"/>
    <w:rsid w:val="00390FB3"/>
    <w:rsid w:val="00391047"/>
    <w:rsid w:val="003910FE"/>
    <w:rsid w:val="0039114A"/>
    <w:rsid w:val="00391168"/>
    <w:rsid w:val="0039138E"/>
    <w:rsid w:val="003915C5"/>
    <w:rsid w:val="003917D2"/>
    <w:rsid w:val="00391803"/>
    <w:rsid w:val="003918F6"/>
    <w:rsid w:val="00391AC3"/>
    <w:rsid w:val="00391B85"/>
    <w:rsid w:val="00391BE7"/>
    <w:rsid w:val="00391C8B"/>
    <w:rsid w:val="00391E75"/>
    <w:rsid w:val="00391E9B"/>
    <w:rsid w:val="00391EE6"/>
    <w:rsid w:val="003920D4"/>
    <w:rsid w:val="003922C9"/>
    <w:rsid w:val="003924E2"/>
    <w:rsid w:val="00392574"/>
    <w:rsid w:val="0039257A"/>
    <w:rsid w:val="003925C1"/>
    <w:rsid w:val="003925D3"/>
    <w:rsid w:val="00392685"/>
    <w:rsid w:val="003927F1"/>
    <w:rsid w:val="003928C8"/>
    <w:rsid w:val="003929C5"/>
    <w:rsid w:val="00392A6A"/>
    <w:rsid w:val="00392CDF"/>
    <w:rsid w:val="00392F9E"/>
    <w:rsid w:val="00392FE1"/>
    <w:rsid w:val="0039329A"/>
    <w:rsid w:val="003932E6"/>
    <w:rsid w:val="003935FC"/>
    <w:rsid w:val="00393637"/>
    <w:rsid w:val="003936EC"/>
    <w:rsid w:val="00393971"/>
    <w:rsid w:val="00393AA2"/>
    <w:rsid w:val="00393E91"/>
    <w:rsid w:val="00393EBD"/>
    <w:rsid w:val="00393FD8"/>
    <w:rsid w:val="0039404F"/>
    <w:rsid w:val="003941AC"/>
    <w:rsid w:val="003942C3"/>
    <w:rsid w:val="00394481"/>
    <w:rsid w:val="003944DA"/>
    <w:rsid w:val="00394582"/>
    <w:rsid w:val="00394616"/>
    <w:rsid w:val="00394649"/>
    <w:rsid w:val="0039472A"/>
    <w:rsid w:val="00394765"/>
    <w:rsid w:val="003947D4"/>
    <w:rsid w:val="003949C4"/>
    <w:rsid w:val="00394A84"/>
    <w:rsid w:val="00394A9A"/>
    <w:rsid w:val="00394B55"/>
    <w:rsid w:val="00394C00"/>
    <w:rsid w:val="00394D7D"/>
    <w:rsid w:val="00394E41"/>
    <w:rsid w:val="00394E6D"/>
    <w:rsid w:val="00394F2B"/>
    <w:rsid w:val="00395233"/>
    <w:rsid w:val="00395258"/>
    <w:rsid w:val="003955AD"/>
    <w:rsid w:val="003959FE"/>
    <w:rsid w:val="00395A59"/>
    <w:rsid w:val="00395B48"/>
    <w:rsid w:val="00395BE6"/>
    <w:rsid w:val="00395CA8"/>
    <w:rsid w:val="00395D24"/>
    <w:rsid w:val="00395DED"/>
    <w:rsid w:val="00395EC2"/>
    <w:rsid w:val="00396080"/>
    <w:rsid w:val="003962AC"/>
    <w:rsid w:val="00396378"/>
    <w:rsid w:val="00396402"/>
    <w:rsid w:val="00396552"/>
    <w:rsid w:val="003967C4"/>
    <w:rsid w:val="00396809"/>
    <w:rsid w:val="00396876"/>
    <w:rsid w:val="00396985"/>
    <w:rsid w:val="003969CB"/>
    <w:rsid w:val="00396A91"/>
    <w:rsid w:val="00396B3A"/>
    <w:rsid w:val="00396B50"/>
    <w:rsid w:val="00396CB5"/>
    <w:rsid w:val="00396DD9"/>
    <w:rsid w:val="00396EAF"/>
    <w:rsid w:val="00397015"/>
    <w:rsid w:val="00397262"/>
    <w:rsid w:val="003972C7"/>
    <w:rsid w:val="003976E2"/>
    <w:rsid w:val="003977CD"/>
    <w:rsid w:val="003977F2"/>
    <w:rsid w:val="003978C5"/>
    <w:rsid w:val="003979E8"/>
    <w:rsid w:val="00397A70"/>
    <w:rsid w:val="00397ACA"/>
    <w:rsid w:val="003A0031"/>
    <w:rsid w:val="003A017D"/>
    <w:rsid w:val="003A0234"/>
    <w:rsid w:val="003A0335"/>
    <w:rsid w:val="003A0339"/>
    <w:rsid w:val="003A04B8"/>
    <w:rsid w:val="003A05F1"/>
    <w:rsid w:val="003A0845"/>
    <w:rsid w:val="003A0900"/>
    <w:rsid w:val="003A0D19"/>
    <w:rsid w:val="003A0F72"/>
    <w:rsid w:val="003A0F99"/>
    <w:rsid w:val="003A1078"/>
    <w:rsid w:val="003A113D"/>
    <w:rsid w:val="003A1423"/>
    <w:rsid w:val="003A14E9"/>
    <w:rsid w:val="003A1585"/>
    <w:rsid w:val="003A15A0"/>
    <w:rsid w:val="003A173F"/>
    <w:rsid w:val="003A1775"/>
    <w:rsid w:val="003A18BB"/>
    <w:rsid w:val="003A1986"/>
    <w:rsid w:val="003A19DB"/>
    <w:rsid w:val="003A1A9E"/>
    <w:rsid w:val="003A1AA9"/>
    <w:rsid w:val="003A1B73"/>
    <w:rsid w:val="003A1E53"/>
    <w:rsid w:val="003A23E6"/>
    <w:rsid w:val="003A25B8"/>
    <w:rsid w:val="003A282E"/>
    <w:rsid w:val="003A289E"/>
    <w:rsid w:val="003A2945"/>
    <w:rsid w:val="003A2A8E"/>
    <w:rsid w:val="003A2D48"/>
    <w:rsid w:val="003A2E9A"/>
    <w:rsid w:val="003A2EB3"/>
    <w:rsid w:val="003A2ECB"/>
    <w:rsid w:val="003A2F57"/>
    <w:rsid w:val="003A2F6F"/>
    <w:rsid w:val="003A308D"/>
    <w:rsid w:val="003A3407"/>
    <w:rsid w:val="003A35F4"/>
    <w:rsid w:val="003A36AC"/>
    <w:rsid w:val="003A38B2"/>
    <w:rsid w:val="003A3AD5"/>
    <w:rsid w:val="003A3B28"/>
    <w:rsid w:val="003A3B65"/>
    <w:rsid w:val="003A3B6D"/>
    <w:rsid w:val="003A3B92"/>
    <w:rsid w:val="003A3CC5"/>
    <w:rsid w:val="003A3E40"/>
    <w:rsid w:val="003A3F5F"/>
    <w:rsid w:val="003A3F62"/>
    <w:rsid w:val="003A4235"/>
    <w:rsid w:val="003A42F0"/>
    <w:rsid w:val="003A46F9"/>
    <w:rsid w:val="003A4777"/>
    <w:rsid w:val="003A4878"/>
    <w:rsid w:val="003A489C"/>
    <w:rsid w:val="003A499D"/>
    <w:rsid w:val="003A49BA"/>
    <w:rsid w:val="003A49D7"/>
    <w:rsid w:val="003A4B32"/>
    <w:rsid w:val="003A4FB3"/>
    <w:rsid w:val="003A61AF"/>
    <w:rsid w:val="003A61B4"/>
    <w:rsid w:val="003A61EE"/>
    <w:rsid w:val="003A672C"/>
    <w:rsid w:val="003A673F"/>
    <w:rsid w:val="003A68C7"/>
    <w:rsid w:val="003A6936"/>
    <w:rsid w:val="003A6A1A"/>
    <w:rsid w:val="003A6A3E"/>
    <w:rsid w:val="003A6C49"/>
    <w:rsid w:val="003A6F31"/>
    <w:rsid w:val="003A71D3"/>
    <w:rsid w:val="003A73D7"/>
    <w:rsid w:val="003A73D8"/>
    <w:rsid w:val="003A73F6"/>
    <w:rsid w:val="003A73FF"/>
    <w:rsid w:val="003A7584"/>
    <w:rsid w:val="003A76F0"/>
    <w:rsid w:val="003A7847"/>
    <w:rsid w:val="003A7971"/>
    <w:rsid w:val="003A7996"/>
    <w:rsid w:val="003A7CE4"/>
    <w:rsid w:val="003A7E50"/>
    <w:rsid w:val="003A7E93"/>
    <w:rsid w:val="003B0013"/>
    <w:rsid w:val="003B008C"/>
    <w:rsid w:val="003B01DD"/>
    <w:rsid w:val="003B0277"/>
    <w:rsid w:val="003B0516"/>
    <w:rsid w:val="003B06DF"/>
    <w:rsid w:val="003B07F9"/>
    <w:rsid w:val="003B08D1"/>
    <w:rsid w:val="003B0937"/>
    <w:rsid w:val="003B0A89"/>
    <w:rsid w:val="003B0B68"/>
    <w:rsid w:val="003B0D9F"/>
    <w:rsid w:val="003B0E6D"/>
    <w:rsid w:val="003B10FB"/>
    <w:rsid w:val="003B1245"/>
    <w:rsid w:val="003B149F"/>
    <w:rsid w:val="003B1711"/>
    <w:rsid w:val="003B1795"/>
    <w:rsid w:val="003B19BE"/>
    <w:rsid w:val="003B1AF9"/>
    <w:rsid w:val="003B1C1A"/>
    <w:rsid w:val="003B1C7A"/>
    <w:rsid w:val="003B1CE3"/>
    <w:rsid w:val="003B1D4E"/>
    <w:rsid w:val="003B1E80"/>
    <w:rsid w:val="003B1EAD"/>
    <w:rsid w:val="003B1F27"/>
    <w:rsid w:val="003B20F0"/>
    <w:rsid w:val="003B2354"/>
    <w:rsid w:val="003B24B8"/>
    <w:rsid w:val="003B2518"/>
    <w:rsid w:val="003B2657"/>
    <w:rsid w:val="003B2702"/>
    <w:rsid w:val="003B27DC"/>
    <w:rsid w:val="003B29B4"/>
    <w:rsid w:val="003B2C58"/>
    <w:rsid w:val="003B2C68"/>
    <w:rsid w:val="003B2C6E"/>
    <w:rsid w:val="003B2C93"/>
    <w:rsid w:val="003B2D09"/>
    <w:rsid w:val="003B2D96"/>
    <w:rsid w:val="003B30A9"/>
    <w:rsid w:val="003B314A"/>
    <w:rsid w:val="003B325E"/>
    <w:rsid w:val="003B334D"/>
    <w:rsid w:val="003B35D7"/>
    <w:rsid w:val="003B3759"/>
    <w:rsid w:val="003B387B"/>
    <w:rsid w:val="003B38D1"/>
    <w:rsid w:val="003B3D46"/>
    <w:rsid w:val="003B4180"/>
    <w:rsid w:val="003B434E"/>
    <w:rsid w:val="003B440A"/>
    <w:rsid w:val="003B4B8B"/>
    <w:rsid w:val="003B4BB1"/>
    <w:rsid w:val="003B4BB6"/>
    <w:rsid w:val="003B4D73"/>
    <w:rsid w:val="003B5175"/>
    <w:rsid w:val="003B52BF"/>
    <w:rsid w:val="003B5381"/>
    <w:rsid w:val="003B55C0"/>
    <w:rsid w:val="003B5855"/>
    <w:rsid w:val="003B5BAB"/>
    <w:rsid w:val="003B5F3F"/>
    <w:rsid w:val="003B5F51"/>
    <w:rsid w:val="003B5F54"/>
    <w:rsid w:val="003B6033"/>
    <w:rsid w:val="003B61C0"/>
    <w:rsid w:val="003B61CB"/>
    <w:rsid w:val="003B6309"/>
    <w:rsid w:val="003B641F"/>
    <w:rsid w:val="003B645D"/>
    <w:rsid w:val="003B6464"/>
    <w:rsid w:val="003B649F"/>
    <w:rsid w:val="003B64D3"/>
    <w:rsid w:val="003B64ED"/>
    <w:rsid w:val="003B654B"/>
    <w:rsid w:val="003B6669"/>
    <w:rsid w:val="003B68A4"/>
    <w:rsid w:val="003B6906"/>
    <w:rsid w:val="003B6B6E"/>
    <w:rsid w:val="003B6CD3"/>
    <w:rsid w:val="003B6E24"/>
    <w:rsid w:val="003B70B1"/>
    <w:rsid w:val="003B72DC"/>
    <w:rsid w:val="003B730A"/>
    <w:rsid w:val="003B7392"/>
    <w:rsid w:val="003B7820"/>
    <w:rsid w:val="003B78E5"/>
    <w:rsid w:val="003B7DD1"/>
    <w:rsid w:val="003C0295"/>
    <w:rsid w:val="003C02DB"/>
    <w:rsid w:val="003C0343"/>
    <w:rsid w:val="003C0418"/>
    <w:rsid w:val="003C04F4"/>
    <w:rsid w:val="003C0723"/>
    <w:rsid w:val="003C07D6"/>
    <w:rsid w:val="003C07EC"/>
    <w:rsid w:val="003C0A68"/>
    <w:rsid w:val="003C0CF1"/>
    <w:rsid w:val="003C0D46"/>
    <w:rsid w:val="003C0E46"/>
    <w:rsid w:val="003C0EE7"/>
    <w:rsid w:val="003C109E"/>
    <w:rsid w:val="003C10FC"/>
    <w:rsid w:val="003C1276"/>
    <w:rsid w:val="003C12F6"/>
    <w:rsid w:val="003C1364"/>
    <w:rsid w:val="003C13B2"/>
    <w:rsid w:val="003C1452"/>
    <w:rsid w:val="003C14E0"/>
    <w:rsid w:val="003C1731"/>
    <w:rsid w:val="003C19B8"/>
    <w:rsid w:val="003C19FB"/>
    <w:rsid w:val="003C1B4B"/>
    <w:rsid w:val="003C1BBB"/>
    <w:rsid w:val="003C1CE1"/>
    <w:rsid w:val="003C1D41"/>
    <w:rsid w:val="003C1DC4"/>
    <w:rsid w:val="003C1FD9"/>
    <w:rsid w:val="003C21F1"/>
    <w:rsid w:val="003C2268"/>
    <w:rsid w:val="003C2761"/>
    <w:rsid w:val="003C279E"/>
    <w:rsid w:val="003C27BC"/>
    <w:rsid w:val="003C27C3"/>
    <w:rsid w:val="003C28D1"/>
    <w:rsid w:val="003C2A94"/>
    <w:rsid w:val="003C2B26"/>
    <w:rsid w:val="003C2C80"/>
    <w:rsid w:val="003C2C8B"/>
    <w:rsid w:val="003C2D96"/>
    <w:rsid w:val="003C2EAD"/>
    <w:rsid w:val="003C2F5E"/>
    <w:rsid w:val="003C2F9F"/>
    <w:rsid w:val="003C2FEF"/>
    <w:rsid w:val="003C310F"/>
    <w:rsid w:val="003C3283"/>
    <w:rsid w:val="003C332B"/>
    <w:rsid w:val="003C353F"/>
    <w:rsid w:val="003C3568"/>
    <w:rsid w:val="003C376B"/>
    <w:rsid w:val="003C3892"/>
    <w:rsid w:val="003C3A0D"/>
    <w:rsid w:val="003C3B4F"/>
    <w:rsid w:val="003C3C21"/>
    <w:rsid w:val="003C3D23"/>
    <w:rsid w:val="003C3D80"/>
    <w:rsid w:val="003C3D95"/>
    <w:rsid w:val="003C4028"/>
    <w:rsid w:val="003C4137"/>
    <w:rsid w:val="003C42FA"/>
    <w:rsid w:val="003C4314"/>
    <w:rsid w:val="003C4390"/>
    <w:rsid w:val="003C458E"/>
    <w:rsid w:val="003C4679"/>
    <w:rsid w:val="003C4749"/>
    <w:rsid w:val="003C4754"/>
    <w:rsid w:val="003C499A"/>
    <w:rsid w:val="003C4AE9"/>
    <w:rsid w:val="003C4BE9"/>
    <w:rsid w:val="003C4E7F"/>
    <w:rsid w:val="003C5045"/>
    <w:rsid w:val="003C51B9"/>
    <w:rsid w:val="003C52B9"/>
    <w:rsid w:val="003C54D5"/>
    <w:rsid w:val="003C564F"/>
    <w:rsid w:val="003C5716"/>
    <w:rsid w:val="003C57CD"/>
    <w:rsid w:val="003C58E0"/>
    <w:rsid w:val="003C5954"/>
    <w:rsid w:val="003C5D4A"/>
    <w:rsid w:val="003C5D8F"/>
    <w:rsid w:val="003C5DFB"/>
    <w:rsid w:val="003C5F0C"/>
    <w:rsid w:val="003C605C"/>
    <w:rsid w:val="003C6255"/>
    <w:rsid w:val="003C62DB"/>
    <w:rsid w:val="003C6304"/>
    <w:rsid w:val="003C630B"/>
    <w:rsid w:val="003C63F2"/>
    <w:rsid w:val="003C63F7"/>
    <w:rsid w:val="003C6438"/>
    <w:rsid w:val="003C647E"/>
    <w:rsid w:val="003C64DF"/>
    <w:rsid w:val="003C6531"/>
    <w:rsid w:val="003C6833"/>
    <w:rsid w:val="003C6992"/>
    <w:rsid w:val="003C6A41"/>
    <w:rsid w:val="003C6A78"/>
    <w:rsid w:val="003C6A93"/>
    <w:rsid w:val="003C6D28"/>
    <w:rsid w:val="003C6E85"/>
    <w:rsid w:val="003C6EFA"/>
    <w:rsid w:val="003C71BE"/>
    <w:rsid w:val="003C71BF"/>
    <w:rsid w:val="003C7376"/>
    <w:rsid w:val="003C73B5"/>
    <w:rsid w:val="003C7584"/>
    <w:rsid w:val="003C7648"/>
    <w:rsid w:val="003C76BC"/>
    <w:rsid w:val="003C7731"/>
    <w:rsid w:val="003C7889"/>
    <w:rsid w:val="003C7A8F"/>
    <w:rsid w:val="003C7AF0"/>
    <w:rsid w:val="003C7B56"/>
    <w:rsid w:val="003C7C24"/>
    <w:rsid w:val="003C7DF4"/>
    <w:rsid w:val="003C7E2D"/>
    <w:rsid w:val="003C7E2E"/>
    <w:rsid w:val="003C7E6D"/>
    <w:rsid w:val="003D00DB"/>
    <w:rsid w:val="003D056D"/>
    <w:rsid w:val="003D062C"/>
    <w:rsid w:val="003D06F5"/>
    <w:rsid w:val="003D0845"/>
    <w:rsid w:val="003D0917"/>
    <w:rsid w:val="003D0B4A"/>
    <w:rsid w:val="003D0D21"/>
    <w:rsid w:val="003D0DC9"/>
    <w:rsid w:val="003D0E0E"/>
    <w:rsid w:val="003D10D8"/>
    <w:rsid w:val="003D114D"/>
    <w:rsid w:val="003D1157"/>
    <w:rsid w:val="003D119F"/>
    <w:rsid w:val="003D1320"/>
    <w:rsid w:val="003D13C9"/>
    <w:rsid w:val="003D147A"/>
    <w:rsid w:val="003D199A"/>
    <w:rsid w:val="003D19FE"/>
    <w:rsid w:val="003D1AD1"/>
    <w:rsid w:val="003D1B38"/>
    <w:rsid w:val="003D1BA3"/>
    <w:rsid w:val="003D1D65"/>
    <w:rsid w:val="003D1DEA"/>
    <w:rsid w:val="003D2059"/>
    <w:rsid w:val="003D21B9"/>
    <w:rsid w:val="003D21CE"/>
    <w:rsid w:val="003D2320"/>
    <w:rsid w:val="003D2384"/>
    <w:rsid w:val="003D23FA"/>
    <w:rsid w:val="003D27C3"/>
    <w:rsid w:val="003D27D8"/>
    <w:rsid w:val="003D2858"/>
    <w:rsid w:val="003D286F"/>
    <w:rsid w:val="003D2940"/>
    <w:rsid w:val="003D2D61"/>
    <w:rsid w:val="003D3013"/>
    <w:rsid w:val="003D31BC"/>
    <w:rsid w:val="003D35CE"/>
    <w:rsid w:val="003D3796"/>
    <w:rsid w:val="003D37D1"/>
    <w:rsid w:val="003D37F5"/>
    <w:rsid w:val="003D3A39"/>
    <w:rsid w:val="003D3B3D"/>
    <w:rsid w:val="003D3D9B"/>
    <w:rsid w:val="003D3E12"/>
    <w:rsid w:val="003D3EF2"/>
    <w:rsid w:val="003D41EC"/>
    <w:rsid w:val="003D431F"/>
    <w:rsid w:val="003D450C"/>
    <w:rsid w:val="003D45A6"/>
    <w:rsid w:val="003D45D3"/>
    <w:rsid w:val="003D45D6"/>
    <w:rsid w:val="003D46AF"/>
    <w:rsid w:val="003D48AB"/>
    <w:rsid w:val="003D49CF"/>
    <w:rsid w:val="003D4B2D"/>
    <w:rsid w:val="003D4B53"/>
    <w:rsid w:val="003D4CE0"/>
    <w:rsid w:val="003D4E0A"/>
    <w:rsid w:val="003D507F"/>
    <w:rsid w:val="003D5093"/>
    <w:rsid w:val="003D5119"/>
    <w:rsid w:val="003D5193"/>
    <w:rsid w:val="003D52D7"/>
    <w:rsid w:val="003D53B9"/>
    <w:rsid w:val="003D578F"/>
    <w:rsid w:val="003D59FC"/>
    <w:rsid w:val="003D5A7F"/>
    <w:rsid w:val="003D5BFA"/>
    <w:rsid w:val="003D5D20"/>
    <w:rsid w:val="003D5DAE"/>
    <w:rsid w:val="003D5ECD"/>
    <w:rsid w:val="003D6179"/>
    <w:rsid w:val="003D6255"/>
    <w:rsid w:val="003D627D"/>
    <w:rsid w:val="003D647D"/>
    <w:rsid w:val="003D64F4"/>
    <w:rsid w:val="003D652F"/>
    <w:rsid w:val="003D656F"/>
    <w:rsid w:val="003D659F"/>
    <w:rsid w:val="003D67BF"/>
    <w:rsid w:val="003D682F"/>
    <w:rsid w:val="003D68E0"/>
    <w:rsid w:val="003D6906"/>
    <w:rsid w:val="003D6977"/>
    <w:rsid w:val="003D6C4E"/>
    <w:rsid w:val="003D6C9E"/>
    <w:rsid w:val="003D6D78"/>
    <w:rsid w:val="003D6DC0"/>
    <w:rsid w:val="003D7115"/>
    <w:rsid w:val="003D735B"/>
    <w:rsid w:val="003D739F"/>
    <w:rsid w:val="003D753F"/>
    <w:rsid w:val="003D7B80"/>
    <w:rsid w:val="003D7B9D"/>
    <w:rsid w:val="003D7C0F"/>
    <w:rsid w:val="003D7FA7"/>
    <w:rsid w:val="003E00A7"/>
    <w:rsid w:val="003E011E"/>
    <w:rsid w:val="003E0191"/>
    <w:rsid w:val="003E01FD"/>
    <w:rsid w:val="003E0269"/>
    <w:rsid w:val="003E0308"/>
    <w:rsid w:val="003E0358"/>
    <w:rsid w:val="003E0466"/>
    <w:rsid w:val="003E049A"/>
    <w:rsid w:val="003E05C4"/>
    <w:rsid w:val="003E0757"/>
    <w:rsid w:val="003E092F"/>
    <w:rsid w:val="003E0B90"/>
    <w:rsid w:val="003E0CCE"/>
    <w:rsid w:val="003E0D9D"/>
    <w:rsid w:val="003E0E5B"/>
    <w:rsid w:val="003E0E99"/>
    <w:rsid w:val="003E110B"/>
    <w:rsid w:val="003E13D2"/>
    <w:rsid w:val="003E14D8"/>
    <w:rsid w:val="003E151D"/>
    <w:rsid w:val="003E15DE"/>
    <w:rsid w:val="003E18B1"/>
    <w:rsid w:val="003E192C"/>
    <w:rsid w:val="003E1C00"/>
    <w:rsid w:val="003E1D34"/>
    <w:rsid w:val="003E1D4A"/>
    <w:rsid w:val="003E1E54"/>
    <w:rsid w:val="003E1EAE"/>
    <w:rsid w:val="003E1ED6"/>
    <w:rsid w:val="003E1F04"/>
    <w:rsid w:val="003E1FC5"/>
    <w:rsid w:val="003E1FC8"/>
    <w:rsid w:val="003E2020"/>
    <w:rsid w:val="003E20BD"/>
    <w:rsid w:val="003E20E6"/>
    <w:rsid w:val="003E22FE"/>
    <w:rsid w:val="003E23D9"/>
    <w:rsid w:val="003E2461"/>
    <w:rsid w:val="003E2581"/>
    <w:rsid w:val="003E265F"/>
    <w:rsid w:val="003E2A08"/>
    <w:rsid w:val="003E2C9F"/>
    <w:rsid w:val="003E2FB4"/>
    <w:rsid w:val="003E2FDC"/>
    <w:rsid w:val="003E3133"/>
    <w:rsid w:val="003E325A"/>
    <w:rsid w:val="003E35F0"/>
    <w:rsid w:val="003E35FB"/>
    <w:rsid w:val="003E35FE"/>
    <w:rsid w:val="003E36E9"/>
    <w:rsid w:val="003E3CE6"/>
    <w:rsid w:val="003E3D21"/>
    <w:rsid w:val="003E3E51"/>
    <w:rsid w:val="003E3E54"/>
    <w:rsid w:val="003E4278"/>
    <w:rsid w:val="003E451B"/>
    <w:rsid w:val="003E45FF"/>
    <w:rsid w:val="003E4650"/>
    <w:rsid w:val="003E47C2"/>
    <w:rsid w:val="003E5434"/>
    <w:rsid w:val="003E5545"/>
    <w:rsid w:val="003E55B0"/>
    <w:rsid w:val="003E577A"/>
    <w:rsid w:val="003E5995"/>
    <w:rsid w:val="003E59F1"/>
    <w:rsid w:val="003E5BFF"/>
    <w:rsid w:val="003E5CCA"/>
    <w:rsid w:val="003E5E58"/>
    <w:rsid w:val="003E5E65"/>
    <w:rsid w:val="003E5E6A"/>
    <w:rsid w:val="003E5E75"/>
    <w:rsid w:val="003E63A1"/>
    <w:rsid w:val="003E63D2"/>
    <w:rsid w:val="003E6411"/>
    <w:rsid w:val="003E657D"/>
    <w:rsid w:val="003E698F"/>
    <w:rsid w:val="003E69D2"/>
    <w:rsid w:val="003E6A3A"/>
    <w:rsid w:val="003E6CE3"/>
    <w:rsid w:val="003E6D89"/>
    <w:rsid w:val="003E6E30"/>
    <w:rsid w:val="003E6EB6"/>
    <w:rsid w:val="003E7105"/>
    <w:rsid w:val="003E7118"/>
    <w:rsid w:val="003E7494"/>
    <w:rsid w:val="003E74BE"/>
    <w:rsid w:val="003E75D8"/>
    <w:rsid w:val="003E7612"/>
    <w:rsid w:val="003E7688"/>
    <w:rsid w:val="003E7832"/>
    <w:rsid w:val="003E7892"/>
    <w:rsid w:val="003E7BE4"/>
    <w:rsid w:val="003E7C5D"/>
    <w:rsid w:val="003E7CF4"/>
    <w:rsid w:val="003E7CFB"/>
    <w:rsid w:val="003E7E64"/>
    <w:rsid w:val="003E7ED3"/>
    <w:rsid w:val="003F001E"/>
    <w:rsid w:val="003F006C"/>
    <w:rsid w:val="003F0203"/>
    <w:rsid w:val="003F0262"/>
    <w:rsid w:val="003F0302"/>
    <w:rsid w:val="003F0429"/>
    <w:rsid w:val="003F0437"/>
    <w:rsid w:val="003F053B"/>
    <w:rsid w:val="003F0547"/>
    <w:rsid w:val="003F05EC"/>
    <w:rsid w:val="003F0781"/>
    <w:rsid w:val="003F080B"/>
    <w:rsid w:val="003F0877"/>
    <w:rsid w:val="003F08BD"/>
    <w:rsid w:val="003F0931"/>
    <w:rsid w:val="003F0AE1"/>
    <w:rsid w:val="003F0B35"/>
    <w:rsid w:val="003F0B82"/>
    <w:rsid w:val="003F0FB7"/>
    <w:rsid w:val="003F11AC"/>
    <w:rsid w:val="003F14B3"/>
    <w:rsid w:val="003F1511"/>
    <w:rsid w:val="003F1562"/>
    <w:rsid w:val="003F15C0"/>
    <w:rsid w:val="003F18D1"/>
    <w:rsid w:val="003F1AB1"/>
    <w:rsid w:val="003F1AB9"/>
    <w:rsid w:val="003F1B46"/>
    <w:rsid w:val="003F1B4E"/>
    <w:rsid w:val="003F1B7B"/>
    <w:rsid w:val="003F1BE0"/>
    <w:rsid w:val="003F1C44"/>
    <w:rsid w:val="003F1D83"/>
    <w:rsid w:val="003F1DDB"/>
    <w:rsid w:val="003F2141"/>
    <w:rsid w:val="003F2232"/>
    <w:rsid w:val="003F22C8"/>
    <w:rsid w:val="003F2313"/>
    <w:rsid w:val="003F25C2"/>
    <w:rsid w:val="003F27EF"/>
    <w:rsid w:val="003F2CCF"/>
    <w:rsid w:val="003F2EBB"/>
    <w:rsid w:val="003F3150"/>
    <w:rsid w:val="003F3217"/>
    <w:rsid w:val="003F3361"/>
    <w:rsid w:val="003F34FF"/>
    <w:rsid w:val="003F373B"/>
    <w:rsid w:val="003F37D3"/>
    <w:rsid w:val="003F38A7"/>
    <w:rsid w:val="003F3A4D"/>
    <w:rsid w:val="003F3AFC"/>
    <w:rsid w:val="003F3CE8"/>
    <w:rsid w:val="003F3D7A"/>
    <w:rsid w:val="003F3E5D"/>
    <w:rsid w:val="003F3E72"/>
    <w:rsid w:val="003F40A4"/>
    <w:rsid w:val="003F413C"/>
    <w:rsid w:val="003F4394"/>
    <w:rsid w:val="003F44F7"/>
    <w:rsid w:val="003F45D2"/>
    <w:rsid w:val="003F461D"/>
    <w:rsid w:val="003F475F"/>
    <w:rsid w:val="003F49D8"/>
    <w:rsid w:val="003F4A07"/>
    <w:rsid w:val="003F4A77"/>
    <w:rsid w:val="003F4AB6"/>
    <w:rsid w:val="003F4B27"/>
    <w:rsid w:val="003F4E18"/>
    <w:rsid w:val="003F4E2F"/>
    <w:rsid w:val="003F503C"/>
    <w:rsid w:val="003F5278"/>
    <w:rsid w:val="003F5439"/>
    <w:rsid w:val="003F54A7"/>
    <w:rsid w:val="003F554F"/>
    <w:rsid w:val="003F5675"/>
    <w:rsid w:val="003F57FA"/>
    <w:rsid w:val="003F5996"/>
    <w:rsid w:val="003F5AAC"/>
    <w:rsid w:val="003F5AED"/>
    <w:rsid w:val="003F5EB0"/>
    <w:rsid w:val="003F5FB1"/>
    <w:rsid w:val="003F61FD"/>
    <w:rsid w:val="003F6283"/>
    <w:rsid w:val="003F63B0"/>
    <w:rsid w:val="003F6660"/>
    <w:rsid w:val="003F67E6"/>
    <w:rsid w:val="003F68BA"/>
    <w:rsid w:val="003F68E2"/>
    <w:rsid w:val="003F69EE"/>
    <w:rsid w:val="003F6BE8"/>
    <w:rsid w:val="003F6DA4"/>
    <w:rsid w:val="003F6F88"/>
    <w:rsid w:val="003F6FFC"/>
    <w:rsid w:val="003F70C8"/>
    <w:rsid w:val="003F737D"/>
    <w:rsid w:val="003F73D6"/>
    <w:rsid w:val="003F75C0"/>
    <w:rsid w:val="003F75E0"/>
    <w:rsid w:val="003F7656"/>
    <w:rsid w:val="003F7662"/>
    <w:rsid w:val="003F7679"/>
    <w:rsid w:val="003F76B2"/>
    <w:rsid w:val="003F79B9"/>
    <w:rsid w:val="003F7A9A"/>
    <w:rsid w:val="003F7AAF"/>
    <w:rsid w:val="003F7ACE"/>
    <w:rsid w:val="003F7BAD"/>
    <w:rsid w:val="003F7BD1"/>
    <w:rsid w:val="003F7BFF"/>
    <w:rsid w:val="003F7CBE"/>
    <w:rsid w:val="003F7DC8"/>
    <w:rsid w:val="003F7E2D"/>
    <w:rsid w:val="003F7FDD"/>
    <w:rsid w:val="0040002B"/>
    <w:rsid w:val="00400171"/>
    <w:rsid w:val="0040036D"/>
    <w:rsid w:val="00400372"/>
    <w:rsid w:val="004004EC"/>
    <w:rsid w:val="004005F3"/>
    <w:rsid w:val="004005FA"/>
    <w:rsid w:val="00400776"/>
    <w:rsid w:val="004007DB"/>
    <w:rsid w:val="004008C0"/>
    <w:rsid w:val="00400988"/>
    <w:rsid w:val="00400B3D"/>
    <w:rsid w:val="00400D15"/>
    <w:rsid w:val="00400EA6"/>
    <w:rsid w:val="00400FB2"/>
    <w:rsid w:val="004013ED"/>
    <w:rsid w:val="00401610"/>
    <w:rsid w:val="004018C7"/>
    <w:rsid w:val="00401A32"/>
    <w:rsid w:val="00401A6E"/>
    <w:rsid w:val="00401A9A"/>
    <w:rsid w:val="00401D95"/>
    <w:rsid w:val="00401DF9"/>
    <w:rsid w:val="00401E91"/>
    <w:rsid w:val="00401ECF"/>
    <w:rsid w:val="00401EE2"/>
    <w:rsid w:val="0040202A"/>
    <w:rsid w:val="00402122"/>
    <w:rsid w:val="004021E4"/>
    <w:rsid w:val="00402220"/>
    <w:rsid w:val="0040231F"/>
    <w:rsid w:val="00402337"/>
    <w:rsid w:val="00402383"/>
    <w:rsid w:val="004025B7"/>
    <w:rsid w:val="00402843"/>
    <w:rsid w:val="0040298D"/>
    <w:rsid w:val="00402A5D"/>
    <w:rsid w:val="00402AA9"/>
    <w:rsid w:val="00402ABF"/>
    <w:rsid w:val="00402B42"/>
    <w:rsid w:val="00402BE5"/>
    <w:rsid w:val="00402CC1"/>
    <w:rsid w:val="00402DBB"/>
    <w:rsid w:val="00403147"/>
    <w:rsid w:val="004031C0"/>
    <w:rsid w:val="00403455"/>
    <w:rsid w:val="0040375E"/>
    <w:rsid w:val="00403783"/>
    <w:rsid w:val="00403982"/>
    <w:rsid w:val="00403AC4"/>
    <w:rsid w:val="00403BCA"/>
    <w:rsid w:val="00403BF1"/>
    <w:rsid w:val="00403DA8"/>
    <w:rsid w:val="00403E8D"/>
    <w:rsid w:val="00403F41"/>
    <w:rsid w:val="004041AB"/>
    <w:rsid w:val="004041B4"/>
    <w:rsid w:val="004041E2"/>
    <w:rsid w:val="004042CE"/>
    <w:rsid w:val="00404603"/>
    <w:rsid w:val="004047A6"/>
    <w:rsid w:val="00404A50"/>
    <w:rsid w:val="00404AC6"/>
    <w:rsid w:val="00404AD9"/>
    <w:rsid w:val="00404C23"/>
    <w:rsid w:val="00404F47"/>
    <w:rsid w:val="00404F4D"/>
    <w:rsid w:val="00404F90"/>
    <w:rsid w:val="004051DA"/>
    <w:rsid w:val="004051F1"/>
    <w:rsid w:val="0040523A"/>
    <w:rsid w:val="0040529D"/>
    <w:rsid w:val="0040530F"/>
    <w:rsid w:val="004053C6"/>
    <w:rsid w:val="00405447"/>
    <w:rsid w:val="00405481"/>
    <w:rsid w:val="004054BC"/>
    <w:rsid w:val="0040557E"/>
    <w:rsid w:val="0040580C"/>
    <w:rsid w:val="00405901"/>
    <w:rsid w:val="00405907"/>
    <w:rsid w:val="004059CD"/>
    <w:rsid w:val="00405B1B"/>
    <w:rsid w:val="00405C81"/>
    <w:rsid w:val="00405D4A"/>
    <w:rsid w:val="00405DAC"/>
    <w:rsid w:val="00405F34"/>
    <w:rsid w:val="0040606E"/>
    <w:rsid w:val="004062DD"/>
    <w:rsid w:val="00406354"/>
    <w:rsid w:val="004064B0"/>
    <w:rsid w:val="004064E5"/>
    <w:rsid w:val="0040658D"/>
    <w:rsid w:val="004065A8"/>
    <w:rsid w:val="004065BA"/>
    <w:rsid w:val="00406665"/>
    <w:rsid w:val="004066D8"/>
    <w:rsid w:val="0040682D"/>
    <w:rsid w:val="00406932"/>
    <w:rsid w:val="00406A45"/>
    <w:rsid w:val="00406BB9"/>
    <w:rsid w:val="00406C56"/>
    <w:rsid w:val="00406D09"/>
    <w:rsid w:val="00406DFD"/>
    <w:rsid w:val="00406F60"/>
    <w:rsid w:val="0040717A"/>
    <w:rsid w:val="004071CB"/>
    <w:rsid w:val="004072D6"/>
    <w:rsid w:val="004073F4"/>
    <w:rsid w:val="004075B1"/>
    <w:rsid w:val="004077F0"/>
    <w:rsid w:val="004079B7"/>
    <w:rsid w:val="004079D5"/>
    <w:rsid w:val="00407A17"/>
    <w:rsid w:val="00407A24"/>
    <w:rsid w:val="00407A70"/>
    <w:rsid w:val="00407F1C"/>
    <w:rsid w:val="00407F44"/>
    <w:rsid w:val="0041021E"/>
    <w:rsid w:val="004102F2"/>
    <w:rsid w:val="00410479"/>
    <w:rsid w:val="00410539"/>
    <w:rsid w:val="00410695"/>
    <w:rsid w:val="004106A5"/>
    <w:rsid w:val="0041086F"/>
    <w:rsid w:val="00410949"/>
    <w:rsid w:val="00410953"/>
    <w:rsid w:val="00410BF3"/>
    <w:rsid w:val="00410E2C"/>
    <w:rsid w:val="00410E7E"/>
    <w:rsid w:val="00410EB4"/>
    <w:rsid w:val="00410F5D"/>
    <w:rsid w:val="0041100F"/>
    <w:rsid w:val="0041101B"/>
    <w:rsid w:val="0041105C"/>
    <w:rsid w:val="0041108A"/>
    <w:rsid w:val="00411113"/>
    <w:rsid w:val="004113C5"/>
    <w:rsid w:val="004114E4"/>
    <w:rsid w:val="004114F2"/>
    <w:rsid w:val="00411520"/>
    <w:rsid w:val="00411528"/>
    <w:rsid w:val="004116AD"/>
    <w:rsid w:val="0041175C"/>
    <w:rsid w:val="00411990"/>
    <w:rsid w:val="004119E6"/>
    <w:rsid w:val="004119FB"/>
    <w:rsid w:val="00411A8B"/>
    <w:rsid w:val="00411AF8"/>
    <w:rsid w:val="00411B7D"/>
    <w:rsid w:val="00411D11"/>
    <w:rsid w:val="00411D88"/>
    <w:rsid w:val="00411E7F"/>
    <w:rsid w:val="004120BE"/>
    <w:rsid w:val="00412125"/>
    <w:rsid w:val="00412209"/>
    <w:rsid w:val="0041222D"/>
    <w:rsid w:val="00412263"/>
    <w:rsid w:val="0041254B"/>
    <w:rsid w:val="004125BF"/>
    <w:rsid w:val="0041261C"/>
    <w:rsid w:val="00412828"/>
    <w:rsid w:val="00412856"/>
    <w:rsid w:val="00412858"/>
    <w:rsid w:val="004128B5"/>
    <w:rsid w:val="00412B04"/>
    <w:rsid w:val="00412C32"/>
    <w:rsid w:val="00412CAC"/>
    <w:rsid w:val="0041301F"/>
    <w:rsid w:val="00413047"/>
    <w:rsid w:val="00413097"/>
    <w:rsid w:val="00413174"/>
    <w:rsid w:val="004131B7"/>
    <w:rsid w:val="00413341"/>
    <w:rsid w:val="00413554"/>
    <w:rsid w:val="00413801"/>
    <w:rsid w:val="0041384B"/>
    <w:rsid w:val="0041388A"/>
    <w:rsid w:val="0041392A"/>
    <w:rsid w:val="00413961"/>
    <w:rsid w:val="0041396D"/>
    <w:rsid w:val="00413A98"/>
    <w:rsid w:val="00413B20"/>
    <w:rsid w:val="00413B91"/>
    <w:rsid w:val="00413C66"/>
    <w:rsid w:val="00413D4C"/>
    <w:rsid w:val="00413DB1"/>
    <w:rsid w:val="00413F93"/>
    <w:rsid w:val="00413FF5"/>
    <w:rsid w:val="004141A3"/>
    <w:rsid w:val="0041442F"/>
    <w:rsid w:val="0041472C"/>
    <w:rsid w:val="004147DF"/>
    <w:rsid w:val="004148C2"/>
    <w:rsid w:val="00414A0C"/>
    <w:rsid w:val="00414AF8"/>
    <w:rsid w:val="00414BD1"/>
    <w:rsid w:val="00414DDA"/>
    <w:rsid w:val="00414E4D"/>
    <w:rsid w:val="00414F16"/>
    <w:rsid w:val="00415317"/>
    <w:rsid w:val="004153AB"/>
    <w:rsid w:val="00415454"/>
    <w:rsid w:val="004154B9"/>
    <w:rsid w:val="00415521"/>
    <w:rsid w:val="004155DE"/>
    <w:rsid w:val="00415624"/>
    <w:rsid w:val="0041566A"/>
    <w:rsid w:val="0041575C"/>
    <w:rsid w:val="004157F4"/>
    <w:rsid w:val="00415878"/>
    <w:rsid w:val="0041589E"/>
    <w:rsid w:val="00415925"/>
    <w:rsid w:val="00415ADC"/>
    <w:rsid w:val="00415B7B"/>
    <w:rsid w:val="00415B91"/>
    <w:rsid w:val="00415BA7"/>
    <w:rsid w:val="00415BB9"/>
    <w:rsid w:val="00415C6A"/>
    <w:rsid w:val="00415C92"/>
    <w:rsid w:val="00415CB6"/>
    <w:rsid w:val="00415E14"/>
    <w:rsid w:val="00415F9B"/>
    <w:rsid w:val="0041603F"/>
    <w:rsid w:val="00416082"/>
    <w:rsid w:val="00416101"/>
    <w:rsid w:val="00416477"/>
    <w:rsid w:val="0041662D"/>
    <w:rsid w:val="00416651"/>
    <w:rsid w:val="0041671D"/>
    <w:rsid w:val="00416843"/>
    <w:rsid w:val="00416920"/>
    <w:rsid w:val="00416993"/>
    <w:rsid w:val="00416994"/>
    <w:rsid w:val="00416B15"/>
    <w:rsid w:val="00416CD6"/>
    <w:rsid w:val="00416FA6"/>
    <w:rsid w:val="0041714F"/>
    <w:rsid w:val="00417212"/>
    <w:rsid w:val="004175C8"/>
    <w:rsid w:val="004177B2"/>
    <w:rsid w:val="0041781B"/>
    <w:rsid w:val="004178C4"/>
    <w:rsid w:val="004178C6"/>
    <w:rsid w:val="0041796C"/>
    <w:rsid w:val="00417B46"/>
    <w:rsid w:val="00417F11"/>
    <w:rsid w:val="00417F1F"/>
    <w:rsid w:val="00417F54"/>
    <w:rsid w:val="0042020D"/>
    <w:rsid w:val="004202D3"/>
    <w:rsid w:val="004204A2"/>
    <w:rsid w:val="004204CA"/>
    <w:rsid w:val="0042058E"/>
    <w:rsid w:val="0042067A"/>
    <w:rsid w:val="004206ED"/>
    <w:rsid w:val="004207A7"/>
    <w:rsid w:val="00420838"/>
    <w:rsid w:val="004208B5"/>
    <w:rsid w:val="0042099F"/>
    <w:rsid w:val="00420F28"/>
    <w:rsid w:val="00420F40"/>
    <w:rsid w:val="00420FFD"/>
    <w:rsid w:val="0042105A"/>
    <w:rsid w:val="00421120"/>
    <w:rsid w:val="00421190"/>
    <w:rsid w:val="00421251"/>
    <w:rsid w:val="0042136F"/>
    <w:rsid w:val="00421428"/>
    <w:rsid w:val="004214FE"/>
    <w:rsid w:val="00421643"/>
    <w:rsid w:val="0042166D"/>
    <w:rsid w:val="0042168A"/>
    <w:rsid w:val="00421957"/>
    <w:rsid w:val="00421B0F"/>
    <w:rsid w:val="00421C88"/>
    <w:rsid w:val="00421DA1"/>
    <w:rsid w:val="00421E1C"/>
    <w:rsid w:val="00421E4F"/>
    <w:rsid w:val="00421F8D"/>
    <w:rsid w:val="004220EC"/>
    <w:rsid w:val="00422165"/>
    <w:rsid w:val="00422385"/>
    <w:rsid w:val="00422559"/>
    <w:rsid w:val="004226D8"/>
    <w:rsid w:val="004226F8"/>
    <w:rsid w:val="00422796"/>
    <w:rsid w:val="004228D9"/>
    <w:rsid w:val="0042290C"/>
    <w:rsid w:val="00422B90"/>
    <w:rsid w:val="00422C7A"/>
    <w:rsid w:val="00422FD8"/>
    <w:rsid w:val="004230A0"/>
    <w:rsid w:val="00423260"/>
    <w:rsid w:val="004232C9"/>
    <w:rsid w:val="004232ED"/>
    <w:rsid w:val="00423368"/>
    <w:rsid w:val="004234EA"/>
    <w:rsid w:val="00423668"/>
    <w:rsid w:val="004236EC"/>
    <w:rsid w:val="004238AF"/>
    <w:rsid w:val="00423918"/>
    <w:rsid w:val="00423C18"/>
    <w:rsid w:val="00423C2E"/>
    <w:rsid w:val="00423C3A"/>
    <w:rsid w:val="00423D91"/>
    <w:rsid w:val="00423DB4"/>
    <w:rsid w:val="00423E78"/>
    <w:rsid w:val="00423E9F"/>
    <w:rsid w:val="00423EF0"/>
    <w:rsid w:val="00423F01"/>
    <w:rsid w:val="004240E9"/>
    <w:rsid w:val="00424144"/>
    <w:rsid w:val="0042416F"/>
    <w:rsid w:val="0042440B"/>
    <w:rsid w:val="0042444A"/>
    <w:rsid w:val="00424468"/>
    <w:rsid w:val="00424541"/>
    <w:rsid w:val="00424636"/>
    <w:rsid w:val="00424765"/>
    <w:rsid w:val="0042478F"/>
    <w:rsid w:val="004247DD"/>
    <w:rsid w:val="00424D1D"/>
    <w:rsid w:val="00424D87"/>
    <w:rsid w:val="00424ECA"/>
    <w:rsid w:val="00424F9A"/>
    <w:rsid w:val="00424FAC"/>
    <w:rsid w:val="004250E9"/>
    <w:rsid w:val="004251E9"/>
    <w:rsid w:val="004255BB"/>
    <w:rsid w:val="004257E4"/>
    <w:rsid w:val="0042582A"/>
    <w:rsid w:val="00425877"/>
    <w:rsid w:val="00425B44"/>
    <w:rsid w:val="00425B71"/>
    <w:rsid w:val="00425CAA"/>
    <w:rsid w:val="00425CB7"/>
    <w:rsid w:val="00425D06"/>
    <w:rsid w:val="00425DF4"/>
    <w:rsid w:val="00425E4B"/>
    <w:rsid w:val="00425EF1"/>
    <w:rsid w:val="00425FC8"/>
    <w:rsid w:val="0042612B"/>
    <w:rsid w:val="004261F6"/>
    <w:rsid w:val="004263C0"/>
    <w:rsid w:val="00426426"/>
    <w:rsid w:val="00426492"/>
    <w:rsid w:val="004268A2"/>
    <w:rsid w:val="004268C9"/>
    <w:rsid w:val="00426A17"/>
    <w:rsid w:val="00426C17"/>
    <w:rsid w:val="00426C8F"/>
    <w:rsid w:val="00426CD9"/>
    <w:rsid w:val="00426D91"/>
    <w:rsid w:val="00426DA3"/>
    <w:rsid w:val="00426E0B"/>
    <w:rsid w:val="00426EDD"/>
    <w:rsid w:val="00426EEB"/>
    <w:rsid w:val="0042726B"/>
    <w:rsid w:val="004272C8"/>
    <w:rsid w:val="0042760D"/>
    <w:rsid w:val="00427A99"/>
    <w:rsid w:val="00427B79"/>
    <w:rsid w:val="00427D2B"/>
    <w:rsid w:val="00427DE1"/>
    <w:rsid w:val="00427EFB"/>
    <w:rsid w:val="00427F0B"/>
    <w:rsid w:val="0042F87C"/>
    <w:rsid w:val="004303E7"/>
    <w:rsid w:val="0043042E"/>
    <w:rsid w:val="004304ED"/>
    <w:rsid w:val="0043059A"/>
    <w:rsid w:val="00430656"/>
    <w:rsid w:val="004306A6"/>
    <w:rsid w:val="004306E4"/>
    <w:rsid w:val="00430865"/>
    <w:rsid w:val="004308B0"/>
    <w:rsid w:val="004309AB"/>
    <w:rsid w:val="004309DF"/>
    <w:rsid w:val="00430AE0"/>
    <w:rsid w:val="00430CA2"/>
    <w:rsid w:val="00431143"/>
    <w:rsid w:val="004312FC"/>
    <w:rsid w:val="0043134C"/>
    <w:rsid w:val="004314FD"/>
    <w:rsid w:val="00431526"/>
    <w:rsid w:val="00431546"/>
    <w:rsid w:val="0043182C"/>
    <w:rsid w:val="00431A56"/>
    <w:rsid w:val="00431B0C"/>
    <w:rsid w:val="00431B60"/>
    <w:rsid w:val="00431CB0"/>
    <w:rsid w:val="00431F36"/>
    <w:rsid w:val="004320BA"/>
    <w:rsid w:val="004320C0"/>
    <w:rsid w:val="0043211F"/>
    <w:rsid w:val="0043228C"/>
    <w:rsid w:val="004322C8"/>
    <w:rsid w:val="00432373"/>
    <w:rsid w:val="00432378"/>
    <w:rsid w:val="004325BC"/>
    <w:rsid w:val="0043274B"/>
    <w:rsid w:val="00432935"/>
    <w:rsid w:val="00432963"/>
    <w:rsid w:val="00432AD2"/>
    <w:rsid w:val="00432B20"/>
    <w:rsid w:val="00432B77"/>
    <w:rsid w:val="00432D28"/>
    <w:rsid w:val="00432DF1"/>
    <w:rsid w:val="00432F22"/>
    <w:rsid w:val="00432F49"/>
    <w:rsid w:val="004331C2"/>
    <w:rsid w:val="0043321C"/>
    <w:rsid w:val="004332BC"/>
    <w:rsid w:val="0043335A"/>
    <w:rsid w:val="004333C4"/>
    <w:rsid w:val="004339CE"/>
    <w:rsid w:val="004339D4"/>
    <w:rsid w:val="00433A33"/>
    <w:rsid w:val="00433B00"/>
    <w:rsid w:val="00433C49"/>
    <w:rsid w:val="00433D11"/>
    <w:rsid w:val="00433DCD"/>
    <w:rsid w:val="00433E66"/>
    <w:rsid w:val="00433EAD"/>
    <w:rsid w:val="004341C4"/>
    <w:rsid w:val="0043427C"/>
    <w:rsid w:val="004342FA"/>
    <w:rsid w:val="00434391"/>
    <w:rsid w:val="00434479"/>
    <w:rsid w:val="004344F5"/>
    <w:rsid w:val="00434644"/>
    <w:rsid w:val="00434764"/>
    <w:rsid w:val="0043487A"/>
    <w:rsid w:val="004349DE"/>
    <w:rsid w:val="004349F1"/>
    <w:rsid w:val="00434C23"/>
    <w:rsid w:val="00434C69"/>
    <w:rsid w:val="00434D1C"/>
    <w:rsid w:val="00434F1B"/>
    <w:rsid w:val="00434F7B"/>
    <w:rsid w:val="00434FD2"/>
    <w:rsid w:val="0043507B"/>
    <w:rsid w:val="004353B0"/>
    <w:rsid w:val="0043567C"/>
    <w:rsid w:val="0043584E"/>
    <w:rsid w:val="00435992"/>
    <w:rsid w:val="00435B78"/>
    <w:rsid w:val="00435C9F"/>
    <w:rsid w:val="00435E6B"/>
    <w:rsid w:val="00435EAF"/>
    <w:rsid w:val="00435F96"/>
    <w:rsid w:val="004361A0"/>
    <w:rsid w:val="00436263"/>
    <w:rsid w:val="00436419"/>
    <w:rsid w:val="0043647A"/>
    <w:rsid w:val="0043649D"/>
    <w:rsid w:val="004364CF"/>
    <w:rsid w:val="0043652C"/>
    <w:rsid w:val="0043653F"/>
    <w:rsid w:val="004365F3"/>
    <w:rsid w:val="004368FB"/>
    <w:rsid w:val="00436ACE"/>
    <w:rsid w:val="00436BBA"/>
    <w:rsid w:val="00436C43"/>
    <w:rsid w:val="00436C74"/>
    <w:rsid w:val="00436D3F"/>
    <w:rsid w:val="00436DDE"/>
    <w:rsid w:val="0043702B"/>
    <w:rsid w:val="004370AC"/>
    <w:rsid w:val="0043730D"/>
    <w:rsid w:val="00437614"/>
    <w:rsid w:val="00437777"/>
    <w:rsid w:val="0043781E"/>
    <w:rsid w:val="0043798D"/>
    <w:rsid w:val="00437A2E"/>
    <w:rsid w:val="00437B99"/>
    <w:rsid w:val="00437C65"/>
    <w:rsid w:val="00437CD2"/>
    <w:rsid w:val="00437CD5"/>
    <w:rsid w:val="00437F14"/>
    <w:rsid w:val="004400B8"/>
    <w:rsid w:val="0044010B"/>
    <w:rsid w:val="00440142"/>
    <w:rsid w:val="0044014B"/>
    <w:rsid w:val="00440392"/>
    <w:rsid w:val="004404C6"/>
    <w:rsid w:val="00440595"/>
    <w:rsid w:val="0044064A"/>
    <w:rsid w:val="0044078B"/>
    <w:rsid w:val="00440C6B"/>
    <w:rsid w:val="00440CC7"/>
    <w:rsid w:val="00440DB3"/>
    <w:rsid w:val="00440F32"/>
    <w:rsid w:val="00440F56"/>
    <w:rsid w:val="00441057"/>
    <w:rsid w:val="00441266"/>
    <w:rsid w:val="00441479"/>
    <w:rsid w:val="004414BE"/>
    <w:rsid w:val="004415DA"/>
    <w:rsid w:val="004415EA"/>
    <w:rsid w:val="0044167C"/>
    <w:rsid w:val="004418BA"/>
    <w:rsid w:val="00441992"/>
    <w:rsid w:val="00441A99"/>
    <w:rsid w:val="00441B5F"/>
    <w:rsid w:val="00441BB0"/>
    <w:rsid w:val="00441BEA"/>
    <w:rsid w:val="00441DC1"/>
    <w:rsid w:val="00441DCB"/>
    <w:rsid w:val="00441E49"/>
    <w:rsid w:val="00441F4B"/>
    <w:rsid w:val="00441F58"/>
    <w:rsid w:val="0044221D"/>
    <w:rsid w:val="0044228B"/>
    <w:rsid w:val="004423D3"/>
    <w:rsid w:val="0044240F"/>
    <w:rsid w:val="00442445"/>
    <w:rsid w:val="004424DF"/>
    <w:rsid w:val="004425DA"/>
    <w:rsid w:val="004426FF"/>
    <w:rsid w:val="00442755"/>
    <w:rsid w:val="004427C7"/>
    <w:rsid w:val="004428C5"/>
    <w:rsid w:val="0044296C"/>
    <w:rsid w:val="004429F1"/>
    <w:rsid w:val="00442B4B"/>
    <w:rsid w:val="00442C4A"/>
    <w:rsid w:val="00442C5E"/>
    <w:rsid w:val="00442C9B"/>
    <w:rsid w:val="00442CFD"/>
    <w:rsid w:val="00442D2F"/>
    <w:rsid w:val="00443257"/>
    <w:rsid w:val="004433BA"/>
    <w:rsid w:val="0044342B"/>
    <w:rsid w:val="00443534"/>
    <w:rsid w:val="004435D3"/>
    <w:rsid w:val="004437BF"/>
    <w:rsid w:val="004437EF"/>
    <w:rsid w:val="004438B6"/>
    <w:rsid w:val="00443963"/>
    <w:rsid w:val="00443B20"/>
    <w:rsid w:val="00443BFD"/>
    <w:rsid w:val="00443C4E"/>
    <w:rsid w:val="00443CEE"/>
    <w:rsid w:val="00443D2F"/>
    <w:rsid w:val="00443E52"/>
    <w:rsid w:val="00443E73"/>
    <w:rsid w:val="00443F3F"/>
    <w:rsid w:val="00443F4D"/>
    <w:rsid w:val="00443F7A"/>
    <w:rsid w:val="00444139"/>
    <w:rsid w:val="0044414A"/>
    <w:rsid w:val="00444318"/>
    <w:rsid w:val="00444406"/>
    <w:rsid w:val="00444449"/>
    <w:rsid w:val="0044448B"/>
    <w:rsid w:val="004445D3"/>
    <w:rsid w:val="00444644"/>
    <w:rsid w:val="00444778"/>
    <w:rsid w:val="00444B68"/>
    <w:rsid w:val="00444BD5"/>
    <w:rsid w:val="00444CBC"/>
    <w:rsid w:val="00445098"/>
    <w:rsid w:val="004450E6"/>
    <w:rsid w:val="0044579F"/>
    <w:rsid w:val="004458C3"/>
    <w:rsid w:val="00445929"/>
    <w:rsid w:val="00445951"/>
    <w:rsid w:val="00445AC1"/>
    <w:rsid w:val="00445CBC"/>
    <w:rsid w:val="00445CE6"/>
    <w:rsid w:val="00445CF0"/>
    <w:rsid w:val="00445DCB"/>
    <w:rsid w:val="00445E10"/>
    <w:rsid w:val="00445E14"/>
    <w:rsid w:val="00445E32"/>
    <w:rsid w:val="00445FD6"/>
    <w:rsid w:val="00445FFC"/>
    <w:rsid w:val="0044616D"/>
    <w:rsid w:val="00446380"/>
    <w:rsid w:val="004463A8"/>
    <w:rsid w:val="00446527"/>
    <w:rsid w:val="0044655F"/>
    <w:rsid w:val="004466B4"/>
    <w:rsid w:val="00446724"/>
    <w:rsid w:val="00446968"/>
    <w:rsid w:val="00446AEF"/>
    <w:rsid w:val="00446B53"/>
    <w:rsid w:val="00446C62"/>
    <w:rsid w:val="00446CAD"/>
    <w:rsid w:val="004470FD"/>
    <w:rsid w:val="004473B5"/>
    <w:rsid w:val="0044741C"/>
    <w:rsid w:val="004476DC"/>
    <w:rsid w:val="00447928"/>
    <w:rsid w:val="004479EA"/>
    <w:rsid w:val="00447A3D"/>
    <w:rsid w:val="00447E72"/>
    <w:rsid w:val="00450103"/>
    <w:rsid w:val="004501EF"/>
    <w:rsid w:val="004501F3"/>
    <w:rsid w:val="00450228"/>
    <w:rsid w:val="004504FB"/>
    <w:rsid w:val="00450562"/>
    <w:rsid w:val="004507E9"/>
    <w:rsid w:val="00450A98"/>
    <w:rsid w:val="00450ADF"/>
    <w:rsid w:val="00450BE2"/>
    <w:rsid w:val="00450BFD"/>
    <w:rsid w:val="00450CEB"/>
    <w:rsid w:val="00450DD3"/>
    <w:rsid w:val="00450F25"/>
    <w:rsid w:val="00451303"/>
    <w:rsid w:val="0045134C"/>
    <w:rsid w:val="00451400"/>
    <w:rsid w:val="0045141E"/>
    <w:rsid w:val="004514DC"/>
    <w:rsid w:val="004514ED"/>
    <w:rsid w:val="00451707"/>
    <w:rsid w:val="00451B00"/>
    <w:rsid w:val="00451B58"/>
    <w:rsid w:val="00451BC8"/>
    <w:rsid w:val="00451C51"/>
    <w:rsid w:val="00451C60"/>
    <w:rsid w:val="00451DE6"/>
    <w:rsid w:val="00451EE1"/>
    <w:rsid w:val="00451F0C"/>
    <w:rsid w:val="00452016"/>
    <w:rsid w:val="00452105"/>
    <w:rsid w:val="00452120"/>
    <w:rsid w:val="0045212B"/>
    <w:rsid w:val="0045247E"/>
    <w:rsid w:val="0045255F"/>
    <w:rsid w:val="004525F0"/>
    <w:rsid w:val="00452658"/>
    <w:rsid w:val="00452675"/>
    <w:rsid w:val="00452761"/>
    <w:rsid w:val="00452793"/>
    <w:rsid w:val="004531CA"/>
    <w:rsid w:val="004532B8"/>
    <w:rsid w:val="004532F8"/>
    <w:rsid w:val="00453C68"/>
    <w:rsid w:val="00453EC4"/>
    <w:rsid w:val="00453FB2"/>
    <w:rsid w:val="0045406C"/>
    <w:rsid w:val="004543D5"/>
    <w:rsid w:val="0045452F"/>
    <w:rsid w:val="00454A25"/>
    <w:rsid w:val="00454A7B"/>
    <w:rsid w:val="00454B11"/>
    <w:rsid w:val="00454B7B"/>
    <w:rsid w:val="00454BE4"/>
    <w:rsid w:val="00454E25"/>
    <w:rsid w:val="00454EF8"/>
    <w:rsid w:val="00454F35"/>
    <w:rsid w:val="00455016"/>
    <w:rsid w:val="00455409"/>
    <w:rsid w:val="00455576"/>
    <w:rsid w:val="004555A7"/>
    <w:rsid w:val="004555D1"/>
    <w:rsid w:val="004557B1"/>
    <w:rsid w:val="00455838"/>
    <w:rsid w:val="004559A6"/>
    <w:rsid w:val="00455D70"/>
    <w:rsid w:val="00455F38"/>
    <w:rsid w:val="00455F51"/>
    <w:rsid w:val="0045618E"/>
    <w:rsid w:val="00456408"/>
    <w:rsid w:val="00456420"/>
    <w:rsid w:val="004565BE"/>
    <w:rsid w:val="004567AE"/>
    <w:rsid w:val="004568D6"/>
    <w:rsid w:val="004569AB"/>
    <w:rsid w:val="00457047"/>
    <w:rsid w:val="00457192"/>
    <w:rsid w:val="004571D0"/>
    <w:rsid w:val="00457C8A"/>
    <w:rsid w:val="00457CD0"/>
    <w:rsid w:val="00457E7F"/>
    <w:rsid w:val="00457EEB"/>
    <w:rsid w:val="00457FA1"/>
    <w:rsid w:val="00457FA6"/>
    <w:rsid w:val="00460082"/>
    <w:rsid w:val="0046017B"/>
    <w:rsid w:val="0046038E"/>
    <w:rsid w:val="004603F6"/>
    <w:rsid w:val="0046058E"/>
    <w:rsid w:val="00460709"/>
    <w:rsid w:val="00460816"/>
    <w:rsid w:val="00460882"/>
    <w:rsid w:val="00460B13"/>
    <w:rsid w:val="00460B62"/>
    <w:rsid w:val="00460BC3"/>
    <w:rsid w:val="00460C30"/>
    <w:rsid w:val="00460C5E"/>
    <w:rsid w:val="00460EA5"/>
    <w:rsid w:val="0046101A"/>
    <w:rsid w:val="00461550"/>
    <w:rsid w:val="0046157F"/>
    <w:rsid w:val="004615A5"/>
    <w:rsid w:val="004616F2"/>
    <w:rsid w:val="00461852"/>
    <w:rsid w:val="00461984"/>
    <w:rsid w:val="004619F6"/>
    <w:rsid w:val="00461A4F"/>
    <w:rsid w:val="00461A6A"/>
    <w:rsid w:val="00461C05"/>
    <w:rsid w:val="0046209C"/>
    <w:rsid w:val="00462190"/>
    <w:rsid w:val="004622E7"/>
    <w:rsid w:val="0046234F"/>
    <w:rsid w:val="0046239D"/>
    <w:rsid w:val="004625E6"/>
    <w:rsid w:val="00462643"/>
    <w:rsid w:val="00462718"/>
    <w:rsid w:val="00462734"/>
    <w:rsid w:val="00462ABE"/>
    <w:rsid w:val="00462BFF"/>
    <w:rsid w:val="00462CE0"/>
    <w:rsid w:val="00462E42"/>
    <w:rsid w:val="00462E94"/>
    <w:rsid w:val="00462ED0"/>
    <w:rsid w:val="00462F57"/>
    <w:rsid w:val="00462F5A"/>
    <w:rsid w:val="00463024"/>
    <w:rsid w:val="00463086"/>
    <w:rsid w:val="00463351"/>
    <w:rsid w:val="0046348E"/>
    <w:rsid w:val="00463617"/>
    <w:rsid w:val="004636F5"/>
    <w:rsid w:val="00463FF0"/>
    <w:rsid w:val="0046401A"/>
    <w:rsid w:val="00464080"/>
    <w:rsid w:val="00464207"/>
    <w:rsid w:val="0046433A"/>
    <w:rsid w:val="004643FF"/>
    <w:rsid w:val="004645F4"/>
    <w:rsid w:val="0046464C"/>
    <w:rsid w:val="00464669"/>
    <w:rsid w:val="00464A74"/>
    <w:rsid w:val="00464B23"/>
    <w:rsid w:val="00464CA0"/>
    <w:rsid w:val="00464D38"/>
    <w:rsid w:val="00465032"/>
    <w:rsid w:val="004650D4"/>
    <w:rsid w:val="0046510E"/>
    <w:rsid w:val="004651C5"/>
    <w:rsid w:val="004652E1"/>
    <w:rsid w:val="0046530F"/>
    <w:rsid w:val="0046546B"/>
    <w:rsid w:val="0046549C"/>
    <w:rsid w:val="00465534"/>
    <w:rsid w:val="00465563"/>
    <w:rsid w:val="00465573"/>
    <w:rsid w:val="004658C5"/>
    <w:rsid w:val="0046595E"/>
    <w:rsid w:val="004659FD"/>
    <w:rsid w:val="00465B40"/>
    <w:rsid w:val="00465D42"/>
    <w:rsid w:val="00465DB1"/>
    <w:rsid w:val="00465EAF"/>
    <w:rsid w:val="004662A6"/>
    <w:rsid w:val="00466613"/>
    <w:rsid w:val="0046683B"/>
    <w:rsid w:val="004669DC"/>
    <w:rsid w:val="00466ACD"/>
    <w:rsid w:val="00466AE1"/>
    <w:rsid w:val="00466C20"/>
    <w:rsid w:val="00466D30"/>
    <w:rsid w:val="00466F42"/>
    <w:rsid w:val="00466F70"/>
    <w:rsid w:val="00466F94"/>
    <w:rsid w:val="00467072"/>
    <w:rsid w:val="004672BD"/>
    <w:rsid w:val="0046737A"/>
    <w:rsid w:val="0046741D"/>
    <w:rsid w:val="004675BB"/>
    <w:rsid w:val="00467688"/>
    <w:rsid w:val="00467714"/>
    <w:rsid w:val="0046773A"/>
    <w:rsid w:val="00467908"/>
    <w:rsid w:val="00467915"/>
    <w:rsid w:val="00467940"/>
    <w:rsid w:val="00467A08"/>
    <w:rsid w:val="00467DC7"/>
    <w:rsid w:val="004703EA"/>
    <w:rsid w:val="004704B5"/>
    <w:rsid w:val="00470664"/>
    <w:rsid w:val="00470671"/>
    <w:rsid w:val="004706D9"/>
    <w:rsid w:val="00470793"/>
    <w:rsid w:val="00470838"/>
    <w:rsid w:val="0047087C"/>
    <w:rsid w:val="004708A7"/>
    <w:rsid w:val="004708E7"/>
    <w:rsid w:val="00470B47"/>
    <w:rsid w:val="00470B7F"/>
    <w:rsid w:val="00470BCE"/>
    <w:rsid w:val="00470C32"/>
    <w:rsid w:val="00470CB6"/>
    <w:rsid w:val="00470CEF"/>
    <w:rsid w:val="00470D0F"/>
    <w:rsid w:val="00470D5F"/>
    <w:rsid w:val="00470D66"/>
    <w:rsid w:val="00470D86"/>
    <w:rsid w:val="00470E25"/>
    <w:rsid w:val="00470E69"/>
    <w:rsid w:val="00470E83"/>
    <w:rsid w:val="00470FE4"/>
    <w:rsid w:val="0047123A"/>
    <w:rsid w:val="00471315"/>
    <w:rsid w:val="00471436"/>
    <w:rsid w:val="00471A11"/>
    <w:rsid w:val="00471A19"/>
    <w:rsid w:val="00471C23"/>
    <w:rsid w:val="00471CDA"/>
    <w:rsid w:val="00471EF9"/>
    <w:rsid w:val="00471FB8"/>
    <w:rsid w:val="00471FC6"/>
    <w:rsid w:val="0047202E"/>
    <w:rsid w:val="004720A7"/>
    <w:rsid w:val="00472185"/>
    <w:rsid w:val="00472381"/>
    <w:rsid w:val="0047262A"/>
    <w:rsid w:val="004729B6"/>
    <w:rsid w:val="00472A59"/>
    <w:rsid w:val="00472AB2"/>
    <w:rsid w:val="00472C29"/>
    <w:rsid w:val="00472C7B"/>
    <w:rsid w:val="00472CD1"/>
    <w:rsid w:val="00472D26"/>
    <w:rsid w:val="00472F88"/>
    <w:rsid w:val="004730D0"/>
    <w:rsid w:val="004731BF"/>
    <w:rsid w:val="00473318"/>
    <w:rsid w:val="0047342F"/>
    <w:rsid w:val="004735EA"/>
    <w:rsid w:val="0047360B"/>
    <w:rsid w:val="00473615"/>
    <w:rsid w:val="0047361C"/>
    <w:rsid w:val="0047362A"/>
    <w:rsid w:val="00473722"/>
    <w:rsid w:val="0047388D"/>
    <w:rsid w:val="00473894"/>
    <w:rsid w:val="00473A3A"/>
    <w:rsid w:val="00473B2A"/>
    <w:rsid w:val="00473B81"/>
    <w:rsid w:val="00473B8C"/>
    <w:rsid w:val="00473D83"/>
    <w:rsid w:val="004740B0"/>
    <w:rsid w:val="004741E5"/>
    <w:rsid w:val="004741F6"/>
    <w:rsid w:val="004743B0"/>
    <w:rsid w:val="0047447B"/>
    <w:rsid w:val="00474668"/>
    <w:rsid w:val="004746D2"/>
    <w:rsid w:val="00474736"/>
    <w:rsid w:val="00474805"/>
    <w:rsid w:val="0047487B"/>
    <w:rsid w:val="00474944"/>
    <w:rsid w:val="0047499C"/>
    <w:rsid w:val="004749B1"/>
    <w:rsid w:val="004749E0"/>
    <w:rsid w:val="004749EE"/>
    <w:rsid w:val="004749EF"/>
    <w:rsid w:val="00474A03"/>
    <w:rsid w:val="00474A82"/>
    <w:rsid w:val="00474AA9"/>
    <w:rsid w:val="00474B80"/>
    <w:rsid w:val="00474BA9"/>
    <w:rsid w:val="00474BBB"/>
    <w:rsid w:val="00474BCD"/>
    <w:rsid w:val="00474BD7"/>
    <w:rsid w:val="00474BE2"/>
    <w:rsid w:val="00474D77"/>
    <w:rsid w:val="00474DBD"/>
    <w:rsid w:val="00474EC7"/>
    <w:rsid w:val="00474EDE"/>
    <w:rsid w:val="0047500F"/>
    <w:rsid w:val="0047508E"/>
    <w:rsid w:val="004751AB"/>
    <w:rsid w:val="004751E9"/>
    <w:rsid w:val="00475233"/>
    <w:rsid w:val="00475482"/>
    <w:rsid w:val="004756CF"/>
    <w:rsid w:val="00475832"/>
    <w:rsid w:val="00475906"/>
    <w:rsid w:val="00475991"/>
    <w:rsid w:val="00475BF3"/>
    <w:rsid w:val="00475E55"/>
    <w:rsid w:val="0047600A"/>
    <w:rsid w:val="004762DD"/>
    <w:rsid w:val="00476406"/>
    <w:rsid w:val="0047649B"/>
    <w:rsid w:val="004764C1"/>
    <w:rsid w:val="0047651E"/>
    <w:rsid w:val="00476547"/>
    <w:rsid w:val="00476568"/>
    <w:rsid w:val="00476663"/>
    <w:rsid w:val="0047678B"/>
    <w:rsid w:val="00476C36"/>
    <w:rsid w:val="00476C72"/>
    <w:rsid w:val="00476DB7"/>
    <w:rsid w:val="00476EDD"/>
    <w:rsid w:val="00476F43"/>
    <w:rsid w:val="004771EC"/>
    <w:rsid w:val="004774AD"/>
    <w:rsid w:val="00477577"/>
    <w:rsid w:val="004776D0"/>
    <w:rsid w:val="00477728"/>
    <w:rsid w:val="00477A3A"/>
    <w:rsid w:val="00477ADE"/>
    <w:rsid w:val="00477B49"/>
    <w:rsid w:val="00477B4F"/>
    <w:rsid w:val="00477C90"/>
    <w:rsid w:val="00477CA4"/>
    <w:rsid w:val="00477FF7"/>
    <w:rsid w:val="0048004E"/>
    <w:rsid w:val="004805D8"/>
    <w:rsid w:val="004805FE"/>
    <w:rsid w:val="00480671"/>
    <w:rsid w:val="004807A8"/>
    <w:rsid w:val="0048090D"/>
    <w:rsid w:val="00480C97"/>
    <w:rsid w:val="00480D19"/>
    <w:rsid w:val="00480E42"/>
    <w:rsid w:val="00480F49"/>
    <w:rsid w:val="00481038"/>
    <w:rsid w:val="0048117E"/>
    <w:rsid w:val="00481236"/>
    <w:rsid w:val="00481331"/>
    <w:rsid w:val="0048151C"/>
    <w:rsid w:val="00481556"/>
    <w:rsid w:val="0048171A"/>
    <w:rsid w:val="00481736"/>
    <w:rsid w:val="00481751"/>
    <w:rsid w:val="00481879"/>
    <w:rsid w:val="00481891"/>
    <w:rsid w:val="004818D2"/>
    <w:rsid w:val="00481960"/>
    <w:rsid w:val="00481BEE"/>
    <w:rsid w:val="00481EC4"/>
    <w:rsid w:val="00481F92"/>
    <w:rsid w:val="00481FA8"/>
    <w:rsid w:val="00482086"/>
    <w:rsid w:val="00482290"/>
    <w:rsid w:val="0048234F"/>
    <w:rsid w:val="004824A9"/>
    <w:rsid w:val="004824BD"/>
    <w:rsid w:val="004825FE"/>
    <w:rsid w:val="00482628"/>
    <w:rsid w:val="0048267B"/>
    <w:rsid w:val="0048269B"/>
    <w:rsid w:val="004827D2"/>
    <w:rsid w:val="0048281A"/>
    <w:rsid w:val="00482AF2"/>
    <w:rsid w:val="00482DBF"/>
    <w:rsid w:val="00482E9F"/>
    <w:rsid w:val="00482EB9"/>
    <w:rsid w:val="00482F10"/>
    <w:rsid w:val="00483128"/>
    <w:rsid w:val="00483209"/>
    <w:rsid w:val="00483220"/>
    <w:rsid w:val="004832B1"/>
    <w:rsid w:val="004832B9"/>
    <w:rsid w:val="004834A0"/>
    <w:rsid w:val="004835D9"/>
    <w:rsid w:val="00483613"/>
    <w:rsid w:val="00483726"/>
    <w:rsid w:val="004838B9"/>
    <w:rsid w:val="00483960"/>
    <w:rsid w:val="00483962"/>
    <w:rsid w:val="0048397F"/>
    <w:rsid w:val="00483B52"/>
    <w:rsid w:val="00483D51"/>
    <w:rsid w:val="00483DDD"/>
    <w:rsid w:val="00483EC9"/>
    <w:rsid w:val="00483FE1"/>
    <w:rsid w:val="00484036"/>
    <w:rsid w:val="004842E0"/>
    <w:rsid w:val="00484369"/>
    <w:rsid w:val="00484448"/>
    <w:rsid w:val="004844DD"/>
    <w:rsid w:val="004845F0"/>
    <w:rsid w:val="00484615"/>
    <w:rsid w:val="00484645"/>
    <w:rsid w:val="004846A5"/>
    <w:rsid w:val="00484705"/>
    <w:rsid w:val="00484760"/>
    <w:rsid w:val="0048486E"/>
    <w:rsid w:val="00484A5B"/>
    <w:rsid w:val="00484ACF"/>
    <w:rsid w:val="00484EA6"/>
    <w:rsid w:val="00484ECD"/>
    <w:rsid w:val="0048508C"/>
    <w:rsid w:val="00485368"/>
    <w:rsid w:val="004853A0"/>
    <w:rsid w:val="0048551B"/>
    <w:rsid w:val="004856C0"/>
    <w:rsid w:val="0048596B"/>
    <w:rsid w:val="00485ABB"/>
    <w:rsid w:val="00485AF4"/>
    <w:rsid w:val="00485B45"/>
    <w:rsid w:val="00485C58"/>
    <w:rsid w:val="00485EB5"/>
    <w:rsid w:val="00485F46"/>
    <w:rsid w:val="00485F75"/>
    <w:rsid w:val="0048602D"/>
    <w:rsid w:val="0048602E"/>
    <w:rsid w:val="0048608C"/>
    <w:rsid w:val="0048608E"/>
    <w:rsid w:val="00486107"/>
    <w:rsid w:val="00486560"/>
    <w:rsid w:val="004865DA"/>
    <w:rsid w:val="004865EF"/>
    <w:rsid w:val="004867BE"/>
    <w:rsid w:val="0048697B"/>
    <w:rsid w:val="00486A9B"/>
    <w:rsid w:val="00486B52"/>
    <w:rsid w:val="00486B9C"/>
    <w:rsid w:val="00486DD0"/>
    <w:rsid w:val="00486E30"/>
    <w:rsid w:val="00486E6E"/>
    <w:rsid w:val="00487096"/>
    <w:rsid w:val="00487111"/>
    <w:rsid w:val="00487171"/>
    <w:rsid w:val="00487372"/>
    <w:rsid w:val="004873F1"/>
    <w:rsid w:val="004875EF"/>
    <w:rsid w:val="0048785B"/>
    <w:rsid w:val="0048797C"/>
    <w:rsid w:val="00487A96"/>
    <w:rsid w:val="00487AAE"/>
    <w:rsid w:val="00487B1E"/>
    <w:rsid w:val="00487C88"/>
    <w:rsid w:val="00487D4E"/>
    <w:rsid w:val="004900F6"/>
    <w:rsid w:val="00490111"/>
    <w:rsid w:val="00490610"/>
    <w:rsid w:val="00490683"/>
    <w:rsid w:val="00490829"/>
    <w:rsid w:val="00490934"/>
    <w:rsid w:val="004909D9"/>
    <w:rsid w:val="00490A19"/>
    <w:rsid w:val="00490AD8"/>
    <w:rsid w:val="00490BBC"/>
    <w:rsid w:val="00490F01"/>
    <w:rsid w:val="00490F61"/>
    <w:rsid w:val="00490F7E"/>
    <w:rsid w:val="00491106"/>
    <w:rsid w:val="0049115D"/>
    <w:rsid w:val="0049117F"/>
    <w:rsid w:val="0049121C"/>
    <w:rsid w:val="00491309"/>
    <w:rsid w:val="00491312"/>
    <w:rsid w:val="004913A1"/>
    <w:rsid w:val="00491583"/>
    <w:rsid w:val="004915D1"/>
    <w:rsid w:val="004915E7"/>
    <w:rsid w:val="00491717"/>
    <w:rsid w:val="0049182B"/>
    <w:rsid w:val="00491A92"/>
    <w:rsid w:val="00491C42"/>
    <w:rsid w:val="004921C3"/>
    <w:rsid w:val="004922D5"/>
    <w:rsid w:val="004924C4"/>
    <w:rsid w:val="0049271D"/>
    <w:rsid w:val="00492793"/>
    <w:rsid w:val="004928C2"/>
    <w:rsid w:val="004929A7"/>
    <w:rsid w:val="00492C4D"/>
    <w:rsid w:val="00492C90"/>
    <w:rsid w:val="00492DF4"/>
    <w:rsid w:val="00492EA2"/>
    <w:rsid w:val="00492EAA"/>
    <w:rsid w:val="00492F8B"/>
    <w:rsid w:val="004930D5"/>
    <w:rsid w:val="00493194"/>
    <w:rsid w:val="00493198"/>
    <w:rsid w:val="00493422"/>
    <w:rsid w:val="00493425"/>
    <w:rsid w:val="00493428"/>
    <w:rsid w:val="004934B4"/>
    <w:rsid w:val="0049356A"/>
    <w:rsid w:val="0049373E"/>
    <w:rsid w:val="004937AF"/>
    <w:rsid w:val="004937FC"/>
    <w:rsid w:val="0049392F"/>
    <w:rsid w:val="00493A44"/>
    <w:rsid w:val="00493B7E"/>
    <w:rsid w:val="00493BAA"/>
    <w:rsid w:val="00493D84"/>
    <w:rsid w:val="00493DFA"/>
    <w:rsid w:val="00493F2D"/>
    <w:rsid w:val="0049426C"/>
    <w:rsid w:val="00494361"/>
    <w:rsid w:val="004945EF"/>
    <w:rsid w:val="0049473F"/>
    <w:rsid w:val="0049499D"/>
    <w:rsid w:val="00494AE3"/>
    <w:rsid w:val="00494EC5"/>
    <w:rsid w:val="00494EC9"/>
    <w:rsid w:val="00494F86"/>
    <w:rsid w:val="00494FF9"/>
    <w:rsid w:val="00495005"/>
    <w:rsid w:val="004950BE"/>
    <w:rsid w:val="00495105"/>
    <w:rsid w:val="0049520E"/>
    <w:rsid w:val="00495265"/>
    <w:rsid w:val="00495478"/>
    <w:rsid w:val="0049564C"/>
    <w:rsid w:val="00495751"/>
    <w:rsid w:val="00495856"/>
    <w:rsid w:val="004958CD"/>
    <w:rsid w:val="00495A17"/>
    <w:rsid w:val="00495A47"/>
    <w:rsid w:val="00495B0D"/>
    <w:rsid w:val="00495D14"/>
    <w:rsid w:val="00495E16"/>
    <w:rsid w:val="00495ECF"/>
    <w:rsid w:val="00495ED1"/>
    <w:rsid w:val="00495EF3"/>
    <w:rsid w:val="00495FF3"/>
    <w:rsid w:val="0049602F"/>
    <w:rsid w:val="004961D2"/>
    <w:rsid w:val="004963E4"/>
    <w:rsid w:val="0049657D"/>
    <w:rsid w:val="004965A0"/>
    <w:rsid w:val="0049665B"/>
    <w:rsid w:val="00496868"/>
    <w:rsid w:val="00496966"/>
    <w:rsid w:val="00496A66"/>
    <w:rsid w:val="00496C85"/>
    <w:rsid w:val="00496EBF"/>
    <w:rsid w:val="00497002"/>
    <w:rsid w:val="004970EF"/>
    <w:rsid w:val="00497232"/>
    <w:rsid w:val="00497295"/>
    <w:rsid w:val="004972A3"/>
    <w:rsid w:val="004972F7"/>
    <w:rsid w:val="004973B4"/>
    <w:rsid w:val="004974A0"/>
    <w:rsid w:val="004975B0"/>
    <w:rsid w:val="0049773E"/>
    <w:rsid w:val="00497841"/>
    <w:rsid w:val="004978E2"/>
    <w:rsid w:val="00497A19"/>
    <w:rsid w:val="00497ACD"/>
    <w:rsid w:val="00497AD9"/>
    <w:rsid w:val="00497DD2"/>
    <w:rsid w:val="004A0127"/>
    <w:rsid w:val="004A02C7"/>
    <w:rsid w:val="004A02E0"/>
    <w:rsid w:val="004A03FF"/>
    <w:rsid w:val="004A0522"/>
    <w:rsid w:val="004A0546"/>
    <w:rsid w:val="004A06D4"/>
    <w:rsid w:val="004A0819"/>
    <w:rsid w:val="004A0925"/>
    <w:rsid w:val="004A0932"/>
    <w:rsid w:val="004A09F1"/>
    <w:rsid w:val="004A0AB1"/>
    <w:rsid w:val="004A0B2B"/>
    <w:rsid w:val="004A0C89"/>
    <w:rsid w:val="004A0C8F"/>
    <w:rsid w:val="004A0D6E"/>
    <w:rsid w:val="004A0FFD"/>
    <w:rsid w:val="004A1002"/>
    <w:rsid w:val="004A1024"/>
    <w:rsid w:val="004A106A"/>
    <w:rsid w:val="004A1129"/>
    <w:rsid w:val="004A133C"/>
    <w:rsid w:val="004A13A7"/>
    <w:rsid w:val="004A13BF"/>
    <w:rsid w:val="004A1402"/>
    <w:rsid w:val="004A1541"/>
    <w:rsid w:val="004A17B0"/>
    <w:rsid w:val="004A18D0"/>
    <w:rsid w:val="004A1958"/>
    <w:rsid w:val="004A1A84"/>
    <w:rsid w:val="004A1AA1"/>
    <w:rsid w:val="004A1B33"/>
    <w:rsid w:val="004A1B8A"/>
    <w:rsid w:val="004A1C23"/>
    <w:rsid w:val="004A1D08"/>
    <w:rsid w:val="004A1D2A"/>
    <w:rsid w:val="004A1DD2"/>
    <w:rsid w:val="004A1DF4"/>
    <w:rsid w:val="004A1FAC"/>
    <w:rsid w:val="004A20B1"/>
    <w:rsid w:val="004A20C1"/>
    <w:rsid w:val="004A2228"/>
    <w:rsid w:val="004A22B9"/>
    <w:rsid w:val="004A267A"/>
    <w:rsid w:val="004A269E"/>
    <w:rsid w:val="004A2856"/>
    <w:rsid w:val="004A292D"/>
    <w:rsid w:val="004A2A77"/>
    <w:rsid w:val="004A2B00"/>
    <w:rsid w:val="004A2B59"/>
    <w:rsid w:val="004A3087"/>
    <w:rsid w:val="004A3095"/>
    <w:rsid w:val="004A3389"/>
    <w:rsid w:val="004A3519"/>
    <w:rsid w:val="004A361D"/>
    <w:rsid w:val="004A3693"/>
    <w:rsid w:val="004A3696"/>
    <w:rsid w:val="004A369F"/>
    <w:rsid w:val="004A3ACA"/>
    <w:rsid w:val="004A3BDB"/>
    <w:rsid w:val="004A3CB5"/>
    <w:rsid w:val="004A3ED8"/>
    <w:rsid w:val="004A4125"/>
    <w:rsid w:val="004A45BE"/>
    <w:rsid w:val="004A4609"/>
    <w:rsid w:val="004A46D0"/>
    <w:rsid w:val="004A4778"/>
    <w:rsid w:val="004A47AC"/>
    <w:rsid w:val="004A49EC"/>
    <w:rsid w:val="004A49F1"/>
    <w:rsid w:val="004A4A67"/>
    <w:rsid w:val="004A4B16"/>
    <w:rsid w:val="004A4B46"/>
    <w:rsid w:val="004A4D48"/>
    <w:rsid w:val="004A4DF2"/>
    <w:rsid w:val="004A4FBD"/>
    <w:rsid w:val="004A4FF9"/>
    <w:rsid w:val="004A5101"/>
    <w:rsid w:val="004A51DA"/>
    <w:rsid w:val="004A5288"/>
    <w:rsid w:val="004A5385"/>
    <w:rsid w:val="004A56C6"/>
    <w:rsid w:val="004A571F"/>
    <w:rsid w:val="004A57BF"/>
    <w:rsid w:val="004A583B"/>
    <w:rsid w:val="004A58C3"/>
    <w:rsid w:val="004A59DA"/>
    <w:rsid w:val="004A5A42"/>
    <w:rsid w:val="004A5EBA"/>
    <w:rsid w:val="004A5F2C"/>
    <w:rsid w:val="004A6227"/>
    <w:rsid w:val="004A62EF"/>
    <w:rsid w:val="004A644E"/>
    <w:rsid w:val="004A6523"/>
    <w:rsid w:val="004A65F5"/>
    <w:rsid w:val="004A68E2"/>
    <w:rsid w:val="004A6925"/>
    <w:rsid w:val="004A6AE6"/>
    <w:rsid w:val="004A6CAB"/>
    <w:rsid w:val="004A6DFC"/>
    <w:rsid w:val="004A6DFF"/>
    <w:rsid w:val="004A7026"/>
    <w:rsid w:val="004A70D6"/>
    <w:rsid w:val="004A72B8"/>
    <w:rsid w:val="004A73F5"/>
    <w:rsid w:val="004A7448"/>
    <w:rsid w:val="004A755E"/>
    <w:rsid w:val="004A7587"/>
    <w:rsid w:val="004A7672"/>
    <w:rsid w:val="004A7725"/>
    <w:rsid w:val="004A783C"/>
    <w:rsid w:val="004A787A"/>
    <w:rsid w:val="004A7930"/>
    <w:rsid w:val="004A7B05"/>
    <w:rsid w:val="004A7C17"/>
    <w:rsid w:val="004A7C1A"/>
    <w:rsid w:val="004A7CCC"/>
    <w:rsid w:val="004A7D2F"/>
    <w:rsid w:val="004A7D92"/>
    <w:rsid w:val="004A7EF5"/>
    <w:rsid w:val="004A7F45"/>
    <w:rsid w:val="004B000E"/>
    <w:rsid w:val="004B0055"/>
    <w:rsid w:val="004B00C0"/>
    <w:rsid w:val="004B00DE"/>
    <w:rsid w:val="004B02A2"/>
    <w:rsid w:val="004B038D"/>
    <w:rsid w:val="004B03E4"/>
    <w:rsid w:val="004B074D"/>
    <w:rsid w:val="004B0760"/>
    <w:rsid w:val="004B0771"/>
    <w:rsid w:val="004B08AE"/>
    <w:rsid w:val="004B092B"/>
    <w:rsid w:val="004B0B8F"/>
    <w:rsid w:val="004B0FFC"/>
    <w:rsid w:val="004B1142"/>
    <w:rsid w:val="004B117C"/>
    <w:rsid w:val="004B120A"/>
    <w:rsid w:val="004B1220"/>
    <w:rsid w:val="004B1395"/>
    <w:rsid w:val="004B13B0"/>
    <w:rsid w:val="004B1411"/>
    <w:rsid w:val="004B16D7"/>
    <w:rsid w:val="004B16FC"/>
    <w:rsid w:val="004B17B1"/>
    <w:rsid w:val="004B1821"/>
    <w:rsid w:val="004B19E3"/>
    <w:rsid w:val="004B1A01"/>
    <w:rsid w:val="004B1A20"/>
    <w:rsid w:val="004B1A54"/>
    <w:rsid w:val="004B1BA7"/>
    <w:rsid w:val="004B1C6F"/>
    <w:rsid w:val="004B1CCE"/>
    <w:rsid w:val="004B1D8E"/>
    <w:rsid w:val="004B1E3C"/>
    <w:rsid w:val="004B1E51"/>
    <w:rsid w:val="004B1EFF"/>
    <w:rsid w:val="004B1FDA"/>
    <w:rsid w:val="004B201C"/>
    <w:rsid w:val="004B2295"/>
    <w:rsid w:val="004B248E"/>
    <w:rsid w:val="004B24AE"/>
    <w:rsid w:val="004B24B1"/>
    <w:rsid w:val="004B24E1"/>
    <w:rsid w:val="004B2500"/>
    <w:rsid w:val="004B26CA"/>
    <w:rsid w:val="004B2733"/>
    <w:rsid w:val="004B2999"/>
    <w:rsid w:val="004B29A1"/>
    <w:rsid w:val="004B2AF9"/>
    <w:rsid w:val="004B2B80"/>
    <w:rsid w:val="004B2C92"/>
    <w:rsid w:val="004B2C96"/>
    <w:rsid w:val="004B2D07"/>
    <w:rsid w:val="004B2DA7"/>
    <w:rsid w:val="004B2E2C"/>
    <w:rsid w:val="004B3047"/>
    <w:rsid w:val="004B3472"/>
    <w:rsid w:val="004B36B4"/>
    <w:rsid w:val="004B386C"/>
    <w:rsid w:val="004B387C"/>
    <w:rsid w:val="004B3881"/>
    <w:rsid w:val="004B3882"/>
    <w:rsid w:val="004B3904"/>
    <w:rsid w:val="004B3966"/>
    <w:rsid w:val="004B3A58"/>
    <w:rsid w:val="004B3CA7"/>
    <w:rsid w:val="004B3D1B"/>
    <w:rsid w:val="004B3D93"/>
    <w:rsid w:val="004B3DCB"/>
    <w:rsid w:val="004B3E93"/>
    <w:rsid w:val="004B3F11"/>
    <w:rsid w:val="004B4164"/>
    <w:rsid w:val="004B4182"/>
    <w:rsid w:val="004B41CE"/>
    <w:rsid w:val="004B4277"/>
    <w:rsid w:val="004B42B0"/>
    <w:rsid w:val="004B4411"/>
    <w:rsid w:val="004B4452"/>
    <w:rsid w:val="004B4471"/>
    <w:rsid w:val="004B4478"/>
    <w:rsid w:val="004B4607"/>
    <w:rsid w:val="004B4756"/>
    <w:rsid w:val="004B49F1"/>
    <w:rsid w:val="004B4C31"/>
    <w:rsid w:val="004B4D0C"/>
    <w:rsid w:val="004B4D43"/>
    <w:rsid w:val="004B4EDF"/>
    <w:rsid w:val="004B4F0A"/>
    <w:rsid w:val="004B5010"/>
    <w:rsid w:val="004B52FA"/>
    <w:rsid w:val="004B5341"/>
    <w:rsid w:val="004B564A"/>
    <w:rsid w:val="004B576B"/>
    <w:rsid w:val="004B581F"/>
    <w:rsid w:val="004B58A3"/>
    <w:rsid w:val="004B594C"/>
    <w:rsid w:val="004B59B6"/>
    <w:rsid w:val="004B5E32"/>
    <w:rsid w:val="004B5E76"/>
    <w:rsid w:val="004B6058"/>
    <w:rsid w:val="004B6093"/>
    <w:rsid w:val="004B60AF"/>
    <w:rsid w:val="004B628F"/>
    <w:rsid w:val="004B6322"/>
    <w:rsid w:val="004B6345"/>
    <w:rsid w:val="004B63DE"/>
    <w:rsid w:val="004B6474"/>
    <w:rsid w:val="004B6495"/>
    <w:rsid w:val="004B657A"/>
    <w:rsid w:val="004B65D0"/>
    <w:rsid w:val="004B67F8"/>
    <w:rsid w:val="004B681B"/>
    <w:rsid w:val="004B694D"/>
    <w:rsid w:val="004B6951"/>
    <w:rsid w:val="004B6B77"/>
    <w:rsid w:val="004B6BEC"/>
    <w:rsid w:val="004B6C66"/>
    <w:rsid w:val="004B6CE1"/>
    <w:rsid w:val="004B6D91"/>
    <w:rsid w:val="004B6EC2"/>
    <w:rsid w:val="004B71F2"/>
    <w:rsid w:val="004B7249"/>
    <w:rsid w:val="004B735E"/>
    <w:rsid w:val="004B7364"/>
    <w:rsid w:val="004B758F"/>
    <w:rsid w:val="004B77A8"/>
    <w:rsid w:val="004B784C"/>
    <w:rsid w:val="004B79B2"/>
    <w:rsid w:val="004B79BD"/>
    <w:rsid w:val="004B7B95"/>
    <w:rsid w:val="004B7E17"/>
    <w:rsid w:val="004B7ED3"/>
    <w:rsid w:val="004C0077"/>
    <w:rsid w:val="004C016E"/>
    <w:rsid w:val="004C01A4"/>
    <w:rsid w:val="004C020D"/>
    <w:rsid w:val="004C0231"/>
    <w:rsid w:val="004C03EF"/>
    <w:rsid w:val="004C043F"/>
    <w:rsid w:val="004C0555"/>
    <w:rsid w:val="004C07E2"/>
    <w:rsid w:val="004C0845"/>
    <w:rsid w:val="004C0903"/>
    <w:rsid w:val="004C0C8B"/>
    <w:rsid w:val="004C0CCF"/>
    <w:rsid w:val="004C0D45"/>
    <w:rsid w:val="004C0EEA"/>
    <w:rsid w:val="004C0FB4"/>
    <w:rsid w:val="004C1042"/>
    <w:rsid w:val="004C1083"/>
    <w:rsid w:val="004C1287"/>
    <w:rsid w:val="004C13D6"/>
    <w:rsid w:val="004C14C3"/>
    <w:rsid w:val="004C15B5"/>
    <w:rsid w:val="004C1912"/>
    <w:rsid w:val="004C1AA9"/>
    <w:rsid w:val="004C1B4C"/>
    <w:rsid w:val="004C1C3E"/>
    <w:rsid w:val="004C1CF6"/>
    <w:rsid w:val="004C1E9B"/>
    <w:rsid w:val="004C1FB5"/>
    <w:rsid w:val="004C20ED"/>
    <w:rsid w:val="004C218D"/>
    <w:rsid w:val="004C2364"/>
    <w:rsid w:val="004C2527"/>
    <w:rsid w:val="004C2695"/>
    <w:rsid w:val="004C2869"/>
    <w:rsid w:val="004C28D2"/>
    <w:rsid w:val="004C28DF"/>
    <w:rsid w:val="004C28F2"/>
    <w:rsid w:val="004C299E"/>
    <w:rsid w:val="004C2AC7"/>
    <w:rsid w:val="004C2B94"/>
    <w:rsid w:val="004C2D83"/>
    <w:rsid w:val="004C2DE1"/>
    <w:rsid w:val="004C32C1"/>
    <w:rsid w:val="004C3374"/>
    <w:rsid w:val="004C35B6"/>
    <w:rsid w:val="004C36D9"/>
    <w:rsid w:val="004C377B"/>
    <w:rsid w:val="004C389E"/>
    <w:rsid w:val="004C38A9"/>
    <w:rsid w:val="004C3A56"/>
    <w:rsid w:val="004C3A90"/>
    <w:rsid w:val="004C3CB9"/>
    <w:rsid w:val="004C3D02"/>
    <w:rsid w:val="004C3D68"/>
    <w:rsid w:val="004C3F59"/>
    <w:rsid w:val="004C403C"/>
    <w:rsid w:val="004C4083"/>
    <w:rsid w:val="004C42C0"/>
    <w:rsid w:val="004C4353"/>
    <w:rsid w:val="004C446A"/>
    <w:rsid w:val="004C446B"/>
    <w:rsid w:val="004C4482"/>
    <w:rsid w:val="004C4602"/>
    <w:rsid w:val="004C4642"/>
    <w:rsid w:val="004C4774"/>
    <w:rsid w:val="004C493F"/>
    <w:rsid w:val="004C49B6"/>
    <w:rsid w:val="004C4A43"/>
    <w:rsid w:val="004C4A5A"/>
    <w:rsid w:val="004C4B14"/>
    <w:rsid w:val="004C4B5F"/>
    <w:rsid w:val="004C4B73"/>
    <w:rsid w:val="004C4B89"/>
    <w:rsid w:val="004C4F57"/>
    <w:rsid w:val="004C4FD5"/>
    <w:rsid w:val="004C5084"/>
    <w:rsid w:val="004C50A6"/>
    <w:rsid w:val="004C5119"/>
    <w:rsid w:val="004C5423"/>
    <w:rsid w:val="004C543D"/>
    <w:rsid w:val="004C5630"/>
    <w:rsid w:val="004C573E"/>
    <w:rsid w:val="004C583B"/>
    <w:rsid w:val="004C59BE"/>
    <w:rsid w:val="004C5AB4"/>
    <w:rsid w:val="004C5B1F"/>
    <w:rsid w:val="004C5C2C"/>
    <w:rsid w:val="004C5C98"/>
    <w:rsid w:val="004C5DD2"/>
    <w:rsid w:val="004C5E3F"/>
    <w:rsid w:val="004C5F0C"/>
    <w:rsid w:val="004C616A"/>
    <w:rsid w:val="004C64E7"/>
    <w:rsid w:val="004C6518"/>
    <w:rsid w:val="004C671F"/>
    <w:rsid w:val="004C672C"/>
    <w:rsid w:val="004C686E"/>
    <w:rsid w:val="004C690F"/>
    <w:rsid w:val="004C69A0"/>
    <w:rsid w:val="004C69CC"/>
    <w:rsid w:val="004C6A3C"/>
    <w:rsid w:val="004C6A6C"/>
    <w:rsid w:val="004C6C03"/>
    <w:rsid w:val="004C6C7D"/>
    <w:rsid w:val="004C6CD8"/>
    <w:rsid w:val="004C6E64"/>
    <w:rsid w:val="004C6F75"/>
    <w:rsid w:val="004C7040"/>
    <w:rsid w:val="004C717C"/>
    <w:rsid w:val="004C721B"/>
    <w:rsid w:val="004C76F9"/>
    <w:rsid w:val="004C77D3"/>
    <w:rsid w:val="004C7822"/>
    <w:rsid w:val="004C78F0"/>
    <w:rsid w:val="004C7AA1"/>
    <w:rsid w:val="004C7B3D"/>
    <w:rsid w:val="004C7CA9"/>
    <w:rsid w:val="004C7CD1"/>
    <w:rsid w:val="004C7D09"/>
    <w:rsid w:val="004C7DF2"/>
    <w:rsid w:val="004C7EC8"/>
    <w:rsid w:val="004C7FA3"/>
    <w:rsid w:val="004D006C"/>
    <w:rsid w:val="004D02BD"/>
    <w:rsid w:val="004D0509"/>
    <w:rsid w:val="004D07CE"/>
    <w:rsid w:val="004D088E"/>
    <w:rsid w:val="004D0955"/>
    <w:rsid w:val="004D09DF"/>
    <w:rsid w:val="004D0A41"/>
    <w:rsid w:val="004D0A95"/>
    <w:rsid w:val="004D0A98"/>
    <w:rsid w:val="004D0AE9"/>
    <w:rsid w:val="004D0BD8"/>
    <w:rsid w:val="004D0CCB"/>
    <w:rsid w:val="004D0DEE"/>
    <w:rsid w:val="004D0EA6"/>
    <w:rsid w:val="004D0F1B"/>
    <w:rsid w:val="004D103B"/>
    <w:rsid w:val="004D10B8"/>
    <w:rsid w:val="004D12DC"/>
    <w:rsid w:val="004D1309"/>
    <w:rsid w:val="004D1377"/>
    <w:rsid w:val="004D13E2"/>
    <w:rsid w:val="004D1478"/>
    <w:rsid w:val="004D183F"/>
    <w:rsid w:val="004D185B"/>
    <w:rsid w:val="004D193A"/>
    <w:rsid w:val="004D19E3"/>
    <w:rsid w:val="004D19FA"/>
    <w:rsid w:val="004D1A42"/>
    <w:rsid w:val="004D1A49"/>
    <w:rsid w:val="004D1AE1"/>
    <w:rsid w:val="004D1BDB"/>
    <w:rsid w:val="004D1BEC"/>
    <w:rsid w:val="004D1C9B"/>
    <w:rsid w:val="004D1CB2"/>
    <w:rsid w:val="004D1EE0"/>
    <w:rsid w:val="004D1FAF"/>
    <w:rsid w:val="004D1FCC"/>
    <w:rsid w:val="004D2314"/>
    <w:rsid w:val="004D2335"/>
    <w:rsid w:val="004D2377"/>
    <w:rsid w:val="004D25FB"/>
    <w:rsid w:val="004D2719"/>
    <w:rsid w:val="004D2916"/>
    <w:rsid w:val="004D2948"/>
    <w:rsid w:val="004D2A7A"/>
    <w:rsid w:val="004D2C63"/>
    <w:rsid w:val="004D2C8B"/>
    <w:rsid w:val="004D2CBD"/>
    <w:rsid w:val="004D2D2C"/>
    <w:rsid w:val="004D2DB2"/>
    <w:rsid w:val="004D2E43"/>
    <w:rsid w:val="004D2F74"/>
    <w:rsid w:val="004D3030"/>
    <w:rsid w:val="004D30B0"/>
    <w:rsid w:val="004D3365"/>
    <w:rsid w:val="004D355F"/>
    <w:rsid w:val="004D3591"/>
    <w:rsid w:val="004D35B9"/>
    <w:rsid w:val="004D3744"/>
    <w:rsid w:val="004D3B6C"/>
    <w:rsid w:val="004D3B91"/>
    <w:rsid w:val="004D3C50"/>
    <w:rsid w:val="004D3EDF"/>
    <w:rsid w:val="004D3EE4"/>
    <w:rsid w:val="004D3F3F"/>
    <w:rsid w:val="004D4026"/>
    <w:rsid w:val="004D414F"/>
    <w:rsid w:val="004D4276"/>
    <w:rsid w:val="004D45F0"/>
    <w:rsid w:val="004D4709"/>
    <w:rsid w:val="004D47A3"/>
    <w:rsid w:val="004D497B"/>
    <w:rsid w:val="004D4A99"/>
    <w:rsid w:val="004D4AD6"/>
    <w:rsid w:val="004D4B0F"/>
    <w:rsid w:val="004D4CB5"/>
    <w:rsid w:val="004D4CCF"/>
    <w:rsid w:val="004D4DA2"/>
    <w:rsid w:val="004D4E23"/>
    <w:rsid w:val="004D4FC2"/>
    <w:rsid w:val="004D5021"/>
    <w:rsid w:val="004D517D"/>
    <w:rsid w:val="004D542C"/>
    <w:rsid w:val="004D5505"/>
    <w:rsid w:val="004D5525"/>
    <w:rsid w:val="004D55DB"/>
    <w:rsid w:val="004D56DE"/>
    <w:rsid w:val="004D5B03"/>
    <w:rsid w:val="004D5C53"/>
    <w:rsid w:val="004D5D1D"/>
    <w:rsid w:val="004D6188"/>
    <w:rsid w:val="004D62DB"/>
    <w:rsid w:val="004D6334"/>
    <w:rsid w:val="004D655A"/>
    <w:rsid w:val="004D6586"/>
    <w:rsid w:val="004D668F"/>
    <w:rsid w:val="004D672B"/>
    <w:rsid w:val="004D6791"/>
    <w:rsid w:val="004D67D2"/>
    <w:rsid w:val="004D6810"/>
    <w:rsid w:val="004D6A07"/>
    <w:rsid w:val="004D6ACE"/>
    <w:rsid w:val="004D6B1B"/>
    <w:rsid w:val="004D6B54"/>
    <w:rsid w:val="004D6BC2"/>
    <w:rsid w:val="004D6C4E"/>
    <w:rsid w:val="004D71AF"/>
    <w:rsid w:val="004D724E"/>
    <w:rsid w:val="004D7390"/>
    <w:rsid w:val="004D73A3"/>
    <w:rsid w:val="004D73BB"/>
    <w:rsid w:val="004D7435"/>
    <w:rsid w:val="004D7438"/>
    <w:rsid w:val="004D7511"/>
    <w:rsid w:val="004D7554"/>
    <w:rsid w:val="004D7602"/>
    <w:rsid w:val="004D7610"/>
    <w:rsid w:val="004D765F"/>
    <w:rsid w:val="004D7684"/>
    <w:rsid w:val="004D76DC"/>
    <w:rsid w:val="004D77C5"/>
    <w:rsid w:val="004D7980"/>
    <w:rsid w:val="004D7990"/>
    <w:rsid w:val="004D79B8"/>
    <w:rsid w:val="004D7AF9"/>
    <w:rsid w:val="004D7CF9"/>
    <w:rsid w:val="004D7DC3"/>
    <w:rsid w:val="004D7DC7"/>
    <w:rsid w:val="004D7DD4"/>
    <w:rsid w:val="004D7EAC"/>
    <w:rsid w:val="004D7F64"/>
    <w:rsid w:val="004E0033"/>
    <w:rsid w:val="004E00D6"/>
    <w:rsid w:val="004E0402"/>
    <w:rsid w:val="004E04EE"/>
    <w:rsid w:val="004E053B"/>
    <w:rsid w:val="004E05D1"/>
    <w:rsid w:val="004E0823"/>
    <w:rsid w:val="004E09B7"/>
    <w:rsid w:val="004E0A39"/>
    <w:rsid w:val="004E0A8D"/>
    <w:rsid w:val="004E0CA4"/>
    <w:rsid w:val="004E0D5A"/>
    <w:rsid w:val="004E0E16"/>
    <w:rsid w:val="004E0E4E"/>
    <w:rsid w:val="004E0F2D"/>
    <w:rsid w:val="004E1145"/>
    <w:rsid w:val="004E1326"/>
    <w:rsid w:val="004E14E0"/>
    <w:rsid w:val="004E181D"/>
    <w:rsid w:val="004E18A1"/>
    <w:rsid w:val="004E1BE4"/>
    <w:rsid w:val="004E1CB7"/>
    <w:rsid w:val="004E1FEA"/>
    <w:rsid w:val="004E20CA"/>
    <w:rsid w:val="004E20CC"/>
    <w:rsid w:val="004E2101"/>
    <w:rsid w:val="004E216D"/>
    <w:rsid w:val="004E2326"/>
    <w:rsid w:val="004E2372"/>
    <w:rsid w:val="004E23EF"/>
    <w:rsid w:val="004E2532"/>
    <w:rsid w:val="004E2597"/>
    <w:rsid w:val="004E25FE"/>
    <w:rsid w:val="004E2601"/>
    <w:rsid w:val="004E2609"/>
    <w:rsid w:val="004E262F"/>
    <w:rsid w:val="004E26D8"/>
    <w:rsid w:val="004E26EB"/>
    <w:rsid w:val="004E274F"/>
    <w:rsid w:val="004E2884"/>
    <w:rsid w:val="004E2AC9"/>
    <w:rsid w:val="004E2AD3"/>
    <w:rsid w:val="004E2B10"/>
    <w:rsid w:val="004E2B40"/>
    <w:rsid w:val="004E2B7C"/>
    <w:rsid w:val="004E2BBA"/>
    <w:rsid w:val="004E2C0A"/>
    <w:rsid w:val="004E2D06"/>
    <w:rsid w:val="004E2E50"/>
    <w:rsid w:val="004E2E69"/>
    <w:rsid w:val="004E2EF0"/>
    <w:rsid w:val="004E2F6B"/>
    <w:rsid w:val="004E3011"/>
    <w:rsid w:val="004E3167"/>
    <w:rsid w:val="004E322E"/>
    <w:rsid w:val="004E36A0"/>
    <w:rsid w:val="004E36AB"/>
    <w:rsid w:val="004E3845"/>
    <w:rsid w:val="004E39FB"/>
    <w:rsid w:val="004E3EC3"/>
    <w:rsid w:val="004E468B"/>
    <w:rsid w:val="004E4799"/>
    <w:rsid w:val="004E47E6"/>
    <w:rsid w:val="004E48A5"/>
    <w:rsid w:val="004E491D"/>
    <w:rsid w:val="004E4B23"/>
    <w:rsid w:val="004E4CFA"/>
    <w:rsid w:val="004E4DB6"/>
    <w:rsid w:val="004E4F81"/>
    <w:rsid w:val="004E5085"/>
    <w:rsid w:val="004E5197"/>
    <w:rsid w:val="004E532A"/>
    <w:rsid w:val="004E54BF"/>
    <w:rsid w:val="004E556E"/>
    <w:rsid w:val="004E5587"/>
    <w:rsid w:val="004E560A"/>
    <w:rsid w:val="004E57AB"/>
    <w:rsid w:val="004E57FE"/>
    <w:rsid w:val="004E5858"/>
    <w:rsid w:val="004E5A30"/>
    <w:rsid w:val="004E5AE1"/>
    <w:rsid w:val="004E5C10"/>
    <w:rsid w:val="004E5CC5"/>
    <w:rsid w:val="004E5D65"/>
    <w:rsid w:val="004E5F29"/>
    <w:rsid w:val="004E5F41"/>
    <w:rsid w:val="004E607E"/>
    <w:rsid w:val="004E60E2"/>
    <w:rsid w:val="004E6184"/>
    <w:rsid w:val="004E61B3"/>
    <w:rsid w:val="004E62A3"/>
    <w:rsid w:val="004E63D7"/>
    <w:rsid w:val="004E65C8"/>
    <w:rsid w:val="004E65FF"/>
    <w:rsid w:val="004E68C0"/>
    <w:rsid w:val="004E6AD2"/>
    <w:rsid w:val="004E6CBA"/>
    <w:rsid w:val="004E6CEA"/>
    <w:rsid w:val="004E6D22"/>
    <w:rsid w:val="004E6EFE"/>
    <w:rsid w:val="004E701D"/>
    <w:rsid w:val="004E713C"/>
    <w:rsid w:val="004E7325"/>
    <w:rsid w:val="004E74A4"/>
    <w:rsid w:val="004E75A4"/>
    <w:rsid w:val="004E75A9"/>
    <w:rsid w:val="004E7679"/>
    <w:rsid w:val="004E774D"/>
    <w:rsid w:val="004E77FE"/>
    <w:rsid w:val="004E784D"/>
    <w:rsid w:val="004E78F8"/>
    <w:rsid w:val="004E7D8F"/>
    <w:rsid w:val="004E7F72"/>
    <w:rsid w:val="004E7FDF"/>
    <w:rsid w:val="004E7FFD"/>
    <w:rsid w:val="004F01ED"/>
    <w:rsid w:val="004F0294"/>
    <w:rsid w:val="004F0682"/>
    <w:rsid w:val="004F0686"/>
    <w:rsid w:val="004F06D7"/>
    <w:rsid w:val="004F0A93"/>
    <w:rsid w:val="004F0B4F"/>
    <w:rsid w:val="004F0BBF"/>
    <w:rsid w:val="004F1071"/>
    <w:rsid w:val="004F1098"/>
    <w:rsid w:val="004F12B4"/>
    <w:rsid w:val="004F1370"/>
    <w:rsid w:val="004F14C7"/>
    <w:rsid w:val="004F180F"/>
    <w:rsid w:val="004F196F"/>
    <w:rsid w:val="004F1AE5"/>
    <w:rsid w:val="004F1B12"/>
    <w:rsid w:val="004F1B3B"/>
    <w:rsid w:val="004F1FCB"/>
    <w:rsid w:val="004F1FD9"/>
    <w:rsid w:val="004F200B"/>
    <w:rsid w:val="004F20A3"/>
    <w:rsid w:val="004F214C"/>
    <w:rsid w:val="004F217E"/>
    <w:rsid w:val="004F21C2"/>
    <w:rsid w:val="004F21F9"/>
    <w:rsid w:val="004F22FA"/>
    <w:rsid w:val="004F23A0"/>
    <w:rsid w:val="004F2452"/>
    <w:rsid w:val="004F24B5"/>
    <w:rsid w:val="004F2591"/>
    <w:rsid w:val="004F2649"/>
    <w:rsid w:val="004F26A2"/>
    <w:rsid w:val="004F27D8"/>
    <w:rsid w:val="004F2904"/>
    <w:rsid w:val="004F2921"/>
    <w:rsid w:val="004F2A8F"/>
    <w:rsid w:val="004F2E12"/>
    <w:rsid w:val="004F2F31"/>
    <w:rsid w:val="004F2F3A"/>
    <w:rsid w:val="004F30AD"/>
    <w:rsid w:val="004F32AC"/>
    <w:rsid w:val="004F32DD"/>
    <w:rsid w:val="004F3460"/>
    <w:rsid w:val="004F34E3"/>
    <w:rsid w:val="004F3644"/>
    <w:rsid w:val="004F3682"/>
    <w:rsid w:val="004F37D5"/>
    <w:rsid w:val="004F382B"/>
    <w:rsid w:val="004F3AA6"/>
    <w:rsid w:val="004F3B06"/>
    <w:rsid w:val="004F3D0B"/>
    <w:rsid w:val="004F3EFB"/>
    <w:rsid w:val="004F412D"/>
    <w:rsid w:val="004F42DD"/>
    <w:rsid w:val="004F4433"/>
    <w:rsid w:val="004F4514"/>
    <w:rsid w:val="004F4666"/>
    <w:rsid w:val="004F4798"/>
    <w:rsid w:val="004F4AA0"/>
    <w:rsid w:val="004F4B70"/>
    <w:rsid w:val="004F4C0E"/>
    <w:rsid w:val="004F4D6A"/>
    <w:rsid w:val="004F4E1F"/>
    <w:rsid w:val="004F4F7C"/>
    <w:rsid w:val="004F52A7"/>
    <w:rsid w:val="004F5324"/>
    <w:rsid w:val="004F5578"/>
    <w:rsid w:val="004F5624"/>
    <w:rsid w:val="004F579E"/>
    <w:rsid w:val="004F5826"/>
    <w:rsid w:val="004F589C"/>
    <w:rsid w:val="004F595B"/>
    <w:rsid w:val="004F59FD"/>
    <w:rsid w:val="004F5D6B"/>
    <w:rsid w:val="004F5F64"/>
    <w:rsid w:val="004F6083"/>
    <w:rsid w:val="004F62DC"/>
    <w:rsid w:val="004F650B"/>
    <w:rsid w:val="004F6574"/>
    <w:rsid w:val="004F66E4"/>
    <w:rsid w:val="004F674E"/>
    <w:rsid w:val="004F676A"/>
    <w:rsid w:val="004F6903"/>
    <w:rsid w:val="004F698A"/>
    <w:rsid w:val="004F6996"/>
    <w:rsid w:val="004F69A6"/>
    <w:rsid w:val="004F6A10"/>
    <w:rsid w:val="004F6BFD"/>
    <w:rsid w:val="004F6D4F"/>
    <w:rsid w:val="004F6E57"/>
    <w:rsid w:val="004F6E5C"/>
    <w:rsid w:val="004F6EB6"/>
    <w:rsid w:val="004F6F1E"/>
    <w:rsid w:val="004F6F49"/>
    <w:rsid w:val="004F705E"/>
    <w:rsid w:val="004F70C6"/>
    <w:rsid w:val="004F738A"/>
    <w:rsid w:val="004F747A"/>
    <w:rsid w:val="004F783F"/>
    <w:rsid w:val="004F784F"/>
    <w:rsid w:val="004F7988"/>
    <w:rsid w:val="004F79AA"/>
    <w:rsid w:val="004F79D3"/>
    <w:rsid w:val="004F7A7B"/>
    <w:rsid w:val="004F7AA6"/>
    <w:rsid w:val="004F7C3F"/>
    <w:rsid w:val="004F7C76"/>
    <w:rsid w:val="004F7F76"/>
    <w:rsid w:val="00500012"/>
    <w:rsid w:val="005000B3"/>
    <w:rsid w:val="00500269"/>
    <w:rsid w:val="00500432"/>
    <w:rsid w:val="00500565"/>
    <w:rsid w:val="00500655"/>
    <w:rsid w:val="00500670"/>
    <w:rsid w:val="0050067A"/>
    <w:rsid w:val="0050075F"/>
    <w:rsid w:val="0050085B"/>
    <w:rsid w:val="00500A9A"/>
    <w:rsid w:val="00500AD5"/>
    <w:rsid w:val="00500B29"/>
    <w:rsid w:val="00500DCB"/>
    <w:rsid w:val="00500E58"/>
    <w:rsid w:val="005011B8"/>
    <w:rsid w:val="005011F0"/>
    <w:rsid w:val="00501271"/>
    <w:rsid w:val="005012B3"/>
    <w:rsid w:val="005012BB"/>
    <w:rsid w:val="005012D6"/>
    <w:rsid w:val="0050133D"/>
    <w:rsid w:val="005014A6"/>
    <w:rsid w:val="0050167A"/>
    <w:rsid w:val="00501700"/>
    <w:rsid w:val="0050172D"/>
    <w:rsid w:val="00501BA0"/>
    <w:rsid w:val="00501BE6"/>
    <w:rsid w:val="00501D6D"/>
    <w:rsid w:val="00501DE2"/>
    <w:rsid w:val="00501F1C"/>
    <w:rsid w:val="00501F65"/>
    <w:rsid w:val="005020F2"/>
    <w:rsid w:val="005021AF"/>
    <w:rsid w:val="005024A1"/>
    <w:rsid w:val="005025BF"/>
    <w:rsid w:val="00502747"/>
    <w:rsid w:val="0050277D"/>
    <w:rsid w:val="00502C50"/>
    <w:rsid w:val="00502C51"/>
    <w:rsid w:val="00502E48"/>
    <w:rsid w:val="00503243"/>
    <w:rsid w:val="00503330"/>
    <w:rsid w:val="005033FD"/>
    <w:rsid w:val="005034CF"/>
    <w:rsid w:val="0050382A"/>
    <w:rsid w:val="005039B9"/>
    <w:rsid w:val="00503A7E"/>
    <w:rsid w:val="00503B67"/>
    <w:rsid w:val="00503D90"/>
    <w:rsid w:val="00503E1D"/>
    <w:rsid w:val="00503E8E"/>
    <w:rsid w:val="00503FEE"/>
    <w:rsid w:val="00503FF1"/>
    <w:rsid w:val="0050404D"/>
    <w:rsid w:val="0050404E"/>
    <w:rsid w:val="0050409A"/>
    <w:rsid w:val="00504105"/>
    <w:rsid w:val="0050420D"/>
    <w:rsid w:val="0050427F"/>
    <w:rsid w:val="00504586"/>
    <w:rsid w:val="005045FF"/>
    <w:rsid w:val="0050475B"/>
    <w:rsid w:val="00504842"/>
    <w:rsid w:val="005049C0"/>
    <w:rsid w:val="005049D4"/>
    <w:rsid w:val="00504A0E"/>
    <w:rsid w:val="00504EBB"/>
    <w:rsid w:val="00504F34"/>
    <w:rsid w:val="00505081"/>
    <w:rsid w:val="005051B6"/>
    <w:rsid w:val="00505203"/>
    <w:rsid w:val="005052CF"/>
    <w:rsid w:val="005052E1"/>
    <w:rsid w:val="00505546"/>
    <w:rsid w:val="005055FD"/>
    <w:rsid w:val="005056A1"/>
    <w:rsid w:val="00505701"/>
    <w:rsid w:val="0050575B"/>
    <w:rsid w:val="00505919"/>
    <w:rsid w:val="00505936"/>
    <w:rsid w:val="00505AEF"/>
    <w:rsid w:val="00505C14"/>
    <w:rsid w:val="00505C53"/>
    <w:rsid w:val="00505EE0"/>
    <w:rsid w:val="00505FD0"/>
    <w:rsid w:val="00506093"/>
    <w:rsid w:val="005060B6"/>
    <w:rsid w:val="005060F7"/>
    <w:rsid w:val="0050615E"/>
    <w:rsid w:val="00506231"/>
    <w:rsid w:val="005066B1"/>
    <w:rsid w:val="005067B6"/>
    <w:rsid w:val="00506868"/>
    <w:rsid w:val="00506AC9"/>
    <w:rsid w:val="00506B36"/>
    <w:rsid w:val="00506E12"/>
    <w:rsid w:val="00506E33"/>
    <w:rsid w:val="00506E53"/>
    <w:rsid w:val="00506FB9"/>
    <w:rsid w:val="00507024"/>
    <w:rsid w:val="00507155"/>
    <w:rsid w:val="00507164"/>
    <w:rsid w:val="00507487"/>
    <w:rsid w:val="00507659"/>
    <w:rsid w:val="00507713"/>
    <w:rsid w:val="0050772F"/>
    <w:rsid w:val="0050784C"/>
    <w:rsid w:val="0050799C"/>
    <w:rsid w:val="00507A69"/>
    <w:rsid w:val="00507AA4"/>
    <w:rsid w:val="00507AAD"/>
    <w:rsid w:val="00507AB9"/>
    <w:rsid w:val="00507BE3"/>
    <w:rsid w:val="00507BF3"/>
    <w:rsid w:val="00507C83"/>
    <w:rsid w:val="00507E1F"/>
    <w:rsid w:val="00507EAA"/>
    <w:rsid w:val="00507FB5"/>
    <w:rsid w:val="00507FCA"/>
    <w:rsid w:val="00507FD5"/>
    <w:rsid w:val="0051008B"/>
    <w:rsid w:val="00510223"/>
    <w:rsid w:val="005102D2"/>
    <w:rsid w:val="005103CF"/>
    <w:rsid w:val="005103F9"/>
    <w:rsid w:val="00510553"/>
    <w:rsid w:val="00510656"/>
    <w:rsid w:val="00510747"/>
    <w:rsid w:val="00510753"/>
    <w:rsid w:val="00510A0C"/>
    <w:rsid w:val="00510A5F"/>
    <w:rsid w:val="00510AAF"/>
    <w:rsid w:val="00510B0F"/>
    <w:rsid w:val="00510BA8"/>
    <w:rsid w:val="00510C00"/>
    <w:rsid w:val="00510CC9"/>
    <w:rsid w:val="00510DF5"/>
    <w:rsid w:val="00510E56"/>
    <w:rsid w:val="00510F30"/>
    <w:rsid w:val="00510F5D"/>
    <w:rsid w:val="005111A0"/>
    <w:rsid w:val="00511211"/>
    <w:rsid w:val="005112D7"/>
    <w:rsid w:val="005115CD"/>
    <w:rsid w:val="005115F9"/>
    <w:rsid w:val="0051177D"/>
    <w:rsid w:val="00511953"/>
    <w:rsid w:val="00511A01"/>
    <w:rsid w:val="00511A44"/>
    <w:rsid w:val="00511A7E"/>
    <w:rsid w:val="00511B7D"/>
    <w:rsid w:val="00511C2C"/>
    <w:rsid w:val="00511DE1"/>
    <w:rsid w:val="00511E1D"/>
    <w:rsid w:val="00511FF0"/>
    <w:rsid w:val="00512209"/>
    <w:rsid w:val="0051232B"/>
    <w:rsid w:val="00512474"/>
    <w:rsid w:val="00512528"/>
    <w:rsid w:val="005125B4"/>
    <w:rsid w:val="005126A7"/>
    <w:rsid w:val="00512747"/>
    <w:rsid w:val="0051280B"/>
    <w:rsid w:val="00512A2C"/>
    <w:rsid w:val="00512C64"/>
    <w:rsid w:val="00512D11"/>
    <w:rsid w:val="00512EBF"/>
    <w:rsid w:val="00513113"/>
    <w:rsid w:val="00513273"/>
    <w:rsid w:val="005133AB"/>
    <w:rsid w:val="00513499"/>
    <w:rsid w:val="005138BA"/>
    <w:rsid w:val="00513A70"/>
    <w:rsid w:val="00513BE6"/>
    <w:rsid w:val="00513E8F"/>
    <w:rsid w:val="00514091"/>
    <w:rsid w:val="005141D7"/>
    <w:rsid w:val="005143C9"/>
    <w:rsid w:val="0051452E"/>
    <w:rsid w:val="005146A1"/>
    <w:rsid w:val="005146FE"/>
    <w:rsid w:val="00514767"/>
    <w:rsid w:val="005149EF"/>
    <w:rsid w:val="00514A97"/>
    <w:rsid w:val="00514C43"/>
    <w:rsid w:val="00514DE8"/>
    <w:rsid w:val="00514ECE"/>
    <w:rsid w:val="00514FC1"/>
    <w:rsid w:val="00515270"/>
    <w:rsid w:val="0051533D"/>
    <w:rsid w:val="0051534E"/>
    <w:rsid w:val="005153E1"/>
    <w:rsid w:val="005154B1"/>
    <w:rsid w:val="005155EE"/>
    <w:rsid w:val="00515650"/>
    <w:rsid w:val="00515764"/>
    <w:rsid w:val="005158D8"/>
    <w:rsid w:val="005159CB"/>
    <w:rsid w:val="00515A04"/>
    <w:rsid w:val="00515A66"/>
    <w:rsid w:val="00515A6C"/>
    <w:rsid w:val="00515ABD"/>
    <w:rsid w:val="00515B84"/>
    <w:rsid w:val="00515C05"/>
    <w:rsid w:val="005162F4"/>
    <w:rsid w:val="005163EB"/>
    <w:rsid w:val="0051642D"/>
    <w:rsid w:val="00516465"/>
    <w:rsid w:val="005164A8"/>
    <w:rsid w:val="0051659D"/>
    <w:rsid w:val="005165BE"/>
    <w:rsid w:val="00516682"/>
    <w:rsid w:val="0051670D"/>
    <w:rsid w:val="00516754"/>
    <w:rsid w:val="00516781"/>
    <w:rsid w:val="005167B7"/>
    <w:rsid w:val="00516865"/>
    <w:rsid w:val="00516967"/>
    <w:rsid w:val="0051697E"/>
    <w:rsid w:val="00516AA1"/>
    <w:rsid w:val="00516E5F"/>
    <w:rsid w:val="00516E9B"/>
    <w:rsid w:val="00516EF9"/>
    <w:rsid w:val="00516F52"/>
    <w:rsid w:val="005170D1"/>
    <w:rsid w:val="005170D3"/>
    <w:rsid w:val="005171AB"/>
    <w:rsid w:val="005171B5"/>
    <w:rsid w:val="005172E5"/>
    <w:rsid w:val="00517467"/>
    <w:rsid w:val="005175C0"/>
    <w:rsid w:val="00517715"/>
    <w:rsid w:val="00517721"/>
    <w:rsid w:val="005178A5"/>
    <w:rsid w:val="00517971"/>
    <w:rsid w:val="005179AD"/>
    <w:rsid w:val="00517C74"/>
    <w:rsid w:val="00517CAB"/>
    <w:rsid w:val="00517CC7"/>
    <w:rsid w:val="005200AE"/>
    <w:rsid w:val="005200BC"/>
    <w:rsid w:val="00520131"/>
    <w:rsid w:val="00520177"/>
    <w:rsid w:val="005201F6"/>
    <w:rsid w:val="00520258"/>
    <w:rsid w:val="005203FB"/>
    <w:rsid w:val="00520493"/>
    <w:rsid w:val="00520499"/>
    <w:rsid w:val="0052082B"/>
    <w:rsid w:val="00520A18"/>
    <w:rsid w:val="00520A98"/>
    <w:rsid w:val="00520AD3"/>
    <w:rsid w:val="00520AFF"/>
    <w:rsid w:val="00520DFD"/>
    <w:rsid w:val="00520F27"/>
    <w:rsid w:val="00520F71"/>
    <w:rsid w:val="005210D3"/>
    <w:rsid w:val="00521165"/>
    <w:rsid w:val="005213ED"/>
    <w:rsid w:val="005214C2"/>
    <w:rsid w:val="005215E8"/>
    <w:rsid w:val="005218CE"/>
    <w:rsid w:val="00521989"/>
    <w:rsid w:val="00521A55"/>
    <w:rsid w:val="00521CD0"/>
    <w:rsid w:val="00521D6E"/>
    <w:rsid w:val="00521DDF"/>
    <w:rsid w:val="00521F17"/>
    <w:rsid w:val="00521F40"/>
    <w:rsid w:val="00521FEB"/>
    <w:rsid w:val="0052261B"/>
    <w:rsid w:val="0052261F"/>
    <w:rsid w:val="00522677"/>
    <w:rsid w:val="00522697"/>
    <w:rsid w:val="005227D3"/>
    <w:rsid w:val="00522837"/>
    <w:rsid w:val="005229CA"/>
    <w:rsid w:val="005229E9"/>
    <w:rsid w:val="00522A50"/>
    <w:rsid w:val="00522AF8"/>
    <w:rsid w:val="00522B93"/>
    <w:rsid w:val="00522ECB"/>
    <w:rsid w:val="00523350"/>
    <w:rsid w:val="005235EE"/>
    <w:rsid w:val="00523601"/>
    <w:rsid w:val="005237AF"/>
    <w:rsid w:val="005239B4"/>
    <w:rsid w:val="005239F4"/>
    <w:rsid w:val="00523AA0"/>
    <w:rsid w:val="00523B37"/>
    <w:rsid w:val="00523BE4"/>
    <w:rsid w:val="00523BF6"/>
    <w:rsid w:val="00523C21"/>
    <w:rsid w:val="00523CA8"/>
    <w:rsid w:val="005240CF"/>
    <w:rsid w:val="005240D4"/>
    <w:rsid w:val="005241F4"/>
    <w:rsid w:val="00524219"/>
    <w:rsid w:val="00524338"/>
    <w:rsid w:val="005245E0"/>
    <w:rsid w:val="005245F2"/>
    <w:rsid w:val="00524687"/>
    <w:rsid w:val="005248C1"/>
    <w:rsid w:val="00524A3B"/>
    <w:rsid w:val="00524A97"/>
    <w:rsid w:val="00524B35"/>
    <w:rsid w:val="00524B45"/>
    <w:rsid w:val="00524B84"/>
    <w:rsid w:val="00524D27"/>
    <w:rsid w:val="00525110"/>
    <w:rsid w:val="0052534A"/>
    <w:rsid w:val="0052537B"/>
    <w:rsid w:val="00525384"/>
    <w:rsid w:val="00525463"/>
    <w:rsid w:val="0052554D"/>
    <w:rsid w:val="00525660"/>
    <w:rsid w:val="00525889"/>
    <w:rsid w:val="00525A51"/>
    <w:rsid w:val="00525B63"/>
    <w:rsid w:val="00525BD9"/>
    <w:rsid w:val="00525C32"/>
    <w:rsid w:val="00525F20"/>
    <w:rsid w:val="00525FAD"/>
    <w:rsid w:val="00525FFD"/>
    <w:rsid w:val="0052616A"/>
    <w:rsid w:val="0052627E"/>
    <w:rsid w:val="0052633D"/>
    <w:rsid w:val="0052634F"/>
    <w:rsid w:val="00526445"/>
    <w:rsid w:val="005264CD"/>
    <w:rsid w:val="005264ED"/>
    <w:rsid w:val="0052654A"/>
    <w:rsid w:val="00526BB8"/>
    <w:rsid w:val="00526BF8"/>
    <w:rsid w:val="00526C99"/>
    <w:rsid w:val="00526DE4"/>
    <w:rsid w:val="00526E40"/>
    <w:rsid w:val="00526F73"/>
    <w:rsid w:val="00526F97"/>
    <w:rsid w:val="00527099"/>
    <w:rsid w:val="00527246"/>
    <w:rsid w:val="0052739E"/>
    <w:rsid w:val="00527732"/>
    <w:rsid w:val="005277B3"/>
    <w:rsid w:val="005278F0"/>
    <w:rsid w:val="00527966"/>
    <w:rsid w:val="00527990"/>
    <w:rsid w:val="00527AF1"/>
    <w:rsid w:val="00527BE4"/>
    <w:rsid w:val="00527E2C"/>
    <w:rsid w:val="005300E6"/>
    <w:rsid w:val="00530221"/>
    <w:rsid w:val="00530371"/>
    <w:rsid w:val="005303AC"/>
    <w:rsid w:val="00530523"/>
    <w:rsid w:val="005306AC"/>
    <w:rsid w:val="00530854"/>
    <w:rsid w:val="00530857"/>
    <w:rsid w:val="005308BC"/>
    <w:rsid w:val="00530986"/>
    <w:rsid w:val="00530AB1"/>
    <w:rsid w:val="00530C89"/>
    <w:rsid w:val="00530EA6"/>
    <w:rsid w:val="00530F63"/>
    <w:rsid w:val="0053113A"/>
    <w:rsid w:val="005314C5"/>
    <w:rsid w:val="005314D9"/>
    <w:rsid w:val="005314EC"/>
    <w:rsid w:val="00531589"/>
    <w:rsid w:val="00531646"/>
    <w:rsid w:val="00531794"/>
    <w:rsid w:val="005317D9"/>
    <w:rsid w:val="005317E0"/>
    <w:rsid w:val="005318DE"/>
    <w:rsid w:val="0053192E"/>
    <w:rsid w:val="00531966"/>
    <w:rsid w:val="00531B48"/>
    <w:rsid w:val="00531BE2"/>
    <w:rsid w:val="00531D1D"/>
    <w:rsid w:val="00531FC3"/>
    <w:rsid w:val="00531FEA"/>
    <w:rsid w:val="005320EF"/>
    <w:rsid w:val="0053225C"/>
    <w:rsid w:val="005322F7"/>
    <w:rsid w:val="0053233B"/>
    <w:rsid w:val="005324B4"/>
    <w:rsid w:val="00532575"/>
    <w:rsid w:val="005326C3"/>
    <w:rsid w:val="0053287F"/>
    <w:rsid w:val="00532A0A"/>
    <w:rsid w:val="00532A45"/>
    <w:rsid w:val="00532D02"/>
    <w:rsid w:val="00532D66"/>
    <w:rsid w:val="00532E43"/>
    <w:rsid w:val="00532F06"/>
    <w:rsid w:val="00532FF9"/>
    <w:rsid w:val="00533138"/>
    <w:rsid w:val="0053338F"/>
    <w:rsid w:val="00533395"/>
    <w:rsid w:val="005333DB"/>
    <w:rsid w:val="00533468"/>
    <w:rsid w:val="00533619"/>
    <w:rsid w:val="005336A1"/>
    <w:rsid w:val="00533716"/>
    <w:rsid w:val="005337E0"/>
    <w:rsid w:val="0053389C"/>
    <w:rsid w:val="00533CA8"/>
    <w:rsid w:val="00533E3B"/>
    <w:rsid w:val="00533E48"/>
    <w:rsid w:val="00533E91"/>
    <w:rsid w:val="0053416E"/>
    <w:rsid w:val="00534257"/>
    <w:rsid w:val="00534476"/>
    <w:rsid w:val="00534497"/>
    <w:rsid w:val="005344CE"/>
    <w:rsid w:val="00534681"/>
    <w:rsid w:val="005346FE"/>
    <w:rsid w:val="0053474E"/>
    <w:rsid w:val="005347B2"/>
    <w:rsid w:val="005347C8"/>
    <w:rsid w:val="0053496C"/>
    <w:rsid w:val="00534AFF"/>
    <w:rsid w:val="00534D30"/>
    <w:rsid w:val="00534E1E"/>
    <w:rsid w:val="00534FAE"/>
    <w:rsid w:val="005351CF"/>
    <w:rsid w:val="0053532B"/>
    <w:rsid w:val="00535370"/>
    <w:rsid w:val="00535539"/>
    <w:rsid w:val="00535588"/>
    <w:rsid w:val="005357A9"/>
    <w:rsid w:val="00535812"/>
    <w:rsid w:val="00535928"/>
    <w:rsid w:val="00535A84"/>
    <w:rsid w:val="00535CF0"/>
    <w:rsid w:val="00535E8D"/>
    <w:rsid w:val="0053602F"/>
    <w:rsid w:val="0053610D"/>
    <w:rsid w:val="005361DB"/>
    <w:rsid w:val="00536262"/>
    <w:rsid w:val="00536464"/>
    <w:rsid w:val="00536597"/>
    <w:rsid w:val="00536866"/>
    <w:rsid w:val="00536B1D"/>
    <w:rsid w:val="00536B67"/>
    <w:rsid w:val="00536E13"/>
    <w:rsid w:val="00536E57"/>
    <w:rsid w:val="00536EC3"/>
    <w:rsid w:val="0053723F"/>
    <w:rsid w:val="0053748A"/>
    <w:rsid w:val="00537537"/>
    <w:rsid w:val="005375A8"/>
    <w:rsid w:val="0053771E"/>
    <w:rsid w:val="0053787D"/>
    <w:rsid w:val="005378EC"/>
    <w:rsid w:val="005378F3"/>
    <w:rsid w:val="00537942"/>
    <w:rsid w:val="00537ABB"/>
    <w:rsid w:val="00537BD0"/>
    <w:rsid w:val="00537C88"/>
    <w:rsid w:val="00537C8D"/>
    <w:rsid w:val="00537C98"/>
    <w:rsid w:val="00537D1C"/>
    <w:rsid w:val="00537DCF"/>
    <w:rsid w:val="00537EA9"/>
    <w:rsid w:val="00537EDA"/>
    <w:rsid w:val="0054009C"/>
    <w:rsid w:val="005400E0"/>
    <w:rsid w:val="0054029D"/>
    <w:rsid w:val="0054030F"/>
    <w:rsid w:val="00540342"/>
    <w:rsid w:val="0054045F"/>
    <w:rsid w:val="00540542"/>
    <w:rsid w:val="005405C3"/>
    <w:rsid w:val="00540638"/>
    <w:rsid w:val="00540703"/>
    <w:rsid w:val="005408F8"/>
    <w:rsid w:val="00540C86"/>
    <w:rsid w:val="00540DB0"/>
    <w:rsid w:val="00540DC1"/>
    <w:rsid w:val="00540E3A"/>
    <w:rsid w:val="00540F20"/>
    <w:rsid w:val="00540FF1"/>
    <w:rsid w:val="005410D1"/>
    <w:rsid w:val="00541104"/>
    <w:rsid w:val="00541136"/>
    <w:rsid w:val="0054126B"/>
    <w:rsid w:val="005413C4"/>
    <w:rsid w:val="005414ED"/>
    <w:rsid w:val="005414FF"/>
    <w:rsid w:val="0054151A"/>
    <w:rsid w:val="00541640"/>
    <w:rsid w:val="005417B7"/>
    <w:rsid w:val="005418BB"/>
    <w:rsid w:val="005418E4"/>
    <w:rsid w:val="00541B50"/>
    <w:rsid w:val="00541BEE"/>
    <w:rsid w:val="00541CE6"/>
    <w:rsid w:val="00541E36"/>
    <w:rsid w:val="0054206B"/>
    <w:rsid w:val="005420B3"/>
    <w:rsid w:val="005421D1"/>
    <w:rsid w:val="005422A6"/>
    <w:rsid w:val="005422C6"/>
    <w:rsid w:val="005422E2"/>
    <w:rsid w:val="0054244A"/>
    <w:rsid w:val="005424E7"/>
    <w:rsid w:val="0054250C"/>
    <w:rsid w:val="00542A71"/>
    <w:rsid w:val="00542D62"/>
    <w:rsid w:val="00543004"/>
    <w:rsid w:val="0054308E"/>
    <w:rsid w:val="00543105"/>
    <w:rsid w:val="00543523"/>
    <w:rsid w:val="005435E2"/>
    <w:rsid w:val="00543852"/>
    <w:rsid w:val="005438B8"/>
    <w:rsid w:val="00543CBC"/>
    <w:rsid w:val="00543E20"/>
    <w:rsid w:val="0054401B"/>
    <w:rsid w:val="00544035"/>
    <w:rsid w:val="005440A5"/>
    <w:rsid w:val="00544181"/>
    <w:rsid w:val="0054418B"/>
    <w:rsid w:val="00544383"/>
    <w:rsid w:val="005443C1"/>
    <w:rsid w:val="005444BD"/>
    <w:rsid w:val="005444C6"/>
    <w:rsid w:val="00544541"/>
    <w:rsid w:val="0054459F"/>
    <w:rsid w:val="0054491D"/>
    <w:rsid w:val="00544935"/>
    <w:rsid w:val="00544DB2"/>
    <w:rsid w:val="00544E77"/>
    <w:rsid w:val="00544FA9"/>
    <w:rsid w:val="00544FB5"/>
    <w:rsid w:val="005450E5"/>
    <w:rsid w:val="00545671"/>
    <w:rsid w:val="00545699"/>
    <w:rsid w:val="005456A9"/>
    <w:rsid w:val="005457E9"/>
    <w:rsid w:val="0054583E"/>
    <w:rsid w:val="005458FA"/>
    <w:rsid w:val="00545947"/>
    <w:rsid w:val="00545BA0"/>
    <w:rsid w:val="00545CB1"/>
    <w:rsid w:val="00545E29"/>
    <w:rsid w:val="00545FB2"/>
    <w:rsid w:val="00545FBC"/>
    <w:rsid w:val="00546110"/>
    <w:rsid w:val="0054649E"/>
    <w:rsid w:val="0054667F"/>
    <w:rsid w:val="005466BB"/>
    <w:rsid w:val="005466D2"/>
    <w:rsid w:val="005466EE"/>
    <w:rsid w:val="00546833"/>
    <w:rsid w:val="00546A90"/>
    <w:rsid w:val="00546A95"/>
    <w:rsid w:val="00546D4B"/>
    <w:rsid w:val="00546F32"/>
    <w:rsid w:val="005470BF"/>
    <w:rsid w:val="005470C3"/>
    <w:rsid w:val="005470F3"/>
    <w:rsid w:val="00547185"/>
    <w:rsid w:val="005471D6"/>
    <w:rsid w:val="00547780"/>
    <w:rsid w:val="005479E2"/>
    <w:rsid w:val="00547BB1"/>
    <w:rsid w:val="00547C59"/>
    <w:rsid w:val="00547D1B"/>
    <w:rsid w:val="00547E4C"/>
    <w:rsid w:val="00547E87"/>
    <w:rsid w:val="00547F11"/>
    <w:rsid w:val="0054B622"/>
    <w:rsid w:val="0054ECB0"/>
    <w:rsid w:val="0055004A"/>
    <w:rsid w:val="00550270"/>
    <w:rsid w:val="005502C4"/>
    <w:rsid w:val="005503AD"/>
    <w:rsid w:val="00550566"/>
    <w:rsid w:val="00550683"/>
    <w:rsid w:val="00550713"/>
    <w:rsid w:val="00550964"/>
    <w:rsid w:val="00550990"/>
    <w:rsid w:val="00550A54"/>
    <w:rsid w:val="00550B99"/>
    <w:rsid w:val="00550E65"/>
    <w:rsid w:val="00550E88"/>
    <w:rsid w:val="00550FBB"/>
    <w:rsid w:val="00550FD8"/>
    <w:rsid w:val="005511E5"/>
    <w:rsid w:val="0055120E"/>
    <w:rsid w:val="005514E0"/>
    <w:rsid w:val="00551592"/>
    <w:rsid w:val="005516C6"/>
    <w:rsid w:val="0055175F"/>
    <w:rsid w:val="0055194E"/>
    <w:rsid w:val="005519C1"/>
    <w:rsid w:val="005519DA"/>
    <w:rsid w:val="00551AA6"/>
    <w:rsid w:val="00551B76"/>
    <w:rsid w:val="00551ED9"/>
    <w:rsid w:val="005520B3"/>
    <w:rsid w:val="005520E4"/>
    <w:rsid w:val="00552210"/>
    <w:rsid w:val="0055225F"/>
    <w:rsid w:val="00552263"/>
    <w:rsid w:val="0055231C"/>
    <w:rsid w:val="005523B8"/>
    <w:rsid w:val="00552704"/>
    <w:rsid w:val="0055288D"/>
    <w:rsid w:val="005528F1"/>
    <w:rsid w:val="00552A60"/>
    <w:rsid w:val="00552B63"/>
    <w:rsid w:val="00552BFC"/>
    <w:rsid w:val="00552D7D"/>
    <w:rsid w:val="00552F8E"/>
    <w:rsid w:val="005532A5"/>
    <w:rsid w:val="00553414"/>
    <w:rsid w:val="005535BB"/>
    <w:rsid w:val="005536AD"/>
    <w:rsid w:val="00553AA5"/>
    <w:rsid w:val="00553B68"/>
    <w:rsid w:val="00553B8E"/>
    <w:rsid w:val="00553CAC"/>
    <w:rsid w:val="00553CF9"/>
    <w:rsid w:val="00553FF9"/>
    <w:rsid w:val="00554093"/>
    <w:rsid w:val="0055409B"/>
    <w:rsid w:val="005541A0"/>
    <w:rsid w:val="00554318"/>
    <w:rsid w:val="00554321"/>
    <w:rsid w:val="00554559"/>
    <w:rsid w:val="00554597"/>
    <w:rsid w:val="005545D7"/>
    <w:rsid w:val="005545ED"/>
    <w:rsid w:val="00554678"/>
    <w:rsid w:val="005547D4"/>
    <w:rsid w:val="0055485E"/>
    <w:rsid w:val="00554900"/>
    <w:rsid w:val="0055497F"/>
    <w:rsid w:val="00554B40"/>
    <w:rsid w:val="00554C25"/>
    <w:rsid w:val="00554D35"/>
    <w:rsid w:val="00554DB3"/>
    <w:rsid w:val="00554F19"/>
    <w:rsid w:val="00554F36"/>
    <w:rsid w:val="00554F56"/>
    <w:rsid w:val="00555047"/>
    <w:rsid w:val="0055505B"/>
    <w:rsid w:val="00555179"/>
    <w:rsid w:val="00555B36"/>
    <w:rsid w:val="00555BA8"/>
    <w:rsid w:val="00555C6D"/>
    <w:rsid w:val="005560CD"/>
    <w:rsid w:val="005560F1"/>
    <w:rsid w:val="00556138"/>
    <w:rsid w:val="005561E9"/>
    <w:rsid w:val="0055626C"/>
    <w:rsid w:val="005566A3"/>
    <w:rsid w:val="005567B8"/>
    <w:rsid w:val="00556898"/>
    <w:rsid w:val="00556901"/>
    <w:rsid w:val="0055695C"/>
    <w:rsid w:val="005569E5"/>
    <w:rsid w:val="00556ABF"/>
    <w:rsid w:val="00556DE7"/>
    <w:rsid w:val="00556DF9"/>
    <w:rsid w:val="00556EB6"/>
    <w:rsid w:val="005571A6"/>
    <w:rsid w:val="00557318"/>
    <w:rsid w:val="0055735A"/>
    <w:rsid w:val="005573CD"/>
    <w:rsid w:val="00557597"/>
    <w:rsid w:val="00557747"/>
    <w:rsid w:val="00557BCE"/>
    <w:rsid w:val="00557E51"/>
    <w:rsid w:val="00557FC4"/>
    <w:rsid w:val="00560016"/>
    <w:rsid w:val="00560077"/>
    <w:rsid w:val="00560084"/>
    <w:rsid w:val="005601B6"/>
    <w:rsid w:val="00560203"/>
    <w:rsid w:val="00560408"/>
    <w:rsid w:val="005609B1"/>
    <w:rsid w:val="005609DF"/>
    <w:rsid w:val="00560A1D"/>
    <w:rsid w:val="00560A74"/>
    <w:rsid w:val="00560B49"/>
    <w:rsid w:val="00560B7A"/>
    <w:rsid w:val="00560D20"/>
    <w:rsid w:val="00560E31"/>
    <w:rsid w:val="00560E8A"/>
    <w:rsid w:val="00560F3A"/>
    <w:rsid w:val="00560FC0"/>
    <w:rsid w:val="0056127C"/>
    <w:rsid w:val="005612B7"/>
    <w:rsid w:val="005613A8"/>
    <w:rsid w:val="00561635"/>
    <w:rsid w:val="005617B3"/>
    <w:rsid w:val="005618B1"/>
    <w:rsid w:val="005618E7"/>
    <w:rsid w:val="00561A33"/>
    <w:rsid w:val="00561A7F"/>
    <w:rsid w:val="00561ACB"/>
    <w:rsid w:val="00561ECC"/>
    <w:rsid w:val="005621D1"/>
    <w:rsid w:val="005621D8"/>
    <w:rsid w:val="0056230C"/>
    <w:rsid w:val="00562498"/>
    <w:rsid w:val="00562559"/>
    <w:rsid w:val="005625D6"/>
    <w:rsid w:val="00562661"/>
    <w:rsid w:val="005626A0"/>
    <w:rsid w:val="0056270C"/>
    <w:rsid w:val="00562808"/>
    <w:rsid w:val="00562A7D"/>
    <w:rsid w:val="00562C29"/>
    <w:rsid w:val="00562CC4"/>
    <w:rsid w:val="00562D43"/>
    <w:rsid w:val="00562EBB"/>
    <w:rsid w:val="00563000"/>
    <w:rsid w:val="0056300B"/>
    <w:rsid w:val="005630D1"/>
    <w:rsid w:val="00563207"/>
    <w:rsid w:val="005634B5"/>
    <w:rsid w:val="00563529"/>
    <w:rsid w:val="0056379E"/>
    <w:rsid w:val="005637E4"/>
    <w:rsid w:val="0056393A"/>
    <w:rsid w:val="00563ADB"/>
    <w:rsid w:val="00563BE6"/>
    <w:rsid w:val="00563D3E"/>
    <w:rsid w:val="00563D3F"/>
    <w:rsid w:val="00563E18"/>
    <w:rsid w:val="00564330"/>
    <w:rsid w:val="005643EA"/>
    <w:rsid w:val="00564469"/>
    <w:rsid w:val="005645A8"/>
    <w:rsid w:val="005645AC"/>
    <w:rsid w:val="0056470B"/>
    <w:rsid w:val="00564A67"/>
    <w:rsid w:val="00564B3A"/>
    <w:rsid w:val="00564B60"/>
    <w:rsid w:val="00564BAF"/>
    <w:rsid w:val="00564DBE"/>
    <w:rsid w:val="00564DD7"/>
    <w:rsid w:val="00564E41"/>
    <w:rsid w:val="0056532A"/>
    <w:rsid w:val="00565689"/>
    <w:rsid w:val="0056568A"/>
    <w:rsid w:val="00565717"/>
    <w:rsid w:val="00565761"/>
    <w:rsid w:val="00565886"/>
    <w:rsid w:val="00565A1B"/>
    <w:rsid w:val="00565A47"/>
    <w:rsid w:val="00565A6C"/>
    <w:rsid w:val="00565BDA"/>
    <w:rsid w:val="00565EAB"/>
    <w:rsid w:val="005660F8"/>
    <w:rsid w:val="00566328"/>
    <w:rsid w:val="00566375"/>
    <w:rsid w:val="0056639A"/>
    <w:rsid w:val="005663E2"/>
    <w:rsid w:val="0056699B"/>
    <w:rsid w:val="00566A0A"/>
    <w:rsid w:val="00566B1D"/>
    <w:rsid w:val="00566FCA"/>
    <w:rsid w:val="00567231"/>
    <w:rsid w:val="0056725B"/>
    <w:rsid w:val="0056728F"/>
    <w:rsid w:val="00567497"/>
    <w:rsid w:val="005674B1"/>
    <w:rsid w:val="0056757A"/>
    <w:rsid w:val="005675C7"/>
    <w:rsid w:val="005675D4"/>
    <w:rsid w:val="00567700"/>
    <w:rsid w:val="00567908"/>
    <w:rsid w:val="005679C0"/>
    <w:rsid w:val="00567A5E"/>
    <w:rsid w:val="00567ACA"/>
    <w:rsid w:val="00567B28"/>
    <w:rsid w:val="005700B2"/>
    <w:rsid w:val="00570181"/>
    <w:rsid w:val="00570193"/>
    <w:rsid w:val="0057019A"/>
    <w:rsid w:val="0057029A"/>
    <w:rsid w:val="005703FC"/>
    <w:rsid w:val="005706EE"/>
    <w:rsid w:val="0057089E"/>
    <w:rsid w:val="00570A97"/>
    <w:rsid w:val="00570B49"/>
    <w:rsid w:val="00570B6C"/>
    <w:rsid w:val="00570C28"/>
    <w:rsid w:val="00570CAF"/>
    <w:rsid w:val="00570E59"/>
    <w:rsid w:val="00570E92"/>
    <w:rsid w:val="00570FE7"/>
    <w:rsid w:val="00571104"/>
    <w:rsid w:val="00571294"/>
    <w:rsid w:val="0057165F"/>
    <w:rsid w:val="00571938"/>
    <w:rsid w:val="00571A1B"/>
    <w:rsid w:val="00571C11"/>
    <w:rsid w:val="00571C65"/>
    <w:rsid w:val="00571E60"/>
    <w:rsid w:val="00571F3A"/>
    <w:rsid w:val="00571FC0"/>
    <w:rsid w:val="0057210E"/>
    <w:rsid w:val="0057218A"/>
    <w:rsid w:val="00572226"/>
    <w:rsid w:val="00572339"/>
    <w:rsid w:val="005723A7"/>
    <w:rsid w:val="005724DB"/>
    <w:rsid w:val="005725F3"/>
    <w:rsid w:val="00572889"/>
    <w:rsid w:val="00572E2A"/>
    <w:rsid w:val="0057309E"/>
    <w:rsid w:val="0057330A"/>
    <w:rsid w:val="005733E6"/>
    <w:rsid w:val="005735C1"/>
    <w:rsid w:val="00573710"/>
    <w:rsid w:val="00573754"/>
    <w:rsid w:val="00573796"/>
    <w:rsid w:val="005737F1"/>
    <w:rsid w:val="00573A10"/>
    <w:rsid w:val="00573BB2"/>
    <w:rsid w:val="00573E19"/>
    <w:rsid w:val="00573E93"/>
    <w:rsid w:val="00574050"/>
    <w:rsid w:val="00574127"/>
    <w:rsid w:val="0057420E"/>
    <w:rsid w:val="00574255"/>
    <w:rsid w:val="0057436F"/>
    <w:rsid w:val="00574446"/>
    <w:rsid w:val="0057445F"/>
    <w:rsid w:val="00574729"/>
    <w:rsid w:val="005747E2"/>
    <w:rsid w:val="00574917"/>
    <w:rsid w:val="0057494C"/>
    <w:rsid w:val="005749B1"/>
    <w:rsid w:val="00574A6E"/>
    <w:rsid w:val="00574AD3"/>
    <w:rsid w:val="00574B49"/>
    <w:rsid w:val="00574B7D"/>
    <w:rsid w:val="00574CEB"/>
    <w:rsid w:val="00574DDB"/>
    <w:rsid w:val="00574EAF"/>
    <w:rsid w:val="00574FC8"/>
    <w:rsid w:val="00575016"/>
    <w:rsid w:val="0057586F"/>
    <w:rsid w:val="005759B3"/>
    <w:rsid w:val="00575A26"/>
    <w:rsid w:val="00575A6F"/>
    <w:rsid w:val="00575AD0"/>
    <w:rsid w:val="00575C3E"/>
    <w:rsid w:val="00575C55"/>
    <w:rsid w:val="00575C9A"/>
    <w:rsid w:val="00575D09"/>
    <w:rsid w:val="00575F51"/>
    <w:rsid w:val="00576027"/>
    <w:rsid w:val="0057609B"/>
    <w:rsid w:val="00576160"/>
    <w:rsid w:val="005762D7"/>
    <w:rsid w:val="00576344"/>
    <w:rsid w:val="005764BD"/>
    <w:rsid w:val="005765D4"/>
    <w:rsid w:val="0057670A"/>
    <w:rsid w:val="0057686D"/>
    <w:rsid w:val="005768B1"/>
    <w:rsid w:val="005768C8"/>
    <w:rsid w:val="00576921"/>
    <w:rsid w:val="005769EA"/>
    <w:rsid w:val="00576B93"/>
    <w:rsid w:val="00576B9A"/>
    <w:rsid w:val="00576C58"/>
    <w:rsid w:val="00576CDA"/>
    <w:rsid w:val="00576D0A"/>
    <w:rsid w:val="00576D54"/>
    <w:rsid w:val="00576F7A"/>
    <w:rsid w:val="005771B8"/>
    <w:rsid w:val="00577325"/>
    <w:rsid w:val="005773B6"/>
    <w:rsid w:val="0057749E"/>
    <w:rsid w:val="0057797D"/>
    <w:rsid w:val="005779E5"/>
    <w:rsid w:val="00577A77"/>
    <w:rsid w:val="00577BCE"/>
    <w:rsid w:val="00577BF4"/>
    <w:rsid w:val="00577DD4"/>
    <w:rsid w:val="00577EB7"/>
    <w:rsid w:val="00577FC9"/>
    <w:rsid w:val="00580048"/>
    <w:rsid w:val="005800D2"/>
    <w:rsid w:val="00580134"/>
    <w:rsid w:val="005801E4"/>
    <w:rsid w:val="0058041E"/>
    <w:rsid w:val="00580453"/>
    <w:rsid w:val="005805A1"/>
    <w:rsid w:val="00580928"/>
    <w:rsid w:val="00580B60"/>
    <w:rsid w:val="00580C34"/>
    <w:rsid w:val="00580E8B"/>
    <w:rsid w:val="0058100E"/>
    <w:rsid w:val="005812C2"/>
    <w:rsid w:val="0058140C"/>
    <w:rsid w:val="005816B1"/>
    <w:rsid w:val="005818A5"/>
    <w:rsid w:val="00581915"/>
    <w:rsid w:val="0058195B"/>
    <w:rsid w:val="00581AB5"/>
    <w:rsid w:val="00581B19"/>
    <w:rsid w:val="00581B6C"/>
    <w:rsid w:val="00581BF7"/>
    <w:rsid w:val="00581F53"/>
    <w:rsid w:val="0058217F"/>
    <w:rsid w:val="00582240"/>
    <w:rsid w:val="00582558"/>
    <w:rsid w:val="005825DB"/>
    <w:rsid w:val="005825ED"/>
    <w:rsid w:val="0058271A"/>
    <w:rsid w:val="00582861"/>
    <w:rsid w:val="00582A32"/>
    <w:rsid w:val="00582A70"/>
    <w:rsid w:val="00582B9F"/>
    <w:rsid w:val="00582BC4"/>
    <w:rsid w:val="00582C0A"/>
    <w:rsid w:val="00582C44"/>
    <w:rsid w:val="00582C72"/>
    <w:rsid w:val="00582FF6"/>
    <w:rsid w:val="0058306B"/>
    <w:rsid w:val="0058310F"/>
    <w:rsid w:val="00583128"/>
    <w:rsid w:val="005832F4"/>
    <w:rsid w:val="0058335A"/>
    <w:rsid w:val="005833B7"/>
    <w:rsid w:val="005834B6"/>
    <w:rsid w:val="00583643"/>
    <w:rsid w:val="00583992"/>
    <w:rsid w:val="00583A06"/>
    <w:rsid w:val="00583A23"/>
    <w:rsid w:val="00583B65"/>
    <w:rsid w:val="00583BB8"/>
    <w:rsid w:val="00583CDC"/>
    <w:rsid w:val="00583CEF"/>
    <w:rsid w:val="00583DCF"/>
    <w:rsid w:val="00583DE2"/>
    <w:rsid w:val="00583EB4"/>
    <w:rsid w:val="00583ECE"/>
    <w:rsid w:val="00583F60"/>
    <w:rsid w:val="005840B6"/>
    <w:rsid w:val="00584196"/>
    <w:rsid w:val="005841A3"/>
    <w:rsid w:val="00584486"/>
    <w:rsid w:val="005844A5"/>
    <w:rsid w:val="00584559"/>
    <w:rsid w:val="005845B7"/>
    <w:rsid w:val="00584623"/>
    <w:rsid w:val="00584652"/>
    <w:rsid w:val="005846E0"/>
    <w:rsid w:val="005847C5"/>
    <w:rsid w:val="005847D2"/>
    <w:rsid w:val="005849BE"/>
    <w:rsid w:val="00584AD1"/>
    <w:rsid w:val="00584DCA"/>
    <w:rsid w:val="00585062"/>
    <w:rsid w:val="005850D4"/>
    <w:rsid w:val="005851D7"/>
    <w:rsid w:val="0058524A"/>
    <w:rsid w:val="005852E3"/>
    <w:rsid w:val="005853ED"/>
    <w:rsid w:val="0058559D"/>
    <w:rsid w:val="005857B9"/>
    <w:rsid w:val="00585AE2"/>
    <w:rsid w:val="00585B48"/>
    <w:rsid w:val="00585C24"/>
    <w:rsid w:val="00585CC2"/>
    <w:rsid w:val="00585D31"/>
    <w:rsid w:val="00585D60"/>
    <w:rsid w:val="00585FA5"/>
    <w:rsid w:val="005861B6"/>
    <w:rsid w:val="0058642F"/>
    <w:rsid w:val="0058651B"/>
    <w:rsid w:val="00586586"/>
    <w:rsid w:val="0058673E"/>
    <w:rsid w:val="00586885"/>
    <w:rsid w:val="005869CE"/>
    <w:rsid w:val="00586B0A"/>
    <w:rsid w:val="00586B9C"/>
    <w:rsid w:val="00586C9C"/>
    <w:rsid w:val="00586D7A"/>
    <w:rsid w:val="00586F18"/>
    <w:rsid w:val="00586FC9"/>
    <w:rsid w:val="005870C4"/>
    <w:rsid w:val="0058717B"/>
    <w:rsid w:val="00587410"/>
    <w:rsid w:val="00587530"/>
    <w:rsid w:val="00587599"/>
    <w:rsid w:val="005875EC"/>
    <w:rsid w:val="005879A1"/>
    <w:rsid w:val="00587A9F"/>
    <w:rsid w:val="00587B11"/>
    <w:rsid w:val="00587B5B"/>
    <w:rsid w:val="00587BA1"/>
    <w:rsid w:val="00587C7B"/>
    <w:rsid w:val="00587D92"/>
    <w:rsid w:val="00587F58"/>
    <w:rsid w:val="00587FCA"/>
    <w:rsid w:val="00590156"/>
    <w:rsid w:val="005901BD"/>
    <w:rsid w:val="005902B6"/>
    <w:rsid w:val="005902D5"/>
    <w:rsid w:val="00590385"/>
    <w:rsid w:val="005904CE"/>
    <w:rsid w:val="0059050C"/>
    <w:rsid w:val="00590751"/>
    <w:rsid w:val="005908EF"/>
    <w:rsid w:val="00590A6B"/>
    <w:rsid w:val="00590C03"/>
    <w:rsid w:val="00590DC9"/>
    <w:rsid w:val="00590DD7"/>
    <w:rsid w:val="00590E86"/>
    <w:rsid w:val="00590F31"/>
    <w:rsid w:val="005910FD"/>
    <w:rsid w:val="005911E3"/>
    <w:rsid w:val="005912BD"/>
    <w:rsid w:val="00591371"/>
    <w:rsid w:val="005913C7"/>
    <w:rsid w:val="005913F8"/>
    <w:rsid w:val="005914B8"/>
    <w:rsid w:val="005916EA"/>
    <w:rsid w:val="00591729"/>
    <w:rsid w:val="0059177C"/>
    <w:rsid w:val="00591827"/>
    <w:rsid w:val="00591945"/>
    <w:rsid w:val="0059197F"/>
    <w:rsid w:val="00591D18"/>
    <w:rsid w:val="00591E49"/>
    <w:rsid w:val="00591EE5"/>
    <w:rsid w:val="00591FCF"/>
    <w:rsid w:val="005920F1"/>
    <w:rsid w:val="00592187"/>
    <w:rsid w:val="005921B9"/>
    <w:rsid w:val="005922F3"/>
    <w:rsid w:val="00592456"/>
    <w:rsid w:val="005924B0"/>
    <w:rsid w:val="00592588"/>
    <w:rsid w:val="0059270C"/>
    <w:rsid w:val="00592999"/>
    <w:rsid w:val="00592A52"/>
    <w:rsid w:val="00592A55"/>
    <w:rsid w:val="00592AB2"/>
    <w:rsid w:val="00592ADF"/>
    <w:rsid w:val="00592B5E"/>
    <w:rsid w:val="00592CA9"/>
    <w:rsid w:val="00592DD0"/>
    <w:rsid w:val="00592EB6"/>
    <w:rsid w:val="00592FBD"/>
    <w:rsid w:val="00593120"/>
    <w:rsid w:val="005932E6"/>
    <w:rsid w:val="00593350"/>
    <w:rsid w:val="0059335A"/>
    <w:rsid w:val="00593419"/>
    <w:rsid w:val="00593559"/>
    <w:rsid w:val="0059361C"/>
    <w:rsid w:val="005936FC"/>
    <w:rsid w:val="005937FB"/>
    <w:rsid w:val="00593A75"/>
    <w:rsid w:val="00593CA9"/>
    <w:rsid w:val="00593CC0"/>
    <w:rsid w:val="00593CD3"/>
    <w:rsid w:val="00593DFF"/>
    <w:rsid w:val="00593E3C"/>
    <w:rsid w:val="00593E4C"/>
    <w:rsid w:val="00594057"/>
    <w:rsid w:val="005942C3"/>
    <w:rsid w:val="0059444C"/>
    <w:rsid w:val="0059447B"/>
    <w:rsid w:val="005945D8"/>
    <w:rsid w:val="005946FA"/>
    <w:rsid w:val="005947AB"/>
    <w:rsid w:val="005948CD"/>
    <w:rsid w:val="00594989"/>
    <w:rsid w:val="005949C6"/>
    <w:rsid w:val="005949E0"/>
    <w:rsid w:val="00594A48"/>
    <w:rsid w:val="00594B12"/>
    <w:rsid w:val="00594B4A"/>
    <w:rsid w:val="00594DAE"/>
    <w:rsid w:val="00594F53"/>
    <w:rsid w:val="00594FB6"/>
    <w:rsid w:val="005950EE"/>
    <w:rsid w:val="005951D2"/>
    <w:rsid w:val="00595317"/>
    <w:rsid w:val="005953D6"/>
    <w:rsid w:val="00595403"/>
    <w:rsid w:val="005957BE"/>
    <w:rsid w:val="005958AF"/>
    <w:rsid w:val="00595920"/>
    <w:rsid w:val="00595AC7"/>
    <w:rsid w:val="00595C45"/>
    <w:rsid w:val="00595CE1"/>
    <w:rsid w:val="00595DAD"/>
    <w:rsid w:val="00595E23"/>
    <w:rsid w:val="00595E4C"/>
    <w:rsid w:val="0059600C"/>
    <w:rsid w:val="005962A1"/>
    <w:rsid w:val="005962B2"/>
    <w:rsid w:val="0059635F"/>
    <w:rsid w:val="0059636B"/>
    <w:rsid w:val="005963BD"/>
    <w:rsid w:val="00596400"/>
    <w:rsid w:val="00596645"/>
    <w:rsid w:val="005967B6"/>
    <w:rsid w:val="0059680B"/>
    <w:rsid w:val="00596A3C"/>
    <w:rsid w:val="00596BA0"/>
    <w:rsid w:val="00596E65"/>
    <w:rsid w:val="00596E6F"/>
    <w:rsid w:val="00597039"/>
    <w:rsid w:val="005970D7"/>
    <w:rsid w:val="00597168"/>
    <w:rsid w:val="00597207"/>
    <w:rsid w:val="005972E6"/>
    <w:rsid w:val="005975BE"/>
    <w:rsid w:val="005976AB"/>
    <w:rsid w:val="005976E0"/>
    <w:rsid w:val="00597740"/>
    <w:rsid w:val="0059777A"/>
    <w:rsid w:val="00597835"/>
    <w:rsid w:val="00597AF2"/>
    <w:rsid w:val="00597E14"/>
    <w:rsid w:val="005A026E"/>
    <w:rsid w:val="005A0358"/>
    <w:rsid w:val="005A0425"/>
    <w:rsid w:val="005A0753"/>
    <w:rsid w:val="005A0834"/>
    <w:rsid w:val="005A0854"/>
    <w:rsid w:val="005A09C1"/>
    <w:rsid w:val="005A0A1F"/>
    <w:rsid w:val="005A0AA5"/>
    <w:rsid w:val="005A0AAA"/>
    <w:rsid w:val="005A0B72"/>
    <w:rsid w:val="005A0F34"/>
    <w:rsid w:val="005A0FE5"/>
    <w:rsid w:val="005A1002"/>
    <w:rsid w:val="005A1015"/>
    <w:rsid w:val="005A127F"/>
    <w:rsid w:val="005A13D1"/>
    <w:rsid w:val="005A13F9"/>
    <w:rsid w:val="005A14FB"/>
    <w:rsid w:val="005A15B7"/>
    <w:rsid w:val="005A15BE"/>
    <w:rsid w:val="005A181B"/>
    <w:rsid w:val="005A190A"/>
    <w:rsid w:val="005A1A7F"/>
    <w:rsid w:val="005A1AC0"/>
    <w:rsid w:val="005A1AED"/>
    <w:rsid w:val="005A1B98"/>
    <w:rsid w:val="005A1E0D"/>
    <w:rsid w:val="005A20F4"/>
    <w:rsid w:val="005A239C"/>
    <w:rsid w:val="005A23A4"/>
    <w:rsid w:val="005A2476"/>
    <w:rsid w:val="005A2774"/>
    <w:rsid w:val="005A27D2"/>
    <w:rsid w:val="005A27ED"/>
    <w:rsid w:val="005A2936"/>
    <w:rsid w:val="005A2D8A"/>
    <w:rsid w:val="005A2E95"/>
    <w:rsid w:val="005A31E5"/>
    <w:rsid w:val="005A3230"/>
    <w:rsid w:val="005A327C"/>
    <w:rsid w:val="005A34D3"/>
    <w:rsid w:val="005A37D6"/>
    <w:rsid w:val="005A3800"/>
    <w:rsid w:val="005A3827"/>
    <w:rsid w:val="005A3A01"/>
    <w:rsid w:val="005A3DA9"/>
    <w:rsid w:val="005A3F1F"/>
    <w:rsid w:val="005A4025"/>
    <w:rsid w:val="005A4202"/>
    <w:rsid w:val="005A4252"/>
    <w:rsid w:val="005A42A1"/>
    <w:rsid w:val="005A4419"/>
    <w:rsid w:val="005A466A"/>
    <w:rsid w:val="005A4873"/>
    <w:rsid w:val="005A487A"/>
    <w:rsid w:val="005A489D"/>
    <w:rsid w:val="005A4B40"/>
    <w:rsid w:val="005A4BE5"/>
    <w:rsid w:val="005A4D6D"/>
    <w:rsid w:val="005A4EB4"/>
    <w:rsid w:val="005A4EDB"/>
    <w:rsid w:val="005A4EE4"/>
    <w:rsid w:val="005A4FD2"/>
    <w:rsid w:val="005A5034"/>
    <w:rsid w:val="005A50F2"/>
    <w:rsid w:val="005A53D1"/>
    <w:rsid w:val="005A53EF"/>
    <w:rsid w:val="005A54DA"/>
    <w:rsid w:val="005A54E2"/>
    <w:rsid w:val="005A5507"/>
    <w:rsid w:val="005A55E1"/>
    <w:rsid w:val="005A56CC"/>
    <w:rsid w:val="005A5ACB"/>
    <w:rsid w:val="005A5B67"/>
    <w:rsid w:val="005A5BE0"/>
    <w:rsid w:val="005A5D53"/>
    <w:rsid w:val="005A5D84"/>
    <w:rsid w:val="005A5E14"/>
    <w:rsid w:val="005A5F37"/>
    <w:rsid w:val="005A5F85"/>
    <w:rsid w:val="005A6001"/>
    <w:rsid w:val="005A61F2"/>
    <w:rsid w:val="005A620B"/>
    <w:rsid w:val="005A6361"/>
    <w:rsid w:val="005A64A2"/>
    <w:rsid w:val="005A6512"/>
    <w:rsid w:val="005A69E6"/>
    <w:rsid w:val="005A6A46"/>
    <w:rsid w:val="005A6A78"/>
    <w:rsid w:val="005A6D61"/>
    <w:rsid w:val="005A6DBE"/>
    <w:rsid w:val="005A6DEA"/>
    <w:rsid w:val="005A6E6A"/>
    <w:rsid w:val="005A6FBF"/>
    <w:rsid w:val="005A7071"/>
    <w:rsid w:val="005A717B"/>
    <w:rsid w:val="005A730E"/>
    <w:rsid w:val="005A7465"/>
    <w:rsid w:val="005A75FF"/>
    <w:rsid w:val="005A77C5"/>
    <w:rsid w:val="005A77DF"/>
    <w:rsid w:val="005A7874"/>
    <w:rsid w:val="005A7B2E"/>
    <w:rsid w:val="005A7BE4"/>
    <w:rsid w:val="005A7DDA"/>
    <w:rsid w:val="005A7E51"/>
    <w:rsid w:val="005A7F16"/>
    <w:rsid w:val="005B0063"/>
    <w:rsid w:val="005B027C"/>
    <w:rsid w:val="005B041C"/>
    <w:rsid w:val="005B0476"/>
    <w:rsid w:val="005B0698"/>
    <w:rsid w:val="005B0790"/>
    <w:rsid w:val="005B0B50"/>
    <w:rsid w:val="005B0C4B"/>
    <w:rsid w:val="005B0C93"/>
    <w:rsid w:val="005B0CFC"/>
    <w:rsid w:val="005B0D43"/>
    <w:rsid w:val="005B0DAD"/>
    <w:rsid w:val="005B0F2D"/>
    <w:rsid w:val="005B105E"/>
    <w:rsid w:val="005B1145"/>
    <w:rsid w:val="005B11E9"/>
    <w:rsid w:val="005B11FD"/>
    <w:rsid w:val="005B14A0"/>
    <w:rsid w:val="005B14E7"/>
    <w:rsid w:val="005B151B"/>
    <w:rsid w:val="005B152D"/>
    <w:rsid w:val="005B17D2"/>
    <w:rsid w:val="005B17E4"/>
    <w:rsid w:val="005B18F1"/>
    <w:rsid w:val="005B1918"/>
    <w:rsid w:val="005B1936"/>
    <w:rsid w:val="005B195B"/>
    <w:rsid w:val="005B199A"/>
    <w:rsid w:val="005B1A3A"/>
    <w:rsid w:val="005B1B18"/>
    <w:rsid w:val="005B1B62"/>
    <w:rsid w:val="005B1C00"/>
    <w:rsid w:val="005B1C7D"/>
    <w:rsid w:val="005B1CC5"/>
    <w:rsid w:val="005B1CEA"/>
    <w:rsid w:val="005B1D20"/>
    <w:rsid w:val="005B1D8A"/>
    <w:rsid w:val="005B1E90"/>
    <w:rsid w:val="005B1EC4"/>
    <w:rsid w:val="005B20D6"/>
    <w:rsid w:val="005B2286"/>
    <w:rsid w:val="005B2316"/>
    <w:rsid w:val="005B2468"/>
    <w:rsid w:val="005B25F0"/>
    <w:rsid w:val="005B2685"/>
    <w:rsid w:val="005B2850"/>
    <w:rsid w:val="005B287B"/>
    <w:rsid w:val="005B28B4"/>
    <w:rsid w:val="005B28BC"/>
    <w:rsid w:val="005B29D2"/>
    <w:rsid w:val="005B2A9A"/>
    <w:rsid w:val="005B2BC7"/>
    <w:rsid w:val="005B2C1F"/>
    <w:rsid w:val="005B2CAE"/>
    <w:rsid w:val="005B2DE2"/>
    <w:rsid w:val="005B2ECE"/>
    <w:rsid w:val="005B3057"/>
    <w:rsid w:val="005B340A"/>
    <w:rsid w:val="005B34E8"/>
    <w:rsid w:val="005B382D"/>
    <w:rsid w:val="005B3884"/>
    <w:rsid w:val="005B38D0"/>
    <w:rsid w:val="005B38D6"/>
    <w:rsid w:val="005B3AB8"/>
    <w:rsid w:val="005B3B04"/>
    <w:rsid w:val="005B3B4C"/>
    <w:rsid w:val="005B3BBD"/>
    <w:rsid w:val="005B3C3E"/>
    <w:rsid w:val="005B3C8E"/>
    <w:rsid w:val="005B3D0D"/>
    <w:rsid w:val="005B3DC9"/>
    <w:rsid w:val="005B3E37"/>
    <w:rsid w:val="005B402E"/>
    <w:rsid w:val="005B4039"/>
    <w:rsid w:val="005B462A"/>
    <w:rsid w:val="005B474C"/>
    <w:rsid w:val="005B47A6"/>
    <w:rsid w:val="005B47BE"/>
    <w:rsid w:val="005B47E4"/>
    <w:rsid w:val="005B4A6E"/>
    <w:rsid w:val="005B4B5D"/>
    <w:rsid w:val="005B4C76"/>
    <w:rsid w:val="005B4D20"/>
    <w:rsid w:val="005B4EDA"/>
    <w:rsid w:val="005B5161"/>
    <w:rsid w:val="005B52EC"/>
    <w:rsid w:val="005B52F4"/>
    <w:rsid w:val="005B538B"/>
    <w:rsid w:val="005B53FC"/>
    <w:rsid w:val="005B556E"/>
    <w:rsid w:val="005B55CC"/>
    <w:rsid w:val="005B5615"/>
    <w:rsid w:val="005B58CE"/>
    <w:rsid w:val="005B5AF6"/>
    <w:rsid w:val="005B5C4B"/>
    <w:rsid w:val="005B5D59"/>
    <w:rsid w:val="005B5EB8"/>
    <w:rsid w:val="005B618C"/>
    <w:rsid w:val="005B6417"/>
    <w:rsid w:val="005B655D"/>
    <w:rsid w:val="005B65E6"/>
    <w:rsid w:val="005B6765"/>
    <w:rsid w:val="005B68A5"/>
    <w:rsid w:val="005B68CA"/>
    <w:rsid w:val="005B69E9"/>
    <w:rsid w:val="005B69ED"/>
    <w:rsid w:val="005B6A70"/>
    <w:rsid w:val="005B6B0A"/>
    <w:rsid w:val="005B6E38"/>
    <w:rsid w:val="005B6E5E"/>
    <w:rsid w:val="005B71CE"/>
    <w:rsid w:val="005B722F"/>
    <w:rsid w:val="005B72F4"/>
    <w:rsid w:val="005B7375"/>
    <w:rsid w:val="005B7426"/>
    <w:rsid w:val="005B746B"/>
    <w:rsid w:val="005B7775"/>
    <w:rsid w:val="005B79E5"/>
    <w:rsid w:val="005B7A25"/>
    <w:rsid w:val="005B7A47"/>
    <w:rsid w:val="005B7A72"/>
    <w:rsid w:val="005B7A93"/>
    <w:rsid w:val="005B7B24"/>
    <w:rsid w:val="005B7C61"/>
    <w:rsid w:val="005B7D9A"/>
    <w:rsid w:val="005B7EF2"/>
    <w:rsid w:val="005C0022"/>
    <w:rsid w:val="005C01FF"/>
    <w:rsid w:val="005C02D7"/>
    <w:rsid w:val="005C0352"/>
    <w:rsid w:val="005C0360"/>
    <w:rsid w:val="005C044F"/>
    <w:rsid w:val="005C047C"/>
    <w:rsid w:val="005C0637"/>
    <w:rsid w:val="005C0767"/>
    <w:rsid w:val="005C076E"/>
    <w:rsid w:val="005C0835"/>
    <w:rsid w:val="005C0839"/>
    <w:rsid w:val="005C0875"/>
    <w:rsid w:val="005C0A29"/>
    <w:rsid w:val="005C0B37"/>
    <w:rsid w:val="005C0CF2"/>
    <w:rsid w:val="005C0F80"/>
    <w:rsid w:val="005C11AF"/>
    <w:rsid w:val="005C11E9"/>
    <w:rsid w:val="005C18E4"/>
    <w:rsid w:val="005C1AAA"/>
    <w:rsid w:val="005C1B22"/>
    <w:rsid w:val="005C1B63"/>
    <w:rsid w:val="005C1CB2"/>
    <w:rsid w:val="005C1F02"/>
    <w:rsid w:val="005C1F4E"/>
    <w:rsid w:val="005C201B"/>
    <w:rsid w:val="005C2252"/>
    <w:rsid w:val="005C228E"/>
    <w:rsid w:val="005C22DD"/>
    <w:rsid w:val="005C22E4"/>
    <w:rsid w:val="005C23F5"/>
    <w:rsid w:val="005C2748"/>
    <w:rsid w:val="005C2955"/>
    <w:rsid w:val="005C2957"/>
    <w:rsid w:val="005C2EED"/>
    <w:rsid w:val="005C2F75"/>
    <w:rsid w:val="005C3003"/>
    <w:rsid w:val="005C3012"/>
    <w:rsid w:val="005C306D"/>
    <w:rsid w:val="005C324E"/>
    <w:rsid w:val="005C35A4"/>
    <w:rsid w:val="005C3825"/>
    <w:rsid w:val="005C3B8B"/>
    <w:rsid w:val="005C3E93"/>
    <w:rsid w:val="005C3F04"/>
    <w:rsid w:val="005C410C"/>
    <w:rsid w:val="005C41B2"/>
    <w:rsid w:val="005C41FB"/>
    <w:rsid w:val="005C4579"/>
    <w:rsid w:val="005C4580"/>
    <w:rsid w:val="005C45B8"/>
    <w:rsid w:val="005C461D"/>
    <w:rsid w:val="005C46DB"/>
    <w:rsid w:val="005C493D"/>
    <w:rsid w:val="005C4945"/>
    <w:rsid w:val="005C4980"/>
    <w:rsid w:val="005C498B"/>
    <w:rsid w:val="005C4A67"/>
    <w:rsid w:val="005C4A7E"/>
    <w:rsid w:val="005C4B62"/>
    <w:rsid w:val="005C4B85"/>
    <w:rsid w:val="005C4BED"/>
    <w:rsid w:val="005C5134"/>
    <w:rsid w:val="005C55DC"/>
    <w:rsid w:val="005C5666"/>
    <w:rsid w:val="005C57FD"/>
    <w:rsid w:val="005C5800"/>
    <w:rsid w:val="005C5825"/>
    <w:rsid w:val="005C5B2C"/>
    <w:rsid w:val="005C5BB4"/>
    <w:rsid w:val="005C5E78"/>
    <w:rsid w:val="005C5E92"/>
    <w:rsid w:val="005C60BF"/>
    <w:rsid w:val="005C617A"/>
    <w:rsid w:val="005C6232"/>
    <w:rsid w:val="005C64F2"/>
    <w:rsid w:val="005C657E"/>
    <w:rsid w:val="005C6583"/>
    <w:rsid w:val="005C65F3"/>
    <w:rsid w:val="005C68DF"/>
    <w:rsid w:val="005C6921"/>
    <w:rsid w:val="005C6A95"/>
    <w:rsid w:val="005C6CAE"/>
    <w:rsid w:val="005C6D69"/>
    <w:rsid w:val="005C6DDC"/>
    <w:rsid w:val="005C6E37"/>
    <w:rsid w:val="005C6F5A"/>
    <w:rsid w:val="005C6FEA"/>
    <w:rsid w:val="005C71DC"/>
    <w:rsid w:val="005C75A9"/>
    <w:rsid w:val="005C7601"/>
    <w:rsid w:val="005C77A1"/>
    <w:rsid w:val="005C78F5"/>
    <w:rsid w:val="005C796A"/>
    <w:rsid w:val="005C797B"/>
    <w:rsid w:val="005C7A74"/>
    <w:rsid w:val="005C7ACC"/>
    <w:rsid w:val="005C7BD2"/>
    <w:rsid w:val="005C7CA5"/>
    <w:rsid w:val="005C7D01"/>
    <w:rsid w:val="005C7E11"/>
    <w:rsid w:val="005C7F83"/>
    <w:rsid w:val="005D0594"/>
    <w:rsid w:val="005D05CC"/>
    <w:rsid w:val="005D05E4"/>
    <w:rsid w:val="005D0716"/>
    <w:rsid w:val="005D0793"/>
    <w:rsid w:val="005D083A"/>
    <w:rsid w:val="005D085C"/>
    <w:rsid w:val="005D0A4D"/>
    <w:rsid w:val="005D0CE0"/>
    <w:rsid w:val="005D0E6D"/>
    <w:rsid w:val="005D0FE8"/>
    <w:rsid w:val="005D129E"/>
    <w:rsid w:val="005D13F2"/>
    <w:rsid w:val="005D1495"/>
    <w:rsid w:val="005D1507"/>
    <w:rsid w:val="005D16C1"/>
    <w:rsid w:val="005D1761"/>
    <w:rsid w:val="005D179E"/>
    <w:rsid w:val="005D1835"/>
    <w:rsid w:val="005D1836"/>
    <w:rsid w:val="005D19A5"/>
    <w:rsid w:val="005D19CC"/>
    <w:rsid w:val="005D19D2"/>
    <w:rsid w:val="005D1BE1"/>
    <w:rsid w:val="005D1C91"/>
    <w:rsid w:val="005D1DFF"/>
    <w:rsid w:val="005D1ECE"/>
    <w:rsid w:val="005D1FF2"/>
    <w:rsid w:val="005D1FFF"/>
    <w:rsid w:val="005D21C5"/>
    <w:rsid w:val="005D224C"/>
    <w:rsid w:val="005D226F"/>
    <w:rsid w:val="005D22BD"/>
    <w:rsid w:val="005D240B"/>
    <w:rsid w:val="005D2574"/>
    <w:rsid w:val="005D2758"/>
    <w:rsid w:val="005D278D"/>
    <w:rsid w:val="005D2975"/>
    <w:rsid w:val="005D2ABB"/>
    <w:rsid w:val="005D2DB2"/>
    <w:rsid w:val="005D2E62"/>
    <w:rsid w:val="005D2FC4"/>
    <w:rsid w:val="005D3053"/>
    <w:rsid w:val="005D3228"/>
    <w:rsid w:val="005D350F"/>
    <w:rsid w:val="005D3515"/>
    <w:rsid w:val="005D3584"/>
    <w:rsid w:val="005D364A"/>
    <w:rsid w:val="005D36B3"/>
    <w:rsid w:val="005D3705"/>
    <w:rsid w:val="005D39ED"/>
    <w:rsid w:val="005D3DC4"/>
    <w:rsid w:val="005D3F41"/>
    <w:rsid w:val="005D3F50"/>
    <w:rsid w:val="005D4025"/>
    <w:rsid w:val="005D411D"/>
    <w:rsid w:val="005D4167"/>
    <w:rsid w:val="005D4371"/>
    <w:rsid w:val="005D4536"/>
    <w:rsid w:val="005D4537"/>
    <w:rsid w:val="005D498A"/>
    <w:rsid w:val="005D4997"/>
    <w:rsid w:val="005D4A1A"/>
    <w:rsid w:val="005D4B60"/>
    <w:rsid w:val="005D4CF0"/>
    <w:rsid w:val="005D4E37"/>
    <w:rsid w:val="005D4E3E"/>
    <w:rsid w:val="005D5025"/>
    <w:rsid w:val="005D515C"/>
    <w:rsid w:val="005D5594"/>
    <w:rsid w:val="005D563C"/>
    <w:rsid w:val="005D5693"/>
    <w:rsid w:val="005D575E"/>
    <w:rsid w:val="005D58F1"/>
    <w:rsid w:val="005D5920"/>
    <w:rsid w:val="005D5969"/>
    <w:rsid w:val="005D5A63"/>
    <w:rsid w:val="005D5A6B"/>
    <w:rsid w:val="005D5A7C"/>
    <w:rsid w:val="005D5AD3"/>
    <w:rsid w:val="005D5B35"/>
    <w:rsid w:val="005D5E8C"/>
    <w:rsid w:val="005D5EAC"/>
    <w:rsid w:val="005D60C9"/>
    <w:rsid w:val="005D60FD"/>
    <w:rsid w:val="005D618E"/>
    <w:rsid w:val="005D62BD"/>
    <w:rsid w:val="005D6516"/>
    <w:rsid w:val="005D654B"/>
    <w:rsid w:val="005D67AA"/>
    <w:rsid w:val="005D685E"/>
    <w:rsid w:val="005D686C"/>
    <w:rsid w:val="005D68B2"/>
    <w:rsid w:val="005D6A5B"/>
    <w:rsid w:val="005D6A7D"/>
    <w:rsid w:val="005D6BCD"/>
    <w:rsid w:val="005D6CE0"/>
    <w:rsid w:val="005D6D88"/>
    <w:rsid w:val="005D6D9A"/>
    <w:rsid w:val="005D6DF2"/>
    <w:rsid w:val="005D6E14"/>
    <w:rsid w:val="005D6E67"/>
    <w:rsid w:val="005D6EAF"/>
    <w:rsid w:val="005D70AC"/>
    <w:rsid w:val="005D72D0"/>
    <w:rsid w:val="005D73C6"/>
    <w:rsid w:val="005D7403"/>
    <w:rsid w:val="005D76D7"/>
    <w:rsid w:val="005D7736"/>
    <w:rsid w:val="005D778D"/>
    <w:rsid w:val="005D7A63"/>
    <w:rsid w:val="005D7BE0"/>
    <w:rsid w:val="005D7DB0"/>
    <w:rsid w:val="005D7E50"/>
    <w:rsid w:val="005D7FDF"/>
    <w:rsid w:val="005E026D"/>
    <w:rsid w:val="005E0303"/>
    <w:rsid w:val="005E0558"/>
    <w:rsid w:val="005E068C"/>
    <w:rsid w:val="005E06C2"/>
    <w:rsid w:val="005E0959"/>
    <w:rsid w:val="005E0986"/>
    <w:rsid w:val="005E0A8E"/>
    <w:rsid w:val="005E0B69"/>
    <w:rsid w:val="005E0BE3"/>
    <w:rsid w:val="005E0CD6"/>
    <w:rsid w:val="005E0D9E"/>
    <w:rsid w:val="005E0DE2"/>
    <w:rsid w:val="005E0F04"/>
    <w:rsid w:val="005E1040"/>
    <w:rsid w:val="005E11E0"/>
    <w:rsid w:val="005E1216"/>
    <w:rsid w:val="005E127C"/>
    <w:rsid w:val="005E131D"/>
    <w:rsid w:val="005E1367"/>
    <w:rsid w:val="005E1532"/>
    <w:rsid w:val="005E16BD"/>
    <w:rsid w:val="005E16DA"/>
    <w:rsid w:val="005E16E1"/>
    <w:rsid w:val="005E1751"/>
    <w:rsid w:val="005E192C"/>
    <w:rsid w:val="005E192F"/>
    <w:rsid w:val="005E19FF"/>
    <w:rsid w:val="005E1DFA"/>
    <w:rsid w:val="005E1EB4"/>
    <w:rsid w:val="005E1FB6"/>
    <w:rsid w:val="005E1FDB"/>
    <w:rsid w:val="005E21D9"/>
    <w:rsid w:val="005E2344"/>
    <w:rsid w:val="005E2357"/>
    <w:rsid w:val="005E238B"/>
    <w:rsid w:val="005E2424"/>
    <w:rsid w:val="005E243A"/>
    <w:rsid w:val="005E24A5"/>
    <w:rsid w:val="005E25BB"/>
    <w:rsid w:val="005E271E"/>
    <w:rsid w:val="005E27BB"/>
    <w:rsid w:val="005E297E"/>
    <w:rsid w:val="005E2A78"/>
    <w:rsid w:val="005E2B93"/>
    <w:rsid w:val="005E2BA1"/>
    <w:rsid w:val="005E2DB9"/>
    <w:rsid w:val="005E2DFA"/>
    <w:rsid w:val="005E2F82"/>
    <w:rsid w:val="005E31EB"/>
    <w:rsid w:val="005E359C"/>
    <w:rsid w:val="005E3735"/>
    <w:rsid w:val="005E3736"/>
    <w:rsid w:val="005E3984"/>
    <w:rsid w:val="005E3C27"/>
    <w:rsid w:val="005E3C70"/>
    <w:rsid w:val="005E3DCF"/>
    <w:rsid w:val="005E3DF2"/>
    <w:rsid w:val="005E3E28"/>
    <w:rsid w:val="005E3F15"/>
    <w:rsid w:val="005E3F79"/>
    <w:rsid w:val="005E400F"/>
    <w:rsid w:val="005E403F"/>
    <w:rsid w:val="005E408D"/>
    <w:rsid w:val="005E40AD"/>
    <w:rsid w:val="005E41C9"/>
    <w:rsid w:val="005E4252"/>
    <w:rsid w:val="005E435E"/>
    <w:rsid w:val="005E4384"/>
    <w:rsid w:val="005E4482"/>
    <w:rsid w:val="005E467E"/>
    <w:rsid w:val="005E47FE"/>
    <w:rsid w:val="005E4C05"/>
    <w:rsid w:val="005E4CEC"/>
    <w:rsid w:val="005E4E10"/>
    <w:rsid w:val="005E4E6C"/>
    <w:rsid w:val="005E4F8E"/>
    <w:rsid w:val="005E50B7"/>
    <w:rsid w:val="005E54DA"/>
    <w:rsid w:val="005E565F"/>
    <w:rsid w:val="005E56B8"/>
    <w:rsid w:val="005E576F"/>
    <w:rsid w:val="005E585E"/>
    <w:rsid w:val="005E5950"/>
    <w:rsid w:val="005E5B64"/>
    <w:rsid w:val="005E5C15"/>
    <w:rsid w:val="005E5D79"/>
    <w:rsid w:val="005E5F9A"/>
    <w:rsid w:val="005E6183"/>
    <w:rsid w:val="005E621E"/>
    <w:rsid w:val="005E6251"/>
    <w:rsid w:val="005E629E"/>
    <w:rsid w:val="005E64EE"/>
    <w:rsid w:val="005E65FF"/>
    <w:rsid w:val="005E6737"/>
    <w:rsid w:val="005E680E"/>
    <w:rsid w:val="005E685F"/>
    <w:rsid w:val="005E6AE3"/>
    <w:rsid w:val="005E6E72"/>
    <w:rsid w:val="005E7177"/>
    <w:rsid w:val="005E722A"/>
    <w:rsid w:val="005E7526"/>
    <w:rsid w:val="005E7583"/>
    <w:rsid w:val="005E7636"/>
    <w:rsid w:val="005E77AB"/>
    <w:rsid w:val="005E77CC"/>
    <w:rsid w:val="005E77FA"/>
    <w:rsid w:val="005E7987"/>
    <w:rsid w:val="005E7B8B"/>
    <w:rsid w:val="005E7E1C"/>
    <w:rsid w:val="005E7E5C"/>
    <w:rsid w:val="005E7E85"/>
    <w:rsid w:val="005E7F15"/>
    <w:rsid w:val="005E7F36"/>
    <w:rsid w:val="005F0008"/>
    <w:rsid w:val="005F0063"/>
    <w:rsid w:val="005F017E"/>
    <w:rsid w:val="005F01E6"/>
    <w:rsid w:val="005F04B4"/>
    <w:rsid w:val="005F0598"/>
    <w:rsid w:val="005F0761"/>
    <w:rsid w:val="005F0890"/>
    <w:rsid w:val="005F0994"/>
    <w:rsid w:val="005F09B8"/>
    <w:rsid w:val="005F0A14"/>
    <w:rsid w:val="005F0ADB"/>
    <w:rsid w:val="005F0CA8"/>
    <w:rsid w:val="005F0DDB"/>
    <w:rsid w:val="005F0E84"/>
    <w:rsid w:val="005F104C"/>
    <w:rsid w:val="005F10B8"/>
    <w:rsid w:val="005F12F0"/>
    <w:rsid w:val="005F14C5"/>
    <w:rsid w:val="005F15AA"/>
    <w:rsid w:val="005F176E"/>
    <w:rsid w:val="005F176F"/>
    <w:rsid w:val="005F19FE"/>
    <w:rsid w:val="005F1D1A"/>
    <w:rsid w:val="005F1EB6"/>
    <w:rsid w:val="005F1F40"/>
    <w:rsid w:val="005F1FA7"/>
    <w:rsid w:val="005F205A"/>
    <w:rsid w:val="005F218E"/>
    <w:rsid w:val="005F21A5"/>
    <w:rsid w:val="005F223B"/>
    <w:rsid w:val="005F22A8"/>
    <w:rsid w:val="005F2497"/>
    <w:rsid w:val="005F24D2"/>
    <w:rsid w:val="005F24D5"/>
    <w:rsid w:val="005F2673"/>
    <w:rsid w:val="005F2674"/>
    <w:rsid w:val="005F26F5"/>
    <w:rsid w:val="005F27F6"/>
    <w:rsid w:val="005F28E1"/>
    <w:rsid w:val="005F2C3C"/>
    <w:rsid w:val="005F2CFB"/>
    <w:rsid w:val="005F2D7D"/>
    <w:rsid w:val="005F2D93"/>
    <w:rsid w:val="005F2E4B"/>
    <w:rsid w:val="005F2F61"/>
    <w:rsid w:val="005F30FE"/>
    <w:rsid w:val="005F313F"/>
    <w:rsid w:val="005F3276"/>
    <w:rsid w:val="005F33F5"/>
    <w:rsid w:val="005F34B6"/>
    <w:rsid w:val="005F3502"/>
    <w:rsid w:val="005F353C"/>
    <w:rsid w:val="005F35D9"/>
    <w:rsid w:val="005F369E"/>
    <w:rsid w:val="005F394E"/>
    <w:rsid w:val="005F39CB"/>
    <w:rsid w:val="005F3A6F"/>
    <w:rsid w:val="005F3FE8"/>
    <w:rsid w:val="005F3FEF"/>
    <w:rsid w:val="005F4098"/>
    <w:rsid w:val="005F40CB"/>
    <w:rsid w:val="005F41E7"/>
    <w:rsid w:val="005F42F6"/>
    <w:rsid w:val="005F4332"/>
    <w:rsid w:val="005F445E"/>
    <w:rsid w:val="005F44C1"/>
    <w:rsid w:val="005F4569"/>
    <w:rsid w:val="005F45B2"/>
    <w:rsid w:val="005F461C"/>
    <w:rsid w:val="005F46B7"/>
    <w:rsid w:val="005F4927"/>
    <w:rsid w:val="005F4C33"/>
    <w:rsid w:val="005F4D86"/>
    <w:rsid w:val="005F4DCB"/>
    <w:rsid w:val="005F4FEB"/>
    <w:rsid w:val="005F505E"/>
    <w:rsid w:val="005F513C"/>
    <w:rsid w:val="005F51CB"/>
    <w:rsid w:val="005F51FC"/>
    <w:rsid w:val="005F520A"/>
    <w:rsid w:val="005F5A22"/>
    <w:rsid w:val="005F5AAA"/>
    <w:rsid w:val="005F5B10"/>
    <w:rsid w:val="005F5BBF"/>
    <w:rsid w:val="005F5CBD"/>
    <w:rsid w:val="005F5CCA"/>
    <w:rsid w:val="005F607B"/>
    <w:rsid w:val="005F6106"/>
    <w:rsid w:val="005F61D0"/>
    <w:rsid w:val="005F63CA"/>
    <w:rsid w:val="005F6456"/>
    <w:rsid w:val="005F6465"/>
    <w:rsid w:val="005F64E0"/>
    <w:rsid w:val="005F6603"/>
    <w:rsid w:val="005F66B7"/>
    <w:rsid w:val="005F681D"/>
    <w:rsid w:val="005F68DC"/>
    <w:rsid w:val="005F68EC"/>
    <w:rsid w:val="005F6B29"/>
    <w:rsid w:val="005F6C38"/>
    <w:rsid w:val="005F6C4C"/>
    <w:rsid w:val="005F6C77"/>
    <w:rsid w:val="005F6E96"/>
    <w:rsid w:val="005F6FE9"/>
    <w:rsid w:val="005F7051"/>
    <w:rsid w:val="005F7184"/>
    <w:rsid w:val="005F7344"/>
    <w:rsid w:val="005F739D"/>
    <w:rsid w:val="005F73A2"/>
    <w:rsid w:val="005F7498"/>
    <w:rsid w:val="005F7A75"/>
    <w:rsid w:val="005F7AEA"/>
    <w:rsid w:val="005F7B26"/>
    <w:rsid w:val="005F7C27"/>
    <w:rsid w:val="005F7C59"/>
    <w:rsid w:val="005F7E0F"/>
    <w:rsid w:val="006002F8"/>
    <w:rsid w:val="006008A8"/>
    <w:rsid w:val="00600ABA"/>
    <w:rsid w:val="00600C0B"/>
    <w:rsid w:val="00600C44"/>
    <w:rsid w:val="00600C98"/>
    <w:rsid w:val="00600CF3"/>
    <w:rsid w:val="00600E49"/>
    <w:rsid w:val="00600EC4"/>
    <w:rsid w:val="00601020"/>
    <w:rsid w:val="00601176"/>
    <w:rsid w:val="006011BD"/>
    <w:rsid w:val="006012C8"/>
    <w:rsid w:val="006013D7"/>
    <w:rsid w:val="00601428"/>
    <w:rsid w:val="0060155A"/>
    <w:rsid w:val="00601574"/>
    <w:rsid w:val="0060166B"/>
    <w:rsid w:val="00601738"/>
    <w:rsid w:val="006019AF"/>
    <w:rsid w:val="006019D0"/>
    <w:rsid w:val="00601ABF"/>
    <w:rsid w:val="00601D54"/>
    <w:rsid w:val="00601E42"/>
    <w:rsid w:val="00601E9D"/>
    <w:rsid w:val="006022A1"/>
    <w:rsid w:val="00602312"/>
    <w:rsid w:val="00602468"/>
    <w:rsid w:val="0060250C"/>
    <w:rsid w:val="0060255F"/>
    <w:rsid w:val="0060257C"/>
    <w:rsid w:val="006029E4"/>
    <w:rsid w:val="00602ADE"/>
    <w:rsid w:val="00602AE4"/>
    <w:rsid w:val="00602D8F"/>
    <w:rsid w:val="00602DC2"/>
    <w:rsid w:val="00602F41"/>
    <w:rsid w:val="00602FFB"/>
    <w:rsid w:val="00603042"/>
    <w:rsid w:val="006030C1"/>
    <w:rsid w:val="0060320A"/>
    <w:rsid w:val="0060322E"/>
    <w:rsid w:val="00603260"/>
    <w:rsid w:val="00603330"/>
    <w:rsid w:val="00603399"/>
    <w:rsid w:val="006033B6"/>
    <w:rsid w:val="0060344F"/>
    <w:rsid w:val="0060345F"/>
    <w:rsid w:val="00603518"/>
    <w:rsid w:val="00603598"/>
    <w:rsid w:val="0060362D"/>
    <w:rsid w:val="006036D8"/>
    <w:rsid w:val="00603781"/>
    <w:rsid w:val="00603B33"/>
    <w:rsid w:val="00603B57"/>
    <w:rsid w:val="00603DA0"/>
    <w:rsid w:val="00603E9F"/>
    <w:rsid w:val="0060406B"/>
    <w:rsid w:val="006040E8"/>
    <w:rsid w:val="006041A0"/>
    <w:rsid w:val="006041AB"/>
    <w:rsid w:val="006041BB"/>
    <w:rsid w:val="006041D3"/>
    <w:rsid w:val="00604297"/>
    <w:rsid w:val="006042B2"/>
    <w:rsid w:val="00604316"/>
    <w:rsid w:val="00604691"/>
    <w:rsid w:val="0060475D"/>
    <w:rsid w:val="006049BC"/>
    <w:rsid w:val="00604B5A"/>
    <w:rsid w:val="00604B62"/>
    <w:rsid w:val="00604D69"/>
    <w:rsid w:val="00604D98"/>
    <w:rsid w:val="00604FA1"/>
    <w:rsid w:val="006050B4"/>
    <w:rsid w:val="00605223"/>
    <w:rsid w:val="00605242"/>
    <w:rsid w:val="0060535C"/>
    <w:rsid w:val="00605562"/>
    <w:rsid w:val="0060558B"/>
    <w:rsid w:val="006055C3"/>
    <w:rsid w:val="00605622"/>
    <w:rsid w:val="00605686"/>
    <w:rsid w:val="00605794"/>
    <w:rsid w:val="0060590C"/>
    <w:rsid w:val="00605B75"/>
    <w:rsid w:val="00605CF5"/>
    <w:rsid w:val="00605D3D"/>
    <w:rsid w:val="00605F20"/>
    <w:rsid w:val="00606071"/>
    <w:rsid w:val="0060611C"/>
    <w:rsid w:val="0060658B"/>
    <w:rsid w:val="0060662E"/>
    <w:rsid w:val="00606727"/>
    <w:rsid w:val="0060673F"/>
    <w:rsid w:val="00606764"/>
    <w:rsid w:val="006068DC"/>
    <w:rsid w:val="00606951"/>
    <w:rsid w:val="00606A3B"/>
    <w:rsid w:val="00606AD0"/>
    <w:rsid w:val="00606DEA"/>
    <w:rsid w:val="00606F9F"/>
    <w:rsid w:val="0060711B"/>
    <w:rsid w:val="00607131"/>
    <w:rsid w:val="006071DD"/>
    <w:rsid w:val="00607229"/>
    <w:rsid w:val="006074F8"/>
    <w:rsid w:val="00607632"/>
    <w:rsid w:val="00607638"/>
    <w:rsid w:val="00607657"/>
    <w:rsid w:val="00607757"/>
    <w:rsid w:val="006078DD"/>
    <w:rsid w:val="00607BFE"/>
    <w:rsid w:val="00607C40"/>
    <w:rsid w:val="00607C47"/>
    <w:rsid w:val="00607FAD"/>
    <w:rsid w:val="00607FFB"/>
    <w:rsid w:val="00610054"/>
    <w:rsid w:val="006100EE"/>
    <w:rsid w:val="00610208"/>
    <w:rsid w:val="00610413"/>
    <w:rsid w:val="006105DB"/>
    <w:rsid w:val="0061064E"/>
    <w:rsid w:val="0061078F"/>
    <w:rsid w:val="00610BBE"/>
    <w:rsid w:val="00610C4C"/>
    <w:rsid w:val="00610D4C"/>
    <w:rsid w:val="00610DBA"/>
    <w:rsid w:val="00610DF5"/>
    <w:rsid w:val="00611185"/>
    <w:rsid w:val="0061125D"/>
    <w:rsid w:val="0061128E"/>
    <w:rsid w:val="006112B1"/>
    <w:rsid w:val="0061152F"/>
    <w:rsid w:val="0061154E"/>
    <w:rsid w:val="00611680"/>
    <w:rsid w:val="006118AA"/>
    <w:rsid w:val="00611AA4"/>
    <w:rsid w:val="00611B6E"/>
    <w:rsid w:val="00611D49"/>
    <w:rsid w:val="00611FA6"/>
    <w:rsid w:val="00611FAA"/>
    <w:rsid w:val="0061219A"/>
    <w:rsid w:val="0061269A"/>
    <w:rsid w:val="0061278F"/>
    <w:rsid w:val="00612A12"/>
    <w:rsid w:val="00612A17"/>
    <w:rsid w:val="00612A74"/>
    <w:rsid w:val="00612A86"/>
    <w:rsid w:val="00612AD4"/>
    <w:rsid w:val="00612C6D"/>
    <w:rsid w:val="00612CC0"/>
    <w:rsid w:val="00612D21"/>
    <w:rsid w:val="00612F02"/>
    <w:rsid w:val="00612F31"/>
    <w:rsid w:val="00613022"/>
    <w:rsid w:val="00613083"/>
    <w:rsid w:val="006130F4"/>
    <w:rsid w:val="00613178"/>
    <w:rsid w:val="006131E5"/>
    <w:rsid w:val="00613205"/>
    <w:rsid w:val="00613339"/>
    <w:rsid w:val="006133AF"/>
    <w:rsid w:val="0061349A"/>
    <w:rsid w:val="00613601"/>
    <w:rsid w:val="0061383C"/>
    <w:rsid w:val="006139ED"/>
    <w:rsid w:val="00613A5B"/>
    <w:rsid w:val="00613A98"/>
    <w:rsid w:val="00613B87"/>
    <w:rsid w:val="00613CD6"/>
    <w:rsid w:val="00613F13"/>
    <w:rsid w:val="00614027"/>
    <w:rsid w:val="0061409B"/>
    <w:rsid w:val="00614130"/>
    <w:rsid w:val="00614220"/>
    <w:rsid w:val="00614285"/>
    <w:rsid w:val="00614317"/>
    <w:rsid w:val="0061432D"/>
    <w:rsid w:val="006143E7"/>
    <w:rsid w:val="0061441D"/>
    <w:rsid w:val="00614614"/>
    <w:rsid w:val="006146A8"/>
    <w:rsid w:val="006147CA"/>
    <w:rsid w:val="00614A40"/>
    <w:rsid w:val="00614AB7"/>
    <w:rsid w:val="00614AF8"/>
    <w:rsid w:val="00614B83"/>
    <w:rsid w:val="00614BAB"/>
    <w:rsid w:val="00614C11"/>
    <w:rsid w:val="00614DD5"/>
    <w:rsid w:val="006150C5"/>
    <w:rsid w:val="00615203"/>
    <w:rsid w:val="006157C8"/>
    <w:rsid w:val="006158B9"/>
    <w:rsid w:val="00615AE0"/>
    <w:rsid w:val="00615B1F"/>
    <w:rsid w:val="00615B5A"/>
    <w:rsid w:val="00615BE6"/>
    <w:rsid w:val="00615C7B"/>
    <w:rsid w:val="00615DB7"/>
    <w:rsid w:val="00615E75"/>
    <w:rsid w:val="00615FDF"/>
    <w:rsid w:val="00616293"/>
    <w:rsid w:val="00616357"/>
    <w:rsid w:val="006163B9"/>
    <w:rsid w:val="0061650D"/>
    <w:rsid w:val="00616529"/>
    <w:rsid w:val="0061656F"/>
    <w:rsid w:val="00616666"/>
    <w:rsid w:val="006168C5"/>
    <w:rsid w:val="00616958"/>
    <w:rsid w:val="00616C48"/>
    <w:rsid w:val="00616C7B"/>
    <w:rsid w:val="00616CAB"/>
    <w:rsid w:val="00616F75"/>
    <w:rsid w:val="00616F9A"/>
    <w:rsid w:val="00617149"/>
    <w:rsid w:val="0061733D"/>
    <w:rsid w:val="006173AF"/>
    <w:rsid w:val="00617413"/>
    <w:rsid w:val="00617466"/>
    <w:rsid w:val="0061764E"/>
    <w:rsid w:val="00617701"/>
    <w:rsid w:val="0061780C"/>
    <w:rsid w:val="00617825"/>
    <w:rsid w:val="00617AC8"/>
    <w:rsid w:val="00617C5B"/>
    <w:rsid w:val="00617DB4"/>
    <w:rsid w:val="00617E1E"/>
    <w:rsid w:val="00617E57"/>
    <w:rsid w:val="00617F66"/>
    <w:rsid w:val="00620066"/>
    <w:rsid w:val="0062009A"/>
    <w:rsid w:val="00620129"/>
    <w:rsid w:val="0062014E"/>
    <w:rsid w:val="006206EC"/>
    <w:rsid w:val="006207E4"/>
    <w:rsid w:val="006207EA"/>
    <w:rsid w:val="00620884"/>
    <w:rsid w:val="00620904"/>
    <w:rsid w:val="00620A45"/>
    <w:rsid w:val="00620A9A"/>
    <w:rsid w:val="00620BEC"/>
    <w:rsid w:val="00620C91"/>
    <w:rsid w:val="00620D31"/>
    <w:rsid w:val="00620DAA"/>
    <w:rsid w:val="00621014"/>
    <w:rsid w:val="006210A8"/>
    <w:rsid w:val="0062127A"/>
    <w:rsid w:val="006214C0"/>
    <w:rsid w:val="006215F2"/>
    <w:rsid w:val="00621623"/>
    <w:rsid w:val="006217C2"/>
    <w:rsid w:val="00621A3F"/>
    <w:rsid w:val="00621B09"/>
    <w:rsid w:val="00621C9F"/>
    <w:rsid w:val="00621CB4"/>
    <w:rsid w:val="00621D2F"/>
    <w:rsid w:val="00621FD5"/>
    <w:rsid w:val="00622055"/>
    <w:rsid w:val="0062206C"/>
    <w:rsid w:val="0062208B"/>
    <w:rsid w:val="006221DF"/>
    <w:rsid w:val="006223B6"/>
    <w:rsid w:val="006223F6"/>
    <w:rsid w:val="006224CC"/>
    <w:rsid w:val="00622686"/>
    <w:rsid w:val="006226C6"/>
    <w:rsid w:val="00622B5A"/>
    <w:rsid w:val="00622C83"/>
    <w:rsid w:val="00622D7A"/>
    <w:rsid w:val="00622DD4"/>
    <w:rsid w:val="00622DEF"/>
    <w:rsid w:val="00622E52"/>
    <w:rsid w:val="00622F5A"/>
    <w:rsid w:val="00623294"/>
    <w:rsid w:val="006234C9"/>
    <w:rsid w:val="006234EE"/>
    <w:rsid w:val="00623716"/>
    <w:rsid w:val="006238C6"/>
    <w:rsid w:val="00623B61"/>
    <w:rsid w:val="00623C1C"/>
    <w:rsid w:val="00623D03"/>
    <w:rsid w:val="006240EB"/>
    <w:rsid w:val="00624302"/>
    <w:rsid w:val="00624363"/>
    <w:rsid w:val="00624430"/>
    <w:rsid w:val="00624518"/>
    <w:rsid w:val="006245B7"/>
    <w:rsid w:val="006245ED"/>
    <w:rsid w:val="006245FC"/>
    <w:rsid w:val="00624807"/>
    <w:rsid w:val="00624818"/>
    <w:rsid w:val="0062488C"/>
    <w:rsid w:val="0062489F"/>
    <w:rsid w:val="006248D6"/>
    <w:rsid w:val="0062497D"/>
    <w:rsid w:val="006249F8"/>
    <w:rsid w:val="00624A0E"/>
    <w:rsid w:val="00624A27"/>
    <w:rsid w:val="00624A6E"/>
    <w:rsid w:val="00624A82"/>
    <w:rsid w:val="00624AD0"/>
    <w:rsid w:val="00624AEB"/>
    <w:rsid w:val="00624B4C"/>
    <w:rsid w:val="00624C22"/>
    <w:rsid w:val="00624C49"/>
    <w:rsid w:val="00624E5E"/>
    <w:rsid w:val="00624FD8"/>
    <w:rsid w:val="0062507C"/>
    <w:rsid w:val="006250CF"/>
    <w:rsid w:val="006250F9"/>
    <w:rsid w:val="006251B5"/>
    <w:rsid w:val="00625262"/>
    <w:rsid w:val="00625283"/>
    <w:rsid w:val="0062532F"/>
    <w:rsid w:val="00625421"/>
    <w:rsid w:val="0062551D"/>
    <w:rsid w:val="0062552E"/>
    <w:rsid w:val="0062556C"/>
    <w:rsid w:val="0062559D"/>
    <w:rsid w:val="00625601"/>
    <w:rsid w:val="00625625"/>
    <w:rsid w:val="006257C2"/>
    <w:rsid w:val="0062585C"/>
    <w:rsid w:val="00625979"/>
    <w:rsid w:val="00625980"/>
    <w:rsid w:val="00625999"/>
    <w:rsid w:val="00625A39"/>
    <w:rsid w:val="00625AD6"/>
    <w:rsid w:val="00625BF6"/>
    <w:rsid w:val="00625BF7"/>
    <w:rsid w:val="00625D65"/>
    <w:rsid w:val="00625DCB"/>
    <w:rsid w:val="00625F54"/>
    <w:rsid w:val="0062627C"/>
    <w:rsid w:val="00626344"/>
    <w:rsid w:val="006263E7"/>
    <w:rsid w:val="0062653A"/>
    <w:rsid w:val="00626549"/>
    <w:rsid w:val="006265EA"/>
    <w:rsid w:val="00626905"/>
    <w:rsid w:val="0062691F"/>
    <w:rsid w:val="00626B5E"/>
    <w:rsid w:val="00626B7F"/>
    <w:rsid w:val="00626DEC"/>
    <w:rsid w:val="00626ED3"/>
    <w:rsid w:val="00626F63"/>
    <w:rsid w:val="00626FD8"/>
    <w:rsid w:val="006272B2"/>
    <w:rsid w:val="006272E3"/>
    <w:rsid w:val="00627330"/>
    <w:rsid w:val="006274E3"/>
    <w:rsid w:val="006276BF"/>
    <w:rsid w:val="00627865"/>
    <w:rsid w:val="006278E9"/>
    <w:rsid w:val="00627A09"/>
    <w:rsid w:val="00627C1C"/>
    <w:rsid w:val="00627C48"/>
    <w:rsid w:val="00627E50"/>
    <w:rsid w:val="00627FF9"/>
    <w:rsid w:val="00630244"/>
    <w:rsid w:val="00630337"/>
    <w:rsid w:val="006303F5"/>
    <w:rsid w:val="0063048E"/>
    <w:rsid w:val="006304FB"/>
    <w:rsid w:val="00630780"/>
    <w:rsid w:val="00630B99"/>
    <w:rsid w:val="00630BB1"/>
    <w:rsid w:val="00630BC0"/>
    <w:rsid w:val="00630C2E"/>
    <w:rsid w:val="00631038"/>
    <w:rsid w:val="00631075"/>
    <w:rsid w:val="0063108C"/>
    <w:rsid w:val="006310C7"/>
    <w:rsid w:val="00631227"/>
    <w:rsid w:val="006312EC"/>
    <w:rsid w:val="006313D6"/>
    <w:rsid w:val="00631502"/>
    <w:rsid w:val="00631676"/>
    <w:rsid w:val="006316D5"/>
    <w:rsid w:val="00631928"/>
    <w:rsid w:val="00631A66"/>
    <w:rsid w:val="00631B87"/>
    <w:rsid w:val="00631BEA"/>
    <w:rsid w:val="00631D55"/>
    <w:rsid w:val="00631EC8"/>
    <w:rsid w:val="00631F45"/>
    <w:rsid w:val="0063207F"/>
    <w:rsid w:val="00632191"/>
    <w:rsid w:val="00632215"/>
    <w:rsid w:val="00632365"/>
    <w:rsid w:val="006323D1"/>
    <w:rsid w:val="006323E6"/>
    <w:rsid w:val="006323FB"/>
    <w:rsid w:val="0063250A"/>
    <w:rsid w:val="00632521"/>
    <w:rsid w:val="00632580"/>
    <w:rsid w:val="00632581"/>
    <w:rsid w:val="0063262D"/>
    <w:rsid w:val="0063288F"/>
    <w:rsid w:val="006328A7"/>
    <w:rsid w:val="00632AFF"/>
    <w:rsid w:val="00632B07"/>
    <w:rsid w:val="00632B34"/>
    <w:rsid w:val="00632C28"/>
    <w:rsid w:val="00632D33"/>
    <w:rsid w:val="00633211"/>
    <w:rsid w:val="006332EA"/>
    <w:rsid w:val="0063334A"/>
    <w:rsid w:val="00633401"/>
    <w:rsid w:val="00633434"/>
    <w:rsid w:val="00633508"/>
    <w:rsid w:val="00633551"/>
    <w:rsid w:val="00633770"/>
    <w:rsid w:val="00633793"/>
    <w:rsid w:val="0063379A"/>
    <w:rsid w:val="00633969"/>
    <w:rsid w:val="0063397B"/>
    <w:rsid w:val="00633ADC"/>
    <w:rsid w:val="00633B63"/>
    <w:rsid w:val="00633B6B"/>
    <w:rsid w:val="00633BA6"/>
    <w:rsid w:val="00633BEB"/>
    <w:rsid w:val="00633C31"/>
    <w:rsid w:val="00633C51"/>
    <w:rsid w:val="00633CA8"/>
    <w:rsid w:val="00633DD6"/>
    <w:rsid w:val="00633E34"/>
    <w:rsid w:val="006340AD"/>
    <w:rsid w:val="006341A5"/>
    <w:rsid w:val="00634333"/>
    <w:rsid w:val="00634801"/>
    <w:rsid w:val="00634816"/>
    <w:rsid w:val="00634A05"/>
    <w:rsid w:val="00634B3C"/>
    <w:rsid w:val="00634F18"/>
    <w:rsid w:val="00634F85"/>
    <w:rsid w:val="00634FFB"/>
    <w:rsid w:val="006350B1"/>
    <w:rsid w:val="00635208"/>
    <w:rsid w:val="006352A3"/>
    <w:rsid w:val="0063538E"/>
    <w:rsid w:val="00635439"/>
    <w:rsid w:val="006354BA"/>
    <w:rsid w:val="006355F7"/>
    <w:rsid w:val="00635752"/>
    <w:rsid w:val="0063583B"/>
    <w:rsid w:val="006358C3"/>
    <w:rsid w:val="006359BF"/>
    <w:rsid w:val="00635C53"/>
    <w:rsid w:val="00635D8A"/>
    <w:rsid w:val="00635E90"/>
    <w:rsid w:val="00635EB8"/>
    <w:rsid w:val="0063608D"/>
    <w:rsid w:val="0063610B"/>
    <w:rsid w:val="006361FA"/>
    <w:rsid w:val="006362E1"/>
    <w:rsid w:val="00636312"/>
    <w:rsid w:val="006363B7"/>
    <w:rsid w:val="00636413"/>
    <w:rsid w:val="006365C8"/>
    <w:rsid w:val="006366F3"/>
    <w:rsid w:val="006366F6"/>
    <w:rsid w:val="00636820"/>
    <w:rsid w:val="006368F4"/>
    <w:rsid w:val="006369A4"/>
    <w:rsid w:val="00636C9D"/>
    <w:rsid w:val="00636D97"/>
    <w:rsid w:val="0063701F"/>
    <w:rsid w:val="00637214"/>
    <w:rsid w:val="0063728B"/>
    <w:rsid w:val="006372FE"/>
    <w:rsid w:val="0063741D"/>
    <w:rsid w:val="00637866"/>
    <w:rsid w:val="00637AB4"/>
    <w:rsid w:val="00637AE3"/>
    <w:rsid w:val="00637BF9"/>
    <w:rsid w:val="00637C20"/>
    <w:rsid w:val="00637DCD"/>
    <w:rsid w:val="00637DEF"/>
    <w:rsid w:val="00640241"/>
    <w:rsid w:val="0064044E"/>
    <w:rsid w:val="0064046B"/>
    <w:rsid w:val="006404C1"/>
    <w:rsid w:val="0064059B"/>
    <w:rsid w:val="006405E6"/>
    <w:rsid w:val="006406F8"/>
    <w:rsid w:val="00640755"/>
    <w:rsid w:val="006407F2"/>
    <w:rsid w:val="00640A4D"/>
    <w:rsid w:val="00640A52"/>
    <w:rsid w:val="00640CA7"/>
    <w:rsid w:val="00640D53"/>
    <w:rsid w:val="00640D7C"/>
    <w:rsid w:val="00640E02"/>
    <w:rsid w:val="00640E6E"/>
    <w:rsid w:val="00641213"/>
    <w:rsid w:val="00641283"/>
    <w:rsid w:val="006412CE"/>
    <w:rsid w:val="00641674"/>
    <w:rsid w:val="00641756"/>
    <w:rsid w:val="006419F2"/>
    <w:rsid w:val="00641E15"/>
    <w:rsid w:val="00641F7A"/>
    <w:rsid w:val="0064218A"/>
    <w:rsid w:val="006422A5"/>
    <w:rsid w:val="00642518"/>
    <w:rsid w:val="00642695"/>
    <w:rsid w:val="00642755"/>
    <w:rsid w:val="0064278F"/>
    <w:rsid w:val="00642791"/>
    <w:rsid w:val="006428BA"/>
    <w:rsid w:val="00642A3E"/>
    <w:rsid w:val="00642AF1"/>
    <w:rsid w:val="00642B32"/>
    <w:rsid w:val="00642BE8"/>
    <w:rsid w:val="00642C53"/>
    <w:rsid w:val="00642E00"/>
    <w:rsid w:val="00642F3F"/>
    <w:rsid w:val="00643093"/>
    <w:rsid w:val="0064310D"/>
    <w:rsid w:val="00643144"/>
    <w:rsid w:val="006434E6"/>
    <w:rsid w:val="006435BC"/>
    <w:rsid w:val="006436A0"/>
    <w:rsid w:val="006437CD"/>
    <w:rsid w:val="00643C35"/>
    <w:rsid w:val="00643C3B"/>
    <w:rsid w:val="00643D45"/>
    <w:rsid w:val="00643D58"/>
    <w:rsid w:val="00643D62"/>
    <w:rsid w:val="00643E6E"/>
    <w:rsid w:val="00643EC1"/>
    <w:rsid w:val="00643F5C"/>
    <w:rsid w:val="00644067"/>
    <w:rsid w:val="006440C0"/>
    <w:rsid w:val="00644283"/>
    <w:rsid w:val="00644586"/>
    <w:rsid w:val="006446CF"/>
    <w:rsid w:val="00644802"/>
    <w:rsid w:val="006449A6"/>
    <w:rsid w:val="006449F6"/>
    <w:rsid w:val="00644AFF"/>
    <w:rsid w:val="00644BFF"/>
    <w:rsid w:val="00644C9D"/>
    <w:rsid w:val="00644D48"/>
    <w:rsid w:val="00644E10"/>
    <w:rsid w:val="00644E3D"/>
    <w:rsid w:val="006450CE"/>
    <w:rsid w:val="00645156"/>
    <w:rsid w:val="0064520A"/>
    <w:rsid w:val="006452BC"/>
    <w:rsid w:val="00645381"/>
    <w:rsid w:val="00645597"/>
    <w:rsid w:val="00645648"/>
    <w:rsid w:val="006456EB"/>
    <w:rsid w:val="0064579B"/>
    <w:rsid w:val="0064584C"/>
    <w:rsid w:val="00645944"/>
    <w:rsid w:val="006459DC"/>
    <w:rsid w:val="00645A56"/>
    <w:rsid w:val="00645A8F"/>
    <w:rsid w:val="00645AD9"/>
    <w:rsid w:val="00645AE0"/>
    <w:rsid w:val="00645BB6"/>
    <w:rsid w:val="00645BFF"/>
    <w:rsid w:val="00645C47"/>
    <w:rsid w:val="00645CB6"/>
    <w:rsid w:val="00645E2B"/>
    <w:rsid w:val="00645EC9"/>
    <w:rsid w:val="00645F65"/>
    <w:rsid w:val="00645F7F"/>
    <w:rsid w:val="006460B8"/>
    <w:rsid w:val="006461EF"/>
    <w:rsid w:val="0064621D"/>
    <w:rsid w:val="006462D3"/>
    <w:rsid w:val="00646513"/>
    <w:rsid w:val="006466D0"/>
    <w:rsid w:val="006467A2"/>
    <w:rsid w:val="00646980"/>
    <w:rsid w:val="006469F7"/>
    <w:rsid w:val="00646DB2"/>
    <w:rsid w:val="006470D7"/>
    <w:rsid w:val="0064714C"/>
    <w:rsid w:val="00647521"/>
    <w:rsid w:val="0064752E"/>
    <w:rsid w:val="006475E7"/>
    <w:rsid w:val="00647648"/>
    <w:rsid w:val="0064770E"/>
    <w:rsid w:val="00647876"/>
    <w:rsid w:val="00647A1B"/>
    <w:rsid w:val="00647ACD"/>
    <w:rsid w:val="00647B4A"/>
    <w:rsid w:val="00647BF7"/>
    <w:rsid w:val="00647CC3"/>
    <w:rsid w:val="00647D1E"/>
    <w:rsid w:val="00647DB6"/>
    <w:rsid w:val="00650054"/>
    <w:rsid w:val="0065005F"/>
    <w:rsid w:val="00650070"/>
    <w:rsid w:val="006500B3"/>
    <w:rsid w:val="006500FC"/>
    <w:rsid w:val="006504A7"/>
    <w:rsid w:val="0065051E"/>
    <w:rsid w:val="00650593"/>
    <w:rsid w:val="00650778"/>
    <w:rsid w:val="0065078C"/>
    <w:rsid w:val="006507C8"/>
    <w:rsid w:val="0065093C"/>
    <w:rsid w:val="00650A3E"/>
    <w:rsid w:val="00650A5A"/>
    <w:rsid w:val="00650B57"/>
    <w:rsid w:val="00650D38"/>
    <w:rsid w:val="00650F8E"/>
    <w:rsid w:val="00651047"/>
    <w:rsid w:val="006511BB"/>
    <w:rsid w:val="00651227"/>
    <w:rsid w:val="0065127B"/>
    <w:rsid w:val="0065129D"/>
    <w:rsid w:val="006513B4"/>
    <w:rsid w:val="006514E8"/>
    <w:rsid w:val="00651652"/>
    <w:rsid w:val="006517D3"/>
    <w:rsid w:val="0065191E"/>
    <w:rsid w:val="00651A48"/>
    <w:rsid w:val="00651CAE"/>
    <w:rsid w:val="00651D92"/>
    <w:rsid w:val="00651DF0"/>
    <w:rsid w:val="00651FB3"/>
    <w:rsid w:val="00652034"/>
    <w:rsid w:val="006521A3"/>
    <w:rsid w:val="006521E7"/>
    <w:rsid w:val="0065225C"/>
    <w:rsid w:val="006522F2"/>
    <w:rsid w:val="00652436"/>
    <w:rsid w:val="00652717"/>
    <w:rsid w:val="006528DB"/>
    <w:rsid w:val="00652911"/>
    <w:rsid w:val="00652B5A"/>
    <w:rsid w:val="00652C49"/>
    <w:rsid w:val="00652D31"/>
    <w:rsid w:val="00653051"/>
    <w:rsid w:val="0065309D"/>
    <w:rsid w:val="0065315C"/>
    <w:rsid w:val="0065325A"/>
    <w:rsid w:val="00653876"/>
    <w:rsid w:val="006539A2"/>
    <w:rsid w:val="00653C68"/>
    <w:rsid w:val="00653C8D"/>
    <w:rsid w:val="00653D27"/>
    <w:rsid w:val="00653D36"/>
    <w:rsid w:val="00653E95"/>
    <w:rsid w:val="00653EF3"/>
    <w:rsid w:val="00653FE8"/>
    <w:rsid w:val="00654047"/>
    <w:rsid w:val="0065406B"/>
    <w:rsid w:val="0065418B"/>
    <w:rsid w:val="0065468A"/>
    <w:rsid w:val="006546E8"/>
    <w:rsid w:val="00654807"/>
    <w:rsid w:val="006549F0"/>
    <w:rsid w:val="00654A38"/>
    <w:rsid w:val="00654AD3"/>
    <w:rsid w:val="00654B1F"/>
    <w:rsid w:val="00654C9B"/>
    <w:rsid w:val="00654D10"/>
    <w:rsid w:val="00654D68"/>
    <w:rsid w:val="00654DB3"/>
    <w:rsid w:val="006550F9"/>
    <w:rsid w:val="0065520A"/>
    <w:rsid w:val="00655230"/>
    <w:rsid w:val="00655241"/>
    <w:rsid w:val="006552EA"/>
    <w:rsid w:val="0065533A"/>
    <w:rsid w:val="006553D7"/>
    <w:rsid w:val="00655447"/>
    <w:rsid w:val="006558BB"/>
    <w:rsid w:val="00655A2C"/>
    <w:rsid w:val="00655A55"/>
    <w:rsid w:val="00655B93"/>
    <w:rsid w:val="00655C0A"/>
    <w:rsid w:val="00655CE5"/>
    <w:rsid w:val="00655D73"/>
    <w:rsid w:val="00655E49"/>
    <w:rsid w:val="006560BE"/>
    <w:rsid w:val="00656140"/>
    <w:rsid w:val="00656432"/>
    <w:rsid w:val="00656600"/>
    <w:rsid w:val="0065664C"/>
    <w:rsid w:val="006567EE"/>
    <w:rsid w:val="0065691D"/>
    <w:rsid w:val="00656969"/>
    <w:rsid w:val="00656B29"/>
    <w:rsid w:val="00656E30"/>
    <w:rsid w:val="00657049"/>
    <w:rsid w:val="0065719C"/>
    <w:rsid w:val="00657248"/>
    <w:rsid w:val="006573D6"/>
    <w:rsid w:val="006575B0"/>
    <w:rsid w:val="006575E7"/>
    <w:rsid w:val="00657928"/>
    <w:rsid w:val="00657950"/>
    <w:rsid w:val="00657999"/>
    <w:rsid w:val="00657AD8"/>
    <w:rsid w:val="00657BDB"/>
    <w:rsid w:val="00657D1F"/>
    <w:rsid w:val="00657DAE"/>
    <w:rsid w:val="0066019C"/>
    <w:rsid w:val="006603FE"/>
    <w:rsid w:val="00660469"/>
    <w:rsid w:val="0066047F"/>
    <w:rsid w:val="006605A0"/>
    <w:rsid w:val="006607E1"/>
    <w:rsid w:val="006608DE"/>
    <w:rsid w:val="00660933"/>
    <w:rsid w:val="006609EC"/>
    <w:rsid w:val="006609FB"/>
    <w:rsid w:val="00660B4B"/>
    <w:rsid w:val="00661080"/>
    <w:rsid w:val="006612FA"/>
    <w:rsid w:val="00661349"/>
    <w:rsid w:val="0066139C"/>
    <w:rsid w:val="006613F2"/>
    <w:rsid w:val="006616B3"/>
    <w:rsid w:val="00661870"/>
    <w:rsid w:val="00661981"/>
    <w:rsid w:val="00661ACB"/>
    <w:rsid w:val="00661C3B"/>
    <w:rsid w:val="00661CEE"/>
    <w:rsid w:val="00661D54"/>
    <w:rsid w:val="00661DE0"/>
    <w:rsid w:val="00662162"/>
    <w:rsid w:val="006621AA"/>
    <w:rsid w:val="006621C4"/>
    <w:rsid w:val="00662238"/>
    <w:rsid w:val="0066234F"/>
    <w:rsid w:val="006627CB"/>
    <w:rsid w:val="00662852"/>
    <w:rsid w:val="0066293E"/>
    <w:rsid w:val="0066298A"/>
    <w:rsid w:val="00662B33"/>
    <w:rsid w:val="00662CEE"/>
    <w:rsid w:val="00662D7C"/>
    <w:rsid w:val="00662DEA"/>
    <w:rsid w:val="00662F72"/>
    <w:rsid w:val="00662F98"/>
    <w:rsid w:val="00663191"/>
    <w:rsid w:val="00663253"/>
    <w:rsid w:val="0066332B"/>
    <w:rsid w:val="00663570"/>
    <w:rsid w:val="006635DC"/>
    <w:rsid w:val="00663602"/>
    <w:rsid w:val="006637D5"/>
    <w:rsid w:val="00663824"/>
    <w:rsid w:val="0066382D"/>
    <w:rsid w:val="00663975"/>
    <w:rsid w:val="00663A25"/>
    <w:rsid w:val="00663B42"/>
    <w:rsid w:val="00663C4A"/>
    <w:rsid w:val="00663D0B"/>
    <w:rsid w:val="00663D26"/>
    <w:rsid w:val="00663E84"/>
    <w:rsid w:val="00663ED5"/>
    <w:rsid w:val="00664019"/>
    <w:rsid w:val="006640ED"/>
    <w:rsid w:val="00664177"/>
    <w:rsid w:val="006641D1"/>
    <w:rsid w:val="0066430E"/>
    <w:rsid w:val="0066435D"/>
    <w:rsid w:val="0066444E"/>
    <w:rsid w:val="00664468"/>
    <w:rsid w:val="006644C6"/>
    <w:rsid w:val="0066458D"/>
    <w:rsid w:val="006645A3"/>
    <w:rsid w:val="00664908"/>
    <w:rsid w:val="00664B10"/>
    <w:rsid w:val="00664B7E"/>
    <w:rsid w:val="00664CFA"/>
    <w:rsid w:val="006650A4"/>
    <w:rsid w:val="0066518B"/>
    <w:rsid w:val="006651A8"/>
    <w:rsid w:val="006653A3"/>
    <w:rsid w:val="0066578D"/>
    <w:rsid w:val="006657EF"/>
    <w:rsid w:val="006659A4"/>
    <w:rsid w:val="006659AC"/>
    <w:rsid w:val="00665A44"/>
    <w:rsid w:val="00665A8C"/>
    <w:rsid w:val="00665C04"/>
    <w:rsid w:val="00665C3E"/>
    <w:rsid w:val="00665D4B"/>
    <w:rsid w:val="00665DCF"/>
    <w:rsid w:val="00665E60"/>
    <w:rsid w:val="00666350"/>
    <w:rsid w:val="006663BB"/>
    <w:rsid w:val="0066649C"/>
    <w:rsid w:val="00666601"/>
    <w:rsid w:val="0066675B"/>
    <w:rsid w:val="00666834"/>
    <w:rsid w:val="00666F13"/>
    <w:rsid w:val="00667490"/>
    <w:rsid w:val="006674AE"/>
    <w:rsid w:val="0066762F"/>
    <w:rsid w:val="0066775C"/>
    <w:rsid w:val="006677A5"/>
    <w:rsid w:val="00667818"/>
    <w:rsid w:val="00667940"/>
    <w:rsid w:val="00667A9E"/>
    <w:rsid w:val="00667B19"/>
    <w:rsid w:val="00667B21"/>
    <w:rsid w:val="00667C34"/>
    <w:rsid w:val="00667C3F"/>
    <w:rsid w:val="00667CE0"/>
    <w:rsid w:val="00667D8A"/>
    <w:rsid w:val="00667DAF"/>
    <w:rsid w:val="00667E0F"/>
    <w:rsid w:val="00667FC5"/>
    <w:rsid w:val="0067001C"/>
    <w:rsid w:val="00670036"/>
    <w:rsid w:val="00670039"/>
    <w:rsid w:val="00670311"/>
    <w:rsid w:val="006704B3"/>
    <w:rsid w:val="00670588"/>
    <w:rsid w:val="0067073B"/>
    <w:rsid w:val="006707CA"/>
    <w:rsid w:val="0067081E"/>
    <w:rsid w:val="00670B58"/>
    <w:rsid w:val="00670B96"/>
    <w:rsid w:val="00670CC2"/>
    <w:rsid w:val="00670E32"/>
    <w:rsid w:val="006710FD"/>
    <w:rsid w:val="006711E4"/>
    <w:rsid w:val="00671303"/>
    <w:rsid w:val="00671407"/>
    <w:rsid w:val="00671C99"/>
    <w:rsid w:val="00671CDF"/>
    <w:rsid w:val="00671DF0"/>
    <w:rsid w:val="00671FAD"/>
    <w:rsid w:val="00671FDA"/>
    <w:rsid w:val="00672160"/>
    <w:rsid w:val="006722C9"/>
    <w:rsid w:val="00672366"/>
    <w:rsid w:val="00672460"/>
    <w:rsid w:val="00672592"/>
    <w:rsid w:val="006725D2"/>
    <w:rsid w:val="006726B8"/>
    <w:rsid w:val="006727D1"/>
    <w:rsid w:val="006727EE"/>
    <w:rsid w:val="006729B9"/>
    <w:rsid w:val="00672A64"/>
    <w:rsid w:val="00672CA7"/>
    <w:rsid w:val="00672E92"/>
    <w:rsid w:val="00672EC5"/>
    <w:rsid w:val="00672EEA"/>
    <w:rsid w:val="00672F65"/>
    <w:rsid w:val="0067304D"/>
    <w:rsid w:val="006730F4"/>
    <w:rsid w:val="006731BF"/>
    <w:rsid w:val="006733E2"/>
    <w:rsid w:val="00673400"/>
    <w:rsid w:val="00673492"/>
    <w:rsid w:val="006735A1"/>
    <w:rsid w:val="006735C7"/>
    <w:rsid w:val="006736C8"/>
    <w:rsid w:val="0067385F"/>
    <w:rsid w:val="0067388A"/>
    <w:rsid w:val="00673ACE"/>
    <w:rsid w:val="00673B43"/>
    <w:rsid w:val="00673B46"/>
    <w:rsid w:val="00673C1D"/>
    <w:rsid w:val="00673CAC"/>
    <w:rsid w:val="00673DF0"/>
    <w:rsid w:val="00673E2C"/>
    <w:rsid w:val="00673EA8"/>
    <w:rsid w:val="00674133"/>
    <w:rsid w:val="00674215"/>
    <w:rsid w:val="00674315"/>
    <w:rsid w:val="0067443C"/>
    <w:rsid w:val="006745D5"/>
    <w:rsid w:val="006746D8"/>
    <w:rsid w:val="006747E4"/>
    <w:rsid w:val="00674801"/>
    <w:rsid w:val="00674878"/>
    <w:rsid w:val="006749AD"/>
    <w:rsid w:val="006749AF"/>
    <w:rsid w:val="006749F6"/>
    <w:rsid w:val="00674BE1"/>
    <w:rsid w:val="00674C86"/>
    <w:rsid w:val="00674D11"/>
    <w:rsid w:val="00674D6C"/>
    <w:rsid w:val="00674D78"/>
    <w:rsid w:val="00674FC5"/>
    <w:rsid w:val="00675064"/>
    <w:rsid w:val="006751A4"/>
    <w:rsid w:val="00675399"/>
    <w:rsid w:val="006753E6"/>
    <w:rsid w:val="006755DB"/>
    <w:rsid w:val="00675780"/>
    <w:rsid w:val="00675876"/>
    <w:rsid w:val="00675A36"/>
    <w:rsid w:val="00675A3A"/>
    <w:rsid w:val="00675A79"/>
    <w:rsid w:val="00675ACF"/>
    <w:rsid w:val="00675B04"/>
    <w:rsid w:val="00675B2D"/>
    <w:rsid w:val="00675C77"/>
    <w:rsid w:val="00675C96"/>
    <w:rsid w:val="00675D7A"/>
    <w:rsid w:val="00675E3E"/>
    <w:rsid w:val="00675F32"/>
    <w:rsid w:val="00676028"/>
    <w:rsid w:val="0067602E"/>
    <w:rsid w:val="006761BB"/>
    <w:rsid w:val="006761EB"/>
    <w:rsid w:val="0067624A"/>
    <w:rsid w:val="006762E5"/>
    <w:rsid w:val="00676478"/>
    <w:rsid w:val="00676531"/>
    <w:rsid w:val="00676619"/>
    <w:rsid w:val="0067668D"/>
    <w:rsid w:val="0067668F"/>
    <w:rsid w:val="00676735"/>
    <w:rsid w:val="006768AC"/>
    <w:rsid w:val="00676B02"/>
    <w:rsid w:val="00676B39"/>
    <w:rsid w:val="00676ECD"/>
    <w:rsid w:val="00676FD4"/>
    <w:rsid w:val="00677033"/>
    <w:rsid w:val="006771B5"/>
    <w:rsid w:val="006774D0"/>
    <w:rsid w:val="006775C7"/>
    <w:rsid w:val="00677655"/>
    <w:rsid w:val="00677683"/>
    <w:rsid w:val="006776D5"/>
    <w:rsid w:val="006779A5"/>
    <w:rsid w:val="006779BA"/>
    <w:rsid w:val="00677B38"/>
    <w:rsid w:val="00677C4E"/>
    <w:rsid w:val="00677CE5"/>
    <w:rsid w:val="00677DC9"/>
    <w:rsid w:val="00677DE9"/>
    <w:rsid w:val="00677E57"/>
    <w:rsid w:val="0068001E"/>
    <w:rsid w:val="006801A9"/>
    <w:rsid w:val="0068029B"/>
    <w:rsid w:val="006805A4"/>
    <w:rsid w:val="006807F6"/>
    <w:rsid w:val="00680852"/>
    <w:rsid w:val="00680950"/>
    <w:rsid w:val="00680ABB"/>
    <w:rsid w:val="00680B96"/>
    <w:rsid w:val="00680C1D"/>
    <w:rsid w:val="00680D5E"/>
    <w:rsid w:val="00680D84"/>
    <w:rsid w:val="00680DEE"/>
    <w:rsid w:val="00680FDF"/>
    <w:rsid w:val="00680FEE"/>
    <w:rsid w:val="006810EA"/>
    <w:rsid w:val="0068111C"/>
    <w:rsid w:val="00681130"/>
    <w:rsid w:val="00681188"/>
    <w:rsid w:val="006811BF"/>
    <w:rsid w:val="00681540"/>
    <w:rsid w:val="006815A9"/>
    <w:rsid w:val="00681648"/>
    <w:rsid w:val="006816B4"/>
    <w:rsid w:val="006818C1"/>
    <w:rsid w:val="00681A69"/>
    <w:rsid w:val="00681AE4"/>
    <w:rsid w:val="00681B60"/>
    <w:rsid w:val="00681BE4"/>
    <w:rsid w:val="00681E07"/>
    <w:rsid w:val="00681EAE"/>
    <w:rsid w:val="00681F02"/>
    <w:rsid w:val="0068218C"/>
    <w:rsid w:val="006821C4"/>
    <w:rsid w:val="006822AA"/>
    <w:rsid w:val="00682446"/>
    <w:rsid w:val="006825A9"/>
    <w:rsid w:val="00682652"/>
    <w:rsid w:val="00682884"/>
    <w:rsid w:val="006828C1"/>
    <w:rsid w:val="006828F8"/>
    <w:rsid w:val="00682948"/>
    <w:rsid w:val="006829F6"/>
    <w:rsid w:val="00682A09"/>
    <w:rsid w:val="00682BA0"/>
    <w:rsid w:val="00682CCF"/>
    <w:rsid w:val="00682DD5"/>
    <w:rsid w:val="00682E23"/>
    <w:rsid w:val="00682EEC"/>
    <w:rsid w:val="00682FC6"/>
    <w:rsid w:val="00682FDD"/>
    <w:rsid w:val="00683170"/>
    <w:rsid w:val="00683279"/>
    <w:rsid w:val="0068330A"/>
    <w:rsid w:val="00683336"/>
    <w:rsid w:val="006834F2"/>
    <w:rsid w:val="0068379C"/>
    <w:rsid w:val="006838A0"/>
    <w:rsid w:val="00683967"/>
    <w:rsid w:val="00683A62"/>
    <w:rsid w:val="00683ADA"/>
    <w:rsid w:val="00683AE9"/>
    <w:rsid w:val="00683C65"/>
    <w:rsid w:val="00683DF2"/>
    <w:rsid w:val="00683EB9"/>
    <w:rsid w:val="006840E9"/>
    <w:rsid w:val="00684141"/>
    <w:rsid w:val="00684485"/>
    <w:rsid w:val="006844C9"/>
    <w:rsid w:val="0068484E"/>
    <w:rsid w:val="006848CE"/>
    <w:rsid w:val="0068497E"/>
    <w:rsid w:val="0068498D"/>
    <w:rsid w:val="00684A02"/>
    <w:rsid w:val="00684A76"/>
    <w:rsid w:val="00684AA5"/>
    <w:rsid w:val="00684B9C"/>
    <w:rsid w:val="00684CC3"/>
    <w:rsid w:val="00684CD2"/>
    <w:rsid w:val="00684CF2"/>
    <w:rsid w:val="00684D39"/>
    <w:rsid w:val="00684D3F"/>
    <w:rsid w:val="00684F3F"/>
    <w:rsid w:val="00684F6A"/>
    <w:rsid w:val="00684FFA"/>
    <w:rsid w:val="00684FFF"/>
    <w:rsid w:val="006850DD"/>
    <w:rsid w:val="006853E2"/>
    <w:rsid w:val="006856FF"/>
    <w:rsid w:val="0068570A"/>
    <w:rsid w:val="00685733"/>
    <w:rsid w:val="0068585F"/>
    <w:rsid w:val="00685A78"/>
    <w:rsid w:val="00685AA6"/>
    <w:rsid w:val="00685B76"/>
    <w:rsid w:val="00685CB7"/>
    <w:rsid w:val="00685CE1"/>
    <w:rsid w:val="00685D9E"/>
    <w:rsid w:val="00685E80"/>
    <w:rsid w:val="0068600C"/>
    <w:rsid w:val="00686147"/>
    <w:rsid w:val="006861F9"/>
    <w:rsid w:val="006862F9"/>
    <w:rsid w:val="006864E6"/>
    <w:rsid w:val="00686563"/>
    <w:rsid w:val="0068666D"/>
    <w:rsid w:val="0068666E"/>
    <w:rsid w:val="006866D7"/>
    <w:rsid w:val="006868E0"/>
    <w:rsid w:val="0068695B"/>
    <w:rsid w:val="0068699A"/>
    <w:rsid w:val="00686A60"/>
    <w:rsid w:val="00686B8A"/>
    <w:rsid w:val="00686CCC"/>
    <w:rsid w:val="00686E85"/>
    <w:rsid w:val="00686EC9"/>
    <w:rsid w:val="00687042"/>
    <w:rsid w:val="0068704A"/>
    <w:rsid w:val="006871DE"/>
    <w:rsid w:val="00687463"/>
    <w:rsid w:val="00687529"/>
    <w:rsid w:val="00687728"/>
    <w:rsid w:val="006877C7"/>
    <w:rsid w:val="006878F9"/>
    <w:rsid w:val="00687A17"/>
    <w:rsid w:val="00687A67"/>
    <w:rsid w:val="00687AE6"/>
    <w:rsid w:val="00687CB2"/>
    <w:rsid w:val="00687CEA"/>
    <w:rsid w:val="00687F23"/>
    <w:rsid w:val="006900B8"/>
    <w:rsid w:val="00690262"/>
    <w:rsid w:val="00690286"/>
    <w:rsid w:val="0069030D"/>
    <w:rsid w:val="00690372"/>
    <w:rsid w:val="00690449"/>
    <w:rsid w:val="00690569"/>
    <w:rsid w:val="0069056A"/>
    <w:rsid w:val="006907B8"/>
    <w:rsid w:val="00690817"/>
    <w:rsid w:val="0069097D"/>
    <w:rsid w:val="00690B10"/>
    <w:rsid w:val="00690CD5"/>
    <w:rsid w:val="00690E6D"/>
    <w:rsid w:val="00690FA8"/>
    <w:rsid w:val="00690FDE"/>
    <w:rsid w:val="0069116D"/>
    <w:rsid w:val="0069117B"/>
    <w:rsid w:val="0069125A"/>
    <w:rsid w:val="00691576"/>
    <w:rsid w:val="006915F6"/>
    <w:rsid w:val="00691757"/>
    <w:rsid w:val="00691859"/>
    <w:rsid w:val="00691E36"/>
    <w:rsid w:val="006921D9"/>
    <w:rsid w:val="00692305"/>
    <w:rsid w:val="0069237E"/>
    <w:rsid w:val="006926F4"/>
    <w:rsid w:val="0069277F"/>
    <w:rsid w:val="006927E7"/>
    <w:rsid w:val="0069286E"/>
    <w:rsid w:val="00692A78"/>
    <w:rsid w:val="00692DBA"/>
    <w:rsid w:val="00692EA6"/>
    <w:rsid w:val="00692ECE"/>
    <w:rsid w:val="00693162"/>
    <w:rsid w:val="0069363A"/>
    <w:rsid w:val="006938E3"/>
    <w:rsid w:val="00693A35"/>
    <w:rsid w:val="00693AD0"/>
    <w:rsid w:val="00693C44"/>
    <w:rsid w:val="00693D74"/>
    <w:rsid w:val="00693DBF"/>
    <w:rsid w:val="00693F47"/>
    <w:rsid w:val="00693F89"/>
    <w:rsid w:val="00693FA5"/>
    <w:rsid w:val="006942CF"/>
    <w:rsid w:val="00694300"/>
    <w:rsid w:val="006945CB"/>
    <w:rsid w:val="00694600"/>
    <w:rsid w:val="00694792"/>
    <w:rsid w:val="00694955"/>
    <w:rsid w:val="00694B1E"/>
    <w:rsid w:val="00694B5E"/>
    <w:rsid w:val="00694B79"/>
    <w:rsid w:val="00694E1A"/>
    <w:rsid w:val="00694ECE"/>
    <w:rsid w:val="00695061"/>
    <w:rsid w:val="00695191"/>
    <w:rsid w:val="00695343"/>
    <w:rsid w:val="00695562"/>
    <w:rsid w:val="00695921"/>
    <w:rsid w:val="00695A2F"/>
    <w:rsid w:val="00695A8C"/>
    <w:rsid w:val="00695B83"/>
    <w:rsid w:val="00695C51"/>
    <w:rsid w:val="00695C62"/>
    <w:rsid w:val="00695F06"/>
    <w:rsid w:val="00695FA7"/>
    <w:rsid w:val="006960BF"/>
    <w:rsid w:val="00696147"/>
    <w:rsid w:val="006962F6"/>
    <w:rsid w:val="006963C1"/>
    <w:rsid w:val="0069648E"/>
    <w:rsid w:val="00696502"/>
    <w:rsid w:val="0069652D"/>
    <w:rsid w:val="006965DB"/>
    <w:rsid w:val="006966E7"/>
    <w:rsid w:val="00696B7A"/>
    <w:rsid w:val="00696CD2"/>
    <w:rsid w:val="00696CD9"/>
    <w:rsid w:val="00696E09"/>
    <w:rsid w:val="00697038"/>
    <w:rsid w:val="00697083"/>
    <w:rsid w:val="006970C3"/>
    <w:rsid w:val="006970DC"/>
    <w:rsid w:val="00697436"/>
    <w:rsid w:val="00697439"/>
    <w:rsid w:val="00697448"/>
    <w:rsid w:val="00697658"/>
    <w:rsid w:val="00697726"/>
    <w:rsid w:val="00697734"/>
    <w:rsid w:val="006978F2"/>
    <w:rsid w:val="006979BE"/>
    <w:rsid w:val="00697A30"/>
    <w:rsid w:val="00697A39"/>
    <w:rsid w:val="00697A43"/>
    <w:rsid w:val="00697ADF"/>
    <w:rsid w:val="00697B49"/>
    <w:rsid w:val="00697C6D"/>
    <w:rsid w:val="006A00A5"/>
    <w:rsid w:val="006A028E"/>
    <w:rsid w:val="006A030C"/>
    <w:rsid w:val="006A0330"/>
    <w:rsid w:val="006A0382"/>
    <w:rsid w:val="006A03A7"/>
    <w:rsid w:val="006A0438"/>
    <w:rsid w:val="006A0738"/>
    <w:rsid w:val="006A089B"/>
    <w:rsid w:val="006A0BB4"/>
    <w:rsid w:val="006A0D63"/>
    <w:rsid w:val="006A0FAA"/>
    <w:rsid w:val="006A0FF3"/>
    <w:rsid w:val="006A100D"/>
    <w:rsid w:val="006A102F"/>
    <w:rsid w:val="006A11DA"/>
    <w:rsid w:val="006A1201"/>
    <w:rsid w:val="006A12BC"/>
    <w:rsid w:val="006A14A2"/>
    <w:rsid w:val="006A152F"/>
    <w:rsid w:val="006A1860"/>
    <w:rsid w:val="006A1893"/>
    <w:rsid w:val="006A18BF"/>
    <w:rsid w:val="006A1931"/>
    <w:rsid w:val="006A1982"/>
    <w:rsid w:val="006A19EE"/>
    <w:rsid w:val="006A1B37"/>
    <w:rsid w:val="006A1BB9"/>
    <w:rsid w:val="006A1BD8"/>
    <w:rsid w:val="006A1CA0"/>
    <w:rsid w:val="006A1D72"/>
    <w:rsid w:val="006A1D7D"/>
    <w:rsid w:val="006A1DA4"/>
    <w:rsid w:val="006A1E03"/>
    <w:rsid w:val="006A1E2E"/>
    <w:rsid w:val="006A229C"/>
    <w:rsid w:val="006A229F"/>
    <w:rsid w:val="006A22A3"/>
    <w:rsid w:val="006A2CEE"/>
    <w:rsid w:val="006A2D22"/>
    <w:rsid w:val="006A2E0E"/>
    <w:rsid w:val="006A2E55"/>
    <w:rsid w:val="006A2EC4"/>
    <w:rsid w:val="006A2F41"/>
    <w:rsid w:val="006A2F95"/>
    <w:rsid w:val="006A30B7"/>
    <w:rsid w:val="006A314B"/>
    <w:rsid w:val="006A3156"/>
    <w:rsid w:val="006A32C2"/>
    <w:rsid w:val="006A32DE"/>
    <w:rsid w:val="006A3365"/>
    <w:rsid w:val="006A33BA"/>
    <w:rsid w:val="006A33FC"/>
    <w:rsid w:val="006A37F5"/>
    <w:rsid w:val="006A38B1"/>
    <w:rsid w:val="006A3ACC"/>
    <w:rsid w:val="006A3B9F"/>
    <w:rsid w:val="006A3BB1"/>
    <w:rsid w:val="006A3C78"/>
    <w:rsid w:val="006A3D14"/>
    <w:rsid w:val="006A3DEC"/>
    <w:rsid w:val="006A3E79"/>
    <w:rsid w:val="006A3F0A"/>
    <w:rsid w:val="006A3F18"/>
    <w:rsid w:val="006A4025"/>
    <w:rsid w:val="006A4053"/>
    <w:rsid w:val="006A4192"/>
    <w:rsid w:val="006A41E5"/>
    <w:rsid w:val="006A43F5"/>
    <w:rsid w:val="006A45B5"/>
    <w:rsid w:val="006A45B9"/>
    <w:rsid w:val="006A460A"/>
    <w:rsid w:val="006A4782"/>
    <w:rsid w:val="006A4793"/>
    <w:rsid w:val="006A49F6"/>
    <w:rsid w:val="006A4B94"/>
    <w:rsid w:val="006A4D4C"/>
    <w:rsid w:val="006A4E65"/>
    <w:rsid w:val="006A4E93"/>
    <w:rsid w:val="006A4EF1"/>
    <w:rsid w:val="006A4F23"/>
    <w:rsid w:val="006A50E1"/>
    <w:rsid w:val="006A53AB"/>
    <w:rsid w:val="006A53AF"/>
    <w:rsid w:val="006A54E1"/>
    <w:rsid w:val="006A56E8"/>
    <w:rsid w:val="006A5753"/>
    <w:rsid w:val="006A5838"/>
    <w:rsid w:val="006A59BB"/>
    <w:rsid w:val="006A5A18"/>
    <w:rsid w:val="006A5D11"/>
    <w:rsid w:val="006A5D3D"/>
    <w:rsid w:val="006A5F14"/>
    <w:rsid w:val="006A5F3A"/>
    <w:rsid w:val="006A5FB1"/>
    <w:rsid w:val="006A60DC"/>
    <w:rsid w:val="006A6438"/>
    <w:rsid w:val="006A646C"/>
    <w:rsid w:val="006A6617"/>
    <w:rsid w:val="006A68A8"/>
    <w:rsid w:val="006A6901"/>
    <w:rsid w:val="006A6926"/>
    <w:rsid w:val="006A695B"/>
    <w:rsid w:val="006A6AE2"/>
    <w:rsid w:val="006A6D81"/>
    <w:rsid w:val="006A6DE0"/>
    <w:rsid w:val="006A6E45"/>
    <w:rsid w:val="006A6E52"/>
    <w:rsid w:val="006A715D"/>
    <w:rsid w:val="006A71E1"/>
    <w:rsid w:val="006A725E"/>
    <w:rsid w:val="006A735F"/>
    <w:rsid w:val="006A778F"/>
    <w:rsid w:val="006A77FD"/>
    <w:rsid w:val="006A7830"/>
    <w:rsid w:val="006A78C6"/>
    <w:rsid w:val="006A7C79"/>
    <w:rsid w:val="006A7D79"/>
    <w:rsid w:val="006A7E04"/>
    <w:rsid w:val="006A7E54"/>
    <w:rsid w:val="006A7EAB"/>
    <w:rsid w:val="006A7FC8"/>
    <w:rsid w:val="006B00C8"/>
    <w:rsid w:val="006B018B"/>
    <w:rsid w:val="006B01E2"/>
    <w:rsid w:val="006B02A9"/>
    <w:rsid w:val="006B03F3"/>
    <w:rsid w:val="006B067E"/>
    <w:rsid w:val="006B06C4"/>
    <w:rsid w:val="006B07F7"/>
    <w:rsid w:val="006B0810"/>
    <w:rsid w:val="006B087A"/>
    <w:rsid w:val="006B093B"/>
    <w:rsid w:val="006B099B"/>
    <w:rsid w:val="006B0A56"/>
    <w:rsid w:val="006B0F76"/>
    <w:rsid w:val="006B110C"/>
    <w:rsid w:val="006B12DD"/>
    <w:rsid w:val="006B14C3"/>
    <w:rsid w:val="006B150F"/>
    <w:rsid w:val="006B16F8"/>
    <w:rsid w:val="006B18EC"/>
    <w:rsid w:val="006B198E"/>
    <w:rsid w:val="006B1C2B"/>
    <w:rsid w:val="006B1C97"/>
    <w:rsid w:val="006B1CB0"/>
    <w:rsid w:val="006B1E2C"/>
    <w:rsid w:val="006B1E75"/>
    <w:rsid w:val="006B2094"/>
    <w:rsid w:val="006B209A"/>
    <w:rsid w:val="006B21E7"/>
    <w:rsid w:val="006B2252"/>
    <w:rsid w:val="006B22B9"/>
    <w:rsid w:val="006B248C"/>
    <w:rsid w:val="006B26A1"/>
    <w:rsid w:val="006B26C6"/>
    <w:rsid w:val="006B275C"/>
    <w:rsid w:val="006B2B82"/>
    <w:rsid w:val="006B2C0E"/>
    <w:rsid w:val="006B2C77"/>
    <w:rsid w:val="006B2D90"/>
    <w:rsid w:val="006B2E89"/>
    <w:rsid w:val="006B2F36"/>
    <w:rsid w:val="006B2FC7"/>
    <w:rsid w:val="006B32D3"/>
    <w:rsid w:val="006B35C3"/>
    <w:rsid w:val="006B38A8"/>
    <w:rsid w:val="006B3B6A"/>
    <w:rsid w:val="006B3EF2"/>
    <w:rsid w:val="006B3FBD"/>
    <w:rsid w:val="006B40ED"/>
    <w:rsid w:val="006B41DD"/>
    <w:rsid w:val="006B4227"/>
    <w:rsid w:val="006B4266"/>
    <w:rsid w:val="006B4455"/>
    <w:rsid w:val="006B4976"/>
    <w:rsid w:val="006B49B8"/>
    <w:rsid w:val="006B49D3"/>
    <w:rsid w:val="006B4C64"/>
    <w:rsid w:val="006B4CFE"/>
    <w:rsid w:val="006B4D25"/>
    <w:rsid w:val="006B4F11"/>
    <w:rsid w:val="006B4FBB"/>
    <w:rsid w:val="006B5115"/>
    <w:rsid w:val="006B511E"/>
    <w:rsid w:val="006B524E"/>
    <w:rsid w:val="006B5320"/>
    <w:rsid w:val="006B5413"/>
    <w:rsid w:val="006B54CB"/>
    <w:rsid w:val="006B55C1"/>
    <w:rsid w:val="006B5796"/>
    <w:rsid w:val="006B5891"/>
    <w:rsid w:val="006B5914"/>
    <w:rsid w:val="006B5A16"/>
    <w:rsid w:val="006B5A41"/>
    <w:rsid w:val="006B5A95"/>
    <w:rsid w:val="006B5BCB"/>
    <w:rsid w:val="006B5CB0"/>
    <w:rsid w:val="006B5CDD"/>
    <w:rsid w:val="006B5D4F"/>
    <w:rsid w:val="006B605B"/>
    <w:rsid w:val="006B60BF"/>
    <w:rsid w:val="006B60C1"/>
    <w:rsid w:val="006B61C3"/>
    <w:rsid w:val="006B61F6"/>
    <w:rsid w:val="006B6307"/>
    <w:rsid w:val="006B646C"/>
    <w:rsid w:val="006B657B"/>
    <w:rsid w:val="006B66B7"/>
    <w:rsid w:val="006B67FB"/>
    <w:rsid w:val="006B6802"/>
    <w:rsid w:val="006B6908"/>
    <w:rsid w:val="006B6979"/>
    <w:rsid w:val="006B6D07"/>
    <w:rsid w:val="006B6E54"/>
    <w:rsid w:val="006B70BD"/>
    <w:rsid w:val="006B723E"/>
    <w:rsid w:val="006B77B3"/>
    <w:rsid w:val="006B79DE"/>
    <w:rsid w:val="006B7AA8"/>
    <w:rsid w:val="006B7B57"/>
    <w:rsid w:val="006B7C09"/>
    <w:rsid w:val="006B7C66"/>
    <w:rsid w:val="006B7C90"/>
    <w:rsid w:val="006B7CFF"/>
    <w:rsid w:val="006B7DC9"/>
    <w:rsid w:val="006B7DE1"/>
    <w:rsid w:val="006C0100"/>
    <w:rsid w:val="006C0298"/>
    <w:rsid w:val="006C05A7"/>
    <w:rsid w:val="006C063B"/>
    <w:rsid w:val="006C065B"/>
    <w:rsid w:val="006C06E6"/>
    <w:rsid w:val="006C076C"/>
    <w:rsid w:val="006C08C5"/>
    <w:rsid w:val="006C08D6"/>
    <w:rsid w:val="006C0954"/>
    <w:rsid w:val="006C0A70"/>
    <w:rsid w:val="006C0A9A"/>
    <w:rsid w:val="006C0AB1"/>
    <w:rsid w:val="006C0ACE"/>
    <w:rsid w:val="006C0C3E"/>
    <w:rsid w:val="006C1310"/>
    <w:rsid w:val="006C138E"/>
    <w:rsid w:val="006C1394"/>
    <w:rsid w:val="006C15C9"/>
    <w:rsid w:val="006C162A"/>
    <w:rsid w:val="006C1923"/>
    <w:rsid w:val="006C1A75"/>
    <w:rsid w:val="006C1A8C"/>
    <w:rsid w:val="006C1A9A"/>
    <w:rsid w:val="006C1AB9"/>
    <w:rsid w:val="006C1BFD"/>
    <w:rsid w:val="006C1C00"/>
    <w:rsid w:val="006C1C51"/>
    <w:rsid w:val="006C1D17"/>
    <w:rsid w:val="006C1EDF"/>
    <w:rsid w:val="006C1F0D"/>
    <w:rsid w:val="006C2040"/>
    <w:rsid w:val="006C2601"/>
    <w:rsid w:val="006C2889"/>
    <w:rsid w:val="006C2977"/>
    <w:rsid w:val="006C2986"/>
    <w:rsid w:val="006C2A3E"/>
    <w:rsid w:val="006C2CEC"/>
    <w:rsid w:val="006C2CED"/>
    <w:rsid w:val="006C2D78"/>
    <w:rsid w:val="006C2DBC"/>
    <w:rsid w:val="006C2F07"/>
    <w:rsid w:val="006C2F9F"/>
    <w:rsid w:val="006C30F2"/>
    <w:rsid w:val="006C30FB"/>
    <w:rsid w:val="006C3215"/>
    <w:rsid w:val="006C3296"/>
    <w:rsid w:val="006C32B2"/>
    <w:rsid w:val="006C32FE"/>
    <w:rsid w:val="006C3465"/>
    <w:rsid w:val="006C34C6"/>
    <w:rsid w:val="006C357B"/>
    <w:rsid w:val="006C3717"/>
    <w:rsid w:val="006C37A0"/>
    <w:rsid w:val="006C3887"/>
    <w:rsid w:val="006C39CA"/>
    <w:rsid w:val="006C3AFD"/>
    <w:rsid w:val="006C3BF9"/>
    <w:rsid w:val="006C3C44"/>
    <w:rsid w:val="006C3C92"/>
    <w:rsid w:val="006C3ED7"/>
    <w:rsid w:val="006C444C"/>
    <w:rsid w:val="006C45A6"/>
    <w:rsid w:val="006C45F5"/>
    <w:rsid w:val="006C47A3"/>
    <w:rsid w:val="006C4813"/>
    <w:rsid w:val="006C4B93"/>
    <w:rsid w:val="006C4D1D"/>
    <w:rsid w:val="006C4D66"/>
    <w:rsid w:val="006C4DA6"/>
    <w:rsid w:val="006C5087"/>
    <w:rsid w:val="006C522D"/>
    <w:rsid w:val="006C53A4"/>
    <w:rsid w:val="006C54B1"/>
    <w:rsid w:val="006C5506"/>
    <w:rsid w:val="006C5721"/>
    <w:rsid w:val="006C5775"/>
    <w:rsid w:val="006C57BF"/>
    <w:rsid w:val="006C5842"/>
    <w:rsid w:val="006C5864"/>
    <w:rsid w:val="006C5868"/>
    <w:rsid w:val="006C590F"/>
    <w:rsid w:val="006C5923"/>
    <w:rsid w:val="006C5B9F"/>
    <w:rsid w:val="006C5C0E"/>
    <w:rsid w:val="006C5D95"/>
    <w:rsid w:val="006C5F1D"/>
    <w:rsid w:val="006C5F84"/>
    <w:rsid w:val="006C5FAA"/>
    <w:rsid w:val="006C604B"/>
    <w:rsid w:val="006C6078"/>
    <w:rsid w:val="006C6092"/>
    <w:rsid w:val="006C62F9"/>
    <w:rsid w:val="006C63DB"/>
    <w:rsid w:val="006C6402"/>
    <w:rsid w:val="006C648B"/>
    <w:rsid w:val="006C648E"/>
    <w:rsid w:val="006C64EB"/>
    <w:rsid w:val="006C6660"/>
    <w:rsid w:val="006C6789"/>
    <w:rsid w:val="006C68A1"/>
    <w:rsid w:val="006C69F3"/>
    <w:rsid w:val="006C6B5D"/>
    <w:rsid w:val="006C6D00"/>
    <w:rsid w:val="006C6E44"/>
    <w:rsid w:val="006C6E87"/>
    <w:rsid w:val="006C701B"/>
    <w:rsid w:val="006C705F"/>
    <w:rsid w:val="006C7478"/>
    <w:rsid w:val="006C74B4"/>
    <w:rsid w:val="006C7539"/>
    <w:rsid w:val="006C7564"/>
    <w:rsid w:val="006C75F0"/>
    <w:rsid w:val="006C768B"/>
    <w:rsid w:val="006C769E"/>
    <w:rsid w:val="006C7713"/>
    <w:rsid w:val="006C788F"/>
    <w:rsid w:val="006C7A14"/>
    <w:rsid w:val="006C7A84"/>
    <w:rsid w:val="006C7AF5"/>
    <w:rsid w:val="006C7C2A"/>
    <w:rsid w:val="006C7EED"/>
    <w:rsid w:val="006C7F13"/>
    <w:rsid w:val="006D0163"/>
    <w:rsid w:val="006D021A"/>
    <w:rsid w:val="006D0246"/>
    <w:rsid w:val="006D036E"/>
    <w:rsid w:val="006D03BE"/>
    <w:rsid w:val="006D04C7"/>
    <w:rsid w:val="006D071C"/>
    <w:rsid w:val="006D0838"/>
    <w:rsid w:val="006D0881"/>
    <w:rsid w:val="006D089B"/>
    <w:rsid w:val="006D0B7B"/>
    <w:rsid w:val="006D0C74"/>
    <w:rsid w:val="006D0D65"/>
    <w:rsid w:val="006D0D87"/>
    <w:rsid w:val="006D0EAF"/>
    <w:rsid w:val="006D0F1C"/>
    <w:rsid w:val="006D0F27"/>
    <w:rsid w:val="006D0F58"/>
    <w:rsid w:val="006D0FEE"/>
    <w:rsid w:val="006D11EA"/>
    <w:rsid w:val="006D1373"/>
    <w:rsid w:val="006D1387"/>
    <w:rsid w:val="006D1537"/>
    <w:rsid w:val="006D154C"/>
    <w:rsid w:val="006D16D3"/>
    <w:rsid w:val="006D16E5"/>
    <w:rsid w:val="006D1881"/>
    <w:rsid w:val="006D18C9"/>
    <w:rsid w:val="006D190F"/>
    <w:rsid w:val="006D193A"/>
    <w:rsid w:val="006D1ACB"/>
    <w:rsid w:val="006D1B2A"/>
    <w:rsid w:val="006D1B40"/>
    <w:rsid w:val="006D2061"/>
    <w:rsid w:val="006D2215"/>
    <w:rsid w:val="006D2476"/>
    <w:rsid w:val="006D2635"/>
    <w:rsid w:val="006D28F8"/>
    <w:rsid w:val="006D2AA7"/>
    <w:rsid w:val="006D2CA7"/>
    <w:rsid w:val="006D2D48"/>
    <w:rsid w:val="006D2E85"/>
    <w:rsid w:val="006D315A"/>
    <w:rsid w:val="006D32BB"/>
    <w:rsid w:val="006D3374"/>
    <w:rsid w:val="006D339E"/>
    <w:rsid w:val="006D33EB"/>
    <w:rsid w:val="006D34FE"/>
    <w:rsid w:val="006D3643"/>
    <w:rsid w:val="006D3697"/>
    <w:rsid w:val="006D36D3"/>
    <w:rsid w:val="006D38CA"/>
    <w:rsid w:val="006D3CFE"/>
    <w:rsid w:val="006D3E45"/>
    <w:rsid w:val="006D3F95"/>
    <w:rsid w:val="006D3FFF"/>
    <w:rsid w:val="006D43E6"/>
    <w:rsid w:val="006D4406"/>
    <w:rsid w:val="006D46EC"/>
    <w:rsid w:val="006D478A"/>
    <w:rsid w:val="006D4A24"/>
    <w:rsid w:val="006D4AFA"/>
    <w:rsid w:val="006D4B30"/>
    <w:rsid w:val="006D4BDB"/>
    <w:rsid w:val="006D4BFE"/>
    <w:rsid w:val="006D4D1D"/>
    <w:rsid w:val="006D4DF1"/>
    <w:rsid w:val="006D4ED3"/>
    <w:rsid w:val="006D4FBC"/>
    <w:rsid w:val="006D5025"/>
    <w:rsid w:val="006D5284"/>
    <w:rsid w:val="006D5414"/>
    <w:rsid w:val="006D5539"/>
    <w:rsid w:val="006D5661"/>
    <w:rsid w:val="006D56C2"/>
    <w:rsid w:val="006D56F5"/>
    <w:rsid w:val="006D57FE"/>
    <w:rsid w:val="006D5921"/>
    <w:rsid w:val="006D5974"/>
    <w:rsid w:val="006D5B52"/>
    <w:rsid w:val="006D5BDD"/>
    <w:rsid w:val="006D5C9F"/>
    <w:rsid w:val="006D5E36"/>
    <w:rsid w:val="006D5E73"/>
    <w:rsid w:val="006D5F12"/>
    <w:rsid w:val="006D5FF6"/>
    <w:rsid w:val="006D6141"/>
    <w:rsid w:val="006D6191"/>
    <w:rsid w:val="006D642E"/>
    <w:rsid w:val="006D64C9"/>
    <w:rsid w:val="006D6517"/>
    <w:rsid w:val="006D6802"/>
    <w:rsid w:val="006D6968"/>
    <w:rsid w:val="006D69D8"/>
    <w:rsid w:val="006D6B92"/>
    <w:rsid w:val="006D6B97"/>
    <w:rsid w:val="006D72A2"/>
    <w:rsid w:val="006D7363"/>
    <w:rsid w:val="006D743D"/>
    <w:rsid w:val="006D750A"/>
    <w:rsid w:val="006D770A"/>
    <w:rsid w:val="006D78D8"/>
    <w:rsid w:val="006D78F0"/>
    <w:rsid w:val="006D7A7F"/>
    <w:rsid w:val="006D7BCA"/>
    <w:rsid w:val="006D7CFF"/>
    <w:rsid w:val="006D7D1E"/>
    <w:rsid w:val="006E0100"/>
    <w:rsid w:val="006E01A6"/>
    <w:rsid w:val="006E03C8"/>
    <w:rsid w:val="006E068D"/>
    <w:rsid w:val="006E06E9"/>
    <w:rsid w:val="006E0BB8"/>
    <w:rsid w:val="006E0BF1"/>
    <w:rsid w:val="006E0C0A"/>
    <w:rsid w:val="006E0E49"/>
    <w:rsid w:val="006E102E"/>
    <w:rsid w:val="006E1066"/>
    <w:rsid w:val="006E1160"/>
    <w:rsid w:val="006E11BB"/>
    <w:rsid w:val="006E12DB"/>
    <w:rsid w:val="006E13C8"/>
    <w:rsid w:val="006E13D4"/>
    <w:rsid w:val="006E1408"/>
    <w:rsid w:val="006E14B5"/>
    <w:rsid w:val="006E14E2"/>
    <w:rsid w:val="006E16BA"/>
    <w:rsid w:val="006E17BC"/>
    <w:rsid w:val="006E184D"/>
    <w:rsid w:val="006E18CF"/>
    <w:rsid w:val="006E1B23"/>
    <w:rsid w:val="006E1BDA"/>
    <w:rsid w:val="006E1C71"/>
    <w:rsid w:val="006E1D8E"/>
    <w:rsid w:val="006E1E21"/>
    <w:rsid w:val="006E1E57"/>
    <w:rsid w:val="006E2070"/>
    <w:rsid w:val="006E2091"/>
    <w:rsid w:val="006E20A2"/>
    <w:rsid w:val="006E20E8"/>
    <w:rsid w:val="006E224E"/>
    <w:rsid w:val="006E2283"/>
    <w:rsid w:val="006E23FF"/>
    <w:rsid w:val="006E25CE"/>
    <w:rsid w:val="006E25EB"/>
    <w:rsid w:val="006E2603"/>
    <w:rsid w:val="006E265D"/>
    <w:rsid w:val="006E2845"/>
    <w:rsid w:val="006E2854"/>
    <w:rsid w:val="006E28AB"/>
    <w:rsid w:val="006E28DC"/>
    <w:rsid w:val="006E2949"/>
    <w:rsid w:val="006E2CA2"/>
    <w:rsid w:val="006E2F3B"/>
    <w:rsid w:val="006E2FAC"/>
    <w:rsid w:val="006E3213"/>
    <w:rsid w:val="006E32D5"/>
    <w:rsid w:val="006E340D"/>
    <w:rsid w:val="006E352B"/>
    <w:rsid w:val="006E3574"/>
    <w:rsid w:val="006E35F4"/>
    <w:rsid w:val="006E369E"/>
    <w:rsid w:val="006E396A"/>
    <w:rsid w:val="006E3983"/>
    <w:rsid w:val="006E3AAA"/>
    <w:rsid w:val="006E3BFA"/>
    <w:rsid w:val="006E3C4F"/>
    <w:rsid w:val="006E3D96"/>
    <w:rsid w:val="006E3E06"/>
    <w:rsid w:val="006E401E"/>
    <w:rsid w:val="006E40D8"/>
    <w:rsid w:val="006E44B6"/>
    <w:rsid w:val="006E44D0"/>
    <w:rsid w:val="006E4515"/>
    <w:rsid w:val="006E455A"/>
    <w:rsid w:val="006E4575"/>
    <w:rsid w:val="006E45E3"/>
    <w:rsid w:val="006E47C7"/>
    <w:rsid w:val="006E47D4"/>
    <w:rsid w:val="006E49B0"/>
    <w:rsid w:val="006E4D00"/>
    <w:rsid w:val="006E4D43"/>
    <w:rsid w:val="006E4EE3"/>
    <w:rsid w:val="006E4F09"/>
    <w:rsid w:val="006E4FA0"/>
    <w:rsid w:val="006E4FAA"/>
    <w:rsid w:val="006E50EC"/>
    <w:rsid w:val="006E513E"/>
    <w:rsid w:val="006E5185"/>
    <w:rsid w:val="006E5274"/>
    <w:rsid w:val="006E527E"/>
    <w:rsid w:val="006E5286"/>
    <w:rsid w:val="006E5337"/>
    <w:rsid w:val="006E53A2"/>
    <w:rsid w:val="006E53DC"/>
    <w:rsid w:val="006E561C"/>
    <w:rsid w:val="006E5716"/>
    <w:rsid w:val="006E5AE6"/>
    <w:rsid w:val="006E5B8B"/>
    <w:rsid w:val="006E5DD5"/>
    <w:rsid w:val="006E5F9B"/>
    <w:rsid w:val="006E617F"/>
    <w:rsid w:val="006E634F"/>
    <w:rsid w:val="006E635B"/>
    <w:rsid w:val="006E6528"/>
    <w:rsid w:val="006E6846"/>
    <w:rsid w:val="006E68DC"/>
    <w:rsid w:val="006E6A76"/>
    <w:rsid w:val="006E6BE3"/>
    <w:rsid w:val="006E6C79"/>
    <w:rsid w:val="006E7363"/>
    <w:rsid w:val="006E73CB"/>
    <w:rsid w:val="006E74E0"/>
    <w:rsid w:val="006E7613"/>
    <w:rsid w:val="006E763F"/>
    <w:rsid w:val="006E7703"/>
    <w:rsid w:val="006E79E8"/>
    <w:rsid w:val="006E7A49"/>
    <w:rsid w:val="006E7AE8"/>
    <w:rsid w:val="006E7C33"/>
    <w:rsid w:val="006E7C8A"/>
    <w:rsid w:val="006E7D12"/>
    <w:rsid w:val="006E7DF2"/>
    <w:rsid w:val="006F0247"/>
    <w:rsid w:val="006F0337"/>
    <w:rsid w:val="006F07AF"/>
    <w:rsid w:val="006F0AFF"/>
    <w:rsid w:val="006F0D3E"/>
    <w:rsid w:val="006F0E0B"/>
    <w:rsid w:val="006F1200"/>
    <w:rsid w:val="006F121B"/>
    <w:rsid w:val="006F1266"/>
    <w:rsid w:val="006F1271"/>
    <w:rsid w:val="006F13D3"/>
    <w:rsid w:val="006F14F7"/>
    <w:rsid w:val="006F1613"/>
    <w:rsid w:val="006F16AC"/>
    <w:rsid w:val="006F17A0"/>
    <w:rsid w:val="006F182C"/>
    <w:rsid w:val="006F190F"/>
    <w:rsid w:val="006F1934"/>
    <w:rsid w:val="006F19EB"/>
    <w:rsid w:val="006F1A3E"/>
    <w:rsid w:val="006F1AFD"/>
    <w:rsid w:val="006F1BB5"/>
    <w:rsid w:val="006F1E6C"/>
    <w:rsid w:val="006F1F87"/>
    <w:rsid w:val="006F219C"/>
    <w:rsid w:val="006F21EC"/>
    <w:rsid w:val="006F23CD"/>
    <w:rsid w:val="006F286A"/>
    <w:rsid w:val="006F2888"/>
    <w:rsid w:val="006F28A0"/>
    <w:rsid w:val="006F2BFD"/>
    <w:rsid w:val="006F3132"/>
    <w:rsid w:val="006F3151"/>
    <w:rsid w:val="006F3222"/>
    <w:rsid w:val="006F32DB"/>
    <w:rsid w:val="006F3403"/>
    <w:rsid w:val="006F35C3"/>
    <w:rsid w:val="006F3757"/>
    <w:rsid w:val="006F37DE"/>
    <w:rsid w:val="006F3955"/>
    <w:rsid w:val="006F3961"/>
    <w:rsid w:val="006F3B8B"/>
    <w:rsid w:val="006F3C2B"/>
    <w:rsid w:val="006F3D67"/>
    <w:rsid w:val="006F3D7A"/>
    <w:rsid w:val="006F3DBD"/>
    <w:rsid w:val="006F3E8B"/>
    <w:rsid w:val="006F3F52"/>
    <w:rsid w:val="006F407F"/>
    <w:rsid w:val="006F431A"/>
    <w:rsid w:val="006F44C8"/>
    <w:rsid w:val="006F457A"/>
    <w:rsid w:val="006F48DD"/>
    <w:rsid w:val="006F49F9"/>
    <w:rsid w:val="006F4A70"/>
    <w:rsid w:val="006F4D2D"/>
    <w:rsid w:val="006F500E"/>
    <w:rsid w:val="006F5085"/>
    <w:rsid w:val="006F50AB"/>
    <w:rsid w:val="006F5115"/>
    <w:rsid w:val="006F5204"/>
    <w:rsid w:val="006F557E"/>
    <w:rsid w:val="006F55DF"/>
    <w:rsid w:val="006F5665"/>
    <w:rsid w:val="006F56C4"/>
    <w:rsid w:val="006F584A"/>
    <w:rsid w:val="006F58DD"/>
    <w:rsid w:val="006F5A92"/>
    <w:rsid w:val="006F5AE9"/>
    <w:rsid w:val="006F5CE8"/>
    <w:rsid w:val="006F5DA4"/>
    <w:rsid w:val="006F5DBC"/>
    <w:rsid w:val="006F5E19"/>
    <w:rsid w:val="006F5E36"/>
    <w:rsid w:val="006F5E71"/>
    <w:rsid w:val="006F603D"/>
    <w:rsid w:val="006F6125"/>
    <w:rsid w:val="006F612F"/>
    <w:rsid w:val="006F6142"/>
    <w:rsid w:val="006F658B"/>
    <w:rsid w:val="006F6599"/>
    <w:rsid w:val="006F6644"/>
    <w:rsid w:val="006F67F0"/>
    <w:rsid w:val="006F690A"/>
    <w:rsid w:val="006F6986"/>
    <w:rsid w:val="006F6B36"/>
    <w:rsid w:val="006F6C70"/>
    <w:rsid w:val="006F6C71"/>
    <w:rsid w:val="006F6D71"/>
    <w:rsid w:val="006F6E9D"/>
    <w:rsid w:val="006F7062"/>
    <w:rsid w:val="006F70C0"/>
    <w:rsid w:val="006F72BC"/>
    <w:rsid w:val="006F732E"/>
    <w:rsid w:val="006F73C0"/>
    <w:rsid w:val="006F7486"/>
    <w:rsid w:val="006F76EA"/>
    <w:rsid w:val="006F7934"/>
    <w:rsid w:val="006F7956"/>
    <w:rsid w:val="006F79DC"/>
    <w:rsid w:val="006F7A4C"/>
    <w:rsid w:val="006F7AC6"/>
    <w:rsid w:val="006F7AE1"/>
    <w:rsid w:val="006F7B37"/>
    <w:rsid w:val="006F7B4A"/>
    <w:rsid w:val="006F7CDC"/>
    <w:rsid w:val="006F7E26"/>
    <w:rsid w:val="006F7F9E"/>
    <w:rsid w:val="006FEDC9"/>
    <w:rsid w:val="00700004"/>
    <w:rsid w:val="0070007A"/>
    <w:rsid w:val="00700152"/>
    <w:rsid w:val="007001DF"/>
    <w:rsid w:val="00700238"/>
    <w:rsid w:val="007002F6"/>
    <w:rsid w:val="007003FC"/>
    <w:rsid w:val="0070043B"/>
    <w:rsid w:val="00700518"/>
    <w:rsid w:val="00700639"/>
    <w:rsid w:val="007006DA"/>
    <w:rsid w:val="00700787"/>
    <w:rsid w:val="0070085C"/>
    <w:rsid w:val="007009FF"/>
    <w:rsid w:val="00700A35"/>
    <w:rsid w:val="00700CD0"/>
    <w:rsid w:val="00700D70"/>
    <w:rsid w:val="00700E28"/>
    <w:rsid w:val="00700E53"/>
    <w:rsid w:val="00700F79"/>
    <w:rsid w:val="00701126"/>
    <w:rsid w:val="007011CC"/>
    <w:rsid w:val="007011FA"/>
    <w:rsid w:val="0070144B"/>
    <w:rsid w:val="00701478"/>
    <w:rsid w:val="0070150A"/>
    <w:rsid w:val="00701573"/>
    <w:rsid w:val="007015E8"/>
    <w:rsid w:val="007016BA"/>
    <w:rsid w:val="007017B5"/>
    <w:rsid w:val="0070191A"/>
    <w:rsid w:val="007019B7"/>
    <w:rsid w:val="00701A6F"/>
    <w:rsid w:val="00701AD0"/>
    <w:rsid w:val="00701AE1"/>
    <w:rsid w:val="00701B33"/>
    <w:rsid w:val="00701C05"/>
    <w:rsid w:val="00701C2B"/>
    <w:rsid w:val="00701D01"/>
    <w:rsid w:val="00701E46"/>
    <w:rsid w:val="00701E53"/>
    <w:rsid w:val="00701FDA"/>
    <w:rsid w:val="007020B6"/>
    <w:rsid w:val="0070210C"/>
    <w:rsid w:val="007021FE"/>
    <w:rsid w:val="0070239F"/>
    <w:rsid w:val="00702689"/>
    <w:rsid w:val="00702702"/>
    <w:rsid w:val="007027A7"/>
    <w:rsid w:val="007027EC"/>
    <w:rsid w:val="00702996"/>
    <w:rsid w:val="007029A8"/>
    <w:rsid w:val="00702ABD"/>
    <w:rsid w:val="00702C87"/>
    <w:rsid w:val="00702E15"/>
    <w:rsid w:val="00702FE6"/>
    <w:rsid w:val="0070302D"/>
    <w:rsid w:val="007033CF"/>
    <w:rsid w:val="0070361A"/>
    <w:rsid w:val="0070368E"/>
    <w:rsid w:val="00703693"/>
    <w:rsid w:val="007037CF"/>
    <w:rsid w:val="00703829"/>
    <w:rsid w:val="007038FE"/>
    <w:rsid w:val="00703936"/>
    <w:rsid w:val="00703960"/>
    <w:rsid w:val="007039BF"/>
    <w:rsid w:val="00703A94"/>
    <w:rsid w:val="00703D08"/>
    <w:rsid w:val="00703DC3"/>
    <w:rsid w:val="00703F01"/>
    <w:rsid w:val="00703F34"/>
    <w:rsid w:val="007040E2"/>
    <w:rsid w:val="00704169"/>
    <w:rsid w:val="00704283"/>
    <w:rsid w:val="007042E4"/>
    <w:rsid w:val="00704393"/>
    <w:rsid w:val="007044B2"/>
    <w:rsid w:val="007044C5"/>
    <w:rsid w:val="007045D4"/>
    <w:rsid w:val="007046B3"/>
    <w:rsid w:val="007046D8"/>
    <w:rsid w:val="007046EF"/>
    <w:rsid w:val="00704810"/>
    <w:rsid w:val="0070484B"/>
    <w:rsid w:val="0070496E"/>
    <w:rsid w:val="007049F0"/>
    <w:rsid w:val="00704D90"/>
    <w:rsid w:val="00704D9D"/>
    <w:rsid w:val="00704E32"/>
    <w:rsid w:val="00704F6D"/>
    <w:rsid w:val="007051CE"/>
    <w:rsid w:val="0070530E"/>
    <w:rsid w:val="0070557F"/>
    <w:rsid w:val="0070569B"/>
    <w:rsid w:val="0070574C"/>
    <w:rsid w:val="0070598D"/>
    <w:rsid w:val="007059A2"/>
    <w:rsid w:val="00705A34"/>
    <w:rsid w:val="00705ABB"/>
    <w:rsid w:val="00705B52"/>
    <w:rsid w:val="00705BB5"/>
    <w:rsid w:val="00705CE3"/>
    <w:rsid w:val="00705F37"/>
    <w:rsid w:val="00705F54"/>
    <w:rsid w:val="00705FFA"/>
    <w:rsid w:val="00706106"/>
    <w:rsid w:val="0070629B"/>
    <w:rsid w:val="00706317"/>
    <w:rsid w:val="00706418"/>
    <w:rsid w:val="00706505"/>
    <w:rsid w:val="007065EF"/>
    <w:rsid w:val="00706616"/>
    <w:rsid w:val="00706636"/>
    <w:rsid w:val="0070677B"/>
    <w:rsid w:val="00706953"/>
    <w:rsid w:val="00706B1E"/>
    <w:rsid w:val="00706B45"/>
    <w:rsid w:val="00706C9E"/>
    <w:rsid w:val="00706EC8"/>
    <w:rsid w:val="00706EF2"/>
    <w:rsid w:val="00706F79"/>
    <w:rsid w:val="00706FE0"/>
    <w:rsid w:val="00706FFB"/>
    <w:rsid w:val="0070715B"/>
    <w:rsid w:val="0070718C"/>
    <w:rsid w:val="007073FD"/>
    <w:rsid w:val="0070741A"/>
    <w:rsid w:val="007075A9"/>
    <w:rsid w:val="00707843"/>
    <w:rsid w:val="007078BD"/>
    <w:rsid w:val="0070790B"/>
    <w:rsid w:val="00707A95"/>
    <w:rsid w:val="00707A9E"/>
    <w:rsid w:val="00707B4B"/>
    <w:rsid w:val="00707BA2"/>
    <w:rsid w:val="00707DBE"/>
    <w:rsid w:val="0071028C"/>
    <w:rsid w:val="00710423"/>
    <w:rsid w:val="00710531"/>
    <w:rsid w:val="00710601"/>
    <w:rsid w:val="00710694"/>
    <w:rsid w:val="00710728"/>
    <w:rsid w:val="0071073B"/>
    <w:rsid w:val="0071075F"/>
    <w:rsid w:val="007107E3"/>
    <w:rsid w:val="0071093D"/>
    <w:rsid w:val="007109A2"/>
    <w:rsid w:val="00710A8A"/>
    <w:rsid w:val="00710AA6"/>
    <w:rsid w:val="00710B7E"/>
    <w:rsid w:val="00710C4C"/>
    <w:rsid w:val="00710DA8"/>
    <w:rsid w:val="00710DDE"/>
    <w:rsid w:val="00710E12"/>
    <w:rsid w:val="00710F40"/>
    <w:rsid w:val="00710F4F"/>
    <w:rsid w:val="00710F79"/>
    <w:rsid w:val="00710F8B"/>
    <w:rsid w:val="0071113E"/>
    <w:rsid w:val="0071116B"/>
    <w:rsid w:val="00711214"/>
    <w:rsid w:val="0071167A"/>
    <w:rsid w:val="007116BB"/>
    <w:rsid w:val="00711782"/>
    <w:rsid w:val="007117E9"/>
    <w:rsid w:val="0071189E"/>
    <w:rsid w:val="007119B3"/>
    <w:rsid w:val="007119E1"/>
    <w:rsid w:val="00711B83"/>
    <w:rsid w:val="00711BBF"/>
    <w:rsid w:val="00711D59"/>
    <w:rsid w:val="00711EBA"/>
    <w:rsid w:val="00711F7A"/>
    <w:rsid w:val="00711FF0"/>
    <w:rsid w:val="00712032"/>
    <w:rsid w:val="0071204B"/>
    <w:rsid w:val="007121D5"/>
    <w:rsid w:val="00712248"/>
    <w:rsid w:val="00712477"/>
    <w:rsid w:val="00712575"/>
    <w:rsid w:val="0071269E"/>
    <w:rsid w:val="0071271A"/>
    <w:rsid w:val="00712BD7"/>
    <w:rsid w:val="00712D6F"/>
    <w:rsid w:val="00712D70"/>
    <w:rsid w:val="00712F8E"/>
    <w:rsid w:val="00712FB2"/>
    <w:rsid w:val="0071334C"/>
    <w:rsid w:val="0071335C"/>
    <w:rsid w:val="00713678"/>
    <w:rsid w:val="0071376A"/>
    <w:rsid w:val="00713884"/>
    <w:rsid w:val="0071388C"/>
    <w:rsid w:val="007138E0"/>
    <w:rsid w:val="00713C65"/>
    <w:rsid w:val="00713DB3"/>
    <w:rsid w:val="00713DD4"/>
    <w:rsid w:val="00713E0E"/>
    <w:rsid w:val="00713F10"/>
    <w:rsid w:val="00713FD4"/>
    <w:rsid w:val="00714051"/>
    <w:rsid w:val="00714091"/>
    <w:rsid w:val="0071412C"/>
    <w:rsid w:val="00714215"/>
    <w:rsid w:val="0071431E"/>
    <w:rsid w:val="00714394"/>
    <w:rsid w:val="007149F9"/>
    <w:rsid w:val="00714A29"/>
    <w:rsid w:val="00714A72"/>
    <w:rsid w:val="00714AC3"/>
    <w:rsid w:val="00714BBB"/>
    <w:rsid w:val="00714C31"/>
    <w:rsid w:val="00714D27"/>
    <w:rsid w:val="00714EF5"/>
    <w:rsid w:val="007150C5"/>
    <w:rsid w:val="00715184"/>
    <w:rsid w:val="007151A2"/>
    <w:rsid w:val="007153BB"/>
    <w:rsid w:val="007154E0"/>
    <w:rsid w:val="00715551"/>
    <w:rsid w:val="00715796"/>
    <w:rsid w:val="00715AAE"/>
    <w:rsid w:val="00715B71"/>
    <w:rsid w:val="00715DD2"/>
    <w:rsid w:val="007161D0"/>
    <w:rsid w:val="0071626A"/>
    <w:rsid w:val="0071638C"/>
    <w:rsid w:val="0071647C"/>
    <w:rsid w:val="007164DC"/>
    <w:rsid w:val="0071657D"/>
    <w:rsid w:val="0071697D"/>
    <w:rsid w:val="00716997"/>
    <w:rsid w:val="00716A59"/>
    <w:rsid w:val="00716ADB"/>
    <w:rsid w:val="00716AE2"/>
    <w:rsid w:val="00716BE5"/>
    <w:rsid w:val="00716EFE"/>
    <w:rsid w:val="007170C8"/>
    <w:rsid w:val="00717456"/>
    <w:rsid w:val="007175D6"/>
    <w:rsid w:val="007175DE"/>
    <w:rsid w:val="007176EC"/>
    <w:rsid w:val="007177C7"/>
    <w:rsid w:val="007178A0"/>
    <w:rsid w:val="007179A3"/>
    <w:rsid w:val="00717D04"/>
    <w:rsid w:val="00717D15"/>
    <w:rsid w:val="00717D1B"/>
    <w:rsid w:val="00717E14"/>
    <w:rsid w:val="00717EDA"/>
    <w:rsid w:val="00720025"/>
    <w:rsid w:val="0072028F"/>
    <w:rsid w:val="0072075B"/>
    <w:rsid w:val="00720A4C"/>
    <w:rsid w:val="00720BD3"/>
    <w:rsid w:val="00720BEA"/>
    <w:rsid w:val="00720CF5"/>
    <w:rsid w:val="00720D04"/>
    <w:rsid w:val="00720D2D"/>
    <w:rsid w:val="00720E1B"/>
    <w:rsid w:val="00720E8A"/>
    <w:rsid w:val="00720F49"/>
    <w:rsid w:val="0072108F"/>
    <w:rsid w:val="00721152"/>
    <w:rsid w:val="00721297"/>
    <w:rsid w:val="0072134A"/>
    <w:rsid w:val="007213DA"/>
    <w:rsid w:val="007215B6"/>
    <w:rsid w:val="007217B2"/>
    <w:rsid w:val="007218AC"/>
    <w:rsid w:val="0072198A"/>
    <w:rsid w:val="007219B1"/>
    <w:rsid w:val="00721B66"/>
    <w:rsid w:val="00721C86"/>
    <w:rsid w:val="00721C8C"/>
    <w:rsid w:val="00721E50"/>
    <w:rsid w:val="00721EAA"/>
    <w:rsid w:val="007223B2"/>
    <w:rsid w:val="007223B9"/>
    <w:rsid w:val="007223DF"/>
    <w:rsid w:val="00722584"/>
    <w:rsid w:val="007226D5"/>
    <w:rsid w:val="00722806"/>
    <w:rsid w:val="00722928"/>
    <w:rsid w:val="00722A54"/>
    <w:rsid w:val="00722DB5"/>
    <w:rsid w:val="00722EB1"/>
    <w:rsid w:val="00723060"/>
    <w:rsid w:val="00723139"/>
    <w:rsid w:val="007231AE"/>
    <w:rsid w:val="00723250"/>
    <w:rsid w:val="007234C1"/>
    <w:rsid w:val="0072351F"/>
    <w:rsid w:val="0072353C"/>
    <w:rsid w:val="00723790"/>
    <w:rsid w:val="007237CD"/>
    <w:rsid w:val="00723988"/>
    <w:rsid w:val="007239D4"/>
    <w:rsid w:val="00723B61"/>
    <w:rsid w:val="00723BE1"/>
    <w:rsid w:val="00723C6F"/>
    <w:rsid w:val="00723F2A"/>
    <w:rsid w:val="007241DA"/>
    <w:rsid w:val="007241E2"/>
    <w:rsid w:val="00724228"/>
    <w:rsid w:val="007242BC"/>
    <w:rsid w:val="00724550"/>
    <w:rsid w:val="0072460D"/>
    <w:rsid w:val="00724676"/>
    <w:rsid w:val="0072486C"/>
    <w:rsid w:val="007248D2"/>
    <w:rsid w:val="0072491E"/>
    <w:rsid w:val="00724B5C"/>
    <w:rsid w:val="00724E43"/>
    <w:rsid w:val="00724E5F"/>
    <w:rsid w:val="00724E7B"/>
    <w:rsid w:val="00724EC2"/>
    <w:rsid w:val="00725009"/>
    <w:rsid w:val="007251B8"/>
    <w:rsid w:val="007251D8"/>
    <w:rsid w:val="007251E7"/>
    <w:rsid w:val="0072533F"/>
    <w:rsid w:val="00725391"/>
    <w:rsid w:val="00725438"/>
    <w:rsid w:val="007255BE"/>
    <w:rsid w:val="007255D7"/>
    <w:rsid w:val="00725681"/>
    <w:rsid w:val="0072580A"/>
    <w:rsid w:val="007258AF"/>
    <w:rsid w:val="00725967"/>
    <w:rsid w:val="00725A7A"/>
    <w:rsid w:val="00725A9A"/>
    <w:rsid w:val="00725BA7"/>
    <w:rsid w:val="00725CCF"/>
    <w:rsid w:val="00725CEA"/>
    <w:rsid w:val="00725D45"/>
    <w:rsid w:val="00725E3C"/>
    <w:rsid w:val="00725FCE"/>
    <w:rsid w:val="00726190"/>
    <w:rsid w:val="00726317"/>
    <w:rsid w:val="00726342"/>
    <w:rsid w:val="00726539"/>
    <w:rsid w:val="0072669D"/>
    <w:rsid w:val="007267BF"/>
    <w:rsid w:val="0072687A"/>
    <w:rsid w:val="007268C8"/>
    <w:rsid w:val="00726976"/>
    <w:rsid w:val="00726A07"/>
    <w:rsid w:val="00726A0C"/>
    <w:rsid w:val="00726A1D"/>
    <w:rsid w:val="00726B0B"/>
    <w:rsid w:val="00726B22"/>
    <w:rsid w:val="00726BB7"/>
    <w:rsid w:val="00726CB7"/>
    <w:rsid w:val="00726D47"/>
    <w:rsid w:val="0072730F"/>
    <w:rsid w:val="00727350"/>
    <w:rsid w:val="007274DB"/>
    <w:rsid w:val="00727554"/>
    <w:rsid w:val="0072773C"/>
    <w:rsid w:val="007278AD"/>
    <w:rsid w:val="0072793B"/>
    <w:rsid w:val="00727959"/>
    <w:rsid w:val="00727978"/>
    <w:rsid w:val="00727CC6"/>
    <w:rsid w:val="00727D87"/>
    <w:rsid w:val="00727E8F"/>
    <w:rsid w:val="00727EE4"/>
    <w:rsid w:val="00727FAD"/>
    <w:rsid w:val="007300C4"/>
    <w:rsid w:val="00730153"/>
    <w:rsid w:val="00730206"/>
    <w:rsid w:val="007302A8"/>
    <w:rsid w:val="007303DF"/>
    <w:rsid w:val="007305EC"/>
    <w:rsid w:val="007306A5"/>
    <w:rsid w:val="007306AE"/>
    <w:rsid w:val="007306DD"/>
    <w:rsid w:val="00730716"/>
    <w:rsid w:val="007309CB"/>
    <w:rsid w:val="00730C69"/>
    <w:rsid w:val="00730E3F"/>
    <w:rsid w:val="00730E65"/>
    <w:rsid w:val="007310FB"/>
    <w:rsid w:val="00731186"/>
    <w:rsid w:val="007314EA"/>
    <w:rsid w:val="007317E9"/>
    <w:rsid w:val="0073182D"/>
    <w:rsid w:val="00731878"/>
    <w:rsid w:val="0073190E"/>
    <w:rsid w:val="00731955"/>
    <w:rsid w:val="00731DD6"/>
    <w:rsid w:val="00731FB1"/>
    <w:rsid w:val="007320ED"/>
    <w:rsid w:val="00732133"/>
    <w:rsid w:val="007321E3"/>
    <w:rsid w:val="007322CE"/>
    <w:rsid w:val="007322F0"/>
    <w:rsid w:val="00732307"/>
    <w:rsid w:val="0073246A"/>
    <w:rsid w:val="0073249A"/>
    <w:rsid w:val="00732505"/>
    <w:rsid w:val="007325C5"/>
    <w:rsid w:val="0073268A"/>
    <w:rsid w:val="007326A9"/>
    <w:rsid w:val="0073282C"/>
    <w:rsid w:val="0073284D"/>
    <w:rsid w:val="00732941"/>
    <w:rsid w:val="0073298A"/>
    <w:rsid w:val="00732A73"/>
    <w:rsid w:val="00732B45"/>
    <w:rsid w:val="00732E93"/>
    <w:rsid w:val="0073312B"/>
    <w:rsid w:val="0073339C"/>
    <w:rsid w:val="007333D7"/>
    <w:rsid w:val="00733402"/>
    <w:rsid w:val="00733530"/>
    <w:rsid w:val="0073363E"/>
    <w:rsid w:val="007336B6"/>
    <w:rsid w:val="00733719"/>
    <w:rsid w:val="00733773"/>
    <w:rsid w:val="00733899"/>
    <w:rsid w:val="00733940"/>
    <w:rsid w:val="0073394D"/>
    <w:rsid w:val="007339AE"/>
    <w:rsid w:val="00733B8B"/>
    <w:rsid w:val="00733C36"/>
    <w:rsid w:val="00733CDC"/>
    <w:rsid w:val="00733D05"/>
    <w:rsid w:val="00733D8A"/>
    <w:rsid w:val="00733DA2"/>
    <w:rsid w:val="00733DBB"/>
    <w:rsid w:val="00733DD9"/>
    <w:rsid w:val="00734055"/>
    <w:rsid w:val="007340F8"/>
    <w:rsid w:val="007341F1"/>
    <w:rsid w:val="007342B4"/>
    <w:rsid w:val="00734390"/>
    <w:rsid w:val="0073441C"/>
    <w:rsid w:val="007344E4"/>
    <w:rsid w:val="00734627"/>
    <w:rsid w:val="00734805"/>
    <w:rsid w:val="007349D7"/>
    <w:rsid w:val="00734A01"/>
    <w:rsid w:val="00734BB0"/>
    <w:rsid w:val="00734D02"/>
    <w:rsid w:val="00734D36"/>
    <w:rsid w:val="00734D97"/>
    <w:rsid w:val="00734E77"/>
    <w:rsid w:val="00734F0F"/>
    <w:rsid w:val="00734F89"/>
    <w:rsid w:val="00734F9C"/>
    <w:rsid w:val="00735077"/>
    <w:rsid w:val="007351AD"/>
    <w:rsid w:val="0073540F"/>
    <w:rsid w:val="00735451"/>
    <w:rsid w:val="00735462"/>
    <w:rsid w:val="00735464"/>
    <w:rsid w:val="007354D7"/>
    <w:rsid w:val="007356DA"/>
    <w:rsid w:val="00735764"/>
    <w:rsid w:val="007358B2"/>
    <w:rsid w:val="0073599F"/>
    <w:rsid w:val="00735A14"/>
    <w:rsid w:val="00735A78"/>
    <w:rsid w:val="00735B25"/>
    <w:rsid w:val="00735FD4"/>
    <w:rsid w:val="007360CB"/>
    <w:rsid w:val="0073618B"/>
    <w:rsid w:val="0073626F"/>
    <w:rsid w:val="00736394"/>
    <w:rsid w:val="007363BC"/>
    <w:rsid w:val="007363D3"/>
    <w:rsid w:val="00736438"/>
    <w:rsid w:val="0073646C"/>
    <w:rsid w:val="007366EA"/>
    <w:rsid w:val="0073672C"/>
    <w:rsid w:val="007367A5"/>
    <w:rsid w:val="00736808"/>
    <w:rsid w:val="007368C7"/>
    <w:rsid w:val="00736B3D"/>
    <w:rsid w:val="00736C7F"/>
    <w:rsid w:val="00736D18"/>
    <w:rsid w:val="00736DE8"/>
    <w:rsid w:val="00736DF8"/>
    <w:rsid w:val="00736EFC"/>
    <w:rsid w:val="00736F09"/>
    <w:rsid w:val="0073711E"/>
    <w:rsid w:val="007374D9"/>
    <w:rsid w:val="007375B9"/>
    <w:rsid w:val="00737799"/>
    <w:rsid w:val="007377BA"/>
    <w:rsid w:val="00737851"/>
    <w:rsid w:val="0073792C"/>
    <w:rsid w:val="00737980"/>
    <w:rsid w:val="00737AB1"/>
    <w:rsid w:val="00737D1B"/>
    <w:rsid w:val="00737D29"/>
    <w:rsid w:val="00740021"/>
    <w:rsid w:val="00740132"/>
    <w:rsid w:val="00740193"/>
    <w:rsid w:val="00740292"/>
    <w:rsid w:val="00740374"/>
    <w:rsid w:val="00740408"/>
    <w:rsid w:val="00740436"/>
    <w:rsid w:val="00740546"/>
    <w:rsid w:val="007406AE"/>
    <w:rsid w:val="00740B53"/>
    <w:rsid w:val="00740B79"/>
    <w:rsid w:val="00740C22"/>
    <w:rsid w:val="00740CA5"/>
    <w:rsid w:val="00740EEA"/>
    <w:rsid w:val="00741087"/>
    <w:rsid w:val="007410F2"/>
    <w:rsid w:val="00741214"/>
    <w:rsid w:val="00741215"/>
    <w:rsid w:val="0074121C"/>
    <w:rsid w:val="00741221"/>
    <w:rsid w:val="007412AC"/>
    <w:rsid w:val="0074133D"/>
    <w:rsid w:val="00741386"/>
    <w:rsid w:val="007414F1"/>
    <w:rsid w:val="00741577"/>
    <w:rsid w:val="00741690"/>
    <w:rsid w:val="00741702"/>
    <w:rsid w:val="0074174F"/>
    <w:rsid w:val="00741756"/>
    <w:rsid w:val="007417FD"/>
    <w:rsid w:val="0074181E"/>
    <w:rsid w:val="007419CE"/>
    <w:rsid w:val="00741A9F"/>
    <w:rsid w:val="00741B3C"/>
    <w:rsid w:val="00741D1F"/>
    <w:rsid w:val="00742528"/>
    <w:rsid w:val="0074270A"/>
    <w:rsid w:val="0074275C"/>
    <w:rsid w:val="0074285D"/>
    <w:rsid w:val="0074291A"/>
    <w:rsid w:val="00742985"/>
    <w:rsid w:val="00742A15"/>
    <w:rsid w:val="00742A64"/>
    <w:rsid w:val="00742BB6"/>
    <w:rsid w:val="00742C08"/>
    <w:rsid w:val="00742C95"/>
    <w:rsid w:val="00742F94"/>
    <w:rsid w:val="007430EE"/>
    <w:rsid w:val="007431CC"/>
    <w:rsid w:val="007432E3"/>
    <w:rsid w:val="00743432"/>
    <w:rsid w:val="0074346A"/>
    <w:rsid w:val="007434D5"/>
    <w:rsid w:val="0074354B"/>
    <w:rsid w:val="007435B7"/>
    <w:rsid w:val="007436C3"/>
    <w:rsid w:val="00743832"/>
    <w:rsid w:val="00743854"/>
    <w:rsid w:val="00743899"/>
    <w:rsid w:val="0074389F"/>
    <w:rsid w:val="00743B1B"/>
    <w:rsid w:val="00743C63"/>
    <w:rsid w:val="00744079"/>
    <w:rsid w:val="0074418E"/>
    <w:rsid w:val="0074425A"/>
    <w:rsid w:val="00744268"/>
    <w:rsid w:val="00744327"/>
    <w:rsid w:val="00744333"/>
    <w:rsid w:val="00744387"/>
    <w:rsid w:val="0074438A"/>
    <w:rsid w:val="0074487B"/>
    <w:rsid w:val="0074489C"/>
    <w:rsid w:val="00744A9B"/>
    <w:rsid w:val="00744ADB"/>
    <w:rsid w:val="00744C35"/>
    <w:rsid w:val="00744FE9"/>
    <w:rsid w:val="007450A8"/>
    <w:rsid w:val="00745207"/>
    <w:rsid w:val="00745212"/>
    <w:rsid w:val="00745254"/>
    <w:rsid w:val="00745321"/>
    <w:rsid w:val="007453A2"/>
    <w:rsid w:val="007454BE"/>
    <w:rsid w:val="007454F8"/>
    <w:rsid w:val="007455F3"/>
    <w:rsid w:val="0074566C"/>
    <w:rsid w:val="007456C9"/>
    <w:rsid w:val="007457D7"/>
    <w:rsid w:val="007458F6"/>
    <w:rsid w:val="00745929"/>
    <w:rsid w:val="00745A33"/>
    <w:rsid w:val="00745C19"/>
    <w:rsid w:val="00745F6C"/>
    <w:rsid w:val="0074626D"/>
    <w:rsid w:val="00746290"/>
    <w:rsid w:val="0074632E"/>
    <w:rsid w:val="00746595"/>
    <w:rsid w:val="007466E6"/>
    <w:rsid w:val="00746757"/>
    <w:rsid w:val="00746841"/>
    <w:rsid w:val="0074687A"/>
    <w:rsid w:val="00746B88"/>
    <w:rsid w:val="00746DB1"/>
    <w:rsid w:val="00746DB9"/>
    <w:rsid w:val="00746EB9"/>
    <w:rsid w:val="00746FDA"/>
    <w:rsid w:val="00746FF4"/>
    <w:rsid w:val="0074700A"/>
    <w:rsid w:val="0074707A"/>
    <w:rsid w:val="00747145"/>
    <w:rsid w:val="0074747A"/>
    <w:rsid w:val="00747589"/>
    <w:rsid w:val="007476A4"/>
    <w:rsid w:val="00747769"/>
    <w:rsid w:val="0074777D"/>
    <w:rsid w:val="007479BC"/>
    <w:rsid w:val="007479C1"/>
    <w:rsid w:val="007479C4"/>
    <w:rsid w:val="007479D9"/>
    <w:rsid w:val="00747A3E"/>
    <w:rsid w:val="00747A67"/>
    <w:rsid w:val="00747D58"/>
    <w:rsid w:val="00747FCF"/>
    <w:rsid w:val="0075001F"/>
    <w:rsid w:val="007500A3"/>
    <w:rsid w:val="00750488"/>
    <w:rsid w:val="007505EA"/>
    <w:rsid w:val="00750623"/>
    <w:rsid w:val="007507E8"/>
    <w:rsid w:val="0075091F"/>
    <w:rsid w:val="00750B49"/>
    <w:rsid w:val="00750BB5"/>
    <w:rsid w:val="00750D23"/>
    <w:rsid w:val="00750D41"/>
    <w:rsid w:val="00750FF7"/>
    <w:rsid w:val="00751036"/>
    <w:rsid w:val="00751295"/>
    <w:rsid w:val="007514BA"/>
    <w:rsid w:val="007516C6"/>
    <w:rsid w:val="007517C1"/>
    <w:rsid w:val="00751828"/>
    <w:rsid w:val="0075196C"/>
    <w:rsid w:val="007519B2"/>
    <w:rsid w:val="00751AC2"/>
    <w:rsid w:val="00751C5E"/>
    <w:rsid w:val="00751D7F"/>
    <w:rsid w:val="00751DA9"/>
    <w:rsid w:val="00751DFE"/>
    <w:rsid w:val="00751E74"/>
    <w:rsid w:val="00751EB4"/>
    <w:rsid w:val="00751ECF"/>
    <w:rsid w:val="0075245C"/>
    <w:rsid w:val="00752499"/>
    <w:rsid w:val="00752522"/>
    <w:rsid w:val="00752580"/>
    <w:rsid w:val="007525DB"/>
    <w:rsid w:val="0075287F"/>
    <w:rsid w:val="00752886"/>
    <w:rsid w:val="00752981"/>
    <w:rsid w:val="00752A0F"/>
    <w:rsid w:val="00752B21"/>
    <w:rsid w:val="00752B58"/>
    <w:rsid w:val="00752B72"/>
    <w:rsid w:val="00752B74"/>
    <w:rsid w:val="00752C8E"/>
    <w:rsid w:val="00752F2A"/>
    <w:rsid w:val="0075311B"/>
    <w:rsid w:val="0075344E"/>
    <w:rsid w:val="007534B9"/>
    <w:rsid w:val="00753500"/>
    <w:rsid w:val="00753503"/>
    <w:rsid w:val="00753754"/>
    <w:rsid w:val="00753798"/>
    <w:rsid w:val="00753899"/>
    <w:rsid w:val="0075397E"/>
    <w:rsid w:val="00753ABD"/>
    <w:rsid w:val="00753AFF"/>
    <w:rsid w:val="00753C72"/>
    <w:rsid w:val="00753D42"/>
    <w:rsid w:val="00753E6B"/>
    <w:rsid w:val="00753F04"/>
    <w:rsid w:val="00753F3F"/>
    <w:rsid w:val="00753F97"/>
    <w:rsid w:val="00754183"/>
    <w:rsid w:val="00754211"/>
    <w:rsid w:val="007543EA"/>
    <w:rsid w:val="00754438"/>
    <w:rsid w:val="007544E2"/>
    <w:rsid w:val="00754584"/>
    <w:rsid w:val="00754641"/>
    <w:rsid w:val="0075484A"/>
    <w:rsid w:val="0075505E"/>
    <w:rsid w:val="007550D2"/>
    <w:rsid w:val="007550DD"/>
    <w:rsid w:val="007550EA"/>
    <w:rsid w:val="007550F5"/>
    <w:rsid w:val="0075517A"/>
    <w:rsid w:val="0075520B"/>
    <w:rsid w:val="00755256"/>
    <w:rsid w:val="0075527D"/>
    <w:rsid w:val="0075532A"/>
    <w:rsid w:val="00755361"/>
    <w:rsid w:val="007553D0"/>
    <w:rsid w:val="0075576F"/>
    <w:rsid w:val="0075596D"/>
    <w:rsid w:val="00755A21"/>
    <w:rsid w:val="00755BC0"/>
    <w:rsid w:val="00755D1E"/>
    <w:rsid w:val="00755D58"/>
    <w:rsid w:val="00755D89"/>
    <w:rsid w:val="00755D8A"/>
    <w:rsid w:val="00755DAC"/>
    <w:rsid w:val="00755DD4"/>
    <w:rsid w:val="00755E9E"/>
    <w:rsid w:val="00755EA3"/>
    <w:rsid w:val="00756144"/>
    <w:rsid w:val="007562EC"/>
    <w:rsid w:val="007564DD"/>
    <w:rsid w:val="00756536"/>
    <w:rsid w:val="007565FA"/>
    <w:rsid w:val="007567E5"/>
    <w:rsid w:val="00756920"/>
    <w:rsid w:val="007569DF"/>
    <w:rsid w:val="00756E22"/>
    <w:rsid w:val="00757125"/>
    <w:rsid w:val="007571D4"/>
    <w:rsid w:val="007573F3"/>
    <w:rsid w:val="007574F6"/>
    <w:rsid w:val="00757593"/>
    <w:rsid w:val="007576DE"/>
    <w:rsid w:val="00757909"/>
    <w:rsid w:val="007579BF"/>
    <w:rsid w:val="00757ADE"/>
    <w:rsid w:val="00757B4A"/>
    <w:rsid w:val="00757EE2"/>
    <w:rsid w:val="00757FFC"/>
    <w:rsid w:val="00760022"/>
    <w:rsid w:val="00760037"/>
    <w:rsid w:val="007601D9"/>
    <w:rsid w:val="007603A0"/>
    <w:rsid w:val="00760415"/>
    <w:rsid w:val="00760477"/>
    <w:rsid w:val="007605F6"/>
    <w:rsid w:val="0076076F"/>
    <w:rsid w:val="00760868"/>
    <w:rsid w:val="00760886"/>
    <w:rsid w:val="00760A86"/>
    <w:rsid w:val="00760D1F"/>
    <w:rsid w:val="00760E6E"/>
    <w:rsid w:val="00760F3E"/>
    <w:rsid w:val="00760F59"/>
    <w:rsid w:val="00760FC4"/>
    <w:rsid w:val="00761153"/>
    <w:rsid w:val="007613B0"/>
    <w:rsid w:val="00761579"/>
    <w:rsid w:val="00761638"/>
    <w:rsid w:val="007616A3"/>
    <w:rsid w:val="00761733"/>
    <w:rsid w:val="00761840"/>
    <w:rsid w:val="00761863"/>
    <w:rsid w:val="00761AA2"/>
    <w:rsid w:val="00761B23"/>
    <w:rsid w:val="00761B7F"/>
    <w:rsid w:val="00761BD1"/>
    <w:rsid w:val="00761BF0"/>
    <w:rsid w:val="00761C6F"/>
    <w:rsid w:val="00761C7B"/>
    <w:rsid w:val="00761CCC"/>
    <w:rsid w:val="00761E4E"/>
    <w:rsid w:val="00761E9D"/>
    <w:rsid w:val="00761EA6"/>
    <w:rsid w:val="00762055"/>
    <w:rsid w:val="00762094"/>
    <w:rsid w:val="007620FF"/>
    <w:rsid w:val="0076223C"/>
    <w:rsid w:val="0076224B"/>
    <w:rsid w:val="00762447"/>
    <w:rsid w:val="00762560"/>
    <w:rsid w:val="007625C8"/>
    <w:rsid w:val="00762683"/>
    <w:rsid w:val="00762748"/>
    <w:rsid w:val="007628C0"/>
    <w:rsid w:val="00762A1A"/>
    <w:rsid w:val="00762DC5"/>
    <w:rsid w:val="00762F0F"/>
    <w:rsid w:val="00762F40"/>
    <w:rsid w:val="00762FD8"/>
    <w:rsid w:val="00763058"/>
    <w:rsid w:val="00763149"/>
    <w:rsid w:val="007631AC"/>
    <w:rsid w:val="00763829"/>
    <w:rsid w:val="0076387C"/>
    <w:rsid w:val="00763958"/>
    <w:rsid w:val="007639F9"/>
    <w:rsid w:val="00763A82"/>
    <w:rsid w:val="00763D61"/>
    <w:rsid w:val="00763D7A"/>
    <w:rsid w:val="00763DDC"/>
    <w:rsid w:val="00763E13"/>
    <w:rsid w:val="00763E41"/>
    <w:rsid w:val="00763E46"/>
    <w:rsid w:val="00764011"/>
    <w:rsid w:val="0076407D"/>
    <w:rsid w:val="0076423F"/>
    <w:rsid w:val="007643F5"/>
    <w:rsid w:val="007643FC"/>
    <w:rsid w:val="00764617"/>
    <w:rsid w:val="00764766"/>
    <w:rsid w:val="00764BDC"/>
    <w:rsid w:val="00764C51"/>
    <w:rsid w:val="00764E33"/>
    <w:rsid w:val="00764E38"/>
    <w:rsid w:val="00764E67"/>
    <w:rsid w:val="00764E89"/>
    <w:rsid w:val="00765094"/>
    <w:rsid w:val="0076510C"/>
    <w:rsid w:val="00765138"/>
    <w:rsid w:val="007651E3"/>
    <w:rsid w:val="007652BF"/>
    <w:rsid w:val="0076535B"/>
    <w:rsid w:val="00765495"/>
    <w:rsid w:val="007656D0"/>
    <w:rsid w:val="00765724"/>
    <w:rsid w:val="00765897"/>
    <w:rsid w:val="00765B8F"/>
    <w:rsid w:val="00765BBA"/>
    <w:rsid w:val="00765C4D"/>
    <w:rsid w:val="00765DC6"/>
    <w:rsid w:val="00766149"/>
    <w:rsid w:val="00766165"/>
    <w:rsid w:val="0076619B"/>
    <w:rsid w:val="00766342"/>
    <w:rsid w:val="00766343"/>
    <w:rsid w:val="007663A4"/>
    <w:rsid w:val="00766420"/>
    <w:rsid w:val="0076654A"/>
    <w:rsid w:val="007665C0"/>
    <w:rsid w:val="007666D7"/>
    <w:rsid w:val="0076699C"/>
    <w:rsid w:val="007669AB"/>
    <w:rsid w:val="00766A3B"/>
    <w:rsid w:val="00766A76"/>
    <w:rsid w:val="00766B19"/>
    <w:rsid w:val="00766C2F"/>
    <w:rsid w:val="00766D70"/>
    <w:rsid w:val="00766D96"/>
    <w:rsid w:val="00766DF3"/>
    <w:rsid w:val="00766F9C"/>
    <w:rsid w:val="00766FE0"/>
    <w:rsid w:val="00766FFB"/>
    <w:rsid w:val="007670D3"/>
    <w:rsid w:val="007670EB"/>
    <w:rsid w:val="00767173"/>
    <w:rsid w:val="00767368"/>
    <w:rsid w:val="007674A9"/>
    <w:rsid w:val="0076754A"/>
    <w:rsid w:val="00767582"/>
    <w:rsid w:val="007675F5"/>
    <w:rsid w:val="00767650"/>
    <w:rsid w:val="00767746"/>
    <w:rsid w:val="00767957"/>
    <w:rsid w:val="00767A05"/>
    <w:rsid w:val="00767A73"/>
    <w:rsid w:val="00767A87"/>
    <w:rsid w:val="00767B4C"/>
    <w:rsid w:val="00767B84"/>
    <w:rsid w:val="00767CB1"/>
    <w:rsid w:val="00767DA5"/>
    <w:rsid w:val="007686A0"/>
    <w:rsid w:val="00770018"/>
    <w:rsid w:val="007700EB"/>
    <w:rsid w:val="00770108"/>
    <w:rsid w:val="00770297"/>
    <w:rsid w:val="00770372"/>
    <w:rsid w:val="0077037D"/>
    <w:rsid w:val="0077051F"/>
    <w:rsid w:val="007705AF"/>
    <w:rsid w:val="007705EE"/>
    <w:rsid w:val="007706F0"/>
    <w:rsid w:val="007708FD"/>
    <w:rsid w:val="007709D8"/>
    <w:rsid w:val="00770A7A"/>
    <w:rsid w:val="00770AF6"/>
    <w:rsid w:val="00770BB5"/>
    <w:rsid w:val="00770C4A"/>
    <w:rsid w:val="00770D0C"/>
    <w:rsid w:val="00770DC7"/>
    <w:rsid w:val="00770E61"/>
    <w:rsid w:val="0077107D"/>
    <w:rsid w:val="007710AE"/>
    <w:rsid w:val="007713E2"/>
    <w:rsid w:val="00771481"/>
    <w:rsid w:val="0077159F"/>
    <w:rsid w:val="00771711"/>
    <w:rsid w:val="007719DE"/>
    <w:rsid w:val="00771A35"/>
    <w:rsid w:val="00771DB6"/>
    <w:rsid w:val="00771DDE"/>
    <w:rsid w:val="00771F57"/>
    <w:rsid w:val="00772214"/>
    <w:rsid w:val="007724FF"/>
    <w:rsid w:val="0077254D"/>
    <w:rsid w:val="007726F5"/>
    <w:rsid w:val="007727F8"/>
    <w:rsid w:val="00772887"/>
    <w:rsid w:val="00772942"/>
    <w:rsid w:val="00772B17"/>
    <w:rsid w:val="00772B36"/>
    <w:rsid w:val="00772B6E"/>
    <w:rsid w:val="00772D23"/>
    <w:rsid w:val="00772E2D"/>
    <w:rsid w:val="00773072"/>
    <w:rsid w:val="00773150"/>
    <w:rsid w:val="0077324E"/>
    <w:rsid w:val="0077353F"/>
    <w:rsid w:val="00773773"/>
    <w:rsid w:val="0077378A"/>
    <w:rsid w:val="00773A87"/>
    <w:rsid w:val="00773AF3"/>
    <w:rsid w:val="00773AFA"/>
    <w:rsid w:val="00773B05"/>
    <w:rsid w:val="00773B3C"/>
    <w:rsid w:val="00773CDD"/>
    <w:rsid w:val="00773D93"/>
    <w:rsid w:val="00773D99"/>
    <w:rsid w:val="00773FDD"/>
    <w:rsid w:val="00773FE9"/>
    <w:rsid w:val="007740DA"/>
    <w:rsid w:val="00774146"/>
    <w:rsid w:val="007742AB"/>
    <w:rsid w:val="007742D7"/>
    <w:rsid w:val="007742FC"/>
    <w:rsid w:val="00774305"/>
    <w:rsid w:val="00774490"/>
    <w:rsid w:val="00774676"/>
    <w:rsid w:val="007746ED"/>
    <w:rsid w:val="0077476D"/>
    <w:rsid w:val="00774819"/>
    <w:rsid w:val="007748E3"/>
    <w:rsid w:val="007749D3"/>
    <w:rsid w:val="00774B19"/>
    <w:rsid w:val="00774D8E"/>
    <w:rsid w:val="00774E91"/>
    <w:rsid w:val="00774F6C"/>
    <w:rsid w:val="00775048"/>
    <w:rsid w:val="0077512C"/>
    <w:rsid w:val="00775275"/>
    <w:rsid w:val="0077527B"/>
    <w:rsid w:val="007753BA"/>
    <w:rsid w:val="007755A6"/>
    <w:rsid w:val="007755B5"/>
    <w:rsid w:val="007757C6"/>
    <w:rsid w:val="007758D9"/>
    <w:rsid w:val="00775979"/>
    <w:rsid w:val="007759A4"/>
    <w:rsid w:val="007759AF"/>
    <w:rsid w:val="00775A87"/>
    <w:rsid w:val="00775C63"/>
    <w:rsid w:val="00775C64"/>
    <w:rsid w:val="00775E44"/>
    <w:rsid w:val="00775FD2"/>
    <w:rsid w:val="00775FE5"/>
    <w:rsid w:val="007760C7"/>
    <w:rsid w:val="00776128"/>
    <w:rsid w:val="0077621B"/>
    <w:rsid w:val="0077630C"/>
    <w:rsid w:val="007763E5"/>
    <w:rsid w:val="0077652F"/>
    <w:rsid w:val="0077657C"/>
    <w:rsid w:val="0077663B"/>
    <w:rsid w:val="007766DA"/>
    <w:rsid w:val="00776725"/>
    <w:rsid w:val="0077686B"/>
    <w:rsid w:val="00776882"/>
    <w:rsid w:val="00776945"/>
    <w:rsid w:val="00776A5C"/>
    <w:rsid w:val="00776D16"/>
    <w:rsid w:val="00776D74"/>
    <w:rsid w:val="00776F6D"/>
    <w:rsid w:val="00777272"/>
    <w:rsid w:val="007772F3"/>
    <w:rsid w:val="00777493"/>
    <w:rsid w:val="007775B2"/>
    <w:rsid w:val="007775E9"/>
    <w:rsid w:val="007776C2"/>
    <w:rsid w:val="00777754"/>
    <w:rsid w:val="007778B7"/>
    <w:rsid w:val="00777A19"/>
    <w:rsid w:val="00777A52"/>
    <w:rsid w:val="00777C45"/>
    <w:rsid w:val="00777CD6"/>
    <w:rsid w:val="00777DBB"/>
    <w:rsid w:val="00777EDF"/>
    <w:rsid w:val="00777EE9"/>
    <w:rsid w:val="00777F81"/>
    <w:rsid w:val="0078022E"/>
    <w:rsid w:val="007802DD"/>
    <w:rsid w:val="007803E0"/>
    <w:rsid w:val="0078059D"/>
    <w:rsid w:val="007805A2"/>
    <w:rsid w:val="00780625"/>
    <w:rsid w:val="00780731"/>
    <w:rsid w:val="007807DE"/>
    <w:rsid w:val="00780B74"/>
    <w:rsid w:val="00780BDD"/>
    <w:rsid w:val="00780C71"/>
    <w:rsid w:val="00780D34"/>
    <w:rsid w:val="00780DFF"/>
    <w:rsid w:val="00780E75"/>
    <w:rsid w:val="007810B0"/>
    <w:rsid w:val="00781161"/>
    <w:rsid w:val="007814B1"/>
    <w:rsid w:val="00781699"/>
    <w:rsid w:val="0078191B"/>
    <w:rsid w:val="00781C7D"/>
    <w:rsid w:val="00781CE5"/>
    <w:rsid w:val="00781DA0"/>
    <w:rsid w:val="00781E0A"/>
    <w:rsid w:val="00781E7C"/>
    <w:rsid w:val="00781EAD"/>
    <w:rsid w:val="00782426"/>
    <w:rsid w:val="0078246A"/>
    <w:rsid w:val="00782513"/>
    <w:rsid w:val="00782728"/>
    <w:rsid w:val="00782796"/>
    <w:rsid w:val="00782896"/>
    <w:rsid w:val="007828A5"/>
    <w:rsid w:val="00782AB3"/>
    <w:rsid w:val="00782B8E"/>
    <w:rsid w:val="00782D41"/>
    <w:rsid w:val="00782F80"/>
    <w:rsid w:val="00782FA0"/>
    <w:rsid w:val="0078310A"/>
    <w:rsid w:val="00783131"/>
    <w:rsid w:val="0078317B"/>
    <w:rsid w:val="00783265"/>
    <w:rsid w:val="0078328B"/>
    <w:rsid w:val="007833EA"/>
    <w:rsid w:val="00783408"/>
    <w:rsid w:val="0078354F"/>
    <w:rsid w:val="00783695"/>
    <w:rsid w:val="007836C6"/>
    <w:rsid w:val="00783B98"/>
    <w:rsid w:val="00783C00"/>
    <w:rsid w:val="00783C0C"/>
    <w:rsid w:val="00783C71"/>
    <w:rsid w:val="00783D43"/>
    <w:rsid w:val="00783D83"/>
    <w:rsid w:val="00783DA6"/>
    <w:rsid w:val="00783F46"/>
    <w:rsid w:val="00783FFD"/>
    <w:rsid w:val="00784101"/>
    <w:rsid w:val="0078418F"/>
    <w:rsid w:val="00784299"/>
    <w:rsid w:val="00784344"/>
    <w:rsid w:val="00784365"/>
    <w:rsid w:val="0078443D"/>
    <w:rsid w:val="00784505"/>
    <w:rsid w:val="007845CF"/>
    <w:rsid w:val="007846A7"/>
    <w:rsid w:val="00784715"/>
    <w:rsid w:val="007847F4"/>
    <w:rsid w:val="00784841"/>
    <w:rsid w:val="007848EE"/>
    <w:rsid w:val="00784915"/>
    <w:rsid w:val="00784921"/>
    <w:rsid w:val="00784D77"/>
    <w:rsid w:val="00784E06"/>
    <w:rsid w:val="00784EE9"/>
    <w:rsid w:val="00784F8C"/>
    <w:rsid w:val="00784FC2"/>
    <w:rsid w:val="0078508B"/>
    <w:rsid w:val="007851A3"/>
    <w:rsid w:val="007854D4"/>
    <w:rsid w:val="00785597"/>
    <w:rsid w:val="007855EA"/>
    <w:rsid w:val="0078562C"/>
    <w:rsid w:val="007857F6"/>
    <w:rsid w:val="00785A6B"/>
    <w:rsid w:val="00785B60"/>
    <w:rsid w:val="00785C32"/>
    <w:rsid w:val="00785CDF"/>
    <w:rsid w:val="007860CD"/>
    <w:rsid w:val="007860F3"/>
    <w:rsid w:val="007861C7"/>
    <w:rsid w:val="00786422"/>
    <w:rsid w:val="007864AD"/>
    <w:rsid w:val="007864BC"/>
    <w:rsid w:val="00786525"/>
    <w:rsid w:val="00786556"/>
    <w:rsid w:val="0078659D"/>
    <w:rsid w:val="007867AE"/>
    <w:rsid w:val="007867FF"/>
    <w:rsid w:val="007868BF"/>
    <w:rsid w:val="00786906"/>
    <w:rsid w:val="0078695B"/>
    <w:rsid w:val="00786965"/>
    <w:rsid w:val="00786B04"/>
    <w:rsid w:val="00786C52"/>
    <w:rsid w:val="00786CBA"/>
    <w:rsid w:val="00786D0F"/>
    <w:rsid w:val="0078721B"/>
    <w:rsid w:val="0078725A"/>
    <w:rsid w:val="00787455"/>
    <w:rsid w:val="00787518"/>
    <w:rsid w:val="0078752E"/>
    <w:rsid w:val="00787598"/>
    <w:rsid w:val="007875C7"/>
    <w:rsid w:val="0078771E"/>
    <w:rsid w:val="00787863"/>
    <w:rsid w:val="00787994"/>
    <w:rsid w:val="00787A58"/>
    <w:rsid w:val="00787A7B"/>
    <w:rsid w:val="00787BFD"/>
    <w:rsid w:val="00787D89"/>
    <w:rsid w:val="00787DF9"/>
    <w:rsid w:val="00787EB4"/>
    <w:rsid w:val="00787F73"/>
    <w:rsid w:val="00790076"/>
    <w:rsid w:val="00790163"/>
    <w:rsid w:val="007903D9"/>
    <w:rsid w:val="00790495"/>
    <w:rsid w:val="00790802"/>
    <w:rsid w:val="00790940"/>
    <w:rsid w:val="00790982"/>
    <w:rsid w:val="00790C0F"/>
    <w:rsid w:val="00790C5B"/>
    <w:rsid w:val="00790C86"/>
    <w:rsid w:val="00790D9A"/>
    <w:rsid w:val="00790DFB"/>
    <w:rsid w:val="0079107B"/>
    <w:rsid w:val="00791170"/>
    <w:rsid w:val="0079134C"/>
    <w:rsid w:val="00791722"/>
    <w:rsid w:val="00791797"/>
    <w:rsid w:val="00791842"/>
    <w:rsid w:val="00791912"/>
    <w:rsid w:val="00791E31"/>
    <w:rsid w:val="00791F0E"/>
    <w:rsid w:val="00792106"/>
    <w:rsid w:val="00792189"/>
    <w:rsid w:val="00792273"/>
    <w:rsid w:val="00792357"/>
    <w:rsid w:val="007923B4"/>
    <w:rsid w:val="007925B0"/>
    <w:rsid w:val="007925D3"/>
    <w:rsid w:val="007925F5"/>
    <w:rsid w:val="00792868"/>
    <w:rsid w:val="007929FE"/>
    <w:rsid w:val="00792C96"/>
    <w:rsid w:val="00792CAE"/>
    <w:rsid w:val="00792D02"/>
    <w:rsid w:val="00792D4F"/>
    <w:rsid w:val="00792DCA"/>
    <w:rsid w:val="00792DCD"/>
    <w:rsid w:val="00792EE6"/>
    <w:rsid w:val="00792F8E"/>
    <w:rsid w:val="00792FAE"/>
    <w:rsid w:val="007931C2"/>
    <w:rsid w:val="007931DD"/>
    <w:rsid w:val="0079353E"/>
    <w:rsid w:val="00793606"/>
    <w:rsid w:val="00793723"/>
    <w:rsid w:val="0079399A"/>
    <w:rsid w:val="00793B59"/>
    <w:rsid w:val="00793C4B"/>
    <w:rsid w:val="00793D7A"/>
    <w:rsid w:val="00793E1C"/>
    <w:rsid w:val="00793ED5"/>
    <w:rsid w:val="00793F1D"/>
    <w:rsid w:val="00794029"/>
    <w:rsid w:val="007941EF"/>
    <w:rsid w:val="00794203"/>
    <w:rsid w:val="00794228"/>
    <w:rsid w:val="007942D2"/>
    <w:rsid w:val="007944E1"/>
    <w:rsid w:val="00794576"/>
    <w:rsid w:val="007946F4"/>
    <w:rsid w:val="00794A29"/>
    <w:rsid w:val="00794B81"/>
    <w:rsid w:val="00794C29"/>
    <w:rsid w:val="00794D2C"/>
    <w:rsid w:val="00794DC0"/>
    <w:rsid w:val="00794E3B"/>
    <w:rsid w:val="007950B1"/>
    <w:rsid w:val="00795140"/>
    <w:rsid w:val="007951A4"/>
    <w:rsid w:val="00795362"/>
    <w:rsid w:val="007953D0"/>
    <w:rsid w:val="0079543A"/>
    <w:rsid w:val="007956AB"/>
    <w:rsid w:val="0079578F"/>
    <w:rsid w:val="0079581E"/>
    <w:rsid w:val="00795CD9"/>
    <w:rsid w:val="00795FCF"/>
    <w:rsid w:val="0079617E"/>
    <w:rsid w:val="00796184"/>
    <w:rsid w:val="007961B3"/>
    <w:rsid w:val="00796265"/>
    <w:rsid w:val="0079635C"/>
    <w:rsid w:val="0079636C"/>
    <w:rsid w:val="007963DF"/>
    <w:rsid w:val="007966A8"/>
    <w:rsid w:val="00796720"/>
    <w:rsid w:val="00796795"/>
    <w:rsid w:val="0079679D"/>
    <w:rsid w:val="0079687B"/>
    <w:rsid w:val="0079688D"/>
    <w:rsid w:val="0079697A"/>
    <w:rsid w:val="007969FA"/>
    <w:rsid w:val="00796ADB"/>
    <w:rsid w:val="00796B49"/>
    <w:rsid w:val="00796BE6"/>
    <w:rsid w:val="00796F23"/>
    <w:rsid w:val="0079702A"/>
    <w:rsid w:val="00797097"/>
    <w:rsid w:val="00797203"/>
    <w:rsid w:val="007973BF"/>
    <w:rsid w:val="007974B0"/>
    <w:rsid w:val="0079773F"/>
    <w:rsid w:val="007977A9"/>
    <w:rsid w:val="00797908"/>
    <w:rsid w:val="00797A51"/>
    <w:rsid w:val="00797B15"/>
    <w:rsid w:val="00797D9D"/>
    <w:rsid w:val="007A035E"/>
    <w:rsid w:val="007A0683"/>
    <w:rsid w:val="007A06CB"/>
    <w:rsid w:val="007A083D"/>
    <w:rsid w:val="007A0869"/>
    <w:rsid w:val="007A0906"/>
    <w:rsid w:val="007A0A9F"/>
    <w:rsid w:val="007A0CD0"/>
    <w:rsid w:val="007A0EBE"/>
    <w:rsid w:val="007A0FD0"/>
    <w:rsid w:val="007A1003"/>
    <w:rsid w:val="007A109F"/>
    <w:rsid w:val="007A1335"/>
    <w:rsid w:val="007A140A"/>
    <w:rsid w:val="007A1633"/>
    <w:rsid w:val="007A18CB"/>
    <w:rsid w:val="007A1B11"/>
    <w:rsid w:val="007A1C7D"/>
    <w:rsid w:val="007A1E1F"/>
    <w:rsid w:val="007A1E4F"/>
    <w:rsid w:val="007A1FEC"/>
    <w:rsid w:val="007A1FFB"/>
    <w:rsid w:val="007A2109"/>
    <w:rsid w:val="007A2139"/>
    <w:rsid w:val="007A217B"/>
    <w:rsid w:val="007A2407"/>
    <w:rsid w:val="007A24AE"/>
    <w:rsid w:val="007A25AD"/>
    <w:rsid w:val="007A26A9"/>
    <w:rsid w:val="007A26DD"/>
    <w:rsid w:val="007A28BE"/>
    <w:rsid w:val="007A2D16"/>
    <w:rsid w:val="007A2F8D"/>
    <w:rsid w:val="007A33ED"/>
    <w:rsid w:val="007A3514"/>
    <w:rsid w:val="007A3567"/>
    <w:rsid w:val="007A364E"/>
    <w:rsid w:val="007A398E"/>
    <w:rsid w:val="007A3C50"/>
    <w:rsid w:val="007A3C62"/>
    <w:rsid w:val="007A3E92"/>
    <w:rsid w:val="007A3F55"/>
    <w:rsid w:val="007A4063"/>
    <w:rsid w:val="007A41E8"/>
    <w:rsid w:val="007A424E"/>
    <w:rsid w:val="007A42A3"/>
    <w:rsid w:val="007A42A9"/>
    <w:rsid w:val="007A4330"/>
    <w:rsid w:val="007A43DC"/>
    <w:rsid w:val="007A446F"/>
    <w:rsid w:val="007A4577"/>
    <w:rsid w:val="007A45CC"/>
    <w:rsid w:val="007A46B5"/>
    <w:rsid w:val="007A46C4"/>
    <w:rsid w:val="007A46D1"/>
    <w:rsid w:val="007A48B8"/>
    <w:rsid w:val="007A4910"/>
    <w:rsid w:val="007A4A77"/>
    <w:rsid w:val="007A4B84"/>
    <w:rsid w:val="007A4C7F"/>
    <w:rsid w:val="007A4CBE"/>
    <w:rsid w:val="007A4CD8"/>
    <w:rsid w:val="007A4EB0"/>
    <w:rsid w:val="007A513F"/>
    <w:rsid w:val="007A5163"/>
    <w:rsid w:val="007A5324"/>
    <w:rsid w:val="007A5400"/>
    <w:rsid w:val="007A55D2"/>
    <w:rsid w:val="007A5729"/>
    <w:rsid w:val="007A572D"/>
    <w:rsid w:val="007A583D"/>
    <w:rsid w:val="007A5861"/>
    <w:rsid w:val="007A59F7"/>
    <w:rsid w:val="007A5B8B"/>
    <w:rsid w:val="007A5F9A"/>
    <w:rsid w:val="007A60D1"/>
    <w:rsid w:val="007A60F7"/>
    <w:rsid w:val="007A621F"/>
    <w:rsid w:val="007A6514"/>
    <w:rsid w:val="007A652E"/>
    <w:rsid w:val="007A656F"/>
    <w:rsid w:val="007A65DC"/>
    <w:rsid w:val="007A663F"/>
    <w:rsid w:val="007A681C"/>
    <w:rsid w:val="007A68F2"/>
    <w:rsid w:val="007A6909"/>
    <w:rsid w:val="007A6926"/>
    <w:rsid w:val="007A6A63"/>
    <w:rsid w:val="007A6B4E"/>
    <w:rsid w:val="007A6CCE"/>
    <w:rsid w:val="007A6D73"/>
    <w:rsid w:val="007A6D7E"/>
    <w:rsid w:val="007A6DCD"/>
    <w:rsid w:val="007A6EBD"/>
    <w:rsid w:val="007A6EE6"/>
    <w:rsid w:val="007A6F53"/>
    <w:rsid w:val="007A721E"/>
    <w:rsid w:val="007A735A"/>
    <w:rsid w:val="007A743B"/>
    <w:rsid w:val="007A76C3"/>
    <w:rsid w:val="007A78F8"/>
    <w:rsid w:val="007A79EE"/>
    <w:rsid w:val="007A7CA1"/>
    <w:rsid w:val="007A7D7D"/>
    <w:rsid w:val="007A7DAF"/>
    <w:rsid w:val="007A7E27"/>
    <w:rsid w:val="007B008B"/>
    <w:rsid w:val="007B00BD"/>
    <w:rsid w:val="007B015C"/>
    <w:rsid w:val="007B0243"/>
    <w:rsid w:val="007B028A"/>
    <w:rsid w:val="007B032D"/>
    <w:rsid w:val="007B0385"/>
    <w:rsid w:val="007B0504"/>
    <w:rsid w:val="007B0685"/>
    <w:rsid w:val="007B0745"/>
    <w:rsid w:val="007B080D"/>
    <w:rsid w:val="007B0838"/>
    <w:rsid w:val="007B095A"/>
    <w:rsid w:val="007B097A"/>
    <w:rsid w:val="007B0A5D"/>
    <w:rsid w:val="007B0B52"/>
    <w:rsid w:val="007B0C4C"/>
    <w:rsid w:val="007B0CC9"/>
    <w:rsid w:val="007B0DA2"/>
    <w:rsid w:val="007B0DF5"/>
    <w:rsid w:val="007B0DF7"/>
    <w:rsid w:val="007B0FA2"/>
    <w:rsid w:val="007B103A"/>
    <w:rsid w:val="007B132B"/>
    <w:rsid w:val="007B13BB"/>
    <w:rsid w:val="007B146E"/>
    <w:rsid w:val="007B169C"/>
    <w:rsid w:val="007B181F"/>
    <w:rsid w:val="007B1C1B"/>
    <w:rsid w:val="007B1CFC"/>
    <w:rsid w:val="007B2008"/>
    <w:rsid w:val="007B209C"/>
    <w:rsid w:val="007B20A2"/>
    <w:rsid w:val="007B20A3"/>
    <w:rsid w:val="007B20A5"/>
    <w:rsid w:val="007B21C9"/>
    <w:rsid w:val="007B2207"/>
    <w:rsid w:val="007B226B"/>
    <w:rsid w:val="007B2287"/>
    <w:rsid w:val="007B22AF"/>
    <w:rsid w:val="007B23D2"/>
    <w:rsid w:val="007B23DA"/>
    <w:rsid w:val="007B2443"/>
    <w:rsid w:val="007B2457"/>
    <w:rsid w:val="007B2569"/>
    <w:rsid w:val="007B25F1"/>
    <w:rsid w:val="007B2666"/>
    <w:rsid w:val="007B2681"/>
    <w:rsid w:val="007B2698"/>
    <w:rsid w:val="007B2888"/>
    <w:rsid w:val="007B288D"/>
    <w:rsid w:val="007B2982"/>
    <w:rsid w:val="007B2A86"/>
    <w:rsid w:val="007B2C44"/>
    <w:rsid w:val="007B2D69"/>
    <w:rsid w:val="007B2D86"/>
    <w:rsid w:val="007B2DEC"/>
    <w:rsid w:val="007B2E4A"/>
    <w:rsid w:val="007B2EEB"/>
    <w:rsid w:val="007B3151"/>
    <w:rsid w:val="007B333F"/>
    <w:rsid w:val="007B3378"/>
    <w:rsid w:val="007B33F6"/>
    <w:rsid w:val="007B3426"/>
    <w:rsid w:val="007B342F"/>
    <w:rsid w:val="007B3445"/>
    <w:rsid w:val="007B359C"/>
    <w:rsid w:val="007B3702"/>
    <w:rsid w:val="007B373A"/>
    <w:rsid w:val="007B38AD"/>
    <w:rsid w:val="007B39C3"/>
    <w:rsid w:val="007B3A02"/>
    <w:rsid w:val="007B3B8C"/>
    <w:rsid w:val="007B3BA5"/>
    <w:rsid w:val="007B3D03"/>
    <w:rsid w:val="007B41B0"/>
    <w:rsid w:val="007B42F1"/>
    <w:rsid w:val="007B4407"/>
    <w:rsid w:val="007B44B2"/>
    <w:rsid w:val="007B4551"/>
    <w:rsid w:val="007B459E"/>
    <w:rsid w:val="007B4693"/>
    <w:rsid w:val="007B4755"/>
    <w:rsid w:val="007B47F7"/>
    <w:rsid w:val="007B4A16"/>
    <w:rsid w:val="007B4A5D"/>
    <w:rsid w:val="007B4A95"/>
    <w:rsid w:val="007B4E5E"/>
    <w:rsid w:val="007B4E6F"/>
    <w:rsid w:val="007B4E80"/>
    <w:rsid w:val="007B4EF1"/>
    <w:rsid w:val="007B5010"/>
    <w:rsid w:val="007B5181"/>
    <w:rsid w:val="007B5190"/>
    <w:rsid w:val="007B522E"/>
    <w:rsid w:val="007B52AE"/>
    <w:rsid w:val="007B53AE"/>
    <w:rsid w:val="007B54CA"/>
    <w:rsid w:val="007B569E"/>
    <w:rsid w:val="007B5884"/>
    <w:rsid w:val="007B5899"/>
    <w:rsid w:val="007B59BA"/>
    <w:rsid w:val="007B5A43"/>
    <w:rsid w:val="007B5A79"/>
    <w:rsid w:val="007B5D18"/>
    <w:rsid w:val="007B5DBD"/>
    <w:rsid w:val="007B5DEC"/>
    <w:rsid w:val="007B5E95"/>
    <w:rsid w:val="007B6241"/>
    <w:rsid w:val="007B6396"/>
    <w:rsid w:val="007B6588"/>
    <w:rsid w:val="007B66D5"/>
    <w:rsid w:val="007B6896"/>
    <w:rsid w:val="007B68C4"/>
    <w:rsid w:val="007B6B48"/>
    <w:rsid w:val="007B6B62"/>
    <w:rsid w:val="007B6BED"/>
    <w:rsid w:val="007B6BFB"/>
    <w:rsid w:val="007B6D4B"/>
    <w:rsid w:val="007B6D95"/>
    <w:rsid w:val="007B6DF3"/>
    <w:rsid w:val="007B7245"/>
    <w:rsid w:val="007B73B4"/>
    <w:rsid w:val="007B745C"/>
    <w:rsid w:val="007B7472"/>
    <w:rsid w:val="007B7497"/>
    <w:rsid w:val="007B7541"/>
    <w:rsid w:val="007B7606"/>
    <w:rsid w:val="007B76EF"/>
    <w:rsid w:val="007B7758"/>
    <w:rsid w:val="007B779B"/>
    <w:rsid w:val="007B784B"/>
    <w:rsid w:val="007B78C3"/>
    <w:rsid w:val="007B7B46"/>
    <w:rsid w:val="007B7BDA"/>
    <w:rsid w:val="007B7C1B"/>
    <w:rsid w:val="007B7E57"/>
    <w:rsid w:val="007B7EC3"/>
    <w:rsid w:val="007B7FC7"/>
    <w:rsid w:val="007C00E2"/>
    <w:rsid w:val="007C015E"/>
    <w:rsid w:val="007C016D"/>
    <w:rsid w:val="007C0197"/>
    <w:rsid w:val="007C02F8"/>
    <w:rsid w:val="007C03CD"/>
    <w:rsid w:val="007C06C1"/>
    <w:rsid w:val="007C0877"/>
    <w:rsid w:val="007C08B0"/>
    <w:rsid w:val="007C0B93"/>
    <w:rsid w:val="007C0CBD"/>
    <w:rsid w:val="007C0CD9"/>
    <w:rsid w:val="007C0DAD"/>
    <w:rsid w:val="007C0E24"/>
    <w:rsid w:val="007C0FFB"/>
    <w:rsid w:val="007C1071"/>
    <w:rsid w:val="007C11E8"/>
    <w:rsid w:val="007C1756"/>
    <w:rsid w:val="007C17EB"/>
    <w:rsid w:val="007C1984"/>
    <w:rsid w:val="007C198F"/>
    <w:rsid w:val="007C1C0C"/>
    <w:rsid w:val="007C1DDE"/>
    <w:rsid w:val="007C1E7A"/>
    <w:rsid w:val="007C208E"/>
    <w:rsid w:val="007C2186"/>
    <w:rsid w:val="007C21B4"/>
    <w:rsid w:val="007C24B4"/>
    <w:rsid w:val="007C2664"/>
    <w:rsid w:val="007C28DB"/>
    <w:rsid w:val="007C2902"/>
    <w:rsid w:val="007C2A0E"/>
    <w:rsid w:val="007C2A44"/>
    <w:rsid w:val="007C2CFD"/>
    <w:rsid w:val="007C2EF1"/>
    <w:rsid w:val="007C2F23"/>
    <w:rsid w:val="007C2F32"/>
    <w:rsid w:val="007C3024"/>
    <w:rsid w:val="007C30BC"/>
    <w:rsid w:val="007C32ED"/>
    <w:rsid w:val="007C35A3"/>
    <w:rsid w:val="007C363A"/>
    <w:rsid w:val="007C3807"/>
    <w:rsid w:val="007C387A"/>
    <w:rsid w:val="007C38B6"/>
    <w:rsid w:val="007C3A00"/>
    <w:rsid w:val="007C3ADE"/>
    <w:rsid w:val="007C3C04"/>
    <w:rsid w:val="007C3C2E"/>
    <w:rsid w:val="007C3C31"/>
    <w:rsid w:val="007C3CFD"/>
    <w:rsid w:val="007C3DCB"/>
    <w:rsid w:val="007C3DCE"/>
    <w:rsid w:val="007C3ECF"/>
    <w:rsid w:val="007C4158"/>
    <w:rsid w:val="007C41A6"/>
    <w:rsid w:val="007C42CF"/>
    <w:rsid w:val="007C4360"/>
    <w:rsid w:val="007C444E"/>
    <w:rsid w:val="007C4738"/>
    <w:rsid w:val="007C482C"/>
    <w:rsid w:val="007C4864"/>
    <w:rsid w:val="007C4924"/>
    <w:rsid w:val="007C4A18"/>
    <w:rsid w:val="007C4A96"/>
    <w:rsid w:val="007C4B75"/>
    <w:rsid w:val="007C4BDE"/>
    <w:rsid w:val="007C4CF3"/>
    <w:rsid w:val="007C4E17"/>
    <w:rsid w:val="007C514E"/>
    <w:rsid w:val="007C516A"/>
    <w:rsid w:val="007C5375"/>
    <w:rsid w:val="007C53DB"/>
    <w:rsid w:val="007C5431"/>
    <w:rsid w:val="007C5480"/>
    <w:rsid w:val="007C554D"/>
    <w:rsid w:val="007C59C9"/>
    <w:rsid w:val="007C5AA3"/>
    <w:rsid w:val="007C5AC8"/>
    <w:rsid w:val="007C5AD3"/>
    <w:rsid w:val="007C5BC6"/>
    <w:rsid w:val="007C5C2C"/>
    <w:rsid w:val="007C5E48"/>
    <w:rsid w:val="007C6004"/>
    <w:rsid w:val="007C6122"/>
    <w:rsid w:val="007C62E1"/>
    <w:rsid w:val="007C66AF"/>
    <w:rsid w:val="007C66C1"/>
    <w:rsid w:val="007C6733"/>
    <w:rsid w:val="007C6966"/>
    <w:rsid w:val="007C6E7F"/>
    <w:rsid w:val="007C6F32"/>
    <w:rsid w:val="007C711B"/>
    <w:rsid w:val="007C732D"/>
    <w:rsid w:val="007C73A6"/>
    <w:rsid w:val="007C74AF"/>
    <w:rsid w:val="007C75C7"/>
    <w:rsid w:val="007C76F5"/>
    <w:rsid w:val="007C78D3"/>
    <w:rsid w:val="007C7C04"/>
    <w:rsid w:val="007C7DAA"/>
    <w:rsid w:val="007C7F45"/>
    <w:rsid w:val="007D017A"/>
    <w:rsid w:val="007D01A9"/>
    <w:rsid w:val="007D0598"/>
    <w:rsid w:val="007D0685"/>
    <w:rsid w:val="007D06BF"/>
    <w:rsid w:val="007D07C1"/>
    <w:rsid w:val="007D092D"/>
    <w:rsid w:val="007D0CE5"/>
    <w:rsid w:val="007D0D53"/>
    <w:rsid w:val="007D0E3D"/>
    <w:rsid w:val="007D1093"/>
    <w:rsid w:val="007D121B"/>
    <w:rsid w:val="007D1246"/>
    <w:rsid w:val="007D124A"/>
    <w:rsid w:val="007D17B8"/>
    <w:rsid w:val="007D1845"/>
    <w:rsid w:val="007D1B46"/>
    <w:rsid w:val="007D1BAA"/>
    <w:rsid w:val="007D1C12"/>
    <w:rsid w:val="007D1CA1"/>
    <w:rsid w:val="007D1CE4"/>
    <w:rsid w:val="007D1D6D"/>
    <w:rsid w:val="007D1D8E"/>
    <w:rsid w:val="007D1EC6"/>
    <w:rsid w:val="007D1EDF"/>
    <w:rsid w:val="007D20EA"/>
    <w:rsid w:val="007D22C0"/>
    <w:rsid w:val="007D2326"/>
    <w:rsid w:val="007D2358"/>
    <w:rsid w:val="007D2659"/>
    <w:rsid w:val="007D2669"/>
    <w:rsid w:val="007D278A"/>
    <w:rsid w:val="007D2813"/>
    <w:rsid w:val="007D2936"/>
    <w:rsid w:val="007D2A57"/>
    <w:rsid w:val="007D2AF4"/>
    <w:rsid w:val="007D2C18"/>
    <w:rsid w:val="007D2D79"/>
    <w:rsid w:val="007D2D92"/>
    <w:rsid w:val="007D2E78"/>
    <w:rsid w:val="007D3129"/>
    <w:rsid w:val="007D314B"/>
    <w:rsid w:val="007D314E"/>
    <w:rsid w:val="007D3200"/>
    <w:rsid w:val="007D332A"/>
    <w:rsid w:val="007D3368"/>
    <w:rsid w:val="007D34A9"/>
    <w:rsid w:val="007D389E"/>
    <w:rsid w:val="007D3A18"/>
    <w:rsid w:val="007D3AE3"/>
    <w:rsid w:val="007D3BD5"/>
    <w:rsid w:val="007D3C97"/>
    <w:rsid w:val="007D3CCE"/>
    <w:rsid w:val="007D3CF4"/>
    <w:rsid w:val="007D3CF6"/>
    <w:rsid w:val="007D3D8C"/>
    <w:rsid w:val="007D3DE9"/>
    <w:rsid w:val="007D3F40"/>
    <w:rsid w:val="007D4287"/>
    <w:rsid w:val="007D4421"/>
    <w:rsid w:val="007D4464"/>
    <w:rsid w:val="007D465D"/>
    <w:rsid w:val="007D4677"/>
    <w:rsid w:val="007D4841"/>
    <w:rsid w:val="007D489F"/>
    <w:rsid w:val="007D4950"/>
    <w:rsid w:val="007D4BCB"/>
    <w:rsid w:val="007D4CB0"/>
    <w:rsid w:val="007D4D4E"/>
    <w:rsid w:val="007D4DD6"/>
    <w:rsid w:val="007D4FFA"/>
    <w:rsid w:val="007D50FD"/>
    <w:rsid w:val="007D529E"/>
    <w:rsid w:val="007D52C6"/>
    <w:rsid w:val="007D5324"/>
    <w:rsid w:val="007D5718"/>
    <w:rsid w:val="007D57F3"/>
    <w:rsid w:val="007D5951"/>
    <w:rsid w:val="007D5A61"/>
    <w:rsid w:val="007D5B00"/>
    <w:rsid w:val="007D5B7A"/>
    <w:rsid w:val="007D5D04"/>
    <w:rsid w:val="007D5D5F"/>
    <w:rsid w:val="007D6030"/>
    <w:rsid w:val="007D608A"/>
    <w:rsid w:val="007D645F"/>
    <w:rsid w:val="007D659E"/>
    <w:rsid w:val="007D66D6"/>
    <w:rsid w:val="007D6998"/>
    <w:rsid w:val="007D69EC"/>
    <w:rsid w:val="007D6CB0"/>
    <w:rsid w:val="007D6D3A"/>
    <w:rsid w:val="007D6F4D"/>
    <w:rsid w:val="007D6F50"/>
    <w:rsid w:val="007D7082"/>
    <w:rsid w:val="007D72AA"/>
    <w:rsid w:val="007D733C"/>
    <w:rsid w:val="007D74A6"/>
    <w:rsid w:val="007D74AC"/>
    <w:rsid w:val="007D7756"/>
    <w:rsid w:val="007D79E4"/>
    <w:rsid w:val="007D7A4E"/>
    <w:rsid w:val="007D7CA4"/>
    <w:rsid w:val="007D7CE7"/>
    <w:rsid w:val="007D7D57"/>
    <w:rsid w:val="007D7DC6"/>
    <w:rsid w:val="007D7E4C"/>
    <w:rsid w:val="007E007E"/>
    <w:rsid w:val="007E038F"/>
    <w:rsid w:val="007E05A0"/>
    <w:rsid w:val="007E06B3"/>
    <w:rsid w:val="007E0828"/>
    <w:rsid w:val="007E0830"/>
    <w:rsid w:val="007E095C"/>
    <w:rsid w:val="007E0B0E"/>
    <w:rsid w:val="007E0B30"/>
    <w:rsid w:val="007E0C68"/>
    <w:rsid w:val="007E0D19"/>
    <w:rsid w:val="007E0DBC"/>
    <w:rsid w:val="007E0E7F"/>
    <w:rsid w:val="007E112B"/>
    <w:rsid w:val="007E116A"/>
    <w:rsid w:val="007E12C0"/>
    <w:rsid w:val="007E139E"/>
    <w:rsid w:val="007E163D"/>
    <w:rsid w:val="007E169C"/>
    <w:rsid w:val="007E16F6"/>
    <w:rsid w:val="007E1846"/>
    <w:rsid w:val="007E189B"/>
    <w:rsid w:val="007E18EB"/>
    <w:rsid w:val="007E1964"/>
    <w:rsid w:val="007E1CBE"/>
    <w:rsid w:val="007E1EA7"/>
    <w:rsid w:val="007E1F1B"/>
    <w:rsid w:val="007E2067"/>
    <w:rsid w:val="007E2156"/>
    <w:rsid w:val="007E2184"/>
    <w:rsid w:val="007E21A3"/>
    <w:rsid w:val="007E21CD"/>
    <w:rsid w:val="007E2247"/>
    <w:rsid w:val="007E228A"/>
    <w:rsid w:val="007E24B3"/>
    <w:rsid w:val="007E24C9"/>
    <w:rsid w:val="007E2714"/>
    <w:rsid w:val="007E29DC"/>
    <w:rsid w:val="007E2A48"/>
    <w:rsid w:val="007E2BDD"/>
    <w:rsid w:val="007E2DBD"/>
    <w:rsid w:val="007E2E0D"/>
    <w:rsid w:val="007E2FE0"/>
    <w:rsid w:val="007E3018"/>
    <w:rsid w:val="007E312F"/>
    <w:rsid w:val="007E318E"/>
    <w:rsid w:val="007E32AD"/>
    <w:rsid w:val="007E347D"/>
    <w:rsid w:val="007E3A22"/>
    <w:rsid w:val="007E3A27"/>
    <w:rsid w:val="007E3AC3"/>
    <w:rsid w:val="007E3B28"/>
    <w:rsid w:val="007E3B40"/>
    <w:rsid w:val="007E3B5B"/>
    <w:rsid w:val="007E3CC7"/>
    <w:rsid w:val="007E3D41"/>
    <w:rsid w:val="007E3D48"/>
    <w:rsid w:val="007E3EBD"/>
    <w:rsid w:val="007E3FB5"/>
    <w:rsid w:val="007E43A8"/>
    <w:rsid w:val="007E4453"/>
    <w:rsid w:val="007E4585"/>
    <w:rsid w:val="007E4ECE"/>
    <w:rsid w:val="007E4F54"/>
    <w:rsid w:val="007E5083"/>
    <w:rsid w:val="007E510D"/>
    <w:rsid w:val="007E5170"/>
    <w:rsid w:val="007E53DA"/>
    <w:rsid w:val="007E53FD"/>
    <w:rsid w:val="007E54A7"/>
    <w:rsid w:val="007E5536"/>
    <w:rsid w:val="007E573D"/>
    <w:rsid w:val="007E5790"/>
    <w:rsid w:val="007E590E"/>
    <w:rsid w:val="007E598A"/>
    <w:rsid w:val="007E6334"/>
    <w:rsid w:val="007E653C"/>
    <w:rsid w:val="007E65A2"/>
    <w:rsid w:val="007E65D6"/>
    <w:rsid w:val="007E66CD"/>
    <w:rsid w:val="007E6B07"/>
    <w:rsid w:val="007E6BDA"/>
    <w:rsid w:val="007E6C40"/>
    <w:rsid w:val="007E6CC0"/>
    <w:rsid w:val="007E6D12"/>
    <w:rsid w:val="007E6DAF"/>
    <w:rsid w:val="007E6F9A"/>
    <w:rsid w:val="007E6FE0"/>
    <w:rsid w:val="007E7090"/>
    <w:rsid w:val="007E70D0"/>
    <w:rsid w:val="007E71A5"/>
    <w:rsid w:val="007E74A7"/>
    <w:rsid w:val="007E74B0"/>
    <w:rsid w:val="007E7581"/>
    <w:rsid w:val="007E770E"/>
    <w:rsid w:val="007E7733"/>
    <w:rsid w:val="007E799B"/>
    <w:rsid w:val="007E7A77"/>
    <w:rsid w:val="007E7C14"/>
    <w:rsid w:val="007E7CAA"/>
    <w:rsid w:val="007E7CE6"/>
    <w:rsid w:val="007E7E1C"/>
    <w:rsid w:val="007E7E53"/>
    <w:rsid w:val="007E7F87"/>
    <w:rsid w:val="007E7FF4"/>
    <w:rsid w:val="007F0008"/>
    <w:rsid w:val="007F0042"/>
    <w:rsid w:val="007F0072"/>
    <w:rsid w:val="007F0235"/>
    <w:rsid w:val="007F028A"/>
    <w:rsid w:val="007F02E4"/>
    <w:rsid w:val="007F0361"/>
    <w:rsid w:val="007F04D9"/>
    <w:rsid w:val="007F05C5"/>
    <w:rsid w:val="007F0604"/>
    <w:rsid w:val="007F066B"/>
    <w:rsid w:val="007F0819"/>
    <w:rsid w:val="007F0992"/>
    <w:rsid w:val="007F0AAD"/>
    <w:rsid w:val="007F0AF4"/>
    <w:rsid w:val="007F0C0E"/>
    <w:rsid w:val="007F0D29"/>
    <w:rsid w:val="007F12C9"/>
    <w:rsid w:val="007F1361"/>
    <w:rsid w:val="007F1370"/>
    <w:rsid w:val="007F13EF"/>
    <w:rsid w:val="007F150D"/>
    <w:rsid w:val="007F16CC"/>
    <w:rsid w:val="007F1771"/>
    <w:rsid w:val="007F1845"/>
    <w:rsid w:val="007F18C6"/>
    <w:rsid w:val="007F1A9B"/>
    <w:rsid w:val="007F1B41"/>
    <w:rsid w:val="007F1BCB"/>
    <w:rsid w:val="007F1D51"/>
    <w:rsid w:val="007F1F4B"/>
    <w:rsid w:val="007F1F74"/>
    <w:rsid w:val="007F22B9"/>
    <w:rsid w:val="007F2306"/>
    <w:rsid w:val="007F2513"/>
    <w:rsid w:val="007F25CC"/>
    <w:rsid w:val="007F2656"/>
    <w:rsid w:val="007F2685"/>
    <w:rsid w:val="007F2745"/>
    <w:rsid w:val="007F292A"/>
    <w:rsid w:val="007F292F"/>
    <w:rsid w:val="007F29E4"/>
    <w:rsid w:val="007F2C3F"/>
    <w:rsid w:val="007F2C87"/>
    <w:rsid w:val="007F2EE5"/>
    <w:rsid w:val="007F2FED"/>
    <w:rsid w:val="007F30D7"/>
    <w:rsid w:val="007F3152"/>
    <w:rsid w:val="007F3188"/>
    <w:rsid w:val="007F31CD"/>
    <w:rsid w:val="007F3506"/>
    <w:rsid w:val="007F3553"/>
    <w:rsid w:val="007F35D3"/>
    <w:rsid w:val="007F36E0"/>
    <w:rsid w:val="007F36E5"/>
    <w:rsid w:val="007F37DE"/>
    <w:rsid w:val="007F3A66"/>
    <w:rsid w:val="007F3A6C"/>
    <w:rsid w:val="007F3D56"/>
    <w:rsid w:val="007F3E34"/>
    <w:rsid w:val="007F3E7A"/>
    <w:rsid w:val="007F4153"/>
    <w:rsid w:val="007F41C0"/>
    <w:rsid w:val="007F4338"/>
    <w:rsid w:val="007F4420"/>
    <w:rsid w:val="007F4452"/>
    <w:rsid w:val="007F4851"/>
    <w:rsid w:val="007F4B71"/>
    <w:rsid w:val="007F4C42"/>
    <w:rsid w:val="007F4D7B"/>
    <w:rsid w:val="007F4EE6"/>
    <w:rsid w:val="007F4EF0"/>
    <w:rsid w:val="007F50C1"/>
    <w:rsid w:val="007F511A"/>
    <w:rsid w:val="007F51E8"/>
    <w:rsid w:val="007F5427"/>
    <w:rsid w:val="007F54A5"/>
    <w:rsid w:val="007F5584"/>
    <w:rsid w:val="007F58C6"/>
    <w:rsid w:val="007F58CB"/>
    <w:rsid w:val="007F5A5B"/>
    <w:rsid w:val="007F5AAA"/>
    <w:rsid w:val="007F5B13"/>
    <w:rsid w:val="007F5B6E"/>
    <w:rsid w:val="007F5F6A"/>
    <w:rsid w:val="007F6062"/>
    <w:rsid w:val="007F63DE"/>
    <w:rsid w:val="007F64A3"/>
    <w:rsid w:val="007F64D6"/>
    <w:rsid w:val="007F6553"/>
    <w:rsid w:val="007F6C39"/>
    <w:rsid w:val="007F6CA4"/>
    <w:rsid w:val="007F6CD1"/>
    <w:rsid w:val="007F7017"/>
    <w:rsid w:val="007F701A"/>
    <w:rsid w:val="007F70DC"/>
    <w:rsid w:val="007F70EF"/>
    <w:rsid w:val="007F70FB"/>
    <w:rsid w:val="007F7168"/>
    <w:rsid w:val="007F71D7"/>
    <w:rsid w:val="007F7395"/>
    <w:rsid w:val="007F7413"/>
    <w:rsid w:val="007F75BA"/>
    <w:rsid w:val="007F75D1"/>
    <w:rsid w:val="007F76A1"/>
    <w:rsid w:val="007F76C3"/>
    <w:rsid w:val="007F77A4"/>
    <w:rsid w:val="007F7808"/>
    <w:rsid w:val="007F78F3"/>
    <w:rsid w:val="007F7954"/>
    <w:rsid w:val="007F799B"/>
    <w:rsid w:val="007F79E6"/>
    <w:rsid w:val="007F7A5A"/>
    <w:rsid w:val="007F7CAD"/>
    <w:rsid w:val="007F7FB3"/>
    <w:rsid w:val="0080032F"/>
    <w:rsid w:val="008003DF"/>
    <w:rsid w:val="00800443"/>
    <w:rsid w:val="0080052A"/>
    <w:rsid w:val="00800984"/>
    <w:rsid w:val="00800A8A"/>
    <w:rsid w:val="00800ABE"/>
    <w:rsid w:val="00800B26"/>
    <w:rsid w:val="00800B3D"/>
    <w:rsid w:val="00800F47"/>
    <w:rsid w:val="00800FCC"/>
    <w:rsid w:val="00801053"/>
    <w:rsid w:val="00801171"/>
    <w:rsid w:val="008012AE"/>
    <w:rsid w:val="008013FB"/>
    <w:rsid w:val="008014BF"/>
    <w:rsid w:val="008015EA"/>
    <w:rsid w:val="00801663"/>
    <w:rsid w:val="008016CF"/>
    <w:rsid w:val="008016F0"/>
    <w:rsid w:val="00801824"/>
    <w:rsid w:val="00801B30"/>
    <w:rsid w:val="00801FA6"/>
    <w:rsid w:val="00802040"/>
    <w:rsid w:val="00802061"/>
    <w:rsid w:val="008020C8"/>
    <w:rsid w:val="0080211F"/>
    <w:rsid w:val="00802257"/>
    <w:rsid w:val="008022B9"/>
    <w:rsid w:val="008023B7"/>
    <w:rsid w:val="0080248F"/>
    <w:rsid w:val="008024BA"/>
    <w:rsid w:val="00802555"/>
    <w:rsid w:val="008026AC"/>
    <w:rsid w:val="0080279E"/>
    <w:rsid w:val="00802973"/>
    <w:rsid w:val="008029FB"/>
    <w:rsid w:val="00802C05"/>
    <w:rsid w:val="00802D98"/>
    <w:rsid w:val="00802DC8"/>
    <w:rsid w:val="00802E6C"/>
    <w:rsid w:val="00803099"/>
    <w:rsid w:val="00803310"/>
    <w:rsid w:val="008033F2"/>
    <w:rsid w:val="0080345A"/>
    <w:rsid w:val="0080347E"/>
    <w:rsid w:val="00803631"/>
    <w:rsid w:val="008036A9"/>
    <w:rsid w:val="0080370B"/>
    <w:rsid w:val="00803827"/>
    <w:rsid w:val="0080388D"/>
    <w:rsid w:val="008039BE"/>
    <w:rsid w:val="00803DBD"/>
    <w:rsid w:val="00803E13"/>
    <w:rsid w:val="00803E14"/>
    <w:rsid w:val="00803F36"/>
    <w:rsid w:val="00803F56"/>
    <w:rsid w:val="00803FA9"/>
    <w:rsid w:val="00803FB0"/>
    <w:rsid w:val="00804068"/>
    <w:rsid w:val="008042A7"/>
    <w:rsid w:val="008042AB"/>
    <w:rsid w:val="00804319"/>
    <w:rsid w:val="00804363"/>
    <w:rsid w:val="00804434"/>
    <w:rsid w:val="008046D9"/>
    <w:rsid w:val="0080476E"/>
    <w:rsid w:val="0080477D"/>
    <w:rsid w:val="00804905"/>
    <w:rsid w:val="00804BE8"/>
    <w:rsid w:val="00804F11"/>
    <w:rsid w:val="00804F5C"/>
    <w:rsid w:val="0080500A"/>
    <w:rsid w:val="0080513B"/>
    <w:rsid w:val="008051EE"/>
    <w:rsid w:val="0080558A"/>
    <w:rsid w:val="008055B9"/>
    <w:rsid w:val="00805687"/>
    <w:rsid w:val="0080569B"/>
    <w:rsid w:val="00805746"/>
    <w:rsid w:val="00805AD3"/>
    <w:rsid w:val="00805C43"/>
    <w:rsid w:val="00805F6E"/>
    <w:rsid w:val="00806013"/>
    <w:rsid w:val="0080602D"/>
    <w:rsid w:val="008062C4"/>
    <w:rsid w:val="008062DD"/>
    <w:rsid w:val="008063F2"/>
    <w:rsid w:val="008064CF"/>
    <w:rsid w:val="008065C4"/>
    <w:rsid w:val="008066D3"/>
    <w:rsid w:val="0080675F"/>
    <w:rsid w:val="0080691F"/>
    <w:rsid w:val="00806952"/>
    <w:rsid w:val="00806C36"/>
    <w:rsid w:val="00806E49"/>
    <w:rsid w:val="00806F9D"/>
    <w:rsid w:val="0080748D"/>
    <w:rsid w:val="008074D8"/>
    <w:rsid w:val="00807559"/>
    <w:rsid w:val="00807594"/>
    <w:rsid w:val="008075F0"/>
    <w:rsid w:val="00807651"/>
    <w:rsid w:val="0080766C"/>
    <w:rsid w:val="0080770D"/>
    <w:rsid w:val="00807B6D"/>
    <w:rsid w:val="00807BA7"/>
    <w:rsid w:val="00807BAA"/>
    <w:rsid w:val="00807C69"/>
    <w:rsid w:val="00807CDB"/>
    <w:rsid w:val="00807F1F"/>
    <w:rsid w:val="00810085"/>
    <w:rsid w:val="008104C4"/>
    <w:rsid w:val="008104D8"/>
    <w:rsid w:val="0081067E"/>
    <w:rsid w:val="008106A3"/>
    <w:rsid w:val="00810845"/>
    <w:rsid w:val="0081085A"/>
    <w:rsid w:val="00810DD0"/>
    <w:rsid w:val="00810EAD"/>
    <w:rsid w:val="00810EC3"/>
    <w:rsid w:val="008112B6"/>
    <w:rsid w:val="008113A9"/>
    <w:rsid w:val="00811464"/>
    <w:rsid w:val="0081160B"/>
    <w:rsid w:val="00811701"/>
    <w:rsid w:val="008117A8"/>
    <w:rsid w:val="00811899"/>
    <w:rsid w:val="0081191E"/>
    <w:rsid w:val="00811975"/>
    <w:rsid w:val="00811BB9"/>
    <w:rsid w:val="008120EE"/>
    <w:rsid w:val="008121C2"/>
    <w:rsid w:val="008124AA"/>
    <w:rsid w:val="00812683"/>
    <w:rsid w:val="0081269B"/>
    <w:rsid w:val="008126AC"/>
    <w:rsid w:val="0081279D"/>
    <w:rsid w:val="008127D4"/>
    <w:rsid w:val="0081280E"/>
    <w:rsid w:val="00812909"/>
    <w:rsid w:val="008129A0"/>
    <w:rsid w:val="00812A5F"/>
    <w:rsid w:val="00812B72"/>
    <w:rsid w:val="00812CE3"/>
    <w:rsid w:val="00812DE3"/>
    <w:rsid w:val="00812E27"/>
    <w:rsid w:val="00812FBA"/>
    <w:rsid w:val="00812FDE"/>
    <w:rsid w:val="00813037"/>
    <w:rsid w:val="00813081"/>
    <w:rsid w:val="008131A4"/>
    <w:rsid w:val="008131AD"/>
    <w:rsid w:val="0081324F"/>
    <w:rsid w:val="00813419"/>
    <w:rsid w:val="00813491"/>
    <w:rsid w:val="00813586"/>
    <w:rsid w:val="008135B5"/>
    <w:rsid w:val="008135F8"/>
    <w:rsid w:val="00813822"/>
    <w:rsid w:val="008138E3"/>
    <w:rsid w:val="00813969"/>
    <w:rsid w:val="00813D56"/>
    <w:rsid w:val="00813F5D"/>
    <w:rsid w:val="00814063"/>
    <w:rsid w:val="0081409D"/>
    <w:rsid w:val="008140B5"/>
    <w:rsid w:val="008141E3"/>
    <w:rsid w:val="00814214"/>
    <w:rsid w:val="008142CA"/>
    <w:rsid w:val="008142E4"/>
    <w:rsid w:val="0081433C"/>
    <w:rsid w:val="00814374"/>
    <w:rsid w:val="0081450F"/>
    <w:rsid w:val="008146CC"/>
    <w:rsid w:val="0081483F"/>
    <w:rsid w:val="0081492E"/>
    <w:rsid w:val="00814B04"/>
    <w:rsid w:val="00814C1A"/>
    <w:rsid w:val="00814C79"/>
    <w:rsid w:val="00814D5F"/>
    <w:rsid w:val="00814D64"/>
    <w:rsid w:val="00815034"/>
    <w:rsid w:val="008150D4"/>
    <w:rsid w:val="008150F6"/>
    <w:rsid w:val="0081510C"/>
    <w:rsid w:val="008151BF"/>
    <w:rsid w:val="00815249"/>
    <w:rsid w:val="008152D9"/>
    <w:rsid w:val="0081531E"/>
    <w:rsid w:val="00815430"/>
    <w:rsid w:val="0081548B"/>
    <w:rsid w:val="00815504"/>
    <w:rsid w:val="00815D19"/>
    <w:rsid w:val="00815EB3"/>
    <w:rsid w:val="00815F2D"/>
    <w:rsid w:val="00816167"/>
    <w:rsid w:val="008161BF"/>
    <w:rsid w:val="0081635B"/>
    <w:rsid w:val="00816455"/>
    <w:rsid w:val="008164C9"/>
    <w:rsid w:val="0081653D"/>
    <w:rsid w:val="00816541"/>
    <w:rsid w:val="008166C0"/>
    <w:rsid w:val="008166E6"/>
    <w:rsid w:val="0081683F"/>
    <w:rsid w:val="00816937"/>
    <w:rsid w:val="008169F0"/>
    <w:rsid w:val="00816A0F"/>
    <w:rsid w:val="00816A42"/>
    <w:rsid w:val="00816A59"/>
    <w:rsid w:val="00816CB6"/>
    <w:rsid w:val="00816F10"/>
    <w:rsid w:val="0081741D"/>
    <w:rsid w:val="00817730"/>
    <w:rsid w:val="00817A1D"/>
    <w:rsid w:val="00817A8A"/>
    <w:rsid w:val="00817B12"/>
    <w:rsid w:val="00817C1C"/>
    <w:rsid w:val="00817CDB"/>
    <w:rsid w:val="00817CEC"/>
    <w:rsid w:val="00817DB6"/>
    <w:rsid w:val="00817DF1"/>
    <w:rsid w:val="00817DFF"/>
    <w:rsid w:val="00817E80"/>
    <w:rsid w:val="0082022B"/>
    <w:rsid w:val="008202A3"/>
    <w:rsid w:val="008203FA"/>
    <w:rsid w:val="00820444"/>
    <w:rsid w:val="0082045F"/>
    <w:rsid w:val="008204C6"/>
    <w:rsid w:val="00820636"/>
    <w:rsid w:val="00820679"/>
    <w:rsid w:val="0082098E"/>
    <w:rsid w:val="0082099F"/>
    <w:rsid w:val="00820A53"/>
    <w:rsid w:val="00820B7D"/>
    <w:rsid w:val="00820BA3"/>
    <w:rsid w:val="00820C54"/>
    <w:rsid w:val="00820D33"/>
    <w:rsid w:val="00820D67"/>
    <w:rsid w:val="00820DAA"/>
    <w:rsid w:val="00820E1D"/>
    <w:rsid w:val="00820EA6"/>
    <w:rsid w:val="00820EF5"/>
    <w:rsid w:val="00820FF9"/>
    <w:rsid w:val="00821085"/>
    <w:rsid w:val="00821255"/>
    <w:rsid w:val="00821308"/>
    <w:rsid w:val="00821326"/>
    <w:rsid w:val="00821346"/>
    <w:rsid w:val="0082143A"/>
    <w:rsid w:val="00821590"/>
    <w:rsid w:val="008218B9"/>
    <w:rsid w:val="00821929"/>
    <w:rsid w:val="008219AE"/>
    <w:rsid w:val="00821B8C"/>
    <w:rsid w:val="00821B9A"/>
    <w:rsid w:val="00821E2A"/>
    <w:rsid w:val="00821FE2"/>
    <w:rsid w:val="0082205B"/>
    <w:rsid w:val="0082216C"/>
    <w:rsid w:val="0082221F"/>
    <w:rsid w:val="0082226A"/>
    <w:rsid w:val="00822270"/>
    <w:rsid w:val="008223AB"/>
    <w:rsid w:val="0082245A"/>
    <w:rsid w:val="00822513"/>
    <w:rsid w:val="00822574"/>
    <w:rsid w:val="008225B5"/>
    <w:rsid w:val="008226AA"/>
    <w:rsid w:val="008226B1"/>
    <w:rsid w:val="0082276A"/>
    <w:rsid w:val="0082281A"/>
    <w:rsid w:val="008229B3"/>
    <w:rsid w:val="00822B58"/>
    <w:rsid w:val="00822B75"/>
    <w:rsid w:val="00822B8F"/>
    <w:rsid w:val="00822C06"/>
    <w:rsid w:val="00822E2B"/>
    <w:rsid w:val="00822EFF"/>
    <w:rsid w:val="00822F11"/>
    <w:rsid w:val="0082300B"/>
    <w:rsid w:val="00823199"/>
    <w:rsid w:val="008231E3"/>
    <w:rsid w:val="0082320C"/>
    <w:rsid w:val="008232BC"/>
    <w:rsid w:val="00823355"/>
    <w:rsid w:val="008234BF"/>
    <w:rsid w:val="008234EC"/>
    <w:rsid w:val="0082350F"/>
    <w:rsid w:val="00823672"/>
    <w:rsid w:val="008238DA"/>
    <w:rsid w:val="0082397F"/>
    <w:rsid w:val="00823A6A"/>
    <w:rsid w:val="00823A9F"/>
    <w:rsid w:val="00823B0E"/>
    <w:rsid w:val="00823B3E"/>
    <w:rsid w:val="00823D66"/>
    <w:rsid w:val="00823E7A"/>
    <w:rsid w:val="00823F3F"/>
    <w:rsid w:val="00823FC4"/>
    <w:rsid w:val="008241A0"/>
    <w:rsid w:val="0082423E"/>
    <w:rsid w:val="0082437F"/>
    <w:rsid w:val="00824407"/>
    <w:rsid w:val="00824514"/>
    <w:rsid w:val="0082471F"/>
    <w:rsid w:val="008247A9"/>
    <w:rsid w:val="00824845"/>
    <w:rsid w:val="008249DB"/>
    <w:rsid w:val="00824AF2"/>
    <w:rsid w:val="00824B56"/>
    <w:rsid w:val="00824C80"/>
    <w:rsid w:val="00824CF9"/>
    <w:rsid w:val="00824F0D"/>
    <w:rsid w:val="00824F8A"/>
    <w:rsid w:val="00824FD1"/>
    <w:rsid w:val="008250D6"/>
    <w:rsid w:val="00825187"/>
    <w:rsid w:val="008251DB"/>
    <w:rsid w:val="0082524D"/>
    <w:rsid w:val="00825400"/>
    <w:rsid w:val="00825418"/>
    <w:rsid w:val="008254D8"/>
    <w:rsid w:val="008254EB"/>
    <w:rsid w:val="00825606"/>
    <w:rsid w:val="00825663"/>
    <w:rsid w:val="00825735"/>
    <w:rsid w:val="0082578A"/>
    <w:rsid w:val="008258FE"/>
    <w:rsid w:val="0082591C"/>
    <w:rsid w:val="00825958"/>
    <w:rsid w:val="008259AC"/>
    <w:rsid w:val="00825AE7"/>
    <w:rsid w:val="00825B95"/>
    <w:rsid w:val="00825BBF"/>
    <w:rsid w:val="00825C07"/>
    <w:rsid w:val="00825DC0"/>
    <w:rsid w:val="008261A1"/>
    <w:rsid w:val="00826227"/>
    <w:rsid w:val="00826484"/>
    <w:rsid w:val="00826696"/>
    <w:rsid w:val="008266DE"/>
    <w:rsid w:val="00826AD7"/>
    <w:rsid w:val="00826B35"/>
    <w:rsid w:val="00826CF0"/>
    <w:rsid w:val="00826D55"/>
    <w:rsid w:val="00827106"/>
    <w:rsid w:val="008275E1"/>
    <w:rsid w:val="00827885"/>
    <w:rsid w:val="00827909"/>
    <w:rsid w:val="00827B69"/>
    <w:rsid w:val="00827F02"/>
    <w:rsid w:val="00827F45"/>
    <w:rsid w:val="00827FD0"/>
    <w:rsid w:val="008300F3"/>
    <w:rsid w:val="008301D0"/>
    <w:rsid w:val="008303F4"/>
    <w:rsid w:val="00830448"/>
    <w:rsid w:val="00830535"/>
    <w:rsid w:val="008305D2"/>
    <w:rsid w:val="00830950"/>
    <w:rsid w:val="0083099D"/>
    <w:rsid w:val="00830B38"/>
    <w:rsid w:val="00830D57"/>
    <w:rsid w:val="008311FC"/>
    <w:rsid w:val="00831313"/>
    <w:rsid w:val="0083136D"/>
    <w:rsid w:val="0083160A"/>
    <w:rsid w:val="00831647"/>
    <w:rsid w:val="00831816"/>
    <w:rsid w:val="008318CC"/>
    <w:rsid w:val="00831AB7"/>
    <w:rsid w:val="00831AC4"/>
    <w:rsid w:val="00831C17"/>
    <w:rsid w:val="00831C93"/>
    <w:rsid w:val="00831F9A"/>
    <w:rsid w:val="00832086"/>
    <w:rsid w:val="00832224"/>
    <w:rsid w:val="0083254B"/>
    <w:rsid w:val="00832572"/>
    <w:rsid w:val="008326D1"/>
    <w:rsid w:val="008327C7"/>
    <w:rsid w:val="0083284F"/>
    <w:rsid w:val="008329F2"/>
    <w:rsid w:val="00832BFF"/>
    <w:rsid w:val="00832CCD"/>
    <w:rsid w:val="00832CE0"/>
    <w:rsid w:val="00832E8C"/>
    <w:rsid w:val="00832FCC"/>
    <w:rsid w:val="008331A3"/>
    <w:rsid w:val="0083355D"/>
    <w:rsid w:val="0083357E"/>
    <w:rsid w:val="008335D2"/>
    <w:rsid w:val="00833679"/>
    <w:rsid w:val="00833932"/>
    <w:rsid w:val="0083399B"/>
    <w:rsid w:val="008339E0"/>
    <w:rsid w:val="00833BFD"/>
    <w:rsid w:val="00833C11"/>
    <w:rsid w:val="00833CF0"/>
    <w:rsid w:val="00833F49"/>
    <w:rsid w:val="00833F6E"/>
    <w:rsid w:val="00833F86"/>
    <w:rsid w:val="00834004"/>
    <w:rsid w:val="00834304"/>
    <w:rsid w:val="0083436A"/>
    <w:rsid w:val="008343EB"/>
    <w:rsid w:val="0083443B"/>
    <w:rsid w:val="008344A2"/>
    <w:rsid w:val="0083450E"/>
    <w:rsid w:val="00834544"/>
    <w:rsid w:val="0083469D"/>
    <w:rsid w:val="00834753"/>
    <w:rsid w:val="008347BD"/>
    <w:rsid w:val="008347EC"/>
    <w:rsid w:val="00834999"/>
    <w:rsid w:val="00834A04"/>
    <w:rsid w:val="00834A9B"/>
    <w:rsid w:val="00834B36"/>
    <w:rsid w:val="00834E7B"/>
    <w:rsid w:val="00834F22"/>
    <w:rsid w:val="00835099"/>
    <w:rsid w:val="00835208"/>
    <w:rsid w:val="008354BD"/>
    <w:rsid w:val="008355B4"/>
    <w:rsid w:val="00835601"/>
    <w:rsid w:val="008358E0"/>
    <w:rsid w:val="00835900"/>
    <w:rsid w:val="00835943"/>
    <w:rsid w:val="00835C5C"/>
    <w:rsid w:val="00835C76"/>
    <w:rsid w:val="00836062"/>
    <w:rsid w:val="0083607F"/>
    <w:rsid w:val="00836184"/>
    <w:rsid w:val="00836261"/>
    <w:rsid w:val="008362E4"/>
    <w:rsid w:val="0083685B"/>
    <w:rsid w:val="00836950"/>
    <w:rsid w:val="0083696C"/>
    <w:rsid w:val="0083699B"/>
    <w:rsid w:val="008369EF"/>
    <w:rsid w:val="00836B4C"/>
    <w:rsid w:val="00836C05"/>
    <w:rsid w:val="00836D1D"/>
    <w:rsid w:val="00837061"/>
    <w:rsid w:val="0083709E"/>
    <w:rsid w:val="00837151"/>
    <w:rsid w:val="008371DA"/>
    <w:rsid w:val="008371F7"/>
    <w:rsid w:val="0083730F"/>
    <w:rsid w:val="00837683"/>
    <w:rsid w:val="00837961"/>
    <w:rsid w:val="008379F1"/>
    <w:rsid w:val="00837A6C"/>
    <w:rsid w:val="00837B97"/>
    <w:rsid w:val="00837BD4"/>
    <w:rsid w:val="00837C63"/>
    <w:rsid w:val="00837DB8"/>
    <w:rsid w:val="00837E67"/>
    <w:rsid w:val="00837F6F"/>
    <w:rsid w:val="008408F4"/>
    <w:rsid w:val="008409C6"/>
    <w:rsid w:val="00840ACC"/>
    <w:rsid w:val="00840B6C"/>
    <w:rsid w:val="00840BDB"/>
    <w:rsid w:val="00840C1E"/>
    <w:rsid w:val="00840C50"/>
    <w:rsid w:val="00840EB1"/>
    <w:rsid w:val="008411C0"/>
    <w:rsid w:val="0084123B"/>
    <w:rsid w:val="0084140A"/>
    <w:rsid w:val="0084146B"/>
    <w:rsid w:val="0084176D"/>
    <w:rsid w:val="008418C3"/>
    <w:rsid w:val="00841AD9"/>
    <w:rsid w:val="00841D7E"/>
    <w:rsid w:val="00841E57"/>
    <w:rsid w:val="00841F23"/>
    <w:rsid w:val="00842380"/>
    <w:rsid w:val="008423B6"/>
    <w:rsid w:val="00842768"/>
    <w:rsid w:val="008427CF"/>
    <w:rsid w:val="008427F6"/>
    <w:rsid w:val="0084288B"/>
    <w:rsid w:val="008429D8"/>
    <w:rsid w:val="00842A28"/>
    <w:rsid w:val="00842A8A"/>
    <w:rsid w:val="00842B32"/>
    <w:rsid w:val="00842C72"/>
    <w:rsid w:val="00842DAD"/>
    <w:rsid w:val="00842F65"/>
    <w:rsid w:val="00843144"/>
    <w:rsid w:val="00843162"/>
    <w:rsid w:val="008431F1"/>
    <w:rsid w:val="008434AB"/>
    <w:rsid w:val="008435C8"/>
    <w:rsid w:val="00843668"/>
    <w:rsid w:val="0084371F"/>
    <w:rsid w:val="00843871"/>
    <w:rsid w:val="008439DB"/>
    <w:rsid w:val="00843A38"/>
    <w:rsid w:val="00843D89"/>
    <w:rsid w:val="00843DA7"/>
    <w:rsid w:val="00843E1F"/>
    <w:rsid w:val="00843FA5"/>
    <w:rsid w:val="00843FDB"/>
    <w:rsid w:val="00844010"/>
    <w:rsid w:val="0084402D"/>
    <w:rsid w:val="008440DE"/>
    <w:rsid w:val="00844284"/>
    <w:rsid w:val="008443F8"/>
    <w:rsid w:val="008444F3"/>
    <w:rsid w:val="008447B2"/>
    <w:rsid w:val="00844819"/>
    <w:rsid w:val="00844827"/>
    <w:rsid w:val="00844905"/>
    <w:rsid w:val="008449B5"/>
    <w:rsid w:val="008449E9"/>
    <w:rsid w:val="00844A4F"/>
    <w:rsid w:val="00844C64"/>
    <w:rsid w:val="00844C80"/>
    <w:rsid w:val="00844FCF"/>
    <w:rsid w:val="00845353"/>
    <w:rsid w:val="008453C5"/>
    <w:rsid w:val="00845410"/>
    <w:rsid w:val="00845467"/>
    <w:rsid w:val="008454FF"/>
    <w:rsid w:val="008455CC"/>
    <w:rsid w:val="0084569C"/>
    <w:rsid w:val="008456CA"/>
    <w:rsid w:val="00845810"/>
    <w:rsid w:val="00845B79"/>
    <w:rsid w:val="00845B9E"/>
    <w:rsid w:val="00845E3A"/>
    <w:rsid w:val="00845F4C"/>
    <w:rsid w:val="00845F9D"/>
    <w:rsid w:val="008462B2"/>
    <w:rsid w:val="008463A7"/>
    <w:rsid w:val="008464CF"/>
    <w:rsid w:val="00846520"/>
    <w:rsid w:val="0084665F"/>
    <w:rsid w:val="0084671E"/>
    <w:rsid w:val="00846741"/>
    <w:rsid w:val="00846823"/>
    <w:rsid w:val="008468E9"/>
    <w:rsid w:val="008468F8"/>
    <w:rsid w:val="0084690C"/>
    <w:rsid w:val="0084691A"/>
    <w:rsid w:val="0084698F"/>
    <w:rsid w:val="00846A4D"/>
    <w:rsid w:val="00846B09"/>
    <w:rsid w:val="00846E3E"/>
    <w:rsid w:val="00847083"/>
    <w:rsid w:val="008470D9"/>
    <w:rsid w:val="008470DB"/>
    <w:rsid w:val="0084729E"/>
    <w:rsid w:val="008473B4"/>
    <w:rsid w:val="00847665"/>
    <w:rsid w:val="0084782C"/>
    <w:rsid w:val="00847AD2"/>
    <w:rsid w:val="00847AF8"/>
    <w:rsid w:val="00847CCD"/>
    <w:rsid w:val="00847D43"/>
    <w:rsid w:val="00847E29"/>
    <w:rsid w:val="008500A5"/>
    <w:rsid w:val="008500A7"/>
    <w:rsid w:val="008501A4"/>
    <w:rsid w:val="00850249"/>
    <w:rsid w:val="008504CE"/>
    <w:rsid w:val="008506A2"/>
    <w:rsid w:val="008509B4"/>
    <w:rsid w:val="008509F5"/>
    <w:rsid w:val="00850C3A"/>
    <w:rsid w:val="00850CF6"/>
    <w:rsid w:val="00850CFD"/>
    <w:rsid w:val="00850D4C"/>
    <w:rsid w:val="00850D8B"/>
    <w:rsid w:val="00850F6E"/>
    <w:rsid w:val="00850FCD"/>
    <w:rsid w:val="00850FFD"/>
    <w:rsid w:val="0085107A"/>
    <w:rsid w:val="0085116C"/>
    <w:rsid w:val="008511A7"/>
    <w:rsid w:val="0085138E"/>
    <w:rsid w:val="0085173B"/>
    <w:rsid w:val="00851AB2"/>
    <w:rsid w:val="00851C60"/>
    <w:rsid w:val="00851F0C"/>
    <w:rsid w:val="00851F41"/>
    <w:rsid w:val="0085207E"/>
    <w:rsid w:val="008520AF"/>
    <w:rsid w:val="008526D2"/>
    <w:rsid w:val="0085278F"/>
    <w:rsid w:val="00852862"/>
    <w:rsid w:val="00852A47"/>
    <w:rsid w:val="00852B48"/>
    <w:rsid w:val="00852B62"/>
    <w:rsid w:val="00853038"/>
    <w:rsid w:val="0085318C"/>
    <w:rsid w:val="008531C5"/>
    <w:rsid w:val="00853221"/>
    <w:rsid w:val="008532BB"/>
    <w:rsid w:val="00853455"/>
    <w:rsid w:val="0085363C"/>
    <w:rsid w:val="0085364B"/>
    <w:rsid w:val="0085369C"/>
    <w:rsid w:val="008536A7"/>
    <w:rsid w:val="008538E9"/>
    <w:rsid w:val="00853A94"/>
    <w:rsid w:val="00853B0F"/>
    <w:rsid w:val="00853B17"/>
    <w:rsid w:val="00853C01"/>
    <w:rsid w:val="00853C97"/>
    <w:rsid w:val="00853D7D"/>
    <w:rsid w:val="00853E38"/>
    <w:rsid w:val="00853ED1"/>
    <w:rsid w:val="00853ED4"/>
    <w:rsid w:val="00853F67"/>
    <w:rsid w:val="0085400A"/>
    <w:rsid w:val="008540EE"/>
    <w:rsid w:val="0085410D"/>
    <w:rsid w:val="0085442A"/>
    <w:rsid w:val="0085454D"/>
    <w:rsid w:val="00854664"/>
    <w:rsid w:val="0085466E"/>
    <w:rsid w:val="00854778"/>
    <w:rsid w:val="008549CB"/>
    <w:rsid w:val="00854A2B"/>
    <w:rsid w:val="00854C1E"/>
    <w:rsid w:val="00854CEC"/>
    <w:rsid w:val="00854F62"/>
    <w:rsid w:val="008550B5"/>
    <w:rsid w:val="00855245"/>
    <w:rsid w:val="0085537A"/>
    <w:rsid w:val="00855426"/>
    <w:rsid w:val="00855604"/>
    <w:rsid w:val="00855709"/>
    <w:rsid w:val="0085590B"/>
    <w:rsid w:val="00855974"/>
    <w:rsid w:val="00855A0B"/>
    <w:rsid w:val="00855A4C"/>
    <w:rsid w:val="00855B02"/>
    <w:rsid w:val="00855DAE"/>
    <w:rsid w:val="00855E33"/>
    <w:rsid w:val="00855E6A"/>
    <w:rsid w:val="00855F17"/>
    <w:rsid w:val="00855F30"/>
    <w:rsid w:val="00855FF4"/>
    <w:rsid w:val="00856044"/>
    <w:rsid w:val="008560A8"/>
    <w:rsid w:val="008560F2"/>
    <w:rsid w:val="00856186"/>
    <w:rsid w:val="008561A1"/>
    <w:rsid w:val="00856223"/>
    <w:rsid w:val="00856270"/>
    <w:rsid w:val="008562BA"/>
    <w:rsid w:val="00856337"/>
    <w:rsid w:val="0085636F"/>
    <w:rsid w:val="008563FC"/>
    <w:rsid w:val="0085668D"/>
    <w:rsid w:val="008566D9"/>
    <w:rsid w:val="0085677E"/>
    <w:rsid w:val="00856A19"/>
    <w:rsid w:val="00856AE3"/>
    <w:rsid w:val="00856BF2"/>
    <w:rsid w:val="00856E9B"/>
    <w:rsid w:val="00856F5E"/>
    <w:rsid w:val="0085721B"/>
    <w:rsid w:val="008572DF"/>
    <w:rsid w:val="0085733C"/>
    <w:rsid w:val="008577B9"/>
    <w:rsid w:val="008577BB"/>
    <w:rsid w:val="00857900"/>
    <w:rsid w:val="00857B26"/>
    <w:rsid w:val="00857BD5"/>
    <w:rsid w:val="00857C0F"/>
    <w:rsid w:val="00857C6C"/>
    <w:rsid w:val="00857ED9"/>
    <w:rsid w:val="008601E9"/>
    <w:rsid w:val="00860593"/>
    <w:rsid w:val="008605E2"/>
    <w:rsid w:val="00860634"/>
    <w:rsid w:val="00860654"/>
    <w:rsid w:val="00860665"/>
    <w:rsid w:val="008606CB"/>
    <w:rsid w:val="00860900"/>
    <w:rsid w:val="0086096F"/>
    <w:rsid w:val="00860BFA"/>
    <w:rsid w:val="00860F19"/>
    <w:rsid w:val="00861084"/>
    <w:rsid w:val="008615C0"/>
    <w:rsid w:val="008618CF"/>
    <w:rsid w:val="00861A26"/>
    <w:rsid w:val="00861B5E"/>
    <w:rsid w:val="00861BCC"/>
    <w:rsid w:val="00861E7F"/>
    <w:rsid w:val="00861EB6"/>
    <w:rsid w:val="0086201C"/>
    <w:rsid w:val="00862066"/>
    <w:rsid w:val="00862136"/>
    <w:rsid w:val="00862210"/>
    <w:rsid w:val="008622D9"/>
    <w:rsid w:val="008624A6"/>
    <w:rsid w:val="00862584"/>
    <w:rsid w:val="0086264D"/>
    <w:rsid w:val="00862650"/>
    <w:rsid w:val="008626C0"/>
    <w:rsid w:val="008627BA"/>
    <w:rsid w:val="00862826"/>
    <w:rsid w:val="00862845"/>
    <w:rsid w:val="0086284A"/>
    <w:rsid w:val="0086286D"/>
    <w:rsid w:val="00862971"/>
    <w:rsid w:val="00862991"/>
    <w:rsid w:val="00862996"/>
    <w:rsid w:val="00862A04"/>
    <w:rsid w:val="00862F65"/>
    <w:rsid w:val="00862F69"/>
    <w:rsid w:val="00862F71"/>
    <w:rsid w:val="00862FBD"/>
    <w:rsid w:val="008632F0"/>
    <w:rsid w:val="00863383"/>
    <w:rsid w:val="00863710"/>
    <w:rsid w:val="008637DC"/>
    <w:rsid w:val="008637FD"/>
    <w:rsid w:val="0086385D"/>
    <w:rsid w:val="0086399E"/>
    <w:rsid w:val="00863A09"/>
    <w:rsid w:val="00863B0B"/>
    <w:rsid w:val="00863CCA"/>
    <w:rsid w:val="00863E51"/>
    <w:rsid w:val="00863FA2"/>
    <w:rsid w:val="00863FAC"/>
    <w:rsid w:val="00864039"/>
    <w:rsid w:val="008640A6"/>
    <w:rsid w:val="008640FF"/>
    <w:rsid w:val="008641E7"/>
    <w:rsid w:val="008642CD"/>
    <w:rsid w:val="0086432C"/>
    <w:rsid w:val="008643CD"/>
    <w:rsid w:val="00864525"/>
    <w:rsid w:val="00864817"/>
    <w:rsid w:val="00864A50"/>
    <w:rsid w:val="00864CE4"/>
    <w:rsid w:val="00864D1E"/>
    <w:rsid w:val="00864E05"/>
    <w:rsid w:val="00864F78"/>
    <w:rsid w:val="00864FA4"/>
    <w:rsid w:val="00865071"/>
    <w:rsid w:val="008650E5"/>
    <w:rsid w:val="008652D0"/>
    <w:rsid w:val="0086530A"/>
    <w:rsid w:val="0086545D"/>
    <w:rsid w:val="00865479"/>
    <w:rsid w:val="008654FD"/>
    <w:rsid w:val="00865650"/>
    <w:rsid w:val="00865841"/>
    <w:rsid w:val="008658AC"/>
    <w:rsid w:val="00865949"/>
    <w:rsid w:val="00865959"/>
    <w:rsid w:val="00865B24"/>
    <w:rsid w:val="00865B29"/>
    <w:rsid w:val="00865B3B"/>
    <w:rsid w:val="00865B96"/>
    <w:rsid w:val="00865BC7"/>
    <w:rsid w:val="00865CE7"/>
    <w:rsid w:val="00865DC2"/>
    <w:rsid w:val="00865E4A"/>
    <w:rsid w:val="00865EB1"/>
    <w:rsid w:val="00865FA5"/>
    <w:rsid w:val="00866070"/>
    <w:rsid w:val="008660EC"/>
    <w:rsid w:val="00866253"/>
    <w:rsid w:val="0086626E"/>
    <w:rsid w:val="0086632A"/>
    <w:rsid w:val="00866446"/>
    <w:rsid w:val="00866461"/>
    <w:rsid w:val="008664FD"/>
    <w:rsid w:val="00866699"/>
    <w:rsid w:val="0086677F"/>
    <w:rsid w:val="00866794"/>
    <w:rsid w:val="008668FB"/>
    <w:rsid w:val="00866994"/>
    <w:rsid w:val="00866DB5"/>
    <w:rsid w:val="00866DBC"/>
    <w:rsid w:val="00866E32"/>
    <w:rsid w:val="00866FD4"/>
    <w:rsid w:val="00867025"/>
    <w:rsid w:val="008671B4"/>
    <w:rsid w:val="008672AA"/>
    <w:rsid w:val="008676E7"/>
    <w:rsid w:val="008677EC"/>
    <w:rsid w:val="00867846"/>
    <w:rsid w:val="0086797D"/>
    <w:rsid w:val="00867A5A"/>
    <w:rsid w:val="00867A9B"/>
    <w:rsid w:val="00867B28"/>
    <w:rsid w:val="00867E7B"/>
    <w:rsid w:val="00867EAD"/>
    <w:rsid w:val="00867EB0"/>
    <w:rsid w:val="0086877B"/>
    <w:rsid w:val="00869621"/>
    <w:rsid w:val="0087008C"/>
    <w:rsid w:val="008700D8"/>
    <w:rsid w:val="00870226"/>
    <w:rsid w:val="00870253"/>
    <w:rsid w:val="0087029C"/>
    <w:rsid w:val="008706DC"/>
    <w:rsid w:val="008706E9"/>
    <w:rsid w:val="00870740"/>
    <w:rsid w:val="00870839"/>
    <w:rsid w:val="00870946"/>
    <w:rsid w:val="00870AE1"/>
    <w:rsid w:val="00870BCE"/>
    <w:rsid w:val="00870F41"/>
    <w:rsid w:val="008710AA"/>
    <w:rsid w:val="008710EF"/>
    <w:rsid w:val="00871152"/>
    <w:rsid w:val="00871198"/>
    <w:rsid w:val="0087137A"/>
    <w:rsid w:val="00871610"/>
    <w:rsid w:val="00871831"/>
    <w:rsid w:val="0087185B"/>
    <w:rsid w:val="008719C9"/>
    <w:rsid w:val="00871A18"/>
    <w:rsid w:val="00871A51"/>
    <w:rsid w:val="00871BE1"/>
    <w:rsid w:val="00871DFA"/>
    <w:rsid w:val="0087207F"/>
    <w:rsid w:val="008721DB"/>
    <w:rsid w:val="008722B9"/>
    <w:rsid w:val="00872388"/>
    <w:rsid w:val="00872389"/>
    <w:rsid w:val="008723B3"/>
    <w:rsid w:val="0087253C"/>
    <w:rsid w:val="00872560"/>
    <w:rsid w:val="0087262B"/>
    <w:rsid w:val="00872680"/>
    <w:rsid w:val="00872698"/>
    <w:rsid w:val="008727C1"/>
    <w:rsid w:val="0087284D"/>
    <w:rsid w:val="00872961"/>
    <w:rsid w:val="008729C5"/>
    <w:rsid w:val="008729D9"/>
    <w:rsid w:val="00872A1C"/>
    <w:rsid w:val="00872B03"/>
    <w:rsid w:val="00872B58"/>
    <w:rsid w:val="00872BE7"/>
    <w:rsid w:val="00872C0A"/>
    <w:rsid w:val="00872C68"/>
    <w:rsid w:val="00872D9E"/>
    <w:rsid w:val="00872DE7"/>
    <w:rsid w:val="00872E64"/>
    <w:rsid w:val="00872F2D"/>
    <w:rsid w:val="00872FC2"/>
    <w:rsid w:val="00873010"/>
    <w:rsid w:val="00873050"/>
    <w:rsid w:val="00873121"/>
    <w:rsid w:val="00873178"/>
    <w:rsid w:val="0087326A"/>
    <w:rsid w:val="00873707"/>
    <w:rsid w:val="00873755"/>
    <w:rsid w:val="0087377F"/>
    <w:rsid w:val="00873A3E"/>
    <w:rsid w:val="00873BBD"/>
    <w:rsid w:val="00873CDE"/>
    <w:rsid w:val="00873DBC"/>
    <w:rsid w:val="00873ECC"/>
    <w:rsid w:val="00873F1F"/>
    <w:rsid w:val="00873F8D"/>
    <w:rsid w:val="00873FF8"/>
    <w:rsid w:val="00874065"/>
    <w:rsid w:val="00874239"/>
    <w:rsid w:val="00874311"/>
    <w:rsid w:val="00874368"/>
    <w:rsid w:val="00874406"/>
    <w:rsid w:val="00874468"/>
    <w:rsid w:val="00874484"/>
    <w:rsid w:val="00874597"/>
    <w:rsid w:val="00874628"/>
    <w:rsid w:val="00874755"/>
    <w:rsid w:val="00874770"/>
    <w:rsid w:val="008748C7"/>
    <w:rsid w:val="00874957"/>
    <w:rsid w:val="00874ABC"/>
    <w:rsid w:val="00874BBB"/>
    <w:rsid w:val="00874EE4"/>
    <w:rsid w:val="00874EF4"/>
    <w:rsid w:val="00875050"/>
    <w:rsid w:val="00875055"/>
    <w:rsid w:val="008750E0"/>
    <w:rsid w:val="008753E8"/>
    <w:rsid w:val="00875432"/>
    <w:rsid w:val="00875878"/>
    <w:rsid w:val="0087587F"/>
    <w:rsid w:val="008758B9"/>
    <w:rsid w:val="008758FD"/>
    <w:rsid w:val="0087592F"/>
    <w:rsid w:val="00875AEF"/>
    <w:rsid w:val="00875B0E"/>
    <w:rsid w:val="00875C27"/>
    <w:rsid w:val="00875DC8"/>
    <w:rsid w:val="00875E1D"/>
    <w:rsid w:val="00875E40"/>
    <w:rsid w:val="00875E79"/>
    <w:rsid w:val="00875F03"/>
    <w:rsid w:val="00875F84"/>
    <w:rsid w:val="00875FCA"/>
    <w:rsid w:val="00876132"/>
    <w:rsid w:val="00876188"/>
    <w:rsid w:val="008763BD"/>
    <w:rsid w:val="00876470"/>
    <w:rsid w:val="008764F8"/>
    <w:rsid w:val="00876524"/>
    <w:rsid w:val="008766F8"/>
    <w:rsid w:val="0087687D"/>
    <w:rsid w:val="008768C0"/>
    <w:rsid w:val="00876BD8"/>
    <w:rsid w:val="00876E09"/>
    <w:rsid w:val="00876E0C"/>
    <w:rsid w:val="00876FDE"/>
    <w:rsid w:val="00876FE3"/>
    <w:rsid w:val="00877198"/>
    <w:rsid w:val="008771EC"/>
    <w:rsid w:val="008772F1"/>
    <w:rsid w:val="0087738D"/>
    <w:rsid w:val="0087755E"/>
    <w:rsid w:val="00877670"/>
    <w:rsid w:val="00877796"/>
    <w:rsid w:val="008777C7"/>
    <w:rsid w:val="00877832"/>
    <w:rsid w:val="008778B9"/>
    <w:rsid w:val="0087795A"/>
    <w:rsid w:val="00877A8E"/>
    <w:rsid w:val="00877E1E"/>
    <w:rsid w:val="00877F4A"/>
    <w:rsid w:val="00880081"/>
    <w:rsid w:val="0088029D"/>
    <w:rsid w:val="008803DA"/>
    <w:rsid w:val="0088046D"/>
    <w:rsid w:val="008805B8"/>
    <w:rsid w:val="008805EE"/>
    <w:rsid w:val="008807D7"/>
    <w:rsid w:val="0088082A"/>
    <w:rsid w:val="008808B6"/>
    <w:rsid w:val="0088096C"/>
    <w:rsid w:val="00880986"/>
    <w:rsid w:val="008809E7"/>
    <w:rsid w:val="00880AB6"/>
    <w:rsid w:val="00880BAA"/>
    <w:rsid w:val="00880C11"/>
    <w:rsid w:val="00880C73"/>
    <w:rsid w:val="00880DA8"/>
    <w:rsid w:val="00880EA6"/>
    <w:rsid w:val="00880F0E"/>
    <w:rsid w:val="00881017"/>
    <w:rsid w:val="00881049"/>
    <w:rsid w:val="008810B7"/>
    <w:rsid w:val="0088121E"/>
    <w:rsid w:val="00881589"/>
    <w:rsid w:val="00881688"/>
    <w:rsid w:val="0088177A"/>
    <w:rsid w:val="008817B0"/>
    <w:rsid w:val="00881945"/>
    <w:rsid w:val="0088197D"/>
    <w:rsid w:val="00881A6D"/>
    <w:rsid w:val="00881AE4"/>
    <w:rsid w:val="00881C47"/>
    <w:rsid w:val="00881CFA"/>
    <w:rsid w:val="00881F04"/>
    <w:rsid w:val="008820AB"/>
    <w:rsid w:val="00882110"/>
    <w:rsid w:val="008822FD"/>
    <w:rsid w:val="00882757"/>
    <w:rsid w:val="00882791"/>
    <w:rsid w:val="00882819"/>
    <w:rsid w:val="00882B50"/>
    <w:rsid w:val="00882BA3"/>
    <w:rsid w:val="00882BBA"/>
    <w:rsid w:val="00882C7A"/>
    <w:rsid w:val="00882C7C"/>
    <w:rsid w:val="00882E7C"/>
    <w:rsid w:val="00882ECC"/>
    <w:rsid w:val="00882F7C"/>
    <w:rsid w:val="00882F81"/>
    <w:rsid w:val="00883022"/>
    <w:rsid w:val="00883104"/>
    <w:rsid w:val="00883564"/>
    <w:rsid w:val="008835E7"/>
    <w:rsid w:val="00883645"/>
    <w:rsid w:val="00883786"/>
    <w:rsid w:val="008839F1"/>
    <w:rsid w:val="00883B66"/>
    <w:rsid w:val="00883B91"/>
    <w:rsid w:val="00883D04"/>
    <w:rsid w:val="00883D6F"/>
    <w:rsid w:val="00883D99"/>
    <w:rsid w:val="00883DE5"/>
    <w:rsid w:val="00883ECD"/>
    <w:rsid w:val="0088412B"/>
    <w:rsid w:val="0088431D"/>
    <w:rsid w:val="0088459D"/>
    <w:rsid w:val="00884636"/>
    <w:rsid w:val="00884744"/>
    <w:rsid w:val="00884860"/>
    <w:rsid w:val="00884927"/>
    <w:rsid w:val="00884A59"/>
    <w:rsid w:val="00884BD2"/>
    <w:rsid w:val="00884C2E"/>
    <w:rsid w:val="00884C4F"/>
    <w:rsid w:val="00884E47"/>
    <w:rsid w:val="00884E63"/>
    <w:rsid w:val="00884ED0"/>
    <w:rsid w:val="00885052"/>
    <w:rsid w:val="0088512B"/>
    <w:rsid w:val="00885207"/>
    <w:rsid w:val="0088522B"/>
    <w:rsid w:val="00885294"/>
    <w:rsid w:val="0088538A"/>
    <w:rsid w:val="008853E3"/>
    <w:rsid w:val="008853E5"/>
    <w:rsid w:val="0088556B"/>
    <w:rsid w:val="00885717"/>
    <w:rsid w:val="00885ABA"/>
    <w:rsid w:val="00885B1E"/>
    <w:rsid w:val="00885DF1"/>
    <w:rsid w:val="00885F8F"/>
    <w:rsid w:val="00885FFB"/>
    <w:rsid w:val="0088610E"/>
    <w:rsid w:val="0088624E"/>
    <w:rsid w:val="00886422"/>
    <w:rsid w:val="008864EB"/>
    <w:rsid w:val="0088659D"/>
    <w:rsid w:val="008866B7"/>
    <w:rsid w:val="00886778"/>
    <w:rsid w:val="008867C6"/>
    <w:rsid w:val="008867F5"/>
    <w:rsid w:val="00886811"/>
    <w:rsid w:val="008868F2"/>
    <w:rsid w:val="00886909"/>
    <w:rsid w:val="00886A2C"/>
    <w:rsid w:val="00886B13"/>
    <w:rsid w:val="00886B22"/>
    <w:rsid w:val="00886D6B"/>
    <w:rsid w:val="00886DE1"/>
    <w:rsid w:val="00886DFF"/>
    <w:rsid w:val="0088719C"/>
    <w:rsid w:val="00887356"/>
    <w:rsid w:val="008874F4"/>
    <w:rsid w:val="008875B0"/>
    <w:rsid w:val="00887746"/>
    <w:rsid w:val="0088774A"/>
    <w:rsid w:val="00887967"/>
    <w:rsid w:val="00887994"/>
    <w:rsid w:val="008879C8"/>
    <w:rsid w:val="008879CD"/>
    <w:rsid w:val="008879F9"/>
    <w:rsid w:val="00887B07"/>
    <w:rsid w:val="00887C60"/>
    <w:rsid w:val="00887CA4"/>
    <w:rsid w:val="00887E31"/>
    <w:rsid w:val="00887E9A"/>
    <w:rsid w:val="00890110"/>
    <w:rsid w:val="00890154"/>
    <w:rsid w:val="008901AA"/>
    <w:rsid w:val="008902B5"/>
    <w:rsid w:val="008904B9"/>
    <w:rsid w:val="008904ED"/>
    <w:rsid w:val="00890638"/>
    <w:rsid w:val="00890723"/>
    <w:rsid w:val="00890798"/>
    <w:rsid w:val="00890817"/>
    <w:rsid w:val="00890B0E"/>
    <w:rsid w:val="00890D5B"/>
    <w:rsid w:val="00890F4E"/>
    <w:rsid w:val="00890F4F"/>
    <w:rsid w:val="00891125"/>
    <w:rsid w:val="008911EB"/>
    <w:rsid w:val="00891379"/>
    <w:rsid w:val="008913DF"/>
    <w:rsid w:val="00891462"/>
    <w:rsid w:val="00891564"/>
    <w:rsid w:val="008915A6"/>
    <w:rsid w:val="008915F8"/>
    <w:rsid w:val="00891679"/>
    <w:rsid w:val="008916A5"/>
    <w:rsid w:val="00891756"/>
    <w:rsid w:val="008917B0"/>
    <w:rsid w:val="008918DE"/>
    <w:rsid w:val="00891B30"/>
    <w:rsid w:val="00891BBF"/>
    <w:rsid w:val="00891C3B"/>
    <w:rsid w:val="00891CE7"/>
    <w:rsid w:val="00891DCB"/>
    <w:rsid w:val="00891FF6"/>
    <w:rsid w:val="0089204C"/>
    <w:rsid w:val="00892083"/>
    <w:rsid w:val="00892183"/>
    <w:rsid w:val="008921E5"/>
    <w:rsid w:val="00892418"/>
    <w:rsid w:val="00892477"/>
    <w:rsid w:val="008924F0"/>
    <w:rsid w:val="00892556"/>
    <w:rsid w:val="008925AE"/>
    <w:rsid w:val="008925E5"/>
    <w:rsid w:val="00892606"/>
    <w:rsid w:val="00892636"/>
    <w:rsid w:val="008926BF"/>
    <w:rsid w:val="008926FF"/>
    <w:rsid w:val="008927AC"/>
    <w:rsid w:val="00892805"/>
    <w:rsid w:val="0089281A"/>
    <w:rsid w:val="0089288C"/>
    <w:rsid w:val="00892939"/>
    <w:rsid w:val="00892A44"/>
    <w:rsid w:val="00892AF6"/>
    <w:rsid w:val="00892B2A"/>
    <w:rsid w:val="00892C8E"/>
    <w:rsid w:val="00892C8F"/>
    <w:rsid w:val="00892CC0"/>
    <w:rsid w:val="00892DCD"/>
    <w:rsid w:val="00892DEE"/>
    <w:rsid w:val="00892EF7"/>
    <w:rsid w:val="00892F1D"/>
    <w:rsid w:val="00893132"/>
    <w:rsid w:val="0089314F"/>
    <w:rsid w:val="00893168"/>
    <w:rsid w:val="008931BC"/>
    <w:rsid w:val="008931E8"/>
    <w:rsid w:val="008932D8"/>
    <w:rsid w:val="0089337D"/>
    <w:rsid w:val="008935D6"/>
    <w:rsid w:val="0089361D"/>
    <w:rsid w:val="00893730"/>
    <w:rsid w:val="00893747"/>
    <w:rsid w:val="00893749"/>
    <w:rsid w:val="008938D9"/>
    <w:rsid w:val="0089398C"/>
    <w:rsid w:val="00893AF6"/>
    <w:rsid w:val="00893DB8"/>
    <w:rsid w:val="00893E44"/>
    <w:rsid w:val="00893F8F"/>
    <w:rsid w:val="0089411D"/>
    <w:rsid w:val="00894181"/>
    <w:rsid w:val="00894338"/>
    <w:rsid w:val="00894510"/>
    <w:rsid w:val="00894984"/>
    <w:rsid w:val="00894C08"/>
    <w:rsid w:val="00894C6E"/>
    <w:rsid w:val="00894D56"/>
    <w:rsid w:val="00894D61"/>
    <w:rsid w:val="00894D71"/>
    <w:rsid w:val="00894DE2"/>
    <w:rsid w:val="00894E6C"/>
    <w:rsid w:val="00895058"/>
    <w:rsid w:val="008950D0"/>
    <w:rsid w:val="008951FC"/>
    <w:rsid w:val="00895232"/>
    <w:rsid w:val="008953A5"/>
    <w:rsid w:val="008954D8"/>
    <w:rsid w:val="0089564A"/>
    <w:rsid w:val="0089568D"/>
    <w:rsid w:val="00895768"/>
    <w:rsid w:val="008957AA"/>
    <w:rsid w:val="0089594B"/>
    <w:rsid w:val="00895996"/>
    <w:rsid w:val="00895A47"/>
    <w:rsid w:val="00895B46"/>
    <w:rsid w:val="00895B68"/>
    <w:rsid w:val="00895BA4"/>
    <w:rsid w:val="00895F7A"/>
    <w:rsid w:val="00896102"/>
    <w:rsid w:val="0089617B"/>
    <w:rsid w:val="008961EF"/>
    <w:rsid w:val="00896225"/>
    <w:rsid w:val="008963DB"/>
    <w:rsid w:val="00896647"/>
    <w:rsid w:val="00896666"/>
    <w:rsid w:val="008966AD"/>
    <w:rsid w:val="008966FE"/>
    <w:rsid w:val="0089673A"/>
    <w:rsid w:val="00896776"/>
    <w:rsid w:val="008968E5"/>
    <w:rsid w:val="00896AC3"/>
    <w:rsid w:val="00896CFF"/>
    <w:rsid w:val="00896DE9"/>
    <w:rsid w:val="00896DF5"/>
    <w:rsid w:val="00896F25"/>
    <w:rsid w:val="00896F26"/>
    <w:rsid w:val="008970DD"/>
    <w:rsid w:val="0089736F"/>
    <w:rsid w:val="00897494"/>
    <w:rsid w:val="008974C6"/>
    <w:rsid w:val="008974D5"/>
    <w:rsid w:val="0089764D"/>
    <w:rsid w:val="008976FB"/>
    <w:rsid w:val="00897797"/>
    <w:rsid w:val="00897844"/>
    <w:rsid w:val="00897965"/>
    <w:rsid w:val="00897AC0"/>
    <w:rsid w:val="00897ADF"/>
    <w:rsid w:val="00897B56"/>
    <w:rsid w:val="00897CBE"/>
    <w:rsid w:val="00897DEF"/>
    <w:rsid w:val="00897ED9"/>
    <w:rsid w:val="008A019E"/>
    <w:rsid w:val="008A0488"/>
    <w:rsid w:val="008A0490"/>
    <w:rsid w:val="008A04F3"/>
    <w:rsid w:val="008A0516"/>
    <w:rsid w:val="008A0589"/>
    <w:rsid w:val="008A0603"/>
    <w:rsid w:val="008A08A1"/>
    <w:rsid w:val="008A0B55"/>
    <w:rsid w:val="008A0BA7"/>
    <w:rsid w:val="008A0BD0"/>
    <w:rsid w:val="008A0C53"/>
    <w:rsid w:val="008A0D49"/>
    <w:rsid w:val="008A0DC9"/>
    <w:rsid w:val="008A0E31"/>
    <w:rsid w:val="008A0EE4"/>
    <w:rsid w:val="008A0F9E"/>
    <w:rsid w:val="008A10FE"/>
    <w:rsid w:val="008A1198"/>
    <w:rsid w:val="008A11A2"/>
    <w:rsid w:val="008A139A"/>
    <w:rsid w:val="008A15AE"/>
    <w:rsid w:val="008A163B"/>
    <w:rsid w:val="008A1799"/>
    <w:rsid w:val="008A1B36"/>
    <w:rsid w:val="008A1D0F"/>
    <w:rsid w:val="008A1D7F"/>
    <w:rsid w:val="008A1E62"/>
    <w:rsid w:val="008A1FA9"/>
    <w:rsid w:val="008A1FCA"/>
    <w:rsid w:val="008A2064"/>
    <w:rsid w:val="008A2073"/>
    <w:rsid w:val="008A20BE"/>
    <w:rsid w:val="008A2120"/>
    <w:rsid w:val="008A224B"/>
    <w:rsid w:val="008A2254"/>
    <w:rsid w:val="008A2351"/>
    <w:rsid w:val="008A2389"/>
    <w:rsid w:val="008A23A4"/>
    <w:rsid w:val="008A23A8"/>
    <w:rsid w:val="008A25D7"/>
    <w:rsid w:val="008A2932"/>
    <w:rsid w:val="008A29E7"/>
    <w:rsid w:val="008A2B6A"/>
    <w:rsid w:val="008A2D08"/>
    <w:rsid w:val="008A2DB2"/>
    <w:rsid w:val="008A2E98"/>
    <w:rsid w:val="008A3014"/>
    <w:rsid w:val="008A305B"/>
    <w:rsid w:val="008A3106"/>
    <w:rsid w:val="008A3356"/>
    <w:rsid w:val="008A33ED"/>
    <w:rsid w:val="008A33F3"/>
    <w:rsid w:val="008A34E7"/>
    <w:rsid w:val="008A361E"/>
    <w:rsid w:val="008A38BC"/>
    <w:rsid w:val="008A38EB"/>
    <w:rsid w:val="008A3A0E"/>
    <w:rsid w:val="008A3AB3"/>
    <w:rsid w:val="008A3D9D"/>
    <w:rsid w:val="008A3DBD"/>
    <w:rsid w:val="008A3E6B"/>
    <w:rsid w:val="008A3E93"/>
    <w:rsid w:val="008A3EAB"/>
    <w:rsid w:val="008A40FF"/>
    <w:rsid w:val="008A4204"/>
    <w:rsid w:val="008A4479"/>
    <w:rsid w:val="008A45B2"/>
    <w:rsid w:val="008A462F"/>
    <w:rsid w:val="008A4793"/>
    <w:rsid w:val="008A489D"/>
    <w:rsid w:val="008A4B9F"/>
    <w:rsid w:val="008A4BDE"/>
    <w:rsid w:val="008A4D8A"/>
    <w:rsid w:val="008A4F7E"/>
    <w:rsid w:val="008A51F8"/>
    <w:rsid w:val="008A5260"/>
    <w:rsid w:val="008A5616"/>
    <w:rsid w:val="008A576E"/>
    <w:rsid w:val="008A58B0"/>
    <w:rsid w:val="008A5923"/>
    <w:rsid w:val="008A5E0D"/>
    <w:rsid w:val="008A5E63"/>
    <w:rsid w:val="008A6041"/>
    <w:rsid w:val="008A62DC"/>
    <w:rsid w:val="008A65B5"/>
    <w:rsid w:val="008A66B5"/>
    <w:rsid w:val="008A68D0"/>
    <w:rsid w:val="008A69AF"/>
    <w:rsid w:val="008A69C7"/>
    <w:rsid w:val="008A6A1C"/>
    <w:rsid w:val="008A6B4E"/>
    <w:rsid w:val="008A6D7A"/>
    <w:rsid w:val="008A6D9E"/>
    <w:rsid w:val="008A6DD0"/>
    <w:rsid w:val="008A70A1"/>
    <w:rsid w:val="008A713B"/>
    <w:rsid w:val="008A719A"/>
    <w:rsid w:val="008A7264"/>
    <w:rsid w:val="008A734A"/>
    <w:rsid w:val="008A73D8"/>
    <w:rsid w:val="008A7535"/>
    <w:rsid w:val="008A769C"/>
    <w:rsid w:val="008A769D"/>
    <w:rsid w:val="008A7736"/>
    <w:rsid w:val="008A777A"/>
    <w:rsid w:val="008A79BB"/>
    <w:rsid w:val="008A7AE2"/>
    <w:rsid w:val="008A7E60"/>
    <w:rsid w:val="008A7F13"/>
    <w:rsid w:val="008B0550"/>
    <w:rsid w:val="008B0606"/>
    <w:rsid w:val="008B072F"/>
    <w:rsid w:val="008B081F"/>
    <w:rsid w:val="008B08BF"/>
    <w:rsid w:val="008B0A44"/>
    <w:rsid w:val="008B0B11"/>
    <w:rsid w:val="008B0BB1"/>
    <w:rsid w:val="008B0D19"/>
    <w:rsid w:val="008B0D81"/>
    <w:rsid w:val="008B0FB0"/>
    <w:rsid w:val="008B0FB4"/>
    <w:rsid w:val="008B1002"/>
    <w:rsid w:val="008B1117"/>
    <w:rsid w:val="008B117E"/>
    <w:rsid w:val="008B11CC"/>
    <w:rsid w:val="008B1327"/>
    <w:rsid w:val="008B1349"/>
    <w:rsid w:val="008B16E5"/>
    <w:rsid w:val="008B17F4"/>
    <w:rsid w:val="008B180D"/>
    <w:rsid w:val="008B18F5"/>
    <w:rsid w:val="008B1A95"/>
    <w:rsid w:val="008B1CDC"/>
    <w:rsid w:val="008B1D10"/>
    <w:rsid w:val="008B1ED7"/>
    <w:rsid w:val="008B2023"/>
    <w:rsid w:val="008B2163"/>
    <w:rsid w:val="008B230B"/>
    <w:rsid w:val="008B2521"/>
    <w:rsid w:val="008B261F"/>
    <w:rsid w:val="008B2632"/>
    <w:rsid w:val="008B2831"/>
    <w:rsid w:val="008B28A4"/>
    <w:rsid w:val="008B2919"/>
    <w:rsid w:val="008B2AD1"/>
    <w:rsid w:val="008B2AEA"/>
    <w:rsid w:val="008B2C07"/>
    <w:rsid w:val="008B2C4B"/>
    <w:rsid w:val="008B2DF8"/>
    <w:rsid w:val="008B2E1F"/>
    <w:rsid w:val="008B3054"/>
    <w:rsid w:val="008B322D"/>
    <w:rsid w:val="008B331A"/>
    <w:rsid w:val="008B3419"/>
    <w:rsid w:val="008B3819"/>
    <w:rsid w:val="008B382B"/>
    <w:rsid w:val="008B39CC"/>
    <w:rsid w:val="008B3DD7"/>
    <w:rsid w:val="008B3DE6"/>
    <w:rsid w:val="008B3ED7"/>
    <w:rsid w:val="008B40B5"/>
    <w:rsid w:val="008B4110"/>
    <w:rsid w:val="008B42F0"/>
    <w:rsid w:val="008B444B"/>
    <w:rsid w:val="008B4543"/>
    <w:rsid w:val="008B459E"/>
    <w:rsid w:val="008B4777"/>
    <w:rsid w:val="008B483F"/>
    <w:rsid w:val="008B48C3"/>
    <w:rsid w:val="008B49C7"/>
    <w:rsid w:val="008B4D6D"/>
    <w:rsid w:val="008B5187"/>
    <w:rsid w:val="008B540E"/>
    <w:rsid w:val="008B5538"/>
    <w:rsid w:val="008B56F2"/>
    <w:rsid w:val="008B57C8"/>
    <w:rsid w:val="008B59E1"/>
    <w:rsid w:val="008B5A4F"/>
    <w:rsid w:val="008B5AEF"/>
    <w:rsid w:val="008B5B9A"/>
    <w:rsid w:val="008B5C08"/>
    <w:rsid w:val="008B5CA0"/>
    <w:rsid w:val="008B5D8F"/>
    <w:rsid w:val="008B5DEA"/>
    <w:rsid w:val="008B5E6A"/>
    <w:rsid w:val="008B5EEA"/>
    <w:rsid w:val="008B6101"/>
    <w:rsid w:val="008B61D3"/>
    <w:rsid w:val="008B61E8"/>
    <w:rsid w:val="008B6382"/>
    <w:rsid w:val="008B64C4"/>
    <w:rsid w:val="008B666D"/>
    <w:rsid w:val="008B6679"/>
    <w:rsid w:val="008B6788"/>
    <w:rsid w:val="008B683D"/>
    <w:rsid w:val="008B69CC"/>
    <w:rsid w:val="008B69F5"/>
    <w:rsid w:val="008B6B4E"/>
    <w:rsid w:val="008B6B9D"/>
    <w:rsid w:val="008B6C25"/>
    <w:rsid w:val="008B6C43"/>
    <w:rsid w:val="008B6F10"/>
    <w:rsid w:val="008B6F95"/>
    <w:rsid w:val="008B7285"/>
    <w:rsid w:val="008B72EE"/>
    <w:rsid w:val="008B737C"/>
    <w:rsid w:val="008B73A1"/>
    <w:rsid w:val="008B7A22"/>
    <w:rsid w:val="008B7B65"/>
    <w:rsid w:val="008B7D36"/>
    <w:rsid w:val="008B7DF9"/>
    <w:rsid w:val="008B7E5C"/>
    <w:rsid w:val="008B7E83"/>
    <w:rsid w:val="008C004A"/>
    <w:rsid w:val="008C02F8"/>
    <w:rsid w:val="008C04A3"/>
    <w:rsid w:val="008C04A8"/>
    <w:rsid w:val="008C089D"/>
    <w:rsid w:val="008C098A"/>
    <w:rsid w:val="008C0B89"/>
    <w:rsid w:val="008C0B9C"/>
    <w:rsid w:val="008C0DBB"/>
    <w:rsid w:val="008C0E18"/>
    <w:rsid w:val="008C0E5F"/>
    <w:rsid w:val="008C0ED1"/>
    <w:rsid w:val="008C1093"/>
    <w:rsid w:val="008C1185"/>
    <w:rsid w:val="008C12AE"/>
    <w:rsid w:val="008C13FB"/>
    <w:rsid w:val="008C166C"/>
    <w:rsid w:val="008C1862"/>
    <w:rsid w:val="008C18A0"/>
    <w:rsid w:val="008C1960"/>
    <w:rsid w:val="008C196E"/>
    <w:rsid w:val="008C1A3F"/>
    <w:rsid w:val="008C1D17"/>
    <w:rsid w:val="008C1D8B"/>
    <w:rsid w:val="008C1DEE"/>
    <w:rsid w:val="008C1F94"/>
    <w:rsid w:val="008C2061"/>
    <w:rsid w:val="008C2112"/>
    <w:rsid w:val="008C2278"/>
    <w:rsid w:val="008C229B"/>
    <w:rsid w:val="008C2387"/>
    <w:rsid w:val="008C23C2"/>
    <w:rsid w:val="008C24A7"/>
    <w:rsid w:val="008C24E8"/>
    <w:rsid w:val="008C25A7"/>
    <w:rsid w:val="008C274C"/>
    <w:rsid w:val="008C27D0"/>
    <w:rsid w:val="008C27F5"/>
    <w:rsid w:val="008C281F"/>
    <w:rsid w:val="008C28A8"/>
    <w:rsid w:val="008C28C1"/>
    <w:rsid w:val="008C2AF1"/>
    <w:rsid w:val="008C2B07"/>
    <w:rsid w:val="008C2C23"/>
    <w:rsid w:val="008C2CF2"/>
    <w:rsid w:val="008C2F0C"/>
    <w:rsid w:val="008C31F1"/>
    <w:rsid w:val="008C33B7"/>
    <w:rsid w:val="008C3424"/>
    <w:rsid w:val="008C34E1"/>
    <w:rsid w:val="008C34F2"/>
    <w:rsid w:val="008C3626"/>
    <w:rsid w:val="008C3637"/>
    <w:rsid w:val="008C38EE"/>
    <w:rsid w:val="008C3AA4"/>
    <w:rsid w:val="008C3B9A"/>
    <w:rsid w:val="008C3D86"/>
    <w:rsid w:val="008C3EA6"/>
    <w:rsid w:val="008C403C"/>
    <w:rsid w:val="008C40E9"/>
    <w:rsid w:val="008C4110"/>
    <w:rsid w:val="008C42EA"/>
    <w:rsid w:val="008C43A0"/>
    <w:rsid w:val="008C457F"/>
    <w:rsid w:val="008C480C"/>
    <w:rsid w:val="008C4A72"/>
    <w:rsid w:val="008C4C2E"/>
    <w:rsid w:val="008C4F63"/>
    <w:rsid w:val="008C5197"/>
    <w:rsid w:val="008C5204"/>
    <w:rsid w:val="008C5276"/>
    <w:rsid w:val="008C54B9"/>
    <w:rsid w:val="008C5530"/>
    <w:rsid w:val="008C557A"/>
    <w:rsid w:val="008C5642"/>
    <w:rsid w:val="008C566B"/>
    <w:rsid w:val="008C56B8"/>
    <w:rsid w:val="008C5842"/>
    <w:rsid w:val="008C5A0A"/>
    <w:rsid w:val="008C5A5E"/>
    <w:rsid w:val="008C5ACA"/>
    <w:rsid w:val="008C5B8D"/>
    <w:rsid w:val="008C5DDA"/>
    <w:rsid w:val="008C5E86"/>
    <w:rsid w:val="008C5ECE"/>
    <w:rsid w:val="008C5EEA"/>
    <w:rsid w:val="008C5EEC"/>
    <w:rsid w:val="008C5F5D"/>
    <w:rsid w:val="008C649A"/>
    <w:rsid w:val="008C65BA"/>
    <w:rsid w:val="008C66F5"/>
    <w:rsid w:val="008C6B30"/>
    <w:rsid w:val="008C6CA7"/>
    <w:rsid w:val="008C6D6D"/>
    <w:rsid w:val="008C6FC4"/>
    <w:rsid w:val="008C7008"/>
    <w:rsid w:val="008C7057"/>
    <w:rsid w:val="008C73A0"/>
    <w:rsid w:val="008C742B"/>
    <w:rsid w:val="008C7524"/>
    <w:rsid w:val="008C7726"/>
    <w:rsid w:val="008C776A"/>
    <w:rsid w:val="008C779A"/>
    <w:rsid w:val="008C7860"/>
    <w:rsid w:val="008C787E"/>
    <w:rsid w:val="008C7ABF"/>
    <w:rsid w:val="008C7C55"/>
    <w:rsid w:val="008C7C68"/>
    <w:rsid w:val="008C7E7A"/>
    <w:rsid w:val="008C7F1E"/>
    <w:rsid w:val="008D01B3"/>
    <w:rsid w:val="008D024A"/>
    <w:rsid w:val="008D033F"/>
    <w:rsid w:val="008D0376"/>
    <w:rsid w:val="008D053C"/>
    <w:rsid w:val="008D0743"/>
    <w:rsid w:val="008D0797"/>
    <w:rsid w:val="008D0A27"/>
    <w:rsid w:val="008D0A96"/>
    <w:rsid w:val="008D0E0E"/>
    <w:rsid w:val="008D0E58"/>
    <w:rsid w:val="008D1010"/>
    <w:rsid w:val="008D11C3"/>
    <w:rsid w:val="008D123D"/>
    <w:rsid w:val="008D125E"/>
    <w:rsid w:val="008D12EB"/>
    <w:rsid w:val="008D15F2"/>
    <w:rsid w:val="008D1608"/>
    <w:rsid w:val="008D1661"/>
    <w:rsid w:val="008D17EF"/>
    <w:rsid w:val="008D1862"/>
    <w:rsid w:val="008D18AC"/>
    <w:rsid w:val="008D1911"/>
    <w:rsid w:val="008D1963"/>
    <w:rsid w:val="008D1ADD"/>
    <w:rsid w:val="008D1BD8"/>
    <w:rsid w:val="008D1D57"/>
    <w:rsid w:val="008D1E8D"/>
    <w:rsid w:val="008D244F"/>
    <w:rsid w:val="008D2527"/>
    <w:rsid w:val="008D25F8"/>
    <w:rsid w:val="008D2681"/>
    <w:rsid w:val="008D2727"/>
    <w:rsid w:val="008D2789"/>
    <w:rsid w:val="008D2790"/>
    <w:rsid w:val="008D27D8"/>
    <w:rsid w:val="008D27F0"/>
    <w:rsid w:val="008D2883"/>
    <w:rsid w:val="008D2A09"/>
    <w:rsid w:val="008D2A24"/>
    <w:rsid w:val="008D2AF1"/>
    <w:rsid w:val="008D2D70"/>
    <w:rsid w:val="008D2E47"/>
    <w:rsid w:val="008D2EF6"/>
    <w:rsid w:val="008D3040"/>
    <w:rsid w:val="008D3054"/>
    <w:rsid w:val="008D3188"/>
    <w:rsid w:val="008D32BC"/>
    <w:rsid w:val="008D33C3"/>
    <w:rsid w:val="008D34C1"/>
    <w:rsid w:val="008D3580"/>
    <w:rsid w:val="008D3670"/>
    <w:rsid w:val="008D3701"/>
    <w:rsid w:val="008D3790"/>
    <w:rsid w:val="008D38AA"/>
    <w:rsid w:val="008D3938"/>
    <w:rsid w:val="008D3B2D"/>
    <w:rsid w:val="008D3F73"/>
    <w:rsid w:val="008D4059"/>
    <w:rsid w:val="008D40F8"/>
    <w:rsid w:val="008D42E1"/>
    <w:rsid w:val="008D44C0"/>
    <w:rsid w:val="008D4670"/>
    <w:rsid w:val="008D493A"/>
    <w:rsid w:val="008D499E"/>
    <w:rsid w:val="008D4A61"/>
    <w:rsid w:val="008D4ACE"/>
    <w:rsid w:val="008D4C2A"/>
    <w:rsid w:val="008D4C4E"/>
    <w:rsid w:val="008D4C76"/>
    <w:rsid w:val="008D4D63"/>
    <w:rsid w:val="008D4EF1"/>
    <w:rsid w:val="008D5061"/>
    <w:rsid w:val="008D5323"/>
    <w:rsid w:val="008D533E"/>
    <w:rsid w:val="008D53CE"/>
    <w:rsid w:val="008D565C"/>
    <w:rsid w:val="008D5822"/>
    <w:rsid w:val="008D5A9D"/>
    <w:rsid w:val="008D5D17"/>
    <w:rsid w:val="008D5E6F"/>
    <w:rsid w:val="008D611E"/>
    <w:rsid w:val="008D64B8"/>
    <w:rsid w:val="008D65F6"/>
    <w:rsid w:val="008D665F"/>
    <w:rsid w:val="008D67CA"/>
    <w:rsid w:val="008D67CB"/>
    <w:rsid w:val="008D68B6"/>
    <w:rsid w:val="008D69B4"/>
    <w:rsid w:val="008D6BC2"/>
    <w:rsid w:val="008D6CD4"/>
    <w:rsid w:val="008D6CD9"/>
    <w:rsid w:val="008D6DD4"/>
    <w:rsid w:val="008D6E56"/>
    <w:rsid w:val="008D6F18"/>
    <w:rsid w:val="008D6F9C"/>
    <w:rsid w:val="008D712A"/>
    <w:rsid w:val="008D718B"/>
    <w:rsid w:val="008D7297"/>
    <w:rsid w:val="008D72A0"/>
    <w:rsid w:val="008D7455"/>
    <w:rsid w:val="008D7463"/>
    <w:rsid w:val="008D7624"/>
    <w:rsid w:val="008D774C"/>
    <w:rsid w:val="008D7784"/>
    <w:rsid w:val="008D783D"/>
    <w:rsid w:val="008D7878"/>
    <w:rsid w:val="008D7934"/>
    <w:rsid w:val="008D7AEE"/>
    <w:rsid w:val="008D7C5C"/>
    <w:rsid w:val="008D7C70"/>
    <w:rsid w:val="008D7CF4"/>
    <w:rsid w:val="008D7DED"/>
    <w:rsid w:val="008D7F0E"/>
    <w:rsid w:val="008E00E8"/>
    <w:rsid w:val="008E01D8"/>
    <w:rsid w:val="008E032B"/>
    <w:rsid w:val="008E0378"/>
    <w:rsid w:val="008E03A0"/>
    <w:rsid w:val="008E03F8"/>
    <w:rsid w:val="008E058A"/>
    <w:rsid w:val="008E0844"/>
    <w:rsid w:val="008E0CFB"/>
    <w:rsid w:val="008E0CFC"/>
    <w:rsid w:val="008E0E6B"/>
    <w:rsid w:val="008E0F00"/>
    <w:rsid w:val="008E122C"/>
    <w:rsid w:val="008E1303"/>
    <w:rsid w:val="008E1374"/>
    <w:rsid w:val="008E1381"/>
    <w:rsid w:val="008E145A"/>
    <w:rsid w:val="008E1495"/>
    <w:rsid w:val="008E163F"/>
    <w:rsid w:val="008E1682"/>
    <w:rsid w:val="008E16A9"/>
    <w:rsid w:val="008E1711"/>
    <w:rsid w:val="008E17FE"/>
    <w:rsid w:val="008E186E"/>
    <w:rsid w:val="008E1882"/>
    <w:rsid w:val="008E18CC"/>
    <w:rsid w:val="008E19A6"/>
    <w:rsid w:val="008E1A3B"/>
    <w:rsid w:val="008E1ACC"/>
    <w:rsid w:val="008E1C43"/>
    <w:rsid w:val="008E1DFB"/>
    <w:rsid w:val="008E23FC"/>
    <w:rsid w:val="008E24E3"/>
    <w:rsid w:val="008E2620"/>
    <w:rsid w:val="008E270D"/>
    <w:rsid w:val="008E291C"/>
    <w:rsid w:val="008E293A"/>
    <w:rsid w:val="008E2B0E"/>
    <w:rsid w:val="008E2B60"/>
    <w:rsid w:val="008E2B66"/>
    <w:rsid w:val="008E2C61"/>
    <w:rsid w:val="008E2E08"/>
    <w:rsid w:val="008E2E14"/>
    <w:rsid w:val="008E2F95"/>
    <w:rsid w:val="008E30BB"/>
    <w:rsid w:val="008E30F7"/>
    <w:rsid w:val="008E3109"/>
    <w:rsid w:val="008E3213"/>
    <w:rsid w:val="008E3292"/>
    <w:rsid w:val="008E3395"/>
    <w:rsid w:val="008E33B7"/>
    <w:rsid w:val="008E37C4"/>
    <w:rsid w:val="008E381D"/>
    <w:rsid w:val="008E38D2"/>
    <w:rsid w:val="008E39AB"/>
    <w:rsid w:val="008E3B08"/>
    <w:rsid w:val="008E3B1D"/>
    <w:rsid w:val="008E3D54"/>
    <w:rsid w:val="008E3E4C"/>
    <w:rsid w:val="008E40F6"/>
    <w:rsid w:val="008E40F9"/>
    <w:rsid w:val="008E42A5"/>
    <w:rsid w:val="008E4364"/>
    <w:rsid w:val="008E4436"/>
    <w:rsid w:val="008E4480"/>
    <w:rsid w:val="008E458B"/>
    <w:rsid w:val="008E4618"/>
    <w:rsid w:val="008E469B"/>
    <w:rsid w:val="008E47B8"/>
    <w:rsid w:val="008E47D1"/>
    <w:rsid w:val="008E4915"/>
    <w:rsid w:val="008E4939"/>
    <w:rsid w:val="008E4A0A"/>
    <w:rsid w:val="008E4A61"/>
    <w:rsid w:val="008E4AE3"/>
    <w:rsid w:val="008E4D05"/>
    <w:rsid w:val="008E4D74"/>
    <w:rsid w:val="008E4E64"/>
    <w:rsid w:val="008E4EEF"/>
    <w:rsid w:val="008E4F56"/>
    <w:rsid w:val="008E4F82"/>
    <w:rsid w:val="008E4FC1"/>
    <w:rsid w:val="008E51DF"/>
    <w:rsid w:val="008E533E"/>
    <w:rsid w:val="008E5551"/>
    <w:rsid w:val="008E581E"/>
    <w:rsid w:val="008E5A11"/>
    <w:rsid w:val="008E5C53"/>
    <w:rsid w:val="008E5DCA"/>
    <w:rsid w:val="008E5DEE"/>
    <w:rsid w:val="008E5EE9"/>
    <w:rsid w:val="008E60A7"/>
    <w:rsid w:val="008E60B6"/>
    <w:rsid w:val="008E61A1"/>
    <w:rsid w:val="008E624C"/>
    <w:rsid w:val="008E62F4"/>
    <w:rsid w:val="008E63CE"/>
    <w:rsid w:val="008E63DD"/>
    <w:rsid w:val="008E67EA"/>
    <w:rsid w:val="008E689E"/>
    <w:rsid w:val="008E68D9"/>
    <w:rsid w:val="008E6960"/>
    <w:rsid w:val="008E6C49"/>
    <w:rsid w:val="008E6D24"/>
    <w:rsid w:val="008E6E85"/>
    <w:rsid w:val="008E6F6B"/>
    <w:rsid w:val="008E7069"/>
    <w:rsid w:val="008E710E"/>
    <w:rsid w:val="008E7134"/>
    <w:rsid w:val="008E719D"/>
    <w:rsid w:val="008E732D"/>
    <w:rsid w:val="008E7521"/>
    <w:rsid w:val="008E75AF"/>
    <w:rsid w:val="008E77A4"/>
    <w:rsid w:val="008E7822"/>
    <w:rsid w:val="008E78C6"/>
    <w:rsid w:val="008E7975"/>
    <w:rsid w:val="008E79CF"/>
    <w:rsid w:val="008E7EEC"/>
    <w:rsid w:val="008F0137"/>
    <w:rsid w:val="008F051C"/>
    <w:rsid w:val="008F0529"/>
    <w:rsid w:val="008F05B0"/>
    <w:rsid w:val="008F075D"/>
    <w:rsid w:val="008F0770"/>
    <w:rsid w:val="008F0859"/>
    <w:rsid w:val="008F0982"/>
    <w:rsid w:val="008F09DE"/>
    <w:rsid w:val="008F0C0B"/>
    <w:rsid w:val="008F0C6F"/>
    <w:rsid w:val="008F0D18"/>
    <w:rsid w:val="008F0D2E"/>
    <w:rsid w:val="008F0F8C"/>
    <w:rsid w:val="008F0F96"/>
    <w:rsid w:val="008F140F"/>
    <w:rsid w:val="008F147A"/>
    <w:rsid w:val="008F151F"/>
    <w:rsid w:val="008F1558"/>
    <w:rsid w:val="008F1693"/>
    <w:rsid w:val="008F17D4"/>
    <w:rsid w:val="008F1944"/>
    <w:rsid w:val="008F1B37"/>
    <w:rsid w:val="008F1BCE"/>
    <w:rsid w:val="008F1BDB"/>
    <w:rsid w:val="008F1C11"/>
    <w:rsid w:val="008F1DA1"/>
    <w:rsid w:val="008F1DA7"/>
    <w:rsid w:val="008F1E18"/>
    <w:rsid w:val="008F1F87"/>
    <w:rsid w:val="008F2066"/>
    <w:rsid w:val="008F20A5"/>
    <w:rsid w:val="008F21D9"/>
    <w:rsid w:val="008F2251"/>
    <w:rsid w:val="008F2355"/>
    <w:rsid w:val="008F2836"/>
    <w:rsid w:val="008F28CE"/>
    <w:rsid w:val="008F2A04"/>
    <w:rsid w:val="008F2A13"/>
    <w:rsid w:val="008F2AFC"/>
    <w:rsid w:val="008F2CD5"/>
    <w:rsid w:val="008F2D05"/>
    <w:rsid w:val="008F2D6D"/>
    <w:rsid w:val="008F2DA4"/>
    <w:rsid w:val="008F2DFD"/>
    <w:rsid w:val="008F2F42"/>
    <w:rsid w:val="008F2F8D"/>
    <w:rsid w:val="008F2FD3"/>
    <w:rsid w:val="008F306D"/>
    <w:rsid w:val="008F3140"/>
    <w:rsid w:val="008F318A"/>
    <w:rsid w:val="008F31BE"/>
    <w:rsid w:val="008F3230"/>
    <w:rsid w:val="008F3476"/>
    <w:rsid w:val="008F35DE"/>
    <w:rsid w:val="008F3685"/>
    <w:rsid w:val="008F36FB"/>
    <w:rsid w:val="008F373C"/>
    <w:rsid w:val="008F385A"/>
    <w:rsid w:val="008F3BBC"/>
    <w:rsid w:val="008F400B"/>
    <w:rsid w:val="008F4041"/>
    <w:rsid w:val="008F4348"/>
    <w:rsid w:val="008F4496"/>
    <w:rsid w:val="008F44C9"/>
    <w:rsid w:val="008F44FB"/>
    <w:rsid w:val="008F46AD"/>
    <w:rsid w:val="008F47DB"/>
    <w:rsid w:val="008F4899"/>
    <w:rsid w:val="008F4AAE"/>
    <w:rsid w:val="008F4C85"/>
    <w:rsid w:val="008F4F65"/>
    <w:rsid w:val="008F5087"/>
    <w:rsid w:val="008F50D5"/>
    <w:rsid w:val="008F5175"/>
    <w:rsid w:val="008F53BE"/>
    <w:rsid w:val="008F54AE"/>
    <w:rsid w:val="008F557E"/>
    <w:rsid w:val="008F5585"/>
    <w:rsid w:val="008F5668"/>
    <w:rsid w:val="008F569D"/>
    <w:rsid w:val="008F569F"/>
    <w:rsid w:val="008F575A"/>
    <w:rsid w:val="008F59C0"/>
    <w:rsid w:val="008F5A80"/>
    <w:rsid w:val="008F5A98"/>
    <w:rsid w:val="008F5BC6"/>
    <w:rsid w:val="008F5C38"/>
    <w:rsid w:val="008F5C76"/>
    <w:rsid w:val="008F5E6E"/>
    <w:rsid w:val="008F5F58"/>
    <w:rsid w:val="008F5FEE"/>
    <w:rsid w:val="008F67F5"/>
    <w:rsid w:val="008F69DC"/>
    <w:rsid w:val="008F6A32"/>
    <w:rsid w:val="008F6B4C"/>
    <w:rsid w:val="008F6DFA"/>
    <w:rsid w:val="008F7117"/>
    <w:rsid w:val="008F720B"/>
    <w:rsid w:val="008F737A"/>
    <w:rsid w:val="008F7437"/>
    <w:rsid w:val="008F76D4"/>
    <w:rsid w:val="008F77EB"/>
    <w:rsid w:val="008F780C"/>
    <w:rsid w:val="008F7A77"/>
    <w:rsid w:val="008F7A91"/>
    <w:rsid w:val="008F7D37"/>
    <w:rsid w:val="008F7E6E"/>
    <w:rsid w:val="00900087"/>
    <w:rsid w:val="0090017A"/>
    <w:rsid w:val="009001FD"/>
    <w:rsid w:val="00900308"/>
    <w:rsid w:val="009004BF"/>
    <w:rsid w:val="00900664"/>
    <w:rsid w:val="009006D6"/>
    <w:rsid w:val="009006F0"/>
    <w:rsid w:val="009007FE"/>
    <w:rsid w:val="009008DC"/>
    <w:rsid w:val="00900AB7"/>
    <w:rsid w:val="00900BFE"/>
    <w:rsid w:val="00900C92"/>
    <w:rsid w:val="00900F00"/>
    <w:rsid w:val="00900F07"/>
    <w:rsid w:val="00900FDF"/>
    <w:rsid w:val="00901121"/>
    <w:rsid w:val="00901134"/>
    <w:rsid w:val="0090117C"/>
    <w:rsid w:val="00901931"/>
    <w:rsid w:val="00901B3D"/>
    <w:rsid w:val="00901E73"/>
    <w:rsid w:val="00901E8B"/>
    <w:rsid w:val="00901EFE"/>
    <w:rsid w:val="00901F26"/>
    <w:rsid w:val="0090204B"/>
    <w:rsid w:val="009020E6"/>
    <w:rsid w:val="00902618"/>
    <w:rsid w:val="009027C5"/>
    <w:rsid w:val="009027E6"/>
    <w:rsid w:val="009028C3"/>
    <w:rsid w:val="00902940"/>
    <w:rsid w:val="009029B5"/>
    <w:rsid w:val="00902CBA"/>
    <w:rsid w:val="00902E2D"/>
    <w:rsid w:val="00902EF6"/>
    <w:rsid w:val="00902F95"/>
    <w:rsid w:val="00903084"/>
    <w:rsid w:val="00903095"/>
    <w:rsid w:val="0090316C"/>
    <w:rsid w:val="00903188"/>
    <w:rsid w:val="009032DB"/>
    <w:rsid w:val="0090331B"/>
    <w:rsid w:val="009033AC"/>
    <w:rsid w:val="009034CA"/>
    <w:rsid w:val="00903538"/>
    <w:rsid w:val="009035D8"/>
    <w:rsid w:val="00903622"/>
    <w:rsid w:val="00903907"/>
    <w:rsid w:val="00903A1D"/>
    <w:rsid w:val="00903B03"/>
    <w:rsid w:val="00903D85"/>
    <w:rsid w:val="00903DDF"/>
    <w:rsid w:val="0090421F"/>
    <w:rsid w:val="0090429A"/>
    <w:rsid w:val="009042D7"/>
    <w:rsid w:val="00904380"/>
    <w:rsid w:val="0090439A"/>
    <w:rsid w:val="009045F7"/>
    <w:rsid w:val="00904743"/>
    <w:rsid w:val="00904BFC"/>
    <w:rsid w:val="00904EA1"/>
    <w:rsid w:val="00904FFB"/>
    <w:rsid w:val="009050F3"/>
    <w:rsid w:val="00905143"/>
    <w:rsid w:val="009051A4"/>
    <w:rsid w:val="00905203"/>
    <w:rsid w:val="0090533D"/>
    <w:rsid w:val="0090540E"/>
    <w:rsid w:val="009055CC"/>
    <w:rsid w:val="009055FB"/>
    <w:rsid w:val="009056F4"/>
    <w:rsid w:val="009058EB"/>
    <w:rsid w:val="009059C5"/>
    <w:rsid w:val="009059CF"/>
    <w:rsid w:val="00905A56"/>
    <w:rsid w:val="00905D46"/>
    <w:rsid w:val="00905DD2"/>
    <w:rsid w:val="00905E24"/>
    <w:rsid w:val="00905E49"/>
    <w:rsid w:val="009060A9"/>
    <w:rsid w:val="009061A6"/>
    <w:rsid w:val="00906264"/>
    <w:rsid w:val="00906272"/>
    <w:rsid w:val="0090644E"/>
    <w:rsid w:val="00906656"/>
    <w:rsid w:val="009066D7"/>
    <w:rsid w:val="00906726"/>
    <w:rsid w:val="009069FC"/>
    <w:rsid w:val="00906BE9"/>
    <w:rsid w:val="00906D40"/>
    <w:rsid w:val="00906FAA"/>
    <w:rsid w:val="00906FF7"/>
    <w:rsid w:val="00907405"/>
    <w:rsid w:val="009075B8"/>
    <w:rsid w:val="0090762E"/>
    <w:rsid w:val="00907657"/>
    <w:rsid w:val="009076F0"/>
    <w:rsid w:val="0090773C"/>
    <w:rsid w:val="0090779A"/>
    <w:rsid w:val="009077DE"/>
    <w:rsid w:val="0090783B"/>
    <w:rsid w:val="00907841"/>
    <w:rsid w:val="00907A4D"/>
    <w:rsid w:val="00907BF5"/>
    <w:rsid w:val="00907DA0"/>
    <w:rsid w:val="00907EB6"/>
    <w:rsid w:val="00910002"/>
    <w:rsid w:val="009100E6"/>
    <w:rsid w:val="0091017E"/>
    <w:rsid w:val="0091020E"/>
    <w:rsid w:val="0091044F"/>
    <w:rsid w:val="009105B4"/>
    <w:rsid w:val="009105E9"/>
    <w:rsid w:val="0091077D"/>
    <w:rsid w:val="00910852"/>
    <w:rsid w:val="00910AC7"/>
    <w:rsid w:val="00910B4E"/>
    <w:rsid w:val="00910F8C"/>
    <w:rsid w:val="00910FA9"/>
    <w:rsid w:val="009110EC"/>
    <w:rsid w:val="00911220"/>
    <w:rsid w:val="00911260"/>
    <w:rsid w:val="0091126A"/>
    <w:rsid w:val="0091127E"/>
    <w:rsid w:val="009113B6"/>
    <w:rsid w:val="0091155A"/>
    <w:rsid w:val="00911589"/>
    <w:rsid w:val="00911685"/>
    <w:rsid w:val="0091178A"/>
    <w:rsid w:val="00911843"/>
    <w:rsid w:val="00911B3E"/>
    <w:rsid w:val="00911CCA"/>
    <w:rsid w:val="00911E0F"/>
    <w:rsid w:val="00911E18"/>
    <w:rsid w:val="0091203D"/>
    <w:rsid w:val="00912110"/>
    <w:rsid w:val="009121F0"/>
    <w:rsid w:val="00912248"/>
    <w:rsid w:val="00912266"/>
    <w:rsid w:val="009122B4"/>
    <w:rsid w:val="009123C7"/>
    <w:rsid w:val="009123ED"/>
    <w:rsid w:val="00912549"/>
    <w:rsid w:val="0091255F"/>
    <w:rsid w:val="009126A0"/>
    <w:rsid w:val="00912878"/>
    <w:rsid w:val="00912879"/>
    <w:rsid w:val="0091287B"/>
    <w:rsid w:val="0091290F"/>
    <w:rsid w:val="00912965"/>
    <w:rsid w:val="009129CC"/>
    <w:rsid w:val="009129D1"/>
    <w:rsid w:val="00912A27"/>
    <w:rsid w:val="00912BB3"/>
    <w:rsid w:val="00912F44"/>
    <w:rsid w:val="0091305C"/>
    <w:rsid w:val="009132C9"/>
    <w:rsid w:val="00913314"/>
    <w:rsid w:val="0091345E"/>
    <w:rsid w:val="00913535"/>
    <w:rsid w:val="00913628"/>
    <w:rsid w:val="009136AD"/>
    <w:rsid w:val="009136B2"/>
    <w:rsid w:val="009137F9"/>
    <w:rsid w:val="00913811"/>
    <w:rsid w:val="009138A0"/>
    <w:rsid w:val="009138AA"/>
    <w:rsid w:val="00913988"/>
    <w:rsid w:val="009139D9"/>
    <w:rsid w:val="00913DB8"/>
    <w:rsid w:val="00913DD8"/>
    <w:rsid w:val="00913E5A"/>
    <w:rsid w:val="00913ED3"/>
    <w:rsid w:val="00913F17"/>
    <w:rsid w:val="00913F78"/>
    <w:rsid w:val="00913FF5"/>
    <w:rsid w:val="00913FFE"/>
    <w:rsid w:val="009141F9"/>
    <w:rsid w:val="00914320"/>
    <w:rsid w:val="0091449D"/>
    <w:rsid w:val="009144F0"/>
    <w:rsid w:val="0091477E"/>
    <w:rsid w:val="009147CB"/>
    <w:rsid w:val="009148FD"/>
    <w:rsid w:val="009149B9"/>
    <w:rsid w:val="009149D3"/>
    <w:rsid w:val="00914B55"/>
    <w:rsid w:val="00914C3B"/>
    <w:rsid w:val="00914D05"/>
    <w:rsid w:val="00914D5D"/>
    <w:rsid w:val="00914D9B"/>
    <w:rsid w:val="00914F75"/>
    <w:rsid w:val="009150C9"/>
    <w:rsid w:val="0091518F"/>
    <w:rsid w:val="00915407"/>
    <w:rsid w:val="00915422"/>
    <w:rsid w:val="009154B0"/>
    <w:rsid w:val="0091580C"/>
    <w:rsid w:val="009158BA"/>
    <w:rsid w:val="00915ABB"/>
    <w:rsid w:val="00915AFD"/>
    <w:rsid w:val="00915C37"/>
    <w:rsid w:val="009162C0"/>
    <w:rsid w:val="00916445"/>
    <w:rsid w:val="009165CA"/>
    <w:rsid w:val="00916658"/>
    <w:rsid w:val="00916727"/>
    <w:rsid w:val="00916776"/>
    <w:rsid w:val="00916955"/>
    <w:rsid w:val="00916A59"/>
    <w:rsid w:val="00916A9F"/>
    <w:rsid w:val="00916AD5"/>
    <w:rsid w:val="00916CC2"/>
    <w:rsid w:val="00916DCA"/>
    <w:rsid w:val="00916EAA"/>
    <w:rsid w:val="00916F31"/>
    <w:rsid w:val="00916F69"/>
    <w:rsid w:val="0091706D"/>
    <w:rsid w:val="009170FA"/>
    <w:rsid w:val="00917176"/>
    <w:rsid w:val="00917185"/>
    <w:rsid w:val="00917670"/>
    <w:rsid w:val="0091768E"/>
    <w:rsid w:val="009176A1"/>
    <w:rsid w:val="00917903"/>
    <w:rsid w:val="00917D3A"/>
    <w:rsid w:val="00917FA6"/>
    <w:rsid w:val="00917FCC"/>
    <w:rsid w:val="00917FFE"/>
    <w:rsid w:val="009200C5"/>
    <w:rsid w:val="009200F4"/>
    <w:rsid w:val="00920195"/>
    <w:rsid w:val="0092023B"/>
    <w:rsid w:val="009202CA"/>
    <w:rsid w:val="009202FF"/>
    <w:rsid w:val="0092035A"/>
    <w:rsid w:val="00920448"/>
    <w:rsid w:val="009204B0"/>
    <w:rsid w:val="0092057E"/>
    <w:rsid w:val="009205C3"/>
    <w:rsid w:val="009205C5"/>
    <w:rsid w:val="0092068D"/>
    <w:rsid w:val="00920941"/>
    <w:rsid w:val="00920A37"/>
    <w:rsid w:val="00920A5D"/>
    <w:rsid w:val="00920A69"/>
    <w:rsid w:val="00920AD6"/>
    <w:rsid w:val="00920C33"/>
    <w:rsid w:val="00920CA3"/>
    <w:rsid w:val="00920D27"/>
    <w:rsid w:val="00920DDF"/>
    <w:rsid w:val="00920DF6"/>
    <w:rsid w:val="00920E9D"/>
    <w:rsid w:val="00920EDC"/>
    <w:rsid w:val="00920F4F"/>
    <w:rsid w:val="00921127"/>
    <w:rsid w:val="00921335"/>
    <w:rsid w:val="00921438"/>
    <w:rsid w:val="009214B1"/>
    <w:rsid w:val="009215AC"/>
    <w:rsid w:val="00921892"/>
    <w:rsid w:val="00921AAC"/>
    <w:rsid w:val="00921C77"/>
    <w:rsid w:val="00921DBA"/>
    <w:rsid w:val="00921EA6"/>
    <w:rsid w:val="00922058"/>
    <w:rsid w:val="00922120"/>
    <w:rsid w:val="0092219B"/>
    <w:rsid w:val="0092227E"/>
    <w:rsid w:val="00922561"/>
    <w:rsid w:val="009225BB"/>
    <w:rsid w:val="00922607"/>
    <w:rsid w:val="00922613"/>
    <w:rsid w:val="00922787"/>
    <w:rsid w:val="0092287D"/>
    <w:rsid w:val="0092291E"/>
    <w:rsid w:val="0092294D"/>
    <w:rsid w:val="00922ABF"/>
    <w:rsid w:val="00922C3D"/>
    <w:rsid w:val="00922D09"/>
    <w:rsid w:val="00922F29"/>
    <w:rsid w:val="00923222"/>
    <w:rsid w:val="00923275"/>
    <w:rsid w:val="00923391"/>
    <w:rsid w:val="00923486"/>
    <w:rsid w:val="00923721"/>
    <w:rsid w:val="009239E9"/>
    <w:rsid w:val="00923A9B"/>
    <w:rsid w:val="00923B36"/>
    <w:rsid w:val="00923C2E"/>
    <w:rsid w:val="00923C95"/>
    <w:rsid w:val="00923E9A"/>
    <w:rsid w:val="00923EFF"/>
    <w:rsid w:val="00923F10"/>
    <w:rsid w:val="00924181"/>
    <w:rsid w:val="00924405"/>
    <w:rsid w:val="009247CD"/>
    <w:rsid w:val="009248BD"/>
    <w:rsid w:val="00924923"/>
    <w:rsid w:val="00924997"/>
    <w:rsid w:val="00924AB1"/>
    <w:rsid w:val="00924B3F"/>
    <w:rsid w:val="00924E14"/>
    <w:rsid w:val="00924FC9"/>
    <w:rsid w:val="00925616"/>
    <w:rsid w:val="00925751"/>
    <w:rsid w:val="009257BB"/>
    <w:rsid w:val="009257BE"/>
    <w:rsid w:val="00925978"/>
    <w:rsid w:val="00925982"/>
    <w:rsid w:val="009259FA"/>
    <w:rsid w:val="00925AE4"/>
    <w:rsid w:val="00925C55"/>
    <w:rsid w:val="00925E8C"/>
    <w:rsid w:val="00925F66"/>
    <w:rsid w:val="0092602D"/>
    <w:rsid w:val="009261C4"/>
    <w:rsid w:val="00926223"/>
    <w:rsid w:val="00926294"/>
    <w:rsid w:val="009262A3"/>
    <w:rsid w:val="00926360"/>
    <w:rsid w:val="009263AE"/>
    <w:rsid w:val="00926581"/>
    <w:rsid w:val="0092658A"/>
    <w:rsid w:val="009265CB"/>
    <w:rsid w:val="0092678A"/>
    <w:rsid w:val="009267D0"/>
    <w:rsid w:val="009267DE"/>
    <w:rsid w:val="00926834"/>
    <w:rsid w:val="009268A6"/>
    <w:rsid w:val="00926C4C"/>
    <w:rsid w:val="00926DED"/>
    <w:rsid w:val="0092707A"/>
    <w:rsid w:val="009270C3"/>
    <w:rsid w:val="0092715A"/>
    <w:rsid w:val="0092715D"/>
    <w:rsid w:val="009272F6"/>
    <w:rsid w:val="0092733D"/>
    <w:rsid w:val="00927460"/>
    <w:rsid w:val="009274F7"/>
    <w:rsid w:val="009275F2"/>
    <w:rsid w:val="009275FA"/>
    <w:rsid w:val="00927799"/>
    <w:rsid w:val="009277E6"/>
    <w:rsid w:val="009278F6"/>
    <w:rsid w:val="00927AAF"/>
    <w:rsid w:val="00927B4B"/>
    <w:rsid w:val="00927CEF"/>
    <w:rsid w:val="00927DEB"/>
    <w:rsid w:val="00927DFD"/>
    <w:rsid w:val="00927E6B"/>
    <w:rsid w:val="00930028"/>
    <w:rsid w:val="009300F3"/>
    <w:rsid w:val="00930122"/>
    <w:rsid w:val="00930147"/>
    <w:rsid w:val="00930150"/>
    <w:rsid w:val="009301A8"/>
    <w:rsid w:val="00930236"/>
    <w:rsid w:val="00930305"/>
    <w:rsid w:val="009303F2"/>
    <w:rsid w:val="0093066F"/>
    <w:rsid w:val="00930768"/>
    <w:rsid w:val="009307AD"/>
    <w:rsid w:val="00930836"/>
    <w:rsid w:val="00930894"/>
    <w:rsid w:val="009308A1"/>
    <w:rsid w:val="009308A3"/>
    <w:rsid w:val="00930934"/>
    <w:rsid w:val="00930993"/>
    <w:rsid w:val="009309E9"/>
    <w:rsid w:val="00930A12"/>
    <w:rsid w:val="00930A5E"/>
    <w:rsid w:val="00930DCD"/>
    <w:rsid w:val="00930F93"/>
    <w:rsid w:val="00931096"/>
    <w:rsid w:val="00931527"/>
    <w:rsid w:val="0093155C"/>
    <w:rsid w:val="00931593"/>
    <w:rsid w:val="009315C3"/>
    <w:rsid w:val="0093176B"/>
    <w:rsid w:val="0093179C"/>
    <w:rsid w:val="0093181B"/>
    <w:rsid w:val="009318C2"/>
    <w:rsid w:val="009318FF"/>
    <w:rsid w:val="00931B31"/>
    <w:rsid w:val="00931EC1"/>
    <w:rsid w:val="0093224D"/>
    <w:rsid w:val="009322BE"/>
    <w:rsid w:val="009324AF"/>
    <w:rsid w:val="009324F6"/>
    <w:rsid w:val="009325A4"/>
    <w:rsid w:val="009325B2"/>
    <w:rsid w:val="009325E5"/>
    <w:rsid w:val="009326C2"/>
    <w:rsid w:val="009327C5"/>
    <w:rsid w:val="009328C9"/>
    <w:rsid w:val="00932C7D"/>
    <w:rsid w:val="00932DF7"/>
    <w:rsid w:val="00932E26"/>
    <w:rsid w:val="00932E8E"/>
    <w:rsid w:val="00933050"/>
    <w:rsid w:val="0093306D"/>
    <w:rsid w:val="0093317F"/>
    <w:rsid w:val="0093320E"/>
    <w:rsid w:val="009334B8"/>
    <w:rsid w:val="0093356F"/>
    <w:rsid w:val="009335A8"/>
    <w:rsid w:val="009335CE"/>
    <w:rsid w:val="00933702"/>
    <w:rsid w:val="0093370A"/>
    <w:rsid w:val="00933847"/>
    <w:rsid w:val="0093391B"/>
    <w:rsid w:val="00933B39"/>
    <w:rsid w:val="00933B3B"/>
    <w:rsid w:val="00933D3A"/>
    <w:rsid w:val="00933F49"/>
    <w:rsid w:val="0093401B"/>
    <w:rsid w:val="0093410F"/>
    <w:rsid w:val="0093411D"/>
    <w:rsid w:val="0093413B"/>
    <w:rsid w:val="0093415B"/>
    <w:rsid w:val="009345EA"/>
    <w:rsid w:val="00934652"/>
    <w:rsid w:val="009346D2"/>
    <w:rsid w:val="00934AB4"/>
    <w:rsid w:val="00934C5A"/>
    <w:rsid w:val="00934CC3"/>
    <w:rsid w:val="00934DD5"/>
    <w:rsid w:val="00934DFA"/>
    <w:rsid w:val="00934F16"/>
    <w:rsid w:val="00934F67"/>
    <w:rsid w:val="00934FBC"/>
    <w:rsid w:val="0093520D"/>
    <w:rsid w:val="0093522D"/>
    <w:rsid w:val="00935377"/>
    <w:rsid w:val="009354D7"/>
    <w:rsid w:val="009355EC"/>
    <w:rsid w:val="00935654"/>
    <w:rsid w:val="009356B0"/>
    <w:rsid w:val="0093585D"/>
    <w:rsid w:val="00935A30"/>
    <w:rsid w:val="00935A3D"/>
    <w:rsid w:val="00935AA6"/>
    <w:rsid w:val="00935B27"/>
    <w:rsid w:val="00935BB7"/>
    <w:rsid w:val="00935E2E"/>
    <w:rsid w:val="00935E33"/>
    <w:rsid w:val="00935FAC"/>
    <w:rsid w:val="00935FFA"/>
    <w:rsid w:val="009360A6"/>
    <w:rsid w:val="00936121"/>
    <w:rsid w:val="009361E1"/>
    <w:rsid w:val="009364B5"/>
    <w:rsid w:val="009365B3"/>
    <w:rsid w:val="00936705"/>
    <w:rsid w:val="0093678E"/>
    <w:rsid w:val="00936853"/>
    <w:rsid w:val="009368F5"/>
    <w:rsid w:val="00936AF2"/>
    <w:rsid w:val="00936B97"/>
    <w:rsid w:val="00936BA1"/>
    <w:rsid w:val="00936D0C"/>
    <w:rsid w:val="00936D74"/>
    <w:rsid w:val="00936FEA"/>
    <w:rsid w:val="00937437"/>
    <w:rsid w:val="00937496"/>
    <w:rsid w:val="0093753D"/>
    <w:rsid w:val="0093769D"/>
    <w:rsid w:val="0093788C"/>
    <w:rsid w:val="009378D6"/>
    <w:rsid w:val="00937A60"/>
    <w:rsid w:val="00937AC8"/>
    <w:rsid w:val="00937AE7"/>
    <w:rsid w:val="00937BCF"/>
    <w:rsid w:val="00937C10"/>
    <w:rsid w:val="00937CCB"/>
    <w:rsid w:val="00937CCC"/>
    <w:rsid w:val="00937D10"/>
    <w:rsid w:val="00937D38"/>
    <w:rsid w:val="00937E18"/>
    <w:rsid w:val="00937E5D"/>
    <w:rsid w:val="00937EB4"/>
    <w:rsid w:val="009401EE"/>
    <w:rsid w:val="009402A9"/>
    <w:rsid w:val="009404CB"/>
    <w:rsid w:val="00940679"/>
    <w:rsid w:val="009408C1"/>
    <w:rsid w:val="009409A7"/>
    <w:rsid w:val="009409F1"/>
    <w:rsid w:val="00940B09"/>
    <w:rsid w:val="00940B25"/>
    <w:rsid w:val="00940BA0"/>
    <w:rsid w:val="00940BDB"/>
    <w:rsid w:val="00940C8D"/>
    <w:rsid w:val="00940D98"/>
    <w:rsid w:val="00940EF2"/>
    <w:rsid w:val="00940F36"/>
    <w:rsid w:val="00941013"/>
    <w:rsid w:val="009410DB"/>
    <w:rsid w:val="0094152F"/>
    <w:rsid w:val="009415CE"/>
    <w:rsid w:val="00941694"/>
    <w:rsid w:val="009416CA"/>
    <w:rsid w:val="00941918"/>
    <w:rsid w:val="009419EC"/>
    <w:rsid w:val="00941B6C"/>
    <w:rsid w:val="00941DC9"/>
    <w:rsid w:val="00941E21"/>
    <w:rsid w:val="009421D7"/>
    <w:rsid w:val="00942494"/>
    <w:rsid w:val="009424AB"/>
    <w:rsid w:val="00942809"/>
    <w:rsid w:val="00942A49"/>
    <w:rsid w:val="00942A4C"/>
    <w:rsid w:val="00942A74"/>
    <w:rsid w:val="00942B21"/>
    <w:rsid w:val="00942DD4"/>
    <w:rsid w:val="00942FC3"/>
    <w:rsid w:val="009430B4"/>
    <w:rsid w:val="00943101"/>
    <w:rsid w:val="00943270"/>
    <w:rsid w:val="009432A4"/>
    <w:rsid w:val="0094331D"/>
    <w:rsid w:val="00943473"/>
    <w:rsid w:val="00943486"/>
    <w:rsid w:val="0094363D"/>
    <w:rsid w:val="009437FC"/>
    <w:rsid w:val="00943802"/>
    <w:rsid w:val="00943908"/>
    <w:rsid w:val="00943972"/>
    <w:rsid w:val="009439C0"/>
    <w:rsid w:val="00943CEC"/>
    <w:rsid w:val="00943EBD"/>
    <w:rsid w:val="00943F1E"/>
    <w:rsid w:val="009440CD"/>
    <w:rsid w:val="00944156"/>
    <w:rsid w:val="00944236"/>
    <w:rsid w:val="009443BC"/>
    <w:rsid w:val="00944420"/>
    <w:rsid w:val="00944445"/>
    <w:rsid w:val="00944481"/>
    <w:rsid w:val="009444A8"/>
    <w:rsid w:val="009445D6"/>
    <w:rsid w:val="009446A8"/>
    <w:rsid w:val="009446CC"/>
    <w:rsid w:val="00944872"/>
    <w:rsid w:val="00944A32"/>
    <w:rsid w:val="00944B8F"/>
    <w:rsid w:val="00944EB4"/>
    <w:rsid w:val="00944ED0"/>
    <w:rsid w:val="00944F0D"/>
    <w:rsid w:val="00945159"/>
    <w:rsid w:val="00945281"/>
    <w:rsid w:val="00945363"/>
    <w:rsid w:val="009453D0"/>
    <w:rsid w:val="0094553B"/>
    <w:rsid w:val="00945773"/>
    <w:rsid w:val="009458C2"/>
    <w:rsid w:val="0094597C"/>
    <w:rsid w:val="00945DF6"/>
    <w:rsid w:val="00945E57"/>
    <w:rsid w:val="00945ECB"/>
    <w:rsid w:val="00945FB7"/>
    <w:rsid w:val="00946004"/>
    <w:rsid w:val="009463E2"/>
    <w:rsid w:val="00946745"/>
    <w:rsid w:val="00946845"/>
    <w:rsid w:val="00946864"/>
    <w:rsid w:val="00946903"/>
    <w:rsid w:val="00946939"/>
    <w:rsid w:val="009469A2"/>
    <w:rsid w:val="00946A9F"/>
    <w:rsid w:val="00946AA9"/>
    <w:rsid w:val="00946D4D"/>
    <w:rsid w:val="00946D84"/>
    <w:rsid w:val="00946ED3"/>
    <w:rsid w:val="00946F65"/>
    <w:rsid w:val="00946FA4"/>
    <w:rsid w:val="00947107"/>
    <w:rsid w:val="00947116"/>
    <w:rsid w:val="00947141"/>
    <w:rsid w:val="00947148"/>
    <w:rsid w:val="0094731E"/>
    <w:rsid w:val="00947480"/>
    <w:rsid w:val="009477C9"/>
    <w:rsid w:val="009477E8"/>
    <w:rsid w:val="0094783A"/>
    <w:rsid w:val="00947E20"/>
    <w:rsid w:val="00947F4A"/>
    <w:rsid w:val="009500F9"/>
    <w:rsid w:val="0095011C"/>
    <w:rsid w:val="0095011D"/>
    <w:rsid w:val="00950287"/>
    <w:rsid w:val="009505FF"/>
    <w:rsid w:val="009507E0"/>
    <w:rsid w:val="00950811"/>
    <w:rsid w:val="00950A3E"/>
    <w:rsid w:val="00950C14"/>
    <w:rsid w:val="00950E00"/>
    <w:rsid w:val="00950EA1"/>
    <w:rsid w:val="00950F6F"/>
    <w:rsid w:val="009511DC"/>
    <w:rsid w:val="009511F1"/>
    <w:rsid w:val="00951295"/>
    <w:rsid w:val="00951380"/>
    <w:rsid w:val="009513D9"/>
    <w:rsid w:val="00951496"/>
    <w:rsid w:val="0095179A"/>
    <w:rsid w:val="009519AF"/>
    <w:rsid w:val="009519BB"/>
    <w:rsid w:val="00951A24"/>
    <w:rsid w:val="00951B1A"/>
    <w:rsid w:val="00951C3A"/>
    <w:rsid w:val="00951FC4"/>
    <w:rsid w:val="00951FEA"/>
    <w:rsid w:val="00952131"/>
    <w:rsid w:val="00952199"/>
    <w:rsid w:val="009523FA"/>
    <w:rsid w:val="00952600"/>
    <w:rsid w:val="00952824"/>
    <w:rsid w:val="00952B09"/>
    <w:rsid w:val="00952B3C"/>
    <w:rsid w:val="00952C86"/>
    <w:rsid w:val="00952DDF"/>
    <w:rsid w:val="00952E53"/>
    <w:rsid w:val="009530FE"/>
    <w:rsid w:val="0095319B"/>
    <w:rsid w:val="009532A5"/>
    <w:rsid w:val="0095336B"/>
    <w:rsid w:val="00953453"/>
    <w:rsid w:val="00953829"/>
    <w:rsid w:val="0095383B"/>
    <w:rsid w:val="0095384A"/>
    <w:rsid w:val="00953988"/>
    <w:rsid w:val="00953AC6"/>
    <w:rsid w:val="00953B06"/>
    <w:rsid w:val="00953B1B"/>
    <w:rsid w:val="00953BCF"/>
    <w:rsid w:val="00953D6B"/>
    <w:rsid w:val="00953E35"/>
    <w:rsid w:val="00953EE1"/>
    <w:rsid w:val="009541BE"/>
    <w:rsid w:val="009541F7"/>
    <w:rsid w:val="0095438C"/>
    <w:rsid w:val="009543C5"/>
    <w:rsid w:val="009543FC"/>
    <w:rsid w:val="0095443B"/>
    <w:rsid w:val="00954541"/>
    <w:rsid w:val="00954629"/>
    <w:rsid w:val="00954657"/>
    <w:rsid w:val="009546BC"/>
    <w:rsid w:val="00954B31"/>
    <w:rsid w:val="00954C01"/>
    <w:rsid w:val="00954C70"/>
    <w:rsid w:val="00954C91"/>
    <w:rsid w:val="00954C9D"/>
    <w:rsid w:val="00955048"/>
    <w:rsid w:val="00955056"/>
    <w:rsid w:val="00955067"/>
    <w:rsid w:val="00955071"/>
    <w:rsid w:val="009552BF"/>
    <w:rsid w:val="0095543A"/>
    <w:rsid w:val="009554C8"/>
    <w:rsid w:val="00955678"/>
    <w:rsid w:val="00955709"/>
    <w:rsid w:val="009558AD"/>
    <w:rsid w:val="009558F4"/>
    <w:rsid w:val="009559ED"/>
    <w:rsid w:val="00955A3C"/>
    <w:rsid w:val="00955B52"/>
    <w:rsid w:val="00955BA7"/>
    <w:rsid w:val="00955BD0"/>
    <w:rsid w:val="00955BFF"/>
    <w:rsid w:val="00955C37"/>
    <w:rsid w:val="00955EC5"/>
    <w:rsid w:val="00955EEB"/>
    <w:rsid w:val="00955FDE"/>
    <w:rsid w:val="00956089"/>
    <w:rsid w:val="00956242"/>
    <w:rsid w:val="009563A3"/>
    <w:rsid w:val="009563CF"/>
    <w:rsid w:val="00956433"/>
    <w:rsid w:val="00956468"/>
    <w:rsid w:val="009565C3"/>
    <w:rsid w:val="00956631"/>
    <w:rsid w:val="00956655"/>
    <w:rsid w:val="0095666E"/>
    <w:rsid w:val="009567CA"/>
    <w:rsid w:val="009567F2"/>
    <w:rsid w:val="00956BA6"/>
    <w:rsid w:val="00956C47"/>
    <w:rsid w:val="00956D13"/>
    <w:rsid w:val="00956F36"/>
    <w:rsid w:val="00956FFD"/>
    <w:rsid w:val="009571A9"/>
    <w:rsid w:val="0095730E"/>
    <w:rsid w:val="00957496"/>
    <w:rsid w:val="009574B7"/>
    <w:rsid w:val="009574C9"/>
    <w:rsid w:val="0095754F"/>
    <w:rsid w:val="00957591"/>
    <w:rsid w:val="0095767C"/>
    <w:rsid w:val="0095768E"/>
    <w:rsid w:val="0095779C"/>
    <w:rsid w:val="00957947"/>
    <w:rsid w:val="0095794F"/>
    <w:rsid w:val="00957BA6"/>
    <w:rsid w:val="00957C4F"/>
    <w:rsid w:val="00957DA1"/>
    <w:rsid w:val="00957E40"/>
    <w:rsid w:val="00957E64"/>
    <w:rsid w:val="00960018"/>
    <w:rsid w:val="00960090"/>
    <w:rsid w:val="009600A7"/>
    <w:rsid w:val="00960114"/>
    <w:rsid w:val="00960277"/>
    <w:rsid w:val="00960285"/>
    <w:rsid w:val="0096048B"/>
    <w:rsid w:val="00960653"/>
    <w:rsid w:val="00960660"/>
    <w:rsid w:val="00960865"/>
    <w:rsid w:val="00960921"/>
    <w:rsid w:val="00960A77"/>
    <w:rsid w:val="00960C9E"/>
    <w:rsid w:val="00960D3A"/>
    <w:rsid w:val="00960D53"/>
    <w:rsid w:val="00960DA8"/>
    <w:rsid w:val="00960E6D"/>
    <w:rsid w:val="00960EA2"/>
    <w:rsid w:val="00960EBE"/>
    <w:rsid w:val="00960EE8"/>
    <w:rsid w:val="0096113C"/>
    <w:rsid w:val="00961140"/>
    <w:rsid w:val="0096120F"/>
    <w:rsid w:val="0096123F"/>
    <w:rsid w:val="009612C8"/>
    <w:rsid w:val="0096146D"/>
    <w:rsid w:val="00961495"/>
    <w:rsid w:val="009615BE"/>
    <w:rsid w:val="009617B8"/>
    <w:rsid w:val="00961860"/>
    <w:rsid w:val="009618CF"/>
    <w:rsid w:val="009619C6"/>
    <w:rsid w:val="00961C36"/>
    <w:rsid w:val="00961D37"/>
    <w:rsid w:val="00961DE8"/>
    <w:rsid w:val="00961DEC"/>
    <w:rsid w:val="00961E4D"/>
    <w:rsid w:val="00961EB8"/>
    <w:rsid w:val="00961F85"/>
    <w:rsid w:val="00961F91"/>
    <w:rsid w:val="00961FB1"/>
    <w:rsid w:val="0096202D"/>
    <w:rsid w:val="00962110"/>
    <w:rsid w:val="009621D8"/>
    <w:rsid w:val="0096221A"/>
    <w:rsid w:val="0096238B"/>
    <w:rsid w:val="009623B4"/>
    <w:rsid w:val="00962434"/>
    <w:rsid w:val="00962571"/>
    <w:rsid w:val="009625E2"/>
    <w:rsid w:val="00962643"/>
    <w:rsid w:val="0096265B"/>
    <w:rsid w:val="00962682"/>
    <w:rsid w:val="009629D8"/>
    <w:rsid w:val="00962A02"/>
    <w:rsid w:val="00962BF3"/>
    <w:rsid w:val="00962C83"/>
    <w:rsid w:val="00962D47"/>
    <w:rsid w:val="00962DC0"/>
    <w:rsid w:val="00962F6D"/>
    <w:rsid w:val="0096316D"/>
    <w:rsid w:val="00963225"/>
    <w:rsid w:val="009633D3"/>
    <w:rsid w:val="0096351F"/>
    <w:rsid w:val="0096373E"/>
    <w:rsid w:val="00963AB7"/>
    <w:rsid w:val="00963B70"/>
    <w:rsid w:val="00963D14"/>
    <w:rsid w:val="00963ED3"/>
    <w:rsid w:val="00964002"/>
    <w:rsid w:val="00964040"/>
    <w:rsid w:val="009640C9"/>
    <w:rsid w:val="00964164"/>
    <w:rsid w:val="00964363"/>
    <w:rsid w:val="00964625"/>
    <w:rsid w:val="009646B2"/>
    <w:rsid w:val="00964732"/>
    <w:rsid w:val="0096480D"/>
    <w:rsid w:val="00964874"/>
    <w:rsid w:val="00964950"/>
    <w:rsid w:val="009649CB"/>
    <w:rsid w:val="00964A93"/>
    <w:rsid w:val="00964BB7"/>
    <w:rsid w:val="00964D08"/>
    <w:rsid w:val="00964D09"/>
    <w:rsid w:val="00964D7B"/>
    <w:rsid w:val="00964E8D"/>
    <w:rsid w:val="00964EE6"/>
    <w:rsid w:val="00965010"/>
    <w:rsid w:val="00965095"/>
    <w:rsid w:val="00965106"/>
    <w:rsid w:val="0096520D"/>
    <w:rsid w:val="00965355"/>
    <w:rsid w:val="009656C7"/>
    <w:rsid w:val="00965720"/>
    <w:rsid w:val="00965A24"/>
    <w:rsid w:val="00965D52"/>
    <w:rsid w:val="00965D74"/>
    <w:rsid w:val="00965DCA"/>
    <w:rsid w:val="00965DD7"/>
    <w:rsid w:val="00965F2A"/>
    <w:rsid w:val="0096609C"/>
    <w:rsid w:val="00966231"/>
    <w:rsid w:val="00966237"/>
    <w:rsid w:val="00966322"/>
    <w:rsid w:val="00966339"/>
    <w:rsid w:val="009663C9"/>
    <w:rsid w:val="009663F4"/>
    <w:rsid w:val="009664C4"/>
    <w:rsid w:val="009664F7"/>
    <w:rsid w:val="009665F0"/>
    <w:rsid w:val="00966600"/>
    <w:rsid w:val="0096668B"/>
    <w:rsid w:val="009666AD"/>
    <w:rsid w:val="009666CF"/>
    <w:rsid w:val="00966712"/>
    <w:rsid w:val="00966804"/>
    <w:rsid w:val="009668D9"/>
    <w:rsid w:val="009669E9"/>
    <w:rsid w:val="00966A4F"/>
    <w:rsid w:val="00966AAD"/>
    <w:rsid w:val="00966C7A"/>
    <w:rsid w:val="00966D19"/>
    <w:rsid w:val="00966E13"/>
    <w:rsid w:val="00967099"/>
    <w:rsid w:val="00967152"/>
    <w:rsid w:val="009672D5"/>
    <w:rsid w:val="00967303"/>
    <w:rsid w:val="0096755E"/>
    <w:rsid w:val="0096786F"/>
    <w:rsid w:val="00967936"/>
    <w:rsid w:val="009679F8"/>
    <w:rsid w:val="00967A17"/>
    <w:rsid w:val="00967CF8"/>
    <w:rsid w:val="00967FD1"/>
    <w:rsid w:val="009702C0"/>
    <w:rsid w:val="009702CD"/>
    <w:rsid w:val="00970305"/>
    <w:rsid w:val="009703FD"/>
    <w:rsid w:val="009704D0"/>
    <w:rsid w:val="00970709"/>
    <w:rsid w:val="0097096E"/>
    <w:rsid w:val="009709ED"/>
    <w:rsid w:val="00970A8A"/>
    <w:rsid w:val="00970ACF"/>
    <w:rsid w:val="00970B3A"/>
    <w:rsid w:val="00970C3F"/>
    <w:rsid w:val="00970D73"/>
    <w:rsid w:val="00970F0E"/>
    <w:rsid w:val="00970FB1"/>
    <w:rsid w:val="009714F8"/>
    <w:rsid w:val="00971526"/>
    <w:rsid w:val="00971861"/>
    <w:rsid w:val="00971994"/>
    <w:rsid w:val="009719C8"/>
    <w:rsid w:val="00971A18"/>
    <w:rsid w:val="00971B40"/>
    <w:rsid w:val="00971C83"/>
    <w:rsid w:val="00971D46"/>
    <w:rsid w:val="00972385"/>
    <w:rsid w:val="0097244E"/>
    <w:rsid w:val="0097286E"/>
    <w:rsid w:val="00972919"/>
    <w:rsid w:val="00972A08"/>
    <w:rsid w:val="00972AF1"/>
    <w:rsid w:val="00972B73"/>
    <w:rsid w:val="00972B99"/>
    <w:rsid w:val="00972BF6"/>
    <w:rsid w:val="00972C15"/>
    <w:rsid w:val="00972CA4"/>
    <w:rsid w:val="00972E12"/>
    <w:rsid w:val="00972F62"/>
    <w:rsid w:val="00972F90"/>
    <w:rsid w:val="00973012"/>
    <w:rsid w:val="009730B8"/>
    <w:rsid w:val="00973206"/>
    <w:rsid w:val="00973207"/>
    <w:rsid w:val="0097321E"/>
    <w:rsid w:val="0097328A"/>
    <w:rsid w:val="009732CB"/>
    <w:rsid w:val="0097334D"/>
    <w:rsid w:val="009733E9"/>
    <w:rsid w:val="00973591"/>
    <w:rsid w:val="0097391F"/>
    <w:rsid w:val="00973D73"/>
    <w:rsid w:val="00973DD4"/>
    <w:rsid w:val="00973FF8"/>
    <w:rsid w:val="009740F8"/>
    <w:rsid w:val="0097418B"/>
    <w:rsid w:val="009741A9"/>
    <w:rsid w:val="00974399"/>
    <w:rsid w:val="00974401"/>
    <w:rsid w:val="009745E7"/>
    <w:rsid w:val="009747CE"/>
    <w:rsid w:val="009747DC"/>
    <w:rsid w:val="00974A0C"/>
    <w:rsid w:val="00974A3D"/>
    <w:rsid w:val="00974A71"/>
    <w:rsid w:val="00974B34"/>
    <w:rsid w:val="00974C2B"/>
    <w:rsid w:val="00974D27"/>
    <w:rsid w:val="00974D95"/>
    <w:rsid w:val="00974EC2"/>
    <w:rsid w:val="00974F2C"/>
    <w:rsid w:val="00975020"/>
    <w:rsid w:val="00975319"/>
    <w:rsid w:val="00975402"/>
    <w:rsid w:val="009754DA"/>
    <w:rsid w:val="009754E8"/>
    <w:rsid w:val="0097557A"/>
    <w:rsid w:val="00975694"/>
    <w:rsid w:val="009756FF"/>
    <w:rsid w:val="009758C8"/>
    <w:rsid w:val="009759C5"/>
    <w:rsid w:val="009759F4"/>
    <w:rsid w:val="00975C8D"/>
    <w:rsid w:val="00975CCE"/>
    <w:rsid w:val="00975CF9"/>
    <w:rsid w:val="00975D2C"/>
    <w:rsid w:val="00975D3E"/>
    <w:rsid w:val="00975F1C"/>
    <w:rsid w:val="009760D2"/>
    <w:rsid w:val="0097617E"/>
    <w:rsid w:val="009761AF"/>
    <w:rsid w:val="00976477"/>
    <w:rsid w:val="0097668A"/>
    <w:rsid w:val="009766BF"/>
    <w:rsid w:val="009766C6"/>
    <w:rsid w:val="0097678A"/>
    <w:rsid w:val="009768AE"/>
    <w:rsid w:val="009769CF"/>
    <w:rsid w:val="00976AEF"/>
    <w:rsid w:val="00976B31"/>
    <w:rsid w:val="00976C13"/>
    <w:rsid w:val="00976D2A"/>
    <w:rsid w:val="00976FD3"/>
    <w:rsid w:val="009770D9"/>
    <w:rsid w:val="009770F9"/>
    <w:rsid w:val="00977141"/>
    <w:rsid w:val="00977174"/>
    <w:rsid w:val="00977284"/>
    <w:rsid w:val="00977441"/>
    <w:rsid w:val="00977752"/>
    <w:rsid w:val="0097779C"/>
    <w:rsid w:val="009777D4"/>
    <w:rsid w:val="0097783D"/>
    <w:rsid w:val="0097789C"/>
    <w:rsid w:val="009778E6"/>
    <w:rsid w:val="0097799D"/>
    <w:rsid w:val="009779F5"/>
    <w:rsid w:val="009779FE"/>
    <w:rsid w:val="00977D77"/>
    <w:rsid w:val="00977E0B"/>
    <w:rsid w:val="00977F8E"/>
    <w:rsid w:val="00980079"/>
    <w:rsid w:val="009800AA"/>
    <w:rsid w:val="0098021F"/>
    <w:rsid w:val="0098023B"/>
    <w:rsid w:val="009805D2"/>
    <w:rsid w:val="00980779"/>
    <w:rsid w:val="0098078B"/>
    <w:rsid w:val="009807F9"/>
    <w:rsid w:val="00980894"/>
    <w:rsid w:val="009808D9"/>
    <w:rsid w:val="00980940"/>
    <w:rsid w:val="009809A1"/>
    <w:rsid w:val="009809C8"/>
    <w:rsid w:val="009809F5"/>
    <w:rsid w:val="00980AE5"/>
    <w:rsid w:val="00980BA1"/>
    <w:rsid w:val="00980BA5"/>
    <w:rsid w:val="00980BBF"/>
    <w:rsid w:val="00980BD7"/>
    <w:rsid w:val="00980D13"/>
    <w:rsid w:val="00980D4C"/>
    <w:rsid w:val="00980D54"/>
    <w:rsid w:val="00980F20"/>
    <w:rsid w:val="00980F4F"/>
    <w:rsid w:val="00981024"/>
    <w:rsid w:val="0098114D"/>
    <w:rsid w:val="00981253"/>
    <w:rsid w:val="00981332"/>
    <w:rsid w:val="00981703"/>
    <w:rsid w:val="0098176E"/>
    <w:rsid w:val="0098177B"/>
    <w:rsid w:val="009817D0"/>
    <w:rsid w:val="0098189C"/>
    <w:rsid w:val="009818B9"/>
    <w:rsid w:val="009819A3"/>
    <w:rsid w:val="00981A22"/>
    <w:rsid w:val="00981C0B"/>
    <w:rsid w:val="00981CB6"/>
    <w:rsid w:val="00981D0B"/>
    <w:rsid w:val="00981F0C"/>
    <w:rsid w:val="00981F22"/>
    <w:rsid w:val="00981FC8"/>
    <w:rsid w:val="0098206C"/>
    <w:rsid w:val="00982169"/>
    <w:rsid w:val="009821DD"/>
    <w:rsid w:val="00982266"/>
    <w:rsid w:val="00982531"/>
    <w:rsid w:val="00982687"/>
    <w:rsid w:val="009826EE"/>
    <w:rsid w:val="009827C7"/>
    <w:rsid w:val="00982A50"/>
    <w:rsid w:val="00982B98"/>
    <w:rsid w:val="00982C1C"/>
    <w:rsid w:val="00982F00"/>
    <w:rsid w:val="00983055"/>
    <w:rsid w:val="00983110"/>
    <w:rsid w:val="00983174"/>
    <w:rsid w:val="00983245"/>
    <w:rsid w:val="009832C2"/>
    <w:rsid w:val="00983461"/>
    <w:rsid w:val="009834B2"/>
    <w:rsid w:val="00983783"/>
    <w:rsid w:val="00983A19"/>
    <w:rsid w:val="00983B4F"/>
    <w:rsid w:val="00983BB2"/>
    <w:rsid w:val="00983C0E"/>
    <w:rsid w:val="00983D14"/>
    <w:rsid w:val="00983D32"/>
    <w:rsid w:val="00983E77"/>
    <w:rsid w:val="009840FB"/>
    <w:rsid w:val="00984258"/>
    <w:rsid w:val="009842CD"/>
    <w:rsid w:val="00984405"/>
    <w:rsid w:val="00984428"/>
    <w:rsid w:val="00984448"/>
    <w:rsid w:val="00984455"/>
    <w:rsid w:val="009848B8"/>
    <w:rsid w:val="009849C1"/>
    <w:rsid w:val="00984B1A"/>
    <w:rsid w:val="00984B4F"/>
    <w:rsid w:val="00984ED6"/>
    <w:rsid w:val="00984F99"/>
    <w:rsid w:val="00985050"/>
    <w:rsid w:val="00985189"/>
    <w:rsid w:val="00985272"/>
    <w:rsid w:val="00985494"/>
    <w:rsid w:val="009854E6"/>
    <w:rsid w:val="00985760"/>
    <w:rsid w:val="0098584E"/>
    <w:rsid w:val="009859E1"/>
    <w:rsid w:val="00985AE9"/>
    <w:rsid w:val="00985B62"/>
    <w:rsid w:val="00985B6D"/>
    <w:rsid w:val="00985C6C"/>
    <w:rsid w:val="00985C87"/>
    <w:rsid w:val="00985CAE"/>
    <w:rsid w:val="00985D77"/>
    <w:rsid w:val="00985D97"/>
    <w:rsid w:val="00985DDD"/>
    <w:rsid w:val="00985DF1"/>
    <w:rsid w:val="00985E79"/>
    <w:rsid w:val="00986367"/>
    <w:rsid w:val="0098636B"/>
    <w:rsid w:val="0098670A"/>
    <w:rsid w:val="009867EE"/>
    <w:rsid w:val="009869BC"/>
    <w:rsid w:val="00986A26"/>
    <w:rsid w:val="00986B0B"/>
    <w:rsid w:val="00986D10"/>
    <w:rsid w:val="00986D71"/>
    <w:rsid w:val="00986F22"/>
    <w:rsid w:val="00987320"/>
    <w:rsid w:val="00987522"/>
    <w:rsid w:val="00987705"/>
    <w:rsid w:val="00987773"/>
    <w:rsid w:val="00987777"/>
    <w:rsid w:val="00987C55"/>
    <w:rsid w:val="00987EBC"/>
    <w:rsid w:val="00987F4C"/>
    <w:rsid w:val="00990008"/>
    <w:rsid w:val="0099004A"/>
    <w:rsid w:val="009900A0"/>
    <w:rsid w:val="0099013C"/>
    <w:rsid w:val="009901F7"/>
    <w:rsid w:val="00990319"/>
    <w:rsid w:val="00990329"/>
    <w:rsid w:val="009905C3"/>
    <w:rsid w:val="00990623"/>
    <w:rsid w:val="0099069D"/>
    <w:rsid w:val="009906F3"/>
    <w:rsid w:val="0099072F"/>
    <w:rsid w:val="00990886"/>
    <w:rsid w:val="009908FA"/>
    <w:rsid w:val="00990920"/>
    <w:rsid w:val="009909A4"/>
    <w:rsid w:val="00990A11"/>
    <w:rsid w:val="00990A72"/>
    <w:rsid w:val="00990B44"/>
    <w:rsid w:val="00990D53"/>
    <w:rsid w:val="00990E1D"/>
    <w:rsid w:val="00990E70"/>
    <w:rsid w:val="009910C9"/>
    <w:rsid w:val="00991120"/>
    <w:rsid w:val="00991252"/>
    <w:rsid w:val="0099137F"/>
    <w:rsid w:val="009913BD"/>
    <w:rsid w:val="00991412"/>
    <w:rsid w:val="0099142D"/>
    <w:rsid w:val="0099155F"/>
    <w:rsid w:val="00991875"/>
    <w:rsid w:val="009918C3"/>
    <w:rsid w:val="00991CE9"/>
    <w:rsid w:val="00991DDF"/>
    <w:rsid w:val="00991EBE"/>
    <w:rsid w:val="00992005"/>
    <w:rsid w:val="0099203D"/>
    <w:rsid w:val="00992298"/>
    <w:rsid w:val="009922E0"/>
    <w:rsid w:val="009922FD"/>
    <w:rsid w:val="009924D1"/>
    <w:rsid w:val="009925A6"/>
    <w:rsid w:val="009925B8"/>
    <w:rsid w:val="009926B2"/>
    <w:rsid w:val="0099271F"/>
    <w:rsid w:val="00992733"/>
    <w:rsid w:val="00992834"/>
    <w:rsid w:val="009928F8"/>
    <w:rsid w:val="0099295D"/>
    <w:rsid w:val="009929BC"/>
    <w:rsid w:val="00992AF8"/>
    <w:rsid w:val="00992C36"/>
    <w:rsid w:val="00992C39"/>
    <w:rsid w:val="00992CA5"/>
    <w:rsid w:val="00992DDF"/>
    <w:rsid w:val="00992E46"/>
    <w:rsid w:val="00993106"/>
    <w:rsid w:val="00993159"/>
    <w:rsid w:val="00993611"/>
    <w:rsid w:val="009938D1"/>
    <w:rsid w:val="00993926"/>
    <w:rsid w:val="009939D9"/>
    <w:rsid w:val="00993AED"/>
    <w:rsid w:val="00993C24"/>
    <w:rsid w:val="00993C88"/>
    <w:rsid w:val="00993CAA"/>
    <w:rsid w:val="00993DB9"/>
    <w:rsid w:val="0099407D"/>
    <w:rsid w:val="00994094"/>
    <w:rsid w:val="00994147"/>
    <w:rsid w:val="0099429D"/>
    <w:rsid w:val="00994331"/>
    <w:rsid w:val="00994812"/>
    <w:rsid w:val="009948B9"/>
    <w:rsid w:val="00994B97"/>
    <w:rsid w:val="00994C1F"/>
    <w:rsid w:val="00994C96"/>
    <w:rsid w:val="00994CD0"/>
    <w:rsid w:val="00994E3D"/>
    <w:rsid w:val="00994F8B"/>
    <w:rsid w:val="00994FEE"/>
    <w:rsid w:val="0099505D"/>
    <w:rsid w:val="0099515F"/>
    <w:rsid w:val="009951E7"/>
    <w:rsid w:val="00995201"/>
    <w:rsid w:val="009952BF"/>
    <w:rsid w:val="00995383"/>
    <w:rsid w:val="0099542E"/>
    <w:rsid w:val="009954F9"/>
    <w:rsid w:val="009954FF"/>
    <w:rsid w:val="0099553C"/>
    <w:rsid w:val="0099574C"/>
    <w:rsid w:val="00995769"/>
    <w:rsid w:val="00995A29"/>
    <w:rsid w:val="00995B2D"/>
    <w:rsid w:val="00995BC8"/>
    <w:rsid w:val="00995C55"/>
    <w:rsid w:val="00995E3A"/>
    <w:rsid w:val="00996008"/>
    <w:rsid w:val="00996081"/>
    <w:rsid w:val="009960C2"/>
    <w:rsid w:val="009962AF"/>
    <w:rsid w:val="009963F3"/>
    <w:rsid w:val="0099649A"/>
    <w:rsid w:val="009965D9"/>
    <w:rsid w:val="00996620"/>
    <w:rsid w:val="0099675F"/>
    <w:rsid w:val="009968AB"/>
    <w:rsid w:val="0099692C"/>
    <w:rsid w:val="00996B11"/>
    <w:rsid w:val="00996B25"/>
    <w:rsid w:val="00996B8F"/>
    <w:rsid w:val="00996BCC"/>
    <w:rsid w:val="00996CC4"/>
    <w:rsid w:val="00996D52"/>
    <w:rsid w:val="009973AF"/>
    <w:rsid w:val="009973E0"/>
    <w:rsid w:val="009973EC"/>
    <w:rsid w:val="009973F8"/>
    <w:rsid w:val="00997412"/>
    <w:rsid w:val="00997510"/>
    <w:rsid w:val="00997620"/>
    <w:rsid w:val="009976AA"/>
    <w:rsid w:val="00997C4A"/>
    <w:rsid w:val="00997C7B"/>
    <w:rsid w:val="00997CCE"/>
    <w:rsid w:val="00997D8C"/>
    <w:rsid w:val="00997DB7"/>
    <w:rsid w:val="00997DCB"/>
    <w:rsid w:val="009A01C4"/>
    <w:rsid w:val="009A0298"/>
    <w:rsid w:val="009A03AD"/>
    <w:rsid w:val="009A045B"/>
    <w:rsid w:val="009A05F6"/>
    <w:rsid w:val="009A07CF"/>
    <w:rsid w:val="009A09A3"/>
    <w:rsid w:val="009A0A31"/>
    <w:rsid w:val="009A0B9C"/>
    <w:rsid w:val="009A0D98"/>
    <w:rsid w:val="009A0E5F"/>
    <w:rsid w:val="009A0F13"/>
    <w:rsid w:val="009A0F37"/>
    <w:rsid w:val="009A1011"/>
    <w:rsid w:val="009A16F3"/>
    <w:rsid w:val="009A16FE"/>
    <w:rsid w:val="009A170D"/>
    <w:rsid w:val="009A1760"/>
    <w:rsid w:val="009A19B1"/>
    <w:rsid w:val="009A1BBD"/>
    <w:rsid w:val="009A1BCF"/>
    <w:rsid w:val="009A1C54"/>
    <w:rsid w:val="009A1CFE"/>
    <w:rsid w:val="009A1D6B"/>
    <w:rsid w:val="009A1DC0"/>
    <w:rsid w:val="009A1F52"/>
    <w:rsid w:val="009A1FE4"/>
    <w:rsid w:val="009A223D"/>
    <w:rsid w:val="009A229E"/>
    <w:rsid w:val="009A2390"/>
    <w:rsid w:val="009A2559"/>
    <w:rsid w:val="009A2611"/>
    <w:rsid w:val="009A286D"/>
    <w:rsid w:val="009A2B1F"/>
    <w:rsid w:val="009A2C70"/>
    <w:rsid w:val="009A2C9D"/>
    <w:rsid w:val="009A2F83"/>
    <w:rsid w:val="009A3016"/>
    <w:rsid w:val="009A31BC"/>
    <w:rsid w:val="009A31D1"/>
    <w:rsid w:val="009A31D9"/>
    <w:rsid w:val="009A3258"/>
    <w:rsid w:val="009A33C6"/>
    <w:rsid w:val="009A34AD"/>
    <w:rsid w:val="009A35CF"/>
    <w:rsid w:val="009A366A"/>
    <w:rsid w:val="009A3833"/>
    <w:rsid w:val="009A3995"/>
    <w:rsid w:val="009A3AD1"/>
    <w:rsid w:val="009A3B15"/>
    <w:rsid w:val="009A3B2A"/>
    <w:rsid w:val="009A3C03"/>
    <w:rsid w:val="009A3D57"/>
    <w:rsid w:val="009A3EA0"/>
    <w:rsid w:val="009A3F09"/>
    <w:rsid w:val="009A3F94"/>
    <w:rsid w:val="009A410F"/>
    <w:rsid w:val="009A414B"/>
    <w:rsid w:val="009A4153"/>
    <w:rsid w:val="009A41DB"/>
    <w:rsid w:val="009A42D7"/>
    <w:rsid w:val="009A4321"/>
    <w:rsid w:val="009A43B6"/>
    <w:rsid w:val="009A43D4"/>
    <w:rsid w:val="009A43EF"/>
    <w:rsid w:val="009A4429"/>
    <w:rsid w:val="009A4659"/>
    <w:rsid w:val="009A46A7"/>
    <w:rsid w:val="009A4721"/>
    <w:rsid w:val="009A4901"/>
    <w:rsid w:val="009A4A6F"/>
    <w:rsid w:val="009A4AE1"/>
    <w:rsid w:val="009A4CD1"/>
    <w:rsid w:val="009A4D80"/>
    <w:rsid w:val="009A4FAA"/>
    <w:rsid w:val="009A50A4"/>
    <w:rsid w:val="009A50F7"/>
    <w:rsid w:val="009A5436"/>
    <w:rsid w:val="009A5503"/>
    <w:rsid w:val="009A5635"/>
    <w:rsid w:val="009A5716"/>
    <w:rsid w:val="009A5772"/>
    <w:rsid w:val="009A5777"/>
    <w:rsid w:val="009A5805"/>
    <w:rsid w:val="009A5917"/>
    <w:rsid w:val="009A5919"/>
    <w:rsid w:val="009A5A40"/>
    <w:rsid w:val="009A5D3C"/>
    <w:rsid w:val="009A5EC3"/>
    <w:rsid w:val="009A5F55"/>
    <w:rsid w:val="009A5FDA"/>
    <w:rsid w:val="009A6002"/>
    <w:rsid w:val="009A6181"/>
    <w:rsid w:val="009A628B"/>
    <w:rsid w:val="009A6692"/>
    <w:rsid w:val="009A6899"/>
    <w:rsid w:val="009A68AD"/>
    <w:rsid w:val="009A69D5"/>
    <w:rsid w:val="009A6B3B"/>
    <w:rsid w:val="009A6C89"/>
    <w:rsid w:val="009A6CC1"/>
    <w:rsid w:val="009A6CC5"/>
    <w:rsid w:val="009A6CDC"/>
    <w:rsid w:val="009A6D0F"/>
    <w:rsid w:val="009A6DAD"/>
    <w:rsid w:val="009A6DC0"/>
    <w:rsid w:val="009A6DD3"/>
    <w:rsid w:val="009A6E74"/>
    <w:rsid w:val="009A6F19"/>
    <w:rsid w:val="009A6F21"/>
    <w:rsid w:val="009A6FB7"/>
    <w:rsid w:val="009A7125"/>
    <w:rsid w:val="009A722B"/>
    <w:rsid w:val="009A73C0"/>
    <w:rsid w:val="009A7405"/>
    <w:rsid w:val="009A74BC"/>
    <w:rsid w:val="009A7701"/>
    <w:rsid w:val="009A7783"/>
    <w:rsid w:val="009A78A2"/>
    <w:rsid w:val="009A794D"/>
    <w:rsid w:val="009A796E"/>
    <w:rsid w:val="009A79FC"/>
    <w:rsid w:val="009A7AC5"/>
    <w:rsid w:val="009A7B41"/>
    <w:rsid w:val="009A7C1F"/>
    <w:rsid w:val="009A7C33"/>
    <w:rsid w:val="009A7C64"/>
    <w:rsid w:val="009A7C9D"/>
    <w:rsid w:val="009A7CE0"/>
    <w:rsid w:val="009A7D38"/>
    <w:rsid w:val="009A7DA4"/>
    <w:rsid w:val="009A7DB3"/>
    <w:rsid w:val="009A7F48"/>
    <w:rsid w:val="009B0133"/>
    <w:rsid w:val="009B0154"/>
    <w:rsid w:val="009B01DD"/>
    <w:rsid w:val="009B0396"/>
    <w:rsid w:val="009B0408"/>
    <w:rsid w:val="009B0737"/>
    <w:rsid w:val="009B0A34"/>
    <w:rsid w:val="009B0A73"/>
    <w:rsid w:val="009B0ACC"/>
    <w:rsid w:val="009B0C93"/>
    <w:rsid w:val="009B0CD3"/>
    <w:rsid w:val="009B0DE2"/>
    <w:rsid w:val="009B1035"/>
    <w:rsid w:val="009B10B5"/>
    <w:rsid w:val="009B121D"/>
    <w:rsid w:val="009B122B"/>
    <w:rsid w:val="009B1466"/>
    <w:rsid w:val="009B155A"/>
    <w:rsid w:val="009B1562"/>
    <w:rsid w:val="009B16F4"/>
    <w:rsid w:val="009B1748"/>
    <w:rsid w:val="009B17EF"/>
    <w:rsid w:val="009B1887"/>
    <w:rsid w:val="009B1998"/>
    <w:rsid w:val="009B1ED2"/>
    <w:rsid w:val="009B1FF4"/>
    <w:rsid w:val="009B2044"/>
    <w:rsid w:val="009B20BA"/>
    <w:rsid w:val="009B20E0"/>
    <w:rsid w:val="009B21C9"/>
    <w:rsid w:val="009B2200"/>
    <w:rsid w:val="009B2338"/>
    <w:rsid w:val="009B245B"/>
    <w:rsid w:val="009B257C"/>
    <w:rsid w:val="009B2593"/>
    <w:rsid w:val="009B287E"/>
    <w:rsid w:val="009B28DE"/>
    <w:rsid w:val="009B2A15"/>
    <w:rsid w:val="009B2B3B"/>
    <w:rsid w:val="009B2C1B"/>
    <w:rsid w:val="009B2D7E"/>
    <w:rsid w:val="009B2D8A"/>
    <w:rsid w:val="009B2E1F"/>
    <w:rsid w:val="009B2E7E"/>
    <w:rsid w:val="009B2FB6"/>
    <w:rsid w:val="009B306D"/>
    <w:rsid w:val="009B30F5"/>
    <w:rsid w:val="009B31F5"/>
    <w:rsid w:val="009B3314"/>
    <w:rsid w:val="009B33A0"/>
    <w:rsid w:val="009B34DD"/>
    <w:rsid w:val="009B34F1"/>
    <w:rsid w:val="009B35C7"/>
    <w:rsid w:val="009B3707"/>
    <w:rsid w:val="009B37F3"/>
    <w:rsid w:val="009B389A"/>
    <w:rsid w:val="009B3C7A"/>
    <w:rsid w:val="009B3CAA"/>
    <w:rsid w:val="009B3D0F"/>
    <w:rsid w:val="009B3E41"/>
    <w:rsid w:val="009B3F6E"/>
    <w:rsid w:val="009B3F97"/>
    <w:rsid w:val="009B401D"/>
    <w:rsid w:val="009B413C"/>
    <w:rsid w:val="009B41B1"/>
    <w:rsid w:val="009B4282"/>
    <w:rsid w:val="009B4354"/>
    <w:rsid w:val="009B4562"/>
    <w:rsid w:val="009B459F"/>
    <w:rsid w:val="009B460C"/>
    <w:rsid w:val="009B4615"/>
    <w:rsid w:val="009B462B"/>
    <w:rsid w:val="009B47F4"/>
    <w:rsid w:val="009B4A1A"/>
    <w:rsid w:val="009B4BAC"/>
    <w:rsid w:val="009B4C12"/>
    <w:rsid w:val="009B4D9D"/>
    <w:rsid w:val="009B4FA9"/>
    <w:rsid w:val="009B50EC"/>
    <w:rsid w:val="009B54BF"/>
    <w:rsid w:val="009B553C"/>
    <w:rsid w:val="009B5B29"/>
    <w:rsid w:val="009B5B2D"/>
    <w:rsid w:val="009B5C92"/>
    <w:rsid w:val="009B5ED8"/>
    <w:rsid w:val="009B5F2B"/>
    <w:rsid w:val="009B5F6A"/>
    <w:rsid w:val="009B5FAD"/>
    <w:rsid w:val="009B60C7"/>
    <w:rsid w:val="009B6166"/>
    <w:rsid w:val="009B6240"/>
    <w:rsid w:val="009B6298"/>
    <w:rsid w:val="009B62CC"/>
    <w:rsid w:val="009B64E7"/>
    <w:rsid w:val="009B64EC"/>
    <w:rsid w:val="009B65AE"/>
    <w:rsid w:val="009B65E1"/>
    <w:rsid w:val="009B6781"/>
    <w:rsid w:val="009B678E"/>
    <w:rsid w:val="009B685E"/>
    <w:rsid w:val="009B6887"/>
    <w:rsid w:val="009B68EE"/>
    <w:rsid w:val="009B69FF"/>
    <w:rsid w:val="009B6A06"/>
    <w:rsid w:val="009B6A61"/>
    <w:rsid w:val="009B6B61"/>
    <w:rsid w:val="009B6BBE"/>
    <w:rsid w:val="009B6BFD"/>
    <w:rsid w:val="009B6CD2"/>
    <w:rsid w:val="009B7388"/>
    <w:rsid w:val="009B75AD"/>
    <w:rsid w:val="009B7656"/>
    <w:rsid w:val="009B7745"/>
    <w:rsid w:val="009B794A"/>
    <w:rsid w:val="009B79A8"/>
    <w:rsid w:val="009B7A3A"/>
    <w:rsid w:val="009B7C0A"/>
    <w:rsid w:val="009B7D91"/>
    <w:rsid w:val="009C003F"/>
    <w:rsid w:val="009C03D5"/>
    <w:rsid w:val="009C045E"/>
    <w:rsid w:val="009C047C"/>
    <w:rsid w:val="009C04BA"/>
    <w:rsid w:val="009C05AD"/>
    <w:rsid w:val="009C08EC"/>
    <w:rsid w:val="009C0A82"/>
    <w:rsid w:val="009C0BF6"/>
    <w:rsid w:val="009C0C11"/>
    <w:rsid w:val="009C0EAE"/>
    <w:rsid w:val="009C0EE1"/>
    <w:rsid w:val="009C11A1"/>
    <w:rsid w:val="009C12C4"/>
    <w:rsid w:val="009C139C"/>
    <w:rsid w:val="009C1407"/>
    <w:rsid w:val="009C17E0"/>
    <w:rsid w:val="009C1805"/>
    <w:rsid w:val="009C198E"/>
    <w:rsid w:val="009C19E6"/>
    <w:rsid w:val="009C1B31"/>
    <w:rsid w:val="009C1B51"/>
    <w:rsid w:val="009C1CA8"/>
    <w:rsid w:val="009C1E92"/>
    <w:rsid w:val="009C20EF"/>
    <w:rsid w:val="009C22E3"/>
    <w:rsid w:val="009C2319"/>
    <w:rsid w:val="009C2431"/>
    <w:rsid w:val="009C2593"/>
    <w:rsid w:val="009C2882"/>
    <w:rsid w:val="009C28E9"/>
    <w:rsid w:val="009C2927"/>
    <w:rsid w:val="009C2940"/>
    <w:rsid w:val="009C294E"/>
    <w:rsid w:val="009C29B8"/>
    <w:rsid w:val="009C29F3"/>
    <w:rsid w:val="009C2A90"/>
    <w:rsid w:val="009C2B36"/>
    <w:rsid w:val="009C2CEC"/>
    <w:rsid w:val="009C2CF9"/>
    <w:rsid w:val="009C3000"/>
    <w:rsid w:val="009C30FC"/>
    <w:rsid w:val="009C31B9"/>
    <w:rsid w:val="009C3290"/>
    <w:rsid w:val="009C34CF"/>
    <w:rsid w:val="009C362C"/>
    <w:rsid w:val="009C384C"/>
    <w:rsid w:val="009C3865"/>
    <w:rsid w:val="009C386F"/>
    <w:rsid w:val="009C3ABB"/>
    <w:rsid w:val="009C3BF3"/>
    <w:rsid w:val="009C3CFC"/>
    <w:rsid w:val="009C3D2A"/>
    <w:rsid w:val="009C3DB4"/>
    <w:rsid w:val="009C3EA4"/>
    <w:rsid w:val="009C3F09"/>
    <w:rsid w:val="009C3F15"/>
    <w:rsid w:val="009C3F91"/>
    <w:rsid w:val="009C40A9"/>
    <w:rsid w:val="009C4169"/>
    <w:rsid w:val="009C41A6"/>
    <w:rsid w:val="009C447F"/>
    <w:rsid w:val="009C4513"/>
    <w:rsid w:val="009C4B95"/>
    <w:rsid w:val="009C4BF0"/>
    <w:rsid w:val="009C4BF3"/>
    <w:rsid w:val="009C4BF9"/>
    <w:rsid w:val="009C4C60"/>
    <w:rsid w:val="009C4C75"/>
    <w:rsid w:val="009C4D75"/>
    <w:rsid w:val="009C4E6A"/>
    <w:rsid w:val="009C4EAC"/>
    <w:rsid w:val="009C4EE2"/>
    <w:rsid w:val="009C4FCA"/>
    <w:rsid w:val="009C50B9"/>
    <w:rsid w:val="009C536C"/>
    <w:rsid w:val="009C5391"/>
    <w:rsid w:val="009C56AC"/>
    <w:rsid w:val="009C58A4"/>
    <w:rsid w:val="009C5905"/>
    <w:rsid w:val="009C5936"/>
    <w:rsid w:val="009C5A42"/>
    <w:rsid w:val="009C5AFF"/>
    <w:rsid w:val="009C5B2A"/>
    <w:rsid w:val="009C5B34"/>
    <w:rsid w:val="009C5D85"/>
    <w:rsid w:val="009C5DA2"/>
    <w:rsid w:val="009C5E76"/>
    <w:rsid w:val="009C613A"/>
    <w:rsid w:val="009C634E"/>
    <w:rsid w:val="009C6428"/>
    <w:rsid w:val="009C64D0"/>
    <w:rsid w:val="009C64FA"/>
    <w:rsid w:val="009C65EB"/>
    <w:rsid w:val="009C69E5"/>
    <w:rsid w:val="009C6B29"/>
    <w:rsid w:val="009C6B85"/>
    <w:rsid w:val="009C6B98"/>
    <w:rsid w:val="009C6C0A"/>
    <w:rsid w:val="009C6C4E"/>
    <w:rsid w:val="009C6C83"/>
    <w:rsid w:val="009C6D09"/>
    <w:rsid w:val="009C6FB2"/>
    <w:rsid w:val="009C7044"/>
    <w:rsid w:val="009C7348"/>
    <w:rsid w:val="009C749A"/>
    <w:rsid w:val="009C74B3"/>
    <w:rsid w:val="009C74EE"/>
    <w:rsid w:val="009C76AD"/>
    <w:rsid w:val="009C7722"/>
    <w:rsid w:val="009C778E"/>
    <w:rsid w:val="009C786F"/>
    <w:rsid w:val="009C7A63"/>
    <w:rsid w:val="009C7AB9"/>
    <w:rsid w:val="009C7BE1"/>
    <w:rsid w:val="009C7C7B"/>
    <w:rsid w:val="009C7D21"/>
    <w:rsid w:val="009C7D58"/>
    <w:rsid w:val="009C7EC6"/>
    <w:rsid w:val="009C7F45"/>
    <w:rsid w:val="009C7F7F"/>
    <w:rsid w:val="009D008C"/>
    <w:rsid w:val="009D00A4"/>
    <w:rsid w:val="009D01EF"/>
    <w:rsid w:val="009D03AA"/>
    <w:rsid w:val="009D03CA"/>
    <w:rsid w:val="009D042F"/>
    <w:rsid w:val="009D04B0"/>
    <w:rsid w:val="009D0579"/>
    <w:rsid w:val="009D05C3"/>
    <w:rsid w:val="009D062D"/>
    <w:rsid w:val="009D0666"/>
    <w:rsid w:val="009D069D"/>
    <w:rsid w:val="009D0898"/>
    <w:rsid w:val="009D09D2"/>
    <w:rsid w:val="009D0B53"/>
    <w:rsid w:val="009D0BC6"/>
    <w:rsid w:val="009D0BFA"/>
    <w:rsid w:val="009D0D48"/>
    <w:rsid w:val="009D0D67"/>
    <w:rsid w:val="009D0ECE"/>
    <w:rsid w:val="009D106D"/>
    <w:rsid w:val="009D10B1"/>
    <w:rsid w:val="009D1119"/>
    <w:rsid w:val="009D11BF"/>
    <w:rsid w:val="009D127A"/>
    <w:rsid w:val="009D1340"/>
    <w:rsid w:val="009D13E9"/>
    <w:rsid w:val="009D1519"/>
    <w:rsid w:val="009D15CC"/>
    <w:rsid w:val="009D15CF"/>
    <w:rsid w:val="009D181C"/>
    <w:rsid w:val="009D1867"/>
    <w:rsid w:val="009D18F9"/>
    <w:rsid w:val="009D1957"/>
    <w:rsid w:val="009D1A2E"/>
    <w:rsid w:val="009D1A3F"/>
    <w:rsid w:val="009D1AC1"/>
    <w:rsid w:val="009D1AFF"/>
    <w:rsid w:val="009D1B29"/>
    <w:rsid w:val="009D1B64"/>
    <w:rsid w:val="009D1CBC"/>
    <w:rsid w:val="009D1DAF"/>
    <w:rsid w:val="009D1E67"/>
    <w:rsid w:val="009D1E9B"/>
    <w:rsid w:val="009D20B2"/>
    <w:rsid w:val="009D22EA"/>
    <w:rsid w:val="009D234C"/>
    <w:rsid w:val="009D23CA"/>
    <w:rsid w:val="009D256A"/>
    <w:rsid w:val="009D272D"/>
    <w:rsid w:val="009D2766"/>
    <w:rsid w:val="009D27C2"/>
    <w:rsid w:val="009D2800"/>
    <w:rsid w:val="009D289B"/>
    <w:rsid w:val="009D28A9"/>
    <w:rsid w:val="009D2A1A"/>
    <w:rsid w:val="009D2AB8"/>
    <w:rsid w:val="009D2E12"/>
    <w:rsid w:val="009D2EAE"/>
    <w:rsid w:val="009D2FFB"/>
    <w:rsid w:val="009D31BA"/>
    <w:rsid w:val="009D3258"/>
    <w:rsid w:val="009D3876"/>
    <w:rsid w:val="009D38F8"/>
    <w:rsid w:val="009D3AA6"/>
    <w:rsid w:val="009D3FAA"/>
    <w:rsid w:val="009D3FC6"/>
    <w:rsid w:val="009D3FF5"/>
    <w:rsid w:val="009D4228"/>
    <w:rsid w:val="009D4279"/>
    <w:rsid w:val="009D42E2"/>
    <w:rsid w:val="009D431E"/>
    <w:rsid w:val="009D4421"/>
    <w:rsid w:val="009D442A"/>
    <w:rsid w:val="009D4642"/>
    <w:rsid w:val="009D464E"/>
    <w:rsid w:val="009D46AA"/>
    <w:rsid w:val="009D4A54"/>
    <w:rsid w:val="009D5276"/>
    <w:rsid w:val="009D531C"/>
    <w:rsid w:val="009D5361"/>
    <w:rsid w:val="009D543A"/>
    <w:rsid w:val="009D5532"/>
    <w:rsid w:val="009D5649"/>
    <w:rsid w:val="009D56E1"/>
    <w:rsid w:val="009D5862"/>
    <w:rsid w:val="009D5B0A"/>
    <w:rsid w:val="009D5B44"/>
    <w:rsid w:val="009D5B5E"/>
    <w:rsid w:val="009D5B6E"/>
    <w:rsid w:val="009D5C79"/>
    <w:rsid w:val="009D5C8E"/>
    <w:rsid w:val="009D5DB7"/>
    <w:rsid w:val="009D5DE3"/>
    <w:rsid w:val="009D5FAE"/>
    <w:rsid w:val="009D6068"/>
    <w:rsid w:val="009D62FD"/>
    <w:rsid w:val="009D65D6"/>
    <w:rsid w:val="009D686A"/>
    <w:rsid w:val="009D6A16"/>
    <w:rsid w:val="009D6B6F"/>
    <w:rsid w:val="009D6BDB"/>
    <w:rsid w:val="009D6C94"/>
    <w:rsid w:val="009D6CFD"/>
    <w:rsid w:val="009D6D5A"/>
    <w:rsid w:val="009D6E17"/>
    <w:rsid w:val="009D6E8D"/>
    <w:rsid w:val="009D6EBA"/>
    <w:rsid w:val="009D6FF2"/>
    <w:rsid w:val="009D6FF6"/>
    <w:rsid w:val="009D711F"/>
    <w:rsid w:val="009D723A"/>
    <w:rsid w:val="009D7280"/>
    <w:rsid w:val="009D7338"/>
    <w:rsid w:val="009D7513"/>
    <w:rsid w:val="009D763A"/>
    <w:rsid w:val="009D7656"/>
    <w:rsid w:val="009D765A"/>
    <w:rsid w:val="009D77CC"/>
    <w:rsid w:val="009D795A"/>
    <w:rsid w:val="009D7A01"/>
    <w:rsid w:val="009D7BFA"/>
    <w:rsid w:val="009D7DB5"/>
    <w:rsid w:val="009D7DBF"/>
    <w:rsid w:val="009D7DE7"/>
    <w:rsid w:val="009E00BA"/>
    <w:rsid w:val="009E0116"/>
    <w:rsid w:val="009E03A2"/>
    <w:rsid w:val="009E0428"/>
    <w:rsid w:val="009E04E8"/>
    <w:rsid w:val="009E0551"/>
    <w:rsid w:val="009E0980"/>
    <w:rsid w:val="009E0A5E"/>
    <w:rsid w:val="009E0C1B"/>
    <w:rsid w:val="009E0C26"/>
    <w:rsid w:val="009E0CFC"/>
    <w:rsid w:val="009E0D95"/>
    <w:rsid w:val="009E0F0D"/>
    <w:rsid w:val="009E0F69"/>
    <w:rsid w:val="009E0FA6"/>
    <w:rsid w:val="009E1141"/>
    <w:rsid w:val="009E139F"/>
    <w:rsid w:val="009E16AC"/>
    <w:rsid w:val="009E1872"/>
    <w:rsid w:val="009E18EA"/>
    <w:rsid w:val="009E1CFD"/>
    <w:rsid w:val="009E1FA4"/>
    <w:rsid w:val="009E1FA8"/>
    <w:rsid w:val="009E1FE3"/>
    <w:rsid w:val="009E200E"/>
    <w:rsid w:val="009E21D8"/>
    <w:rsid w:val="009E229D"/>
    <w:rsid w:val="009E2466"/>
    <w:rsid w:val="009E24CB"/>
    <w:rsid w:val="009E264D"/>
    <w:rsid w:val="009E29DD"/>
    <w:rsid w:val="009E2A15"/>
    <w:rsid w:val="009E2CA9"/>
    <w:rsid w:val="009E3076"/>
    <w:rsid w:val="009E30DB"/>
    <w:rsid w:val="009E31F5"/>
    <w:rsid w:val="009E3224"/>
    <w:rsid w:val="009E3365"/>
    <w:rsid w:val="009E337F"/>
    <w:rsid w:val="009E3507"/>
    <w:rsid w:val="009E35A4"/>
    <w:rsid w:val="009E3B78"/>
    <w:rsid w:val="009E3C87"/>
    <w:rsid w:val="009E3D08"/>
    <w:rsid w:val="009E3E3B"/>
    <w:rsid w:val="009E3EF1"/>
    <w:rsid w:val="009E3FAB"/>
    <w:rsid w:val="009E3FBA"/>
    <w:rsid w:val="009E40DA"/>
    <w:rsid w:val="009E41AE"/>
    <w:rsid w:val="009E41EE"/>
    <w:rsid w:val="009E4357"/>
    <w:rsid w:val="009E45C0"/>
    <w:rsid w:val="009E4644"/>
    <w:rsid w:val="009E47A7"/>
    <w:rsid w:val="009E47D6"/>
    <w:rsid w:val="009E4CC5"/>
    <w:rsid w:val="009E4D27"/>
    <w:rsid w:val="009E4D48"/>
    <w:rsid w:val="009E4D94"/>
    <w:rsid w:val="009E4FB0"/>
    <w:rsid w:val="009E4FD3"/>
    <w:rsid w:val="009E50B2"/>
    <w:rsid w:val="009E50E1"/>
    <w:rsid w:val="009E50F0"/>
    <w:rsid w:val="009E51BD"/>
    <w:rsid w:val="009E51DA"/>
    <w:rsid w:val="009E5249"/>
    <w:rsid w:val="009E534F"/>
    <w:rsid w:val="009E5354"/>
    <w:rsid w:val="009E53B5"/>
    <w:rsid w:val="009E53F0"/>
    <w:rsid w:val="009E5418"/>
    <w:rsid w:val="009E56F8"/>
    <w:rsid w:val="009E587C"/>
    <w:rsid w:val="009E588D"/>
    <w:rsid w:val="009E599D"/>
    <w:rsid w:val="009E59C0"/>
    <w:rsid w:val="009E5C42"/>
    <w:rsid w:val="009E5D1A"/>
    <w:rsid w:val="009E6130"/>
    <w:rsid w:val="009E61B9"/>
    <w:rsid w:val="009E62CC"/>
    <w:rsid w:val="009E632F"/>
    <w:rsid w:val="009E63A9"/>
    <w:rsid w:val="009E652F"/>
    <w:rsid w:val="009E6822"/>
    <w:rsid w:val="009E6AE5"/>
    <w:rsid w:val="009E6B06"/>
    <w:rsid w:val="009E6B75"/>
    <w:rsid w:val="009E6BD6"/>
    <w:rsid w:val="009E6C65"/>
    <w:rsid w:val="009E6DE7"/>
    <w:rsid w:val="009E6EB3"/>
    <w:rsid w:val="009E6F56"/>
    <w:rsid w:val="009E70DD"/>
    <w:rsid w:val="009E7225"/>
    <w:rsid w:val="009E726B"/>
    <w:rsid w:val="009E7705"/>
    <w:rsid w:val="009E774F"/>
    <w:rsid w:val="009E7966"/>
    <w:rsid w:val="009E7969"/>
    <w:rsid w:val="009E79D3"/>
    <w:rsid w:val="009E7B78"/>
    <w:rsid w:val="009E7C99"/>
    <w:rsid w:val="009E7F2F"/>
    <w:rsid w:val="009E7FCF"/>
    <w:rsid w:val="009F0068"/>
    <w:rsid w:val="009F010B"/>
    <w:rsid w:val="009F011D"/>
    <w:rsid w:val="009F047D"/>
    <w:rsid w:val="009F0852"/>
    <w:rsid w:val="009F0996"/>
    <w:rsid w:val="009F0AEB"/>
    <w:rsid w:val="009F0D4F"/>
    <w:rsid w:val="009F0E6E"/>
    <w:rsid w:val="009F0E77"/>
    <w:rsid w:val="009F0F64"/>
    <w:rsid w:val="009F1160"/>
    <w:rsid w:val="009F116E"/>
    <w:rsid w:val="009F11CC"/>
    <w:rsid w:val="009F124E"/>
    <w:rsid w:val="009F12E9"/>
    <w:rsid w:val="009F13B1"/>
    <w:rsid w:val="009F1423"/>
    <w:rsid w:val="009F142F"/>
    <w:rsid w:val="009F1553"/>
    <w:rsid w:val="009F1578"/>
    <w:rsid w:val="009F1626"/>
    <w:rsid w:val="009F163C"/>
    <w:rsid w:val="009F16A5"/>
    <w:rsid w:val="009F16C8"/>
    <w:rsid w:val="009F16F5"/>
    <w:rsid w:val="009F1737"/>
    <w:rsid w:val="009F17C7"/>
    <w:rsid w:val="009F19F5"/>
    <w:rsid w:val="009F1B59"/>
    <w:rsid w:val="009F1C6E"/>
    <w:rsid w:val="009F1C98"/>
    <w:rsid w:val="009F1CEB"/>
    <w:rsid w:val="009F1D1F"/>
    <w:rsid w:val="009F1D53"/>
    <w:rsid w:val="009F1E4D"/>
    <w:rsid w:val="009F20FC"/>
    <w:rsid w:val="009F22C9"/>
    <w:rsid w:val="009F237E"/>
    <w:rsid w:val="009F25C2"/>
    <w:rsid w:val="009F2A06"/>
    <w:rsid w:val="009F2A6E"/>
    <w:rsid w:val="009F2AE9"/>
    <w:rsid w:val="009F2B6D"/>
    <w:rsid w:val="009F2BB2"/>
    <w:rsid w:val="009F2C87"/>
    <w:rsid w:val="009F2CB3"/>
    <w:rsid w:val="009F2CD7"/>
    <w:rsid w:val="009F2D11"/>
    <w:rsid w:val="009F2D60"/>
    <w:rsid w:val="009F2EDF"/>
    <w:rsid w:val="009F2F50"/>
    <w:rsid w:val="009F2F66"/>
    <w:rsid w:val="009F2FE7"/>
    <w:rsid w:val="009F30CB"/>
    <w:rsid w:val="009F34DD"/>
    <w:rsid w:val="009F3657"/>
    <w:rsid w:val="009F3691"/>
    <w:rsid w:val="009F37D1"/>
    <w:rsid w:val="009F39AD"/>
    <w:rsid w:val="009F3A66"/>
    <w:rsid w:val="009F3B5E"/>
    <w:rsid w:val="009F3B5F"/>
    <w:rsid w:val="009F3C9E"/>
    <w:rsid w:val="009F3D11"/>
    <w:rsid w:val="009F3D9C"/>
    <w:rsid w:val="009F3DC2"/>
    <w:rsid w:val="009F3EA4"/>
    <w:rsid w:val="009F3ED6"/>
    <w:rsid w:val="009F3EEC"/>
    <w:rsid w:val="009F3EED"/>
    <w:rsid w:val="009F3F0A"/>
    <w:rsid w:val="009F3FF6"/>
    <w:rsid w:val="009F406A"/>
    <w:rsid w:val="009F4089"/>
    <w:rsid w:val="009F4496"/>
    <w:rsid w:val="009F44AA"/>
    <w:rsid w:val="009F44D7"/>
    <w:rsid w:val="009F44E8"/>
    <w:rsid w:val="009F4523"/>
    <w:rsid w:val="009F45B0"/>
    <w:rsid w:val="009F46B3"/>
    <w:rsid w:val="009F471A"/>
    <w:rsid w:val="009F472F"/>
    <w:rsid w:val="009F48BB"/>
    <w:rsid w:val="009F48CE"/>
    <w:rsid w:val="009F48E7"/>
    <w:rsid w:val="009F5011"/>
    <w:rsid w:val="009F51B9"/>
    <w:rsid w:val="009F5277"/>
    <w:rsid w:val="009F531A"/>
    <w:rsid w:val="009F532F"/>
    <w:rsid w:val="009F5345"/>
    <w:rsid w:val="009F5350"/>
    <w:rsid w:val="009F53A0"/>
    <w:rsid w:val="009F5886"/>
    <w:rsid w:val="009F589C"/>
    <w:rsid w:val="009F5AE4"/>
    <w:rsid w:val="009F5C21"/>
    <w:rsid w:val="009F5C5E"/>
    <w:rsid w:val="009F5DD1"/>
    <w:rsid w:val="009F5E40"/>
    <w:rsid w:val="009F604A"/>
    <w:rsid w:val="009F6170"/>
    <w:rsid w:val="009F61E9"/>
    <w:rsid w:val="009F6228"/>
    <w:rsid w:val="009F63D4"/>
    <w:rsid w:val="009F652B"/>
    <w:rsid w:val="009F6584"/>
    <w:rsid w:val="009F6691"/>
    <w:rsid w:val="009F6873"/>
    <w:rsid w:val="009F6A0E"/>
    <w:rsid w:val="009F6B13"/>
    <w:rsid w:val="009F6C02"/>
    <w:rsid w:val="009F6C57"/>
    <w:rsid w:val="009F6C76"/>
    <w:rsid w:val="009F6C96"/>
    <w:rsid w:val="009F6DC5"/>
    <w:rsid w:val="009F6E68"/>
    <w:rsid w:val="009F7048"/>
    <w:rsid w:val="009F711D"/>
    <w:rsid w:val="009F717F"/>
    <w:rsid w:val="009F730B"/>
    <w:rsid w:val="009F7338"/>
    <w:rsid w:val="009F73A8"/>
    <w:rsid w:val="009F74FE"/>
    <w:rsid w:val="009F7536"/>
    <w:rsid w:val="009F75F7"/>
    <w:rsid w:val="009F7653"/>
    <w:rsid w:val="009F772F"/>
    <w:rsid w:val="009F781D"/>
    <w:rsid w:val="009F7887"/>
    <w:rsid w:val="009F78CB"/>
    <w:rsid w:val="009F7945"/>
    <w:rsid w:val="009F7AFF"/>
    <w:rsid w:val="009F7B45"/>
    <w:rsid w:val="009F7B4D"/>
    <w:rsid w:val="009F7BFB"/>
    <w:rsid w:val="009F7E3F"/>
    <w:rsid w:val="009F7F97"/>
    <w:rsid w:val="009FB066"/>
    <w:rsid w:val="00A00100"/>
    <w:rsid w:val="00A005BD"/>
    <w:rsid w:val="00A006A3"/>
    <w:rsid w:val="00A00791"/>
    <w:rsid w:val="00A00905"/>
    <w:rsid w:val="00A00AE8"/>
    <w:rsid w:val="00A00D67"/>
    <w:rsid w:val="00A00DE5"/>
    <w:rsid w:val="00A00F75"/>
    <w:rsid w:val="00A00FF3"/>
    <w:rsid w:val="00A01102"/>
    <w:rsid w:val="00A01165"/>
    <w:rsid w:val="00A0116F"/>
    <w:rsid w:val="00A0117B"/>
    <w:rsid w:val="00A011B5"/>
    <w:rsid w:val="00A01221"/>
    <w:rsid w:val="00A012CA"/>
    <w:rsid w:val="00A01432"/>
    <w:rsid w:val="00A01483"/>
    <w:rsid w:val="00A017CF"/>
    <w:rsid w:val="00A017F3"/>
    <w:rsid w:val="00A019F1"/>
    <w:rsid w:val="00A01A64"/>
    <w:rsid w:val="00A01A99"/>
    <w:rsid w:val="00A01ACF"/>
    <w:rsid w:val="00A01D30"/>
    <w:rsid w:val="00A01DAE"/>
    <w:rsid w:val="00A02088"/>
    <w:rsid w:val="00A0219B"/>
    <w:rsid w:val="00A0234A"/>
    <w:rsid w:val="00A0235F"/>
    <w:rsid w:val="00A0294C"/>
    <w:rsid w:val="00A0294E"/>
    <w:rsid w:val="00A02A86"/>
    <w:rsid w:val="00A02A9A"/>
    <w:rsid w:val="00A02AA9"/>
    <w:rsid w:val="00A02D40"/>
    <w:rsid w:val="00A03033"/>
    <w:rsid w:val="00A03034"/>
    <w:rsid w:val="00A032F3"/>
    <w:rsid w:val="00A033EA"/>
    <w:rsid w:val="00A03407"/>
    <w:rsid w:val="00A034C7"/>
    <w:rsid w:val="00A036EF"/>
    <w:rsid w:val="00A0384F"/>
    <w:rsid w:val="00A038C6"/>
    <w:rsid w:val="00A038C8"/>
    <w:rsid w:val="00A03AA5"/>
    <w:rsid w:val="00A03BE7"/>
    <w:rsid w:val="00A03C5D"/>
    <w:rsid w:val="00A03D9B"/>
    <w:rsid w:val="00A03E86"/>
    <w:rsid w:val="00A04013"/>
    <w:rsid w:val="00A0403B"/>
    <w:rsid w:val="00A04198"/>
    <w:rsid w:val="00A04204"/>
    <w:rsid w:val="00A04386"/>
    <w:rsid w:val="00A043FE"/>
    <w:rsid w:val="00A045C6"/>
    <w:rsid w:val="00A04665"/>
    <w:rsid w:val="00A04717"/>
    <w:rsid w:val="00A0499C"/>
    <w:rsid w:val="00A04A13"/>
    <w:rsid w:val="00A04A49"/>
    <w:rsid w:val="00A04B5F"/>
    <w:rsid w:val="00A04BAE"/>
    <w:rsid w:val="00A04C37"/>
    <w:rsid w:val="00A05104"/>
    <w:rsid w:val="00A05233"/>
    <w:rsid w:val="00A052A2"/>
    <w:rsid w:val="00A05308"/>
    <w:rsid w:val="00A0542E"/>
    <w:rsid w:val="00A05551"/>
    <w:rsid w:val="00A05553"/>
    <w:rsid w:val="00A055AE"/>
    <w:rsid w:val="00A055F4"/>
    <w:rsid w:val="00A05609"/>
    <w:rsid w:val="00A05713"/>
    <w:rsid w:val="00A05775"/>
    <w:rsid w:val="00A057F6"/>
    <w:rsid w:val="00A05A0D"/>
    <w:rsid w:val="00A05A1C"/>
    <w:rsid w:val="00A05A72"/>
    <w:rsid w:val="00A05AB6"/>
    <w:rsid w:val="00A05C5A"/>
    <w:rsid w:val="00A05CD7"/>
    <w:rsid w:val="00A05D37"/>
    <w:rsid w:val="00A05DD7"/>
    <w:rsid w:val="00A05F44"/>
    <w:rsid w:val="00A06149"/>
    <w:rsid w:val="00A061D3"/>
    <w:rsid w:val="00A06209"/>
    <w:rsid w:val="00A06224"/>
    <w:rsid w:val="00A06348"/>
    <w:rsid w:val="00A065D9"/>
    <w:rsid w:val="00A0670E"/>
    <w:rsid w:val="00A0672E"/>
    <w:rsid w:val="00A06A32"/>
    <w:rsid w:val="00A06AE7"/>
    <w:rsid w:val="00A06B2D"/>
    <w:rsid w:val="00A06D06"/>
    <w:rsid w:val="00A06DA3"/>
    <w:rsid w:val="00A06DD6"/>
    <w:rsid w:val="00A06E1D"/>
    <w:rsid w:val="00A0704F"/>
    <w:rsid w:val="00A071F8"/>
    <w:rsid w:val="00A07220"/>
    <w:rsid w:val="00A07591"/>
    <w:rsid w:val="00A075E2"/>
    <w:rsid w:val="00A07624"/>
    <w:rsid w:val="00A077EF"/>
    <w:rsid w:val="00A0781D"/>
    <w:rsid w:val="00A079D4"/>
    <w:rsid w:val="00A07BEB"/>
    <w:rsid w:val="00A07CBA"/>
    <w:rsid w:val="00A07D03"/>
    <w:rsid w:val="00A1013F"/>
    <w:rsid w:val="00A10252"/>
    <w:rsid w:val="00A10282"/>
    <w:rsid w:val="00A103FE"/>
    <w:rsid w:val="00A107C4"/>
    <w:rsid w:val="00A1088F"/>
    <w:rsid w:val="00A108CB"/>
    <w:rsid w:val="00A10BD4"/>
    <w:rsid w:val="00A10CDD"/>
    <w:rsid w:val="00A10DCC"/>
    <w:rsid w:val="00A10E45"/>
    <w:rsid w:val="00A110A2"/>
    <w:rsid w:val="00A110F3"/>
    <w:rsid w:val="00A1137C"/>
    <w:rsid w:val="00A11623"/>
    <w:rsid w:val="00A116C9"/>
    <w:rsid w:val="00A11799"/>
    <w:rsid w:val="00A117C4"/>
    <w:rsid w:val="00A1197E"/>
    <w:rsid w:val="00A119A5"/>
    <w:rsid w:val="00A11A09"/>
    <w:rsid w:val="00A11A18"/>
    <w:rsid w:val="00A11BEE"/>
    <w:rsid w:val="00A11D45"/>
    <w:rsid w:val="00A11E36"/>
    <w:rsid w:val="00A12312"/>
    <w:rsid w:val="00A124BE"/>
    <w:rsid w:val="00A1257D"/>
    <w:rsid w:val="00A12752"/>
    <w:rsid w:val="00A12805"/>
    <w:rsid w:val="00A12AA9"/>
    <w:rsid w:val="00A12B21"/>
    <w:rsid w:val="00A12E2B"/>
    <w:rsid w:val="00A12F9E"/>
    <w:rsid w:val="00A13003"/>
    <w:rsid w:val="00A130A3"/>
    <w:rsid w:val="00A131F2"/>
    <w:rsid w:val="00A13250"/>
    <w:rsid w:val="00A13267"/>
    <w:rsid w:val="00A13285"/>
    <w:rsid w:val="00A13419"/>
    <w:rsid w:val="00A135B3"/>
    <w:rsid w:val="00A13611"/>
    <w:rsid w:val="00A1379C"/>
    <w:rsid w:val="00A138CA"/>
    <w:rsid w:val="00A138E9"/>
    <w:rsid w:val="00A13901"/>
    <w:rsid w:val="00A13916"/>
    <w:rsid w:val="00A139CE"/>
    <w:rsid w:val="00A13D71"/>
    <w:rsid w:val="00A13E8E"/>
    <w:rsid w:val="00A1409D"/>
    <w:rsid w:val="00A1424A"/>
    <w:rsid w:val="00A144EE"/>
    <w:rsid w:val="00A1469F"/>
    <w:rsid w:val="00A146BE"/>
    <w:rsid w:val="00A1478C"/>
    <w:rsid w:val="00A147E8"/>
    <w:rsid w:val="00A1493C"/>
    <w:rsid w:val="00A14B57"/>
    <w:rsid w:val="00A14B5A"/>
    <w:rsid w:val="00A14BB8"/>
    <w:rsid w:val="00A14D16"/>
    <w:rsid w:val="00A14F8C"/>
    <w:rsid w:val="00A15236"/>
    <w:rsid w:val="00A152AE"/>
    <w:rsid w:val="00A15386"/>
    <w:rsid w:val="00A154E0"/>
    <w:rsid w:val="00A15599"/>
    <w:rsid w:val="00A1575C"/>
    <w:rsid w:val="00A1592F"/>
    <w:rsid w:val="00A159D9"/>
    <w:rsid w:val="00A15C67"/>
    <w:rsid w:val="00A15C86"/>
    <w:rsid w:val="00A15DBF"/>
    <w:rsid w:val="00A15F25"/>
    <w:rsid w:val="00A16057"/>
    <w:rsid w:val="00A1614B"/>
    <w:rsid w:val="00A161C8"/>
    <w:rsid w:val="00A161FF"/>
    <w:rsid w:val="00A16209"/>
    <w:rsid w:val="00A169DC"/>
    <w:rsid w:val="00A16A12"/>
    <w:rsid w:val="00A16A25"/>
    <w:rsid w:val="00A16B45"/>
    <w:rsid w:val="00A16B64"/>
    <w:rsid w:val="00A16DF5"/>
    <w:rsid w:val="00A16E16"/>
    <w:rsid w:val="00A16E98"/>
    <w:rsid w:val="00A16F1F"/>
    <w:rsid w:val="00A17134"/>
    <w:rsid w:val="00A172DF"/>
    <w:rsid w:val="00A1733B"/>
    <w:rsid w:val="00A173AB"/>
    <w:rsid w:val="00A176BA"/>
    <w:rsid w:val="00A176D0"/>
    <w:rsid w:val="00A177F3"/>
    <w:rsid w:val="00A17891"/>
    <w:rsid w:val="00A17A12"/>
    <w:rsid w:val="00A17A98"/>
    <w:rsid w:val="00A17ACC"/>
    <w:rsid w:val="00A17CBE"/>
    <w:rsid w:val="00A17DDA"/>
    <w:rsid w:val="00A2001C"/>
    <w:rsid w:val="00A2007D"/>
    <w:rsid w:val="00A20394"/>
    <w:rsid w:val="00A206AD"/>
    <w:rsid w:val="00A209A6"/>
    <w:rsid w:val="00A20DB1"/>
    <w:rsid w:val="00A20F28"/>
    <w:rsid w:val="00A210A6"/>
    <w:rsid w:val="00A21197"/>
    <w:rsid w:val="00A212D4"/>
    <w:rsid w:val="00A21656"/>
    <w:rsid w:val="00A21723"/>
    <w:rsid w:val="00A21781"/>
    <w:rsid w:val="00A217EF"/>
    <w:rsid w:val="00A21A7B"/>
    <w:rsid w:val="00A21ADD"/>
    <w:rsid w:val="00A21CAA"/>
    <w:rsid w:val="00A21CBA"/>
    <w:rsid w:val="00A21CE4"/>
    <w:rsid w:val="00A21D50"/>
    <w:rsid w:val="00A21E74"/>
    <w:rsid w:val="00A21ED7"/>
    <w:rsid w:val="00A21F3C"/>
    <w:rsid w:val="00A2206B"/>
    <w:rsid w:val="00A2217D"/>
    <w:rsid w:val="00A22191"/>
    <w:rsid w:val="00A221B4"/>
    <w:rsid w:val="00A222A1"/>
    <w:rsid w:val="00A222C8"/>
    <w:rsid w:val="00A22488"/>
    <w:rsid w:val="00A2249D"/>
    <w:rsid w:val="00A22717"/>
    <w:rsid w:val="00A2271B"/>
    <w:rsid w:val="00A22781"/>
    <w:rsid w:val="00A22BAF"/>
    <w:rsid w:val="00A22CC2"/>
    <w:rsid w:val="00A22D7E"/>
    <w:rsid w:val="00A22DA5"/>
    <w:rsid w:val="00A22FFF"/>
    <w:rsid w:val="00A23515"/>
    <w:rsid w:val="00A2354F"/>
    <w:rsid w:val="00A235AF"/>
    <w:rsid w:val="00A23628"/>
    <w:rsid w:val="00A2376C"/>
    <w:rsid w:val="00A23B42"/>
    <w:rsid w:val="00A23EA5"/>
    <w:rsid w:val="00A24125"/>
    <w:rsid w:val="00A2463C"/>
    <w:rsid w:val="00A2466D"/>
    <w:rsid w:val="00A24699"/>
    <w:rsid w:val="00A247B5"/>
    <w:rsid w:val="00A248A5"/>
    <w:rsid w:val="00A248FF"/>
    <w:rsid w:val="00A2492D"/>
    <w:rsid w:val="00A2497A"/>
    <w:rsid w:val="00A249FB"/>
    <w:rsid w:val="00A24A76"/>
    <w:rsid w:val="00A24BB7"/>
    <w:rsid w:val="00A24DBF"/>
    <w:rsid w:val="00A24DF8"/>
    <w:rsid w:val="00A24E18"/>
    <w:rsid w:val="00A250A5"/>
    <w:rsid w:val="00A250E1"/>
    <w:rsid w:val="00A251AA"/>
    <w:rsid w:val="00A25218"/>
    <w:rsid w:val="00A252E7"/>
    <w:rsid w:val="00A255FA"/>
    <w:rsid w:val="00A25635"/>
    <w:rsid w:val="00A25757"/>
    <w:rsid w:val="00A25913"/>
    <w:rsid w:val="00A25AC9"/>
    <w:rsid w:val="00A25B20"/>
    <w:rsid w:val="00A25B38"/>
    <w:rsid w:val="00A25C13"/>
    <w:rsid w:val="00A25EA7"/>
    <w:rsid w:val="00A25F77"/>
    <w:rsid w:val="00A260F9"/>
    <w:rsid w:val="00A263F2"/>
    <w:rsid w:val="00A26433"/>
    <w:rsid w:val="00A26475"/>
    <w:rsid w:val="00A264A5"/>
    <w:rsid w:val="00A266D2"/>
    <w:rsid w:val="00A267BC"/>
    <w:rsid w:val="00A26999"/>
    <w:rsid w:val="00A269F7"/>
    <w:rsid w:val="00A26BD1"/>
    <w:rsid w:val="00A26C94"/>
    <w:rsid w:val="00A26CCE"/>
    <w:rsid w:val="00A26DC7"/>
    <w:rsid w:val="00A26ED1"/>
    <w:rsid w:val="00A26EF8"/>
    <w:rsid w:val="00A2719F"/>
    <w:rsid w:val="00A271C3"/>
    <w:rsid w:val="00A271E6"/>
    <w:rsid w:val="00A272DA"/>
    <w:rsid w:val="00A27439"/>
    <w:rsid w:val="00A2752D"/>
    <w:rsid w:val="00A27553"/>
    <w:rsid w:val="00A2757E"/>
    <w:rsid w:val="00A2774E"/>
    <w:rsid w:val="00A2794D"/>
    <w:rsid w:val="00A27A11"/>
    <w:rsid w:val="00A27C1B"/>
    <w:rsid w:val="00A27CE5"/>
    <w:rsid w:val="00A27E83"/>
    <w:rsid w:val="00A27F6B"/>
    <w:rsid w:val="00A27F70"/>
    <w:rsid w:val="00A30098"/>
    <w:rsid w:val="00A30220"/>
    <w:rsid w:val="00A30408"/>
    <w:rsid w:val="00A30565"/>
    <w:rsid w:val="00A30684"/>
    <w:rsid w:val="00A30877"/>
    <w:rsid w:val="00A309AC"/>
    <w:rsid w:val="00A30A7D"/>
    <w:rsid w:val="00A30ACD"/>
    <w:rsid w:val="00A30B73"/>
    <w:rsid w:val="00A30BE9"/>
    <w:rsid w:val="00A30DC7"/>
    <w:rsid w:val="00A30E9A"/>
    <w:rsid w:val="00A30FE2"/>
    <w:rsid w:val="00A31064"/>
    <w:rsid w:val="00A31084"/>
    <w:rsid w:val="00A31096"/>
    <w:rsid w:val="00A310D0"/>
    <w:rsid w:val="00A31119"/>
    <w:rsid w:val="00A311F8"/>
    <w:rsid w:val="00A31305"/>
    <w:rsid w:val="00A31376"/>
    <w:rsid w:val="00A3174B"/>
    <w:rsid w:val="00A31829"/>
    <w:rsid w:val="00A31835"/>
    <w:rsid w:val="00A31AB3"/>
    <w:rsid w:val="00A31CD1"/>
    <w:rsid w:val="00A3234A"/>
    <w:rsid w:val="00A323BF"/>
    <w:rsid w:val="00A32432"/>
    <w:rsid w:val="00A324A7"/>
    <w:rsid w:val="00A3258E"/>
    <w:rsid w:val="00A325A8"/>
    <w:rsid w:val="00A32737"/>
    <w:rsid w:val="00A3274B"/>
    <w:rsid w:val="00A32B4C"/>
    <w:rsid w:val="00A32C56"/>
    <w:rsid w:val="00A32ED0"/>
    <w:rsid w:val="00A32F41"/>
    <w:rsid w:val="00A3300D"/>
    <w:rsid w:val="00A3306F"/>
    <w:rsid w:val="00A332E1"/>
    <w:rsid w:val="00A33459"/>
    <w:rsid w:val="00A334A1"/>
    <w:rsid w:val="00A334BD"/>
    <w:rsid w:val="00A335A3"/>
    <w:rsid w:val="00A335AE"/>
    <w:rsid w:val="00A335FC"/>
    <w:rsid w:val="00A33607"/>
    <w:rsid w:val="00A336CA"/>
    <w:rsid w:val="00A33727"/>
    <w:rsid w:val="00A33808"/>
    <w:rsid w:val="00A338D5"/>
    <w:rsid w:val="00A3393D"/>
    <w:rsid w:val="00A33ACB"/>
    <w:rsid w:val="00A33AFB"/>
    <w:rsid w:val="00A33D65"/>
    <w:rsid w:val="00A33DCC"/>
    <w:rsid w:val="00A340BF"/>
    <w:rsid w:val="00A34237"/>
    <w:rsid w:val="00A3425E"/>
    <w:rsid w:val="00A3429E"/>
    <w:rsid w:val="00A342C9"/>
    <w:rsid w:val="00A34422"/>
    <w:rsid w:val="00A345A8"/>
    <w:rsid w:val="00A345A9"/>
    <w:rsid w:val="00A346BF"/>
    <w:rsid w:val="00A346D7"/>
    <w:rsid w:val="00A347B7"/>
    <w:rsid w:val="00A3493D"/>
    <w:rsid w:val="00A34A08"/>
    <w:rsid w:val="00A34ACC"/>
    <w:rsid w:val="00A34B4D"/>
    <w:rsid w:val="00A34BA1"/>
    <w:rsid w:val="00A34BAB"/>
    <w:rsid w:val="00A34D8C"/>
    <w:rsid w:val="00A34DA3"/>
    <w:rsid w:val="00A34FFD"/>
    <w:rsid w:val="00A35147"/>
    <w:rsid w:val="00A351D8"/>
    <w:rsid w:val="00A3523C"/>
    <w:rsid w:val="00A352D6"/>
    <w:rsid w:val="00A35431"/>
    <w:rsid w:val="00A355BE"/>
    <w:rsid w:val="00A355EA"/>
    <w:rsid w:val="00A355F7"/>
    <w:rsid w:val="00A355FF"/>
    <w:rsid w:val="00A35611"/>
    <w:rsid w:val="00A356A6"/>
    <w:rsid w:val="00A3578D"/>
    <w:rsid w:val="00A357B9"/>
    <w:rsid w:val="00A357E8"/>
    <w:rsid w:val="00A35C04"/>
    <w:rsid w:val="00A35C5B"/>
    <w:rsid w:val="00A35D33"/>
    <w:rsid w:val="00A35D3D"/>
    <w:rsid w:val="00A35D8D"/>
    <w:rsid w:val="00A35E71"/>
    <w:rsid w:val="00A35EAC"/>
    <w:rsid w:val="00A35EF2"/>
    <w:rsid w:val="00A35F29"/>
    <w:rsid w:val="00A35F60"/>
    <w:rsid w:val="00A35FD6"/>
    <w:rsid w:val="00A360D0"/>
    <w:rsid w:val="00A360E2"/>
    <w:rsid w:val="00A36237"/>
    <w:rsid w:val="00A364C6"/>
    <w:rsid w:val="00A3656A"/>
    <w:rsid w:val="00A36888"/>
    <w:rsid w:val="00A369B1"/>
    <w:rsid w:val="00A36ABA"/>
    <w:rsid w:val="00A36B1E"/>
    <w:rsid w:val="00A36DA3"/>
    <w:rsid w:val="00A36DAE"/>
    <w:rsid w:val="00A36E18"/>
    <w:rsid w:val="00A36E1E"/>
    <w:rsid w:val="00A36E46"/>
    <w:rsid w:val="00A36E96"/>
    <w:rsid w:val="00A36F11"/>
    <w:rsid w:val="00A370C6"/>
    <w:rsid w:val="00A371EB"/>
    <w:rsid w:val="00A371ED"/>
    <w:rsid w:val="00A37250"/>
    <w:rsid w:val="00A37389"/>
    <w:rsid w:val="00A3741A"/>
    <w:rsid w:val="00A375DD"/>
    <w:rsid w:val="00A37638"/>
    <w:rsid w:val="00A37707"/>
    <w:rsid w:val="00A377F1"/>
    <w:rsid w:val="00A377F6"/>
    <w:rsid w:val="00A3785D"/>
    <w:rsid w:val="00A37A4D"/>
    <w:rsid w:val="00A37AC4"/>
    <w:rsid w:val="00A37BEF"/>
    <w:rsid w:val="00A37C2B"/>
    <w:rsid w:val="00A40060"/>
    <w:rsid w:val="00A4018D"/>
    <w:rsid w:val="00A403DF"/>
    <w:rsid w:val="00A4069C"/>
    <w:rsid w:val="00A4075F"/>
    <w:rsid w:val="00A40908"/>
    <w:rsid w:val="00A40B2C"/>
    <w:rsid w:val="00A40BA9"/>
    <w:rsid w:val="00A40C90"/>
    <w:rsid w:val="00A40E44"/>
    <w:rsid w:val="00A40E9B"/>
    <w:rsid w:val="00A41049"/>
    <w:rsid w:val="00A41412"/>
    <w:rsid w:val="00A41858"/>
    <w:rsid w:val="00A418BB"/>
    <w:rsid w:val="00A41917"/>
    <w:rsid w:val="00A419CB"/>
    <w:rsid w:val="00A419E8"/>
    <w:rsid w:val="00A41AA3"/>
    <w:rsid w:val="00A41C40"/>
    <w:rsid w:val="00A41CAA"/>
    <w:rsid w:val="00A41CF6"/>
    <w:rsid w:val="00A41F05"/>
    <w:rsid w:val="00A420C0"/>
    <w:rsid w:val="00A422AD"/>
    <w:rsid w:val="00A4239A"/>
    <w:rsid w:val="00A423B5"/>
    <w:rsid w:val="00A4285F"/>
    <w:rsid w:val="00A42BD5"/>
    <w:rsid w:val="00A42E43"/>
    <w:rsid w:val="00A42EDD"/>
    <w:rsid w:val="00A431A1"/>
    <w:rsid w:val="00A4335F"/>
    <w:rsid w:val="00A433E7"/>
    <w:rsid w:val="00A43414"/>
    <w:rsid w:val="00A434FB"/>
    <w:rsid w:val="00A43548"/>
    <w:rsid w:val="00A437DF"/>
    <w:rsid w:val="00A438D4"/>
    <w:rsid w:val="00A43956"/>
    <w:rsid w:val="00A43DC6"/>
    <w:rsid w:val="00A43DC8"/>
    <w:rsid w:val="00A43E2E"/>
    <w:rsid w:val="00A43E4E"/>
    <w:rsid w:val="00A43FB8"/>
    <w:rsid w:val="00A43FC9"/>
    <w:rsid w:val="00A4406D"/>
    <w:rsid w:val="00A440C6"/>
    <w:rsid w:val="00A442C9"/>
    <w:rsid w:val="00A442DE"/>
    <w:rsid w:val="00A44543"/>
    <w:rsid w:val="00A445C0"/>
    <w:rsid w:val="00A448C4"/>
    <w:rsid w:val="00A448E3"/>
    <w:rsid w:val="00A4498E"/>
    <w:rsid w:val="00A44A5D"/>
    <w:rsid w:val="00A44B02"/>
    <w:rsid w:val="00A44C2C"/>
    <w:rsid w:val="00A44CC9"/>
    <w:rsid w:val="00A44CD8"/>
    <w:rsid w:val="00A44E46"/>
    <w:rsid w:val="00A44E56"/>
    <w:rsid w:val="00A44EC3"/>
    <w:rsid w:val="00A44FE5"/>
    <w:rsid w:val="00A4505E"/>
    <w:rsid w:val="00A450EF"/>
    <w:rsid w:val="00A451D1"/>
    <w:rsid w:val="00A452B9"/>
    <w:rsid w:val="00A452EA"/>
    <w:rsid w:val="00A45340"/>
    <w:rsid w:val="00A4550E"/>
    <w:rsid w:val="00A455FB"/>
    <w:rsid w:val="00A456D4"/>
    <w:rsid w:val="00A45746"/>
    <w:rsid w:val="00A45755"/>
    <w:rsid w:val="00A45A8D"/>
    <w:rsid w:val="00A45AC5"/>
    <w:rsid w:val="00A45D75"/>
    <w:rsid w:val="00A45FFE"/>
    <w:rsid w:val="00A46067"/>
    <w:rsid w:val="00A4626F"/>
    <w:rsid w:val="00A462EE"/>
    <w:rsid w:val="00A4657D"/>
    <w:rsid w:val="00A4683F"/>
    <w:rsid w:val="00A46920"/>
    <w:rsid w:val="00A46942"/>
    <w:rsid w:val="00A4697F"/>
    <w:rsid w:val="00A46BEA"/>
    <w:rsid w:val="00A46D80"/>
    <w:rsid w:val="00A46E9C"/>
    <w:rsid w:val="00A46E9E"/>
    <w:rsid w:val="00A4766F"/>
    <w:rsid w:val="00A4776B"/>
    <w:rsid w:val="00A4787C"/>
    <w:rsid w:val="00A478D7"/>
    <w:rsid w:val="00A47961"/>
    <w:rsid w:val="00A47A74"/>
    <w:rsid w:val="00A47A81"/>
    <w:rsid w:val="00A47B52"/>
    <w:rsid w:val="00A47B72"/>
    <w:rsid w:val="00A47CD6"/>
    <w:rsid w:val="00A47CF6"/>
    <w:rsid w:val="00A47D37"/>
    <w:rsid w:val="00A47DA9"/>
    <w:rsid w:val="00A47E3E"/>
    <w:rsid w:val="00A47E74"/>
    <w:rsid w:val="00A47EF5"/>
    <w:rsid w:val="00A47FAB"/>
    <w:rsid w:val="00A500A5"/>
    <w:rsid w:val="00A50179"/>
    <w:rsid w:val="00A501FC"/>
    <w:rsid w:val="00A50285"/>
    <w:rsid w:val="00A505EB"/>
    <w:rsid w:val="00A50774"/>
    <w:rsid w:val="00A50995"/>
    <w:rsid w:val="00A50A12"/>
    <w:rsid w:val="00A50B55"/>
    <w:rsid w:val="00A50C47"/>
    <w:rsid w:val="00A50DB4"/>
    <w:rsid w:val="00A50EC4"/>
    <w:rsid w:val="00A50F2A"/>
    <w:rsid w:val="00A5126E"/>
    <w:rsid w:val="00A51332"/>
    <w:rsid w:val="00A51367"/>
    <w:rsid w:val="00A51557"/>
    <w:rsid w:val="00A515EF"/>
    <w:rsid w:val="00A51827"/>
    <w:rsid w:val="00A51881"/>
    <w:rsid w:val="00A519E3"/>
    <w:rsid w:val="00A51BDC"/>
    <w:rsid w:val="00A51C43"/>
    <w:rsid w:val="00A51D17"/>
    <w:rsid w:val="00A51D48"/>
    <w:rsid w:val="00A51DBC"/>
    <w:rsid w:val="00A51E7E"/>
    <w:rsid w:val="00A51FEE"/>
    <w:rsid w:val="00A520BE"/>
    <w:rsid w:val="00A520BF"/>
    <w:rsid w:val="00A52169"/>
    <w:rsid w:val="00A52192"/>
    <w:rsid w:val="00A524AF"/>
    <w:rsid w:val="00A5256A"/>
    <w:rsid w:val="00A526BE"/>
    <w:rsid w:val="00A52901"/>
    <w:rsid w:val="00A52AAF"/>
    <w:rsid w:val="00A52AD9"/>
    <w:rsid w:val="00A52F18"/>
    <w:rsid w:val="00A52F8C"/>
    <w:rsid w:val="00A534AB"/>
    <w:rsid w:val="00A534E6"/>
    <w:rsid w:val="00A535B2"/>
    <w:rsid w:val="00A5374D"/>
    <w:rsid w:val="00A538AD"/>
    <w:rsid w:val="00A538EE"/>
    <w:rsid w:val="00A5394A"/>
    <w:rsid w:val="00A53956"/>
    <w:rsid w:val="00A539D3"/>
    <w:rsid w:val="00A53FEB"/>
    <w:rsid w:val="00A5417D"/>
    <w:rsid w:val="00A541A2"/>
    <w:rsid w:val="00A541C6"/>
    <w:rsid w:val="00A54268"/>
    <w:rsid w:val="00A54309"/>
    <w:rsid w:val="00A54599"/>
    <w:rsid w:val="00A545A8"/>
    <w:rsid w:val="00A54661"/>
    <w:rsid w:val="00A546EF"/>
    <w:rsid w:val="00A54798"/>
    <w:rsid w:val="00A5483A"/>
    <w:rsid w:val="00A54870"/>
    <w:rsid w:val="00A54957"/>
    <w:rsid w:val="00A54A6A"/>
    <w:rsid w:val="00A54B97"/>
    <w:rsid w:val="00A54C8B"/>
    <w:rsid w:val="00A54CDD"/>
    <w:rsid w:val="00A54D1C"/>
    <w:rsid w:val="00A54D87"/>
    <w:rsid w:val="00A54F4C"/>
    <w:rsid w:val="00A54F96"/>
    <w:rsid w:val="00A55096"/>
    <w:rsid w:val="00A55104"/>
    <w:rsid w:val="00A55136"/>
    <w:rsid w:val="00A5524C"/>
    <w:rsid w:val="00A552A9"/>
    <w:rsid w:val="00A55466"/>
    <w:rsid w:val="00A5557D"/>
    <w:rsid w:val="00A55608"/>
    <w:rsid w:val="00A5567C"/>
    <w:rsid w:val="00A55A0C"/>
    <w:rsid w:val="00A55A17"/>
    <w:rsid w:val="00A55A6D"/>
    <w:rsid w:val="00A55E8A"/>
    <w:rsid w:val="00A55F73"/>
    <w:rsid w:val="00A562E5"/>
    <w:rsid w:val="00A56576"/>
    <w:rsid w:val="00A567FD"/>
    <w:rsid w:val="00A5684B"/>
    <w:rsid w:val="00A568A6"/>
    <w:rsid w:val="00A56A1E"/>
    <w:rsid w:val="00A56AF4"/>
    <w:rsid w:val="00A56E73"/>
    <w:rsid w:val="00A56F90"/>
    <w:rsid w:val="00A56FA7"/>
    <w:rsid w:val="00A5707C"/>
    <w:rsid w:val="00A570C5"/>
    <w:rsid w:val="00A5715A"/>
    <w:rsid w:val="00A5716A"/>
    <w:rsid w:val="00A571C1"/>
    <w:rsid w:val="00A57239"/>
    <w:rsid w:val="00A5723A"/>
    <w:rsid w:val="00A57497"/>
    <w:rsid w:val="00A57527"/>
    <w:rsid w:val="00A575DA"/>
    <w:rsid w:val="00A576B6"/>
    <w:rsid w:val="00A57B57"/>
    <w:rsid w:val="00A57D41"/>
    <w:rsid w:val="00A57D97"/>
    <w:rsid w:val="00A57E19"/>
    <w:rsid w:val="00A57FD3"/>
    <w:rsid w:val="00A60006"/>
    <w:rsid w:val="00A60028"/>
    <w:rsid w:val="00A60204"/>
    <w:rsid w:val="00A60277"/>
    <w:rsid w:val="00A60374"/>
    <w:rsid w:val="00A60A51"/>
    <w:rsid w:val="00A60B56"/>
    <w:rsid w:val="00A60B7B"/>
    <w:rsid w:val="00A60BB0"/>
    <w:rsid w:val="00A60CE6"/>
    <w:rsid w:val="00A60E5D"/>
    <w:rsid w:val="00A60FE7"/>
    <w:rsid w:val="00A61151"/>
    <w:rsid w:val="00A612FF"/>
    <w:rsid w:val="00A613C3"/>
    <w:rsid w:val="00A6145E"/>
    <w:rsid w:val="00A61577"/>
    <w:rsid w:val="00A615EC"/>
    <w:rsid w:val="00A61664"/>
    <w:rsid w:val="00A619B5"/>
    <w:rsid w:val="00A61A6E"/>
    <w:rsid w:val="00A61AB5"/>
    <w:rsid w:val="00A61ABD"/>
    <w:rsid w:val="00A61B1E"/>
    <w:rsid w:val="00A61BC0"/>
    <w:rsid w:val="00A61F18"/>
    <w:rsid w:val="00A61F83"/>
    <w:rsid w:val="00A61FEE"/>
    <w:rsid w:val="00A62024"/>
    <w:rsid w:val="00A62060"/>
    <w:rsid w:val="00A6219C"/>
    <w:rsid w:val="00A6231A"/>
    <w:rsid w:val="00A6236A"/>
    <w:rsid w:val="00A623C2"/>
    <w:rsid w:val="00A62481"/>
    <w:rsid w:val="00A6278C"/>
    <w:rsid w:val="00A629D5"/>
    <w:rsid w:val="00A62AAD"/>
    <w:rsid w:val="00A62AE9"/>
    <w:rsid w:val="00A62B64"/>
    <w:rsid w:val="00A6310E"/>
    <w:rsid w:val="00A63683"/>
    <w:rsid w:val="00A638C8"/>
    <w:rsid w:val="00A638EC"/>
    <w:rsid w:val="00A63941"/>
    <w:rsid w:val="00A63979"/>
    <w:rsid w:val="00A6397B"/>
    <w:rsid w:val="00A63A02"/>
    <w:rsid w:val="00A63A81"/>
    <w:rsid w:val="00A63CC7"/>
    <w:rsid w:val="00A63D8C"/>
    <w:rsid w:val="00A63DCF"/>
    <w:rsid w:val="00A63E60"/>
    <w:rsid w:val="00A63F55"/>
    <w:rsid w:val="00A64106"/>
    <w:rsid w:val="00A64249"/>
    <w:rsid w:val="00A64611"/>
    <w:rsid w:val="00A64630"/>
    <w:rsid w:val="00A6465E"/>
    <w:rsid w:val="00A6468F"/>
    <w:rsid w:val="00A646A0"/>
    <w:rsid w:val="00A64A5B"/>
    <w:rsid w:val="00A64B16"/>
    <w:rsid w:val="00A64B42"/>
    <w:rsid w:val="00A64B94"/>
    <w:rsid w:val="00A64C66"/>
    <w:rsid w:val="00A64D25"/>
    <w:rsid w:val="00A64DE6"/>
    <w:rsid w:val="00A64E6A"/>
    <w:rsid w:val="00A64F1D"/>
    <w:rsid w:val="00A64F81"/>
    <w:rsid w:val="00A6523A"/>
    <w:rsid w:val="00A6550B"/>
    <w:rsid w:val="00A655BD"/>
    <w:rsid w:val="00A65655"/>
    <w:rsid w:val="00A65756"/>
    <w:rsid w:val="00A65845"/>
    <w:rsid w:val="00A659B3"/>
    <w:rsid w:val="00A65B3B"/>
    <w:rsid w:val="00A65BFF"/>
    <w:rsid w:val="00A65C0C"/>
    <w:rsid w:val="00A65D55"/>
    <w:rsid w:val="00A65DFA"/>
    <w:rsid w:val="00A65F0F"/>
    <w:rsid w:val="00A65FFF"/>
    <w:rsid w:val="00A6618D"/>
    <w:rsid w:val="00A663D9"/>
    <w:rsid w:val="00A663F4"/>
    <w:rsid w:val="00A6651F"/>
    <w:rsid w:val="00A66588"/>
    <w:rsid w:val="00A66996"/>
    <w:rsid w:val="00A66AB5"/>
    <w:rsid w:val="00A66F3A"/>
    <w:rsid w:val="00A67016"/>
    <w:rsid w:val="00A671D9"/>
    <w:rsid w:val="00A6735D"/>
    <w:rsid w:val="00A675A5"/>
    <w:rsid w:val="00A6765A"/>
    <w:rsid w:val="00A67667"/>
    <w:rsid w:val="00A6767A"/>
    <w:rsid w:val="00A6781E"/>
    <w:rsid w:val="00A6796B"/>
    <w:rsid w:val="00A67A1B"/>
    <w:rsid w:val="00A67A64"/>
    <w:rsid w:val="00A67A9F"/>
    <w:rsid w:val="00A67CCB"/>
    <w:rsid w:val="00A70080"/>
    <w:rsid w:val="00A70100"/>
    <w:rsid w:val="00A701B4"/>
    <w:rsid w:val="00A701FC"/>
    <w:rsid w:val="00A70220"/>
    <w:rsid w:val="00A702CA"/>
    <w:rsid w:val="00A70426"/>
    <w:rsid w:val="00A70876"/>
    <w:rsid w:val="00A7087C"/>
    <w:rsid w:val="00A708ED"/>
    <w:rsid w:val="00A7095F"/>
    <w:rsid w:val="00A70B81"/>
    <w:rsid w:val="00A70BED"/>
    <w:rsid w:val="00A70DBA"/>
    <w:rsid w:val="00A7132F"/>
    <w:rsid w:val="00A7138B"/>
    <w:rsid w:val="00A713F4"/>
    <w:rsid w:val="00A71431"/>
    <w:rsid w:val="00A717A3"/>
    <w:rsid w:val="00A71832"/>
    <w:rsid w:val="00A7186E"/>
    <w:rsid w:val="00A718BF"/>
    <w:rsid w:val="00A71975"/>
    <w:rsid w:val="00A71A4B"/>
    <w:rsid w:val="00A71A8A"/>
    <w:rsid w:val="00A71AFD"/>
    <w:rsid w:val="00A71C90"/>
    <w:rsid w:val="00A71E6C"/>
    <w:rsid w:val="00A71EC3"/>
    <w:rsid w:val="00A71F71"/>
    <w:rsid w:val="00A71FCE"/>
    <w:rsid w:val="00A724B0"/>
    <w:rsid w:val="00A72546"/>
    <w:rsid w:val="00A72616"/>
    <w:rsid w:val="00A7268E"/>
    <w:rsid w:val="00A727D9"/>
    <w:rsid w:val="00A729EE"/>
    <w:rsid w:val="00A72A56"/>
    <w:rsid w:val="00A72AE0"/>
    <w:rsid w:val="00A72B2D"/>
    <w:rsid w:val="00A72B32"/>
    <w:rsid w:val="00A72B70"/>
    <w:rsid w:val="00A72CB2"/>
    <w:rsid w:val="00A72D4B"/>
    <w:rsid w:val="00A72D4D"/>
    <w:rsid w:val="00A72E12"/>
    <w:rsid w:val="00A72F0E"/>
    <w:rsid w:val="00A72F28"/>
    <w:rsid w:val="00A72F3D"/>
    <w:rsid w:val="00A72FCF"/>
    <w:rsid w:val="00A73033"/>
    <w:rsid w:val="00A731FC"/>
    <w:rsid w:val="00A73343"/>
    <w:rsid w:val="00A733A2"/>
    <w:rsid w:val="00A7351A"/>
    <w:rsid w:val="00A736E8"/>
    <w:rsid w:val="00A736F3"/>
    <w:rsid w:val="00A73768"/>
    <w:rsid w:val="00A73B89"/>
    <w:rsid w:val="00A73B91"/>
    <w:rsid w:val="00A73C71"/>
    <w:rsid w:val="00A73F88"/>
    <w:rsid w:val="00A740E3"/>
    <w:rsid w:val="00A7412B"/>
    <w:rsid w:val="00A741BD"/>
    <w:rsid w:val="00A74232"/>
    <w:rsid w:val="00A74236"/>
    <w:rsid w:val="00A74265"/>
    <w:rsid w:val="00A7439D"/>
    <w:rsid w:val="00A7443A"/>
    <w:rsid w:val="00A744DA"/>
    <w:rsid w:val="00A7478B"/>
    <w:rsid w:val="00A749B2"/>
    <w:rsid w:val="00A74B4E"/>
    <w:rsid w:val="00A74CC2"/>
    <w:rsid w:val="00A74D2E"/>
    <w:rsid w:val="00A7500A"/>
    <w:rsid w:val="00A751CE"/>
    <w:rsid w:val="00A75583"/>
    <w:rsid w:val="00A756CF"/>
    <w:rsid w:val="00A756FF"/>
    <w:rsid w:val="00A758C8"/>
    <w:rsid w:val="00A7596E"/>
    <w:rsid w:val="00A75A17"/>
    <w:rsid w:val="00A75B63"/>
    <w:rsid w:val="00A75B69"/>
    <w:rsid w:val="00A75C8A"/>
    <w:rsid w:val="00A75CE1"/>
    <w:rsid w:val="00A75D3F"/>
    <w:rsid w:val="00A760C1"/>
    <w:rsid w:val="00A7611E"/>
    <w:rsid w:val="00A761D6"/>
    <w:rsid w:val="00A761FF"/>
    <w:rsid w:val="00A7629B"/>
    <w:rsid w:val="00A7633F"/>
    <w:rsid w:val="00A76348"/>
    <w:rsid w:val="00A764E3"/>
    <w:rsid w:val="00A76692"/>
    <w:rsid w:val="00A7675C"/>
    <w:rsid w:val="00A76843"/>
    <w:rsid w:val="00A769E0"/>
    <w:rsid w:val="00A76BC4"/>
    <w:rsid w:val="00A76C3C"/>
    <w:rsid w:val="00A76C65"/>
    <w:rsid w:val="00A76CE6"/>
    <w:rsid w:val="00A76D04"/>
    <w:rsid w:val="00A76D4F"/>
    <w:rsid w:val="00A76DEA"/>
    <w:rsid w:val="00A77053"/>
    <w:rsid w:val="00A770B0"/>
    <w:rsid w:val="00A7715B"/>
    <w:rsid w:val="00A77254"/>
    <w:rsid w:val="00A77261"/>
    <w:rsid w:val="00A77263"/>
    <w:rsid w:val="00A7770E"/>
    <w:rsid w:val="00A777ED"/>
    <w:rsid w:val="00A77835"/>
    <w:rsid w:val="00A77935"/>
    <w:rsid w:val="00A7793B"/>
    <w:rsid w:val="00A77C5B"/>
    <w:rsid w:val="00A77D45"/>
    <w:rsid w:val="00A77DD7"/>
    <w:rsid w:val="00A77F15"/>
    <w:rsid w:val="00A80072"/>
    <w:rsid w:val="00A8012C"/>
    <w:rsid w:val="00A801FE"/>
    <w:rsid w:val="00A80239"/>
    <w:rsid w:val="00A8025B"/>
    <w:rsid w:val="00A80391"/>
    <w:rsid w:val="00A80476"/>
    <w:rsid w:val="00A8071A"/>
    <w:rsid w:val="00A8076B"/>
    <w:rsid w:val="00A808F0"/>
    <w:rsid w:val="00A8096D"/>
    <w:rsid w:val="00A80AA7"/>
    <w:rsid w:val="00A80B7B"/>
    <w:rsid w:val="00A80BD6"/>
    <w:rsid w:val="00A80E7B"/>
    <w:rsid w:val="00A8102F"/>
    <w:rsid w:val="00A811AB"/>
    <w:rsid w:val="00A812DD"/>
    <w:rsid w:val="00A813E8"/>
    <w:rsid w:val="00A81541"/>
    <w:rsid w:val="00A81578"/>
    <w:rsid w:val="00A81687"/>
    <w:rsid w:val="00A816FC"/>
    <w:rsid w:val="00A81974"/>
    <w:rsid w:val="00A819CD"/>
    <w:rsid w:val="00A81B3A"/>
    <w:rsid w:val="00A81D42"/>
    <w:rsid w:val="00A81E29"/>
    <w:rsid w:val="00A81E8B"/>
    <w:rsid w:val="00A81F0A"/>
    <w:rsid w:val="00A81F0E"/>
    <w:rsid w:val="00A82159"/>
    <w:rsid w:val="00A821F0"/>
    <w:rsid w:val="00A8233E"/>
    <w:rsid w:val="00A82418"/>
    <w:rsid w:val="00A82429"/>
    <w:rsid w:val="00A82627"/>
    <w:rsid w:val="00A82722"/>
    <w:rsid w:val="00A827E7"/>
    <w:rsid w:val="00A82819"/>
    <w:rsid w:val="00A82861"/>
    <w:rsid w:val="00A828F3"/>
    <w:rsid w:val="00A82927"/>
    <w:rsid w:val="00A82A41"/>
    <w:rsid w:val="00A82A69"/>
    <w:rsid w:val="00A82B5E"/>
    <w:rsid w:val="00A82DED"/>
    <w:rsid w:val="00A82EF9"/>
    <w:rsid w:val="00A8304C"/>
    <w:rsid w:val="00A83163"/>
    <w:rsid w:val="00A831D5"/>
    <w:rsid w:val="00A83263"/>
    <w:rsid w:val="00A8328E"/>
    <w:rsid w:val="00A8332D"/>
    <w:rsid w:val="00A833AA"/>
    <w:rsid w:val="00A8342E"/>
    <w:rsid w:val="00A835D2"/>
    <w:rsid w:val="00A836DF"/>
    <w:rsid w:val="00A8372E"/>
    <w:rsid w:val="00A83819"/>
    <w:rsid w:val="00A83AE2"/>
    <w:rsid w:val="00A83C8D"/>
    <w:rsid w:val="00A83C8E"/>
    <w:rsid w:val="00A83C9A"/>
    <w:rsid w:val="00A83D36"/>
    <w:rsid w:val="00A83DAD"/>
    <w:rsid w:val="00A83EAA"/>
    <w:rsid w:val="00A842EB"/>
    <w:rsid w:val="00A84306"/>
    <w:rsid w:val="00A845E0"/>
    <w:rsid w:val="00A8492D"/>
    <w:rsid w:val="00A84B2C"/>
    <w:rsid w:val="00A84BE9"/>
    <w:rsid w:val="00A84C0C"/>
    <w:rsid w:val="00A84C33"/>
    <w:rsid w:val="00A84D1B"/>
    <w:rsid w:val="00A84E0D"/>
    <w:rsid w:val="00A84E25"/>
    <w:rsid w:val="00A84F1C"/>
    <w:rsid w:val="00A85001"/>
    <w:rsid w:val="00A85068"/>
    <w:rsid w:val="00A85203"/>
    <w:rsid w:val="00A8536C"/>
    <w:rsid w:val="00A8549E"/>
    <w:rsid w:val="00A854AF"/>
    <w:rsid w:val="00A8564C"/>
    <w:rsid w:val="00A856E6"/>
    <w:rsid w:val="00A8578F"/>
    <w:rsid w:val="00A857EC"/>
    <w:rsid w:val="00A859AF"/>
    <w:rsid w:val="00A85B1A"/>
    <w:rsid w:val="00A85CE2"/>
    <w:rsid w:val="00A85D1E"/>
    <w:rsid w:val="00A85D21"/>
    <w:rsid w:val="00A85DD5"/>
    <w:rsid w:val="00A85E8C"/>
    <w:rsid w:val="00A85EC7"/>
    <w:rsid w:val="00A85F08"/>
    <w:rsid w:val="00A85FF7"/>
    <w:rsid w:val="00A860D6"/>
    <w:rsid w:val="00A86109"/>
    <w:rsid w:val="00A861B6"/>
    <w:rsid w:val="00A86216"/>
    <w:rsid w:val="00A86454"/>
    <w:rsid w:val="00A864A5"/>
    <w:rsid w:val="00A866F2"/>
    <w:rsid w:val="00A868E4"/>
    <w:rsid w:val="00A868FC"/>
    <w:rsid w:val="00A86959"/>
    <w:rsid w:val="00A86A1F"/>
    <w:rsid w:val="00A86C41"/>
    <w:rsid w:val="00A871C6"/>
    <w:rsid w:val="00A873CF"/>
    <w:rsid w:val="00A87401"/>
    <w:rsid w:val="00A8752B"/>
    <w:rsid w:val="00A8762C"/>
    <w:rsid w:val="00A876BE"/>
    <w:rsid w:val="00A87892"/>
    <w:rsid w:val="00A87923"/>
    <w:rsid w:val="00A879D2"/>
    <w:rsid w:val="00A87A1B"/>
    <w:rsid w:val="00A87EE0"/>
    <w:rsid w:val="00A87EFD"/>
    <w:rsid w:val="00A902B8"/>
    <w:rsid w:val="00A9088C"/>
    <w:rsid w:val="00A908CD"/>
    <w:rsid w:val="00A90A55"/>
    <w:rsid w:val="00A90AE8"/>
    <w:rsid w:val="00A90BD7"/>
    <w:rsid w:val="00A90CA3"/>
    <w:rsid w:val="00A90E74"/>
    <w:rsid w:val="00A90F2B"/>
    <w:rsid w:val="00A90FB4"/>
    <w:rsid w:val="00A91129"/>
    <w:rsid w:val="00A91198"/>
    <w:rsid w:val="00A91279"/>
    <w:rsid w:val="00A91493"/>
    <w:rsid w:val="00A914AF"/>
    <w:rsid w:val="00A916D0"/>
    <w:rsid w:val="00A916D8"/>
    <w:rsid w:val="00A91752"/>
    <w:rsid w:val="00A918BA"/>
    <w:rsid w:val="00A919E2"/>
    <w:rsid w:val="00A91AA9"/>
    <w:rsid w:val="00A91B9E"/>
    <w:rsid w:val="00A91BCB"/>
    <w:rsid w:val="00A91C0B"/>
    <w:rsid w:val="00A91C8E"/>
    <w:rsid w:val="00A91CCA"/>
    <w:rsid w:val="00A91E1F"/>
    <w:rsid w:val="00A92000"/>
    <w:rsid w:val="00A92109"/>
    <w:rsid w:val="00A923D1"/>
    <w:rsid w:val="00A9253C"/>
    <w:rsid w:val="00A925AA"/>
    <w:rsid w:val="00A925D4"/>
    <w:rsid w:val="00A9284D"/>
    <w:rsid w:val="00A928F3"/>
    <w:rsid w:val="00A9294E"/>
    <w:rsid w:val="00A929B3"/>
    <w:rsid w:val="00A92A59"/>
    <w:rsid w:val="00A92AF6"/>
    <w:rsid w:val="00A92CDE"/>
    <w:rsid w:val="00A92F10"/>
    <w:rsid w:val="00A93060"/>
    <w:rsid w:val="00A9330D"/>
    <w:rsid w:val="00A933C1"/>
    <w:rsid w:val="00A934B5"/>
    <w:rsid w:val="00A9358A"/>
    <w:rsid w:val="00A93617"/>
    <w:rsid w:val="00A9373F"/>
    <w:rsid w:val="00A939B7"/>
    <w:rsid w:val="00A93B5E"/>
    <w:rsid w:val="00A93C37"/>
    <w:rsid w:val="00A93F99"/>
    <w:rsid w:val="00A94080"/>
    <w:rsid w:val="00A940FD"/>
    <w:rsid w:val="00A94264"/>
    <w:rsid w:val="00A9426F"/>
    <w:rsid w:val="00A94448"/>
    <w:rsid w:val="00A944D8"/>
    <w:rsid w:val="00A946AE"/>
    <w:rsid w:val="00A94851"/>
    <w:rsid w:val="00A94858"/>
    <w:rsid w:val="00A94A3B"/>
    <w:rsid w:val="00A94B37"/>
    <w:rsid w:val="00A94B9E"/>
    <w:rsid w:val="00A94C90"/>
    <w:rsid w:val="00A94E1C"/>
    <w:rsid w:val="00A94E63"/>
    <w:rsid w:val="00A94EE0"/>
    <w:rsid w:val="00A952F1"/>
    <w:rsid w:val="00A953B6"/>
    <w:rsid w:val="00A95448"/>
    <w:rsid w:val="00A9546D"/>
    <w:rsid w:val="00A954C4"/>
    <w:rsid w:val="00A954E7"/>
    <w:rsid w:val="00A9552D"/>
    <w:rsid w:val="00A9556A"/>
    <w:rsid w:val="00A955EF"/>
    <w:rsid w:val="00A9562D"/>
    <w:rsid w:val="00A95659"/>
    <w:rsid w:val="00A9574E"/>
    <w:rsid w:val="00A959C6"/>
    <w:rsid w:val="00A95A5F"/>
    <w:rsid w:val="00A95DF5"/>
    <w:rsid w:val="00A95E47"/>
    <w:rsid w:val="00A95E5B"/>
    <w:rsid w:val="00A95F70"/>
    <w:rsid w:val="00A95F9C"/>
    <w:rsid w:val="00A96021"/>
    <w:rsid w:val="00A9612F"/>
    <w:rsid w:val="00A96160"/>
    <w:rsid w:val="00A96211"/>
    <w:rsid w:val="00A96320"/>
    <w:rsid w:val="00A965EA"/>
    <w:rsid w:val="00A96671"/>
    <w:rsid w:val="00A968C4"/>
    <w:rsid w:val="00A9691C"/>
    <w:rsid w:val="00A96A8B"/>
    <w:rsid w:val="00A96EA6"/>
    <w:rsid w:val="00A96EE5"/>
    <w:rsid w:val="00A96F57"/>
    <w:rsid w:val="00A971CB"/>
    <w:rsid w:val="00A97264"/>
    <w:rsid w:val="00A9738B"/>
    <w:rsid w:val="00A97518"/>
    <w:rsid w:val="00A976EE"/>
    <w:rsid w:val="00A9777F"/>
    <w:rsid w:val="00A97AC2"/>
    <w:rsid w:val="00A97ADA"/>
    <w:rsid w:val="00A97D05"/>
    <w:rsid w:val="00A97D5F"/>
    <w:rsid w:val="00A97DD2"/>
    <w:rsid w:val="00A97E43"/>
    <w:rsid w:val="00A97E5E"/>
    <w:rsid w:val="00A97E9B"/>
    <w:rsid w:val="00AA00B5"/>
    <w:rsid w:val="00AA031E"/>
    <w:rsid w:val="00AA04AD"/>
    <w:rsid w:val="00AA04C0"/>
    <w:rsid w:val="00AA05B5"/>
    <w:rsid w:val="00AA06F2"/>
    <w:rsid w:val="00AA07CA"/>
    <w:rsid w:val="00AA0817"/>
    <w:rsid w:val="00AA0B2A"/>
    <w:rsid w:val="00AA0D8D"/>
    <w:rsid w:val="00AA0EFB"/>
    <w:rsid w:val="00AA0F07"/>
    <w:rsid w:val="00AA0FC5"/>
    <w:rsid w:val="00AA0FD0"/>
    <w:rsid w:val="00AA0FF1"/>
    <w:rsid w:val="00AA1285"/>
    <w:rsid w:val="00AA139B"/>
    <w:rsid w:val="00AA1661"/>
    <w:rsid w:val="00AA1711"/>
    <w:rsid w:val="00AA17EE"/>
    <w:rsid w:val="00AA181D"/>
    <w:rsid w:val="00AA18A3"/>
    <w:rsid w:val="00AA1C55"/>
    <w:rsid w:val="00AA1E00"/>
    <w:rsid w:val="00AA1EC5"/>
    <w:rsid w:val="00AA1ECB"/>
    <w:rsid w:val="00AA1F73"/>
    <w:rsid w:val="00AA20E4"/>
    <w:rsid w:val="00AA222E"/>
    <w:rsid w:val="00AA29C5"/>
    <w:rsid w:val="00AA2DAC"/>
    <w:rsid w:val="00AA2DC3"/>
    <w:rsid w:val="00AA317C"/>
    <w:rsid w:val="00AA31D1"/>
    <w:rsid w:val="00AA33BB"/>
    <w:rsid w:val="00AA33FC"/>
    <w:rsid w:val="00AA34CD"/>
    <w:rsid w:val="00AA35E3"/>
    <w:rsid w:val="00AA38DA"/>
    <w:rsid w:val="00AA3970"/>
    <w:rsid w:val="00AA39EB"/>
    <w:rsid w:val="00AA3AD9"/>
    <w:rsid w:val="00AA3B5E"/>
    <w:rsid w:val="00AA3C06"/>
    <w:rsid w:val="00AA3D20"/>
    <w:rsid w:val="00AA3F18"/>
    <w:rsid w:val="00AA3F22"/>
    <w:rsid w:val="00AA3F2B"/>
    <w:rsid w:val="00AA413C"/>
    <w:rsid w:val="00AA4290"/>
    <w:rsid w:val="00AA42CF"/>
    <w:rsid w:val="00AA4332"/>
    <w:rsid w:val="00AA434B"/>
    <w:rsid w:val="00AA460E"/>
    <w:rsid w:val="00AA46BF"/>
    <w:rsid w:val="00AA46EE"/>
    <w:rsid w:val="00AA48B2"/>
    <w:rsid w:val="00AA493E"/>
    <w:rsid w:val="00AA49C8"/>
    <w:rsid w:val="00AA4A1C"/>
    <w:rsid w:val="00AA4ABD"/>
    <w:rsid w:val="00AA4BB0"/>
    <w:rsid w:val="00AA4BBB"/>
    <w:rsid w:val="00AA4CE7"/>
    <w:rsid w:val="00AA4D68"/>
    <w:rsid w:val="00AA4E3C"/>
    <w:rsid w:val="00AA4E65"/>
    <w:rsid w:val="00AA5066"/>
    <w:rsid w:val="00AA51A6"/>
    <w:rsid w:val="00AA51E2"/>
    <w:rsid w:val="00AA52B4"/>
    <w:rsid w:val="00AA532D"/>
    <w:rsid w:val="00AA544D"/>
    <w:rsid w:val="00AA56D7"/>
    <w:rsid w:val="00AA5754"/>
    <w:rsid w:val="00AA57A0"/>
    <w:rsid w:val="00AA5AEF"/>
    <w:rsid w:val="00AA5C97"/>
    <w:rsid w:val="00AA5D28"/>
    <w:rsid w:val="00AA5DBF"/>
    <w:rsid w:val="00AA5DFB"/>
    <w:rsid w:val="00AA603C"/>
    <w:rsid w:val="00AA64E9"/>
    <w:rsid w:val="00AA6558"/>
    <w:rsid w:val="00AA6667"/>
    <w:rsid w:val="00AA675C"/>
    <w:rsid w:val="00AA6989"/>
    <w:rsid w:val="00AA6A8D"/>
    <w:rsid w:val="00AA6B52"/>
    <w:rsid w:val="00AA6CDC"/>
    <w:rsid w:val="00AA6E1F"/>
    <w:rsid w:val="00AA6FEF"/>
    <w:rsid w:val="00AA738A"/>
    <w:rsid w:val="00AA7499"/>
    <w:rsid w:val="00AA7511"/>
    <w:rsid w:val="00AA7669"/>
    <w:rsid w:val="00AA766B"/>
    <w:rsid w:val="00AA7796"/>
    <w:rsid w:val="00AA77D0"/>
    <w:rsid w:val="00AA7971"/>
    <w:rsid w:val="00AA7A70"/>
    <w:rsid w:val="00AA7B19"/>
    <w:rsid w:val="00AA7CC0"/>
    <w:rsid w:val="00AA7D89"/>
    <w:rsid w:val="00AA7DBA"/>
    <w:rsid w:val="00AA7E4C"/>
    <w:rsid w:val="00AA7F9B"/>
    <w:rsid w:val="00AB0022"/>
    <w:rsid w:val="00AB018C"/>
    <w:rsid w:val="00AB01A7"/>
    <w:rsid w:val="00AB0284"/>
    <w:rsid w:val="00AB0361"/>
    <w:rsid w:val="00AB047D"/>
    <w:rsid w:val="00AB0542"/>
    <w:rsid w:val="00AB0749"/>
    <w:rsid w:val="00AB088C"/>
    <w:rsid w:val="00AB08A7"/>
    <w:rsid w:val="00AB0931"/>
    <w:rsid w:val="00AB0AB7"/>
    <w:rsid w:val="00AB0BFE"/>
    <w:rsid w:val="00AB0C31"/>
    <w:rsid w:val="00AB0DA6"/>
    <w:rsid w:val="00AB1184"/>
    <w:rsid w:val="00AB13C2"/>
    <w:rsid w:val="00AB1444"/>
    <w:rsid w:val="00AB16E3"/>
    <w:rsid w:val="00AB16F6"/>
    <w:rsid w:val="00AB1715"/>
    <w:rsid w:val="00AB18F4"/>
    <w:rsid w:val="00AB1989"/>
    <w:rsid w:val="00AB19A8"/>
    <w:rsid w:val="00AB1B47"/>
    <w:rsid w:val="00AB1C34"/>
    <w:rsid w:val="00AB2098"/>
    <w:rsid w:val="00AB215E"/>
    <w:rsid w:val="00AB2160"/>
    <w:rsid w:val="00AB2259"/>
    <w:rsid w:val="00AB24D1"/>
    <w:rsid w:val="00AB25BC"/>
    <w:rsid w:val="00AB2858"/>
    <w:rsid w:val="00AB2936"/>
    <w:rsid w:val="00AB2938"/>
    <w:rsid w:val="00AB2A07"/>
    <w:rsid w:val="00AB2A5F"/>
    <w:rsid w:val="00AB2B2D"/>
    <w:rsid w:val="00AB2BDD"/>
    <w:rsid w:val="00AB2D16"/>
    <w:rsid w:val="00AB2D57"/>
    <w:rsid w:val="00AB2F7E"/>
    <w:rsid w:val="00AB3302"/>
    <w:rsid w:val="00AB33A7"/>
    <w:rsid w:val="00AB3625"/>
    <w:rsid w:val="00AB36E6"/>
    <w:rsid w:val="00AB3714"/>
    <w:rsid w:val="00AB371E"/>
    <w:rsid w:val="00AB39EE"/>
    <w:rsid w:val="00AB3C25"/>
    <w:rsid w:val="00AB3CE4"/>
    <w:rsid w:val="00AB3DC4"/>
    <w:rsid w:val="00AB3E80"/>
    <w:rsid w:val="00AB3F78"/>
    <w:rsid w:val="00AB3F81"/>
    <w:rsid w:val="00AB3FB8"/>
    <w:rsid w:val="00AB4086"/>
    <w:rsid w:val="00AB4255"/>
    <w:rsid w:val="00AB4275"/>
    <w:rsid w:val="00AB4453"/>
    <w:rsid w:val="00AB44A1"/>
    <w:rsid w:val="00AB44AF"/>
    <w:rsid w:val="00AB4672"/>
    <w:rsid w:val="00AB4938"/>
    <w:rsid w:val="00AB49E8"/>
    <w:rsid w:val="00AB4A92"/>
    <w:rsid w:val="00AB4D17"/>
    <w:rsid w:val="00AB4E87"/>
    <w:rsid w:val="00AB4FD0"/>
    <w:rsid w:val="00AB50B3"/>
    <w:rsid w:val="00AB50EF"/>
    <w:rsid w:val="00AB518D"/>
    <w:rsid w:val="00AB52B9"/>
    <w:rsid w:val="00AB5332"/>
    <w:rsid w:val="00AB533A"/>
    <w:rsid w:val="00AB5414"/>
    <w:rsid w:val="00AB5569"/>
    <w:rsid w:val="00AB5A2E"/>
    <w:rsid w:val="00AB5D45"/>
    <w:rsid w:val="00AB5DBF"/>
    <w:rsid w:val="00AB5DC9"/>
    <w:rsid w:val="00AB5EB8"/>
    <w:rsid w:val="00AB5EDE"/>
    <w:rsid w:val="00AB5F8D"/>
    <w:rsid w:val="00AB5FF4"/>
    <w:rsid w:val="00AB6106"/>
    <w:rsid w:val="00AB639D"/>
    <w:rsid w:val="00AB63D7"/>
    <w:rsid w:val="00AB644F"/>
    <w:rsid w:val="00AB6543"/>
    <w:rsid w:val="00AB654A"/>
    <w:rsid w:val="00AB65C4"/>
    <w:rsid w:val="00AB67B6"/>
    <w:rsid w:val="00AB67D9"/>
    <w:rsid w:val="00AB67DA"/>
    <w:rsid w:val="00AB67DE"/>
    <w:rsid w:val="00AB68D5"/>
    <w:rsid w:val="00AB696F"/>
    <w:rsid w:val="00AB6A65"/>
    <w:rsid w:val="00AB6B80"/>
    <w:rsid w:val="00AB6CC0"/>
    <w:rsid w:val="00AB6F23"/>
    <w:rsid w:val="00AB7656"/>
    <w:rsid w:val="00AB7741"/>
    <w:rsid w:val="00AB786D"/>
    <w:rsid w:val="00AB7870"/>
    <w:rsid w:val="00AB7B7A"/>
    <w:rsid w:val="00AB7BD6"/>
    <w:rsid w:val="00AB7D01"/>
    <w:rsid w:val="00AB7D33"/>
    <w:rsid w:val="00AB7DDA"/>
    <w:rsid w:val="00AB7F47"/>
    <w:rsid w:val="00ABC900"/>
    <w:rsid w:val="00AC0021"/>
    <w:rsid w:val="00AC008B"/>
    <w:rsid w:val="00AC02C5"/>
    <w:rsid w:val="00AC03E0"/>
    <w:rsid w:val="00AC067F"/>
    <w:rsid w:val="00AC078D"/>
    <w:rsid w:val="00AC08B0"/>
    <w:rsid w:val="00AC08CF"/>
    <w:rsid w:val="00AC098E"/>
    <w:rsid w:val="00AC0C04"/>
    <w:rsid w:val="00AC0E31"/>
    <w:rsid w:val="00AC10A8"/>
    <w:rsid w:val="00AC11D5"/>
    <w:rsid w:val="00AC1260"/>
    <w:rsid w:val="00AC12C9"/>
    <w:rsid w:val="00AC15F0"/>
    <w:rsid w:val="00AC1761"/>
    <w:rsid w:val="00AC180D"/>
    <w:rsid w:val="00AC1866"/>
    <w:rsid w:val="00AC1AFC"/>
    <w:rsid w:val="00AC1DDF"/>
    <w:rsid w:val="00AC1EDB"/>
    <w:rsid w:val="00AC1EEB"/>
    <w:rsid w:val="00AC2198"/>
    <w:rsid w:val="00AC22AD"/>
    <w:rsid w:val="00AC2379"/>
    <w:rsid w:val="00AC2430"/>
    <w:rsid w:val="00AC251F"/>
    <w:rsid w:val="00AC2727"/>
    <w:rsid w:val="00AC2743"/>
    <w:rsid w:val="00AC2777"/>
    <w:rsid w:val="00AC28DB"/>
    <w:rsid w:val="00AC28FE"/>
    <w:rsid w:val="00AC2948"/>
    <w:rsid w:val="00AC2B57"/>
    <w:rsid w:val="00AC2B5C"/>
    <w:rsid w:val="00AC2C21"/>
    <w:rsid w:val="00AC2C2E"/>
    <w:rsid w:val="00AC2CF0"/>
    <w:rsid w:val="00AC2D49"/>
    <w:rsid w:val="00AC2D78"/>
    <w:rsid w:val="00AC2EE7"/>
    <w:rsid w:val="00AC2F46"/>
    <w:rsid w:val="00AC2F52"/>
    <w:rsid w:val="00AC3127"/>
    <w:rsid w:val="00AC31C0"/>
    <w:rsid w:val="00AC3257"/>
    <w:rsid w:val="00AC32A2"/>
    <w:rsid w:val="00AC3362"/>
    <w:rsid w:val="00AC36DB"/>
    <w:rsid w:val="00AC38FE"/>
    <w:rsid w:val="00AC3A4F"/>
    <w:rsid w:val="00AC3C10"/>
    <w:rsid w:val="00AC3E25"/>
    <w:rsid w:val="00AC3F1B"/>
    <w:rsid w:val="00AC4042"/>
    <w:rsid w:val="00AC4062"/>
    <w:rsid w:val="00AC406B"/>
    <w:rsid w:val="00AC410F"/>
    <w:rsid w:val="00AC413A"/>
    <w:rsid w:val="00AC413C"/>
    <w:rsid w:val="00AC42A6"/>
    <w:rsid w:val="00AC42F8"/>
    <w:rsid w:val="00AC4350"/>
    <w:rsid w:val="00AC4373"/>
    <w:rsid w:val="00AC45B4"/>
    <w:rsid w:val="00AC464F"/>
    <w:rsid w:val="00AC475A"/>
    <w:rsid w:val="00AC47F4"/>
    <w:rsid w:val="00AC48E6"/>
    <w:rsid w:val="00AC4998"/>
    <w:rsid w:val="00AC4A10"/>
    <w:rsid w:val="00AC4B8D"/>
    <w:rsid w:val="00AC4F2C"/>
    <w:rsid w:val="00AC515D"/>
    <w:rsid w:val="00AC5229"/>
    <w:rsid w:val="00AC553F"/>
    <w:rsid w:val="00AC5ABB"/>
    <w:rsid w:val="00AC5DDE"/>
    <w:rsid w:val="00AC5EA0"/>
    <w:rsid w:val="00AC5EA7"/>
    <w:rsid w:val="00AC61AE"/>
    <w:rsid w:val="00AC61B0"/>
    <w:rsid w:val="00AC6313"/>
    <w:rsid w:val="00AC6365"/>
    <w:rsid w:val="00AC6393"/>
    <w:rsid w:val="00AC6550"/>
    <w:rsid w:val="00AC659B"/>
    <w:rsid w:val="00AC65E5"/>
    <w:rsid w:val="00AC660E"/>
    <w:rsid w:val="00AC697F"/>
    <w:rsid w:val="00AC69D1"/>
    <w:rsid w:val="00AC6B05"/>
    <w:rsid w:val="00AC6C04"/>
    <w:rsid w:val="00AC6C2A"/>
    <w:rsid w:val="00AC6CA8"/>
    <w:rsid w:val="00AC6EF9"/>
    <w:rsid w:val="00AC7042"/>
    <w:rsid w:val="00AC7147"/>
    <w:rsid w:val="00AC7168"/>
    <w:rsid w:val="00AC72BD"/>
    <w:rsid w:val="00AC7306"/>
    <w:rsid w:val="00AC7579"/>
    <w:rsid w:val="00AC76F9"/>
    <w:rsid w:val="00AC775D"/>
    <w:rsid w:val="00AC7A0A"/>
    <w:rsid w:val="00AC7B93"/>
    <w:rsid w:val="00AC7C05"/>
    <w:rsid w:val="00AC7CB6"/>
    <w:rsid w:val="00AC7DC3"/>
    <w:rsid w:val="00AC7E63"/>
    <w:rsid w:val="00AC7F03"/>
    <w:rsid w:val="00AC7F93"/>
    <w:rsid w:val="00ACC7B7"/>
    <w:rsid w:val="00AD006F"/>
    <w:rsid w:val="00AD025B"/>
    <w:rsid w:val="00AD0454"/>
    <w:rsid w:val="00AD04E9"/>
    <w:rsid w:val="00AD0599"/>
    <w:rsid w:val="00AD066A"/>
    <w:rsid w:val="00AD07F0"/>
    <w:rsid w:val="00AD0825"/>
    <w:rsid w:val="00AD0B80"/>
    <w:rsid w:val="00AD0BF3"/>
    <w:rsid w:val="00AD0C4C"/>
    <w:rsid w:val="00AD0CE1"/>
    <w:rsid w:val="00AD0D63"/>
    <w:rsid w:val="00AD0E4A"/>
    <w:rsid w:val="00AD0FB3"/>
    <w:rsid w:val="00AD1021"/>
    <w:rsid w:val="00AD10DC"/>
    <w:rsid w:val="00AD1138"/>
    <w:rsid w:val="00AD116E"/>
    <w:rsid w:val="00AD1177"/>
    <w:rsid w:val="00AD11BD"/>
    <w:rsid w:val="00AD146E"/>
    <w:rsid w:val="00AD158A"/>
    <w:rsid w:val="00AD15EA"/>
    <w:rsid w:val="00AD161C"/>
    <w:rsid w:val="00AD17EF"/>
    <w:rsid w:val="00AD1A21"/>
    <w:rsid w:val="00AD1A3B"/>
    <w:rsid w:val="00AD1B55"/>
    <w:rsid w:val="00AD1B95"/>
    <w:rsid w:val="00AD1C0B"/>
    <w:rsid w:val="00AD1C43"/>
    <w:rsid w:val="00AD1C9C"/>
    <w:rsid w:val="00AD1F6C"/>
    <w:rsid w:val="00AD206C"/>
    <w:rsid w:val="00AD2076"/>
    <w:rsid w:val="00AD2113"/>
    <w:rsid w:val="00AD2127"/>
    <w:rsid w:val="00AD2199"/>
    <w:rsid w:val="00AD229E"/>
    <w:rsid w:val="00AD235F"/>
    <w:rsid w:val="00AD2362"/>
    <w:rsid w:val="00AD2409"/>
    <w:rsid w:val="00AD2441"/>
    <w:rsid w:val="00AD245F"/>
    <w:rsid w:val="00AD2520"/>
    <w:rsid w:val="00AD2551"/>
    <w:rsid w:val="00AD269A"/>
    <w:rsid w:val="00AD296F"/>
    <w:rsid w:val="00AD29DD"/>
    <w:rsid w:val="00AD2A1E"/>
    <w:rsid w:val="00AD2A45"/>
    <w:rsid w:val="00AD2AB8"/>
    <w:rsid w:val="00AD2D26"/>
    <w:rsid w:val="00AD2D60"/>
    <w:rsid w:val="00AD2EA3"/>
    <w:rsid w:val="00AD2F6D"/>
    <w:rsid w:val="00AD3040"/>
    <w:rsid w:val="00AD304C"/>
    <w:rsid w:val="00AD3053"/>
    <w:rsid w:val="00AD325A"/>
    <w:rsid w:val="00AD342A"/>
    <w:rsid w:val="00AD34B6"/>
    <w:rsid w:val="00AD3553"/>
    <w:rsid w:val="00AD3727"/>
    <w:rsid w:val="00AD37DA"/>
    <w:rsid w:val="00AD3802"/>
    <w:rsid w:val="00AD39F0"/>
    <w:rsid w:val="00AD3A31"/>
    <w:rsid w:val="00AD3C73"/>
    <w:rsid w:val="00AD3F73"/>
    <w:rsid w:val="00AD4057"/>
    <w:rsid w:val="00AD42C9"/>
    <w:rsid w:val="00AD4337"/>
    <w:rsid w:val="00AD44CB"/>
    <w:rsid w:val="00AD44D2"/>
    <w:rsid w:val="00AD4531"/>
    <w:rsid w:val="00AD465C"/>
    <w:rsid w:val="00AD4844"/>
    <w:rsid w:val="00AD4BAA"/>
    <w:rsid w:val="00AD4D37"/>
    <w:rsid w:val="00AD4FC4"/>
    <w:rsid w:val="00AD4FF1"/>
    <w:rsid w:val="00AD524B"/>
    <w:rsid w:val="00AD53F9"/>
    <w:rsid w:val="00AD5480"/>
    <w:rsid w:val="00AD54CA"/>
    <w:rsid w:val="00AD577B"/>
    <w:rsid w:val="00AD580D"/>
    <w:rsid w:val="00AD582F"/>
    <w:rsid w:val="00AD589B"/>
    <w:rsid w:val="00AD5951"/>
    <w:rsid w:val="00AD5BC8"/>
    <w:rsid w:val="00AD5D35"/>
    <w:rsid w:val="00AD5EE2"/>
    <w:rsid w:val="00AD5F7A"/>
    <w:rsid w:val="00AD6082"/>
    <w:rsid w:val="00AD60F0"/>
    <w:rsid w:val="00AD6107"/>
    <w:rsid w:val="00AD6135"/>
    <w:rsid w:val="00AD62CD"/>
    <w:rsid w:val="00AD635E"/>
    <w:rsid w:val="00AD6534"/>
    <w:rsid w:val="00AD6592"/>
    <w:rsid w:val="00AD65D2"/>
    <w:rsid w:val="00AD6863"/>
    <w:rsid w:val="00AD68DC"/>
    <w:rsid w:val="00AD694B"/>
    <w:rsid w:val="00AD694E"/>
    <w:rsid w:val="00AD6A3B"/>
    <w:rsid w:val="00AD6C49"/>
    <w:rsid w:val="00AD6CED"/>
    <w:rsid w:val="00AD6D9D"/>
    <w:rsid w:val="00AD6E25"/>
    <w:rsid w:val="00AD6E74"/>
    <w:rsid w:val="00AD6F7A"/>
    <w:rsid w:val="00AD70D4"/>
    <w:rsid w:val="00AD7202"/>
    <w:rsid w:val="00AD7295"/>
    <w:rsid w:val="00AD72E8"/>
    <w:rsid w:val="00AD733E"/>
    <w:rsid w:val="00AD7358"/>
    <w:rsid w:val="00AD73A9"/>
    <w:rsid w:val="00AD7424"/>
    <w:rsid w:val="00AD755F"/>
    <w:rsid w:val="00AD7594"/>
    <w:rsid w:val="00AD779E"/>
    <w:rsid w:val="00AD78B2"/>
    <w:rsid w:val="00AD7925"/>
    <w:rsid w:val="00AD7A02"/>
    <w:rsid w:val="00AD7B03"/>
    <w:rsid w:val="00AD7B2C"/>
    <w:rsid w:val="00AD7CCF"/>
    <w:rsid w:val="00AD7CE8"/>
    <w:rsid w:val="00AD7D4F"/>
    <w:rsid w:val="00AD7DD5"/>
    <w:rsid w:val="00AD7E6B"/>
    <w:rsid w:val="00AD7F0B"/>
    <w:rsid w:val="00AE0023"/>
    <w:rsid w:val="00AE002F"/>
    <w:rsid w:val="00AE004B"/>
    <w:rsid w:val="00AE0194"/>
    <w:rsid w:val="00AE0195"/>
    <w:rsid w:val="00AE01B5"/>
    <w:rsid w:val="00AE046B"/>
    <w:rsid w:val="00AE04FF"/>
    <w:rsid w:val="00AE06A0"/>
    <w:rsid w:val="00AE07BF"/>
    <w:rsid w:val="00AE0F0E"/>
    <w:rsid w:val="00AE0F53"/>
    <w:rsid w:val="00AE10A4"/>
    <w:rsid w:val="00AE1240"/>
    <w:rsid w:val="00AE124D"/>
    <w:rsid w:val="00AE1299"/>
    <w:rsid w:val="00AE1340"/>
    <w:rsid w:val="00AE13D1"/>
    <w:rsid w:val="00AE1549"/>
    <w:rsid w:val="00AE171B"/>
    <w:rsid w:val="00AE1786"/>
    <w:rsid w:val="00AE1984"/>
    <w:rsid w:val="00AE1A40"/>
    <w:rsid w:val="00AE1B03"/>
    <w:rsid w:val="00AE1CA4"/>
    <w:rsid w:val="00AE1D6B"/>
    <w:rsid w:val="00AE1DE7"/>
    <w:rsid w:val="00AE22BE"/>
    <w:rsid w:val="00AE22BF"/>
    <w:rsid w:val="00AE27B2"/>
    <w:rsid w:val="00AE28A8"/>
    <w:rsid w:val="00AE2941"/>
    <w:rsid w:val="00AE2A38"/>
    <w:rsid w:val="00AE2ABD"/>
    <w:rsid w:val="00AE2ACC"/>
    <w:rsid w:val="00AE2BA0"/>
    <w:rsid w:val="00AE2C0F"/>
    <w:rsid w:val="00AE2E2C"/>
    <w:rsid w:val="00AE2EF7"/>
    <w:rsid w:val="00AE2F5A"/>
    <w:rsid w:val="00AE303C"/>
    <w:rsid w:val="00AE3082"/>
    <w:rsid w:val="00AE3260"/>
    <w:rsid w:val="00AE332A"/>
    <w:rsid w:val="00AE3330"/>
    <w:rsid w:val="00AE384B"/>
    <w:rsid w:val="00AE3AA7"/>
    <w:rsid w:val="00AE3AE3"/>
    <w:rsid w:val="00AE3AFB"/>
    <w:rsid w:val="00AE3B2A"/>
    <w:rsid w:val="00AE3BA6"/>
    <w:rsid w:val="00AE3C27"/>
    <w:rsid w:val="00AE3FDB"/>
    <w:rsid w:val="00AE40DA"/>
    <w:rsid w:val="00AE41E9"/>
    <w:rsid w:val="00AE4268"/>
    <w:rsid w:val="00AE4510"/>
    <w:rsid w:val="00AE45EE"/>
    <w:rsid w:val="00AE4619"/>
    <w:rsid w:val="00AE46B5"/>
    <w:rsid w:val="00AE46CD"/>
    <w:rsid w:val="00AE4767"/>
    <w:rsid w:val="00AE478F"/>
    <w:rsid w:val="00AE48C7"/>
    <w:rsid w:val="00AE4A39"/>
    <w:rsid w:val="00AE4C73"/>
    <w:rsid w:val="00AE4D45"/>
    <w:rsid w:val="00AE4E05"/>
    <w:rsid w:val="00AE4E08"/>
    <w:rsid w:val="00AE4EFC"/>
    <w:rsid w:val="00AE4FC5"/>
    <w:rsid w:val="00AE500F"/>
    <w:rsid w:val="00AE5128"/>
    <w:rsid w:val="00AE5182"/>
    <w:rsid w:val="00AE550A"/>
    <w:rsid w:val="00AE5A22"/>
    <w:rsid w:val="00AE5A5E"/>
    <w:rsid w:val="00AE5A6D"/>
    <w:rsid w:val="00AE5BA4"/>
    <w:rsid w:val="00AE5BD0"/>
    <w:rsid w:val="00AE6214"/>
    <w:rsid w:val="00AE63AF"/>
    <w:rsid w:val="00AE63E7"/>
    <w:rsid w:val="00AE640C"/>
    <w:rsid w:val="00AE64D9"/>
    <w:rsid w:val="00AE6547"/>
    <w:rsid w:val="00AE679B"/>
    <w:rsid w:val="00AE68A4"/>
    <w:rsid w:val="00AE68F3"/>
    <w:rsid w:val="00AE6A18"/>
    <w:rsid w:val="00AE6AB2"/>
    <w:rsid w:val="00AE6AB5"/>
    <w:rsid w:val="00AE6B76"/>
    <w:rsid w:val="00AE6C62"/>
    <w:rsid w:val="00AE6C95"/>
    <w:rsid w:val="00AE6D6D"/>
    <w:rsid w:val="00AE6DBA"/>
    <w:rsid w:val="00AE6EA0"/>
    <w:rsid w:val="00AE6F0D"/>
    <w:rsid w:val="00AE6F33"/>
    <w:rsid w:val="00AE6FAE"/>
    <w:rsid w:val="00AE7109"/>
    <w:rsid w:val="00AE7147"/>
    <w:rsid w:val="00AE7671"/>
    <w:rsid w:val="00AE76D8"/>
    <w:rsid w:val="00AE7895"/>
    <w:rsid w:val="00AE78B1"/>
    <w:rsid w:val="00AE793C"/>
    <w:rsid w:val="00AE79A8"/>
    <w:rsid w:val="00AE7B08"/>
    <w:rsid w:val="00AE7B66"/>
    <w:rsid w:val="00AE7C3A"/>
    <w:rsid w:val="00AE7DB9"/>
    <w:rsid w:val="00AE7F77"/>
    <w:rsid w:val="00AE7FA6"/>
    <w:rsid w:val="00AF03A1"/>
    <w:rsid w:val="00AF05C2"/>
    <w:rsid w:val="00AF0640"/>
    <w:rsid w:val="00AF0743"/>
    <w:rsid w:val="00AF0850"/>
    <w:rsid w:val="00AF088D"/>
    <w:rsid w:val="00AF09E9"/>
    <w:rsid w:val="00AF0A53"/>
    <w:rsid w:val="00AF0AAD"/>
    <w:rsid w:val="00AF0AF6"/>
    <w:rsid w:val="00AF0C1E"/>
    <w:rsid w:val="00AF0DC6"/>
    <w:rsid w:val="00AF0E1C"/>
    <w:rsid w:val="00AF100B"/>
    <w:rsid w:val="00AF1026"/>
    <w:rsid w:val="00AF109E"/>
    <w:rsid w:val="00AF132C"/>
    <w:rsid w:val="00AF13A7"/>
    <w:rsid w:val="00AF1422"/>
    <w:rsid w:val="00AF1442"/>
    <w:rsid w:val="00AF14DB"/>
    <w:rsid w:val="00AF16A9"/>
    <w:rsid w:val="00AF1775"/>
    <w:rsid w:val="00AF18BA"/>
    <w:rsid w:val="00AF18D2"/>
    <w:rsid w:val="00AF1935"/>
    <w:rsid w:val="00AF193E"/>
    <w:rsid w:val="00AF19C6"/>
    <w:rsid w:val="00AF1A3D"/>
    <w:rsid w:val="00AF1C4D"/>
    <w:rsid w:val="00AF2070"/>
    <w:rsid w:val="00AF2138"/>
    <w:rsid w:val="00AF2375"/>
    <w:rsid w:val="00AF25C3"/>
    <w:rsid w:val="00AF275D"/>
    <w:rsid w:val="00AF27B3"/>
    <w:rsid w:val="00AF2877"/>
    <w:rsid w:val="00AF290B"/>
    <w:rsid w:val="00AF29E7"/>
    <w:rsid w:val="00AF29FB"/>
    <w:rsid w:val="00AF2E19"/>
    <w:rsid w:val="00AF32B1"/>
    <w:rsid w:val="00AF349A"/>
    <w:rsid w:val="00AF37EC"/>
    <w:rsid w:val="00AF389B"/>
    <w:rsid w:val="00AF399F"/>
    <w:rsid w:val="00AF3B37"/>
    <w:rsid w:val="00AF3BCE"/>
    <w:rsid w:val="00AF3CC1"/>
    <w:rsid w:val="00AF3DB1"/>
    <w:rsid w:val="00AF3E4B"/>
    <w:rsid w:val="00AF3FFA"/>
    <w:rsid w:val="00AF415B"/>
    <w:rsid w:val="00AF41D8"/>
    <w:rsid w:val="00AF43BB"/>
    <w:rsid w:val="00AF45C9"/>
    <w:rsid w:val="00AF45E3"/>
    <w:rsid w:val="00AF4677"/>
    <w:rsid w:val="00AF4683"/>
    <w:rsid w:val="00AF470D"/>
    <w:rsid w:val="00AF473A"/>
    <w:rsid w:val="00AF4A28"/>
    <w:rsid w:val="00AF4B1F"/>
    <w:rsid w:val="00AF4DE3"/>
    <w:rsid w:val="00AF4E89"/>
    <w:rsid w:val="00AF5076"/>
    <w:rsid w:val="00AF5227"/>
    <w:rsid w:val="00AF5360"/>
    <w:rsid w:val="00AF544E"/>
    <w:rsid w:val="00AF579C"/>
    <w:rsid w:val="00AF5CE4"/>
    <w:rsid w:val="00AF5CF8"/>
    <w:rsid w:val="00AF5E46"/>
    <w:rsid w:val="00AF607E"/>
    <w:rsid w:val="00AF61B5"/>
    <w:rsid w:val="00AF61DC"/>
    <w:rsid w:val="00AF6220"/>
    <w:rsid w:val="00AF6338"/>
    <w:rsid w:val="00AF6427"/>
    <w:rsid w:val="00AF6552"/>
    <w:rsid w:val="00AF6611"/>
    <w:rsid w:val="00AF6694"/>
    <w:rsid w:val="00AF67ED"/>
    <w:rsid w:val="00AF6B11"/>
    <w:rsid w:val="00AF6B5E"/>
    <w:rsid w:val="00AF6D14"/>
    <w:rsid w:val="00AF6D4F"/>
    <w:rsid w:val="00AF6D67"/>
    <w:rsid w:val="00AF6EC2"/>
    <w:rsid w:val="00AF6F61"/>
    <w:rsid w:val="00AF7092"/>
    <w:rsid w:val="00AF70C5"/>
    <w:rsid w:val="00AF7228"/>
    <w:rsid w:val="00AF7284"/>
    <w:rsid w:val="00AF7405"/>
    <w:rsid w:val="00AF758E"/>
    <w:rsid w:val="00AF7655"/>
    <w:rsid w:val="00AF7694"/>
    <w:rsid w:val="00AF7807"/>
    <w:rsid w:val="00AF79C5"/>
    <w:rsid w:val="00AF7A96"/>
    <w:rsid w:val="00AF7AE7"/>
    <w:rsid w:val="00AF7B1A"/>
    <w:rsid w:val="00AF7B2C"/>
    <w:rsid w:val="00AF7BAC"/>
    <w:rsid w:val="00AF7BDE"/>
    <w:rsid w:val="00AF7CAD"/>
    <w:rsid w:val="00AF7DB2"/>
    <w:rsid w:val="00AF7EBF"/>
    <w:rsid w:val="00AF7F8C"/>
    <w:rsid w:val="00B0001E"/>
    <w:rsid w:val="00B00036"/>
    <w:rsid w:val="00B00074"/>
    <w:rsid w:val="00B0013A"/>
    <w:rsid w:val="00B00284"/>
    <w:rsid w:val="00B003A4"/>
    <w:rsid w:val="00B0060B"/>
    <w:rsid w:val="00B0060E"/>
    <w:rsid w:val="00B006C7"/>
    <w:rsid w:val="00B006ED"/>
    <w:rsid w:val="00B007AB"/>
    <w:rsid w:val="00B007D9"/>
    <w:rsid w:val="00B0089E"/>
    <w:rsid w:val="00B009D4"/>
    <w:rsid w:val="00B00AAF"/>
    <w:rsid w:val="00B00CAF"/>
    <w:rsid w:val="00B00D4B"/>
    <w:rsid w:val="00B00F37"/>
    <w:rsid w:val="00B0103E"/>
    <w:rsid w:val="00B011BD"/>
    <w:rsid w:val="00B01273"/>
    <w:rsid w:val="00B0129A"/>
    <w:rsid w:val="00B012A9"/>
    <w:rsid w:val="00B013E3"/>
    <w:rsid w:val="00B0145F"/>
    <w:rsid w:val="00B01562"/>
    <w:rsid w:val="00B01611"/>
    <w:rsid w:val="00B01692"/>
    <w:rsid w:val="00B019A6"/>
    <w:rsid w:val="00B01F8E"/>
    <w:rsid w:val="00B01FF3"/>
    <w:rsid w:val="00B02036"/>
    <w:rsid w:val="00B026FC"/>
    <w:rsid w:val="00B027E9"/>
    <w:rsid w:val="00B029CC"/>
    <w:rsid w:val="00B02BB5"/>
    <w:rsid w:val="00B02C42"/>
    <w:rsid w:val="00B02D4A"/>
    <w:rsid w:val="00B02DC3"/>
    <w:rsid w:val="00B02E34"/>
    <w:rsid w:val="00B02F40"/>
    <w:rsid w:val="00B02FC5"/>
    <w:rsid w:val="00B030BF"/>
    <w:rsid w:val="00B031E7"/>
    <w:rsid w:val="00B034F5"/>
    <w:rsid w:val="00B0359B"/>
    <w:rsid w:val="00B03630"/>
    <w:rsid w:val="00B038E3"/>
    <w:rsid w:val="00B03B56"/>
    <w:rsid w:val="00B03F4C"/>
    <w:rsid w:val="00B0413B"/>
    <w:rsid w:val="00B0443F"/>
    <w:rsid w:val="00B04465"/>
    <w:rsid w:val="00B045C4"/>
    <w:rsid w:val="00B045E2"/>
    <w:rsid w:val="00B0485A"/>
    <w:rsid w:val="00B048B8"/>
    <w:rsid w:val="00B048C5"/>
    <w:rsid w:val="00B049ED"/>
    <w:rsid w:val="00B04B02"/>
    <w:rsid w:val="00B04B25"/>
    <w:rsid w:val="00B04D99"/>
    <w:rsid w:val="00B04FD3"/>
    <w:rsid w:val="00B0510C"/>
    <w:rsid w:val="00B051DC"/>
    <w:rsid w:val="00B05274"/>
    <w:rsid w:val="00B052FD"/>
    <w:rsid w:val="00B0535E"/>
    <w:rsid w:val="00B053C4"/>
    <w:rsid w:val="00B05616"/>
    <w:rsid w:val="00B05639"/>
    <w:rsid w:val="00B0579F"/>
    <w:rsid w:val="00B05818"/>
    <w:rsid w:val="00B05AA1"/>
    <w:rsid w:val="00B05ACA"/>
    <w:rsid w:val="00B05AFF"/>
    <w:rsid w:val="00B05CB1"/>
    <w:rsid w:val="00B05CDC"/>
    <w:rsid w:val="00B06022"/>
    <w:rsid w:val="00B060DB"/>
    <w:rsid w:val="00B06197"/>
    <w:rsid w:val="00B06368"/>
    <w:rsid w:val="00B06600"/>
    <w:rsid w:val="00B0681E"/>
    <w:rsid w:val="00B06820"/>
    <w:rsid w:val="00B069B9"/>
    <w:rsid w:val="00B06A27"/>
    <w:rsid w:val="00B06BD6"/>
    <w:rsid w:val="00B06C22"/>
    <w:rsid w:val="00B06D82"/>
    <w:rsid w:val="00B06F78"/>
    <w:rsid w:val="00B070A4"/>
    <w:rsid w:val="00B075F6"/>
    <w:rsid w:val="00B076A8"/>
    <w:rsid w:val="00B077B4"/>
    <w:rsid w:val="00B078A1"/>
    <w:rsid w:val="00B078F3"/>
    <w:rsid w:val="00B079F1"/>
    <w:rsid w:val="00B07A23"/>
    <w:rsid w:val="00B07AB5"/>
    <w:rsid w:val="00B07B74"/>
    <w:rsid w:val="00B07B85"/>
    <w:rsid w:val="00B07C81"/>
    <w:rsid w:val="00B07CCD"/>
    <w:rsid w:val="00B07DE9"/>
    <w:rsid w:val="00B07EE4"/>
    <w:rsid w:val="00B1002C"/>
    <w:rsid w:val="00B1029E"/>
    <w:rsid w:val="00B105A6"/>
    <w:rsid w:val="00B1082C"/>
    <w:rsid w:val="00B108E8"/>
    <w:rsid w:val="00B108EC"/>
    <w:rsid w:val="00B10A7D"/>
    <w:rsid w:val="00B10BF4"/>
    <w:rsid w:val="00B10E2A"/>
    <w:rsid w:val="00B10EAF"/>
    <w:rsid w:val="00B10F8C"/>
    <w:rsid w:val="00B111CA"/>
    <w:rsid w:val="00B112ED"/>
    <w:rsid w:val="00B11330"/>
    <w:rsid w:val="00B114DE"/>
    <w:rsid w:val="00B11825"/>
    <w:rsid w:val="00B11859"/>
    <w:rsid w:val="00B11A15"/>
    <w:rsid w:val="00B11AA4"/>
    <w:rsid w:val="00B11C8B"/>
    <w:rsid w:val="00B11D8F"/>
    <w:rsid w:val="00B11DB0"/>
    <w:rsid w:val="00B11E2A"/>
    <w:rsid w:val="00B11E4F"/>
    <w:rsid w:val="00B11EA5"/>
    <w:rsid w:val="00B12109"/>
    <w:rsid w:val="00B121B0"/>
    <w:rsid w:val="00B121BF"/>
    <w:rsid w:val="00B1229E"/>
    <w:rsid w:val="00B1245C"/>
    <w:rsid w:val="00B125F7"/>
    <w:rsid w:val="00B12903"/>
    <w:rsid w:val="00B12969"/>
    <w:rsid w:val="00B1298A"/>
    <w:rsid w:val="00B12A5B"/>
    <w:rsid w:val="00B12B37"/>
    <w:rsid w:val="00B12BA7"/>
    <w:rsid w:val="00B12CE7"/>
    <w:rsid w:val="00B12D11"/>
    <w:rsid w:val="00B12E5F"/>
    <w:rsid w:val="00B12EB2"/>
    <w:rsid w:val="00B131EB"/>
    <w:rsid w:val="00B13476"/>
    <w:rsid w:val="00B13558"/>
    <w:rsid w:val="00B13559"/>
    <w:rsid w:val="00B1358B"/>
    <w:rsid w:val="00B13631"/>
    <w:rsid w:val="00B136CA"/>
    <w:rsid w:val="00B1384A"/>
    <w:rsid w:val="00B1385F"/>
    <w:rsid w:val="00B13C1C"/>
    <w:rsid w:val="00B13CFF"/>
    <w:rsid w:val="00B13D7C"/>
    <w:rsid w:val="00B13DB8"/>
    <w:rsid w:val="00B13DCC"/>
    <w:rsid w:val="00B1403F"/>
    <w:rsid w:val="00B1419F"/>
    <w:rsid w:val="00B147A5"/>
    <w:rsid w:val="00B147D6"/>
    <w:rsid w:val="00B14810"/>
    <w:rsid w:val="00B148D3"/>
    <w:rsid w:val="00B14B11"/>
    <w:rsid w:val="00B14DD4"/>
    <w:rsid w:val="00B14FB5"/>
    <w:rsid w:val="00B15196"/>
    <w:rsid w:val="00B15318"/>
    <w:rsid w:val="00B156EF"/>
    <w:rsid w:val="00B15748"/>
    <w:rsid w:val="00B157F7"/>
    <w:rsid w:val="00B159CD"/>
    <w:rsid w:val="00B15B89"/>
    <w:rsid w:val="00B15C6E"/>
    <w:rsid w:val="00B15DD4"/>
    <w:rsid w:val="00B15E2D"/>
    <w:rsid w:val="00B15E8B"/>
    <w:rsid w:val="00B15EC3"/>
    <w:rsid w:val="00B15F39"/>
    <w:rsid w:val="00B1608D"/>
    <w:rsid w:val="00B160B7"/>
    <w:rsid w:val="00B16255"/>
    <w:rsid w:val="00B1680D"/>
    <w:rsid w:val="00B16949"/>
    <w:rsid w:val="00B16CAB"/>
    <w:rsid w:val="00B16E27"/>
    <w:rsid w:val="00B16F65"/>
    <w:rsid w:val="00B1704E"/>
    <w:rsid w:val="00B1706D"/>
    <w:rsid w:val="00B170C6"/>
    <w:rsid w:val="00B1712D"/>
    <w:rsid w:val="00B17383"/>
    <w:rsid w:val="00B173DF"/>
    <w:rsid w:val="00B173E7"/>
    <w:rsid w:val="00B17564"/>
    <w:rsid w:val="00B17659"/>
    <w:rsid w:val="00B17824"/>
    <w:rsid w:val="00B17855"/>
    <w:rsid w:val="00B17A9D"/>
    <w:rsid w:val="00B17DE5"/>
    <w:rsid w:val="00B17E20"/>
    <w:rsid w:val="00B2001B"/>
    <w:rsid w:val="00B200A3"/>
    <w:rsid w:val="00B202BE"/>
    <w:rsid w:val="00B202D6"/>
    <w:rsid w:val="00B2043A"/>
    <w:rsid w:val="00B20447"/>
    <w:rsid w:val="00B205B8"/>
    <w:rsid w:val="00B205E7"/>
    <w:rsid w:val="00B2064F"/>
    <w:rsid w:val="00B206FA"/>
    <w:rsid w:val="00B20897"/>
    <w:rsid w:val="00B20B40"/>
    <w:rsid w:val="00B20E18"/>
    <w:rsid w:val="00B20F7D"/>
    <w:rsid w:val="00B21080"/>
    <w:rsid w:val="00B2112F"/>
    <w:rsid w:val="00B2121E"/>
    <w:rsid w:val="00B21555"/>
    <w:rsid w:val="00B21567"/>
    <w:rsid w:val="00B2158A"/>
    <w:rsid w:val="00B21837"/>
    <w:rsid w:val="00B2187C"/>
    <w:rsid w:val="00B219D5"/>
    <w:rsid w:val="00B21A6A"/>
    <w:rsid w:val="00B21FFF"/>
    <w:rsid w:val="00B22026"/>
    <w:rsid w:val="00B2205A"/>
    <w:rsid w:val="00B2238F"/>
    <w:rsid w:val="00B2247B"/>
    <w:rsid w:val="00B22502"/>
    <w:rsid w:val="00B22666"/>
    <w:rsid w:val="00B226D4"/>
    <w:rsid w:val="00B226F0"/>
    <w:rsid w:val="00B2275A"/>
    <w:rsid w:val="00B22784"/>
    <w:rsid w:val="00B228EF"/>
    <w:rsid w:val="00B22A30"/>
    <w:rsid w:val="00B22A67"/>
    <w:rsid w:val="00B22B42"/>
    <w:rsid w:val="00B22E04"/>
    <w:rsid w:val="00B22EDF"/>
    <w:rsid w:val="00B22F2E"/>
    <w:rsid w:val="00B22F73"/>
    <w:rsid w:val="00B230A6"/>
    <w:rsid w:val="00B23147"/>
    <w:rsid w:val="00B231EA"/>
    <w:rsid w:val="00B231FB"/>
    <w:rsid w:val="00B232CF"/>
    <w:rsid w:val="00B23428"/>
    <w:rsid w:val="00B23725"/>
    <w:rsid w:val="00B23962"/>
    <w:rsid w:val="00B239D1"/>
    <w:rsid w:val="00B23A29"/>
    <w:rsid w:val="00B23BEB"/>
    <w:rsid w:val="00B23C1D"/>
    <w:rsid w:val="00B23CD1"/>
    <w:rsid w:val="00B24081"/>
    <w:rsid w:val="00B240A9"/>
    <w:rsid w:val="00B24313"/>
    <w:rsid w:val="00B243E2"/>
    <w:rsid w:val="00B2442F"/>
    <w:rsid w:val="00B24735"/>
    <w:rsid w:val="00B2473D"/>
    <w:rsid w:val="00B24850"/>
    <w:rsid w:val="00B24925"/>
    <w:rsid w:val="00B2497A"/>
    <w:rsid w:val="00B2499E"/>
    <w:rsid w:val="00B24A2F"/>
    <w:rsid w:val="00B24ACB"/>
    <w:rsid w:val="00B24AD3"/>
    <w:rsid w:val="00B24AE3"/>
    <w:rsid w:val="00B24B8B"/>
    <w:rsid w:val="00B24CB5"/>
    <w:rsid w:val="00B25157"/>
    <w:rsid w:val="00B2519B"/>
    <w:rsid w:val="00B251A8"/>
    <w:rsid w:val="00B254E1"/>
    <w:rsid w:val="00B256E9"/>
    <w:rsid w:val="00B259B4"/>
    <w:rsid w:val="00B259FE"/>
    <w:rsid w:val="00B25A80"/>
    <w:rsid w:val="00B25C31"/>
    <w:rsid w:val="00B25D80"/>
    <w:rsid w:val="00B25E79"/>
    <w:rsid w:val="00B25F7A"/>
    <w:rsid w:val="00B25FB4"/>
    <w:rsid w:val="00B2619B"/>
    <w:rsid w:val="00B26239"/>
    <w:rsid w:val="00B2627E"/>
    <w:rsid w:val="00B2639C"/>
    <w:rsid w:val="00B2639E"/>
    <w:rsid w:val="00B26692"/>
    <w:rsid w:val="00B26889"/>
    <w:rsid w:val="00B268E1"/>
    <w:rsid w:val="00B2694D"/>
    <w:rsid w:val="00B26D23"/>
    <w:rsid w:val="00B26DE5"/>
    <w:rsid w:val="00B26ED2"/>
    <w:rsid w:val="00B27148"/>
    <w:rsid w:val="00B273EA"/>
    <w:rsid w:val="00B27483"/>
    <w:rsid w:val="00B2774B"/>
    <w:rsid w:val="00B27A2A"/>
    <w:rsid w:val="00B27A7C"/>
    <w:rsid w:val="00B27AC9"/>
    <w:rsid w:val="00B27ACE"/>
    <w:rsid w:val="00B27B6B"/>
    <w:rsid w:val="00B27D0F"/>
    <w:rsid w:val="00B27E62"/>
    <w:rsid w:val="00B27EAF"/>
    <w:rsid w:val="00B27FC0"/>
    <w:rsid w:val="00B30205"/>
    <w:rsid w:val="00B303E0"/>
    <w:rsid w:val="00B30489"/>
    <w:rsid w:val="00B3052B"/>
    <w:rsid w:val="00B30734"/>
    <w:rsid w:val="00B30918"/>
    <w:rsid w:val="00B30A9E"/>
    <w:rsid w:val="00B30B58"/>
    <w:rsid w:val="00B30B78"/>
    <w:rsid w:val="00B30BB9"/>
    <w:rsid w:val="00B30BE0"/>
    <w:rsid w:val="00B30DA7"/>
    <w:rsid w:val="00B30E26"/>
    <w:rsid w:val="00B30E8C"/>
    <w:rsid w:val="00B30EBB"/>
    <w:rsid w:val="00B310D3"/>
    <w:rsid w:val="00B31231"/>
    <w:rsid w:val="00B3139F"/>
    <w:rsid w:val="00B3155A"/>
    <w:rsid w:val="00B3155F"/>
    <w:rsid w:val="00B317F3"/>
    <w:rsid w:val="00B318EA"/>
    <w:rsid w:val="00B3192F"/>
    <w:rsid w:val="00B31B1A"/>
    <w:rsid w:val="00B31B57"/>
    <w:rsid w:val="00B31D00"/>
    <w:rsid w:val="00B31E67"/>
    <w:rsid w:val="00B31F26"/>
    <w:rsid w:val="00B32416"/>
    <w:rsid w:val="00B3298E"/>
    <w:rsid w:val="00B329A9"/>
    <w:rsid w:val="00B32BB1"/>
    <w:rsid w:val="00B32BE8"/>
    <w:rsid w:val="00B32D87"/>
    <w:rsid w:val="00B32DBD"/>
    <w:rsid w:val="00B32DEC"/>
    <w:rsid w:val="00B32E41"/>
    <w:rsid w:val="00B32E9C"/>
    <w:rsid w:val="00B3312B"/>
    <w:rsid w:val="00B3318D"/>
    <w:rsid w:val="00B3329E"/>
    <w:rsid w:val="00B33376"/>
    <w:rsid w:val="00B33394"/>
    <w:rsid w:val="00B3345E"/>
    <w:rsid w:val="00B33590"/>
    <w:rsid w:val="00B33701"/>
    <w:rsid w:val="00B337C2"/>
    <w:rsid w:val="00B337D1"/>
    <w:rsid w:val="00B33963"/>
    <w:rsid w:val="00B33D62"/>
    <w:rsid w:val="00B33D9D"/>
    <w:rsid w:val="00B33E26"/>
    <w:rsid w:val="00B33F03"/>
    <w:rsid w:val="00B3410D"/>
    <w:rsid w:val="00B34112"/>
    <w:rsid w:val="00B34204"/>
    <w:rsid w:val="00B3436B"/>
    <w:rsid w:val="00B343A4"/>
    <w:rsid w:val="00B34445"/>
    <w:rsid w:val="00B344EC"/>
    <w:rsid w:val="00B344FA"/>
    <w:rsid w:val="00B34500"/>
    <w:rsid w:val="00B347E9"/>
    <w:rsid w:val="00B3499F"/>
    <w:rsid w:val="00B349F0"/>
    <w:rsid w:val="00B34A6B"/>
    <w:rsid w:val="00B34AD2"/>
    <w:rsid w:val="00B34CE1"/>
    <w:rsid w:val="00B34DAA"/>
    <w:rsid w:val="00B34F26"/>
    <w:rsid w:val="00B3502C"/>
    <w:rsid w:val="00B3503D"/>
    <w:rsid w:val="00B351CB"/>
    <w:rsid w:val="00B35209"/>
    <w:rsid w:val="00B35385"/>
    <w:rsid w:val="00B355B5"/>
    <w:rsid w:val="00B355FE"/>
    <w:rsid w:val="00B3574E"/>
    <w:rsid w:val="00B35A38"/>
    <w:rsid w:val="00B35BE8"/>
    <w:rsid w:val="00B35C6E"/>
    <w:rsid w:val="00B35DEE"/>
    <w:rsid w:val="00B35EC5"/>
    <w:rsid w:val="00B36039"/>
    <w:rsid w:val="00B36091"/>
    <w:rsid w:val="00B36342"/>
    <w:rsid w:val="00B36371"/>
    <w:rsid w:val="00B36399"/>
    <w:rsid w:val="00B36447"/>
    <w:rsid w:val="00B3660A"/>
    <w:rsid w:val="00B36639"/>
    <w:rsid w:val="00B3684D"/>
    <w:rsid w:val="00B36B2F"/>
    <w:rsid w:val="00B36B8D"/>
    <w:rsid w:val="00B36CE7"/>
    <w:rsid w:val="00B36D87"/>
    <w:rsid w:val="00B36DD7"/>
    <w:rsid w:val="00B36E4E"/>
    <w:rsid w:val="00B36F8A"/>
    <w:rsid w:val="00B37174"/>
    <w:rsid w:val="00B371AC"/>
    <w:rsid w:val="00B371E3"/>
    <w:rsid w:val="00B373EA"/>
    <w:rsid w:val="00B37430"/>
    <w:rsid w:val="00B37487"/>
    <w:rsid w:val="00B37656"/>
    <w:rsid w:val="00B376B1"/>
    <w:rsid w:val="00B3793F"/>
    <w:rsid w:val="00B37B7C"/>
    <w:rsid w:val="00B37BC8"/>
    <w:rsid w:val="00B37C87"/>
    <w:rsid w:val="00B37D72"/>
    <w:rsid w:val="00B37E96"/>
    <w:rsid w:val="00B37F23"/>
    <w:rsid w:val="00B37F4F"/>
    <w:rsid w:val="00B400AE"/>
    <w:rsid w:val="00B4019A"/>
    <w:rsid w:val="00B403E5"/>
    <w:rsid w:val="00B40506"/>
    <w:rsid w:val="00B40580"/>
    <w:rsid w:val="00B40624"/>
    <w:rsid w:val="00B40666"/>
    <w:rsid w:val="00B407D2"/>
    <w:rsid w:val="00B40811"/>
    <w:rsid w:val="00B4089E"/>
    <w:rsid w:val="00B40A12"/>
    <w:rsid w:val="00B40A45"/>
    <w:rsid w:val="00B40B65"/>
    <w:rsid w:val="00B40D01"/>
    <w:rsid w:val="00B40F01"/>
    <w:rsid w:val="00B40F25"/>
    <w:rsid w:val="00B41397"/>
    <w:rsid w:val="00B413B1"/>
    <w:rsid w:val="00B41413"/>
    <w:rsid w:val="00B41430"/>
    <w:rsid w:val="00B41558"/>
    <w:rsid w:val="00B41846"/>
    <w:rsid w:val="00B41C94"/>
    <w:rsid w:val="00B41E5E"/>
    <w:rsid w:val="00B41EF9"/>
    <w:rsid w:val="00B41FAE"/>
    <w:rsid w:val="00B41FB5"/>
    <w:rsid w:val="00B41FFB"/>
    <w:rsid w:val="00B420FB"/>
    <w:rsid w:val="00B42281"/>
    <w:rsid w:val="00B422CE"/>
    <w:rsid w:val="00B42359"/>
    <w:rsid w:val="00B42378"/>
    <w:rsid w:val="00B42386"/>
    <w:rsid w:val="00B424A1"/>
    <w:rsid w:val="00B42606"/>
    <w:rsid w:val="00B4262C"/>
    <w:rsid w:val="00B426C8"/>
    <w:rsid w:val="00B42791"/>
    <w:rsid w:val="00B42834"/>
    <w:rsid w:val="00B428A8"/>
    <w:rsid w:val="00B42A69"/>
    <w:rsid w:val="00B4301A"/>
    <w:rsid w:val="00B43280"/>
    <w:rsid w:val="00B4328E"/>
    <w:rsid w:val="00B433D1"/>
    <w:rsid w:val="00B4342A"/>
    <w:rsid w:val="00B435AC"/>
    <w:rsid w:val="00B4384B"/>
    <w:rsid w:val="00B43890"/>
    <w:rsid w:val="00B438DC"/>
    <w:rsid w:val="00B43917"/>
    <w:rsid w:val="00B43A73"/>
    <w:rsid w:val="00B43B67"/>
    <w:rsid w:val="00B43C2F"/>
    <w:rsid w:val="00B43DD8"/>
    <w:rsid w:val="00B43F1A"/>
    <w:rsid w:val="00B43F8A"/>
    <w:rsid w:val="00B4402F"/>
    <w:rsid w:val="00B4423B"/>
    <w:rsid w:val="00B44276"/>
    <w:rsid w:val="00B4428C"/>
    <w:rsid w:val="00B4429C"/>
    <w:rsid w:val="00B44315"/>
    <w:rsid w:val="00B443EF"/>
    <w:rsid w:val="00B44638"/>
    <w:rsid w:val="00B44687"/>
    <w:rsid w:val="00B44848"/>
    <w:rsid w:val="00B448FF"/>
    <w:rsid w:val="00B44A70"/>
    <w:rsid w:val="00B44AE3"/>
    <w:rsid w:val="00B44DEA"/>
    <w:rsid w:val="00B450C1"/>
    <w:rsid w:val="00B4510E"/>
    <w:rsid w:val="00B4514F"/>
    <w:rsid w:val="00B45188"/>
    <w:rsid w:val="00B454D8"/>
    <w:rsid w:val="00B456F3"/>
    <w:rsid w:val="00B45795"/>
    <w:rsid w:val="00B457D8"/>
    <w:rsid w:val="00B457E3"/>
    <w:rsid w:val="00B45846"/>
    <w:rsid w:val="00B459C1"/>
    <w:rsid w:val="00B45ABC"/>
    <w:rsid w:val="00B45B1A"/>
    <w:rsid w:val="00B45BE1"/>
    <w:rsid w:val="00B45C15"/>
    <w:rsid w:val="00B45E54"/>
    <w:rsid w:val="00B460EA"/>
    <w:rsid w:val="00B462C7"/>
    <w:rsid w:val="00B4648B"/>
    <w:rsid w:val="00B46538"/>
    <w:rsid w:val="00B4686D"/>
    <w:rsid w:val="00B4692E"/>
    <w:rsid w:val="00B46A4E"/>
    <w:rsid w:val="00B46A8E"/>
    <w:rsid w:val="00B46A92"/>
    <w:rsid w:val="00B46BBF"/>
    <w:rsid w:val="00B46BD6"/>
    <w:rsid w:val="00B46D31"/>
    <w:rsid w:val="00B46DDC"/>
    <w:rsid w:val="00B46F2F"/>
    <w:rsid w:val="00B46F8C"/>
    <w:rsid w:val="00B46FF3"/>
    <w:rsid w:val="00B47000"/>
    <w:rsid w:val="00B47095"/>
    <w:rsid w:val="00B47137"/>
    <w:rsid w:val="00B471CB"/>
    <w:rsid w:val="00B472A8"/>
    <w:rsid w:val="00B47416"/>
    <w:rsid w:val="00B47672"/>
    <w:rsid w:val="00B47676"/>
    <w:rsid w:val="00B476E6"/>
    <w:rsid w:val="00B476E8"/>
    <w:rsid w:val="00B4779A"/>
    <w:rsid w:val="00B47964"/>
    <w:rsid w:val="00B47A12"/>
    <w:rsid w:val="00B47A7E"/>
    <w:rsid w:val="00B47B69"/>
    <w:rsid w:val="00B47BE8"/>
    <w:rsid w:val="00B47CB8"/>
    <w:rsid w:val="00B47D24"/>
    <w:rsid w:val="00B47EEE"/>
    <w:rsid w:val="00B47F19"/>
    <w:rsid w:val="00B5009F"/>
    <w:rsid w:val="00B50294"/>
    <w:rsid w:val="00B5040D"/>
    <w:rsid w:val="00B50793"/>
    <w:rsid w:val="00B50A4E"/>
    <w:rsid w:val="00B50AB4"/>
    <w:rsid w:val="00B50BF9"/>
    <w:rsid w:val="00B50D4D"/>
    <w:rsid w:val="00B50D6C"/>
    <w:rsid w:val="00B50F1F"/>
    <w:rsid w:val="00B50F74"/>
    <w:rsid w:val="00B51084"/>
    <w:rsid w:val="00B51109"/>
    <w:rsid w:val="00B512BC"/>
    <w:rsid w:val="00B512CB"/>
    <w:rsid w:val="00B51814"/>
    <w:rsid w:val="00B51950"/>
    <w:rsid w:val="00B519F8"/>
    <w:rsid w:val="00B51A04"/>
    <w:rsid w:val="00B51B12"/>
    <w:rsid w:val="00B51B29"/>
    <w:rsid w:val="00B51B5F"/>
    <w:rsid w:val="00B51C01"/>
    <w:rsid w:val="00B51D90"/>
    <w:rsid w:val="00B52093"/>
    <w:rsid w:val="00B52111"/>
    <w:rsid w:val="00B5252A"/>
    <w:rsid w:val="00B529BF"/>
    <w:rsid w:val="00B52E67"/>
    <w:rsid w:val="00B52EC2"/>
    <w:rsid w:val="00B52F06"/>
    <w:rsid w:val="00B52FAF"/>
    <w:rsid w:val="00B52FFA"/>
    <w:rsid w:val="00B53091"/>
    <w:rsid w:val="00B530BB"/>
    <w:rsid w:val="00B531D5"/>
    <w:rsid w:val="00B532DD"/>
    <w:rsid w:val="00B53391"/>
    <w:rsid w:val="00B534BE"/>
    <w:rsid w:val="00B53522"/>
    <w:rsid w:val="00B535CE"/>
    <w:rsid w:val="00B53628"/>
    <w:rsid w:val="00B53A9B"/>
    <w:rsid w:val="00B53BA5"/>
    <w:rsid w:val="00B53DDB"/>
    <w:rsid w:val="00B53EA9"/>
    <w:rsid w:val="00B53EDE"/>
    <w:rsid w:val="00B53F21"/>
    <w:rsid w:val="00B53F23"/>
    <w:rsid w:val="00B53F3B"/>
    <w:rsid w:val="00B53FAE"/>
    <w:rsid w:val="00B53FE3"/>
    <w:rsid w:val="00B54090"/>
    <w:rsid w:val="00B54224"/>
    <w:rsid w:val="00B54699"/>
    <w:rsid w:val="00B546C3"/>
    <w:rsid w:val="00B546C6"/>
    <w:rsid w:val="00B5472A"/>
    <w:rsid w:val="00B547E8"/>
    <w:rsid w:val="00B548A1"/>
    <w:rsid w:val="00B54A1E"/>
    <w:rsid w:val="00B54A25"/>
    <w:rsid w:val="00B54A39"/>
    <w:rsid w:val="00B54AD6"/>
    <w:rsid w:val="00B54C38"/>
    <w:rsid w:val="00B54CB5"/>
    <w:rsid w:val="00B54D73"/>
    <w:rsid w:val="00B5571B"/>
    <w:rsid w:val="00B55739"/>
    <w:rsid w:val="00B5574C"/>
    <w:rsid w:val="00B557C5"/>
    <w:rsid w:val="00B5581D"/>
    <w:rsid w:val="00B55B00"/>
    <w:rsid w:val="00B55C0B"/>
    <w:rsid w:val="00B55C3F"/>
    <w:rsid w:val="00B55E9A"/>
    <w:rsid w:val="00B55EED"/>
    <w:rsid w:val="00B55F42"/>
    <w:rsid w:val="00B55F57"/>
    <w:rsid w:val="00B56013"/>
    <w:rsid w:val="00B5640D"/>
    <w:rsid w:val="00B569C8"/>
    <w:rsid w:val="00B56C06"/>
    <w:rsid w:val="00B56CE2"/>
    <w:rsid w:val="00B56E04"/>
    <w:rsid w:val="00B57063"/>
    <w:rsid w:val="00B57073"/>
    <w:rsid w:val="00B5722F"/>
    <w:rsid w:val="00B5740C"/>
    <w:rsid w:val="00B575A5"/>
    <w:rsid w:val="00B5780A"/>
    <w:rsid w:val="00B57B13"/>
    <w:rsid w:val="00B57B3C"/>
    <w:rsid w:val="00B57C89"/>
    <w:rsid w:val="00B57C9E"/>
    <w:rsid w:val="00B57CD4"/>
    <w:rsid w:val="00B57D12"/>
    <w:rsid w:val="00B57D2D"/>
    <w:rsid w:val="00B57DA6"/>
    <w:rsid w:val="00B57DFB"/>
    <w:rsid w:val="00B602CF"/>
    <w:rsid w:val="00B6033A"/>
    <w:rsid w:val="00B60417"/>
    <w:rsid w:val="00B6044F"/>
    <w:rsid w:val="00B60540"/>
    <w:rsid w:val="00B605E3"/>
    <w:rsid w:val="00B6060E"/>
    <w:rsid w:val="00B60767"/>
    <w:rsid w:val="00B607B6"/>
    <w:rsid w:val="00B60898"/>
    <w:rsid w:val="00B608C8"/>
    <w:rsid w:val="00B60B58"/>
    <w:rsid w:val="00B60D52"/>
    <w:rsid w:val="00B60E3B"/>
    <w:rsid w:val="00B60EFE"/>
    <w:rsid w:val="00B60F9E"/>
    <w:rsid w:val="00B61045"/>
    <w:rsid w:val="00B6107D"/>
    <w:rsid w:val="00B61190"/>
    <w:rsid w:val="00B616B7"/>
    <w:rsid w:val="00B6174E"/>
    <w:rsid w:val="00B61812"/>
    <w:rsid w:val="00B6182B"/>
    <w:rsid w:val="00B6187A"/>
    <w:rsid w:val="00B618C0"/>
    <w:rsid w:val="00B618E7"/>
    <w:rsid w:val="00B61A16"/>
    <w:rsid w:val="00B61BC0"/>
    <w:rsid w:val="00B61BFC"/>
    <w:rsid w:val="00B61C02"/>
    <w:rsid w:val="00B61C90"/>
    <w:rsid w:val="00B61D67"/>
    <w:rsid w:val="00B61D69"/>
    <w:rsid w:val="00B61E62"/>
    <w:rsid w:val="00B61E7D"/>
    <w:rsid w:val="00B61EE8"/>
    <w:rsid w:val="00B61F0D"/>
    <w:rsid w:val="00B62008"/>
    <w:rsid w:val="00B620B3"/>
    <w:rsid w:val="00B6212E"/>
    <w:rsid w:val="00B62393"/>
    <w:rsid w:val="00B624FB"/>
    <w:rsid w:val="00B62A51"/>
    <w:rsid w:val="00B62B78"/>
    <w:rsid w:val="00B62DF9"/>
    <w:rsid w:val="00B62E83"/>
    <w:rsid w:val="00B62F3F"/>
    <w:rsid w:val="00B6334A"/>
    <w:rsid w:val="00B633B6"/>
    <w:rsid w:val="00B63598"/>
    <w:rsid w:val="00B635FC"/>
    <w:rsid w:val="00B635FF"/>
    <w:rsid w:val="00B6383E"/>
    <w:rsid w:val="00B63866"/>
    <w:rsid w:val="00B6389A"/>
    <w:rsid w:val="00B638B3"/>
    <w:rsid w:val="00B638D9"/>
    <w:rsid w:val="00B639DD"/>
    <w:rsid w:val="00B63B16"/>
    <w:rsid w:val="00B63B98"/>
    <w:rsid w:val="00B63C63"/>
    <w:rsid w:val="00B63D6E"/>
    <w:rsid w:val="00B63F6C"/>
    <w:rsid w:val="00B63F99"/>
    <w:rsid w:val="00B6402E"/>
    <w:rsid w:val="00B6407A"/>
    <w:rsid w:val="00B640C8"/>
    <w:rsid w:val="00B6417F"/>
    <w:rsid w:val="00B642A1"/>
    <w:rsid w:val="00B64441"/>
    <w:rsid w:val="00B644AF"/>
    <w:rsid w:val="00B6458E"/>
    <w:rsid w:val="00B645B7"/>
    <w:rsid w:val="00B646BD"/>
    <w:rsid w:val="00B646F6"/>
    <w:rsid w:val="00B64748"/>
    <w:rsid w:val="00B64891"/>
    <w:rsid w:val="00B64A68"/>
    <w:rsid w:val="00B64ED6"/>
    <w:rsid w:val="00B64F30"/>
    <w:rsid w:val="00B64F61"/>
    <w:rsid w:val="00B64F64"/>
    <w:rsid w:val="00B64F91"/>
    <w:rsid w:val="00B65056"/>
    <w:rsid w:val="00B651DC"/>
    <w:rsid w:val="00B6520D"/>
    <w:rsid w:val="00B65285"/>
    <w:rsid w:val="00B652E7"/>
    <w:rsid w:val="00B6541E"/>
    <w:rsid w:val="00B65668"/>
    <w:rsid w:val="00B658DF"/>
    <w:rsid w:val="00B65BC5"/>
    <w:rsid w:val="00B65CBD"/>
    <w:rsid w:val="00B65F47"/>
    <w:rsid w:val="00B66058"/>
    <w:rsid w:val="00B66215"/>
    <w:rsid w:val="00B66420"/>
    <w:rsid w:val="00B664D4"/>
    <w:rsid w:val="00B665A9"/>
    <w:rsid w:val="00B6665E"/>
    <w:rsid w:val="00B666EF"/>
    <w:rsid w:val="00B66A11"/>
    <w:rsid w:val="00B66A55"/>
    <w:rsid w:val="00B66B0B"/>
    <w:rsid w:val="00B66DCE"/>
    <w:rsid w:val="00B66EC1"/>
    <w:rsid w:val="00B66EFC"/>
    <w:rsid w:val="00B66F5D"/>
    <w:rsid w:val="00B6707D"/>
    <w:rsid w:val="00B672A5"/>
    <w:rsid w:val="00B67313"/>
    <w:rsid w:val="00B6733C"/>
    <w:rsid w:val="00B67441"/>
    <w:rsid w:val="00B674E1"/>
    <w:rsid w:val="00B676AA"/>
    <w:rsid w:val="00B676BF"/>
    <w:rsid w:val="00B676C3"/>
    <w:rsid w:val="00B67748"/>
    <w:rsid w:val="00B677DD"/>
    <w:rsid w:val="00B67AE8"/>
    <w:rsid w:val="00B67B20"/>
    <w:rsid w:val="00B67B33"/>
    <w:rsid w:val="00B67BC2"/>
    <w:rsid w:val="00B67BEA"/>
    <w:rsid w:val="00B67D1A"/>
    <w:rsid w:val="00B67D45"/>
    <w:rsid w:val="00B67F21"/>
    <w:rsid w:val="00B67F50"/>
    <w:rsid w:val="00B701AE"/>
    <w:rsid w:val="00B702F1"/>
    <w:rsid w:val="00B70368"/>
    <w:rsid w:val="00B70448"/>
    <w:rsid w:val="00B704FD"/>
    <w:rsid w:val="00B705E1"/>
    <w:rsid w:val="00B706E3"/>
    <w:rsid w:val="00B707C3"/>
    <w:rsid w:val="00B70839"/>
    <w:rsid w:val="00B70912"/>
    <w:rsid w:val="00B70977"/>
    <w:rsid w:val="00B70A38"/>
    <w:rsid w:val="00B70AA8"/>
    <w:rsid w:val="00B70B67"/>
    <w:rsid w:val="00B70BA3"/>
    <w:rsid w:val="00B70C07"/>
    <w:rsid w:val="00B70DB5"/>
    <w:rsid w:val="00B70E00"/>
    <w:rsid w:val="00B70EF3"/>
    <w:rsid w:val="00B70FDF"/>
    <w:rsid w:val="00B71396"/>
    <w:rsid w:val="00B713A2"/>
    <w:rsid w:val="00B71423"/>
    <w:rsid w:val="00B7156B"/>
    <w:rsid w:val="00B71625"/>
    <w:rsid w:val="00B71766"/>
    <w:rsid w:val="00B7176C"/>
    <w:rsid w:val="00B71821"/>
    <w:rsid w:val="00B719A8"/>
    <w:rsid w:val="00B71AE8"/>
    <w:rsid w:val="00B71BD1"/>
    <w:rsid w:val="00B71C75"/>
    <w:rsid w:val="00B71E42"/>
    <w:rsid w:val="00B71ECF"/>
    <w:rsid w:val="00B71F9A"/>
    <w:rsid w:val="00B720A5"/>
    <w:rsid w:val="00B721DC"/>
    <w:rsid w:val="00B722DF"/>
    <w:rsid w:val="00B723CA"/>
    <w:rsid w:val="00B72414"/>
    <w:rsid w:val="00B7245A"/>
    <w:rsid w:val="00B7260F"/>
    <w:rsid w:val="00B72AE4"/>
    <w:rsid w:val="00B72BDC"/>
    <w:rsid w:val="00B72DAF"/>
    <w:rsid w:val="00B72DC2"/>
    <w:rsid w:val="00B72E96"/>
    <w:rsid w:val="00B72ECF"/>
    <w:rsid w:val="00B72FB0"/>
    <w:rsid w:val="00B73347"/>
    <w:rsid w:val="00B73411"/>
    <w:rsid w:val="00B7360C"/>
    <w:rsid w:val="00B7393A"/>
    <w:rsid w:val="00B739AA"/>
    <w:rsid w:val="00B73EF0"/>
    <w:rsid w:val="00B73F45"/>
    <w:rsid w:val="00B73FEC"/>
    <w:rsid w:val="00B7421D"/>
    <w:rsid w:val="00B74501"/>
    <w:rsid w:val="00B74A69"/>
    <w:rsid w:val="00B74ACF"/>
    <w:rsid w:val="00B74B27"/>
    <w:rsid w:val="00B74B4C"/>
    <w:rsid w:val="00B74C8B"/>
    <w:rsid w:val="00B74DD2"/>
    <w:rsid w:val="00B74DE3"/>
    <w:rsid w:val="00B74DFA"/>
    <w:rsid w:val="00B750C5"/>
    <w:rsid w:val="00B7514F"/>
    <w:rsid w:val="00B751CE"/>
    <w:rsid w:val="00B751E3"/>
    <w:rsid w:val="00B752CA"/>
    <w:rsid w:val="00B7557C"/>
    <w:rsid w:val="00B756B9"/>
    <w:rsid w:val="00B757C3"/>
    <w:rsid w:val="00B757F5"/>
    <w:rsid w:val="00B75C92"/>
    <w:rsid w:val="00B75DD8"/>
    <w:rsid w:val="00B75E5E"/>
    <w:rsid w:val="00B75F62"/>
    <w:rsid w:val="00B76027"/>
    <w:rsid w:val="00B76033"/>
    <w:rsid w:val="00B7607A"/>
    <w:rsid w:val="00B76298"/>
    <w:rsid w:val="00B762DE"/>
    <w:rsid w:val="00B762F4"/>
    <w:rsid w:val="00B76472"/>
    <w:rsid w:val="00B765D9"/>
    <w:rsid w:val="00B76631"/>
    <w:rsid w:val="00B76653"/>
    <w:rsid w:val="00B7683E"/>
    <w:rsid w:val="00B768C1"/>
    <w:rsid w:val="00B76961"/>
    <w:rsid w:val="00B76A61"/>
    <w:rsid w:val="00B76B86"/>
    <w:rsid w:val="00B76BCF"/>
    <w:rsid w:val="00B76C2E"/>
    <w:rsid w:val="00B76CC3"/>
    <w:rsid w:val="00B76FA8"/>
    <w:rsid w:val="00B770EF"/>
    <w:rsid w:val="00B770F8"/>
    <w:rsid w:val="00B771D6"/>
    <w:rsid w:val="00B7722C"/>
    <w:rsid w:val="00B773E4"/>
    <w:rsid w:val="00B774F7"/>
    <w:rsid w:val="00B77529"/>
    <w:rsid w:val="00B77637"/>
    <w:rsid w:val="00B77AC7"/>
    <w:rsid w:val="00B77C45"/>
    <w:rsid w:val="00B77C6B"/>
    <w:rsid w:val="00B77E31"/>
    <w:rsid w:val="00B77E6D"/>
    <w:rsid w:val="00B7CDF2"/>
    <w:rsid w:val="00B8021E"/>
    <w:rsid w:val="00B8022E"/>
    <w:rsid w:val="00B8025A"/>
    <w:rsid w:val="00B802A8"/>
    <w:rsid w:val="00B804F2"/>
    <w:rsid w:val="00B80553"/>
    <w:rsid w:val="00B80654"/>
    <w:rsid w:val="00B806A3"/>
    <w:rsid w:val="00B80736"/>
    <w:rsid w:val="00B8077A"/>
    <w:rsid w:val="00B80910"/>
    <w:rsid w:val="00B80A67"/>
    <w:rsid w:val="00B80AD0"/>
    <w:rsid w:val="00B80B84"/>
    <w:rsid w:val="00B80DCF"/>
    <w:rsid w:val="00B80E5F"/>
    <w:rsid w:val="00B81057"/>
    <w:rsid w:val="00B810C4"/>
    <w:rsid w:val="00B810F1"/>
    <w:rsid w:val="00B8130E"/>
    <w:rsid w:val="00B81354"/>
    <w:rsid w:val="00B813EE"/>
    <w:rsid w:val="00B81555"/>
    <w:rsid w:val="00B81583"/>
    <w:rsid w:val="00B815A5"/>
    <w:rsid w:val="00B8162D"/>
    <w:rsid w:val="00B816EE"/>
    <w:rsid w:val="00B81824"/>
    <w:rsid w:val="00B818C6"/>
    <w:rsid w:val="00B819CF"/>
    <w:rsid w:val="00B81A07"/>
    <w:rsid w:val="00B81E0D"/>
    <w:rsid w:val="00B81E94"/>
    <w:rsid w:val="00B81F1F"/>
    <w:rsid w:val="00B822D7"/>
    <w:rsid w:val="00B82463"/>
    <w:rsid w:val="00B8252C"/>
    <w:rsid w:val="00B82596"/>
    <w:rsid w:val="00B8267F"/>
    <w:rsid w:val="00B82687"/>
    <w:rsid w:val="00B82834"/>
    <w:rsid w:val="00B828A4"/>
    <w:rsid w:val="00B82AB3"/>
    <w:rsid w:val="00B82C6D"/>
    <w:rsid w:val="00B82C85"/>
    <w:rsid w:val="00B82CB6"/>
    <w:rsid w:val="00B82E43"/>
    <w:rsid w:val="00B82F1E"/>
    <w:rsid w:val="00B83066"/>
    <w:rsid w:val="00B831CC"/>
    <w:rsid w:val="00B83209"/>
    <w:rsid w:val="00B8324E"/>
    <w:rsid w:val="00B832E1"/>
    <w:rsid w:val="00B83577"/>
    <w:rsid w:val="00B8375D"/>
    <w:rsid w:val="00B8384F"/>
    <w:rsid w:val="00B838B4"/>
    <w:rsid w:val="00B83922"/>
    <w:rsid w:val="00B839EB"/>
    <w:rsid w:val="00B83A0E"/>
    <w:rsid w:val="00B83AD9"/>
    <w:rsid w:val="00B83BA1"/>
    <w:rsid w:val="00B83BA8"/>
    <w:rsid w:val="00B83DB4"/>
    <w:rsid w:val="00B83DFC"/>
    <w:rsid w:val="00B83F38"/>
    <w:rsid w:val="00B83FE4"/>
    <w:rsid w:val="00B842D0"/>
    <w:rsid w:val="00B8430F"/>
    <w:rsid w:val="00B843FC"/>
    <w:rsid w:val="00B8440A"/>
    <w:rsid w:val="00B84484"/>
    <w:rsid w:val="00B845E2"/>
    <w:rsid w:val="00B84649"/>
    <w:rsid w:val="00B84883"/>
    <w:rsid w:val="00B84A6E"/>
    <w:rsid w:val="00B84BF8"/>
    <w:rsid w:val="00B84CA1"/>
    <w:rsid w:val="00B84D9E"/>
    <w:rsid w:val="00B84E39"/>
    <w:rsid w:val="00B85054"/>
    <w:rsid w:val="00B8505C"/>
    <w:rsid w:val="00B85168"/>
    <w:rsid w:val="00B85320"/>
    <w:rsid w:val="00B85363"/>
    <w:rsid w:val="00B8542A"/>
    <w:rsid w:val="00B85432"/>
    <w:rsid w:val="00B85475"/>
    <w:rsid w:val="00B854CE"/>
    <w:rsid w:val="00B85566"/>
    <w:rsid w:val="00B85662"/>
    <w:rsid w:val="00B85797"/>
    <w:rsid w:val="00B85A45"/>
    <w:rsid w:val="00B85B5F"/>
    <w:rsid w:val="00B85B62"/>
    <w:rsid w:val="00B85C0B"/>
    <w:rsid w:val="00B85D0C"/>
    <w:rsid w:val="00B85EC6"/>
    <w:rsid w:val="00B8600D"/>
    <w:rsid w:val="00B86324"/>
    <w:rsid w:val="00B863D8"/>
    <w:rsid w:val="00B86510"/>
    <w:rsid w:val="00B86533"/>
    <w:rsid w:val="00B865A9"/>
    <w:rsid w:val="00B867C1"/>
    <w:rsid w:val="00B867EE"/>
    <w:rsid w:val="00B86802"/>
    <w:rsid w:val="00B86A05"/>
    <w:rsid w:val="00B86A3A"/>
    <w:rsid w:val="00B86AC5"/>
    <w:rsid w:val="00B86C1C"/>
    <w:rsid w:val="00B86C78"/>
    <w:rsid w:val="00B86CAA"/>
    <w:rsid w:val="00B86CC2"/>
    <w:rsid w:val="00B86D2D"/>
    <w:rsid w:val="00B86DDF"/>
    <w:rsid w:val="00B86E46"/>
    <w:rsid w:val="00B86E7D"/>
    <w:rsid w:val="00B87079"/>
    <w:rsid w:val="00B870F5"/>
    <w:rsid w:val="00B87104"/>
    <w:rsid w:val="00B87192"/>
    <w:rsid w:val="00B879B1"/>
    <w:rsid w:val="00B87B5B"/>
    <w:rsid w:val="00B87BFA"/>
    <w:rsid w:val="00B87C79"/>
    <w:rsid w:val="00B87C93"/>
    <w:rsid w:val="00B87E77"/>
    <w:rsid w:val="00B87F04"/>
    <w:rsid w:val="00B87F0E"/>
    <w:rsid w:val="00B902D9"/>
    <w:rsid w:val="00B9052F"/>
    <w:rsid w:val="00B905F1"/>
    <w:rsid w:val="00B907C5"/>
    <w:rsid w:val="00B90872"/>
    <w:rsid w:val="00B908C8"/>
    <w:rsid w:val="00B90AEF"/>
    <w:rsid w:val="00B90B05"/>
    <w:rsid w:val="00B90B0A"/>
    <w:rsid w:val="00B90B18"/>
    <w:rsid w:val="00B90BB4"/>
    <w:rsid w:val="00B90BBD"/>
    <w:rsid w:val="00B90BCD"/>
    <w:rsid w:val="00B90C32"/>
    <w:rsid w:val="00B90C6A"/>
    <w:rsid w:val="00B90D21"/>
    <w:rsid w:val="00B90F17"/>
    <w:rsid w:val="00B90FB2"/>
    <w:rsid w:val="00B9120C"/>
    <w:rsid w:val="00B912E5"/>
    <w:rsid w:val="00B91368"/>
    <w:rsid w:val="00B9137E"/>
    <w:rsid w:val="00B914A2"/>
    <w:rsid w:val="00B914A7"/>
    <w:rsid w:val="00B91523"/>
    <w:rsid w:val="00B91630"/>
    <w:rsid w:val="00B916A7"/>
    <w:rsid w:val="00B91717"/>
    <w:rsid w:val="00B918FF"/>
    <w:rsid w:val="00B91A38"/>
    <w:rsid w:val="00B91C2A"/>
    <w:rsid w:val="00B91E19"/>
    <w:rsid w:val="00B920E9"/>
    <w:rsid w:val="00B921D2"/>
    <w:rsid w:val="00B922EB"/>
    <w:rsid w:val="00B92349"/>
    <w:rsid w:val="00B923E3"/>
    <w:rsid w:val="00B924C2"/>
    <w:rsid w:val="00B924DF"/>
    <w:rsid w:val="00B925EF"/>
    <w:rsid w:val="00B92603"/>
    <w:rsid w:val="00B92694"/>
    <w:rsid w:val="00B929AA"/>
    <w:rsid w:val="00B92A7F"/>
    <w:rsid w:val="00B92B02"/>
    <w:rsid w:val="00B92B5B"/>
    <w:rsid w:val="00B92D44"/>
    <w:rsid w:val="00B92E41"/>
    <w:rsid w:val="00B92F43"/>
    <w:rsid w:val="00B92FCF"/>
    <w:rsid w:val="00B9300E"/>
    <w:rsid w:val="00B93099"/>
    <w:rsid w:val="00B932B6"/>
    <w:rsid w:val="00B9346A"/>
    <w:rsid w:val="00B934A5"/>
    <w:rsid w:val="00B935E9"/>
    <w:rsid w:val="00B935F9"/>
    <w:rsid w:val="00B937F0"/>
    <w:rsid w:val="00B93ABC"/>
    <w:rsid w:val="00B93B06"/>
    <w:rsid w:val="00B93B84"/>
    <w:rsid w:val="00B940B8"/>
    <w:rsid w:val="00B9421C"/>
    <w:rsid w:val="00B94220"/>
    <w:rsid w:val="00B943E3"/>
    <w:rsid w:val="00B94487"/>
    <w:rsid w:val="00B9465A"/>
    <w:rsid w:val="00B9476F"/>
    <w:rsid w:val="00B94815"/>
    <w:rsid w:val="00B9485E"/>
    <w:rsid w:val="00B948A2"/>
    <w:rsid w:val="00B94D34"/>
    <w:rsid w:val="00B94D53"/>
    <w:rsid w:val="00B95065"/>
    <w:rsid w:val="00B95137"/>
    <w:rsid w:val="00B9519E"/>
    <w:rsid w:val="00B95211"/>
    <w:rsid w:val="00B9532B"/>
    <w:rsid w:val="00B955A9"/>
    <w:rsid w:val="00B955BA"/>
    <w:rsid w:val="00B95600"/>
    <w:rsid w:val="00B9560C"/>
    <w:rsid w:val="00B9563A"/>
    <w:rsid w:val="00B9566B"/>
    <w:rsid w:val="00B95681"/>
    <w:rsid w:val="00B957B6"/>
    <w:rsid w:val="00B959C2"/>
    <w:rsid w:val="00B959C4"/>
    <w:rsid w:val="00B959F7"/>
    <w:rsid w:val="00B95C8D"/>
    <w:rsid w:val="00B95CC6"/>
    <w:rsid w:val="00B95D35"/>
    <w:rsid w:val="00B95D4C"/>
    <w:rsid w:val="00B96062"/>
    <w:rsid w:val="00B96147"/>
    <w:rsid w:val="00B96245"/>
    <w:rsid w:val="00B962BF"/>
    <w:rsid w:val="00B963D9"/>
    <w:rsid w:val="00B96587"/>
    <w:rsid w:val="00B965F2"/>
    <w:rsid w:val="00B966ED"/>
    <w:rsid w:val="00B9671C"/>
    <w:rsid w:val="00B96741"/>
    <w:rsid w:val="00B96808"/>
    <w:rsid w:val="00B96926"/>
    <w:rsid w:val="00B96930"/>
    <w:rsid w:val="00B96932"/>
    <w:rsid w:val="00B96991"/>
    <w:rsid w:val="00B9699E"/>
    <w:rsid w:val="00B96AD1"/>
    <w:rsid w:val="00B96EEC"/>
    <w:rsid w:val="00B970EF"/>
    <w:rsid w:val="00B97125"/>
    <w:rsid w:val="00B971B6"/>
    <w:rsid w:val="00B971FA"/>
    <w:rsid w:val="00B97319"/>
    <w:rsid w:val="00B97392"/>
    <w:rsid w:val="00B973AA"/>
    <w:rsid w:val="00B973C8"/>
    <w:rsid w:val="00B973E5"/>
    <w:rsid w:val="00B97402"/>
    <w:rsid w:val="00B97404"/>
    <w:rsid w:val="00B97445"/>
    <w:rsid w:val="00B97460"/>
    <w:rsid w:val="00B97597"/>
    <w:rsid w:val="00B978D5"/>
    <w:rsid w:val="00B97A1D"/>
    <w:rsid w:val="00B97C5F"/>
    <w:rsid w:val="00B97DC5"/>
    <w:rsid w:val="00B97E16"/>
    <w:rsid w:val="00B97E48"/>
    <w:rsid w:val="00B97EA5"/>
    <w:rsid w:val="00B97ED0"/>
    <w:rsid w:val="00BA008E"/>
    <w:rsid w:val="00BA00C0"/>
    <w:rsid w:val="00BA0163"/>
    <w:rsid w:val="00BA03A2"/>
    <w:rsid w:val="00BA03C5"/>
    <w:rsid w:val="00BA0423"/>
    <w:rsid w:val="00BA0452"/>
    <w:rsid w:val="00BA050B"/>
    <w:rsid w:val="00BA05AE"/>
    <w:rsid w:val="00BA0746"/>
    <w:rsid w:val="00BA0843"/>
    <w:rsid w:val="00BA08CA"/>
    <w:rsid w:val="00BA0C09"/>
    <w:rsid w:val="00BA0C96"/>
    <w:rsid w:val="00BA0EBA"/>
    <w:rsid w:val="00BA10EE"/>
    <w:rsid w:val="00BA1470"/>
    <w:rsid w:val="00BA158A"/>
    <w:rsid w:val="00BA1804"/>
    <w:rsid w:val="00BA1A11"/>
    <w:rsid w:val="00BA1C3A"/>
    <w:rsid w:val="00BA1C8A"/>
    <w:rsid w:val="00BA1CFE"/>
    <w:rsid w:val="00BA1D40"/>
    <w:rsid w:val="00BA1D43"/>
    <w:rsid w:val="00BA1E44"/>
    <w:rsid w:val="00BA1F9C"/>
    <w:rsid w:val="00BA2056"/>
    <w:rsid w:val="00BA2131"/>
    <w:rsid w:val="00BA23E8"/>
    <w:rsid w:val="00BA242F"/>
    <w:rsid w:val="00BA250D"/>
    <w:rsid w:val="00BA25AF"/>
    <w:rsid w:val="00BA2737"/>
    <w:rsid w:val="00BA2889"/>
    <w:rsid w:val="00BA2909"/>
    <w:rsid w:val="00BA2911"/>
    <w:rsid w:val="00BA2B2D"/>
    <w:rsid w:val="00BA2BCF"/>
    <w:rsid w:val="00BA2C73"/>
    <w:rsid w:val="00BA2CC9"/>
    <w:rsid w:val="00BA2D4D"/>
    <w:rsid w:val="00BA2E2F"/>
    <w:rsid w:val="00BA2EA0"/>
    <w:rsid w:val="00BA2F45"/>
    <w:rsid w:val="00BA2FEF"/>
    <w:rsid w:val="00BA3022"/>
    <w:rsid w:val="00BA3082"/>
    <w:rsid w:val="00BA31AA"/>
    <w:rsid w:val="00BA3291"/>
    <w:rsid w:val="00BA329D"/>
    <w:rsid w:val="00BA32F2"/>
    <w:rsid w:val="00BA3395"/>
    <w:rsid w:val="00BA3457"/>
    <w:rsid w:val="00BA351E"/>
    <w:rsid w:val="00BA3753"/>
    <w:rsid w:val="00BA3C2C"/>
    <w:rsid w:val="00BA4038"/>
    <w:rsid w:val="00BA4122"/>
    <w:rsid w:val="00BA420E"/>
    <w:rsid w:val="00BA42EA"/>
    <w:rsid w:val="00BA434A"/>
    <w:rsid w:val="00BA45DB"/>
    <w:rsid w:val="00BA470D"/>
    <w:rsid w:val="00BA48E8"/>
    <w:rsid w:val="00BA48EC"/>
    <w:rsid w:val="00BA4930"/>
    <w:rsid w:val="00BA49D9"/>
    <w:rsid w:val="00BA4A5E"/>
    <w:rsid w:val="00BA4B9F"/>
    <w:rsid w:val="00BA4D73"/>
    <w:rsid w:val="00BA4D84"/>
    <w:rsid w:val="00BA4E28"/>
    <w:rsid w:val="00BA4E5B"/>
    <w:rsid w:val="00BA4EBD"/>
    <w:rsid w:val="00BA4FEE"/>
    <w:rsid w:val="00BA4FFC"/>
    <w:rsid w:val="00BA5012"/>
    <w:rsid w:val="00BA52BF"/>
    <w:rsid w:val="00BA5438"/>
    <w:rsid w:val="00BA5510"/>
    <w:rsid w:val="00BA5628"/>
    <w:rsid w:val="00BA5650"/>
    <w:rsid w:val="00BA572E"/>
    <w:rsid w:val="00BA5A9C"/>
    <w:rsid w:val="00BA5B8C"/>
    <w:rsid w:val="00BA5DD4"/>
    <w:rsid w:val="00BA5EC3"/>
    <w:rsid w:val="00BA5F1D"/>
    <w:rsid w:val="00BA6022"/>
    <w:rsid w:val="00BA614E"/>
    <w:rsid w:val="00BA61BB"/>
    <w:rsid w:val="00BA63CB"/>
    <w:rsid w:val="00BA63F4"/>
    <w:rsid w:val="00BA64C2"/>
    <w:rsid w:val="00BA69A4"/>
    <w:rsid w:val="00BA69AB"/>
    <w:rsid w:val="00BA6A28"/>
    <w:rsid w:val="00BA6A5C"/>
    <w:rsid w:val="00BA6B67"/>
    <w:rsid w:val="00BA6CFA"/>
    <w:rsid w:val="00BA6D1D"/>
    <w:rsid w:val="00BA6D90"/>
    <w:rsid w:val="00BA6DC4"/>
    <w:rsid w:val="00BA6E88"/>
    <w:rsid w:val="00BA6FFD"/>
    <w:rsid w:val="00BA7038"/>
    <w:rsid w:val="00BA722A"/>
    <w:rsid w:val="00BA73B8"/>
    <w:rsid w:val="00BA78AF"/>
    <w:rsid w:val="00BA78F3"/>
    <w:rsid w:val="00BA7A64"/>
    <w:rsid w:val="00BA7BE3"/>
    <w:rsid w:val="00BA7E25"/>
    <w:rsid w:val="00BA7F49"/>
    <w:rsid w:val="00BA7F59"/>
    <w:rsid w:val="00BA7FA9"/>
    <w:rsid w:val="00BA7FC7"/>
    <w:rsid w:val="00BB0176"/>
    <w:rsid w:val="00BB0292"/>
    <w:rsid w:val="00BB0716"/>
    <w:rsid w:val="00BB0795"/>
    <w:rsid w:val="00BB07BE"/>
    <w:rsid w:val="00BB0D15"/>
    <w:rsid w:val="00BB0F29"/>
    <w:rsid w:val="00BB0F4A"/>
    <w:rsid w:val="00BB10AB"/>
    <w:rsid w:val="00BB10F0"/>
    <w:rsid w:val="00BB11F5"/>
    <w:rsid w:val="00BB1203"/>
    <w:rsid w:val="00BB155B"/>
    <w:rsid w:val="00BB15CC"/>
    <w:rsid w:val="00BB16AF"/>
    <w:rsid w:val="00BB1787"/>
    <w:rsid w:val="00BB18D1"/>
    <w:rsid w:val="00BB1B57"/>
    <w:rsid w:val="00BB1E2F"/>
    <w:rsid w:val="00BB1EA9"/>
    <w:rsid w:val="00BB1EBD"/>
    <w:rsid w:val="00BB1F1C"/>
    <w:rsid w:val="00BB1FEF"/>
    <w:rsid w:val="00BB20A2"/>
    <w:rsid w:val="00BB2130"/>
    <w:rsid w:val="00BB2167"/>
    <w:rsid w:val="00BB24CF"/>
    <w:rsid w:val="00BB2633"/>
    <w:rsid w:val="00BB2807"/>
    <w:rsid w:val="00BB2DC7"/>
    <w:rsid w:val="00BB2F24"/>
    <w:rsid w:val="00BB3113"/>
    <w:rsid w:val="00BB31A3"/>
    <w:rsid w:val="00BB33A8"/>
    <w:rsid w:val="00BB3491"/>
    <w:rsid w:val="00BB3532"/>
    <w:rsid w:val="00BB3661"/>
    <w:rsid w:val="00BB3671"/>
    <w:rsid w:val="00BB36E2"/>
    <w:rsid w:val="00BB3813"/>
    <w:rsid w:val="00BB3981"/>
    <w:rsid w:val="00BB3982"/>
    <w:rsid w:val="00BB3991"/>
    <w:rsid w:val="00BB3A3C"/>
    <w:rsid w:val="00BB3A76"/>
    <w:rsid w:val="00BB3C0B"/>
    <w:rsid w:val="00BB3C21"/>
    <w:rsid w:val="00BB3E12"/>
    <w:rsid w:val="00BB3F2B"/>
    <w:rsid w:val="00BB4136"/>
    <w:rsid w:val="00BB41BD"/>
    <w:rsid w:val="00BB4352"/>
    <w:rsid w:val="00BB4698"/>
    <w:rsid w:val="00BB481D"/>
    <w:rsid w:val="00BB4A2F"/>
    <w:rsid w:val="00BB4B6D"/>
    <w:rsid w:val="00BB4C42"/>
    <w:rsid w:val="00BB4F14"/>
    <w:rsid w:val="00BB5130"/>
    <w:rsid w:val="00BB51C7"/>
    <w:rsid w:val="00BB5286"/>
    <w:rsid w:val="00BB52B9"/>
    <w:rsid w:val="00BB555A"/>
    <w:rsid w:val="00BB556B"/>
    <w:rsid w:val="00BB5627"/>
    <w:rsid w:val="00BB57A6"/>
    <w:rsid w:val="00BB59CF"/>
    <w:rsid w:val="00BB5BA6"/>
    <w:rsid w:val="00BB5BA8"/>
    <w:rsid w:val="00BB5D62"/>
    <w:rsid w:val="00BB5E2F"/>
    <w:rsid w:val="00BB5F04"/>
    <w:rsid w:val="00BB5F80"/>
    <w:rsid w:val="00BB5FDA"/>
    <w:rsid w:val="00BB6035"/>
    <w:rsid w:val="00BB60BA"/>
    <w:rsid w:val="00BB60DC"/>
    <w:rsid w:val="00BB6185"/>
    <w:rsid w:val="00BB62A8"/>
    <w:rsid w:val="00BB6514"/>
    <w:rsid w:val="00BB6A55"/>
    <w:rsid w:val="00BB6BFB"/>
    <w:rsid w:val="00BB6D82"/>
    <w:rsid w:val="00BB6ED5"/>
    <w:rsid w:val="00BB70F1"/>
    <w:rsid w:val="00BB721E"/>
    <w:rsid w:val="00BB72B3"/>
    <w:rsid w:val="00BB73F6"/>
    <w:rsid w:val="00BB74C4"/>
    <w:rsid w:val="00BB74F4"/>
    <w:rsid w:val="00BB765B"/>
    <w:rsid w:val="00BB791D"/>
    <w:rsid w:val="00BB7B9E"/>
    <w:rsid w:val="00BB7C3A"/>
    <w:rsid w:val="00BB7D56"/>
    <w:rsid w:val="00BC00F4"/>
    <w:rsid w:val="00BC013F"/>
    <w:rsid w:val="00BC0229"/>
    <w:rsid w:val="00BC02C7"/>
    <w:rsid w:val="00BC03E8"/>
    <w:rsid w:val="00BC0502"/>
    <w:rsid w:val="00BC07E9"/>
    <w:rsid w:val="00BC08BE"/>
    <w:rsid w:val="00BC08EA"/>
    <w:rsid w:val="00BC0C53"/>
    <w:rsid w:val="00BC0C91"/>
    <w:rsid w:val="00BC0CBD"/>
    <w:rsid w:val="00BC0D50"/>
    <w:rsid w:val="00BC0D51"/>
    <w:rsid w:val="00BC0D9E"/>
    <w:rsid w:val="00BC0E28"/>
    <w:rsid w:val="00BC0E81"/>
    <w:rsid w:val="00BC0F5F"/>
    <w:rsid w:val="00BC0F6E"/>
    <w:rsid w:val="00BC0FDB"/>
    <w:rsid w:val="00BC1039"/>
    <w:rsid w:val="00BC13B9"/>
    <w:rsid w:val="00BC1447"/>
    <w:rsid w:val="00BC1535"/>
    <w:rsid w:val="00BC1638"/>
    <w:rsid w:val="00BC1755"/>
    <w:rsid w:val="00BC1834"/>
    <w:rsid w:val="00BC18B8"/>
    <w:rsid w:val="00BC1A8A"/>
    <w:rsid w:val="00BC1C67"/>
    <w:rsid w:val="00BC1C6F"/>
    <w:rsid w:val="00BC1D2D"/>
    <w:rsid w:val="00BC1ED7"/>
    <w:rsid w:val="00BC21E5"/>
    <w:rsid w:val="00BC2303"/>
    <w:rsid w:val="00BC230F"/>
    <w:rsid w:val="00BC2489"/>
    <w:rsid w:val="00BC24CE"/>
    <w:rsid w:val="00BC24E6"/>
    <w:rsid w:val="00BC252E"/>
    <w:rsid w:val="00BC2855"/>
    <w:rsid w:val="00BC2A4F"/>
    <w:rsid w:val="00BC2C4A"/>
    <w:rsid w:val="00BC2C87"/>
    <w:rsid w:val="00BC2F82"/>
    <w:rsid w:val="00BC3306"/>
    <w:rsid w:val="00BC3327"/>
    <w:rsid w:val="00BC332D"/>
    <w:rsid w:val="00BC3481"/>
    <w:rsid w:val="00BC3624"/>
    <w:rsid w:val="00BC3653"/>
    <w:rsid w:val="00BC3849"/>
    <w:rsid w:val="00BC3964"/>
    <w:rsid w:val="00BC3CC8"/>
    <w:rsid w:val="00BC3D53"/>
    <w:rsid w:val="00BC3F56"/>
    <w:rsid w:val="00BC3F79"/>
    <w:rsid w:val="00BC3FBE"/>
    <w:rsid w:val="00BC3FFF"/>
    <w:rsid w:val="00BC4136"/>
    <w:rsid w:val="00BC4270"/>
    <w:rsid w:val="00BC4359"/>
    <w:rsid w:val="00BC456B"/>
    <w:rsid w:val="00BC4582"/>
    <w:rsid w:val="00BC47CB"/>
    <w:rsid w:val="00BC480F"/>
    <w:rsid w:val="00BC49F8"/>
    <w:rsid w:val="00BC4A05"/>
    <w:rsid w:val="00BC4DBE"/>
    <w:rsid w:val="00BC4DD1"/>
    <w:rsid w:val="00BC4E4D"/>
    <w:rsid w:val="00BC4E50"/>
    <w:rsid w:val="00BC500D"/>
    <w:rsid w:val="00BC50E5"/>
    <w:rsid w:val="00BC51DC"/>
    <w:rsid w:val="00BC5244"/>
    <w:rsid w:val="00BC52DD"/>
    <w:rsid w:val="00BC536F"/>
    <w:rsid w:val="00BC5411"/>
    <w:rsid w:val="00BC54BC"/>
    <w:rsid w:val="00BC550B"/>
    <w:rsid w:val="00BC5545"/>
    <w:rsid w:val="00BC55BB"/>
    <w:rsid w:val="00BC56D9"/>
    <w:rsid w:val="00BC56E1"/>
    <w:rsid w:val="00BC5752"/>
    <w:rsid w:val="00BC59A1"/>
    <w:rsid w:val="00BC59D6"/>
    <w:rsid w:val="00BC5AD8"/>
    <w:rsid w:val="00BC5B11"/>
    <w:rsid w:val="00BC5BD4"/>
    <w:rsid w:val="00BC5EBB"/>
    <w:rsid w:val="00BC5F4E"/>
    <w:rsid w:val="00BC5FBD"/>
    <w:rsid w:val="00BC6001"/>
    <w:rsid w:val="00BC60BC"/>
    <w:rsid w:val="00BC6266"/>
    <w:rsid w:val="00BC6342"/>
    <w:rsid w:val="00BC64D8"/>
    <w:rsid w:val="00BC6576"/>
    <w:rsid w:val="00BC65A9"/>
    <w:rsid w:val="00BC6712"/>
    <w:rsid w:val="00BC6734"/>
    <w:rsid w:val="00BC6918"/>
    <w:rsid w:val="00BC6AA8"/>
    <w:rsid w:val="00BC6AA9"/>
    <w:rsid w:val="00BC6AD8"/>
    <w:rsid w:val="00BC6B18"/>
    <w:rsid w:val="00BC6C43"/>
    <w:rsid w:val="00BC6C95"/>
    <w:rsid w:val="00BC6DE7"/>
    <w:rsid w:val="00BC6EE2"/>
    <w:rsid w:val="00BC6F12"/>
    <w:rsid w:val="00BC6FDD"/>
    <w:rsid w:val="00BC6FE1"/>
    <w:rsid w:val="00BC7224"/>
    <w:rsid w:val="00BC72FC"/>
    <w:rsid w:val="00BC7398"/>
    <w:rsid w:val="00BC75EE"/>
    <w:rsid w:val="00BC76DE"/>
    <w:rsid w:val="00BC789D"/>
    <w:rsid w:val="00BC79EF"/>
    <w:rsid w:val="00BC7A0B"/>
    <w:rsid w:val="00BC7AA4"/>
    <w:rsid w:val="00BC7B09"/>
    <w:rsid w:val="00BC7B2C"/>
    <w:rsid w:val="00BC7C32"/>
    <w:rsid w:val="00BC7DF3"/>
    <w:rsid w:val="00BC7E02"/>
    <w:rsid w:val="00BC7F3A"/>
    <w:rsid w:val="00BD0052"/>
    <w:rsid w:val="00BD015A"/>
    <w:rsid w:val="00BD0241"/>
    <w:rsid w:val="00BD0291"/>
    <w:rsid w:val="00BD029F"/>
    <w:rsid w:val="00BD03D9"/>
    <w:rsid w:val="00BD0455"/>
    <w:rsid w:val="00BD0514"/>
    <w:rsid w:val="00BD0664"/>
    <w:rsid w:val="00BD0698"/>
    <w:rsid w:val="00BD0928"/>
    <w:rsid w:val="00BD0B02"/>
    <w:rsid w:val="00BD0B53"/>
    <w:rsid w:val="00BD0C11"/>
    <w:rsid w:val="00BD0C3E"/>
    <w:rsid w:val="00BD0CDB"/>
    <w:rsid w:val="00BD0D5C"/>
    <w:rsid w:val="00BD0E10"/>
    <w:rsid w:val="00BD0E24"/>
    <w:rsid w:val="00BD0F43"/>
    <w:rsid w:val="00BD103D"/>
    <w:rsid w:val="00BD11CB"/>
    <w:rsid w:val="00BD12B8"/>
    <w:rsid w:val="00BD15FF"/>
    <w:rsid w:val="00BD1632"/>
    <w:rsid w:val="00BD1667"/>
    <w:rsid w:val="00BD16AE"/>
    <w:rsid w:val="00BD17DA"/>
    <w:rsid w:val="00BD1A15"/>
    <w:rsid w:val="00BD1A5E"/>
    <w:rsid w:val="00BD1ADA"/>
    <w:rsid w:val="00BD1D7B"/>
    <w:rsid w:val="00BD1E0D"/>
    <w:rsid w:val="00BD1E66"/>
    <w:rsid w:val="00BD1FEE"/>
    <w:rsid w:val="00BD20A0"/>
    <w:rsid w:val="00BD2137"/>
    <w:rsid w:val="00BD2179"/>
    <w:rsid w:val="00BD2942"/>
    <w:rsid w:val="00BD29F8"/>
    <w:rsid w:val="00BD2B62"/>
    <w:rsid w:val="00BD2C88"/>
    <w:rsid w:val="00BD2C95"/>
    <w:rsid w:val="00BD2D20"/>
    <w:rsid w:val="00BD2E1F"/>
    <w:rsid w:val="00BD316B"/>
    <w:rsid w:val="00BD31E4"/>
    <w:rsid w:val="00BD31E9"/>
    <w:rsid w:val="00BD3200"/>
    <w:rsid w:val="00BD331F"/>
    <w:rsid w:val="00BD3323"/>
    <w:rsid w:val="00BD3434"/>
    <w:rsid w:val="00BD3588"/>
    <w:rsid w:val="00BD3846"/>
    <w:rsid w:val="00BD3917"/>
    <w:rsid w:val="00BD391C"/>
    <w:rsid w:val="00BD39AA"/>
    <w:rsid w:val="00BD3C71"/>
    <w:rsid w:val="00BD3D36"/>
    <w:rsid w:val="00BD3D78"/>
    <w:rsid w:val="00BD3D9E"/>
    <w:rsid w:val="00BD41BA"/>
    <w:rsid w:val="00BD428F"/>
    <w:rsid w:val="00BD4319"/>
    <w:rsid w:val="00BD432D"/>
    <w:rsid w:val="00BD43BC"/>
    <w:rsid w:val="00BD456F"/>
    <w:rsid w:val="00BD461E"/>
    <w:rsid w:val="00BD46AA"/>
    <w:rsid w:val="00BD4864"/>
    <w:rsid w:val="00BD4936"/>
    <w:rsid w:val="00BD49F6"/>
    <w:rsid w:val="00BD4A9B"/>
    <w:rsid w:val="00BD4CC6"/>
    <w:rsid w:val="00BD4CF8"/>
    <w:rsid w:val="00BD4D09"/>
    <w:rsid w:val="00BD4E18"/>
    <w:rsid w:val="00BD4E1B"/>
    <w:rsid w:val="00BD4E3C"/>
    <w:rsid w:val="00BD4F2A"/>
    <w:rsid w:val="00BD4F72"/>
    <w:rsid w:val="00BD5254"/>
    <w:rsid w:val="00BD53FB"/>
    <w:rsid w:val="00BD559A"/>
    <w:rsid w:val="00BD55C3"/>
    <w:rsid w:val="00BD55DD"/>
    <w:rsid w:val="00BD5811"/>
    <w:rsid w:val="00BD5928"/>
    <w:rsid w:val="00BD5A51"/>
    <w:rsid w:val="00BD5AC8"/>
    <w:rsid w:val="00BD5E67"/>
    <w:rsid w:val="00BD60DC"/>
    <w:rsid w:val="00BD60FC"/>
    <w:rsid w:val="00BD6784"/>
    <w:rsid w:val="00BD6845"/>
    <w:rsid w:val="00BD687F"/>
    <w:rsid w:val="00BD68F5"/>
    <w:rsid w:val="00BD6CD5"/>
    <w:rsid w:val="00BD6CF3"/>
    <w:rsid w:val="00BD6D27"/>
    <w:rsid w:val="00BD6D39"/>
    <w:rsid w:val="00BD6E31"/>
    <w:rsid w:val="00BD6E99"/>
    <w:rsid w:val="00BD6EAD"/>
    <w:rsid w:val="00BD6FEF"/>
    <w:rsid w:val="00BD710D"/>
    <w:rsid w:val="00BD7138"/>
    <w:rsid w:val="00BD7472"/>
    <w:rsid w:val="00BD74B2"/>
    <w:rsid w:val="00BD7517"/>
    <w:rsid w:val="00BD7557"/>
    <w:rsid w:val="00BD757A"/>
    <w:rsid w:val="00BD7622"/>
    <w:rsid w:val="00BD7656"/>
    <w:rsid w:val="00BD77C1"/>
    <w:rsid w:val="00BD77CF"/>
    <w:rsid w:val="00BD7A2C"/>
    <w:rsid w:val="00BD7CCD"/>
    <w:rsid w:val="00BD7E1D"/>
    <w:rsid w:val="00BD7F8F"/>
    <w:rsid w:val="00BE0053"/>
    <w:rsid w:val="00BE0090"/>
    <w:rsid w:val="00BE02F3"/>
    <w:rsid w:val="00BE0464"/>
    <w:rsid w:val="00BE06F8"/>
    <w:rsid w:val="00BE07E8"/>
    <w:rsid w:val="00BE09D1"/>
    <w:rsid w:val="00BE0C4E"/>
    <w:rsid w:val="00BE0CD2"/>
    <w:rsid w:val="00BE0D4A"/>
    <w:rsid w:val="00BE1193"/>
    <w:rsid w:val="00BE11FC"/>
    <w:rsid w:val="00BE17D0"/>
    <w:rsid w:val="00BE1A67"/>
    <w:rsid w:val="00BE1CE0"/>
    <w:rsid w:val="00BE1D0F"/>
    <w:rsid w:val="00BE1F05"/>
    <w:rsid w:val="00BE1F8B"/>
    <w:rsid w:val="00BE227B"/>
    <w:rsid w:val="00BE2326"/>
    <w:rsid w:val="00BE2426"/>
    <w:rsid w:val="00BE2462"/>
    <w:rsid w:val="00BE272C"/>
    <w:rsid w:val="00BE286A"/>
    <w:rsid w:val="00BE291D"/>
    <w:rsid w:val="00BE29F7"/>
    <w:rsid w:val="00BE2BBB"/>
    <w:rsid w:val="00BE2BC6"/>
    <w:rsid w:val="00BE2C61"/>
    <w:rsid w:val="00BE2CDA"/>
    <w:rsid w:val="00BE2DB1"/>
    <w:rsid w:val="00BE2FA2"/>
    <w:rsid w:val="00BE3223"/>
    <w:rsid w:val="00BE355A"/>
    <w:rsid w:val="00BE35B3"/>
    <w:rsid w:val="00BE3774"/>
    <w:rsid w:val="00BE39C5"/>
    <w:rsid w:val="00BE3C5E"/>
    <w:rsid w:val="00BE3ED1"/>
    <w:rsid w:val="00BE3F15"/>
    <w:rsid w:val="00BE3F1D"/>
    <w:rsid w:val="00BE3FAA"/>
    <w:rsid w:val="00BE3FCE"/>
    <w:rsid w:val="00BE4148"/>
    <w:rsid w:val="00BE4231"/>
    <w:rsid w:val="00BE42AD"/>
    <w:rsid w:val="00BE4396"/>
    <w:rsid w:val="00BE496B"/>
    <w:rsid w:val="00BE49BD"/>
    <w:rsid w:val="00BE4A48"/>
    <w:rsid w:val="00BE4C41"/>
    <w:rsid w:val="00BE4C52"/>
    <w:rsid w:val="00BE4D10"/>
    <w:rsid w:val="00BE4D36"/>
    <w:rsid w:val="00BE50BF"/>
    <w:rsid w:val="00BE517D"/>
    <w:rsid w:val="00BE5247"/>
    <w:rsid w:val="00BE52E9"/>
    <w:rsid w:val="00BE52F2"/>
    <w:rsid w:val="00BE55F5"/>
    <w:rsid w:val="00BE5881"/>
    <w:rsid w:val="00BE58DA"/>
    <w:rsid w:val="00BE58E5"/>
    <w:rsid w:val="00BE59A2"/>
    <w:rsid w:val="00BE5B23"/>
    <w:rsid w:val="00BE5C60"/>
    <w:rsid w:val="00BE5CD3"/>
    <w:rsid w:val="00BE5D2C"/>
    <w:rsid w:val="00BE5D49"/>
    <w:rsid w:val="00BE5DB0"/>
    <w:rsid w:val="00BE5E78"/>
    <w:rsid w:val="00BE5FDB"/>
    <w:rsid w:val="00BE5FEB"/>
    <w:rsid w:val="00BE6164"/>
    <w:rsid w:val="00BE624A"/>
    <w:rsid w:val="00BE62BC"/>
    <w:rsid w:val="00BE62DF"/>
    <w:rsid w:val="00BE62E4"/>
    <w:rsid w:val="00BE6356"/>
    <w:rsid w:val="00BE636A"/>
    <w:rsid w:val="00BE63E7"/>
    <w:rsid w:val="00BE6486"/>
    <w:rsid w:val="00BE64EC"/>
    <w:rsid w:val="00BE674A"/>
    <w:rsid w:val="00BE682A"/>
    <w:rsid w:val="00BE68F3"/>
    <w:rsid w:val="00BE6930"/>
    <w:rsid w:val="00BE6A04"/>
    <w:rsid w:val="00BE6A96"/>
    <w:rsid w:val="00BE6D3A"/>
    <w:rsid w:val="00BE6E2C"/>
    <w:rsid w:val="00BE6E96"/>
    <w:rsid w:val="00BE703F"/>
    <w:rsid w:val="00BE70F8"/>
    <w:rsid w:val="00BE7141"/>
    <w:rsid w:val="00BE7276"/>
    <w:rsid w:val="00BE727A"/>
    <w:rsid w:val="00BE7287"/>
    <w:rsid w:val="00BE73BC"/>
    <w:rsid w:val="00BE7412"/>
    <w:rsid w:val="00BE754B"/>
    <w:rsid w:val="00BE75D8"/>
    <w:rsid w:val="00BE764B"/>
    <w:rsid w:val="00BE766E"/>
    <w:rsid w:val="00BE76A0"/>
    <w:rsid w:val="00BE7713"/>
    <w:rsid w:val="00BE77C0"/>
    <w:rsid w:val="00BE799B"/>
    <w:rsid w:val="00BE7B1E"/>
    <w:rsid w:val="00BE7C18"/>
    <w:rsid w:val="00BE7CCA"/>
    <w:rsid w:val="00BE7FF5"/>
    <w:rsid w:val="00BF006A"/>
    <w:rsid w:val="00BF0232"/>
    <w:rsid w:val="00BF0355"/>
    <w:rsid w:val="00BF0402"/>
    <w:rsid w:val="00BF0438"/>
    <w:rsid w:val="00BF04EF"/>
    <w:rsid w:val="00BF05B8"/>
    <w:rsid w:val="00BF065A"/>
    <w:rsid w:val="00BF0716"/>
    <w:rsid w:val="00BF07E1"/>
    <w:rsid w:val="00BF08AC"/>
    <w:rsid w:val="00BF0A65"/>
    <w:rsid w:val="00BF0AC3"/>
    <w:rsid w:val="00BF0B5C"/>
    <w:rsid w:val="00BF1029"/>
    <w:rsid w:val="00BF1345"/>
    <w:rsid w:val="00BF157A"/>
    <w:rsid w:val="00BF1591"/>
    <w:rsid w:val="00BF15A1"/>
    <w:rsid w:val="00BF167C"/>
    <w:rsid w:val="00BF1B36"/>
    <w:rsid w:val="00BF1E4C"/>
    <w:rsid w:val="00BF1FD7"/>
    <w:rsid w:val="00BF1FFB"/>
    <w:rsid w:val="00BF20AD"/>
    <w:rsid w:val="00BF20D7"/>
    <w:rsid w:val="00BF215E"/>
    <w:rsid w:val="00BF21A7"/>
    <w:rsid w:val="00BF237B"/>
    <w:rsid w:val="00BF2499"/>
    <w:rsid w:val="00BF25C5"/>
    <w:rsid w:val="00BF25E1"/>
    <w:rsid w:val="00BF26EB"/>
    <w:rsid w:val="00BF2841"/>
    <w:rsid w:val="00BF2872"/>
    <w:rsid w:val="00BF287D"/>
    <w:rsid w:val="00BF2B15"/>
    <w:rsid w:val="00BF2B88"/>
    <w:rsid w:val="00BF2BD5"/>
    <w:rsid w:val="00BF2F39"/>
    <w:rsid w:val="00BF2FBB"/>
    <w:rsid w:val="00BF3213"/>
    <w:rsid w:val="00BF329B"/>
    <w:rsid w:val="00BF3525"/>
    <w:rsid w:val="00BF361A"/>
    <w:rsid w:val="00BF36E8"/>
    <w:rsid w:val="00BF3813"/>
    <w:rsid w:val="00BF3917"/>
    <w:rsid w:val="00BF3A3B"/>
    <w:rsid w:val="00BF3BB5"/>
    <w:rsid w:val="00BF3ECB"/>
    <w:rsid w:val="00BF3FDA"/>
    <w:rsid w:val="00BF3FE6"/>
    <w:rsid w:val="00BF4036"/>
    <w:rsid w:val="00BF4101"/>
    <w:rsid w:val="00BF413A"/>
    <w:rsid w:val="00BF4176"/>
    <w:rsid w:val="00BF4280"/>
    <w:rsid w:val="00BF428E"/>
    <w:rsid w:val="00BF44B4"/>
    <w:rsid w:val="00BF4506"/>
    <w:rsid w:val="00BF4788"/>
    <w:rsid w:val="00BF478B"/>
    <w:rsid w:val="00BF4A15"/>
    <w:rsid w:val="00BF4C71"/>
    <w:rsid w:val="00BF5097"/>
    <w:rsid w:val="00BF50AD"/>
    <w:rsid w:val="00BF50C3"/>
    <w:rsid w:val="00BF5165"/>
    <w:rsid w:val="00BF54EF"/>
    <w:rsid w:val="00BF56E0"/>
    <w:rsid w:val="00BF57FD"/>
    <w:rsid w:val="00BF5A3B"/>
    <w:rsid w:val="00BF5B9D"/>
    <w:rsid w:val="00BF600C"/>
    <w:rsid w:val="00BF60CA"/>
    <w:rsid w:val="00BF6125"/>
    <w:rsid w:val="00BF64BE"/>
    <w:rsid w:val="00BF651D"/>
    <w:rsid w:val="00BF65EE"/>
    <w:rsid w:val="00BF6712"/>
    <w:rsid w:val="00BF67BE"/>
    <w:rsid w:val="00BF67E5"/>
    <w:rsid w:val="00BF692C"/>
    <w:rsid w:val="00BF699E"/>
    <w:rsid w:val="00BF6A51"/>
    <w:rsid w:val="00BF6B05"/>
    <w:rsid w:val="00BF6D26"/>
    <w:rsid w:val="00BF7016"/>
    <w:rsid w:val="00BF716F"/>
    <w:rsid w:val="00BF7383"/>
    <w:rsid w:val="00BF7479"/>
    <w:rsid w:val="00BF761F"/>
    <w:rsid w:val="00BF777C"/>
    <w:rsid w:val="00BF795F"/>
    <w:rsid w:val="00BF79A1"/>
    <w:rsid w:val="00BF7A14"/>
    <w:rsid w:val="00BF7A9E"/>
    <w:rsid w:val="00BF7CD8"/>
    <w:rsid w:val="00C002B4"/>
    <w:rsid w:val="00C0053A"/>
    <w:rsid w:val="00C00566"/>
    <w:rsid w:val="00C00632"/>
    <w:rsid w:val="00C00708"/>
    <w:rsid w:val="00C0076B"/>
    <w:rsid w:val="00C0086D"/>
    <w:rsid w:val="00C00904"/>
    <w:rsid w:val="00C0091F"/>
    <w:rsid w:val="00C00B42"/>
    <w:rsid w:val="00C00B89"/>
    <w:rsid w:val="00C00BC7"/>
    <w:rsid w:val="00C00D1A"/>
    <w:rsid w:val="00C00E96"/>
    <w:rsid w:val="00C00EA5"/>
    <w:rsid w:val="00C00FD9"/>
    <w:rsid w:val="00C01008"/>
    <w:rsid w:val="00C0139A"/>
    <w:rsid w:val="00C0147D"/>
    <w:rsid w:val="00C0165A"/>
    <w:rsid w:val="00C01665"/>
    <w:rsid w:val="00C01746"/>
    <w:rsid w:val="00C018E7"/>
    <w:rsid w:val="00C01970"/>
    <w:rsid w:val="00C019A7"/>
    <w:rsid w:val="00C019F1"/>
    <w:rsid w:val="00C01AAA"/>
    <w:rsid w:val="00C01C35"/>
    <w:rsid w:val="00C01D52"/>
    <w:rsid w:val="00C01DA3"/>
    <w:rsid w:val="00C01E28"/>
    <w:rsid w:val="00C01F29"/>
    <w:rsid w:val="00C0203F"/>
    <w:rsid w:val="00C021D7"/>
    <w:rsid w:val="00C02430"/>
    <w:rsid w:val="00C02603"/>
    <w:rsid w:val="00C0277B"/>
    <w:rsid w:val="00C02821"/>
    <w:rsid w:val="00C02842"/>
    <w:rsid w:val="00C02918"/>
    <w:rsid w:val="00C02979"/>
    <w:rsid w:val="00C02D55"/>
    <w:rsid w:val="00C02DA4"/>
    <w:rsid w:val="00C02E1B"/>
    <w:rsid w:val="00C03174"/>
    <w:rsid w:val="00C0326C"/>
    <w:rsid w:val="00C03414"/>
    <w:rsid w:val="00C0360D"/>
    <w:rsid w:val="00C03656"/>
    <w:rsid w:val="00C03773"/>
    <w:rsid w:val="00C03939"/>
    <w:rsid w:val="00C039F1"/>
    <w:rsid w:val="00C03A68"/>
    <w:rsid w:val="00C03BF2"/>
    <w:rsid w:val="00C03C5D"/>
    <w:rsid w:val="00C03F04"/>
    <w:rsid w:val="00C04097"/>
    <w:rsid w:val="00C04236"/>
    <w:rsid w:val="00C043FC"/>
    <w:rsid w:val="00C0444C"/>
    <w:rsid w:val="00C044F5"/>
    <w:rsid w:val="00C04565"/>
    <w:rsid w:val="00C048A5"/>
    <w:rsid w:val="00C04B51"/>
    <w:rsid w:val="00C04CBF"/>
    <w:rsid w:val="00C04E19"/>
    <w:rsid w:val="00C04EBC"/>
    <w:rsid w:val="00C050AE"/>
    <w:rsid w:val="00C05130"/>
    <w:rsid w:val="00C05135"/>
    <w:rsid w:val="00C05168"/>
    <w:rsid w:val="00C05227"/>
    <w:rsid w:val="00C05439"/>
    <w:rsid w:val="00C05469"/>
    <w:rsid w:val="00C055DB"/>
    <w:rsid w:val="00C05613"/>
    <w:rsid w:val="00C059D9"/>
    <w:rsid w:val="00C059FA"/>
    <w:rsid w:val="00C05ABE"/>
    <w:rsid w:val="00C05B32"/>
    <w:rsid w:val="00C05B72"/>
    <w:rsid w:val="00C05D74"/>
    <w:rsid w:val="00C0613F"/>
    <w:rsid w:val="00C061CC"/>
    <w:rsid w:val="00C063D9"/>
    <w:rsid w:val="00C06491"/>
    <w:rsid w:val="00C065B3"/>
    <w:rsid w:val="00C06984"/>
    <w:rsid w:val="00C06A57"/>
    <w:rsid w:val="00C06B4A"/>
    <w:rsid w:val="00C06C1A"/>
    <w:rsid w:val="00C06CCC"/>
    <w:rsid w:val="00C06EDE"/>
    <w:rsid w:val="00C06F1F"/>
    <w:rsid w:val="00C072A3"/>
    <w:rsid w:val="00C0737E"/>
    <w:rsid w:val="00C07550"/>
    <w:rsid w:val="00C07551"/>
    <w:rsid w:val="00C07589"/>
    <w:rsid w:val="00C07709"/>
    <w:rsid w:val="00C077B2"/>
    <w:rsid w:val="00C07A0C"/>
    <w:rsid w:val="00C07AC6"/>
    <w:rsid w:val="00C07B88"/>
    <w:rsid w:val="00C07D84"/>
    <w:rsid w:val="00C07D99"/>
    <w:rsid w:val="00C07F3B"/>
    <w:rsid w:val="00C101CA"/>
    <w:rsid w:val="00C1043C"/>
    <w:rsid w:val="00C10478"/>
    <w:rsid w:val="00C1052A"/>
    <w:rsid w:val="00C105CB"/>
    <w:rsid w:val="00C106D4"/>
    <w:rsid w:val="00C10837"/>
    <w:rsid w:val="00C109F9"/>
    <w:rsid w:val="00C10A19"/>
    <w:rsid w:val="00C10B79"/>
    <w:rsid w:val="00C10D42"/>
    <w:rsid w:val="00C10F58"/>
    <w:rsid w:val="00C11036"/>
    <w:rsid w:val="00C110F8"/>
    <w:rsid w:val="00C11178"/>
    <w:rsid w:val="00C1124A"/>
    <w:rsid w:val="00C11256"/>
    <w:rsid w:val="00C11292"/>
    <w:rsid w:val="00C112A6"/>
    <w:rsid w:val="00C112F7"/>
    <w:rsid w:val="00C11478"/>
    <w:rsid w:val="00C11678"/>
    <w:rsid w:val="00C116D0"/>
    <w:rsid w:val="00C11882"/>
    <w:rsid w:val="00C11967"/>
    <w:rsid w:val="00C11A54"/>
    <w:rsid w:val="00C11AD3"/>
    <w:rsid w:val="00C11ADE"/>
    <w:rsid w:val="00C11BE1"/>
    <w:rsid w:val="00C11C6D"/>
    <w:rsid w:val="00C11E0C"/>
    <w:rsid w:val="00C11F02"/>
    <w:rsid w:val="00C1217A"/>
    <w:rsid w:val="00C122B5"/>
    <w:rsid w:val="00C12381"/>
    <w:rsid w:val="00C123F9"/>
    <w:rsid w:val="00C1257D"/>
    <w:rsid w:val="00C1286D"/>
    <w:rsid w:val="00C12948"/>
    <w:rsid w:val="00C12957"/>
    <w:rsid w:val="00C12A3B"/>
    <w:rsid w:val="00C12B17"/>
    <w:rsid w:val="00C12DE4"/>
    <w:rsid w:val="00C12FE0"/>
    <w:rsid w:val="00C1300A"/>
    <w:rsid w:val="00C1313A"/>
    <w:rsid w:val="00C1334A"/>
    <w:rsid w:val="00C13498"/>
    <w:rsid w:val="00C1357C"/>
    <w:rsid w:val="00C13593"/>
    <w:rsid w:val="00C135D9"/>
    <w:rsid w:val="00C13616"/>
    <w:rsid w:val="00C136E1"/>
    <w:rsid w:val="00C13912"/>
    <w:rsid w:val="00C13987"/>
    <w:rsid w:val="00C139D5"/>
    <w:rsid w:val="00C13B79"/>
    <w:rsid w:val="00C13CA3"/>
    <w:rsid w:val="00C13FFB"/>
    <w:rsid w:val="00C13FFD"/>
    <w:rsid w:val="00C14006"/>
    <w:rsid w:val="00C1409D"/>
    <w:rsid w:val="00C141E0"/>
    <w:rsid w:val="00C14231"/>
    <w:rsid w:val="00C144A0"/>
    <w:rsid w:val="00C14502"/>
    <w:rsid w:val="00C146CA"/>
    <w:rsid w:val="00C148C8"/>
    <w:rsid w:val="00C148CF"/>
    <w:rsid w:val="00C14D9C"/>
    <w:rsid w:val="00C14E2F"/>
    <w:rsid w:val="00C14FB4"/>
    <w:rsid w:val="00C15056"/>
    <w:rsid w:val="00C1520E"/>
    <w:rsid w:val="00C152A9"/>
    <w:rsid w:val="00C15327"/>
    <w:rsid w:val="00C15378"/>
    <w:rsid w:val="00C1588F"/>
    <w:rsid w:val="00C15905"/>
    <w:rsid w:val="00C15915"/>
    <w:rsid w:val="00C159AE"/>
    <w:rsid w:val="00C15B97"/>
    <w:rsid w:val="00C15C34"/>
    <w:rsid w:val="00C15DA0"/>
    <w:rsid w:val="00C15DAB"/>
    <w:rsid w:val="00C15E16"/>
    <w:rsid w:val="00C15E76"/>
    <w:rsid w:val="00C15F10"/>
    <w:rsid w:val="00C15F16"/>
    <w:rsid w:val="00C1609B"/>
    <w:rsid w:val="00C16419"/>
    <w:rsid w:val="00C16494"/>
    <w:rsid w:val="00C164CC"/>
    <w:rsid w:val="00C16593"/>
    <w:rsid w:val="00C16599"/>
    <w:rsid w:val="00C165E7"/>
    <w:rsid w:val="00C1660F"/>
    <w:rsid w:val="00C16610"/>
    <w:rsid w:val="00C167BB"/>
    <w:rsid w:val="00C167EA"/>
    <w:rsid w:val="00C16928"/>
    <w:rsid w:val="00C1696F"/>
    <w:rsid w:val="00C169AE"/>
    <w:rsid w:val="00C16A3F"/>
    <w:rsid w:val="00C16C49"/>
    <w:rsid w:val="00C16C83"/>
    <w:rsid w:val="00C16D1A"/>
    <w:rsid w:val="00C16E47"/>
    <w:rsid w:val="00C16E49"/>
    <w:rsid w:val="00C16EE3"/>
    <w:rsid w:val="00C16F6C"/>
    <w:rsid w:val="00C170C7"/>
    <w:rsid w:val="00C170FD"/>
    <w:rsid w:val="00C1713C"/>
    <w:rsid w:val="00C17174"/>
    <w:rsid w:val="00C171DA"/>
    <w:rsid w:val="00C1726D"/>
    <w:rsid w:val="00C17387"/>
    <w:rsid w:val="00C174B2"/>
    <w:rsid w:val="00C174DF"/>
    <w:rsid w:val="00C17570"/>
    <w:rsid w:val="00C175DD"/>
    <w:rsid w:val="00C17620"/>
    <w:rsid w:val="00C17ABD"/>
    <w:rsid w:val="00C17ABE"/>
    <w:rsid w:val="00C17B75"/>
    <w:rsid w:val="00C17CE3"/>
    <w:rsid w:val="00C17D34"/>
    <w:rsid w:val="00C17D60"/>
    <w:rsid w:val="00C17D80"/>
    <w:rsid w:val="00C17E49"/>
    <w:rsid w:val="00C17E54"/>
    <w:rsid w:val="00C17E79"/>
    <w:rsid w:val="00C17EF7"/>
    <w:rsid w:val="00C17F21"/>
    <w:rsid w:val="00C17F8D"/>
    <w:rsid w:val="00C2009C"/>
    <w:rsid w:val="00C20137"/>
    <w:rsid w:val="00C2024B"/>
    <w:rsid w:val="00C2050A"/>
    <w:rsid w:val="00C2077E"/>
    <w:rsid w:val="00C207C8"/>
    <w:rsid w:val="00C20966"/>
    <w:rsid w:val="00C2098C"/>
    <w:rsid w:val="00C20AB8"/>
    <w:rsid w:val="00C20B3A"/>
    <w:rsid w:val="00C20B87"/>
    <w:rsid w:val="00C20C26"/>
    <w:rsid w:val="00C20C2C"/>
    <w:rsid w:val="00C20CA1"/>
    <w:rsid w:val="00C20F00"/>
    <w:rsid w:val="00C20FC8"/>
    <w:rsid w:val="00C20FEE"/>
    <w:rsid w:val="00C2138B"/>
    <w:rsid w:val="00C213C2"/>
    <w:rsid w:val="00C21412"/>
    <w:rsid w:val="00C216A9"/>
    <w:rsid w:val="00C216FE"/>
    <w:rsid w:val="00C2176B"/>
    <w:rsid w:val="00C217C2"/>
    <w:rsid w:val="00C2196C"/>
    <w:rsid w:val="00C21AC2"/>
    <w:rsid w:val="00C21B6E"/>
    <w:rsid w:val="00C21B8F"/>
    <w:rsid w:val="00C21D01"/>
    <w:rsid w:val="00C21DA1"/>
    <w:rsid w:val="00C21DD8"/>
    <w:rsid w:val="00C21E39"/>
    <w:rsid w:val="00C21F13"/>
    <w:rsid w:val="00C21FA7"/>
    <w:rsid w:val="00C21FD6"/>
    <w:rsid w:val="00C222D5"/>
    <w:rsid w:val="00C22442"/>
    <w:rsid w:val="00C22477"/>
    <w:rsid w:val="00C226C6"/>
    <w:rsid w:val="00C22772"/>
    <w:rsid w:val="00C2282F"/>
    <w:rsid w:val="00C22953"/>
    <w:rsid w:val="00C22AA8"/>
    <w:rsid w:val="00C22B0D"/>
    <w:rsid w:val="00C22B67"/>
    <w:rsid w:val="00C22D19"/>
    <w:rsid w:val="00C22DD7"/>
    <w:rsid w:val="00C22E27"/>
    <w:rsid w:val="00C22F88"/>
    <w:rsid w:val="00C232DD"/>
    <w:rsid w:val="00C234D4"/>
    <w:rsid w:val="00C2356D"/>
    <w:rsid w:val="00C2357A"/>
    <w:rsid w:val="00C23CBE"/>
    <w:rsid w:val="00C23D21"/>
    <w:rsid w:val="00C23ED4"/>
    <w:rsid w:val="00C23F5C"/>
    <w:rsid w:val="00C23F81"/>
    <w:rsid w:val="00C24158"/>
    <w:rsid w:val="00C24274"/>
    <w:rsid w:val="00C242F0"/>
    <w:rsid w:val="00C2431A"/>
    <w:rsid w:val="00C2470C"/>
    <w:rsid w:val="00C247AA"/>
    <w:rsid w:val="00C2482A"/>
    <w:rsid w:val="00C24843"/>
    <w:rsid w:val="00C248D8"/>
    <w:rsid w:val="00C24933"/>
    <w:rsid w:val="00C24981"/>
    <w:rsid w:val="00C24C1C"/>
    <w:rsid w:val="00C24C5B"/>
    <w:rsid w:val="00C24CE1"/>
    <w:rsid w:val="00C24DD3"/>
    <w:rsid w:val="00C25035"/>
    <w:rsid w:val="00C25109"/>
    <w:rsid w:val="00C2523E"/>
    <w:rsid w:val="00C252AF"/>
    <w:rsid w:val="00C25394"/>
    <w:rsid w:val="00C2545C"/>
    <w:rsid w:val="00C25470"/>
    <w:rsid w:val="00C25599"/>
    <w:rsid w:val="00C2586F"/>
    <w:rsid w:val="00C2599F"/>
    <w:rsid w:val="00C25AA2"/>
    <w:rsid w:val="00C25D27"/>
    <w:rsid w:val="00C25E87"/>
    <w:rsid w:val="00C25F8C"/>
    <w:rsid w:val="00C2607B"/>
    <w:rsid w:val="00C26204"/>
    <w:rsid w:val="00C262E5"/>
    <w:rsid w:val="00C26617"/>
    <w:rsid w:val="00C2667B"/>
    <w:rsid w:val="00C2676C"/>
    <w:rsid w:val="00C26816"/>
    <w:rsid w:val="00C268D5"/>
    <w:rsid w:val="00C268E9"/>
    <w:rsid w:val="00C26AF1"/>
    <w:rsid w:val="00C26CE3"/>
    <w:rsid w:val="00C26D1B"/>
    <w:rsid w:val="00C26E68"/>
    <w:rsid w:val="00C2706D"/>
    <w:rsid w:val="00C27077"/>
    <w:rsid w:val="00C272E2"/>
    <w:rsid w:val="00C274B6"/>
    <w:rsid w:val="00C2777E"/>
    <w:rsid w:val="00C279A8"/>
    <w:rsid w:val="00C279C2"/>
    <w:rsid w:val="00C27AD9"/>
    <w:rsid w:val="00C27B45"/>
    <w:rsid w:val="00C27F66"/>
    <w:rsid w:val="00C27F98"/>
    <w:rsid w:val="00C27FE9"/>
    <w:rsid w:val="00C301DC"/>
    <w:rsid w:val="00C303DA"/>
    <w:rsid w:val="00C304A0"/>
    <w:rsid w:val="00C304A4"/>
    <w:rsid w:val="00C304B7"/>
    <w:rsid w:val="00C30672"/>
    <w:rsid w:val="00C307F2"/>
    <w:rsid w:val="00C3085F"/>
    <w:rsid w:val="00C30988"/>
    <w:rsid w:val="00C309CE"/>
    <w:rsid w:val="00C30D4A"/>
    <w:rsid w:val="00C30E7B"/>
    <w:rsid w:val="00C30FAF"/>
    <w:rsid w:val="00C31082"/>
    <w:rsid w:val="00C310E0"/>
    <w:rsid w:val="00C3117A"/>
    <w:rsid w:val="00C311E4"/>
    <w:rsid w:val="00C31297"/>
    <w:rsid w:val="00C312A2"/>
    <w:rsid w:val="00C3136D"/>
    <w:rsid w:val="00C313E4"/>
    <w:rsid w:val="00C31434"/>
    <w:rsid w:val="00C3153A"/>
    <w:rsid w:val="00C3164D"/>
    <w:rsid w:val="00C3190C"/>
    <w:rsid w:val="00C31AE0"/>
    <w:rsid w:val="00C31B2F"/>
    <w:rsid w:val="00C31B75"/>
    <w:rsid w:val="00C31DAC"/>
    <w:rsid w:val="00C31F8C"/>
    <w:rsid w:val="00C31FEC"/>
    <w:rsid w:val="00C32227"/>
    <w:rsid w:val="00C32300"/>
    <w:rsid w:val="00C32479"/>
    <w:rsid w:val="00C324C4"/>
    <w:rsid w:val="00C324C9"/>
    <w:rsid w:val="00C3256B"/>
    <w:rsid w:val="00C32570"/>
    <w:rsid w:val="00C32610"/>
    <w:rsid w:val="00C327C2"/>
    <w:rsid w:val="00C32A62"/>
    <w:rsid w:val="00C32BBD"/>
    <w:rsid w:val="00C32C2D"/>
    <w:rsid w:val="00C32CB8"/>
    <w:rsid w:val="00C32DEC"/>
    <w:rsid w:val="00C330AB"/>
    <w:rsid w:val="00C330B7"/>
    <w:rsid w:val="00C33168"/>
    <w:rsid w:val="00C331B2"/>
    <w:rsid w:val="00C332D9"/>
    <w:rsid w:val="00C332E2"/>
    <w:rsid w:val="00C33418"/>
    <w:rsid w:val="00C3361B"/>
    <w:rsid w:val="00C33655"/>
    <w:rsid w:val="00C336D4"/>
    <w:rsid w:val="00C337B0"/>
    <w:rsid w:val="00C3381D"/>
    <w:rsid w:val="00C33836"/>
    <w:rsid w:val="00C3383B"/>
    <w:rsid w:val="00C33844"/>
    <w:rsid w:val="00C338B6"/>
    <w:rsid w:val="00C33A9E"/>
    <w:rsid w:val="00C33ABF"/>
    <w:rsid w:val="00C33C04"/>
    <w:rsid w:val="00C33D61"/>
    <w:rsid w:val="00C33DAA"/>
    <w:rsid w:val="00C33DF4"/>
    <w:rsid w:val="00C33FF5"/>
    <w:rsid w:val="00C34006"/>
    <w:rsid w:val="00C3402D"/>
    <w:rsid w:val="00C3406F"/>
    <w:rsid w:val="00C341F5"/>
    <w:rsid w:val="00C34241"/>
    <w:rsid w:val="00C3448C"/>
    <w:rsid w:val="00C344C4"/>
    <w:rsid w:val="00C346EA"/>
    <w:rsid w:val="00C34730"/>
    <w:rsid w:val="00C34773"/>
    <w:rsid w:val="00C34858"/>
    <w:rsid w:val="00C3487A"/>
    <w:rsid w:val="00C34913"/>
    <w:rsid w:val="00C349A2"/>
    <w:rsid w:val="00C34ED0"/>
    <w:rsid w:val="00C3519F"/>
    <w:rsid w:val="00C3525A"/>
    <w:rsid w:val="00C352A4"/>
    <w:rsid w:val="00C35386"/>
    <w:rsid w:val="00C35395"/>
    <w:rsid w:val="00C355C9"/>
    <w:rsid w:val="00C3561B"/>
    <w:rsid w:val="00C35663"/>
    <w:rsid w:val="00C35680"/>
    <w:rsid w:val="00C3585E"/>
    <w:rsid w:val="00C358AE"/>
    <w:rsid w:val="00C358E2"/>
    <w:rsid w:val="00C35CE8"/>
    <w:rsid w:val="00C35D56"/>
    <w:rsid w:val="00C35D9B"/>
    <w:rsid w:val="00C35DC4"/>
    <w:rsid w:val="00C35F59"/>
    <w:rsid w:val="00C35FA9"/>
    <w:rsid w:val="00C3629F"/>
    <w:rsid w:val="00C36447"/>
    <w:rsid w:val="00C36459"/>
    <w:rsid w:val="00C3645E"/>
    <w:rsid w:val="00C36574"/>
    <w:rsid w:val="00C36587"/>
    <w:rsid w:val="00C365D9"/>
    <w:rsid w:val="00C36797"/>
    <w:rsid w:val="00C367F7"/>
    <w:rsid w:val="00C36889"/>
    <w:rsid w:val="00C368A4"/>
    <w:rsid w:val="00C368C4"/>
    <w:rsid w:val="00C36BFF"/>
    <w:rsid w:val="00C36C2B"/>
    <w:rsid w:val="00C36DCB"/>
    <w:rsid w:val="00C36F79"/>
    <w:rsid w:val="00C36F7D"/>
    <w:rsid w:val="00C36F81"/>
    <w:rsid w:val="00C36F8E"/>
    <w:rsid w:val="00C36FAC"/>
    <w:rsid w:val="00C37026"/>
    <w:rsid w:val="00C37038"/>
    <w:rsid w:val="00C3715F"/>
    <w:rsid w:val="00C37657"/>
    <w:rsid w:val="00C377D6"/>
    <w:rsid w:val="00C37835"/>
    <w:rsid w:val="00C37C7C"/>
    <w:rsid w:val="00C37D01"/>
    <w:rsid w:val="00C37D47"/>
    <w:rsid w:val="00C37EBB"/>
    <w:rsid w:val="00C37EEF"/>
    <w:rsid w:val="00C40215"/>
    <w:rsid w:val="00C40290"/>
    <w:rsid w:val="00C4030F"/>
    <w:rsid w:val="00C4043A"/>
    <w:rsid w:val="00C40682"/>
    <w:rsid w:val="00C40749"/>
    <w:rsid w:val="00C407F0"/>
    <w:rsid w:val="00C40931"/>
    <w:rsid w:val="00C40985"/>
    <w:rsid w:val="00C40CAC"/>
    <w:rsid w:val="00C40D82"/>
    <w:rsid w:val="00C4103A"/>
    <w:rsid w:val="00C41199"/>
    <w:rsid w:val="00C411F2"/>
    <w:rsid w:val="00C413E9"/>
    <w:rsid w:val="00C41763"/>
    <w:rsid w:val="00C41791"/>
    <w:rsid w:val="00C4186A"/>
    <w:rsid w:val="00C419DB"/>
    <w:rsid w:val="00C41A47"/>
    <w:rsid w:val="00C41AE3"/>
    <w:rsid w:val="00C41AED"/>
    <w:rsid w:val="00C41B28"/>
    <w:rsid w:val="00C41B3E"/>
    <w:rsid w:val="00C41BEC"/>
    <w:rsid w:val="00C41D70"/>
    <w:rsid w:val="00C41DB3"/>
    <w:rsid w:val="00C420A8"/>
    <w:rsid w:val="00C420D0"/>
    <w:rsid w:val="00C420F3"/>
    <w:rsid w:val="00C42291"/>
    <w:rsid w:val="00C4237B"/>
    <w:rsid w:val="00C425DB"/>
    <w:rsid w:val="00C4265A"/>
    <w:rsid w:val="00C4266A"/>
    <w:rsid w:val="00C42685"/>
    <w:rsid w:val="00C426B9"/>
    <w:rsid w:val="00C42A5B"/>
    <w:rsid w:val="00C42B15"/>
    <w:rsid w:val="00C42B90"/>
    <w:rsid w:val="00C42C1A"/>
    <w:rsid w:val="00C42C9D"/>
    <w:rsid w:val="00C42D8A"/>
    <w:rsid w:val="00C42E4F"/>
    <w:rsid w:val="00C43294"/>
    <w:rsid w:val="00C43364"/>
    <w:rsid w:val="00C43400"/>
    <w:rsid w:val="00C43505"/>
    <w:rsid w:val="00C43653"/>
    <w:rsid w:val="00C437B5"/>
    <w:rsid w:val="00C43888"/>
    <w:rsid w:val="00C438F2"/>
    <w:rsid w:val="00C43940"/>
    <w:rsid w:val="00C4395D"/>
    <w:rsid w:val="00C43B5F"/>
    <w:rsid w:val="00C43C63"/>
    <w:rsid w:val="00C43F2C"/>
    <w:rsid w:val="00C43FBA"/>
    <w:rsid w:val="00C43FBE"/>
    <w:rsid w:val="00C44099"/>
    <w:rsid w:val="00C4409C"/>
    <w:rsid w:val="00C443E2"/>
    <w:rsid w:val="00C4441A"/>
    <w:rsid w:val="00C4448E"/>
    <w:rsid w:val="00C44557"/>
    <w:rsid w:val="00C4465C"/>
    <w:rsid w:val="00C44857"/>
    <w:rsid w:val="00C4487D"/>
    <w:rsid w:val="00C44968"/>
    <w:rsid w:val="00C44977"/>
    <w:rsid w:val="00C449D7"/>
    <w:rsid w:val="00C449F1"/>
    <w:rsid w:val="00C44A01"/>
    <w:rsid w:val="00C44A27"/>
    <w:rsid w:val="00C44A4E"/>
    <w:rsid w:val="00C44A84"/>
    <w:rsid w:val="00C44EC3"/>
    <w:rsid w:val="00C44F4C"/>
    <w:rsid w:val="00C44FF8"/>
    <w:rsid w:val="00C451EE"/>
    <w:rsid w:val="00C451F6"/>
    <w:rsid w:val="00C453A0"/>
    <w:rsid w:val="00C454D5"/>
    <w:rsid w:val="00C455A6"/>
    <w:rsid w:val="00C456EF"/>
    <w:rsid w:val="00C459D3"/>
    <w:rsid w:val="00C45A0D"/>
    <w:rsid w:val="00C45A33"/>
    <w:rsid w:val="00C45A3B"/>
    <w:rsid w:val="00C45D58"/>
    <w:rsid w:val="00C45E5D"/>
    <w:rsid w:val="00C45EA0"/>
    <w:rsid w:val="00C461B0"/>
    <w:rsid w:val="00C461CD"/>
    <w:rsid w:val="00C464D8"/>
    <w:rsid w:val="00C465FE"/>
    <w:rsid w:val="00C465FF"/>
    <w:rsid w:val="00C46764"/>
    <w:rsid w:val="00C46960"/>
    <w:rsid w:val="00C469DC"/>
    <w:rsid w:val="00C46A4C"/>
    <w:rsid w:val="00C46B5C"/>
    <w:rsid w:val="00C46E82"/>
    <w:rsid w:val="00C4705E"/>
    <w:rsid w:val="00C471FA"/>
    <w:rsid w:val="00C4745F"/>
    <w:rsid w:val="00C474CC"/>
    <w:rsid w:val="00C475DB"/>
    <w:rsid w:val="00C4761C"/>
    <w:rsid w:val="00C4764F"/>
    <w:rsid w:val="00C4787D"/>
    <w:rsid w:val="00C478F0"/>
    <w:rsid w:val="00C47906"/>
    <w:rsid w:val="00C47989"/>
    <w:rsid w:val="00C47AE7"/>
    <w:rsid w:val="00C47B4D"/>
    <w:rsid w:val="00C47C0E"/>
    <w:rsid w:val="00C47C9A"/>
    <w:rsid w:val="00C47CB3"/>
    <w:rsid w:val="00C47DF7"/>
    <w:rsid w:val="00C50026"/>
    <w:rsid w:val="00C5003A"/>
    <w:rsid w:val="00C503E3"/>
    <w:rsid w:val="00C505E7"/>
    <w:rsid w:val="00C50756"/>
    <w:rsid w:val="00C5082F"/>
    <w:rsid w:val="00C5089A"/>
    <w:rsid w:val="00C50AEA"/>
    <w:rsid w:val="00C50B33"/>
    <w:rsid w:val="00C50C66"/>
    <w:rsid w:val="00C50D4C"/>
    <w:rsid w:val="00C50F4E"/>
    <w:rsid w:val="00C50FE9"/>
    <w:rsid w:val="00C51019"/>
    <w:rsid w:val="00C510C3"/>
    <w:rsid w:val="00C510F0"/>
    <w:rsid w:val="00C5112D"/>
    <w:rsid w:val="00C511C4"/>
    <w:rsid w:val="00C5134B"/>
    <w:rsid w:val="00C5141D"/>
    <w:rsid w:val="00C51592"/>
    <w:rsid w:val="00C51645"/>
    <w:rsid w:val="00C51669"/>
    <w:rsid w:val="00C51A5B"/>
    <w:rsid w:val="00C51AA8"/>
    <w:rsid w:val="00C51AF0"/>
    <w:rsid w:val="00C51B21"/>
    <w:rsid w:val="00C522B9"/>
    <w:rsid w:val="00C5232D"/>
    <w:rsid w:val="00C523B9"/>
    <w:rsid w:val="00C52410"/>
    <w:rsid w:val="00C52579"/>
    <w:rsid w:val="00C527BE"/>
    <w:rsid w:val="00C527C3"/>
    <w:rsid w:val="00C52B48"/>
    <w:rsid w:val="00C52B8A"/>
    <w:rsid w:val="00C52BC3"/>
    <w:rsid w:val="00C52C96"/>
    <w:rsid w:val="00C52D6A"/>
    <w:rsid w:val="00C52EA4"/>
    <w:rsid w:val="00C52F2A"/>
    <w:rsid w:val="00C52F39"/>
    <w:rsid w:val="00C53101"/>
    <w:rsid w:val="00C5327E"/>
    <w:rsid w:val="00C532A9"/>
    <w:rsid w:val="00C5336E"/>
    <w:rsid w:val="00C5336F"/>
    <w:rsid w:val="00C53547"/>
    <w:rsid w:val="00C535B2"/>
    <w:rsid w:val="00C538BF"/>
    <w:rsid w:val="00C53934"/>
    <w:rsid w:val="00C53C2E"/>
    <w:rsid w:val="00C53C64"/>
    <w:rsid w:val="00C53D99"/>
    <w:rsid w:val="00C53F38"/>
    <w:rsid w:val="00C53F79"/>
    <w:rsid w:val="00C5407C"/>
    <w:rsid w:val="00C541D4"/>
    <w:rsid w:val="00C5432E"/>
    <w:rsid w:val="00C54443"/>
    <w:rsid w:val="00C5455A"/>
    <w:rsid w:val="00C54611"/>
    <w:rsid w:val="00C546B0"/>
    <w:rsid w:val="00C5491F"/>
    <w:rsid w:val="00C5497E"/>
    <w:rsid w:val="00C54B81"/>
    <w:rsid w:val="00C54D4A"/>
    <w:rsid w:val="00C551FA"/>
    <w:rsid w:val="00C55238"/>
    <w:rsid w:val="00C554B2"/>
    <w:rsid w:val="00C5570F"/>
    <w:rsid w:val="00C557D9"/>
    <w:rsid w:val="00C5580E"/>
    <w:rsid w:val="00C5586F"/>
    <w:rsid w:val="00C55B90"/>
    <w:rsid w:val="00C55EFC"/>
    <w:rsid w:val="00C55F30"/>
    <w:rsid w:val="00C55FC1"/>
    <w:rsid w:val="00C5603E"/>
    <w:rsid w:val="00C5615F"/>
    <w:rsid w:val="00C561B7"/>
    <w:rsid w:val="00C562CF"/>
    <w:rsid w:val="00C563AD"/>
    <w:rsid w:val="00C5653D"/>
    <w:rsid w:val="00C56590"/>
    <w:rsid w:val="00C56636"/>
    <w:rsid w:val="00C566BD"/>
    <w:rsid w:val="00C56725"/>
    <w:rsid w:val="00C56C3B"/>
    <w:rsid w:val="00C56C9B"/>
    <w:rsid w:val="00C56F1A"/>
    <w:rsid w:val="00C57006"/>
    <w:rsid w:val="00C5703C"/>
    <w:rsid w:val="00C57061"/>
    <w:rsid w:val="00C57272"/>
    <w:rsid w:val="00C5733F"/>
    <w:rsid w:val="00C57347"/>
    <w:rsid w:val="00C57509"/>
    <w:rsid w:val="00C575BC"/>
    <w:rsid w:val="00C5771B"/>
    <w:rsid w:val="00C57748"/>
    <w:rsid w:val="00C57836"/>
    <w:rsid w:val="00C57878"/>
    <w:rsid w:val="00C5795F"/>
    <w:rsid w:val="00C57B56"/>
    <w:rsid w:val="00C57D90"/>
    <w:rsid w:val="00C57EE7"/>
    <w:rsid w:val="00C57F60"/>
    <w:rsid w:val="00C57FDE"/>
    <w:rsid w:val="00C60060"/>
    <w:rsid w:val="00C6009F"/>
    <w:rsid w:val="00C600AC"/>
    <w:rsid w:val="00C6015D"/>
    <w:rsid w:val="00C60187"/>
    <w:rsid w:val="00C60283"/>
    <w:rsid w:val="00C603A7"/>
    <w:rsid w:val="00C6044B"/>
    <w:rsid w:val="00C6070C"/>
    <w:rsid w:val="00C60845"/>
    <w:rsid w:val="00C60895"/>
    <w:rsid w:val="00C609D1"/>
    <w:rsid w:val="00C60B50"/>
    <w:rsid w:val="00C60B8E"/>
    <w:rsid w:val="00C60B9D"/>
    <w:rsid w:val="00C60DF3"/>
    <w:rsid w:val="00C60E37"/>
    <w:rsid w:val="00C6114C"/>
    <w:rsid w:val="00C612C5"/>
    <w:rsid w:val="00C61401"/>
    <w:rsid w:val="00C614D3"/>
    <w:rsid w:val="00C61592"/>
    <w:rsid w:val="00C61622"/>
    <w:rsid w:val="00C6167D"/>
    <w:rsid w:val="00C6179C"/>
    <w:rsid w:val="00C61821"/>
    <w:rsid w:val="00C61824"/>
    <w:rsid w:val="00C619DE"/>
    <w:rsid w:val="00C61B24"/>
    <w:rsid w:val="00C61B9A"/>
    <w:rsid w:val="00C61BB7"/>
    <w:rsid w:val="00C61D1A"/>
    <w:rsid w:val="00C61D2E"/>
    <w:rsid w:val="00C61E03"/>
    <w:rsid w:val="00C61E66"/>
    <w:rsid w:val="00C61EEA"/>
    <w:rsid w:val="00C6203E"/>
    <w:rsid w:val="00C6207D"/>
    <w:rsid w:val="00C6209A"/>
    <w:rsid w:val="00C62437"/>
    <w:rsid w:val="00C624F4"/>
    <w:rsid w:val="00C6250E"/>
    <w:rsid w:val="00C62573"/>
    <w:rsid w:val="00C62862"/>
    <w:rsid w:val="00C628BD"/>
    <w:rsid w:val="00C629AA"/>
    <w:rsid w:val="00C629CF"/>
    <w:rsid w:val="00C62A10"/>
    <w:rsid w:val="00C62B0F"/>
    <w:rsid w:val="00C62B5D"/>
    <w:rsid w:val="00C62C0B"/>
    <w:rsid w:val="00C62C2F"/>
    <w:rsid w:val="00C62E2E"/>
    <w:rsid w:val="00C62F72"/>
    <w:rsid w:val="00C6301A"/>
    <w:rsid w:val="00C63048"/>
    <w:rsid w:val="00C630B0"/>
    <w:rsid w:val="00C6317F"/>
    <w:rsid w:val="00C6319D"/>
    <w:rsid w:val="00C63373"/>
    <w:rsid w:val="00C63380"/>
    <w:rsid w:val="00C633A1"/>
    <w:rsid w:val="00C63412"/>
    <w:rsid w:val="00C63602"/>
    <w:rsid w:val="00C636E1"/>
    <w:rsid w:val="00C63931"/>
    <w:rsid w:val="00C6394D"/>
    <w:rsid w:val="00C63975"/>
    <w:rsid w:val="00C63A34"/>
    <w:rsid w:val="00C63B42"/>
    <w:rsid w:val="00C63CE0"/>
    <w:rsid w:val="00C63E43"/>
    <w:rsid w:val="00C63F66"/>
    <w:rsid w:val="00C640E8"/>
    <w:rsid w:val="00C641A5"/>
    <w:rsid w:val="00C64248"/>
    <w:rsid w:val="00C6434A"/>
    <w:rsid w:val="00C6445A"/>
    <w:rsid w:val="00C644F1"/>
    <w:rsid w:val="00C64744"/>
    <w:rsid w:val="00C64792"/>
    <w:rsid w:val="00C6489F"/>
    <w:rsid w:val="00C6494D"/>
    <w:rsid w:val="00C649AC"/>
    <w:rsid w:val="00C64AC0"/>
    <w:rsid w:val="00C64AD6"/>
    <w:rsid w:val="00C64B16"/>
    <w:rsid w:val="00C64B73"/>
    <w:rsid w:val="00C64BA0"/>
    <w:rsid w:val="00C64BAC"/>
    <w:rsid w:val="00C64CC6"/>
    <w:rsid w:val="00C64E0B"/>
    <w:rsid w:val="00C64F46"/>
    <w:rsid w:val="00C6500E"/>
    <w:rsid w:val="00C652D4"/>
    <w:rsid w:val="00C65448"/>
    <w:rsid w:val="00C6566F"/>
    <w:rsid w:val="00C65794"/>
    <w:rsid w:val="00C659A8"/>
    <w:rsid w:val="00C65A70"/>
    <w:rsid w:val="00C65B1E"/>
    <w:rsid w:val="00C65D3E"/>
    <w:rsid w:val="00C65E0D"/>
    <w:rsid w:val="00C6617D"/>
    <w:rsid w:val="00C66265"/>
    <w:rsid w:val="00C662FA"/>
    <w:rsid w:val="00C664FA"/>
    <w:rsid w:val="00C666A9"/>
    <w:rsid w:val="00C6695B"/>
    <w:rsid w:val="00C669C1"/>
    <w:rsid w:val="00C669EE"/>
    <w:rsid w:val="00C66A5F"/>
    <w:rsid w:val="00C66AC4"/>
    <w:rsid w:val="00C66AD5"/>
    <w:rsid w:val="00C66C91"/>
    <w:rsid w:val="00C66D48"/>
    <w:rsid w:val="00C66DE2"/>
    <w:rsid w:val="00C66E1E"/>
    <w:rsid w:val="00C66F20"/>
    <w:rsid w:val="00C670E1"/>
    <w:rsid w:val="00C672F7"/>
    <w:rsid w:val="00C67382"/>
    <w:rsid w:val="00C673A7"/>
    <w:rsid w:val="00C676D4"/>
    <w:rsid w:val="00C67704"/>
    <w:rsid w:val="00C678F2"/>
    <w:rsid w:val="00C67918"/>
    <w:rsid w:val="00C67AB4"/>
    <w:rsid w:val="00C67ACA"/>
    <w:rsid w:val="00C67B3D"/>
    <w:rsid w:val="00C67C89"/>
    <w:rsid w:val="00C67C94"/>
    <w:rsid w:val="00C67DDB"/>
    <w:rsid w:val="00C67ECF"/>
    <w:rsid w:val="00C67EF8"/>
    <w:rsid w:val="00C700B6"/>
    <w:rsid w:val="00C70150"/>
    <w:rsid w:val="00C701B8"/>
    <w:rsid w:val="00C70612"/>
    <w:rsid w:val="00C706D2"/>
    <w:rsid w:val="00C707D5"/>
    <w:rsid w:val="00C708FE"/>
    <w:rsid w:val="00C709D9"/>
    <w:rsid w:val="00C70A49"/>
    <w:rsid w:val="00C70AF7"/>
    <w:rsid w:val="00C70BC1"/>
    <w:rsid w:val="00C70BFC"/>
    <w:rsid w:val="00C70D6E"/>
    <w:rsid w:val="00C70F8E"/>
    <w:rsid w:val="00C70FBD"/>
    <w:rsid w:val="00C710F6"/>
    <w:rsid w:val="00C7116E"/>
    <w:rsid w:val="00C71268"/>
    <w:rsid w:val="00C714F8"/>
    <w:rsid w:val="00C7173C"/>
    <w:rsid w:val="00C717E8"/>
    <w:rsid w:val="00C718D7"/>
    <w:rsid w:val="00C718F6"/>
    <w:rsid w:val="00C71927"/>
    <w:rsid w:val="00C719ED"/>
    <w:rsid w:val="00C71A04"/>
    <w:rsid w:val="00C71ACF"/>
    <w:rsid w:val="00C71BD2"/>
    <w:rsid w:val="00C71CAD"/>
    <w:rsid w:val="00C71E21"/>
    <w:rsid w:val="00C71E24"/>
    <w:rsid w:val="00C71F91"/>
    <w:rsid w:val="00C71FCB"/>
    <w:rsid w:val="00C7203D"/>
    <w:rsid w:val="00C72047"/>
    <w:rsid w:val="00C720A8"/>
    <w:rsid w:val="00C72209"/>
    <w:rsid w:val="00C72226"/>
    <w:rsid w:val="00C723E7"/>
    <w:rsid w:val="00C72404"/>
    <w:rsid w:val="00C7247F"/>
    <w:rsid w:val="00C72521"/>
    <w:rsid w:val="00C725FB"/>
    <w:rsid w:val="00C726B6"/>
    <w:rsid w:val="00C726FF"/>
    <w:rsid w:val="00C72889"/>
    <w:rsid w:val="00C728D0"/>
    <w:rsid w:val="00C7295C"/>
    <w:rsid w:val="00C72AB0"/>
    <w:rsid w:val="00C72B24"/>
    <w:rsid w:val="00C72B5F"/>
    <w:rsid w:val="00C72C54"/>
    <w:rsid w:val="00C72E1B"/>
    <w:rsid w:val="00C72E42"/>
    <w:rsid w:val="00C72FBC"/>
    <w:rsid w:val="00C72FDD"/>
    <w:rsid w:val="00C730C5"/>
    <w:rsid w:val="00C73270"/>
    <w:rsid w:val="00C732AB"/>
    <w:rsid w:val="00C732EE"/>
    <w:rsid w:val="00C7346D"/>
    <w:rsid w:val="00C73477"/>
    <w:rsid w:val="00C73596"/>
    <w:rsid w:val="00C735EA"/>
    <w:rsid w:val="00C73602"/>
    <w:rsid w:val="00C73614"/>
    <w:rsid w:val="00C73829"/>
    <w:rsid w:val="00C739FA"/>
    <w:rsid w:val="00C73A06"/>
    <w:rsid w:val="00C73A91"/>
    <w:rsid w:val="00C73ACC"/>
    <w:rsid w:val="00C73DF4"/>
    <w:rsid w:val="00C73F60"/>
    <w:rsid w:val="00C73F6F"/>
    <w:rsid w:val="00C740CF"/>
    <w:rsid w:val="00C741CB"/>
    <w:rsid w:val="00C74357"/>
    <w:rsid w:val="00C7459A"/>
    <w:rsid w:val="00C74656"/>
    <w:rsid w:val="00C74781"/>
    <w:rsid w:val="00C74829"/>
    <w:rsid w:val="00C7490C"/>
    <w:rsid w:val="00C7498F"/>
    <w:rsid w:val="00C74A0B"/>
    <w:rsid w:val="00C74D15"/>
    <w:rsid w:val="00C7522C"/>
    <w:rsid w:val="00C75569"/>
    <w:rsid w:val="00C755B1"/>
    <w:rsid w:val="00C75990"/>
    <w:rsid w:val="00C759A5"/>
    <w:rsid w:val="00C75ADD"/>
    <w:rsid w:val="00C75C59"/>
    <w:rsid w:val="00C7600F"/>
    <w:rsid w:val="00C76376"/>
    <w:rsid w:val="00C76531"/>
    <w:rsid w:val="00C765BA"/>
    <w:rsid w:val="00C76D17"/>
    <w:rsid w:val="00C76DED"/>
    <w:rsid w:val="00C76EB9"/>
    <w:rsid w:val="00C76FA1"/>
    <w:rsid w:val="00C770FC"/>
    <w:rsid w:val="00C7711F"/>
    <w:rsid w:val="00C77123"/>
    <w:rsid w:val="00C77386"/>
    <w:rsid w:val="00C7740B"/>
    <w:rsid w:val="00C77460"/>
    <w:rsid w:val="00C776A4"/>
    <w:rsid w:val="00C777D6"/>
    <w:rsid w:val="00C77815"/>
    <w:rsid w:val="00C778E3"/>
    <w:rsid w:val="00C77A1B"/>
    <w:rsid w:val="00C77ACA"/>
    <w:rsid w:val="00C77C72"/>
    <w:rsid w:val="00C77D56"/>
    <w:rsid w:val="00C77E30"/>
    <w:rsid w:val="00C77FA0"/>
    <w:rsid w:val="00C802AF"/>
    <w:rsid w:val="00C803A7"/>
    <w:rsid w:val="00C803AC"/>
    <w:rsid w:val="00C804A8"/>
    <w:rsid w:val="00C80641"/>
    <w:rsid w:val="00C806E8"/>
    <w:rsid w:val="00C80823"/>
    <w:rsid w:val="00C808AA"/>
    <w:rsid w:val="00C8097A"/>
    <w:rsid w:val="00C809CD"/>
    <w:rsid w:val="00C809FC"/>
    <w:rsid w:val="00C80A1E"/>
    <w:rsid w:val="00C80CE1"/>
    <w:rsid w:val="00C80DA7"/>
    <w:rsid w:val="00C80E10"/>
    <w:rsid w:val="00C80F90"/>
    <w:rsid w:val="00C80FF9"/>
    <w:rsid w:val="00C81194"/>
    <w:rsid w:val="00C8130E"/>
    <w:rsid w:val="00C8145D"/>
    <w:rsid w:val="00C816A5"/>
    <w:rsid w:val="00C816DD"/>
    <w:rsid w:val="00C81700"/>
    <w:rsid w:val="00C81773"/>
    <w:rsid w:val="00C819BC"/>
    <w:rsid w:val="00C81A08"/>
    <w:rsid w:val="00C81B88"/>
    <w:rsid w:val="00C81D73"/>
    <w:rsid w:val="00C81E17"/>
    <w:rsid w:val="00C81FD3"/>
    <w:rsid w:val="00C81FF9"/>
    <w:rsid w:val="00C820BD"/>
    <w:rsid w:val="00C823F9"/>
    <w:rsid w:val="00C82666"/>
    <w:rsid w:val="00C826CD"/>
    <w:rsid w:val="00C827D8"/>
    <w:rsid w:val="00C827EF"/>
    <w:rsid w:val="00C82A40"/>
    <w:rsid w:val="00C82D2B"/>
    <w:rsid w:val="00C82ED5"/>
    <w:rsid w:val="00C82F31"/>
    <w:rsid w:val="00C82F33"/>
    <w:rsid w:val="00C82F35"/>
    <w:rsid w:val="00C82F68"/>
    <w:rsid w:val="00C83158"/>
    <w:rsid w:val="00C832FF"/>
    <w:rsid w:val="00C8334F"/>
    <w:rsid w:val="00C833B1"/>
    <w:rsid w:val="00C834DB"/>
    <w:rsid w:val="00C837F8"/>
    <w:rsid w:val="00C83807"/>
    <w:rsid w:val="00C83850"/>
    <w:rsid w:val="00C839BD"/>
    <w:rsid w:val="00C839DB"/>
    <w:rsid w:val="00C839FA"/>
    <w:rsid w:val="00C83A83"/>
    <w:rsid w:val="00C83E14"/>
    <w:rsid w:val="00C83F45"/>
    <w:rsid w:val="00C84013"/>
    <w:rsid w:val="00C84112"/>
    <w:rsid w:val="00C84700"/>
    <w:rsid w:val="00C8471E"/>
    <w:rsid w:val="00C848C0"/>
    <w:rsid w:val="00C84AC2"/>
    <w:rsid w:val="00C84B14"/>
    <w:rsid w:val="00C84B4D"/>
    <w:rsid w:val="00C84BED"/>
    <w:rsid w:val="00C84C4F"/>
    <w:rsid w:val="00C84D6E"/>
    <w:rsid w:val="00C84E0D"/>
    <w:rsid w:val="00C84F56"/>
    <w:rsid w:val="00C84F76"/>
    <w:rsid w:val="00C85258"/>
    <w:rsid w:val="00C85359"/>
    <w:rsid w:val="00C853A0"/>
    <w:rsid w:val="00C854D2"/>
    <w:rsid w:val="00C8566E"/>
    <w:rsid w:val="00C856F7"/>
    <w:rsid w:val="00C85813"/>
    <w:rsid w:val="00C85982"/>
    <w:rsid w:val="00C85A57"/>
    <w:rsid w:val="00C85A8A"/>
    <w:rsid w:val="00C85A8C"/>
    <w:rsid w:val="00C85C31"/>
    <w:rsid w:val="00C85CCD"/>
    <w:rsid w:val="00C85E81"/>
    <w:rsid w:val="00C85E85"/>
    <w:rsid w:val="00C85FC4"/>
    <w:rsid w:val="00C860A2"/>
    <w:rsid w:val="00C8611A"/>
    <w:rsid w:val="00C863EE"/>
    <w:rsid w:val="00C864EA"/>
    <w:rsid w:val="00C86643"/>
    <w:rsid w:val="00C86730"/>
    <w:rsid w:val="00C86807"/>
    <w:rsid w:val="00C86812"/>
    <w:rsid w:val="00C869DB"/>
    <w:rsid w:val="00C86AB2"/>
    <w:rsid w:val="00C86C1B"/>
    <w:rsid w:val="00C86C83"/>
    <w:rsid w:val="00C86D10"/>
    <w:rsid w:val="00C86F31"/>
    <w:rsid w:val="00C8703D"/>
    <w:rsid w:val="00C87296"/>
    <w:rsid w:val="00C872B6"/>
    <w:rsid w:val="00C8733C"/>
    <w:rsid w:val="00C87370"/>
    <w:rsid w:val="00C87488"/>
    <w:rsid w:val="00C874E7"/>
    <w:rsid w:val="00C8771F"/>
    <w:rsid w:val="00C87754"/>
    <w:rsid w:val="00C877A1"/>
    <w:rsid w:val="00C879EC"/>
    <w:rsid w:val="00C87A40"/>
    <w:rsid w:val="00C87AA5"/>
    <w:rsid w:val="00C87C58"/>
    <w:rsid w:val="00C87E3F"/>
    <w:rsid w:val="00C87EA9"/>
    <w:rsid w:val="00C87ED2"/>
    <w:rsid w:val="00C9009D"/>
    <w:rsid w:val="00C9027B"/>
    <w:rsid w:val="00C903AB"/>
    <w:rsid w:val="00C906C2"/>
    <w:rsid w:val="00C90765"/>
    <w:rsid w:val="00C90934"/>
    <w:rsid w:val="00C90AB5"/>
    <w:rsid w:val="00C90D7B"/>
    <w:rsid w:val="00C90E01"/>
    <w:rsid w:val="00C90E66"/>
    <w:rsid w:val="00C91176"/>
    <w:rsid w:val="00C9117E"/>
    <w:rsid w:val="00C91326"/>
    <w:rsid w:val="00C91370"/>
    <w:rsid w:val="00C91453"/>
    <w:rsid w:val="00C914ED"/>
    <w:rsid w:val="00C915B7"/>
    <w:rsid w:val="00C9166C"/>
    <w:rsid w:val="00C9189A"/>
    <w:rsid w:val="00C9199A"/>
    <w:rsid w:val="00C91A86"/>
    <w:rsid w:val="00C91AA6"/>
    <w:rsid w:val="00C91C01"/>
    <w:rsid w:val="00C91D0E"/>
    <w:rsid w:val="00C91DFE"/>
    <w:rsid w:val="00C91E37"/>
    <w:rsid w:val="00C91EC5"/>
    <w:rsid w:val="00C91F06"/>
    <w:rsid w:val="00C91F2C"/>
    <w:rsid w:val="00C91F41"/>
    <w:rsid w:val="00C91F94"/>
    <w:rsid w:val="00C92047"/>
    <w:rsid w:val="00C92390"/>
    <w:rsid w:val="00C924E8"/>
    <w:rsid w:val="00C924F6"/>
    <w:rsid w:val="00C92644"/>
    <w:rsid w:val="00C926A2"/>
    <w:rsid w:val="00C926AE"/>
    <w:rsid w:val="00C928F0"/>
    <w:rsid w:val="00C92B00"/>
    <w:rsid w:val="00C92F01"/>
    <w:rsid w:val="00C92F3E"/>
    <w:rsid w:val="00C92FDA"/>
    <w:rsid w:val="00C9304C"/>
    <w:rsid w:val="00C930AE"/>
    <w:rsid w:val="00C93193"/>
    <w:rsid w:val="00C931CD"/>
    <w:rsid w:val="00C93382"/>
    <w:rsid w:val="00C933E8"/>
    <w:rsid w:val="00C93969"/>
    <w:rsid w:val="00C93A45"/>
    <w:rsid w:val="00C93AAF"/>
    <w:rsid w:val="00C93D5C"/>
    <w:rsid w:val="00C93EB8"/>
    <w:rsid w:val="00C9415A"/>
    <w:rsid w:val="00C9416F"/>
    <w:rsid w:val="00C942D5"/>
    <w:rsid w:val="00C94618"/>
    <w:rsid w:val="00C94950"/>
    <w:rsid w:val="00C94953"/>
    <w:rsid w:val="00C94A8C"/>
    <w:rsid w:val="00C94C34"/>
    <w:rsid w:val="00C94C45"/>
    <w:rsid w:val="00C94D2B"/>
    <w:rsid w:val="00C9522D"/>
    <w:rsid w:val="00C95323"/>
    <w:rsid w:val="00C953A9"/>
    <w:rsid w:val="00C9592F"/>
    <w:rsid w:val="00C95A27"/>
    <w:rsid w:val="00C95B49"/>
    <w:rsid w:val="00C95C89"/>
    <w:rsid w:val="00C95C97"/>
    <w:rsid w:val="00C95CEF"/>
    <w:rsid w:val="00C95D1E"/>
    <w:rsid w:val="00C95D97"/>
    <w:rsid w:val="00C95DD1"/>
    <w:rsid w:val="00C95F4F"/>
    <w:rsid w:val="00C95F72"/>
    <w:rsid w:val="00C96080"/>
    <w:rsid w:val="00C960FE"/>
    <w:rsid w:val="00C9619E"/>
    <w:rsid w:val="00C9621F"/>
    <w:rsid w:val="00C9644C"/>
    <w:rsid w:val="00C964CD"/>
    <w:rsid w:val="00C96526"/>
    <w:rsid w:val="00C9658E"/>
    <w:rsid w:val="00C965B2"/>
    <w:rsid w:val="00C96665"/>
    <w:rsid w:val="00C967EA"/>
    <w:rsid w:val="00C9690A"/>
    <w:rsid w:val="00C969EA"/>
    <w:rsid w:val="00C96A5A"/>
    <w:rsid w:val="00C96B75"/>
    <w:rsid w:val="00C96BB2"/>
    <w:rsid w:val="00C96C84"/>
    <w:rsid w:val="00C96C91"/>
    <w:rsid w:val="00C96D16"/>
    <w:rsid w:val="00C96E46"/>
    <w:rsid w:val="00C97016"/>
    <w:rsid w:val="00C97116"/>
    <w:rsid w:val="00C9715A"/>
    <w:rsid w:val="00C97193"/>
    <w:rsid w:val="00C9732E"/>
    <w:rsid w:val="00C976C5"/>
    <w:rsid w:val="00C9787C"/>
    <w:rsid w:val="00C979B4"/>
    <w:rsid w:val="00C97A38"/>
    <w:rsid w:val="00C97A44"/>
    <w:rsid w:val="00C97A72"/>
    <w:rsid w:val="00C97A7B"/>
    <w:rsid w:val="00C97B23"/>
    <w:rsid w:val="00C97B77"/>
    <w:rsid w:val="00C97E70"/>
    <w:rsid w:val="00CA004C"/>
    <w:rsid w:val="00CA0225"/>
    <w:rsid w:val="00CA036D"/>
    <w:rsid w:val="00CA04D1"/>
    <w:rsid w:val="00CA0656"/>
    <w:rsid w:val="00CA0736"/>
    <w:rsid w:val="00CA086E"/>
    <w:rsid w:val="00CA0966"/>
    <w:rsid w:val="00CA0BC0"/>
    <w:rsid w:val="00CA0D11"/>
    <w:rsid w:val="00CA0D47"/>
    <w:rsid w:val="00CA0E22"/>
    <w:rsid w:val="00CA12AA"/>
    <w:rsid w:val="00CA14E7"/>
    <w:rsid w:val="00CA167E"/>
    <w:rsid w:val="00CA1692"/>
    <w:rsid w:val="00CA1796"/>
    <w:rsid w:val="00CA1929"/>
    <w:rsid w:val="00CA1945"/>
    <w:rsid w:val="00CA19E5"/>
    <w:rsid w:val="00CA1AC0"/>
    <w:rsid w:val="00CA1AC6"/>
    <w:rsid w:val="00CA1B78"/>
    <w:rsid w:val="00CA2034"/>
    <w:rsid w:val="00CA20C6"/>
    <w:rsid w:val="00CA224E"/>
    <w:rsid w:val="00CA22A2"/>
    <w:rsid w:val="00CA232C"/>
    <w:rsid w:val="00CA234C"/>
    <w:rsid w:val="00CA2457"/>
    <w:rsid w:val="00CA2691"/>
    <w:rsid w:val="00CA2767"/>
    <w:rsid w:val="00CA2B93"/>
    <w:rsid w:val="00CA2CA6"/>
    <w:rsid w:val="00CA2CE2"/>
    <w:rsid w:val="00CA2EED"/>
    <w:rsid w:val="00CA3004"/>
    <w:rsid w:val="00CA30FB"/>
    <w:rsid w:val="00CA326D"/>
    <w:rsid w:val="00CA3308"/>
    <w:rsid w:val="00CA3391"/>
    <w:rsid w:val="00CA3539"/>
    <w:rsid w:val="00CA354D"/>
    <w:rsid w:val="00CA3605"/>
    <w:rsid w:val="00CA3696"/>
    <w:rsid w:val="00CA36E5"/>
    <w:rsid w:val="00CA36F4"/>
    <w:rsid w:val="00CA3741"/>
    <w:rsid w:val="00CA37FA"/>
    <w:rsid w:val="00CA38B7"/>
    <w:rsid w:val="00CA3BCD"/>
    <w:rsid w:val="00CA3BE8"/>
    <w:rsid w:val="00CA40F8"/>
    <w:rsid w:val="00CA4109"/>
    <w:rsid w:val="00CA41F1"/>
    <w:rsid w:val="00CA427E"/>
    <w:rsid w:val="00CA433C"/>
    <w:rsid w:val="00CA4360"/>
    <w:rsid w:val="00CA437B"/>
    <w:rsid w:val="00CA43D1"/>
    <w:rsid w:val="00CA4647"/>
    <w:rsid w:val="00CA48F5"/>
    <w:rsid w:val="00CA49B0"/>
    <w:rsid w:val="00CA4A3C"/>
    <w:rsid w:val="00CA4DC4"/>
    <w:rsid w:val="00CA5050"/>
    <w:rsid w:val="00CA5068"/>
    <w:rsid w:val="00CA50DE"/>
    <w:rsid w:val="00CA513A"/>
    <w:rsid w:val="00CA5333"/>
    <w:rsid w:val="00CA53B6"/>
    <w:rsid w:val="00CA556A"/>
    <w:rsid w:val="00CA5658"/>
    <w:rsid w:val="00CA5832"/>
    <w:rsid w:val="00CA5982"/>
    <w:rsid w:val="00CA59C6"/>
    <w:rsid w:val="00CA5B29"/>
    <w:rsid w:val="00CA5DC8"/>
    <w:rsid w:val="00CA5FC6"/>
    <w:rsid w:val="00CA603D"/>
    <w:rsid w:val="00CA60F6"/>
    <w:rsid w:val="00CA6231"/>
    <w:rsid w:val="00CA6350"/>
    <w:rsid w:val="00CA647B"/>
    <w:rsid w:val="00CA64D6"/>
    <w:rsid w:val="00CA64F1"/>
    <w:rsid w:val="00CA672F"/>
    <w:rsid w:val="00CA6A3C"/>
    <w:rsid w:val="00CA6AB7"/>
    <w:rsid w:val="00CA6C69"/>
    <w:rsid w:val="00CA6C71"/>
    <w:rsid w:val="00CA6E74"/>
    <w:rsid w:val="00CA6ECD"/>
    <w:rsid w:val="00CA7127"/>
    <w:rsid w:val="00CA715C"/>
    <w:rsid w:val="00CA7295"/>
    <w:rsid w:val="00CA733E"/>
    <w:rsid w:val="00CA750B"/>
    <w:rsid w:val="00CA79FC"/>
    <w:rsid w:val="00CA7A67"/>
    <w:rsid w:val="00CA7E08"/>
    <w:rsid w:val="00CA7E31"/>
    <w:rsid w:val="00CA7E67"/>
    <w:rsid w:val="00CA7E6C"/>
    <w:rsid w:val="00CA7F1C"/>
    <w:rsid w:val="00CA7FEB"/>
    <w:rsid w:val="00CB02A1"/>
    <w:rsid w:val="00CB0394"/>
    <w:rsid w:val="00CB04B8"/>
    <w:rsid w:val="00CB0577"/>
    <w:rsid w:val="00CB0592"/>
    <w:rsid w:val="00CB0788"/>
    <w:rsid w:val="00CB0889"/>
    <w:rsid w:val="00CB09AA"/>
    <w:rsid w:val="00CB09F8"/>
    <w:rsid w:val="00CB0A51"/>
    <w:rsid w:val="00CB0A8B"/>
    <w:rsid w:val="00CB0DB0"/>
    <w:rsid w:val="00CB1089"/>
    <w:rsid w:val="00CB112B"/>
    <w:rsid w:val="00CB1257"/>
    <w:rsid w:val="00CB1324"/>
    <w:rsid w:val="00CB158F"/>
    <w:rsid w:val="00CB15CD"/>
    <w:rsid w:val="00CB164A"/>
    <w:rsid w:val="00CB168B"/>
    <w:rsid w:val="00CB17C8"/>
    <w:rsid w:val="00CB1AD2"/>
    <w:rsid w:val="00CB1B3E"/>
    <w:rsid w:val="00CB1E03"/>
    <w:rsid w:val="00CB1F5B"/>
    <w:rsid w:val="00CB2087"/>
    <w:rsid w:val="00CB2312"/>
    <w:rsid w:val="00CB233B"/>
    <w:rsid w:val="00CB23BE"/>
    <w:rsid w:val="00CB2412"/>
    <w:rsid w:val="00CB2468"/>
    <w:rsid w:val="00CB24E7"/>
    <w:rsid w:val="00CB2521"/>
    <w:rsid w:val="00CB2577"/>
    <w:rsid w:val="00CB260B"/>
    <w:rsid w:val="00CB26C7"/>
    <w:rsid w:val="00CB2740"/>
    <w:rsid w:val="00CB27D7"/>
    <w:rsid w:val="00CB28A2"/>
    <w:rsid w:val="00CB28F6"/>
    <w:rsid w:val="00CB2908"/>
    <w:rsid w:val="00CB2AA6"/>
    <w:rsid w:val="00CB2B29"/>
    <w:rsid w:val="00CB2B51"/>
    <w:rsid w:val="00CB2B75"/>
    <w:rsid w:val="00CB2BA0"/>
    <w:rsid w:val="00CB2C43"/>
    <w:rsid w:val="00CB2E77"/>
    <w:rsid w:val="00CB2ED9"/>
    <w:rsid w:val="00CB2F59"/>
    <w:rsid w:val="00CB2FC0"/>
    <w:rsid w:val="00CB3007"/>
    <w:rsid w:val="00CB3091"/>
    <w:rsid w:val="00CB31A5"/>
    <w:rsid w:val="00CB3230"/>
    <w:rsid w:val="00CB3297"/>
    <w:rsid w:val="00CB3648"/>
    <w:rsid w:val="00CB3800"/>
    <w:rsid w:val="00CB3A41"/>
    <w:rsid w:val="00CB3A78"/>
    <w:rsid w:val="00CB3B02"/>
    <w:rsid w:val="00CB3CA0"/>
    <w:rsid w:val="00CB3CE4"/>
    <w:rsid w:val="00CB3D48"/>
    <w:rsid w:val="00CB3E80"/>
    <w:rsid w:val="00CB3E90"/>
    <w:rsid w:val="00CB3F93"/>
    <w:rsid w:val="00CB3FAE"/>
    <w:rsid w:val="00CB4067"/>
    <w:rsid w:val="00CB4119"/>
    <w:rsid w:val="00CB4275"/>
    <w:rsid w:val="00CB43BC"/>
    <w:rsid w:val="00CB447E"/>
    <w:rsid w:val="00CB4811"/>
    <w:rsid w:val="00CB493F"/>
    <w:rsid w:val="00CB496C"/>
    <w:rsid w:val="00CB4AF5"/>
    <w:rsid w:val="00CB4B3A"/>
    <w:rsid w:val="00CB4D3E"/>
    <w:rsid w:val="00CB4DD8"/>
    <w:rsid w:val="00CB4E66"/>
    <w:rsid w:val="00CB4EFA"/>
    <w:rsid w:val="00CB509A"/>
    <w:rsid w:val="00CB5104"/>
    <w:rsid w:val="00CB512E"/>
    <w:rsid w:val="00CB53AD"/>
    <w:rsid w:val="00CB53D0"/>
    <w:rsid w:val="00CB53E4"/>
    <w:rsid w:val="00CB5853"/>
    <w:rsid w:val="00CB59A0"/>
    <w:rsid w:val="00CB5C0F"/>
    <w:rsid w:val="00CB5E61"/>
    <w:rsid w:val="00CB5EB2"/>
    <w:rsid w:val="00CB6204"/>
    <w:rsid w:val="00CB6314"/>
    <w:rsid w:val="00CB632E"/>
    <w:rsid w:val="00CB636C"/>
    <w:rsid w:val="00CB6847"/>
    <w:rsid w:val="00CB69D0"/>
    <w:rsid w:val="00CB6FDA"/>
    <w:rsid w:val="00CB70A4"/>
    <w:rsid w:val="00CB711F"/>
    <w:rsid w:val="00CB7153"/>
    <w:rsid w:val="00CB751B"/>
    <w:rsid w:val="00CB7774"/>
    <w:rsid w:val="00CB799B"/>
    <w:rsid w:val="00CB7D14"/>
    <w:rsid w:val="00CB7D45"/>
    <w:rsid w:val="00CB7D50"/>
    <w:rsid w:val="00CB7DB6"/>
    <w:rsid w:val="00CB7FB8"/>
    <w:rsid w:val="00CC005B"/>
    <w:rsid w:val="00CC00D4"/>
    <w:rsid w:val="00CC01D4"/>
    <w:rsid w:val="00CC03EB"/>
    <w:rsid w:val="00CC080E"/>
    <w:rsid w:val="00CC0925"/>
    <w:rsid w:val="00CC0A25"/>
    <w:rsid w:val="00CC0D50"/>
    <w:rsid w:val="00CC0E4D"/>
    <w:rsid w:val="00CC0E60"/>
    <w:rsid w:val="00CC10A9"/>
    <w:rsid w:val="00CC1115"/>
    <w:rsid w:val="00CC11E6"/>
    <w:rsid w:val="00CC11EC"/>
    <w:rsid w:val="00CC143A"/>
    <w:rsid w:val="00CC156F"/>
    <w:rsid w:val="00CC1751"/>
    <w:rsid w:val="00CC1752"/>
    <w:rsid w:val="00CC175A"/>
    <w:rsid w:val="00CC17FF"/>
    <w:rsid w:val="00CC1887"/>
    <w:rsid w:val="00CC1899"/>
    <w:rsid w:val="00CC190B"/>
    <w:rsid w:val="00CC1AA4"/>
    <w:rsid w:val="00CC1EA8"/>
    <w:rsid w:val="00CC1FE6"/>
    <w:rsid w:val="00CC203B"/>
    <w:rsid w:val="00CC21DD"/>
    <w:rsid w:val="00CC21EE"/>
    <w:rsid w:val="00CC2285"/>
    <w:rsid w:val="00CC2296"/>
    <w:rsid w:val="00CC2371"/>
    <w:rsid w:val="00CC2393"/>
    <w:rsid w:val="00CC24DB"/>
    <w:rsid w:val="00CC2604"/>
    <w:rsid w:val="00CC279B"/>
    <w:rsid w:val="00CC2B16"/>
    <w:rsid w:val="00CC2E52"/>
    <w:rsid w:val="00CC2F60"/>
    <w:rsid w:val="00CC2F6E"/>
    <w:rsid w:val="00CC2FCF"/>
    <w:rsid w:val="00CC300D"/>
    <w:rsid w:val="00CC301F"/>
    <w:rsid w:val="00CC31A5"/>
    <w:rsid w:val="00CC3259"/>
    <w:rsid w:val="00CC3379"/>
    <w:rsid w:val="00CC33B6"/>
    <w:rsid w:val="00CC3737"/>
    <w:rsid w:val="00CC385B"/>
    <w:rsid w:val="00CC390B"/>
    <w:rsid w:val="00CC393E"/>
    <w:rsid w:val="00CC39C2"/>
    <w:rsid w:val="00CC3AFA"/>
    <w:rsid w:val="00CC3DFD"/>
    <w:rsid w:val="00CC40D1"/>
    <w:rsid w:val="00CC4153"/>
    <w:rsid w:val="00CC4275"/>
    <w:rsid w:val="00CC43D3"/>
    <w:rsid w:val="00CC44D0"/>
    <w:rsid w:val="00CC44E8"/>
    <w:rsid w:val="00CC45D1"/>
    <w:rsid w:val="00CC45D9"/>
    <w:rsid w:val="00CC48EF"/>
    <w:rsid w:val="00CC4932"/>
    <w:rsid w:val="00CC49C5"/>
    <w:rsid w:val="00CC4B0D"/>
    <w:rsid w:val="00CC4C57"/>
    <w:rsid w:val="00CC4EF1"/>
    <w:rsid w:val="00CC51A5"/>
    <w:rsid w:val="00CC52B1"/>
    <w:rsid w:val="00CC530A"/>
    <w:rsid w:val="00CC5434"/>
    <w:rsid w:val="00CC54DA"/>
    <w:rsid w:val="00CC5650"/>
    <w:rsid w:val="00CC5791"/>
    <w:rsid w:val="00CC57DF"/>
    <w:rsid w:val="00CC58A2"/>
    <w:rsid w:val="00CC5948"/>
    <w:rsid w:val="00CC59D5"/>
    <w:rsid w:val="00CC5AD3"/>
    <w:rsid w:val="00CC5B21"/>
    <w:rsid w:val="00CC5BFD"/>
    <w:rsid w:val="00CC5D57"/>
    <w:rsid w:val="00CC5D5E"/>
    <w:rsid w:val="00CC5EDA"/>
    <w:rsid w:val="00CC60FF"/>
    <w:rsid w:val="00CC61A6"/>
    <w:rsid w:val="00CC6323"/>
    <w:rsid w:val="00CC64B7"/>
    <w:rsid w:val="00CC655F"/>
    <w:rsid w:val="00CC6715"/>
    <w:rsid w:val="00CC6844"/>
    <w:rsid w:val="00CC69AE"/>
    <w:rsid w:val="00CC6A7B"/>
    <w:rsid w:val="00CC6AEE"/>
    <w:rsid w:val="00CC6B9F"/>
    <w:rsid w:val="00CC6CA7"/>
    <w:rsid w:val="00CC6E01"/>
    <w:rsid w:val="00CC6ED7"/>
    <w:rsid w:val="00CC6F35"/>
    <w:rsid w:val="00CC6FA7"/>
    <w:rsid w:val="00CC7108"/>
    <w:rsid w:val="00CC71E6"/>
    <w:rsid w:val="00CC71F4"/>
    <w:rsid w:val="00CC728D"/>
    <w:rsid w:val="00CC73D4"/>
    <w:rsid w:val="00CC7753"/>
    <w:rsid w:val="00CC77D2"/>
    <w:rsid w:val="00CC79A1"/>
    <w:rsid w:val="00CC79D6"/>
    <w:rsid w:val="00CC7AF8"/>
    <w:rsid w:val="00CC7E87"/>
    <w:rsid w:val="00CC7FAA"/>
    <w:rsid w:val="00CD00CF"/>
    <w:rsid w:val="00CD025E"/>
    <w:rsid w:val="00CD070F"/>
    <w:rsid w:val="00CD0841"/>
    <w:rsid w:val="00CD0A17"/>
    <w:rsid w:val="00CD0B61"/>
    <w:rsid w:val="00CD0BE7"/>
    <w:rsid w:val="00CD0E0A"/>
    <w:rsid w:val="00CD0F06"/>
    <w:rsid w:val="00CD0F77"/>
    <w:rsid w:val="00CD1067"/>
    <w:rsid w:val="00CD1361"/>
    <w:rsid w:val="00CD14E1"/>
    <w:rsid w:val="00CD180C"/>
    <w:rsid w:val="00CD18D6"/>
    <w:rsid w:val="00CD194C"/>
    <w:rsid w:val="00CD1966"/>
    <w:rsid w:val="00CD1B61"/>
    <w:rsid w:val="00CD1C10"/>
    <w:rsid w:val="00CD1C63"/>
    <w:rsid w:val="00CD1CBE"/>
    <w:rsid w:val="00CD1D16"/>
    <w:rsid w:val="00CD1E98"/>
    <w:rsid w:val="00CD23E0"/>
    <w:rsid w:val="00CD2415"/>
    <w:rsid w:val="00CD2563"/>
    <w:rsid w:val="00CD25C6"/>
    <w:rsid w:val="00CD2749"/>
    <w:rsid w:val="00CD27B5"/>
    <w:rsid w:val="00CD27EB"/>
    <w:rsid w:val="00CD2815"/>
    <w:rsid w:val="00CD287B"/>
    <w:rsid w:val="00CD28D3"/>
    <w:rsid w:val="00CD2969"/>
    <w:rsid w:val="00CD2993"/>
    <w:rsid w:val="00CD2A4E"/>
    <w:rsid w:val="00CD2C98"/>
    <w:rsid w:val="00CD2D4F"/>
    <w:rsid w:val="00CD2D69"/>
    <w:rsid w:val="00CD2F55"/>
    <w:rsid w:val="00CD315B"/>
    <w:rsid w:val="00CD3353"/>
    <w:rsid w:val="00CD337C"/>
    <w:rsid w:val="00CD3658"/>
    <w:rsid w:val="00CD370B"/>
    <w:rsid w:val="00CD377C"/>
    <w:rsid w:val="00CD38D1"/>
    <w:rsid w:val="00CD391B"/>
    <w:rsid w:val="00CD3996"/>
    <w:rsid w:val="00CD39B0"/>
    <w:rsid w:val="00CD3A21"/>
    <w:rsid w:val="00CD3AA7"/>
    <w:rsid w:val="00CD3ABE"/>
    <w:rsid w:val="00CD3BCB"/>
    <w:rsid w:val="00CD3BF9"/>
    <w:rsid w:val="00CD3D12"/>
    <w:rsid w:val="00CD3FED"/>
    <w:rsid w:val="00CD4344"/>
    <w:rsid w:val="00CD4384"/>
    <w:rsid w:val="00CD4561"/>
    <w:rsid w:val="00CD45EC"/>
    <w:rsid w:val="00CD46C3"/>
    <w:rsid w:val="00CD4748"/>
    <w:rsid w:val="00CD48A7"/>
    <w:rsid w:val="00CD48B1"/>
    <w:rsid w:val="00CD4C2A"/>
    <w:rsid w:val="00CD4D07"/>
    <w:rsid w:val="00CD519A"/>
    <w:rsid w:val="00CD51E4"/>
    <w:rsid w:val="00CD5264"/>
    <w:rsid w:val="00CD536D"/>
    <w:rsid w:val="00CD54BA"/>
    <w:rsid w:val="00CD54D8"/>
    <w:rsid w:val="00CD54E8"/>
    <w:rsid w:val="00CD555D"/>
    <w:rsid w:val="00CD56E3"/>
    <w:rsid w:val="00CD56F7"/>
    <w:rsid w:val="00CD572C"/>
    <w:rsid w:val="00CD5859"/>
    <w:rsid w:val="00CD585B"/>
    <w:rsid w:val="00CD58B6"/>
    <w:rsid w:val="00CD5901"/>
    <w:rsid w:val="00CD5A28"/>
    <w:rsid w:val="00CD5A73"/>
    <w:rsid w:val="00CD5B39"/>
    <w:rsid w:val="00CD5B6B"/>
    <w:rsid w:val="00CD5B9C"/>
    <w:rsid w:val="00CD5D2D"/>
    <w:rsid w:val="00CD5F9B"/>
    <w:rsid w:val="00CD6108"/>
    <w:rsid w:val="00CD620F"/>
    <w:rsid w:val="00CD629D"/>
    <w:rsid w:val="00CD64D8"/>
    <w:rsid w:val="00CD6863"/>
    <w:rsid w:val="00CD6967"/>
    <w:rsid w:val="00CD69E0"/>
    <w:rsid w:val="00CD6A30"/>
    <w:rsid w:val="00CD6B46"/>
    <w:rsid w:val="00CD6D62"/>
    <w:rsid w:val="00CD6ECD"/>
    <w:rsid w:val="00CD7018"/>
    <w:rsid w:val="00CD72BC"/>
    <w:rsid w:val="00CD7717"/>
    <w:rsid w:val="00CD774C"/>
    <w:rsid w:val="00CD77A3"/>
    <w:rsid w:val="00CD77CA"/>
    <w:rsid w:val="00CD78F4"/>
    <w:rsid w:val="00CD7B0F"/>
    <w:rsid w:val="00CD7B4E"/>
    <w:rsid w:val="00CD7D49"/>
    <w:rsid w:val="00CD7D74"/>
    <w:rsid w:val="00CD7DA1"/>
    <w:rsid w:val="00CD88CF"/>
    <w:rsid w:val="00CE00F6"/>
    <w:rsid w:val="00CE0241"/>
    <w:rsid w:val="00CE0308"/>
    <w:rsid w:val="00CE03B7"/>
    <w:rsid w:val="00CE04A4"/>
    <w:rsid w:val="00CE04E6"/>
    <w:rsid w:val="00CE058D"/>
    <w:rsid w:val="00CE0593"/>
    <w:rsid w:val="00CE0634"/>
    <w:rsid w:val="00CE0746"/>
    <w:rsid w:val="00CE0996"/>
    <w:rsid w:val="00CE09D9"/>
    <w:rsid w:val="00CE0A44"/>
    <w:rsid w:val="00CE0C7C"/>
    <w:rsid w:val="00CE0C8C"/>
    <w:rsid w:val="00CE0E3C"/>
    <w:rsid w:val="00CE1025"/>
    <w:rsid w:val="00CE1071"/>
    <w:rsid w:val="00CE1139"/>
    <w:rsid w:val="00CE1299"/>
    <w:rsid w:val="00CE1326"/>
    <w:rsid w:val="00CE1469"/>
    <w:rsid w:val="00CE159C"/>
    <w:rsid w:val="00CE1659"/>
    <w:rsid w:val="00CE17C9"/>
    <w:rsid w:val="00CE17F0"/>
    <w:rsid w:val="00CE1B94"/>
    <w:rsid w:val="00CE1C46"/>
    <w:rsid w:val="00CE1D94"/>
    <w:rsid w:val="00CE1E34"/>
    <w:rsid w:val="00CE1EFF"/>
    <w:rsid w:val="00CE1F2B"/>
    <w:rsid w:val="00CE1F96"/>
    <w:rsid w:val="00CE2037"/>
    <w:rsid w:val="00CE2092"/>
    <w:rsid w:val="00CE21CF"/>
    <w:rsid w:val="00CE22FD"/>
    <w:rsid w:val="00CE2356"/>
    <w:rsid w:val="00CE239E"/>
    <w:rsid w:val="00CE273F"/>
    <w:rsid w:val="00CE2B47"/>
    <w:rsid w:val="00CE2B77"/>
    <w:rsid w:val="00CE2B93"/>
    <w:rsid w:val="00CE2CF9"/>
    <w:rsid w:val="00CE2D10"/>
    <w:rsid w:val="00CE2D9E"/>
    <w:rsid w:val="00CE2DE4"/>
    <w:rsid w:val="00CE2EB9"/>
    <w:rsid w:val="00CE2EBC"/>
    <w:rsid w:val="00CE2F66"/>
    <w:rsid w:val="00CE2F9C"/>
    <w:rsid w:val="00CE2FC8"/>
    <w:rsid w:val="00CE3297"/>
    <w:rsid w:val="00CE3379"/>
    <w:rsid w:val="00CE345C"/>
    <w:rsid w:val="00CE3478"/>
    <w:rsid w:val="00CE34E6"/>
    <w:rsid w:val="00CE3668"/>
    <w:rsid w:val="00CE3710"/>
    <w:rsid w:val="00CE3834"/>
    <w:rsid w:val="00CE383A"/>
    <w:rsid w:val="00CE38DC"/>
    <w:rsid w:val="00CE3B1C"/>
    <w:rsid w:val="00CE3C96"/>
    <w:rsid w:val="00CE3E39"/>
    <w:rsid w:val="00CE3EF1"/>
    <w:rsid w:val="00CE41B6"/>
    <w:rsid w:val="00CE41EA"/>
    <w:rsid w:val="00CE4296"/>
    <w:rsid w:val="00CE438B"/>
    <w:rsid w:val="00CE43A0"/>
    <w:rsid w:val="00CE469F"/>
    <w:rsid w:val="00CE46A2"/>
    <w:rsid w:val="00CE470B"/>
    <w:rsid w:val="00CE47ED"/>
    <w:rsid w:val="00CE485E"/>
    <w:rsid w:val="00CE4943"/>
    <w:rsid w:val="00CE4944"/>
    <w:rsid w:val="00CE4B7A"/>
    <w:rsid w:val="00CE4BC0"/>
    <w:rsid w:val="00CE4FB5"/>
    <w:rsid w:val="00CE4FE5"/>
    <w:rsid w:val="00CE4FF9"/>
    <w:rsid w:val="00CE51CD"/>
    <w:rsid w:val="00CE52B0"/>
    <w:rsid w:val="00CE5396"/>
    <w:rsid w:val="00CE54B3"/>
    <w:rsid w:val="00CE5700"/>
    <w:rsid w:val="00CE58E8"/>
    <w:rsid w:val="00CE5C61"/>
    <w:rsid w:val="00CE5D85"/>
    <w:rsid w:val="00CE5FE0"/>
    <w:rsid w:val="00CE602B"/>
    <w:rsid w:val="00CE60CF"/>
    <w:rsid w:val="00CE6501"/>
    <w:rsid w:val="00CE6636"/>
    <w:rsid w:val="00CE673C"/>
    <w:rsid w:val="00CE6844"/>
    <w:rsid w:val="00CE6979"/>
    <w:rsid w:val="00CE6ACB"/>
    <w:rsid w:val="00CE6B48"/>
    <w:rsid w:val="00CE6C46"/>
    <w:rsid w:val="00CE6D83"/>
    <w:rsid w:val="00CE6DE1"/>
    <w:rsid w:val="00CE6EA4"/>
    <w:rsid w:val="00CE7127"/>
    <w:rsid w:val="00CE71A8"/>
    <w:rsid w:val="00CE71D4"/>
    <w:rsid w:val="00CE72F8"/>
    <w:rsid w:val="00CE7380"/>
    <w:rsid w:val="00CE73FF"/>
    <w:rsid w:val="00CE7499"/>
    <w:rsid w:val="00CE75A1"/>
    <w:rsid w:val="00CE760A"/>
    <w:rsid w:val="00CE7768"/>
    <w:rsid w:val="00CE78CC"/>
    <w:rsid w:val="00CE7910"/>
    <w:rsid w:val="00CE79C7"/>
    <w:rsid w:val="00CE7A63"/>
    <w:rsid w:val="00CE7AA8"/>
    <w:rsid w:val="00CE7BCB"/>
    <w:rsid w:val="00CE7BE0"/>
    <w:rsid w:val="00CE7CA5"/>
    <w:rsid w:val="00CE7CCD"/>
    <w:rsid w:val="00CE7DF5"/>
    <w:rsid w:val="00CE7EF1"/>
    <w:rsid w:val="00CE7FAC"/>
    <w:rsid w:val="00CF0113"/>
    <w:rsid w:val="00CF03F7"/>
    <w:rsid w:val="00CF05CE"/>
    <w:rsid w:val="00CF05EB"/>
    <w:rsid w:val="00CF08FA"/>
    <w:rsid w:val="00CF097A"/>
    <w:rsid w:val="00CF0B18"/>
    <w:rsid w:val="00CF0BFF"/>
    <w:rsid w:val="00CF0F96"/>
    <w:rsid w:val="00CF1185"/>
    <w:rsid w:val="00CF11EA"/>
    <w:rsid w:val="00CF137E"/>
    <w:rsid w:val="00CF1455"/>
    <w:rsid w:val="00CF15F4"/>
    <w:rsid w:val="00CF16AA"/>
    <w:rsid w:val="00CF17E0"/>
    <w:rsid w:val="00CF185F"/>
    <w:rsid w:val="00CF1E82"/>
    <w:rsid w:val="00CF1E9F"/>
    <w:rsid w:val="00CF1FD3"/>
    <w:rsid w:val="00CF1FE2"/>
    <w:rsid w:val="00CF2199"/>
    <w:rsid w:val="00CF21C7"/>
    <w:rsid w:val="00CF2460"/>
    <w:rsid w:val="00CF24F5"/>
    <w:rsid w:val="00CF2513"/>
    <w:rsid w:val="00CF258C"/>
    <w:rsid w:val="00CF26C4"/>
    <w:rsid w:val="00CF279F"/>
    <w:rsid w:val="00CF282A"/>
    <w:rsid w:val="00CF298E"/>
    <w:rsid w:val="00CF2C38"/>
    <w:rsid w:val="00CF2E13"/>
    <w:rsid w:val="00CF2EB9"/>
    <w:rsid w:val="00CF2ED2"/>
    <w:rsid w:val="00CF2FBA"/>
    <w:rsid w:val="00CF3059"/>
    <w:rsid w:val="00CF3172"/>
    <w:rsid w:val="00CF3237"/>
    <w:rsid w:val="00CF339B"/>
    <w:rsid w:val="00CF35E6"/>
    <w:rsid w:val="00CF3626"/>
    <w:rsid w:val="00CF3674"/>
    <w:rsid w:val="00CF391A"/>
    <w:rsid w:val="00CF3A08"/>
    <w:rsid w:val="00CF3B80"/>
    <w:rsid w:val="00CF3D84"/>
    <w:rsid w:val="00CF3FFB"/>
    <w:rsid w:val="00CF4307"/>
    <w:rsid w:val="00CF4311"/>
    <w:rsid w:val="00CF4375"/>
    <w:rsid w:val="00CF446A"/>
    <w:rsid w:val="00CF4871"/>
    <w:rsid w:val="00CF487A"/>
    <w:rsid w:val="00CF4A5D"/>
    <w:rsid w:val="00CF4AD8"/>
    <w:rsid w:val="00CF4B0B"/>
    <w:rsid w:val="00CF4B11"/>
    <w:rsid w:val="00CF4BB2"/>
    <w:rsid w:val="00CF4BFC"/>
    <w:rsid w:val="00CF4C38"/>
    <w:rsid w:val="00CF4CAD"/>
    <w:rsid w:val="00CF4DE6"/>
    <w:rsid w:val="00CF4E97"/>
    <w:rsid w:val="00CF4F64"/>
    <w:rsid w:val="00CF4FAA"/>
    <w:rsid w:val="00CF4FC2"/>
    <w:rsid w:val="00CF5391"/>
    <w:rsid w:val="00CF55A1"/>
    <w:rsid w:val="00CF588F"/>
    <w:rsid w:val="00CF59C0"/>
    <w:rsid w:val="00CF5BC8"/>
    <w:rsid w:val="00CF5D28"/>
    <w:rsid w:val="00CF5DDD"/>
    <w:rsid w:val="00CF5F9B"/>
    <w:rsid w:val="00CF5FB5"/>
    <w:rsid w:val="00CF628B"/>
    <w:rsid w:val="00CF62DB"/>
    <w:rsid w:val="00CF67D1"/>
    <w:rsid w:val="00CF6C35"/>
    <w:rsid w:val="00CF6F59"/>
    <w:rsid w:val="00CF6FD5"/>
    <w:rsid w:val="00CF7165"/>
    <w:rsid w:val="00CF731B"/>
    <w:rsid w:val="00CF748E"/>
    <w:rsid w:val="00CF75B4"/>
    <w:rsid w:val="00CF761C"/>
    <w:rsid w:val="00CF76C1"/>
    <w:rsid w:val="00CF776B"/>
    <w:rsid w:val="00CF77FF"/>
    <w:rsid w:val="00CF7820"/>
    <w:rsid w:val="00CF7847"/>
    <w:rsid w:val="00CF7901"/>
    <w:rsid w:val="00CF79C9"/>
    <w:rsid w:val="00CF7B7A"/>
    <w:rsid w:val="00CF7C2B"/>
    <w:rsid w:val="00CF7D53"/>
    <w:rsid w:val="00CF7D64"/>
    <w:rsid w:val="00CF7D72"/>
    <w:rsid w:val="00CF7D9F"/>
    <w:rsid w:val="00CF7F2D"/>
    <w:rsid w:val="00D0015C"/>
    <w:rsid w:val="00D00452"/>
    <w:rsid w:val="00D0053C"/>
    <w:rsid w:val="00D0063F"/>
    <w:rsid w:val="00D00667"/>
    <w:rsid w:val="00D00C47"/>
    <w:rsid w:val="00D00C6B"/>
    <w:rsid w:val="00D00CC5"/>
    <w:rsid w:val="00D00D59"/>
    <w:rsid w:val="00D00DC8"/>
    <w:rsid w:val="00D00DD1"/>
    <w:rsid w:val="00D00E6F"/>
    <w:rsid w:val="00D00EF8"/>
    <w:rsid w:val="00D00FE2"/>
    <w:rsid w:val="00D0122D"/>
    <w:rsid w:val="00D01238"/>
    <w:rsid w:val="00D01442"/>
    <w:rsid w:val="00D01457"/>
    <w:rsid w:val="00D01673"/>
    <w:rsid w:val="00D016A5"/>
    <w:rsid w:val="00D0173F"/>
    <w:rsid w:val="00D01874"/>
    <w:rsid w:val="00D019FB"/>
    <w:rsid w:val="00D01C0A"/>
    <w:rsid w:val="00D01F35"/>
    <w:rsid w:val="00D022D1"/>
    <w:rsid w:val="00D02600"/>
    <w:rsid w:val="00D026BE"/>
    <w:rsid w:val="00D0274B"/>
    <w:rsid w:val="00D0286A"/>
    <w:rsid w:val="00D02A0C"/>
    <w:rsid w:val="00D02BC8"/>
    <w:rsid w:val="00D02CD3"/>
    <w:rsid w:val="00D02D1E"/>
    <w:rsid w:val="00D02D53"/>
    <w:rsid w:val="00D02DE7"/>
    <w:rsid w:val="00D02E28"/>
    <w:rsid w:val="00D02E44"/>
    <w:rsid w:val="00D02E79"/>
    <w:rsid w:val="00D02EFE"/>
    <w:rsid w:val="00D0327B"/>
    <w:rsid w:val="00D0338A"/>
    <w:rsid w:val="00D033CF"/>
    <w:rsid w:val="00D034B1"/>
    <w:rsid w:val="00D0385A"/>
    <w:rsid w:val="00D0385C"/>
    <w:rsid w:val="00D0386C"/>
    <w:rsid w:val="00D03930"/>
    <w:rsid w:val="00D03A9C"/>
    <w:rsid w:val="00D03B9A"/>
    <w:rsid w:val="00D03BE2"/>
    <w:rsid w:val="00D03D25"/>
    <w:rsid w:val="00D03D67"/>
    <w:rsid w:val="00D03DB5"/>
    <w:rsid w:val="00D0405D"/>
    <w:rsid w:val="00D04314"/>
    <w:rsid w:val="00D0434E"/>
    <w:rsid w:val="00D044ED"/>
    <w:rsid w:val="00D04580"/>
    <w:rsid w:val="00D045BC"/>
    <w:rsid w:val="00D045F7"/>
    <w:rsid w:val="00D045F8"/>
    <w:rsid w:val="00D0466F"/>
    <w:rsid w:val="00D046A5"/>
    <w:rsid w:val="00D047AC"/>
    <w:rsid w:val="00D047E0"/>
    <w:rsid w:val="00D0486C"/>
    <w:rsid w:val="00D04A1D"/>
    <w:rsid w:val="00D04A4C"/>
    <w:rsid w:val="00D04A58"/>
    <w:rsid w:val="00D04B4C"/>
    <w:rsid w:val="00D04CF0"/>
    <w:rsid w:val="00D04D64"/>
    <w:rsid w:val="00D04F79"/>
    <w:rsid w:val="00D0505B"/>
    <w:rsid w:val="00D0512A"/>
    <w:rsid w:val="00D0513C"/>
    <w:rsid w:val="00D0519F"/>
    <w:rsid w:val="00D05443"/>
    <w:rsid w:val="00D0565F"/>
    <w:rsid w:val="00D05758"/>
    <w:rsid w:val="00D057EF"/>
    <w:rsid w:val="00D0589E"/>
    <w:rsid w:val="00D05A52"/>
    <w:rsid w:val="00D05A6C"/>
    <w:rsid w:val="00D05B6B"/>
    <w:rsid w:val="00D05B91"/>
    <w:rsid w:val="00D05C4B"/>
    <w:rsid w:val="00D05C8E"/>
    <w:rsid w:val="00D05D14"/>
    <w:rsid w:val="00D05DFA"/>
    <w:rsid w:val="00D0603C"/>
    <w:rsid w:val="00D06060"/>
    <w:rsid w:val="00D0621F"/>
    <w:rsid w:val="00D06404"/>
    <w:rsid w:val="00D067DE"/>
    <w:rsid w:val="00D06809"/>
    <w:rsid w:val="00D0693D"/>
    <w:rsid w:val="00D06CF4"/>
    <w:rsid w:val="00D06D4A"/>
    <w:rsid w:val="00D06FE1"/>
    <w:rsid w:val="00D0712B"/>
    <w:rsid w:val="00D0748E"/>
    <w:rsid w:val="00D07597"/>
    <w:rsid w:val="00D0759B"/>
    <w:rsid w:val="00D076C4"/>
    <w:rsid w:val="00D0784C"/>
    <w:rsid w:val="00D07A7E"/>
    <w:rsid w:val="00D07AE8"/>
    <w:rsid w:val="00D07BD0"/>
    <w:rsid w:val="00D07C16"/>
    <w:rsid w:val="00D07C4F"/>
    <w:rsid w:val="00D07D34"/>
    <w:rsid w:val="00D07DF9"/>
    <w:rsid w:val="00D0BEC0"/>
    <w:rsid w:val="00D10149"/>
    <w:rsid w:val="00D102EC"/>
    <w:rsid w:val="00D10315"/>
    <w:rsid w:val="00D10490"/>
    <w:rsid w:val="00D10600"/>
    <w:rsid w:val="00D106D9"/>
    <w:rsid w:val="00D106DF"/>
    <w:rsid w:val="00D106E1"/>
    <w:rsid w:val="00D10764"/>
    <w:rsid w:val="00D10A61"/>
    <w:rsid w:val="00D10C15"/>
    <w:rsid w:val="00D10CFD"/>
    <w:rsid w:val="00D10D22"/>
    <w:rsid w:val="00D10D73"/>
    <w:rsid w:val="00D10DE3"/>
    <w:rsid w:val="00D10E6C"/>
    <w:rsid w:val="00D10F05"/>
    <w:rsid w:val="00D111E4"/>
    <w:rsid w:val="00D115B1"/>
    <w:rsid w:val="00D1168B"/>
    <w:rsid w:val="00D11843"/>
    <w:rsid w:val="00D11AB4"/>
    <w:rsid w:val="00D11B95"/>
    <w:rsid w:val="00D11E54"/>
    <w:rsid w:val="00D11EEE"/>
    <w:rsid w:val="00D122B1"/>
    <w:rsid w:val="00D123FA"/>
    <w:rsid w:val="00D12420"/>
    <w:rsid w:val="00D12451"/>
    <w:rsid w:val="00D12465"/>
    <w:rsid w:val="00D124EC"/>
    <w:rsid w:val="00D1263B"/>
    <w:rsid w:val="00D1263D"/>
    <w:rsid w:val="00D12651"/>
    <w:rsid w:val="00D127B8"/>
    <w:rsid w:val="00D12824"/>
    <w:rsid w:val="00D12CB2"/>
    <w:rsid w:val="00D12E12"/>
    <w:rsid w:val="00D12EAD"/>
    <w:rsid w:val="00D12EE0"/>
    <w:rsid w:val="00D12F04"/>
    <w:rsid w:val="00D130E2"/>
    <w:rsid w:val="00D130E6"/>
    <w:rsid w:val="00D130F5"/>
    <w:rsid w:val="00D1316E"/>
    <w:rsid w:val="00D1317C"/>
    <w:rsid w:val="00D13337"/>
    <w:rsid w:val="00D13442"/>
    <w:rsid w:val="00D135EE"/>
    <w:rsid w:val="00D13648"/>
    <w:rsid w:val="00D13766"/>
    <w:rsid w:val="00D13840"/>
    <w:rsid w:val="00D139A3"/>
    <w:rsid w:val="00D13A2E"/>
    <w:rsid w:val="00D13A99"/>
    <w:rsid w:val="00D13ADC"/>
    <w:rsid w:val="00D13CA3"/>
    <w:rsid w:val="00D13D7B"/>
    <w:rsid w:val="00D13E31"/>
    <w:rsid w:val="00D13FCD"/>
    <w:rsid w:val="00D14276"/>
    <w:rsid w:val="00D142EC"/>
    <w:rsid w:val="00D14426"/>
    <w:rsid w:val="00D1452F"/>
    <w:rsid w:val="00D14A77"/>
    <w:rsid w:val="00D14B7A"/>
    <w:rsid w:val="00D14DFD"/>
    <w:rsid w:val="00D14F2E"/>
    <w:rsid w:val="00D14F7B"/>
    <w:rsid w:val="00D150A1"/>
    <w:rsid w:val="00D1522E"/>
    <w:rsid w:val="00D15340"/>
    <w:rsid w:val="00D1557C"/>
    <w:rsid w:val="00D1564C"/>
    <w:rsid w:val="00D15696"/>
    <w:rsid w:val="00D157CA"/>
    <w:rsid w:val="00D159DC"/>
    <w:rsid w:val="00D15BE0"/>
    <w:rsid w:val="00D15C91"/>
    <w:rsid w:val="00D15FD8"/>
    <w:rsid w:val="00D163AA"/>
    <w:rsid w:val="00D166B7"/>
    <w:rsid w:val="00D166D2"/>
    <w:rsid w:val="00D1691D"/>
    <w:rsid w:val="00D16AA4"/>
    <w:rsid w:val="00D16B15"/>
    <w:rsid w:val="00D16B2F"/>
    <w:rsid w:val="00D16B77"/>
    <w:rsid w:val="00D16BD3"/>
    <w:rsid w:val="00D16CC7"/>
    <w:rsid w:val="00D16D19"/>
    <w:rsid w:val="00D170A5"/>
    <w:rsid w:val="00D17194"/>
    <w:rsid w:val="00D171E3"/>
    <w:rsid w:val="00D1722A"/>
    <w:rsid w:val="00D1723C"/>
    <w:rsid w:val="00D1740B"/>
    <w:rsid w:val="00D177DE"/>
    <w:rsid w:val="00D177F4"/>
    <w:rsid w:val="00D1783D"/>
    <w:rsid w:val="00D1784A"/>
    <w:rsid w:val="00D179FB"/>
    <w:rsid w:val="00D17B5F"/>
    <w:rsid w:val="00D17BC7"/>
    <w:rsid w:val="00D17BF1"/>
    <w:rsid w:val="00D17BF2"/>
    <w:rsid w:val="00D17DED"/>
    <w:rsid w:val="00D17EDB"/>
    <w:rsid w:val="00D17EF0"/>
    <w:rsid w:val="00D17FEA"/>
    <w:rsid w:val="00D20007"/>
    <w:rsid w:val="00D20196"/>
    <w:rsid w:val="00D201C0"/>
    <w:rsid w:val="00D20246"/>
    <w:rsid w:val="00D202B9"/>
    <w:rsid w:val="00D20439"/>
    <w:rsid w:val="00D204CD"/>
    <w:rsid w:val="00D2057A"/>
    <w:rsid w:val="00D205CC"/>
    <w:rsid w:val="00D2071B"/>
    <w:rsid w:val="00D20793"/>
    <w:rsid w:val="00D2087F"/>
    <w:rsid w:val="00D2090E"/>
    <w:rsid w:val="00D20A34"/>
    <w:rsid w:val="00D20A90"/>
    <w:rsid w:val="00D20B67"/>
    <w:rsid w:val="00D20B87"/>
    <w:rsid w:val="00D20C20"/>
    <w:rsid w:val="00D20DFD"/>
    <w:rsid w:val="00D20F07"/>
    <w:rsid w:val="00D21071"/>
    <w:rsid w:val="00D2117F"/>
    <w:rsid w:val="00D219A0"/>
    <w:rsid w:val="00D219DA"/>
    <w:rsid w:val="00D21A1E"/>
    <w:rsid w:val="00D21A74"/>
    <w:rsid w:val="00D21AAD"/>
    <w:rsid w:val="00D21ED9"/>
    <w:rsid w:val="00D22019"/>
    <w:rsid w:val="00D22042"/>
    <w:rsid w:val="00D220F8"/>
    <w:rsid w:val="00D2254B"/>
    <w:rsid w:val="00D225E5"/>
    <w:rsid w:val="00D2266B"/>
    <w:rsid w:val="00D2284E"/>
    <w:rsid w:val="00D22978"/>
    <w:rsid w:val="00D22A2C"/>
    <w:rsid w:val="00D22AD0"/>
    <w:rsid w:val="00D22B87"/>
    <w:rsid w:val="00D22BD8"/>
    <w:rsid w:val="00D22DE2"/>
    <w:rsid w:val="00D22E4C"/>
    <w:rsid w:val="00D22E99"/>
    <w:rsid w:val="00D22F11"/>
    <w:rsid w:val="00D22FA6"/>
    <w:rsid w:val="00D23038"/>
    <w:rsid w:val="00D2315C"/>
    <w:rsid w:val="00D23214"/>
    <w:rsid w:val="00D2335E"/>
    <w:rsid w:val="00D2343A"/>
    <w:rsid w:val="00D236B4"/>
    <w:rsid w:val="00D23702"/>
    <w:rsid w:val="00D23868"/>
    <w:rsid w:val="00D238C1"/>
    <w:rsid w:val="00D238E6"/>
    <w:rsid w:val="00D23909"/>
    <w:rsid w:val="00D23A2B"/>
    <w:rsid w:val="00D23C44"/>
    <w:rsid w:val="00D23E43"/>
    <w:rsid w:val="00D24124"/>
    <w:rsid w:val="00D24259"/>
    <w:rsid w:val="00D242B1"/>
    <w:rsid w:val="00D2436E"/>
    <w:rsid w:val="00D24435"/>
    <w:rsid w:val="00D24452"/>
    <w:rsid w:val="00D24524"/>
    <w:rsid w:val="00D2474C"/>
    <w:rsid w:val="00D248D3"/>
    <w:rsid w:val="00D24A60"/>
    <w:rsid w:val="00D24DE7"/>
    <w:rsid w:val="00D251CC"/>
    <w:rsid w:val="00D254A6"/>
    <w:rsid w:val="00D254B2"/>
    <w:rsid w:val="00D254EF"/>
    <w:rsid w:val="00D25594"/>
    <w:rsid w:val="00D2583F"/>
    <w:rsid w:val="00D258BA"/>
    <w:rsid w:val="00D258E7"/>
    <w:rsid w:val="00D25A14"/>
    <w:rsid w:val="00D25B3D"/>
    <w:rsid w:val="00D25DF7"/>
    <w:rsid w:val="00D25E32"/>
    <w:rsid w:val="00D26026"/>
    <w:rsid w:val="00D26088"/>
    <w:rsid w:val="00D26113"/>
    <w:rsid w:val="00D262E0"/>
    <w:rsid w:val="00D263BD"/>
    <w:rsid w:val="00D26403"/>
    <w:rsid w:val="00D267CF"/>
    <w:rsid w:val="00D26B28"/>
    <w:rsid w:val="00D26FC7"/>
    <w:rsid w:val="00D2718B"/>
    <w:rsid w:val="00D272C2"/>
    <w:rsid w:val="00D27348"/>
    <w:rsid w:val="00D2737D"/>
    <w:rsid w:val="00D2744E"/>
    <w:rsid w:val="00D27511"/>
    <w:rsid w:val="00D27660"/>
    <w:rsid w:val="00D27727"/>
    <w:rsid w:val="00D2778E"/>
    <w:rsid w:val="00D277AA"/>
    <w:rsid w:val="00D278F1"/>
    <w:rsid w:val="00D27BF2"/>
    <w:rsid w:val="00D27C4C"/>
    <w:rsid w:val="00D27D31"/>
    <w:rsid w:val="00D27D67"/>
    <w:rsid w:val="00D30082"/>
    <w:rsid w:val="00D3013E"/>
    <w:rsid w:val="00D301AD"/>
    <w:rsid w:val="00D3023A"/>
    <w:rsid w:val="00D303DB"/>
    <w:rsid w:val="00D304AC"/>
    <w:rsid w:val="00D305FD"/>
    <w:rsid w:val="00D30638"/>
    <w:rsid w:val="00D3064E"/>
    <w:rsid w:val="00D30704"/>
    <w:rsid w:val="00D3081C"/>
    <w:rsid w:val="00D30872"/>
    <w:rsid w:val="00D30A61"/>
    <w:rsid w:val="00D30AB4"/>
    <w:rsid w:val="00D30AE7"/>
    <w:rsid w:val="00D30CA8"/>
    <w:rsid w:val="00D30D0A"/>
    <w:rsid w:val="00D30F6A"/>
    <w:rsid w:val="00D30FF1"/>
    <w:rsid w:val="00D311E6"/>
    <w:rsid w:val="00D314D7"/>
    <w:rsid w:val="00D31504"/>
    <w:rsid w:val="00D317FE"/>
    <w:rsid w:val="00D31852"/>
    <w:rsid w:val="00D318E9"/>
    <w:rsid w:val="00D31905"/>
    <w:rsid w:val="00D319D6"/>
    <w:rsid w:val="00D31A92"/>
    <w:rsid w:val="00D31CDD"/>
    <w:rsid w:val="00D31DF8"/>
    <w:rsid w:val="00D31E67"/>
    <w:rsid w:val="00D31FEB"/>
    <w:rsid w:val="00D32050"/>
    <w:rsid w:val="00D32316"/>
    <w:rsid w:val="00D323BB"/>
    <w:rsid w:val="00D324C8"/>
    <w:rsid w:val="00D32524"/>
    <w:rsid w:val="00D32541"/>
    <w:rsid w:val="00D3259D"/>
    <w:rsid w:val="00D325F1"/>
    <w:rsid w:val="00D3288D"/>
    <w:rsid w:val="00D3291B"/>
    <w:rsid w:val="00D32933"/>
    <w:rsid w:val="00D3293C"/>
    <w:rsid w:val="00D3298B"/>
    <w:rsid w:val="00D32A78"/>
    <w:rsid w:val="00D32A95"/>
    <w:rsid w:val="00D32AC5"/>
    <w:rsid w:val="00D32BDF"/>
    <w:rsid w:val="00D32CCA"/>
    <w:rsid w:val="00D32D33"/>
    <w:rsid w:val="00D33021"/>
    <w:rsid w:val="00D330C2"/>
    <w:rsid w:val="00D33269"/>
    <w:rsid w:val="00D332AF"/>
    <w:rsid w:val="00D332BF"/>
    <w:rsid w:val="00D33426"/>
    <w:rsid w:val="00D33B48"/>
    <w:rsid w:val="00D33B8E"/>
    <w:rsid w:val="00D33C11"/>
    <w:rsid w:val="00D33C21"/>
    <w:rsid w:val="00D33CC1"/>
    <w:rsid w:val="00D33D50"/>
    <w:rsid w:val="00D33E79"/>
    <w:rsid w:val="00D33F64"/>
    <w:rsid w:val="00D34032"/>
    <w:rsid w:val="00D34181"/>
    <w:rsid w:val="00D342AA"/>
    <w:rsid w:val="00D3466A"/>
    <w:rsid w:val="00D3474A"/>
    <w:rsid w:val="00D34990"/>
    <w:rsid w:val="00D349AE"/>
    <w:rsid w:val="00D34CCE"/>
    <w:rsid w:val="00D34E8F"/>
    <w:rsid w:val="00D351A6"/>
    <w:rsid w:val="00D353AA"/>
    <w:rsid w:val="00D353E9"/>
    <w:rsid w:val="00D353FA"/>
    <w:rsid w:val="00D35487"/>
    <w:rsid w:val="00D355ED"/>
    <w:rsid w:val="00D3569C"/>
    <w:rsid w:val="00D356ED"/>
    <w:rsid w:val="00D35860"/>
    <w:rsid w:val="00D3590D"/>
    <w:rsid w:val="00D35B82"/>
    <w:rsid w:val="00D35DA8"/>
    <w:rsid w:val="00D35E3A"/>
    <w:rsid w:val="00D3601C"/>
    <w:rsid w:val="00D3608A"/>
    <w:rsid w:val="00D36168"/>
    <w:rsid w:val="00D3640E"/>
    <w:rsid w:val="00D3672F"/>
    <w:rsid w:val="00D368B5"/>
    <w:rsid w:val="00D36961"/>
    <w:rsid w:val="00D36CC3"/>
    <w:rsid w:val="00D36D6B"/>
    <w:rsid w:val="00D36EBD"/>
    <w:rsid w:val="00D36F7E"/>
    <w:rsid w:val="00D370D7"/>
    <w:rsid w:val="00D3731E"/>
    <w:rsid w:val="00D373EA"/>
    <w:rsid w:val="00D37527"/>
    <w:rsid w:val="00D37663"/>
    <w:rsid w:val="00D37776"/>
    <w:rsid w:val="00D3789C"/>
    <w:rsid w:val="00D37A7F"/>
    <w:rsid w:val="00D37AFD"/>
    <w:rsid w:val="00D37C90"/>
    <w:rsid w:val="00D37CFF"/>
    <w:rsid w:val="00D37D8F"/>
    <w:rsid w:val="00D37DBA"/>
    <w:rsid w:val="00D37FCE"/>
    <w:rsid w:val="00D37FDC"/>
    <w:rsid w:val="00D37FDD"/>
    <w:rsid w:val="00D3BD14"/>
    <w:rsid w:val="00D40239"/>
    <w:rsid w:val="00D40307"/>
    <w:rsid w:val="00D404B0"/>
    <w:rsid w:val="00D40565"/>
    <w:rsid w:val="00D405EE"/>
    <w:rsid w:val="00D40615"/>
    <w:rsid w:val="00D40663"/>
    <w:rsid w:val="00D406A4"/>
    <w:rsid w:val="00D406E5"/>
    <w:rsid w:val="00D40751"/>
    <w:rsid w:val="00D40763"/>
    <w:rsid w:val="00D407C2"/>
    <w:rsid w:val="00D40898"/>
    <w:rsid w:val="00D409D2"/>
    <w:rsid w:val="00D40A32"/>
    <w:rsid w:val="00D40B13"/>
    <w:rsid w:val="00D40CBA"/>
    <w:rsid w:val="00D40D23"/>
    <w:rsid w:val="00D411AF"/>
    <w:rsid w:val="00D4120B"/>
    <w:rsid w:val="00D412C6"/>
    <w:rsid w:val="00D4137B"/>
    <w:rsid w:val="00D41453"/>
    <w:rsid w:val="00D414BB"/>
    <w:rsid w:val="00D4165F"/>
    <w:rsid w:val="00D41847"/>
    <w:rsid w:val="00D419B7"/>
    <w:rsid w:val="00D41A6D"/>
    <w:rsid w:val="00D41B6D"/>
    <w:rsid w:val="00D41DED"/>
    <w:rsid w:val="00D41F9C"/>
    <w:rsid w:val="00D42349"/>
    <w:rsid w:val="00D4238F"/>
    <w:rsid w:val="00D424DC"/>
    <w:rsid w:val="00D427D9"/>
    <w:rsid w:val="00D42B62"/>
    <w:rsid w:val="00D42B83"/>
    <w:rsid w:val="00D42CF1"/>
    <w:rsid w:val="00D42D74"/>
    <w:rsid w:val="00D42F02"/>
    <w:rsid w:val="00D42F4C"/>
    <w:rsid w:val="00D43287"/>
    <w:rsid w:val="00D4342D"/>
    <w:rsid w:val="00D43430"/>
    <w:rsid w:val="00D4345F"/>
    <w:rsid w:val="00D43490"/>
    <w:rsid w:val="00D43513"/>
    <w:rsid w:val="00D43549"/>
    <w:rsid w:val="00D435D0"/>
    <w:rsid w:val="00D43753"/>
    <w:rsid w:val="00D437CF"/>
    <w:rsid w:val="00D43881"/>
    <w:rsid w:val="00D43922"/>
    <w:rsid w:val="00D439CF"/>
    <w:rsid w:val="00D43A7C"/>
    <w:rsid w:val="00D43BF2"/>
    <w:rsid w:val="00D43E12"/>
    <w:rsid w:val="00D43E98"/>
    <w:rsid w:val="00D443AE"/>
    <w:rsid w:val="00D443FE"/>
    <w:rsid w:val="00D444A8"/>
    <w:rsid w:val="00D4460C"/>
    <w:rsid w:val="00D44645"/>
    <w:rsid w:val="00D44673"/>
    <w:rsid w:val="00D4476F"/>
    <w:rsid w:val="00D447CC"/>
    <w:rsid w:val="00D44CCB"/>
    <w:rsid w:val="00D44D21"/>
    <w:rsid w:val="00D44D5A"/>
    <w:rsid w:val="00D44D60"/>
    <w:rsid w:val="00D44E4E"/>
    <w:rsid w:val="00D44F83"/>
    <w:rsid w:val="00D45060"/>
    <w:rsid w:val="00D451FC"/>
    <w:rsid w:val="00D45208"/>
    <w:rsid w:val="00D4525E"/>
    <w:rsid w:val="00D4529D"/>
    <w:rsid w:val="00D45340"/>
    <w:rsid w:val="00D454D1"/>
    <w:rsid w:val="00D4552B"/>
    <w:rsid w:val="00D45560"/>
    <w:rsid w:val="00D455C1"/>
    <w:rsid w:val="00D455DB"/>
    <w:rsid w:val="00D45674"/>
    <w:rsid w:val="00D4578A"/>
    <w:rsid w:val="00D458D9"/>
    <w:rsid w:val="00D45900"/>
    <w:rsid w:val="00D45B3B"/>
    <w:rsid w:val="00D45B8E"/>
    <w:rsid w:val="00D45C77"/>
    <w:rsid w:val="00D45D48"/>
    <w:rsid w:val="00D45D8B"/>
    <w:rsid w:val="00D45DDA"/>
    <w:rsid w:val="00D45EC6"/>
    <w:rsid w:val="00D45F5C"/>
    <w:rsid w:val="00D45FCA"/>
    <w:rsid w:val="00D4613A"/>
    <w:rsid w:val="00D46165"/>
    <w:rsid w:val="00D4616E"/>
    <w:rsid w:val="00D462DE"/>
    <w:rsid w:val="00D46461"/>
    <w:rsid w:val="00D465CC"/>
    <w:rsid w:val="00D46634"/>
    <w:rsid w:val="00D46692"/>
    <w:rsid w:val="00D46713"/>
    <w:rsid w:val="00D4680B"/>
    <w:rsid w:val="00D468E5"/>
    <w:rsid w:val="00D4690C"/>
    <w:rsid w:val="00D4690E"/>
    <w:rsid w:val="00D46A76"/>
    <w:rsid w:val="00D46AC3"/>
    <w:rsid w:val="00D46BE9"/>
    <w:rsid w:val="00D46DE9"/>
    <w:rsid w:val="00D46E38"/>
    <w:rsid w:val="00D46F2C"/>
    <w:rsid w:val="00D46F76"/>
    <w:rsid w:val="00D470D0"/>
    <w:rsid w:val="00D4721D"/>
    <w:rsid w:val="00D4740D"/>
    <w:rsid w:val="00D47531"/>
    <w:rsid w:val="00D47635"/>
    <w:rsid w:val="00D47651"/>
    <w:rsid w:val="00D47764"/>
    <w:rsid w:val="00D47A37"/>
    <w:rsid w:val="00D47AC4"/>
    <w:rsid w:val="00D47C3A"/>
    <w:rsid w:val="00D47C83"/>
    <w:rsid w:val="00D47CA5"/>
    <w:rsid w:val="00D47E66"/>
    <w:rsid w:val="00D47E9A"/>
    <w:rsid w:val="00D5000F"/>
    <w:rsid w:val="00D5014A"/>
    <w:rsid w:val="00D50164"/>
    <w:rsid w:val="00D50264"/>
    <w:rsid w:val="00D5053B"/>
    <w:rsid w:val="00D505EF"/>
    <w:rsid w:val="00D50669"/>
    <w:rsid w:val="00D50738"/>
    <w:rsid w:val="00D50752"/>
    <w:rsid w:val="00D50753"/>
    <w:rsid w:val="00D5090B"/>
    <w:rsid w:val="00D509F2"/>
    <w:rsid w:val="00D50A00"/>
    <w:rsid w:val="00D50A4B"/>
    <w:rsid w:val="00D50AAA"/>
    <w:rsid w:val="00D50D0F"/>
    <w:rsid w:val="00D50E87"/>
    <w:rsid w:val="00D50F92"/>
    <w:rsid w:val="00D50FF8"/>
    <w:rsid w:val="00D510B6"/>
    <w:rsid w:val="00D510E2"/>
    <w:rsid w:val="00D511B7"/>
    <w:rsid w:val="00D51431"/>
    <w:rsid w:val="00D514C6"/>
    <w:rsid w:val="00D5164A"/>
    <w:rsid w:val="00D51665"/>
    <w:rsid w:val="00D51683"/>
    <w:rsid w:val="00D517B8"/>
    <w:rsid w:val="00D51827"/>
    <w:rsid w:val="00D51828"/>
    <w:rsid w:val="00D519EB"/>
    <w:rsid w:val="00D51A3C"/>
    <w:rsid w:val="00D51A5A"/>
    <w:rsid w:val="00D51A7D"/>
    <w:rsid w:val="00D51A9F"/>
    <w:rsid w:val="00D51B8D"/>
    <w:rsid w:val="00D51EBD"/>
    <w:rsid w:val="00D51FEB"/>
    <w:rsid w:val="00D520C4"/>
    <w:rsid w:val="00D522CF"/>
    <w:rsid w:val="00D5230F"/>
    <w:rsid w:val="00D52468"/>
    <w:rsid w:val="00D5252C"/>
    <w:rsid w:val="00D525E4"/>
    <w:rsid w:val="00D526BB"/>
    <w:rsid w:val="00D526CE"/>
    <w:rsid w:val="00D52864"/>
    <w:rsid w:val="00D52915"/>
    <w:rsid w:val="00D52D0B"/>
    <w:rsid w:val="00D52DB2"/>
    <w:rsid w:val="00D5302C"/>
    <w:rsid w:val="00D53035"/>
    <w:rsid w:val="00D5304F"/>
    <w:rsid w:val="00D531C4"/>
    <w:rsid w:val="00D53331"/>
    <w:rsid w:val="00D5339D"/>
    <w:rsid w:val="00D533E1"/>
    <w:rsid w:val="00D533F7"/>
    <w:rsid w:val="00D535D8"/>
    <w:rsid w:val="00D535EB"/>
    <w:rsid w:val="00D537B6"/>
    <w:rsid w:val="00D53887"/>
    <w:rsid w:val="00D53DD4"/>
    <w:rsid w:val="00D53E49"/>
    <w:rsid w:val="00D53EDA"/>
    <w:rsid w:val="00D54091"/>
    <w:rsid w:val="00D54192"/>
    <w:rsid w:val="00D5427D"/>
    <w:rsid w:val="00D54300"/>
    <w:rsid w:val="00D545C5"/>
    <w:rsid w:val="00D54744"/>
    <w:rsid w:val="00D5479A"/>
    <w:rsid w:val="00D5484C"/>
    <w:rsid w:val="00D5484D"/>
    <w:rsid w:val="00D54D93"/>
    <w:rsid w:val="00D54E25"/>
    <w:rsid w:val="00D54E43"/>
    <w:rsid w:val="00D54E93"/>
    <w:rsid w:val="00D55037"/>
    <w:rsid w:val="00D550ED"/>
    <w:rsid w:val="00D550F2"/>
    <w:rsid w:val="00D55152"/>
    <w:rsid w:val="00D5518D"/>
    <w:rsid w:val="00D5536E"/>
    <w:rsid w:val="00D554E9"/>
    <w:rsid w:val="00D55530"/>
    <w:rsid w:val="00D555B6"/>
    <w:rsid w:val="00D557DB"/>
    <w:rsid w:val="00D55871"/>
    <w:rsid w:val="00D5590C"/>
    <w:rsid w:val="00D5594C"/>
    <w:rsid w:val="00D55A0C"/>
    <w:rsid w:val="00D55C5E"/>
    <w:rsid w:val="00D55E00"/>
    <w:rsid w:val="00D55EAB"/>
    <w:rsid w:val="00D5626E"/>
    <w:rsid w:val="00D56353"/>
    <w:rsid w:val="00D5647D"/>
    <w:rsid w:val="00D565A4"/>
    <w:rsid w:val="00D565D5"/>
    <w:rsid w:val="00D56731"/>
    <w:rsid w:val="00D568D3"/>
    <w:rsid w:val="00D5697B"/>
    <w:rsid w:val="00D569C0"/>
    <w:rsid w:val="00D56D69"/>
    <w:rsid w:val="00D56DEF"/>
    <w:rsid w:val="00D56E61"/>
    <w:rsid w:val="00D57081"/>
    <w:rsid w:val="00D57402"/>
    <w:rsid w:val="00D5742F"/>
    <w:rsid w:val="00D57562"/>
    <w:rsid w:val="00D57563"/>
    <w:rsid w:val="00D575CD"/>
    <w:rsid w:val="00D5761D"/>
    <w:rsid w:val="00D57748"/>
    <w:rsid w:val="00D577A3"/>
    <w:rsid w:val="00D577AA"/>
    <w:rsid w:val="00D578C2"/>
    <w:rsid w:val="00D57971"/>
    <w:rsid w:val="00D57A2D"/>
    <w:rsid w:val="00D57A3D"/>
    <w:rsid w:val="00D57B70"/>
    <w:rsid w:val="00D57BFC"/>
    <w:rsid w:val="00D57D41"/>
    <w:rsid w:val="00D57D74"/>
    <w:rsid w:val="00D57FA2"/>
    <w:rsid w:val="00D6000F"/>
    <w:rsid w:val="00D6004A"/>
    <w:rsid w:val="00D60504"/>
    <w:rsid w:val="00D609F7"/>
    <w:rsid w:val="00D60A91"/>
    <w:rsid w:val="00D60A9B"/>
    <w:rsid w:val="00D60AFF"/>
    <w:rsid w:val="00D60CB1"/>
    <w:rsid w:val="00D60D4C"/>
    <w:rsid w:val="00D60DDD"/>
    <w:rsid w:val="00D60E4F"/>
    <w:rsid w:val="00D60E6A"/>
    <w:rsid w:val="00D60FD0"/>
    <w:rsid w:val="00D61005"/>
    <w:rsid w:val="00D61079"/>
    <w:rsid w:val="00D610E2"/>
    <w:rsid w:val="00D61110"/>
    <w:rsid w:val="00D61176"/>
    <w:rsid w:val="00D6130C"/>
    <w:rsid w:val="00D616B4"/>
    <w:rsid w:val="00D6174C"/>
    <w:rsid w:val="00D61786"/>
    <w:rsid w:val="00D6197F"/>
    <w:rsid w:val="00D61C16"/>
    <w:rsid w:val="00D61CED"/>
    <w:rsid w:val="00D61D98"/>
    <w:rsid w:val="00D61DE1"/>
    <w:rsid w:val="00D62053"/>
    <w:rsid w:val="00D62267"/>
    <w:rsid w:val="00D6236A"/>
    <w:rsid w:val="00D623E5"/>
    <w:rsid w:val="00D62479"/>
    <w:rsid w:val="00D624DC"/>
    <w:rsid w:val="00D625DF"/>
    <w:rsid w:val="00D62708"/>
    <w:rsid w:val="00D6285C"/>
    <w:rsid w:val="00D62B91"/>
    <w:rsid w:val="00D62F2F"/>
    <w:rsid w:val="00D63068"/>
    <w:rsid w:val="00D63115"/>
    <w:rsid w:val="00D632E6"/>
    <w:rsid w:val="00D6335D"/>
    <w:rsid w:val="00D633FA"/>
    <w:rsid w:val="00D63498"/>
    <w:rsid w:val="00D636D8"/>
    <w:rsid w:val="00D6375E"/>
    <w:rsid w:val="00D6378C"/>
    <w:rsid w:val="00D63AC1"/>
    <w:rsid w:val="00D63D08"/>
    <w:rsid w:val="00D63E57"/>
    <w:rsid w:val="00D63E95"/>
    <w:rsid w:val="00D64239"/>
    <w:rsid w:val="00D6425E"/>
    <w:rsid w:val="00D6469B"/>
    <w:rsid w:val="00D64760"/>
    <w:rsid w:val="00D647F1"/>
    <w:rsid w:val="00D64818"/>
    <w:rsid w:val="00D64954"/>
    <w:rsid w:val="00D649A6"/>
    <w:rsid w:val="00D64B53"/>
    <w:rsid w:val="00D64C10"/>
    <w:rsid w:val="00D64D10"/>
    <w:rsid w:val="00D64FE4"/>
    <w:rsid w:val="00D6509A"/>
    <w:rsid w:val="00D650A3"/>
    <w:rsid w:val="00D65106"/>
    <w:rsid w:val="00D65271"/>
    <w:rsid w:val="00D6536A"/>
    <w:rsid w:val="00D6560A"/>
    <w:rsid w:val="00D657CF"/>
    <w:rsid w:val="00D6585A"/>
    <w:rsid w:val="00D658EA"/>
    <w:rsid w:val="00D6595D"/>
    <w:rsid w:val="00D65A25"/>
    <w:rsid w:val="00D65A48"/>
    <w:rsid w:val="00D65DED"/>
    <w:rsid w:val="00D65F2B"/>
    <w:rsid w:val="00D6601A"/>
    <w:rsid w:val="00D6601C"/>
    <w:rsid w:val="00D66281"/>
    <w:rsid w:val="00D662C9"/>
    <w:rsid w:val="00D66306"/>
    <w:rsid w:val="00D66329"/>
    <w:rsid w:val="00D66495"/>
    <w:rsid w:val="00D66497"/>
    <w:rsid w:val="00D66686"/>
    <w:rsid w:val="00D6673C"/>
    <w:rsid w:val="00D668C9"/>
    <w:rsid w:val="00D669F7"/>
    <w:rsid w:val="00D66B80"/>
    <w:rsid w:val="00D66BFD"/>
    <w:rsid w:val="00D66CA2"/>
    <w:rsid w:val="00D66D93"/>
    <w:rsid w:val="00D66FC0"/>
    <w:rsid w:val="00D6712D"/>
    <w:rsid w:val="00D6712F"/>
    <w:rsid w:val="00D67175"/>
    <w:rsid w:val="00D67346"/>
    <w:rsid w:val="00D6751C"/>
    <w:rsid w:val="00D67729"/>
    <w:rsid w:val="00D677CD"/>
    <w:rsid w:val="00D6798C"/>
    <w:rsid w:val="00D67CDC"/>
    <w:rsid w:val="00D67CF0"/>
    <w:rsid w:val="00D67D51"/>
    <w:rsid w:val="00D67DC3"/>
    <w:rsid w:val="00D67E46"/>
    <w:rsid w:val="00D6E1FB"/>
    <w:rsid w:val="00D6E496"/>
    <w:rsid w:val="00D701B3"/>
    <w:rsid w:val="00D70B79"/>
    <w:rsid w:val="00D70D98"/>
    <w:rsid w:val="00D70F47"/>
    <w:rsid w:val="00D7111F"/>
    <w:rsid w:val="00D71189"/>
    <w:rsid w:val="00D7119C"/>
    <w:rsid w:val="00D71366"/>
    <w:rsid w:val="00D71865"/>
    <w:rsid w:val="00D71AB7"/>
    <w:rsid w:val="00D71B42"/>
    <w:rsid w:val="00D71CCD"/>
    <w:rsid w:val="00D71E24"/>
    <w:rsid w:val="00D71EAC"/>
    <w:rsid w:val="00D720CC"/>
    <w:rsid w:val="00D72179"/>
    <w:rsid w:val="00D721B1"/>
    <w:rsid w:val="00D721EC"/>
    <w:rsid w:val="00D7225B"/>
    <w:rsid w:val="00D7242F"/>
    <w:rsid w:val="00D72616"/>
    <w:rsid w:val="00D726C3"/>
    <w:rsid w:val="00D726EF"/>
    <w:rsid w:val="00D72712"/>
    <w:rsid w:val="00D728AD"/>
    <w:rsid w:val="00D72976"/>
    <w:rsid w:val="00D72A5E"/>
    <w:rsid w:val="00D72A9C"/>
    <w:rsid w:val="00D72AFB"/>
    <w:rsid w:val="00D72D8C"/>
    <w:rsid w:val="00D72E8D"/>
    <w:rsid w:val="00D72F13"/>
    <w:rsid w:val="00D72F2E"/>
    <w:rsid w:val="00D7304F"/>
    <w:rsid w:val="00D73123"/>
    <w:rsid w:val="00D732C2"/>
    <w:rsid w:val="00D732FA"/>
    <w:rsid w:val="00D7336C"/>
    <w:rsid w:val="00D7341E"/>
    <w:rsid w:val="00D73459"/>
    <w:rsid w:val="00D73492"/>
    <w:rsid w:val="00D73496"/>
    <w:rsid w:val="00D7374E"/>
    <w:rsid w:val="00D73811"/>
    <w:rsid w:val="00D7382D"/>
    <w:rsid w:val="00D73884"/>
    <w:rsid w:val="00D7396F"/>
    <w:rsid w:val="00D73AD3"/>
    <w:rsid w:val="00D73CDD"/>
    <w:rsid w:val="00D73D3A"/>
    <w:rsid w:val="00D73DCF"/>
    <w:rsid w:val="00D74120"/>
    <w:rsid w:val="00D741B1"/>
    <w:rsid w:val="00D74224"/>
    <w:rsid w:val="00D742C1"/>
    <w:rsid w:val="00D7435B"/>
    <w:rsid w:val="00D74370"/>
    <w:rsid w:val="00D74613"/>
    <w:rsid w:val="00D74689"/>
    <w:rsid w:val="00D747EC"/>
    <w:rsid w:val="00D748EB"/>
    <w:rsid w:val="00D74AC2"/>
    <w:rsid w:val="00D74AE1"/>
    <w:rsid w:val="00D74BE0"/>
    <w:rsid w:val="00D74E40"/>
    <w:rsid w:val="00D75112"/>
    <w:rsid w:val="00D751C0"/>
    <w:rsid w:val="00D75213"/>
    <w:rsid w:val="00D7523E"/>
    <w:rsid w:val="00D752CA"/>
    <w:rsid w:val="00D75370"/>
    <w:rsid w:val="00D753F4"/>
    <w:rsid w:val="00D754F1"/>
    <w:rsid w:val="00D755DA"/>
    <w:rsid w:val="00D755E3"/>
    <w:rsid w:val="00D75851"/>
    <w:rsid w:val="00D75A1F"/>
    <w:rsid w:val="00D75A2D"/>
    <w:rsid w:val="00D75AEF"/>
    <w:rsid w:val="00D75D5F"/>
    <w:rsid w:val="00D75F0C"/>
    <w:rsid w:val="00D75F70"/>
    <w:rsid w:val="00D7605F"/>
    <w:rsid w:val="00D76083"/>
    <w:rsid w:val="00D761F8"/>
    <w:rsid w:val="00D76284"/>
    <w:rsid w:val="00D762EF"/>
    <w:rsid w:val="00D763C9"/>
    <w:rsid w:val="00D763EE"/>
    <w:rsid w:val="00D76630"/>
    <w:rsid w:val="00D766DA"/>
    <w:rsid w:val="00D766EA"/>
    <w:rsid w:val="00D7671C"/>
    <w:rsid w:val="00D76D23"/>
    <w:rsid w:val="00D76D88"/>
    <w:rsid w:val="00D76D9A"/>
    <w:rsid w:val="00D76FB3"/>
    <w:rsid w:val="00D77106"/>
    <w:rsid w:val="00D77600"/>
    <w:rsid w:val="00D77635"/>
    <w:rsid w:val="00D7782B"/>
    <w:rsid w:val="00D7790F"/>
    <w:rsid w:val="00D77914"/>
    <w:rsid w:val="00D77927"/>
    <w:rsid w:val="00D77A24"/>
    <w:rsid w:val="00D77C22"/>
    <w:rsid w:val="00D8028D"/>
    <w:rsid w:val="00D802F2"/>
    <w:rsid w:val="00D80456"/>
    <w:rsid w:val="00D8046F"/>
    <w:rsid w:val="00D8072F"/>
    <w:rsid w:val="00D80845"/>
    <w:rsid w:val="00D8088C"/>
    <w:rsid w:val="00D808C9"/>
    <w:rsid w:val="00D808E2"/>
    <w:rsid w:val="00D80911"/>
    <w:rsid w:val="00D80989"/>
    <w:rsid w:val="00D80B59"/>
    <w:rsid w:val="00D80BA2"/>
    <w:rsid w:val="00D81601"/>
    <w:rsid w:val="00D8161D"/>
    <w:rsid w:val="00D81642"/>
    <w:rsid w:val="00D8174D"/>
    <w:rsid w:val="00D81861"/>
    <w:rsid w:val="00D8191D"/>
    <w:rsid w:val="00D81A1F"/>
    <w:rsid w:val="00D81A6F"/>
    <w:rsid w:val="00D81ACB"/>
    <w:rsid w:val="00D81DB3"/>
    <w:rsid w:val="00D81F06"/>
    <w:rsid w:val="00D81F4C"/>
    <w:rsid w:val="00D81F63"/>
    <w:rsid w:val="00D8205D"/>
    <w:rsid w:val="00D82170"/>
    <w:rsid w:val="00D82190"/>
    <w:rsid w:val="00D821D9"/>
    <w:rsid w:val="00D823B3"/>
    <w:rsid w:val="00D8244C"/>
    <w:rsid w:val="00D82766"/>
    <w:rsid w:val="00D827D6"/>
    <w:rsid w:val="00D8281C"/>
    <w:rsid w:val="00D828CA"/>
    <w:rsid w:val="00D82901"/>
    <w:rsid w:val="00D82902"/>
    <w:rsid w:val="00D82AC5"/>
    <w:rsid w:val="00D82DE5"/>
    <w:rsid w:val="00D82E4B"/>
    <w:rsid w:val="00D82EF2"/>
    <w:rsid w:val="00D82F30"/>
    <w:rsid w:val="00D83010"/>
    <w:rsid w:val="00D830BF"/>
    <w:rsid w:val="00D83221"/>
    <w:rsid w:val="00D83252"/>
    <w:rsid w:val="00D8339D"/>
    <w:rsid w:val="00D833FB"/>
    <w:rsid w:val="00D83618"/>
    <w:rsid w:val="00D8364F"/>
    <w:rsid w:val="00D83690"/>
    <w:rsid w:val="00D836BB"/>
    <w:rsid w:val="00D838F3"/>
    <w:rsid w:val="00D83A50"/>
    <w:rsid w:val="00D83AE1"/>
    <w:rsid w:val="00D83BCD"/>
    <w:rsid w:val="00D83DAA"/>
    <w:rsid w:val="00D83E8B"/>
    <w:rsid w:val="00D83F70"/>
    <w:rsid w:val="00D83FB4"/>
    <w:rsid w:val="00D840AF"/>
    <w:rsid w:val="00D840D2"/>
    <w:rsid w:val="00D8424C"/>
    <w:rsid w:val="00D84730"/>
    <w:rsid w:val="00D84923"/>
    <w:rsid w:val="00D849D8"/>
    <w:rsid w:val="00D84AD9"/>
    <w:rsid w:val="00D84B79"/>
    <w:rsid w:val="00D84DB4"/>
    <w:rsid w:val="00D84E52"/>
    <w:rsid w:val="00D84E6C"/>
    <w:rsid w:val="00D84EBE"/>
    <w:rsid w:val="00D85181"/>
    <w:rsid w:val="00D851E1"/>
    <w:rsid w:val="00D85349"/>
    <w:rsid w:val="00D853C7"/>
    <w:rsid w:val="00D8540F"/>
    <w:rsid w:val="00D856F5"/>
    <w:rsid w:val="00D85A69"/>
    <w:rsid w:val="00D85DBD"/>
    <w:rsid w:val="00D85E2D"/>
    <w:rsid w:val="00D85F1D"/>
    <w:rsid w:val="00D86052"/>
    <w:rsid w:val="00D86133"/>
    <w:rsid w:val="00D86214"/>
    <w:rsid w:val="00D863AD"/>
    <w:rsid w:val="00D8644A"/>
    <w:rsid w:val="00D8646E"/>
    <w:rsid w:val="00D864BF"/>
    <w:rsid w:val="00D86534"/>
    <w:rsid w:val="00D865A2"/>
    <w:rsid w:val="00D86A06"/>
    <w:rsid w:val="00D86AB1"/>
    <w:rsid w:val="00D86BA5"/>
    <w:rsid w:val="00D86CC0"/>
    <w:rsid w:val="00D86DDB"/>
    <w:rsid w:val="00D86F7F"/>
    <w:rsid w:val="00D86FE6"/>
    <w:rsid w:val="00D86FF7"/>
    <w:rsid w:val="00D87035"/>
    <w:rsid w:val="00D871B6"/>
    <w:rsid w:val="00D87227"/>
    <w:rsid w:val="00D873C0"/>
    <w:rsid w:val="00D873CE"/>
    <w:rsid w:val="00D874B0"/>
    <w:rsid w:val="00D8751E"/>
    <w:rsid w:val="00D8751F"/>
    <w:rsid w:val="00D8767A"/>
    <w:rsid w:val="00D87853"/>
    <w:rsid w:val="00D8788D"/>
    <w:rsid w:val="00D879DF"/>
    <w:rsid w:val="00D87B06"/>
    <w:rsid w:val="00D87CA9"/>
    <w:rsid w:val="00D87FDD"/>
    <w:rsid w:val="00D9007B"/>
    <w:rsid w:val="00D9007E"/>
    <w:rsid w:val="00D9011E"/>
    <w:rsid w:val="00D9017E"/>
    <w:rsid w:val="00D90221"/>
    <w:rsid w:val="00D9038C"/>
    <w:rsid w:val="00D90407"/>
    <w:rsid w:val="00D90410"/>
    <w:rsid w:val="00D90680"/>
    <w:rsid w:val="00D9086E"/>
    <w:rsid w:val="00D90AE4"/>
    <w:rsid w:val="00D90CFB"/>
    <w:rsid w:val="00D90DEC"/>
    <w:rsid w:val="00D90E3D"/>
    <w:rsid w:val="00D90ECB"/>
    <w:rsid w:val="00D90F0E"/>
    <w:rsid w:val="00D90F88"/>
    <w:rsid w:val="00D912D2"/>
    <w:rsid w:val="00D912E0"/>
    <w:rsid w:val="00D917BE"/>
    <w:rsid w:val="00D91913"/>
    <w:rsid w:val="00D919C1"/>
    <w:rsid w:val="00D91A31"/>
    <w:rsid w:val="00D91AE3"/>
    <w:rsid w:val="00D91B87"/>
    <w:rsid w:val="00D91BA7"/>
    <w:rsid w:val="00D91C87"/>
    <w:rsid w:val="00D91CDE"/>
    <w:rsid w:val="00D91CE9"/>
    <w:rsid w:val="00D91D21"/>
    <w:rsid w:val="00D91DFB"/>
    <w:rsid w:val="00D91E59"/>
    <w:rsid w:val="00D920E5"/>
    <w:rsid w:val="00D920FF"/>
    <w:rsid w:val="00D92198"/>
    <w:rsid w:val="00D9221F"/>
    <w:rsid w:val="00D922CB"/>
    <w:rsid w:val="00D922FE"/>
    <w:rsid w:val="00D925B4"/>
    <w:rsid w:val="00D92608"/>
    <w:rsid w:val="00D92C57"/>
    <w:rsid w:val="00D92D77"/>
    <w:rsid w:val="00D92D94"/>
    <w:rsid w:val="00D92F12"/>
    <w:rsid w:val="00D931E5"/>
    <w:rsid w:val="00D93244"/>
    <w:rsid w:val="00D9330C"/>
    <w:rsid w:val="00D93318"/>
    <w:rsid w:val="00D93399"/>
    <w:rsid w:val="00D9343C"/>
    <w:rsid w:val="00D93543"/>
    <w:rsid w:val="00D93594"/>
    <w:rsid w:val="00D93BB8"/>
    <w:rsid w:val="00D93BD8"/>
    <w:rsid w:val="00D93F5B"/>
    <w:rsid w:val="00D93FEE"/>
    <w:rsid w:val="00D940A9"/>
    <w:rsid w:val="00D940C0"/>
    <w:rsid w:val="00D9419E"/>
    <w:rsid w:val="00D941B1"/>
    <w:rsid w:val="00D94288"/>
    <w:rsid w:val="00D9429F"/>
    <w:rsid w:val="00D9463B"/>
    <w:rsid w:val="00D9466E"/>
    <w:rsid w:val="00D94755"/>
    <w:rsid w:val="00D94894"/>
    <w:rsid w:val="00D94908"/>
    <w:rsid w:val="00D94AA4"/>
    <w:rsid w:val="00D94BC1"/>
    <w:rsid w:val="00D94D06"/>
    <w:rsid w:val="00D94DC4"/>
    <w:rsid w:val="00D9509E"/>
    <w:rsid w:val="00D950EE"/>
    <w:rsid w:val="00D9538E"/>
    <w:rsid w:val="00D9548F"/>
    <w:rsid w:val="00D955BB"/>
    <w:rsid w:val="00D9577A"/>
    <w:rsid w:val="00D9585D"/>
    <w:rsid w:val="00D959F3"/>
    <w:rsid w:val="00D95A80"/>
    <w:rsid w:val="00D95CC9"/>
    <w:rsid w:val="00D95D00"/>
    <w:rsid w:val="00D95E41"/>
    <w:rsid w:val="00D95EBA"/>
    <w:rsid w:val="00D96046"/>
    <w:rsid w:val="00D9616D"/>
    <w:rsid w:val="00D9620C"/>
    <w:rsid w:val="00D962C0"/>
    <w:rsid w:val="00D9676C"/>
    <w:rsid w:val="00D968DA"/>
    <w:rsid w:val="00D96971"/>
    <w:rsid w:val="00D96984"/>
    <w:rsid w:val="00D969DA"/>
    <w:rsid w:val="00D96A3B"/>
    <w:rsid w:val="00D96A8F"/>
    <w:rsid w:val="00D96A9E"/>
    <w:rsid w:val="00D96AF2"/>
    <w:rsid w:val="00D96C1A"/>
    <w:rsid w:val="00D96C8B"/>
    <w:rsid w:val="00D96DB1"/>
    <w:rsid w:val="00D96E21"/>
    <w:rsid w:val="00D9725D"/>
    <w:rsid w:val="00D9729C"/>
    <w:rsid w:val="00D972BE"/>
    <w:rsid w:val="00D97307"/>
    <w:rsid w:val="00D973D3"/>
    <w:rsid w:val="00D973E7"/>
    <w:rsid w:val="00D9743D"/>
    <w:rsid w:val="00D97490"/>
    <w:rsid w:val="00D97503"/>
    <w:rsid w:val="00D97521"/>
    <w:rsid w:val="00D97589"/>
    <w:rsid w:val="00D975EE"/>
    <w:rsid w:val="00D9767A"/>
    <w:rsid w:val="00D9790F"/>
    <w:rsid w:val="00D97AB1"/>
    <w:rsid w:val="00D97B2B"/>
    <w:rsid w:val="00D97E32"/>
    <w:rsid w:val="00DA0123"/>
    <w:rsid w:val="00DA0155"/>
    <w:rsid w:val="00DA0373"/>
    <w:rsid w:val="00DA03C2"/>
    <w:rsid w:val="00DA041F"/>
    <w:rsid w:val="00DA04A5"/>
    <w:rsid w:val="00DA0511"/>
    <w:rsid w:val="00DA0848"/>
    <w:rsid w:val="00DA0B4D"/>
    <w:rsid w:val="00DA0D5C"/>
    <w:rsid w:val="00DA0DA6"/>
    <w:rsid w:val="00DA0E4E"/>
    <w:rsid w:val="00DA0F5A"/>
    <w:rsid w:val="00DA108F"/>
    <w:rsid w:val="00DA13F9"/>
    <w:rsid w:val="00DA15E8"/>
    <w:rsid w:val="00DA1638"/>
    <w:rsid w:val="00DA17A9"/>
    <w:rsid w:val="00DA1A2E"/>
    <w:rsid w:val="00DA1B0B"/>
    <w:rsid w:val="00DA2182"/>
    <w:rsid w:val="00DA21E3"/>
    <w:rsid w:val="00DA2229"/>
    <w:rsid w:val="00DA24E4"/>
    <w:rsid w:val="00DA25B1"/>
    <w:rsid w:val="00DA2639"/>
    <w:rsid w:val="00DA27B8"/>
    <w:rsid w:val="00DA2863"/>
    <w:rsid w:val="00DA28BD"/>
    <w:rsid w:val="00DA2AB4"/>
    <w:rsid w:val="00DA2F7D"/>
    <w:rsid w:val="00DA2F87"/>
    <w:rsid w:val="00DA30BD"/>
    <w:rsid w:val="00DA3229"/>
    <w:rsid w:val="00DA32CF"/>
    <w:rsid w:val="00DA33A6"/>
    <w:rsid w:val="00DA3509"/>
    <w:rsid w:val="00DA35C4"/>
    <w:rsid w:val="00DA3618"/>
    <w:rsid w:val="00DA3AC2"/>
    <w:rsid w:val="00DA3C5E"/>
    <w:rsid w:val="00DA3D30"/>
    <w:rsid w:val="00DA3E6E"/>
    <w:rsid w:val="00DA3F7F"/>
    <w:rsid w:val="00DA3FB6"/>
    <w:rsid w:val="00DA4023"/>
    <w:rsid w:val="00DA402D"/>
    <w:rsid w:val="00DA421D"/>
    <w:rsid w:val="00DA4247"/>
    <w:rsid w:val="00DA424D"/>
    <w:rsid w:val="00DA4252"/>
    <w:rsid w:val="00DA42FB"/>
    <w:rsid w:val="00DA43C0"/>
    <w:rsid w:val="00DA43CF"/>
    <w:rsid w:val="00DA4406"/>
    <w:rsid w:val="00DA477C"/>
    <w:rsid w:val="00DA47BE"/>
    <w:rsid w:val="00DA48F7"/>
    <w:rsid w:val="00DA4952"/>
    <w:rsid w:val="00DA4A39"/>
    <w:rsid w:val="00DA4A55"/>
    <w:rsid w:val="00DA4A80"/>
    <w:rsid w:val="00DA4D99"/>
    <w:rsid w:val="00DA4E7F"/>
    <w:rsid w:val="00DA4F03"/>
    <w:rsid w:val="00DA4F0D"/>
    <w:rsid w:val="00DA4FBC"/>
    <w:rsid w:val="00DA5121"/>
    <w:rsid w:val="00DA51F3"/>
    <w:rsid w:val="00DA526D"/>
    <w:rsid w:val="00DA52E9"/>
    <w:rsid w:val="00DA55B6"/>
    <w:rsid w:val="00DA572E"/>
    <w:rsid w:val="00DA57BB"/>
    <w:rsid w:val="00DA5A23"/>
    <w:rsid w:val="00DA5B2E"/>
    <w:rsid w:val="00DA5B8E"/>
    <w:rsid w:val="00DA5F4F"/>
    <w:rsid w:val="00DA6266"/>
    <w:rsid w:val="00DA62CA"/>
    <w:rsid w:val="00DA62F3"/>
    <w:rsid w:val="00DA6578"/>
    <w:rsid w:val="00DA680C"/>
    <w:rsid w:val="00DA6886"/>
    <w:rsid w:val="00DA69A0"/>
    <w:rsid w:val="00DA6A77"/>
    <w:rsid w:val="00DA6B7B"/>
    <w:rsid w:val="00DA6D1D"/>
    <w:rsid w:val="00DA6D99"/>
    <w:rsid w:val="00DA6DB4"/>
    <w:rsid w:val="00DA6F0C"/>
    <w:rsid w:val="00DA6F1B"/>
    <w:rsid w:val="00DA6FD3"/>
    <w:rsid w:val="00DA707F"/>
    <w:rsid w:val="00DA728E"/>
    <w:rsid w:val="00DA74BF"/>
    <w:rsid w:val="00DA74E2"/>
    <w:rsid w:val="00DA7581"/>
    <w:rsid w:val="00DA77A4"/>
    <w:rsid w:val="00DA783F"/>
    <w:rsid w:val="00DA78D6"/>
    <w:rsid w:val="00DA79B8"/>
    <w:rsid w:val="00DA79E6"/>
    <w:rsid w:val="00DA79FA"/>
    <w:rsid w:val="00DA7A85"/>
    <w:rsid w:val="00DA7B2E"/>
    <w:rsid w:val="00DA7B3E"/>
    <w:rsid w:val="00DA7C03"/>
    <w:rsid w:val="00DA7F59"/>
    <w:rsid w:val="00DA7FA0"/>
    <w:rsid w:val="00DA7FCE"/>
    <w:rsid w:val="00DB0389"/>
    <w:rsid w:val="00DB042E"/>
    <w:rsid w:val="00DB0576"/>
    <w:rsid w:val="00DB062E"/>
    <w:rsid w:val="00DB0656"/>
    <w:rsid w:val="00DB069C"/>
    <w:rsid w:val="00DB07D5"/>
    <w:rsid w:val="00DB0A5D"/>
    <w:rsid w:val="00DB0AEA"/>
    <w:rsid w:val="00DB0CBC"/>
    <w:rsid w:val="00DB0E01"/>
    <w:rsid w:val="00DB0ECA"/>
    <w:rsid w:val="00DB0F35"/>
    <w:rsid w:val="00DB0FD5"/>
    <w:rsid w:val="00DB1115"/>
    <w:rsid w:val="00DB11C2"/>
    <w:rsid w:val="00DB1224"/>
    <w:rsid w:val="00DB1532"/>
    <w:rsid w:val="00DB1651"/>
    <w:rsid w:val="00DB173D"/>
    <w:rsid w:val="00DB1883"/>
    <w:rsid w:val="00DB1922"/>
    <w:rsid w:val="00DB19F1"/>
    <w:rsid w:val="00DB1BD0"/>
    <w:rsid w:val="00DB1D2A"/>
    <w:rsid w:val="00DB1DC2"/>
    <w:rsid w:val="00DB1E4A"/>
    <w:rsid w:val="00DB1EEE"/>
    <w:rsid w:val="00DB1FD4"/>
    <w:rsid w:val="00DB1FF5"/>
    <w:rsid w:val="00DB2034"/>
    <w:rsid w:val="00DB2183"/>
    <w:rsid w:val="00DB218D"/>
    <w:rsid w:val="00DB2214"/>
    <w:rsid w:val="00DB226F"/>
    <w:rsid w:val="00DB22C2"/>
    <w:rsid w:val="00DB297A"/>
    <w:rsid w:val="00DB2A32"/>
    <w:rsid w:val="00DB2A98"/>
    <w:rsid w:val="00DB2B48"/>
    <w:rsid w:val="00DB2B57"/>
    <w:rsid w:val="00DB2B76"/>
    <w:rsid w:val="00DB2D83"/>
    <w:rsid w:val="00DB2E21"/>
    <w:rsid w:val="00DB2EFE"/>
    <w:rsid w:val="00DB2F81"/>
    <w:rsid w:val="00DB2FEB"/>
    <w:rsid w:val="00DB3006"/>
    <w:rsid w:val="00DB31D3"/>
    <w:rsid w:val="00DB3229"/>
    <w:rsid w:val="00DB341F"/>
    <w:rsid w:val="00DB34D6"/>
    <w:rsid w:val="00DB3566"/>
    <w:rsid w:val="00DB35AE"/>
    <w:rsid w:val="00DB36B7"/>
    <w:rsid w:val="00DB3A4F"/>
    <w:rsid w:val="00DB3B0F"/>
    <w:rsid w:val="00DB3BA1"/>
    <w:rsid w:val="00DB3D82"/>
    <w:rsid w:val="00DB400C"/>
    <w:rsid w:val="00DB405F"/>
    <w:rsid w:val="00DB42F1"/>
    <w:rsid w:val="00DB43AA"/>
    <w:rsid w:val="00DB43E3"/>
    <w:rsid w:val="00DB442A"/>
    <w:rsid w:val="00DB4460"/>
    <w:rsid w:val="00DB4599"/>
    <w:rsid w:val="00DB46C3"/>
    <w:rsid w:val="00DB48EB"/>
    <w:rsid w:val="00DB492A"/>
    <w:rsid w:val="00DB49BB"/>
    <w:rsid w:val="00DB4A75"/>
    <w:rsid w:val="00DB4A78"/>
    <w:rsid w:val="00DB4A8C"/>
    <w:rsid w:val="00DB4B6A"/>
    <w:rsid w:val="00DB4C34"/>
    <w:rsid w:val="00DB4DB0"/>
    <w:rsid w:val="00DB4DB3"/>
    <w:rsid w:val="00DB4EA6"/>
    <w:rsid w:val="00DB5161"/>
    <w:rsid w:val="00DB5320"/>
    <w:rsid w:val="00DB5502"/>
    <w:rsid w:val="00DB5525"/>
    <w:rsid w:val="00DB556A"/>
    <w:rsid w:val="00DB55B2"/>
    <w:rsid w:val="00DB55C7"/>
    <w:rsid w:val="00DB568B"/>
    <w:rsid w:val="00DB573E"/>
    <w:rsid w:val="00DB5A03"/>
    <w:rsid w:val="00DB5AD7"/>
    <w:rsid w:val="00DB5B38"/>
    <w:rsid w:val="00DB5B76"/>
    <w:rsid w:val="00DB5C3D"/>
    <w:rsid w:val="00DB5C4A"/>
    <w:rsid w:val="00DB5D69"/>
    <w:rsid w:val="00DB6110"/>
    <w:rsid w:val="00DB62D9"/>
    <w:rsid w:val="00DB6459"/>
    <w:rsid w:val="00DB6518"/>
    <w:rsid w:val="00DB65D9"/>
    <w:rsid w:val="00DB66EA"/>
    <w:rsid w:val="00DB678B"/>
    <w:rsid w:val="00DB67AA"/>
    <w:rsid w:val="00DB67FC"/>
    <w:rsid w:val="00DB6845"/>
    <w:rsid w:val="00DB6A54"/>
    <w:rsid w:val="00DB6B46"/>
    <w:rsid w:val="00DB6C0B"/>
    <w:rsid w:val="00DB6C1F"/>
    <w:rsid w:val="00DB6DB2"/>
    <w:rsid w:val="00DB6E54"/>
    <w:rsid w:val="00DB6F33"/>
    <w:rsid w:val="00DB70CF"/>
    <w:rsid w:val="00DB7112"/>
    <w:rsid w:val="00DB7139"/>
    <w:rsid w:val="00DB737F"/>
    <w:rsid w:val="00DB73D1"/>
    <w:rsid w:val="00DB758C"/>
    <w:rsid w:val="00DB7837"/>
    <w:rsid w:val="00DB7A2A"/>
    <w:rsid w:val="00DB7A4B"/>
    <w:rsid w:val="00DB7A5A"/>
    <w:rsid w:val="00DB7B4D"/>
    <w:rsid w:val="00DB7C66"/>
    <w:rsid w:val="00DB7D04"/>
    <w:rsid w:val="00DC0089"/>
    <w:rsid w:val="00DC0091"/>
    <w:rsid w:val="00DC01E1"/>
    <w:rsid w:val="00DC046B"/>
    <w:rsid w:val="00DC0497"/>
    <w:rsid w:val="00DC094F"/>
    <w:rsid w:val="00DC0952"/>
    <w:rsid w:val="00DC09B4"/>
    <w:rsid w:val="00DC09DF"/>
    <w:rsid w:val="00DC0B01"/>
    <w:rsid w:val="00DC0B07"/>
    <w:rsid w:val="00DC0C20"/>
    <w:rsid w:val="00DC0CCE"/>
    <w:rsid w:val="00DC0CD7"/>
    <w:rsid w:val="00DC0E84"/>
    <w:rsid w:val="00DC107B"/>
    <w:rsid w:val="00DC10D8"/>
    <w:rsid w:val="00DC1194"/>
    <w:rsid w:val="00DC1280"/>
    <w:rsid w:val="00DC12AE"/>
    <w:rsid w:val="00DC1392"/>
    <w:rsid w:val="00DC14C5"/>
    <w:rsid w:val="00DC159A"/>
    <w:rsid w:val="00DC16A1"/>
    <w:rsid w:val="00DC1715"/>
    <w:rsid w:val="00DC17A8"/>
    <w:rsid w:val="00DC1861"/>
    <w:rsid w:val="00DC1A08"/>
    <w:rsid w:val="00DC1ABD"/>
    <w:rsid w:val="00DC1B24"/>
    <w:rsid w:val="00DC1C72"/>
    <w:rsid w:val="00DC1CDE"/>
    <w:rsid w:val="00DC1E1E"/>
    <w:rsid w:val="00DC1E72"/>
    <w:rsid w:val="00DC1EE7"/>
    <w:rsid w:val="00DC209E"/>
    <w:rsid w:val="00DC2112"/>
    <w:rsid w:val="00DC2350"/>
    <w:rsid w:val="00DC241A"/>
    <w:rsid w:val="00DC242A"/>
    <w:rsid w:val="00DC2510"/>
    <w:rsid w:val="00DC2AA1"/>
    <w:rsid w:val="00DC2BA6"/>
    <w:rsid w:val="00DC2CD9"/>
    <w:rsid w:val="00DC2D5F"/>
    <w:rsid w:val="00DC2EAE"/>
    <w:rsid w:val="00DC2EDA"/>
    <w:rsid w:val="00DC306E"/>
    <w:rsid w:val="00DC3113"/>
    <w:rsid w:val="00DC3662"/>
    <w:rsid w:val="00DC387A"/>
    <w:rsid w:val="00DC3A0C"/>
    <w:rsid w:val="00DC3AD7"/>
    <w:rsid w:val="00DC3BBD"/>
    <w:rsid w:val="00DC3BD4"/>
    <w:rsid w:val="00DC3C37"/>
    <w:rsid w:val="00DC3DF1"/>
    <w:rsid w:val="00DC4046"/>
    <w:rsid w:val="00DC4125"/>
    <w:rsid w:val="00DC4295"/>
    <w:rsid w:val="00DC42A1"/>
    <w:rsid w:val="00DC4583"/>
    <w:rsid w:val="00DC4822"/>
    <w:rsid w:val="00DC4840"/>
    <w:rsid w:val="00DC4865"/>
    <w:rsid w:val="00DC4AA5"/>
    <w:rsid w:val="00DC4B77"/>
    <w:rsid w:val="00DC4D78"/>
    <w:rsid w:val="00DC506B"/>
    <w:rsid w:val="00DC51BA"/>
    <w:rsid w:val="00DC52F5"/>
    <w:rsid w:val="00DC54EF"/>
    <w:rsid w:val="00DC55B4"/>
    <w:rsid w:val="00DC57A3"/>
    <w:rsid w:val="00DC587C"/>
    <w:rsid w:val="00DC591C"/>
    <w:rsid w:val="00DC59A4"/>
    <w:rsid w:val="00DC59DA"/>
    <w:rsid w:val="00DC5AF4"/>
    <w:rsid w:val="00DC5B50"/>
    <w:rsid w:val="00DC5BCA"/>
    <w:rsid w:val="00DC5C58"/>
    <w:rsid w:val="00DC5E00"/>
    <w:rsid w:val="00DC5EA8"/>
    <w:rsid w:val="00DC5FF7"/>
    <w:rsid w:val="00DC6039"/>
    <w:rsid w:val="00DC603C"/>
    <w:rsid w:val="00DC60DE"/>
    <w:rsid w:val="00DC6157"/>
    <w:rsid w:val="00DC62BB"/>
    <w:rsid w:val="00DC659C"/>
    <w:rsid w:val="00DC6745"/>
    <w:rsid w:val="00DC6839"/>
    <w:rsid w:val="00DC691A"/>
    <w:rsid w:val="00DC6AC6"/>
    <w:rsid w:val="00DC6B0F"/>
    <w:rsid w:val="00DC6B4A"/>
    <w:rsid w:val="00DC6C29"/>
    <w:rsid w:val="00DC6C7D"/>
    <w:rsid w:val="00DC6D80"/>
    <w:rsid w:val="00DC6D88"/>
    <w:rsid w:val="00DC6EDF"/>
    <w:rsid w:val="00DC6F1C"/>
    <w:rsid w:val="00DC703F"/>
    <w:rsid w:val="00DC7118"/>
    <w:rsid w:val="00DC72FC"/>
    <w:rsid w:val="00DC766D"/>
    <w:rsid w:val="00DC7738"/>
    <w:rsid w:val="00DC7786"/>
    <w:rsid w:val="00DC7878"/>
    <w:rsid w:val="00DC7915"/>
    <w:rsid w:val="00DC7A5C"/>
    <w:rsid w:val="00DC7B32"/>
    <w:rsid w:val="00DD0181"/>
    <w:rsid w:val="00DD0285"/>
    <w:rsid w:val="00DD02D4"/>
    <w:rsid w:val="00DD02E2"/>
    <w:rsid w:val="00DD0483"/>
    <w:rsid w:val="00DD04E3"/>
    <w:rsid w:val="00DD0554"/>
    <w:rsid w:val="00DD071E"/>
    <w:rsid w:val="00DD075F"/>
    <w:rsid w:val="00DD0A4B"/>
    <w:rsid w:val="00DD0ACC"/>
    <w:rsid w:val="00DD0BA8"/>
    <w:rsid w:val="00DD0EE5"/>
    <w:rsid w:val="00DD1154"/>
    <w:rsid w:val="00DD11A3"/>
    <w:rsid w:val="00DD13A9"/>
    <w:rsid w:val="00DD13F9"/>
    <w:rsid w:val="00DD1402"/>
    <w:rsid w:val="00DD1459"/>
    <w:rsid w:val="00DD1754"/>
    <w:rsid w:val="00DD179C"/>
    <w:rsid w:val="00DD17B2"/>
    <w:rsid w:val="00DD17B8"/>
    <w:rsid w:val="00DD196B"/>
    <w:rsid w:val="00DD1A57"/>
    <w:rsid w:val="00DD1AE0"/>
    <w:rsid w:val="00DD1BB1"/>
    <w:rsid w:val="00DD1CF9"/>
    <w:rsid w:val="00DD1D61"/>
    <w:rsid w:val="00DD1FA3"/>
    <w:rsid w:val="00DD2002"/>
    <w:rsid w:val="00DD207A"/>
    <w:rsid w:val="00DD20DA"/>
    <w:rsid w:val="00DD22A7"/>
    <w:rsid w:val="00DD23C8"/>
    <w:rsid w:val="00DD2772"/>
    <w:rsid w:val="00DD2989"/>
    <w:rsid w:val="00DD2B79"/>
    <w:rsid w:val="00DD2D13"/>
    <w:rsid w:val="00DD2D38"/>
    <w:rsid w:val="00DD2DD7"/>
    <w:rsid w:val="00DD2E15"/>
    <w:rsid w:val="00DD3170"/>
    <w:rsid w:val="00DD35AD"/>
    <w:rsid w:val="00DD3673"/>
    <w:rsid w:val="00DD3689"/>
    <w:rsid w:val="00DD3759"/>
    <w:rsid w:val="00DD37A1"/>
    <w:rsid w:val="00DD3A0A"/>
    <w:rsid w:val="00DD3A5C"/>
    <w:rsid w:val="00DD3AC5"/>
    <w:rsid w:val="00DD3C3A"/>
    <w:rsid w:val="00DD3DBB"/>
    <w:rsid w:val="00DD3F1B"/>
    <w:rsid w:val="00DD3F34"/>
    <w:rsid w:val="00DD4125"/>
    <w:rsid w:val="00DD43FC"/>
    <w:rsid w:val="00DD444E"/>
    <w:rsid w:val="00DD4667"/>
    <w:rsid w:val="00DD4684"/>
    <w:rsid w:val="00DD4A9D"/>
    <w:rsid w:val="00DD4D27"/>
    <w:rsid w:val="00DD4D36"/>
    <w:rsid w:val="00DD4EC1"/>
    <w:rsid w:val="00DD5037"/>
    <w:rsid w:val="00DD51E5"/>
    <w:rsid w:val="00DD51F6"/>
    <w:rsid w:val="00DD5438"/>
    <w:rsid w:val="00DD549E"/>
    <w:rsid w:val="00DD57F4"/>
    <w:rsid w:val="00DD589E"/>
    <w:rsid w:val="00DD58A2"/>
    <w:rsid w:val="00DD5B48"/>
    <w:rsid w:val="00DD5CD2"/>
    <w:rsid w:val="00DD5D6E"/>
    <w:rsid w:val="00DD5D7C"/>
    <w:rsid w:val="00DD5DCC"/>
    <w:rsid w:val="00DD5E4A"/>
    <w:rsid w:val="00DD5E5C"/>
    <w:rsid w:val="00DD5FCA"/>
    <w:rsid w:val="00DD6132"/>
    <w:rsid w:val="00DD6207"/>
    <w:rsid w:val="00DD625A"/>
    <w:rsid w:val="00DD62BF"/>
    <w:rsid w:val="00DD630B"/>
    <w:rsid w:val="00DD637C"/>
    <w:rsid w:val="00DD6383"/>
    <w:rsid w:val="00DD655D"/>
    <w:rsid w:val="00DD66F0"/>
    <w:rsid w:val="00DD6A41"/>
    <w:rsid w:val="00DD6B38"/>
    <w:rsid w:val="00DD6CC8"/>
    <w:rsid w:val="00DD6D14"/>
    <w:rsid w:val="00DD6E6C"/>
    <w:rsid w:val="00DD7125"/>
    <w:rsid w:val="00DD717D"/>
    <w:rsid w:val="00DD7275"/>
    <w:rsid w:val="00DD72A2"/>
    <w:rsid w:val="00DD72FC"/>
    <w:rsid w:val="00DD742F"/>
    <w:rsid w:val="00DD7453"/>
    <w:rsid w:val="00DD7484"/>
    <w:rsid w:val="00DD7626"/>
    <w:rsid w:val="00DD7876"/>
    <w:rsid w:val="00DD79A6"/>
    <w:rsid w:val="00DD7A7A"/>
    <w:rsid w:val="00DD7AD6"/>
    <w:rsid w:val="00DD7F12"/>
    <w:rsid w:val="00DDED20"/>
    <w:rsid w:val="00DE002F"/>
    <w:rsid w:val="00DE012A"/>
    <w:rsid w:val="00DE034B"/>
    <w:rsid w:val="00DE0550"/>
    <w:rsid w:val="00DE05D7"/>
    <w:rsid w:val="00DE063B"/>
    <w:rsid w:val="00DE0801"/>
    <w:rsid w:val="00DE092F"/>
    <w:rsid w:val="00DE0A49"/>
    <w:rsid w:val="00DE0B49"/>
    <w:rsid w:val="00DE0B4D"/>
    <w:rsid w:val="00DE0BB5"/>
    <w:rsid w:val="00DE0BF3"/>
    <w:rsid w:val="00DE0C02"/>
    <w:rsid w:val="00DE0DA0"/>
    <w:rsid w:val="00DE0E4A"/>
    <w:rsid w:val="00DE0F1E"/>
    <w:rsid w:val="00DE111F"/>
    <w:rsid w:val="00DE122F"/>
    <w:rsid w:val="00DE123F"/>
    <w:rsid w:val="00DE171E"/>
    <w:rsid w:val="00DE177F"/>
    <w:rsid w:val="00DE17ED"/>
    <w:rsid w:val="00DE18D4"/>
    <w:rsid w:val="00DE1A89"/>
    <w:rsid w:val="00DE1BB1"/>
    <w:rsid w:val="00DE1BDA"/>
    <w:rsid w:val="00DE2080"/>
    <w:rsid w:val="00DE20AF"/>
    <w:rsid w:val="00DE20F2"/>
    <w:rsid w:val="00DE21B0"/>
    <w:rsid w:val="00DE21DF"/>
    <w:rsid w:val="00DE22B0"/>
    <w:rsid w:val="00DE22EB"/>
    <w:rsid w:val="00DE2532"/>
    <w:rsid w:val="00DE261A"/>
    <w:rsid w:val="00DE27D8"/>
    <w:rsid w:val="00DE29B4"/>
    <w:rsid w:val="00DE2B20"/>
    <w:rsid w:val="00DE2BC3"/>
    <w:rsid w:val="00DE2BC7"/>
    <w:rsid w:val="00DE2C33"/>
    <w:rsid w:val="00DE2CC7"/>
    <w:rsid w:val="00DE2CF7"/>
    <w:rsid w:val="00DE2EE3"/>
    <w:rsid w:val="00DE2FF0"/>
    <w:rsid w:val="00DE30B3"/>
    <w:rsid w:val="00DE31AC"/>
    <w:rsid w:val="00DE34E4"/>
    <w:rsid w:val="00DE3671"/>
    <w:rsid w:val="00DE36B9"/>
    <w:rsid w:val="00DE3775"/>
    <w:rsid w:val="00DE378C"/>
    <w:rsid w:val="00DE37EE"/>
    <w:rsid w:val="00DE38DC"/>
    <w:rsid w:val="00DE38E9"/>
    <w:rsid w:val="00DE393E"/>
    <w:rsid w:val="00DE39D6"/>
    <w:rsid w:val="00DE3BD4"/>
    <w:rsid w:val="00DE3C1F"/>
    <w:rsid w:val="00DE3DC7"/>
    <w:rsid w:val="00DE3E56"/>
    <w:rsid w:val="00DE3EBA"/>
    <w:rsid w:val="00DE3F1C"/>
    <w:rsid w:val="00DE3FFE"/>
    <w:rsid w:val="00DE40D7"/>
    <w:rsid w:val="00DE4277"/>
    <w:rsid w:val="00DE43AA"/>
    <w:rsid w:val="00DE44F3"/>
    <w:rsid w:val="00DE462F"/>
    <w:rsid w:val="00DE46DB"/>
    <w:rsid w:val="00DE475F"/>
    <w:rsid w:val="00DE477F"/>
    <w:rsid w:val="00DE4926"/>
    <w:rsid w:val="00DE4BC4"/>
    <w:rsid w:val="00DE4BCF"/>
    <w:rsid w:val="00DE4BE6"/>
    <w:rsid w:val="00DE4C0D"/>
    <w:rsid w:val="00DE4D43"/>
    <w:rsid w:val="00DE4DA9"/>
    <w:rsid w:val="00DE4DEB"/>
    <w:rsid w:val="00DE4F98"/>
    <w:rsid w:val="00DE50C8"/>
    <w:rsid w:val="00DE519F"/>
    <w:rsid w:val="00DE5261"/>
    <w:rsid w:val="00DE537C"/>
    <w:rsid w:val="00DE5886"/>
    <w:rsid w:val="00DE58C5"/>
    <w:rsid w:val="00DE5903"/>
    <w:rsid w:val="00DE5909"/>
    <w:rsid w:val="00DE5A86"/>
    <w:rsid w:val="00DE5AA5"/>
    <w:rsid w:val="00DE5AC7"/>
    <w:rsid w:val="00DE5B30"/>
    <w:rsid w:val="00DE5D91"/>
    <w:rsid w:val="00DE5F2E"/>
    <w:rsid w:val="00DE5F50"/>
    <w:rsid w:val="00DE5FCD"/>
    <w:rsid w:val="00DE60A8"/>
    <w:rsid w:val="00DE6167"/>
    <w:rsid w:val="00DE62DA"/>
    <w:rsid w:val="00DE65C1"/>
    <w:rsid w:val="00DE6601"/>
    <w:rsid w:val="00DE6615"/>
    <w:rsid w:val="00DE677B"/>
    <w:rsid w:val="00DE67FE"/>
    <w:rsid w:val="00DE6944"/>
    <w:rsid w:val="00DE6994"/>
    <w:rsid w:val="00DE6BFC"/>
    <w:rsid w:val="00DE6DB9"/>
    <w:rsid w:val="00DE6E30"/>
    <w:rsid w:val="00DE6EF4"/>
    <w:rsid w:val="00DE70A9"/>
    <w:rsid w:val="00DE714D"/>
    <w:rsid w:val="00DE7199"/>
    <w:rsid w:val="00DE7263"/>
    <w:rsid w:val="00DE733C"/>
    <w:rsid w:val="00DE7452"/>
    <w:rsid w:val="00DE7491"/>
    <w:rsid w:val="00DE7625"/>
    <w:rsid w:val="00DE7664"/>
    <w:rsid w:val="00DE7732"/>
    <w:rsid w:val="00DE78E0"/>
    <w:rsid w:val="00DE78E2"/>
    <w:rsid w:val="00DE794E"/>
    <w:rsid w:val="00DE7A63"/>
    <w:rsid w:val="00DE7D3D"/>
    <w:rsid w:val="00DE7E33"/>
    <w:rsid w:val="00DE7FCC"/>
    <w:rsid w:val="00DF0028"/>
    <w:rsid w:val="00DF01AA"/>
    <w:rsid w:val="00DF0305"/>
    <w:rsid w:val="00DF0385"/>
    <w:rsid w:val="00DF0540"/>
    <w:rsid w:val="00DF0588"/>
    <w:rsid w:val="00DF0623"/>
    <w:rsid w:val="00DF0747"/>
    <w:rsid w:val="00DF0A74"/>
    <w:rsid w:val="00DF0AFC"/>
    <w:rsid w:val="00DF0B36"/>
    <w:rsid w:val="00DF1001"/>
    <w:rsid w:val="00DF11B8"/>
    <w:rsid w:val="00DF1334"/>
    <w:rsid w:val="00DF18E3"/>
    <w:rsid w:val="00DF1AF2"/>
    <w:rsid w:val="00DF1BA8"/>
    <w:rsid w:val="00DF1C41"/>
    <w:rsid w:val="00DF1C60"/>
    <w:rsid w:val="00DF1D08"/>
    <w:rsid w:val="00DF2040"/>
    <w:rsid w:val="00DF22A3"/>
    <w:rsid w:val="00DF2412"/>
    <w:rsid w:val="00DF2471"/>
    <w:rsid w:val="00DF259D"/>
    <w:rsid w:val="00DF2627"/>
    <w:rsid w:val="00DF26F1"/>
    <w:rsid w:val="00DF26FC"/>
    <w:rsid w:val="00DF2755"/>
    <w:rsid w:val="00DF27BD"/>
    <w:rsid w:val="00DF2916"/>
    <w:rsid w:val="00DF2B91"/>
    <w:rsid w:val="00DF2BA0"/>
    <w:rsid w:val="00DF2C23"/>
    <w:rsid w:val="00DF2C4A"/>
    <w:rsid w:val="00DF2D1D"/>
    <w:rsid w:val="00DF2F41"/>
    <w:rsid w:val="00DF2F8A"/>
    <w:rsid w:val="00DF3331"/>
    <w:rsid w:val="00DF340F"/>
    <w:rsid w:val="00DF34F8"/>
    <w:rsid w:val="00DF357F"/>
    <w:rsid w:val="00DF35AF"/>
    <w:rsid w:val="00DF35BA"/>
    <w:rsid w:val="00DF360B"/>
    <w:rsid w:val="00DF3708"/>
    <w:rsid w:val="00DF375C"/>
    <w:rsid w:val="00DF3836"/>
    <w:rsid w:val="00DF3CFD"/>
    <w:rsid w:val="00DF3F28"/>
    <w:rsid w:val="00DF3F57"/>
    <w:rsid w:val="00DF40CF"/>
    <w:rsid w:val="00DF416E"/>
    <w:rsid w:val="00DF41C9"/>
    <w:rsid w:val="00DF41EA"/>
    <w:rsid w:val="00DF41F4"/>
    <w:rsid w:val="00DF4242"/>
    <w:rsid w:val="00DF442E"/>
    <w:rsid w:val="00DF4516"/>
    <w:rsid w:val="00DF454A"/>
    <w:rsid w:val="00DF4865"/>
    <w:rsid w:val="00DF4886"/>
    <w:rsid w:val="00DF4994"/>
    <w:rsid w:val="00DF49FB"/>
    <w:rsid w:val="00DF4A61"/>
    <w:rsid w:val="00DF4AB3"/>
    <w:rsid w:val="00DF4E1A"/>
    <w:rsid w:val="00DF507D"/>
    <w:rsid w:val="00DF5085"/>
    <w:rsid w:val="00DF527F"/>
    <w:rsid w:val="00DF52E7"/>
    <w:rsid w:val="00DF531C"/>
    <w:rsid w:val="00DF5396"/>
    <w:rsid w:val="00DF5406"/>
    <w:rsid w:val="00DF5441"/>
    <w:rsid w:val="00DF552E"/>
    <w:rsid w:val="00DF55F6"/>
    <w:rsid w:val="00DF5693"/>
    <w:rsid w:val="00DF57CF"/>
    <w:rsid w:val="00DF59BB"/>
    <w:rsid w:val="00DF5AEF"/>
    <w:rsid w:val="00DF5C49"/>
    <w:rsid w:val="00DF5EBA"/>
    <w:rsid w:val="00DF5EBE"/>
    <w:rsid w:val="00DF5EF5"/>
    <w:rsid w:val="00DF5F23"/>
    <w:rsid w:val="00DF5F70"/>
    <w:rsid w:val="00DF5F92"/>
    <w:rsid w:val="00DF6027"/>
    <w:rsid w:val="00DF63B2"/>
    <w:rsid w:val="00DF6462"/>
    <w:rsid w:val="00DF6724"/>
    <w:rsid w:val="00DF674A"/>
    <w:rsid w:val="00DF6A66"/>
    <w:rsid w:val="00DF6AA0"/>
    <w:rsid w:val="00DF6AB1"/>
    <w:rsid w:val="00DF6B08"/>
    <w:rsid w:val="00DF6B6A"/>
    <w:rsid w:val="00DF6D24"/>
    <w:rsid w:val="00DF6F0C"/>
    <w:rsid w:val="00DF6F88"/>
    <w:rsid w:val="00DF7020"/>
    <w:rsid w:val="00DF7199"/>
    <w:rsid w:val="00DF74EE"/>
    <w:rsid w:val="00DF7513"/>
    <w:rsid w:val="00DF752E"/>
    <w:rsid w:val="00DF7813"/>
    <w:rsid w:val="00DF78C0"/>
    <w:rsid w:val="00DF79D2"/>
    <w:rsid w:val="00DF7E05"/>
    <w:rsid w:val="00DF7F9A"/>
    <w:rsid w:val="00E000AD"/>
    <w:rsid w:val="00E000BA"/>
    <w:rsid w:val="00E00117"/>
    <w:rsid w:val="00E00156"/>
    <w:rsid w:val="00E003FD"/>
    <w:rsid w:val="00E004BF"/>
    <w:rsid w:val="00E00700"/>
    <w:rsid w:val="00E008A9"/>
    <w:rsid w:val="00E00C72"/>
    <w:rsid w:val="00E00CBA"/>
    <w:rsid w:val="00E00D74"/>
    <w:rsid w:val="00E00DBD"/>
    <w:rsid w:val="00E01101"/>
    <w:rsid w:val="00E01279"/>
    <w:rsid w:val="00E0132D"/>
    <w:rsid w:val="00E0137C"/>
    <w:rsid w:val="00E013E9"/>
    <w:rsid w:val="00E0159C"/>
    <w:rsid w:val="00E01677"/>
    <w:rsid w:val="00E016AF"/>
    <w:rsid w:val="00E01759"/>
    <w:rsid w:val="00E0175F"/>
    <w:rsid w:val="00E017A5"/>
    <w:rsid w:val="00E018A9"/>
    <w:rsid w:val="00E0192B"/>
    <w:rsid w:val="00E0198E"/>
    <w:rsid w:val="00E019CC"/>
    <w:rsid w:val="00E01A60"/>
    <w:rsid w:val="00E01AC2"/>
    <w:rsid w:val="00E01C17"/>
    <w:rsid w:val="00E01C54"/>
    <w:rsid w:val="00E01CB0"/>
    <w:rsid w:val="00E01D34"/>
    <w:rsid w:val="00E01DC6"/>
    <w:rsid w:val="00E01DC7"/>
    <w:rsid w:val="00E01E01"/>
    <w:rsid w:val="00E01E35"/>
    <w:rsid w:val="00E01E6F"/>
    <w:rsid w:val="00E021BE"/>
    <w:rsid w:val="00E024E6"/>
    <w:rsid w:val="00E025B6"/>
    <w:rsid w:val="00E0281B"/>
    <w:rsid w:val="00E028A8"/>
    <w:rsid w:val="00E02BEF"/>
    <w:rsid w:val="00E02C56"/>
    <w:rsid w:val="00E02E5C"/>
    <w:rsid w:val="00E02EBC"/>
    <w:rsid w:val="00E03085"/>
    <w:rsid w:val="00E03223"/>
    <w:rsid w:val="00E03461"/>
    <w:rsid w:val="00E0350E"/>
    <w:rsid w:val="00E035AD"/>
    <w:rsid w:val="00E0363A"/>
    <w:rsid w:val="00E036B9"/>
    <w:rsid w:val="00E037D6"/>
    <w:rsid w:val="00E03920"/>
    <w:rsid w:val="00E03A0F"/>
    <w:rsid w:val="00E03AA5"/>
    <w:rsid w:val="00E03C65"/>
    <w:rsid w:val="00E03DE6"/>
    <w:rsid w:val="00E03EE5"/>
    <w:rsid w:val="00E03F76"/>
    <w:rsid w:val="00E03FC1"/>
    <w:rsid w:val="00E0403A"/>
    <w:rsid w:val="00E04253"/>
    <w:rsid w:val="00E0427A"/>
    <w:rsid w:val="00E042AC"/>
    <w:rsid w:val="00E0444F"/>
    <w:rsid w:val="00E0445E"/>
    <w:rsid w:val="00E04531"/>
    <w:rsid w:val="00E045DD"/>
    <w:rsid w:val="00E0478B"/>
    <w:rsid w:val="00E049B8"/>
    <w:rsid w:val="00E04C54"/>
    <w:rsid w:val="00E04D53"/>
    <w:rsid w:val="00E04E2F"/>
    <w:rsid w:val="00E04E66"/>
    <w:rsid w:val="00E04EE1"/>
    <w:rsid w:val="00E04F84"/>
    <w:rsid w:val="00E05160"/>
    <w:rsid w:val="00E0521A"/>
    <w:rsid w:val="00E05276"/>
    <w:rsid w:val="00E05337"/>
    <w:rsid w:val="00E0563A"/>
    <w:rsid w:val="00E056C2"/>
    <w:rsid w:val="00E056D9"/>
    <w:rsid w:val="00E05813"/>
    <w:rsid w:val="00E058CF"/>
    <w:rsid w:val="00E0591E"/>
    <w:rsid w:val="00E05944"/>
    <w:rsid w:val="00E05B17"/>
    <w:rsid w:val="00E05B98"/>
    <w:rsid w:val="00E05BAA"/>
    <w:rsid w:val="00E05C05"/>
    <w:rsid w:val="00E05C78"/>
    <w:rsid w:val="00E05DDE"/>
    <w:rsid w:val="00E05F9C"/>
    <w:rsid w:val="00E060EC"/>
    <w:rsid w:val="00E0621C"/>
    <w:rsid w:val="00E06429"/>
    <w:rsid w:val="00E06472"/>
    <w:rsid w:val="00E064A9"/>
    <w:rsid w:val="00E064FB"/>
    <w:rsid w:val="00E06773"/>
    <w:rsid w:val="00E0682D"/>
    <w:rsid w:val="00E0698B"/>
    <w:rsid w:val="00E06A97"/>
    <w:rsid w:val="00E06CA4"/>
    <w:rsid w:val="00E06CCA"/>
    <w:rsid w:val="00E06D53"/>
    <w:rsid w:val="00E06FED"/>
    <w:rsid w:val="00E07230"/>
    <w:rsid w:val="00E0752A"/>
    <w:rsid w:val="00E07669"/>
    <w:rsid w:val="00E07718"/>
    <w:rsid w:val="00E078A4"/>
    <w:rsid w:val="00E078C6"/>
    <w:rsid w:val="00E07B29"/>
    <w:rsid w:val="00E07CBF"/>
    <w:rsid w:val="00E07F82"/>
    <w:rsid w:val="00E1001B"/>
    <w:rsid w:val="00E10070"/>
    <w:rsid w:val="00E1061A"/>
    <w:rsid w:val="00E1078D"/>
    <w:rsid w:val="00E10852"/>
    <w:rsid w:val="00E1087A"/>
    <w:rsid w:val="00E1097B"/>
    <w:rsid w:val="00E10A47"/>
    <w:rsid w:val="00E10A6B"/>
    <w:rsid w:val="00E10F3E"/>
    <w:rsid w:val="00E10F99"/>
    <w:rsid w:val="00E1125B"/>
    <w:rsid w:val="00E112D3"/>
    <w:rsid w:val="00E112E1"/>
    <w:rsid w:val="00E115A1"/>
    <w:rsid w:val="00E115AD"/>
    <w:rsid w:val="00E11632"/>
    <w:rsid w:val="00E11710"/>
    <w:rsid w:val="00E117B2"/>
    <w:rsid w:val="00E11861"/>
    <w:rsid w:val="00E118F7"/>
    <w:rsid w:val="00E11916"/>
    <w:rsid w:val="00E11933"/>
    <w:rsid w:val="00E11997"/>
    <w:rsid w:val="00E119D1"/>
    <w:rsid w:val="00E11B75"/>
    <w:rsid w:val="00E11BFE"/>
    <w:rsid w:val="00E11D98"/>
    <w:rsid w:val="00E11E0A"/>
    <w:rsid w:val="00E11E27"/>
    <w:rsid w:val="00E11ED4"/>
    <w:rsid w:val="00E11EF5"/>
    <w:rsid w:val="00E12104"/>
    <w:rsid w:val="00E12150"/>
    <w:rsid w:val="00E12252"/>
    <w:rsid w:val="00E12370"/>
    <w:rsid w:val="00E12372"/>
    <w:rsid w:val="00E12393"/>
    <w:rsid w:val="00E123C3"/>
    <w:rsid w:val="00E1291F"/>
    <w:rsid w:val="00E12A36"/>
    <w:rsid w:val="00E12A96"/>
    <w:rsid w:val="00E12AC2"/>
    <w:rsid w:val="00E12C3B"/>
    <w:rsid w:val="00E12E32"/>
    <w:rsid w:val="00E12E8A"/>
    <w:rsid w:val="00E12ED0"/>
    <w:rsid w:val="00E1317B"/>
    <w:rsid w:val="00E134AA"/>
    <w:rsid w:val="00E136D9"/>
    <w:rsid w:val="00E13918"/>
    <w:rsid w:val="00E13935"/>
    <w:rsid w:val="00E13B2C"/>
    <w:rsid w:val="00E13C97"/>
    <w:rsid w:val="00E13D78"/>
    <w:rsid w:val="00E140B9"/>
    <w:rsid w:val="00E141E8"/>
    <w:rsid w:val="00E1427A"/>
    <w:rsid w:val="00E1459C"/>
    <w:rsid w:val="00E1468A"/>
    <w:rsid w:val="00E14AAA"/>
    <w:rsid w:val="00E14CE9"/>
    <w:rsid w:val="00E14EFB"/>
    <w:rsid w:val="00E14FD2"/>
    <w:rsid w:val="00E150BE"/>
    <w:rsid w:val="00E150C3"/>
    <w:rsid w:val="00E150C7"/>
    <w:rsid w:val="00E150F5"/>
    <w:rsid w:val="00E15162"/>
    <w:rsid w:val="00E153E4"/>
    <w:rsid w:val="00E15497"/>
    <w:rsid w:val="00E15545"/>
    <w:rsid w:val="00E156C6"/>
    <w:rsid w:val="00E1572B"/>
    <w:rsid w:val="00E159A4"/>
    <w:rsid w:val="00E15A6B"/>
    <w:rsid w:val="00E15CAF"/>
    <w:rsid w:val="00E15D97"/>
    <w:rsid w:val="00E15E89"/>
    <w:rsid w:val="00E15F79"/>
    <w:rsid w:val="00E1619F"/>
    <w:rsid w:val="00E161DC"/>
    <w:rsid w:val="00E1620C"/>
    <w:rsid w:val="00E163D4"/>
    <w:rsid w:val="00E163E8"/>
    <w:rsid w:val="00E16613"/>
    <w:rsid w:val="00E16714"/>
    <w:rsid w:val="00E16A88"/>
    <w:rsid w:val="00E16A8B"/>
    <w:rsid w:val="00E16B7B"/>
    <w:rsid w:val="00E16B80"/>
    <w:rsid w:val="00E16BDE"/>
    <w:rsid w:val="00E16BFE"/>
    <w:rsid w:val="00E1726E"/>
    <w:rsid w:val="00E172D4"/>
    <w:rsid w:val="00E1754D"/>
    <w:rsid w:val="00E17561"/>
    <w:rsid w:val="00E17694"/>
    <w:rsid w:val="00E1771F"/>
    <w:rsid w:val="00E1774D"/>
    <w:rsid w:val="00E17827"/>
    <w:rsid w:val="00E17ABA"/>
    <w:rsid w:val="00E17AF7"/>
    <w:rsid w:val="00E17DF1"/>
    <w:rsid w:val="00E20043"/>
    <w:rsid w:val="00E200A5"/>
    <w:rsid w:val="00E20137"/>
    <w:rsid w:val="00E201DA"/>
    <w:rsid w:val="00E20216"/>
    <w:rsid w:val="00E202ED"/>
    <w:rsid w:val="00E2044C"/>
    <w:rsid w:val="00E20588"/>
    <w:rsid w:val="00E2080D"/>
    <w:rsid w:val="00E2083A"/>
    <w:rsid w:val="00E209CA"/>
    <w:rsid w:val="00E20A36"/>
    <w:rsid w:val="00E20AF6"/>
    <w:rsid w:val="00E20D57"/>
    <w:rsid w:val="00E20F75"/>
    <w:rsid w:val="00E20F9D"/>
    <w:rsid w:val="00E20FF2"/>
    <w:rsid w:val="00E214D0"/>
    <w:rsid w:val="00E2165C"/>
    <w:rsid w:val="00E21683"/>
    <w:rsid w:val="00E216DC"/>
    <w:rsid w:val="00E2182D"/>
    <w:rsid w:val="00E218C3"/>
    <w:rsid w:val="00E21947"/>
    <w:rsid w:val="00E21A92"/>
    <w:rsid w:val="00E21AFB"/>
    <w:rsid w:val="00E21DDD"/>
    <w:rsid w:val="00E21DED"/>
    <w:rsid w:val="00E21EBC"/>
    <w:rsid w:val="00E221A6"/>
    <w:rsid w:val="00E22239"/>
    <w:rsid w:val="00E22442"/>
    <w:rsid w:val="00E2266F"/>
    <w:rsid w:val="00E2270D"/>
    <w:rsid w:val="00E2275C"/>
    <w:rsid w:val="00E228B7"/>
    <w:rsid w:val="00E2292B"/>
    <w:rsid w:val="00E229F6"/>
    <w:rsid w:val="00E22C24"/>
    <w:rsid w:val="00E22DFF"/>
    <w:rsid w:val="00E22E48"/>
    <w:rsid w:val="00E22E8A"/>
    <w:rsid w:val="00E22F66"/>
    <w:rsid w:val="00E22F8E"/>
    <w:rsid w:val="00E2325D"/>
    <w:rsid w:val="00E233EE"/>
    <w:rsid w:val="00E2347C"/>
    <w:rsid w:val="00E236A3"/>
    <w:rsid w:val="00E236B3"/>
    <w:rsid w:val="00E236B8"/>
    <w:rsid w:val="00E237FC"/>
    <w:rsid w:val="00E23B6A"/>
    <w:rsid w:val="00E23C5E"/>
    <w:rsid w:val="00E23D52"/>
    <w:rsid w:val="00E23E5D"/>
    <w:rsid w:val="00E23F38"/>
    <w:rsid w:val="00E23F77"/>
    <w:rsid w:val="00E23F92"/>
    <w:rsid w:val="00E2412E"/>
    <w:rsid w:val="00E24143"/>
    <w:rsid w:val="00E242C4"/>
    <w:rsid w:val="00E242EC"/>
    <w:rsid w:val="00E24346"/>
    <w:rsid w:val="00E24397"/>
    <w:rsid w:val="00E24554"/>
    <w:rsid w:val="00E24A4E"/>
    <w:rsid w:val="00E24B1B"/>
    <w:rsid w:val="00E24BCE"/>
    <w:rsid w:val="00E24E95"/>
    <w:rsid w:val="00E24EC0"/>
    <w:rsid w:val="00E251F6"/>
    <w:rsid w:val="00E2527E"/>
    <w:rsid w:val="00E252E7"/>
    <w:rsid w:val="00E2539E"/>
    <w:rsid w:val="00E2539F"/>
    <w:rsid w:val="00E2548D"/>
    <w:rsid w:val="00E25724"/>
    <w:rsid w:val="00E2574D"/>
    <w:rsid w:val="00E259EA"/>
    <w:rsid w:val="00E25A31"/>
    <w:rsid w:val="00E25A71"/>
    <w:rsid w:val="00E25B22"/>
    <w:rsid w:val="00E25B2B"/>
    <w:rsid w:val="00E25B34"/>
    <w:rsid w:val="00E25CC7"/>
    <w:rsid w:val="00E25DCF"/>
    <w:rsid w:val="00E25F3C"/>
    <w:rsid w:val="00E25FCC"/>
    <w:rsid w:val="00E2628B"/>
    <w:rsid w:val="00E26357"/>
    <w:rsid w:val="00E26359"/>
    <w:rsid w:val="00E266F8"/>
    <w:rsid w:val="00E2675F"/>
    <w:rsid w:val="00E2688F"/>
    <w:rsid w:val="00E26D45"/>
    <w:rsid w:val="00E26D80"/>
    <w:rsid w:val="00E270E0"/>
    <w:rsid w:val="00E270EE"/>
    <w:rsid w:val="00E27256"/>
    <w:rsid w:val="00E2733C"/>
    <w:rsid w:val="00E2757C"/>
    <w:rsid w:val="00E27649"/>
    <w:rsid w:val="00E27668"/>
    <w:rsid w:val="00E2770E"/>
    <w:rsid w:val="00E2786F"/>
    <w:rsid w:val="00E278B2"/>
    <w:rsid w:val="00E27A0D"/>
    <w:rsid w:val="00E27C6C"/>
    <w:rsid w:val="00E27DEE"/>
    <w:rsid w:val="00E27FB2"/>
    <w:rsid w:val="00E30041"/>
    <w:rsid w:val="00E3008B"/>
    <w:rsid w:val="00E302D4"/>
    <w:rsid w:val="00E3030B"/>
    <w:rsid w:val="00E30324"/>
    <w:rsid w:val="00E30379"/>
    <w:rsid w:val="00E30499"/>
    <w:rsid w:val="00E30518"/>
    <w:rsid w:val="00E30523"/>
    <w:rsid w:val="00E30635"/>
    <w:rsid w:val="00E3089D"/>
    <w:rsid w:val="00E308B6"/>
    <w:rsid w:val="00E30940"/>
    <w:rsid w:val="00E30947"/>
    <w:rsid w:val="00E3098A"/>
    <w:rsid w:val="00E30990"/>
    <w:rsid w:val="00E30C23"/>
    <w:rsid w:val="00E30C3F"/>
    <w:rsid w:val="00E30C4D"/>
    <w:rsid w:val="00E30E90"/>
    <w:rsid w:val="00E30EDA"/>
    <w:rsid w:val="00E30EF1"/>
    <w:rsid w:val="00E31040"/>
    <w:rsid w:val="00E31172"/>
    <w:rsid w:val="00E31253"/>
    <w:rsid w:val="00E313A5"/>
    <w:rsid w:val="00E31454"/>
    <w:rsid w:val="00E3146F"/>
    <w:rsid w:val="00E314CC"/>
    <w:rsid w:val="00E31636"/>
    <w:rsid w:val="00E316EA"/>
    <w:rsid w:val="00E318D7"/>
    <w:rsid w:val="00E31959"/>
    <w:rsid w:val="00E3198F"/>
    <w:rsid w:val="00E319F3"/>
    <w:rsid w:val="00E31B50"/>
    <w:rsid w:val="00E31BC5"/>
    <w:rsid w:val="00E32061"/>
    <w:rsid w:val="00E320E5"/>
    <w:rsid w:val="00E3216B"/>
    <w:rsid w:val="00E324D8"/>
    <w:rsid w:val="00E3277A"/>
    <w:rsid w:val="00E3285B"/>
    <w:rsid w:val="00E32914"/>
    <w:rsid w:val="00E32A0B"/>
    <w:rsid w:val="00E32A43"/>
    <w:rsid w:val="00E32BCA"/>
    <w:rsid w:val="00E32D37"/>
    <w:rsid w:val="00E32F9B"/>
    <w:rsid w:val="00E32FE0"/>
    <w:rsid w:val="00E33062"/>
    <w:rsid w:val="00E33065"/>
    <w:rsid w:val="00E331E5"/>
    <w:rsid w:val="00E33364"/>
    <w:rsid w:val="00E33395"/>
    <w:rsid w:val="00E33445"/>
    <w:rsid w:val="00E33577"/>
    <w:rsid w:val="00E3370F"/>
    <w:rsid w:val="00E33767"/>
    <w:rsid w:val="00E3376F"/>
    <w:rsid w:val="00E338BC"/>
    <w:rsid w:val="00E339FF"/>
    <w:rsid w:val="00E33BA3"/>
    <w:rsid w:val="00E33BC6"/>
    <w:rsid w:val="00E340D3"/>
    <w:rsid w:val="00E3418E"/>
    <w:rsid w:val="00E341A3"/>
    <w:rsid w:val="00E341AF"/>
    <w:rsid w:val="00E34207"/>
    <w:rsid w:val="00E342BA"/>
    <w:rsid w:val="00E343AB"/>
    <w:rsid w:val="00E3440C"/>
    <w:rsid w:val="00E34479"/>
    <w:rsid w:val="00E345FC"/>
    <w:rsid w:val="00E34799"/>
    <w:rsid w:val="00E34823"/>
    <w:rsid w:val="00E349BF"/>
    <w:rsid w:val="00E34AC6"/>
    <w:rsid w:val="00E34C1D"/>
    <w:rsid w:val="00E34C39"/>
    <w:rsid w:val="00E34C98"/>
    <w:rsid w:val="00E350D8"/>
    <w:rsid w:val="00E352BB"/>
    <w:rsid w:val="00E35303"/>
    <w:rsid w:val="00E355A6"/>
    <w:rsid w:val="00E35632"/>
    <w:rsid w:val="00E35647"/>
    <w:rsid w:val="00E35810"/>
    <w:rsid w:val="00E3599C"/>
    <w:rsid w:val="00E35C1A"/>
    <w:rsid w:val="00E35CB9"/>
    <w:rsid w:val="00E35D14"/>
    <w:rsid w:val="00E35F55"/>
    <w:rsid w:val="00E35F59"/>
    <w:rsid w:val="00E35F86"/>
    <w:rsid w:val="00E35FF7"/>
    <w:rsid w:val="00E36014"/>
    <w:rsid w:val="00E3607B"/>
    <w:rsid w:val="00E360E7"/>
    <w:rsid w:val="00E3615C"/>
    <w:rsid w:val="00E3616F"/>
    <w:rsid w:val="00E362C7"/>
    <w:rsid w:val="00E36767"/>
    <w:rsid w:val="00E368DF"/>
    <w:rsid w:val="00E3696E"/>
    <w:rsid w:val="00E369E3"/>
    <w:rsid w:val="00E369EE"/>
    <w:rsid w:val="00E36AB2"/>
    <w:rsid w:val="00E36C74"/>
    <w:rsid w:val="00E36CF4"/>
    <w:rsid w:val="00E36EF4"/>
    <w:rsid w:val="00E36F05"/>
    <w:rsid w:val="00E370EB"/>
    <w:rsid w:val="00E37561"/>
    <w:rsid w:val="00E378B0"/>
    <w:rsid w:val="00E378D3"/>
    <w:rsid w:val="00E37B3F"/>
    <w:rsid w:val="00E37C47"/>
    <w:rsid w:val="00E37D02"/>
    <w:rsid w:val="00E37F47"/>
    <w:rsid w:val="00E37FD9"/>
    <w:rsid w:val="00E37FE5"/>
    <w:rsid w:val="00E4004A"/>
    <w:rsid w:val="00E403DB"/>
    <w:rsid w:val="00E40413"/>
    <w:rsid w:val="00E4042D"/>
    <w:rsid w:val="00E4066E"/>
    <w:rsid w:val="00E407DA"/>
    <w:rsid w:val="00E407F0"/>
    <w:rsid w:val="00E4097C"/>
    <w:rsid w:val="00E40986"/>
    <w:rsid w:val="00E40A7F"/>
    <w:rsid w:val="00E40D57"/>
    <w:rsid w:val="00E40F2E"/>
    <w:rsid w:val="00E40F68"/>
    <w:rsid w:val="00E40FB5"/>
    <w:rsid w:val="00E41063"/>
    <w:rsid w:val="00E4106C"/>
    <w:rsid w:val="00E410BE"/>
    <w:rsid w:val="00E41116"/>
    <w:rsid w:val="00E4130A"/>
    <w:rsid w:val="00E4168D"/>
    <w:rsid w:val="00E4185E"/>
    <w:rsid w:val="00E418B4"/>
    <w:rsid w:val="00E41BEC"/>
    <w:rsid w:val="00E41C32"/>
    <w:rsid w:val="00E41D7C"/>
    <w:rsid w:val="00E41FE7"/>
    <w:rsid w:val="00E41FFB"/>
    <w:rsid w:val="00E4203F"/>
    <w:rsid w:val="00E42208"/>
    <w:rsid w:val="00E422EE"/>
    <w:rsid w:val="00E42466"/>
    <w:rsid w:val="00E42550"/>
    <w:rsid w:val="00E4265D"/>
    <w:rsid w:val="00E42685"/>
    <w:rsid w:val="00E42708"/>
    <w:rsid w:val="00E427E8"/>
    <w:rsid w:val="00E42899"/>
    <w:rsid w:val="00E42A0E"/>
    <w:rsid w:val="00E42C4C"/>
    <w:rsid w:val="00E42FD1"/>
    <w:rsid w:val="00E4318C"/>
    <w:rsid w:val="00E43320"/>
    <w:rsid w:val="00E4337F"/>
    <w:rsid w:val="00E43480"/>
    <w:rsid w:val="00E43A14"/>
    <w:rsid w:val="00E43A4A"/>
    <w:rsid w:val="00E43DB5"/>
    <w:rsid w:val="00E43DCA"/>
    <w:rsid w:val="00E43EDD"/>
    <w:rsid w:val="00E440F1"/>
    <w:rsid w:val="00E444BD"/>
    <w:rsid w:val="00E444CA"/>
    <w:rsid w:val="00E44770"/>
    <w:rsid w:val="00E448F8"/>
    <w:rsid w:val="00E44AD2"/>
    <w:rsid w:val="00E44B5F"/>
    <w:rsid w:val="00E44E22"/>
    <w:rsid w:val="00E44E37"/>
    <w:rsid w:val="00E44F65"/>
    <w:rsid w:val="00E44F95"/>
    <w:rsid w:val="00E45028"/>
    <w:rsid w:val="00E451D7"/>
    <w:rsid w:val="00E4537B"/>
    <w:rsid w:val="00E453A6"/>
    <w:rsid w:val="00E45972"/>
    <w:rsid w:val="00E45B0D"/>
    <w:rsid w:val="00E45B38"/>
    <w:rsid w:val="00E45BC2"/>
    <w:rsid w:val="00E45C73"/>
    <w:rsid w:val="00E45D05"/>
    <w:rsid w:val="00E45D84"/>
    <w:rsid w:val="00E46091"/>
    <w:rsid w:val="00E460FC"/>
    <w:rsid w:val="00E46175"/>
    <w:rsid w:val="00E461F3"/>
    <w:rsid w:val="00E46343"/>
    <w:rsid w:val="00E46449"/>
    <w:rsid w:val="00E46504"/>
    <w:rsid w:val="00E466AF"/>
    <w:rsid w:val="00E466C3"/>
    <w:rsid w:val="00E4682F"/>
    <w:rsid w:val="00E468C2"/>
    <w:rsid w:val="00E46905"/>
    <w:rsid w:val="00E46A57"/>
    <w:rsid w:val="00E46CF0"/>
    <w:rsid w:val="00E46D0A"/>
    <w:rsid w:val="00E46D0E"/>
    <w:rsid w:val="00E47068"/>
    <w:rsid w:val="00E4709E"/>
    <w:rsid w:val="00E47149"/>
    <w:rsid w:val="00E471A4"/>
    <w:rsid w:val="00E471DD"/>
    <w:rsid w:val="00E471E2"/>
    <w:rsid w:val="00E47243"/>
    <w:rsid w:val="00E478B4"/>
    <w:rsid w:val="00E479D2"/>
    <w:rsid w:val="00E47BA7"/>
    <w:rsid w:val="00E47BFC"/>
    <w:rsid w:val="00E47D69"/>
    <w:rsid w:val="00E47D99"/>
    <w:rsid w:val="00E47F34"/>
    <w:rsid w:val="00E47F73"/>
    <w:rsid w:val="00E47FB7"/>
    <w:rsid w:val="00E4A37C"/>
    <w:rsid w:val="00E5009D"/>
    <w:rsid w:val="00E50137"/>
    <w:rsid w:val="00E50309"/>
    <w:rsid w:val="00E50387"/>
    <w:rsid w:val="00E503B1"/>
    <w:rsid w:val="00E503D5"/>
    <w:rsid w:val="00E50433"/>
    <w:rsid w:val="00E5048F"/>
    <w:rsid w:val="00E504B4"/>
    <w:rsid w:val="00E50666"/>
    <w:rsid w:val="00E5066C"/>
    <w:rsid w:val="00E50747"/>
    <w:rsid w:val="00E5075B"/>
    <w:rsid w:val="00E507C7"/>
    <w:rsid w:val="00E50B40"/>
    <w:rsid w:val="00E50E44"/>
    <w:rsid w:val="00E50E5B"/>
    <w:rsid w:val="00E50EE3"/>
    <w:rsid w:val="00E50F95"/>
    <w:rsid w:val="00E51023"/>
    <w:rsid w:val="00E51092"/>
    <w:rsid w:val="00E5123E"/>
    <w:rsid w:val="00E51334"/>
    <w:rsid w:val="00E5135F"/>
    <w:rsid w:val="00E51374"/>
    <w:rsid w:val="00E514DF"/>
    <w:rsid w:val="00E51581"/>
    <w:rsid w:val="00E51586"/>
    <w:rsid w:val="00E51935"/>
    <w:rsid w:val="00E51AFD"/>
    <w:rsid w:val="00E51C56"/>
    <w:rsid w:val="00E51C7D"/>
    <w:rsid w:val="00E51DA1"/>
    <w:rsid w:val="00E51DAF"/>
    <w:rsid w:val="00E51DF9"/>
    <w:rsid w:val="00E51EE5"/>
    <w:rsid w:val="00E52099"/>
    <w:rsid w:val="00E521F3"/>
    <w:rsid w:val="00E5238B"/>
    <w:rsid w:val="00E52394"/>
    <w:rsid w:val="00E5247A"/>
    <w:rsid w:val="00E52592"/>
    <w:rsid w:val="00E525C8"/>
    <w:rsid w:val="00E5267E"/>
    <w:rsid w:val="00E52774"/>
    <w:rsid w:val="00E52810"/>
    <w:rsid w:val="00E529E1"/>
    <w:rsid w:val="00E52A10"/>
    <w:rsid w:val="00E52B65"/>
    <w:rsid w:val="00E52CCC"/>
    <w:rsid w:val="00E52E37"/>
    <w:rsid w:val="00E52F1B"/>
    <w:rsid w:val="00E52F54"/>
    <w:rsid w:val="00E53116"/>
    <w:rsid w:val="00E5337F"/>
    <w:rsid w:val="00E5393F"/>
    <w:rsid w:val="00E539EE"/>
    <w:rsid w:val="00E539F9"/>
    <w:rsid w:val="00E53A47"/>
    <w:rsid w:val="00E53A68"/>
    <w:rsid w:val="00E53B27"/>
    <w:rsid w:val="00E53C28"/>
    <w:rsid w:val="00E53C2C"/>
    <w:rsid w:val="00E53C4A"/>
    <w:rsid w:val="00E53C66"/>
    <w:rsid w:val="00E53F20"/>
    <w:rsid w:val="00E53FEF"/>
    <w:rsid w:val="00E54018"/>
    <w:rsid w:val="00E54185"/>
    <w:rsid w:val="00E54304"/>
    <w:rsid w:val="00E5444F"/>
    <w:rsid w:val="00E544A0"/>
    <w:rsid w:val="00E544AB"/>
    <w:rsid w:val="00E54656"/>
    <w:rsid w:val="00E54799"/>
    <w:rsid w:val="00E549ED"/>
    <w:rsid w:val="00E54D52"/>
    <w:rsid w:val="00E54E86"/>
    <w:rsid w:val="00E54F1F"/>
    <w:rsid w:val="00E5503E"/>
    <w:rsid w:val="00E5506F"/>
    <w:rsid w:val="00E55494"/>
    <w:rsid w:val="00E55815"/>
    <w:rsid w:val="00E558D0"/>
    <w:rsid w:val="00E558E3"/>
    <w:rsid w:val="00E5592A"/>
    <w:rsid w:val="00E55957"/>
    <w:rsid w:val="00E55A76"/>
    <w:rsid w:val="00E55D0F"/>
    <w:rsid w:val="00E55DE7"/>
    <w:rsid w:val="00E55FE1"/>
    <w:rsid w:val="00E5616A"/>
    <w:rsid w:val="00E5625E"/>
    <w:rsid w:val="00E5628A"/>
    <w:rsid w:val="00E563F1"/>
    <w:rsid w:val="00E565BD"/>
    <w:rsid w:val="00E566A7"/>
    <w:rsid w:val="00E56866"/>
    <w:rsid w:val="00E56E63"/>
    <w:rsid w:val="00E56EAB"/>
    <w:rsid w:val="00E56ECF"/>
    <w:rsid w:val="00E56F84"/>
    <w:rsid w:val="00E5705A"/>
    <w:rsid w:val="00E57107"/>
    <w:rsid w:val="00E57147"/>
    <w:rsid w:val="00E5717F"/>
    <w:rsid w:val="00E571C1"/>
    <w:rsid w:val="00E57481"/>
    <w:rsid w:val="00E576B4"/>
    <w:rsid w:val="00E57872"/>
    <w:rsid w:val="00E578D6"/>
    <w:rsid w:val="00E57923"/>
    <w:rsid w:val="00E57C63"/>
    <w:rsid w:val="00E57C9E"/>
    <w:rsid w:val="00E57CA1"/>
    <w:rsid w:val="00E57D4A"/>
    <w:rsid w:val="00E57E1C"/>
    <w:rsid w:val="00E57F03"/>
    <w:rsid w:val="00E57F85"/>
    <w:rsid w:val="00E6007A"/>
    <w:rsid w:val="00E600B0"/>
    <w:rsid w:val="00E60124"/>
    <w:rsid w:val="00E60171"/>
    <w:rsid w:val="00E60184"/>
    <w:rsid w:val="00E601EB"/>
    <w:rsid w:val="00E602E4"/>
    <w:rsid w:val="00E6040A"/>
    <w:rsid w:val="00E604BD"/>
    <w:rsid w:val="00E60958"/>
    <w:rsid w:val="00E609CF"/>
    <w:rsid w:val="00E60B53"/>
    <w:rsid w:val="00E60C0E"/>
    <w:rsid w:val="00E60D35"/>
    <w:rsid w:val="00E60D5B"/>
    <w:rsid w:val="00E60E9A"/>
    <w:rsid w:val="00E60FDB"/>
    <w:rsid w:val="00E6127A"/>
    <w:rsid w:val="00E615EE"/>
    <w:rsid w:val="00E6185D"/>
    <w:rsid w:val="00E619BA"/>
    <w:rsid w:val="00E61A54"/>
    <w:rsid w:val="00E61A6A"/>
    <w:rsid w:val="00E61B32"/>
    <w:rsid w:val="00E61C7C"/>
    <w:rsid w:val="00E61D87"/>
    <w:rsid w:val="00E61EAC"/>
    <w:rsid w:val="00E61F14"/>
    <w:rsid w:val="00E61FF7"/>
    <w:rsid w:val="00E621A8"/>
    <w:rsid w:val="00E621D7"/>
    <w:rsid w:val="00E62205"/>
    <w:rsid w:val="00E62399"/>
    <w:rsid w:val="00E6247B"/>
    <w:rsid w:val="00E626E2"/>
    <w:rsid w:val="00E6271A"/>
    <w:rsid w:val="00E6291D"/>
    <w:rsid w:val="00E6299B"/>
    <w:rsid w:val="00E629D2"/>
    <w:rsid w:val="00E62B7C"/>
    <w:rsid w:val="00E62BB0"/>
    <w:rsid w:val="00E62BD0"/>
    <w:rsid w:val="00E62C58"/>
    <w:rsid w:val="00E62D80"/>
    <w:rsid w:val="00E62DA6"/>
    <w:rsid w:val="00E63436"/>
    <w:rsid w:val="00E63459"/>
    <w:rsid w:val="00E6351A"/>
    <w:rsid w:val="00E63577"/>
    <w:rsid w:val="00E637B6"/>
    <w:rsid w:val="00E637CD"/>
    <w:rsid w:val="00E6391A"/>
    <w:rsid w:val="00E63D2D"/>
    <w:rsid w:val="00E63E36"/>
    <w:rsid w:val="00E63E74"/>
    <w:rsid w:val="00E63F5B"/>
    <w:rsid w:val="00E63FE7"/>
    <w:rsid w:val="00E6421A"/>
    <w:rsid w:val="00E6438C"/>
    <w:rsid w:val="00E644CE"/>
    <w:rsid w:val="00E64BBA"/>
    <w:rsid w:val="00E64C27"/>
    <w:rsid w:val="00E64FA5"/>
    <w:rsid w:val="00E65019"/>
    <w:rsid w:val="00E65152"/>
    <w:rsid w:val="00E65154"/>
    <w:rsid w:val="00E6526D"/>
    <w:rsid w:val="00E652A7"/>
    <w:rsid w:val="00E654A1"/>
    <w:rsid w:val="00E656DC"/>
    <w:rsid w:val="00E65713"/>
    <w:rsid w:val="00E6589E"/>
    <w:rsid w:val="00E65999"/>
    <w:rsid w:val="00E65A4C"/>
    <w:rsid w:val="00E65AE6"/>
    <w:rsid w:val="00E65E93"/>
    <w:rsid w:val="00E65F99"/>
    <w:rsid w:val="00E66140"/>
    <w:rsid w:val="00E661E1"/>
    <w:rsid w:val="00E661EA"/>
    <w:rsid w:val="00E66252"/>
    <w:rsid w:val="00E66254"/>
    <w:rsid w:val="00E66367"/>
    <w:rsid w:val="00E663D7"/>
    <w:rsid w:val="00E66533"/>
    <w:rsid w:val="00E6670F"/>
    <w:rsid w:val="00E66A0B"/>
    <w:rsid w:val="00E66ABA"/>
    <w:rsid w:val="00E66BA4"/>
    <w:rsid w:val="00E66CD8"/>
    <w:rsid w:val="00E66D29"/>
    <w:rsid w:val="00E66D53"/>
    <w:rsid w:val="00E66DAE"/>
    <w:rsid w:val="00E66E26"/>
    <w:rsid w:val="00E6718D"/>
    <w:rsid w:val="00E671B1"/>
    <w:rsid w:val="00E673C2"/>
    <w:rsid w:val="00E67440"/>
    <w:rsid w:val="00E67508"/>
    <w:rsid w:val="00E675B1"/>
    <w:rsid w:val="00E675C9"/>
    <w:rsid w:val="00E6770F"/>
    <w:rsid w:val="00E6785C"/>
    <w:rsid w:val="00E679B3"/>
    <w:rsid w:val="00E679D1"/>
    <w:rsid w:val="00E67AB7"/>
    <w:rsid w:val="00E67B42"/>
    <w:rsid w:val="00E67B43"/>
    <w:rsid w:val="00E67BEA"/>
    <w:rsid w:val="00E67C1C"/>
    <w:rsid w:val="00E67C83"/>
    <w:rsid w:val="00E67CAA"/>
    <w:rsid w:val="00E67D67"/>
    <w:rsid w:val="00E67F35"/>
    <w:rsid w:val="00E67FB8"/>
    <w:rsid w:val="00E700E0"/>
    <w:rsid w:val="00E70345"/>
    <w:rsid w:val="00E70354"/>
    <w:rsid w:val="00E70364"/>
    <w:rsid w:val="00E70374"/>
    <w:rsid w:val="00E7052C"/>
    <w:rsid w:val="00E70834"/>
    <w:rsid w:val="00E709D0"/>
    <w:rsid w:val="00E70BA6"/>
    <w:rsid w:val="00E70C88"/>
    <w:rsid w:val="00E70EA3"/>
    <w:rsid w:val="00E710B2"/>
    <w:rsid w:val="00E713E7"/>
    <w:rsid w:val="00E71448"/>
    <w:rsid w:val="00E7149F"/>
    <w:rsid w:val="00E7150C"/>
    <w:rsid w:val="00E71566"/>
    <w:rsid w:val="00E7157E"/>
    <w:rsid w:val="00E716E6"/>
    <w:rsid w:val="00E7177C"/>
    <w:rsid w:val="00E7195F"/>
    <w:rsid w:val="00E71B13"/>
    <w:rsid w:val="00E71B3D"/>
    <w:rsid w:val="00E71C69"/>
    <w:rsid w:val="00E71E04"/>
    <w:rsid w:val="00E721F6"/>
    <w:rsid w:val="00E72376"/>
    <w:rsid w:val="00E72392"/>
    <w:rsid w:val="00E7239C"/>
    <w:rsid w:val="00E72557"/>
    <w:rsid w:val="00E72593"/>
    <w:rsid w:val="00E72768"/>
    <w:rsid w:val="00E72876"/>
    <w:rsid w:val="00E72885"/>
    <w:rsid w:val="00E72966"/>
    <w:rsid w:val="00E72AC8"/>
    <w:rsid w:val="00E72B1F"/>
    <w:rsid w:val="00E72B44"/>
    <w:rsid w:val="00E72BC9"/>
    <w:rsid w:val="00E72BDF"/>
    <w:rsid w:val="00E72CDE"/>
    <w:rsid w:val="00E72FDC"/>
    <w:rsid w:val="00E730CE"/>
    <w:rsid w:val="00E73107"/>
    <w:rsid w:val="00E731CE"/>
    <w:rsid w:val="00E731E5"/>
    <w:rsid w:val="00E731EA"/>
    <w:rsid w:val="00E731F3"/>
    <w:rsid w:val="00E732EA"/>
    <w:rsid w:val="00E73406"/>
    <w:rsid w:val="00E73459"/>
    <w:rsid w:val="00E7349D"/>
    <w:rsid w:val="00E73664"/>
    <w:rsid w:val="00E73715"/>
    <w:rsid w:val="00E73754"/>
    <w:rsid w:val="00E73757"/>
    <w:rsid w:val="00E738A7"/>
    <w:rsid w:val="00E7391F"/>
    <w:rsid w:val="00E73936"/>
    <w:rsid w:val="00E73968"/>
    <w:rsid w:val="00E73C2F"/>
    <w:rsid w:val="00E73D37"/>
    <w:rsid w:val="00E73DB4"/>
    <w:rsid w:val="00E73E82"/>
    <w:rsid w:val="00E73F28"/>
    <w:rsid w:val="00E73FC0"/>
    <w:rsid w:val="00E73FC3"/>
    <w:rsid w:val="00E742B1"/>
    <w:rsid w:val="00E74389"/>
    <w:rsid w:val="00E74438"/>
    <w:rsid w:val="00E74642"/>
    <w:rsid w:val="00E74676"/>
    <w:rsid w:val="00E746CF"/>
    <w:rsid w:val="00E74788"/>
    <w:rsid w:val="00E74832"/>
    <w:rsid w:val="00E7484C"/>
    <w:rsid w:val="00E748A6"/>
    <w:rsid w:val="00E7497D"/>
    <w:rsid w:val="00E74B8D"/>
    <w:rsid w:val="00E74E1B"/>
    <w:rsid w:val="00E74FCA"/>
    <w:rsid w:val="00E75005"/>
    <w:rsid w:val="00E7522D"/>
    <w:rsid w:val="00E7522F"/>
    <w:rsid w:val="00E75251"/>
    <w:rsid w:val="00E752F4"/>
    <w:rsid w:val="00E75356"/>
    <w:rsid w:val="00E7539F"/>
    <w:rsid w:val="00E753AE"/>
    <w:rsid w:val="00E753DA"/>
    <w:rsid w:val="00E753E7"/>
    <w:rsid w:val="00E753EC"/>
    <w:rsid w:val="00E7540F"/>
    <w:rsid w:val="00E754CD"/>
    <w:rsid w:val="00E755EF"/>
    <w:rsid w:val="00E75725"/>
    <w:rsid w:val="00E75770"/>
    <w:rsid w:val="00E759A1"/>
    <w:rsid w:val="00E75DA6"/>
    <w:rsid w:val="00E75E14"/>
    <w:rsid w:val="00E75E3B"/>
    <w:rsid w:val="00E75ECF"/>
    <w:rsid w:val="00E75F6C"/>
    <w:rsid w:val="00E7609F"/>
    <w:rsid w:val="00E760D8"/>
    <w:rsid w:val="00E7633E"/>
    <w:rsid w:val="00E7635C"/>
    <w:rsid w:val="00E76529"/>
    <w:rsid w:val="00E7655F"/>
    <w:rsid w:val="00E766B4"/>
    <w:rsid w:val="00E76957"/>
    <w:rsid w:val="00E76B7B"/>
    <w:rsid w:val="00E76C3F"/>
    <w:rsid w:val="00E76C4C"/>
    <w:rsid w:val="00E76CD1"/>
    <w:rsid w:val="00E76EA1"/>
    <w:rsid w:val="00E76F1D"/>
    <w:rsid w:val="00E76F2E"/>
    <w:rsid w:val="00E7711D"/>
    <w:rsid w:val="00E772AF"/>
    <w:rsid w:val="00E7735E"/>
    <w:rsid w:val="00E77362"/>
    <w:rsid w:val="00E773F9"/>
    <w:rsid w:val="00E77457"/>
    <w:rsid w:val="00E7752A"/>
    <w:rsid w:val="00E775FB"/>
    <w:rsid w:val="00E77683"/>
    <w:rsid w:val="00E778C7"/>
    <w:rsid w:val="00E77911"/>
    <w:rsid w:val="00E779A8"/>
    <w:rsid w:val="00E77A16"/>
    <w:rsid w:val="00E77B2A"/>
    <w:rsid w:val="00E77B9E"/>
    <w:rsid w:val="00E77D29"/>
    <w:rsid w:val="00E77D56"/>
    <w:rsid w:val="00E79E55"/>
    <w:rsid w:val="00E80043"/>
    <w:rsid w:val="00E800F3"/>
    <w:rsid w:val="00E80240"/>
    <w:rsid w:val="00E8026C"/>
    <w:rsid w:val="00E806E4"/>
    <w:rsid w:val="00E8073D"/>
    <w:rsid w:val="00E807D7"/>
    <w:rsid w:val="00E807E0"/>
    <w:rsid w:val="00E80922"/>
    <w:rsid w:val="00E80A28"/>
    <w:rsid w:val="00E80A2F"/>
    <w:rsid w:val="00E80AE3"/>
    <w:rsid w:val="00E80C4D"/>
    <w:rsid w:val="00E80C73"/>
    <w:rsid w:val="00E80CC8"/>
    <w:rsid w:val="00E80D01"/>
    <w:rsid w:val="00E80F81"/>
    <w:rsid w:val="00E81101"/>
    <w:rsid w:val="00E81398"/>
    <w:rsid w:val="00E81435"/>
    <w:rsid w:val="00E8147A"/>
    <w:rsid w:val="00E8148E"/>
    <w:rsid w:val="00E814BB"/>
    <w:rsid w:val="00E81706"/>
    <w:rsid w:val="00E817E0"/>
    <w:rsid w:val="00E8186A"/>
    <w:rsid w:val="00E8191F"/>
    <w:rsid w:val="00E81B61"/>
    <w:rsid w:val="00E81C92"/>
    <w:rsid w:val="00E81F15"/>
    <w:rsid w:val="00E8228E"/>
    <w:rsid w:val="00E822B8"/>
    <w:rsid w:val="00E824AF"/>
    <w:rsid w:val="00E82583"/>
    <w:rsid w:val="00E8259D"/>
    <w:rsid w:val="00E82600"/>
    <w:rsid w:val="00E82627"/>
    <w:rsid w:val="00E826C4"/>
    <w:rsid w:val="00E826E7"/>
    <w:rsid w:val="00E827A7"/>
    <w:rsid w:val="00E827AD"/>
    <w:rsid w:val="00E8289D"/>
    <w:rsid w:val="00E829DC"/>
    <w:rsid w:val="00E82ABE"/>
    <w:rsid w:val="00E82BF2"/>
    <w:rsid w:val="00E82C42"/>
    <w:rsid w:val="00E82D4F"/>
    <w:rsid w:val="00E82EDA"/>
    <w:rsid w:val="00E82EFD"/>
    <w:rsid w:val="00E82F3B"/>
    <w:rsid w:val="00E82FAF"/>
    <w:rsid w:val="00E82FEC"/>
    <w:rsid w:val="00E83005"/>
    <w:rsid w:val="00E830A4"/>
    <w:rsid w:val="00E831D6"/>
    <w:rsid w:val="00E831EF"/>
    <w:rsid w:val="00E83255"/>
    <w:rsid w:val="00E83379"/>
    <w:rsid w:val="00E83408"/>
    <w:rsid w:val="00E835F4"/>
    <w:rsid w:val="00E8368E"/>
    <w:rsid w:val="00E83805"/>
    <w:rsid w:val="00E8391C"/>
    <w:rsid w:val="00E83A45"/>
    <w:rsid w:val="00E83BE5"/>
    <w:rsid w:val="00E83DDF"/>
    <w:rsid w:val="00E83E45"/>
    <w:rsid w:val="00E83F4D"/>
    <w:rsid w:val="00E83F82"/>
    <w:rsid w:val="00E8400F"/>
    <w:rsid w:val="00E84055"/>
    <w:rsid w:val="00E84238"/>
    <w:rsid w:val="00E84412"/>
    <w:rsid w:val="00E84463"/>
    <w:rsid w:val="00E84537"/>
    <w:rsid w:val="00E845B8"/>
    <w:rsid w:val="00E84632"/>
    <w:rsid w:val="00E84653"/>
    <w:rsid w:val="00E847A4"/>
    <w:rsid w:val="00E847BC"/>
    <w:rsid w:val="00E8488D"/>
    <w:rsid w:val="00E848F5"/>
    <w:rsid w:val="00E849EC"/>
    <w:rsid w:val="00E84F43"/>
    <w:rsid w:val="00E85443"/>
    <w:rsid w:val="00E85488"/>
    <w:rsid w:val="00E85688"/>
    <w:rsid w:val="00E85834"/>
    <w:rsid w:val="00E85875"/>
    <w:rsid w:val="00E858C0"/>
    <w:rsid w:val="00E85937"/>
    <w:rsid w:val="00E85947"/>
    <w:rsid w:val="00E85A0A"/>
    <w:rsid w:val="00E85B8F"/>
    <w:rsid w:val="00E85BF1"/>
    <w:rsid w:val="00E85CDE"/>
    <w:rsid w:val="00E85D56"/>
    <w:rsid w:val="00E85D9A"/>
    <w:rsid w:val="00E85FB4"/>
    <w:rsid w:val="00E861FE"/>
    <w:rsid w:val="00E8631B"/>
    <w:rsid w:val="00E86365"/>
    <w:rsid w:val="00E86372"/>
    <w:rsid w:val="00E863DA"/>
    <w:rsid w:val="00E8675A"/>
    <w:rsid w:val="00E867EC"/>
    <w:rsid w:val="00E86A89"/>
    <w:rsid w:val="00E86C0D"/>
    <w:rsid w:val="00E86E31"/>
    <w:rsid w:val="00E86EC3"/>
    <w:rsid w:val="00E86F2B"/>
    <w:rsid w:val="00E86F3B"/>
    <w:rsid w:val="00E87162"/>
    <w:rsid w:val="00E8726F"/>
    <w:rsid w:val="00E87323"/>
    <w:rsid w:val="00E87329"/>
    <w:rsid w:val="00E87452"/>
    <w:rsid w:val="00E874D3"/>
    <w:rsid w:val="00E8755C"/>
    <w:rsid w:val="00E876DC"/>
    <w:rsid w:val="00E87896"/>
    <w:rsid w:val="00E87933"/>
    <w:rsid w:val="00E87A65"/>
    <w:rsid w:val="00E87C4E"/>
    <w:rsid w:val="00E87CA2"/>
    <w:rsid w:val="00E87FD3"/>
    <w:rsid w:val="00E901E0"/>
    <w:rsid w:val="00E90291"/>
    <w:rsid w:val="00E9047E"/>
    <w:rsid w:val="00E90544"/>
    <w:rsid w:val="00E906A5"/>
    <w:rsid w:val="00E90755"/>
    <w:rsid w:val="00E9089C"/>
    <w:rsid w:val="00E909A9"/>
    <w:rsid w:val="00E90A02"/>
    <w:rsid w:val="00E90C56"/>
    <w:rsid w:val="00E90DEC"/>
    <w:rsid w:val="00E91006"/>
    <w:rsid w:val="00E91009"/>
    <w:rsid w:val="00E910F8"/>
    <w:rsid w:val="00E911F3"/>
    <w:rsid w:val="00E9146C"/>
    <w:rsid w:val="00E9154F"/>
    <w:rsid w:val="00E9181A"/>
    <w:rsid w:val="00E9181C"/>
    <w:rsid w:val="00E91926"/>
    <w:rsid w:val="00E9193F"/>
    <w:rsid w:val="00E9194D"/>
    <w:rsid w:val="00E91A20"/>
    <w:rsid w:val="00E91AD8"/>
    <w:rsid w:val="00E91BCE"/>
    <w:rsid w:val="00E91C2A"/>
    <w:rsid w:val="00E91D34"/>
    <w:rsid w:val="00E91D3A"/>
    <w:rsid w:val="00E91F03"/>
    <w:rsid w:val="00E91F5A"/>
    <w:rsid w:val="00E91F86"/>
    <w:rsid w:val="00E920A6"/>
    <w:rsid w:val="00E9223E"/>
    <w:rsid w:val="00E922A3"/>
    <w:rsid w:val="00E922B2"/>
    <w:rsid w:val="00E923EA"/>
    <w:rsid w:val="00E9266E"/>
    <w:rsid w:val="00E92756"/>
    <w:rsid w:val="00E92760"/>
    <w:rsid w:val="00E92868"/>
    <w:rsid w:val="00E9294A"/>
    <w:rsid w:val="00E92985"/>
    <w:rsid w:val="00E92A7C"/>
    <w:rsid w:val="00E92B62"/>
    <w:rsid w:val="00E92B6A"/>
    <w:rsid w:val="00E92B8A"/>
    <w:rsid w:val="00E92C9A"/>
    <w:rsid w:val="00E92C9B"/>
    <w:rsid w:val="00E92D14"/>
    <w:rsid w:val="00E92D48"/>
    <w:rsid w:val="00E92D6C"/>
    <w:rsid w:val="00E92F20"/>
    <w:rsid w:val="00E92F59"/>
    <w:rsid w:val="00E92F7A"/>
    <w:rsid w:val="00E930D3"/>
    <w:rsid w:val="00E931D4"/>
    <w:rsid w:val="00E933F4"/>
    <w:rsid w:val="00E93456"/>
    <w:rsid w:val="00E9349D"/>
    <w:rsid w:val="00E93505"/>
    <w:rsid w:val="00E9357D"/>
    <w:rsid w:val="00E9377D"/>
    <w:rsid w:val="00E937B5"/>
    <w:rsid w:val="00E9388E"/>
    <w:rsid w:val="00E93B40"/>
    <w:rsid w:val="00E93BB7"/>
    <w:rsid w:val="00E93C7E"/>
    <w:rsid w:val="00E93D41"/>
    <w:rsid w:val="00E93D87"/>
    <w:rsid w:val="00E93DBF"/>
    <w:rsid w:val="00E93E78"/>
    <w:rsid w:val="00E93F2B"/>
    <w:rsid w:val="00E93FDB"/>
    <w:rsid w:val="00E94044"/>
    <w:rsid w:val="00E94075"/>
    <w:rsid w:val="00E94275"/>
    <w:rsid w:val="00E94888"/>
    <w:rsid w:val="00E948AA"/>
    <w:rsid w:val="00E94AA2"/>
    <w:rsid w:val="00E94B04"/>
    <w:rsid w:val="00E94DBF"/>
    <w:rsid w:val="00E94F1C"/>
    <w:rsid w:val="00E952A4"/>
    <w:rsid w:val="00E953EA"/>
    <w:rsid w:val="00E95423"/>
    <w:rsid w:val="00E955D5"/>
    <w:rsid w:val="00E95704"/>
    <w:rsid w:val="00E95856"/>
    <w:rsid w:val="00E959FE"/>
    <w:rsid w:val="00E95A24"/>
    <w:rsid w:val="00E95CB5"/>
    <w:rsid w:val="00E95E19"/>
    <w:rsid w:val="00E9603D"/>
    <w:rsid w:val="00E960D6"/>
    <w:rsid w:val="00E962D6"/>
    <w:rsid w:val="00E962E3"/>
    <w:rsid w:val="00E96405"/>
    <w:rsid w:val="00E96577"/>
    <w:rsid w:val="00E96714"/>
    <w:rsid w:val="00E968FF"/>
    <w:rsid w:val="00E9692A"/>
    <w:rsid w:val="00E9694C"/>
    <w:rsid w:val="00E96BAE"/>
    <w:rsid w:val="00E96D94"/>
    <w:rsid w:val="00E96DB1"/>
    <w:rsid w:val="00E96EE6"/>
    <w:rsid w:val="00E96EFB"/>
    <w:rsid w:val="00E96F45"/>
    <w:rsid w:val="00E97123"/>
    <w:rsid w:val="00E971B3"/>
    <w:rsid w:val="00E971D4"/>
    <w:rsid w:val="00E9720A"/>
    <w:rsid w:val="00E972B6"/>
    <w:rsid w:val="00E97328"/>
    <w:rsid w:val="00E9733E"/>
    <w:rsid w:val="00E97520"/>
    <w:rsid w:val="00E97661"/>
    <w:rsid w:val="00E9772F"/>
    <w:rsid w:val="00E978AE"/>
    <w:rsid w:val="00E97AF2"/>
    <w:rsid w:val="00E97C81"/>
    <w:rsid w:val="00E97C93"/>
    <w:rsid w:val="00E97D2D"/>
    <w:rsid w:val="00E97DF8"/>
    <w:rsid w:val="00E97E2F"/>
    <w:rsid w:val="00E97FCF"/>
    <w:rsid w:val="00EA0030"/>
    <w:rsid w:val="00EA00A2"/>
    <w:rsid w:val="00EA016B"/>
    <w:rsid w:val="00EA04A5"/>
    <w:rsid w:val="00EA04FC"/>
    <w:rsid w:val="00EA05AB"/>
    <w:rsid w:val="00EA07CC"/>
    <w:rsid w:val="00EA07EB"/>
    <w:rsid w:val="00EA080C"/>
    <w:rsid w:val="00EA087B"/>
    <w:rsid w:val="00EA090A"/>
    <w:rsid w:val="00EA09A0"/>
    <w:rsid w:val="00EA0ABA"/>
    <w:rsid w:val="00EA0E6E"/>
    <w:rsid w:val="00EA0E9C"/>
    <w:rsid w:val="00EA0F0D"/>
    <w:rsid w:val="00EA10D9"/>
    <w:rsid w:val="00EA1216"/>
    <w:rsid w:val="00EA1668"/>
    <w:rsid w:val="00EA1866"/>
    <w:rsid w:val="00EA18E1"/>
    <w:rsid w:val="00EA1996"/>
    <w:rsid w:val="00EA19E2"/>
    <w:rsid w:val="00EA1A91"/>
    <w:rsid w:val="00EA1B60"/>
    <w:rsid w:val="00EA1B7A"/>
    <w:rsid w:val="00EA1BD8"/>
    <w:rsid w:val="00EA1D04"/>
    <w:rsid w:val="00EA1DCF"/>
    <w:rsid w:val="00EA1E54"/>
    <w:rsid w:val="00EA1E5D"/>
    <w:rsid w:val="00EA220F"/>
    <w:rsid w:val="00EA230A"/>
    <w:rsid w:val="00EA23A3"/>
    <w:rsid w:val="00EA2744"/>
    <w:rsid w:val="00EA27C4"/>
    <w:rsid w:val="00EA2801"/>
    <w:rsid w:val="00EA2A05"/>
    <w:rsid w:val="00EA2C42"/>
    <w:rsid w:val="00EA2E77"/>
    <w:rsid w:val="00EA3193"/>
    <w:rsid w:val="00EA321E"/>
    <w:rsid w:val="00EA3317"/>
    <w:rsid w:val="00EA33EC"/>
    <w:rsid w:val="00EA33F7"/>
    <w:rsid w:val="00EA34E0"/>
    <w:rsid w:val="00EA36C6"/>
    <w:rsid w:val="00EA3916"/>
    <w:rsid w:val="00EA3BD4"/>
    <w:rsid w:val="00EA3D97"/>
    <w:rsid w:val="00EA3E09"/>
    <w:rsid w:val="00EA40F0"/>
    <w:rsid w:val="00EA4131"/>
    <w:rsid w:val="00EA4399"/>
    <w:rsid w:val="00EA440F"/>
    <w:rsid w:val="00EA4449"/>
    <w:rsid w:val="00EA4539"/>
    <w:rsid w:val="00EA4592"/>
    <w:rsid w:val="00EA4595"/>
    <w:rsid w:val="00EA460F"/>
    <w:rsid w:val="00EA466C"/>
    <w:rsid w:val="00EA46F5"/>
    <w:rsid w:val="00EA4847"/>
    <w:rsid w:val="00EA4967"/>
    <w:rsid w:val="00EA49E8"/>
    <w:rsid w:val="00EA4E96"/>
    <w:rsid w:val="00EA4F03"/>
    <w:rsid w:val="00EA4F8A"/>
    <w:rsid w:val="00EA5189"/>
    <w:rsid w:val="00EA5295"/>
    <w:rsid w:val="00EA5418"/>
    <w:rsid w:val="00EA5592"/>
    <w:rsid w:val="00EA56F8"/>
    <w:rsid w:val="00EA5717"/>
    <w:rsid w:val="00EA5976"/>
    <w:rsid w:val="00EA5987"/>
    <w:rsid w:val="00EA59FC"/>
    <w:rsid w:val="00EA5B09"/>
    <w:rsid w:val="00EA5B1A"/>
    <w:rsid w:val="00EA5DF0"/>
    <w:rsid w:val="00EA5EA4"/>
    <w:rsid w:val="00EA6042"/>
    <w:rsid w:val="00EA6191"/>
    <w:rsid w:val="00EA6349"/>
    <w:rsid w:val="00EA63D2"/>
    <w:rsid w:val="00EA6422"/>
    <w:rsid w:val="00EA64B7"/>
    <w:rsid w:val="00EA65DE"/>
    <w:rsid w:val="00EA68FC"/>
    <w:rsid w:val="00EA699E"/>
    <w:rsid w:val="00EA69A9"/>
    <w:rsid w:val="00EA6A30"/>
    <w:rsid w:val="00EA6A8A"/>
    <w:rsid w:val="00EA6C5A"/>
    <w:rsid w:val="00EA6C8A"/>
    <w:rsid w:val="00EA6D36"/>
    <w:rsid w:val="00EA6DC0"/>
    <w:rsid w:val="00EA6E5C"/>
    <w:rsid w:val="00EA6EBB"/>
    <w:rsid w:val="00EA6F26"/>
    <w:rsid w:val="00EA70DA"/>
    <w:rsid w:val="00EA737D"/>
    <w:rsid w:val="00EA73D4"/>
    <w:rsid w:val="00EA7417"/>
    <w:rsid w:val="00EA77C9"/>
    <w:rsid w:val="00EA7816"/>
    <w:rsid w:val="00EA79F5"/>
    <w:rsid w:val="00EA7B21"/>
    <w:rsid w:val="00EA7DE2"/>
    <w:rsid w:val="00EB0103"/>
    <w:rsid w:val="00EB0142"/>
    <w:rsid w:val="00EB0391"/>
    <w:rsid w:val="00EB04E9"/>
    <w:rsid w:val="00EB0668"/>
    <w:rsid w:val="00EB0978"/>
    <w:rsid w:val="00EB09BF"/>
    <w:rsid w:val="00EB0C40"/>
    <w:rsid w:val="00EB0C4D"/>
    <w:rsid w:val="00EB0CD3"/>
    <w:rsid w:val="00EB0D19"/>
    <w:rsid w:val="00EB0D80"/>
    <w:rsid w:val="00EB0D9F"/>
    <w:rsid w:val="00EB0E73"/>
    <w:rsid w:val="00EB0FFD"/>
    <w:rsid w:val="00EB10FE"/>
    <w:rsid w:val="00EB1343"/>
    <w:rsid w:val="00EB135D"/>
    <w:rsid w:val="00EB1438"/>
    <w:rsid w:val="00EB1617"/>
    <w:rsid w:val="00EB173D"/>
    <w:rsid w:val="00EB1853"/>
    <w:rsid w:val="00EB18A8"/>
    <w:rsid w:val="00EB1919"/>
    <w:rsid w:val="00EB1956"/>
    <w:rsid w:val="00EB1AB8"/>
    <w:rsid w:val="00EB1B97"/>
    <w:rsid w:val="00EB1C52"/>
    <w:rsid w:val="00EB1CE1"/>
    <w:rsid w:val="00EB1D85"/>
    <w:rsid w:val="00EB1E7C"/>
    <w:rsid w:val="00EB1EB9"/>
    <w:rsid w:val="00EB1FE7"/>
    <w:rsid w:val="00EB2285"/>
    <w:rsid w:val="00EB22C9"/>
    <w:rsid w:val="00EB25A0"/>
    <w:rsid w:val="00EB261A"/>
    <w:rsid w:val="00EB26DF"/>
    <w:rsid w:val="00EB272C"/>
    <w:rsid w:val="00EB27CB"/>
    <w:rsid w:val="00EB28D3"/>
    <w:rsid w:val="00EB2999"/>
    <w:rsid w:val="00EB2A63"/>
    <w:rsid w:val="00EB2A66"/>
    <w:rsid w:val="00EB2AD2"/>
    <w:rsid w:val="00EB2C2C"/>
    <w:rsid w:val="00EB2FDE"/>
    <w:rsid w:val="00EB3047"/>
    <w:rsid w:val="00EB308C"/>
    <w:rsid w:val="00EB3186"/>
    <w:rsid w:val="00EB3206"/>
    <w:rsid w:val="00EB329F"/>
    <w:rsid w:val="00EB3438"/>
    <w:rsid w:val="00EB3441"/>
    <w:rsid w:val="00EB34F0"/>
    <w:rsid w:val="00EB3563"/>
    <w:rsid w:val="00EB3635"/>
    <w:rsid w:val="00EB391F"/>
    <w:rsid w:val="00EB3928"/>
    <w:rsid w:val="00EB39A6"/>
    <w:rsid w:val="00EB39F6"/>
    <w:rsid w:val="00EB3DF5"/>
    <w:rsid w:val="00EB3E5C"/>
    <w:rsid w:val="00EB3F29"/>
    <w:rsid w:val="00EB3FFE"/>
    <w:rsid w:val="00EB4109"/>
    <w:rsid w:val="00EB415E"/>
    <w:rsid w:val="00EB41EF"/>
    <w:rsid w:val="00EB433A"/>
    <w:rsid w:val="00EB46EE"/>
    <w:rsid w:val="00EB4788"/>
    <w:rsid w:val="00EB4833"/>
    <w:rsid w:val="00EB4890"/>
    <w:rsid w:val="00EB4AAC"/>
    <w:rsid w:val="00EB4B41"/>
    <w:rsid w:val="00EB4B9F"/>
    <w:rsid w:val="00EB4BF3"/>
    <w:rsid w:val="00EB4BF8"/>
    <w:rsid w:val="00EB4C34"/>
    <w:rsid w:val="00EB4CA0"/>
    <w:rsid w:val="00EB4D89"/>
    <w:rsid w:val="00EB4F90"/>
    <w:rsid w:val="00EB4FC8"/>
    <w:rsid w:val="00EB4FEE"/>
    <w:rsid w:val="00EB51C8"/>
    <w:rsid w:val="00EB5406"/>
    <w:rsid w:val="00EB54D1"/>
    <w:rsid w:val="00EB554C"/>
    <w:rsid w:val="00EB55A2"/>
    <w:rsid w:val="00EB5758"/>
    <w:rsid w:val="00EB5939"/>
    <w:rsid w:val="00EB5943"/>
    <w:rsid w:val="00EB5AEC"/>
    <w:rsid w:val="00EB5CA2"/>
    <w:rsid w:val="00EB5EDF"/>
    <w:rsid w:val="00EB5FA6"/>
    <w:rsid w:val="00EB61F6"/>
    <w:rsid w:val="00EB6410"/>
    <w:rsid w:val="00EB6520"/>
    <w:rsid w:val="00EB6571"/>
    <w:rsid w:val="00EB6630"/>
    <w:rsid w:val="00EB68FF"/>
    <w:rsid w:val="00EB6915"/>
    <w:rsid w:val="00EB6928"/>
    <w:rsid w:val="00EB69DE"/>
    <w:rsid w:val="00EB69E4"/>
    <w:rsid w:val="00EB69F2"/>
    <w:rsid w:val="00EB6DC8"/>
    <w:rsid w:val="00EB6E9F"/>
    <w:rsid w:val="00EB6F8E"/>
    <w:rsid w:val="00EB71A4"/>
    <w:rsid w:val="00EB725E"/>
    <w:rsid w:val="00EB74FE"/>
    <w:rsid w:val="00EB7562"/>
    <w:rsid w:val="00EB75E2"/>
    <w:rsid w:val="00EB7653"/>
    <w:rsid w:val="00EB7663"/>
    <w:rsid w:val="00EB7694"/>
    <w:rsid w:val="00EB77A4"/>
    <w:rsid w:val="00EB77BA"/>
    <w:rsid w:val="00EB78A5"/>
    <w:rsid w:val="00EB798C"/>
    <w:rsid w:val="00EB7A01"/>
    <w:rsid w:val="00EB7E55"/>
    <w:rsid w:val="00EB7F4E"/>
    <w:rsid w:val="00EB7F55"/>
    <w:rsid w:val="00EC0014"/>
    <w:rsid w:val="00EC0061"/>
    <w:rsid w:val="00EC0618"/>
    <w:rsid w:val="00EC0658"/>
    <w:rsid w:val="00EC0743"/>
    <w:rsid w:val="00EC074A"/>
    <w:rsid w:val="00EC0771"/>
    <w:rsid w:val="00EC07E8"/>
    <w:rsid w:val="00EC0889"/>
    <w:rsid w:val="00EC0981"/>
    <w:rsid w:val="00EC0B8F"/>
    <w:rsid w:val="00EC0BEA"/>
    <w:rsid w:val="00EC0BFE"/>
    <w:rsid w:val="00EC0CA2"/>
    <w:rsid w:val="00EC0D11"/>
    <w:rsid w:val="00EC0DCF"/>
    <w:rsid w:val="00EC0DEE"/>
    <w:rsid w:val="00EC0E9E"/>
    <w:rsid w:val="00EC103E"/>
    <w:rsid w:val="00EC1051"/>
    <w:rsid w:val="00EC1072"/>
    <w:rsid w:val="00EC11F3"/>
    <w:rsid w:val="00EC12E9"/>
    <w:rsid w:val="00EC141E"/>
    <w:rsid w:val="00EC14C5"/>
    <w:rsid w:val="00EC158F"/>
    <w:rsid w:val="00EC1637"/>
    <w:rsid w:val="00EC168B"/>
    <w:rsid w:val="00EC1765"/>
    <w:rsid w:val="00EC1770"/>
    <w:rsid w:val="00EC17CC"/>
    <w:rsid w:val="00EC19C6"/>
    <w:rsid w:val="00EC19CF"/>
    <w:rsid w:val="00EC1AEB"/>
    <w:rsid w:val="00EC1D68"/>
    <w:rsid w:val="00EC1F57"/>
    <w:rsid w:val="00EC1FAE"/>
    <w:rsid w:val="00EC241D"/>
    <w:rsid w:val="00EC2430"/>
    <w:rsid w:val="00EC273D"/>
    <w:rsid w:val="00EC27FB"/>
    <w:rsid w:val="00EC2AEA"/>
    <w:rsid w:val="00EC2EAD"/>
    <w:rsid w:val="00EC2EB4"/>
    <w:rsid w:val="00EC30B1"/>
    <w:rsid w:val="00EC3208"/>
    <w:rsid w:val="00EC320E"/>
    <w:rsid w:val="00EC323C"/>
    <w:rsid w:val="00EC32A9"/>
    <w:rsid w:val="00EC345C"/>
    <w:rsid w:val="00EC3512"/>
    <w:rsid w:val="00EC373E"/>
    <w:rsid w:val="00EC3886"/>
    <w:rsid w:val="00EC39CC"/>
    <w:rsid w:val="00EC3D35"/>
    <w:rsid w:val="00EC3E80"/>
    <w:rsid w:val="00EC3EE5"/>
    <w:rsid w:val="00EC4129"/>
    <w:rsid w:val="00EC4238"/>
    <w:rsid w:val="00EC42E2"/>
    <w:rsid w:val="00EC4412"/>
    <w:rsid w:val="00EC450E"/>
    <w:rsid w:val="00EC472A"/>
    <w:rsid w:val="00EC489D"/>
    <w:rsid w:val="00EC48A9"/>
    <w:rsid w:val="00EC49F3"/>
    <w:rsid w:val="00EC4A08"/>
    <w:rsid w:val="00EC4A49"/>
    <w:rsid w:val="00EC4B3B"/>
    <w:rsid w:val="00EC4F40"/>
    <w:rsid w:val="00EC4F67"/>
    <w:rsid w:val="00EC4FC3"/>
    <w:rsid w:val="00EC512F"/>
    <w:rsid w:val="00EC55B5"/>
    <w:rsid w:val="00EC5617"/>
    <w:rsid w:val="00EC5983"/>
    <w:rsid w:val="00EC59B8"/>
    <w:rsid w:val="00EC5B55"/>
    <w:rsid w:val="00EC5BF6"/>
    <w:rsid w:val="00EC5D14"/>
    <w:rsid w:val="00EC5E84"/>
    <w:rsid w:val="00EC5F30"/>
    <w:rsid w:val="00EC6228"/>
    <w:rsid w:val="00EC6235"/>
    <w:rsid w:val="00EC628B"/>
    <w:rsid w:val="00EC62DA"/>
    <w:rsid w:val="00EC6626"/>
    <w:rsid w:val="00EC6634"/>
    <w:rsid w:val="00EC6643"/>
    <w:rsid w:val="00EC676C"/>
    <w:rsid w:val="00EC67F2"/>
    <w:rsid w:val="00EC68F5"/>
    <w:rsid w:val="00EC691E"/>
    <w:rsid w:val="00EC69D3"/>
    <w:rsid w:val="00EC6A54"/>
    <w:rsid w:val="00EC6AE7"/>
    <w:rsid w:val="00EC6B95"/>
    <w:rsid w:val="00EC6CAA"/>
    <w:rsid w:val="00EC6EE8"/>
    <w:rsid w:val="00EC723E"/>
    <w:rsid w:val="00EC72B2"/>
    <w:rsid w:val="00EC7487"/>
    <w:rsid w:val="00EC76CA"/>
    <w:rsid w:val="00EC79C4"/>
    <w:rsid w:val="00EC7A48"/>
    <w:rsid w:val="00EC7D93"/>
    <w:rsid w:val="00EC7E17"/>
    <w:rsid w:val="00ED01E6"/>
    <w:rsid w:val="00ED022E"/>
    <w:rsid w:val="00ED0285"/>
    <w:rsid w:val="00ED02CD"/>
    <w:rsid w:val="00ED04BE"/>
    <w:rsid w:val="00ED0616"/>
    <w:rsid w:val="00ED06A5"/>
    <w:rsid w:val="00ED076A"/>
    <w:rsid w:val="00ED08BE"/>
    <w:rsid w:val="00ED0A9B"/>
    <w:rsid w:val="00ED0BCA"/>
    <w:rsid w:val="00ED0C3A"/>
    <w:rsid w:val="00ED0D13"/>
    <w:rsid w:val="00ED0D1B"/>
    <w:rsid w:val="00ED0E9C"/>
    <w:rsid w:val="00ED11B8"/>
    <w:rsid w:val="00ED11F4"/>
    <w:rsid w:val="00ED137E"/>
    <w:rsid w:val="00ED1657"/>
    <w:rsid w:val="00ED18DB"/>
    <w:rsid w:val="00ED19BE"/>
    <w:rsid w:val="00ED1F71"/>
    <w:rsid w:val="00ED1F73"/>
    <w:rsid w:val="00ED202C"/>
    <w:rsid w:val="00ED2514"/>
    <w:rsid w:val="00ED25E8"/>
    <w:rsid w:val="00ED2647"/>
    <w:rsid w:val="00ED26F2"/>
    <w:rsid w:val="00ED277F"/>
    <w:rsid w:val="00ED2840"/>
    <w:rsid w:val="00ED2879"/>
    <w:rsid w:val="00ED28F5"/>
    <w:rsid w:val="00ED293C"/>
    <w:rsid w:val="00ED29CE"/>
    <w:rsid w:val="00ED2B84"/>
    <w:rsid w:val="00ED2C47"/>
    <w:rsid w:val="00ED2CBF"/>
    <w:rsid w:val="00ED2F00"/>
    <w:rsid w:val="00ED2F3A"/>
    <w:rsid w:val="00ED2FAA"/>
    <w:rsid w:val="00ED314F"/>
    <w:rsid w:val="00ED357E"/>
    <w:rsid w:val="00ED35CE"/>
    <w:rsid w:val="00ED36F9"/>
    <w:rsid w:val="00ED3706"/>
    <w:rsid w:val="00ED38BA"/>
    <w:rsid w:val="00ED38F0"/>
    <w:rsid w:val="00ED3909"/>
    <w:rsid w:val="00ED3B31"/>
    <w:rsid w:val="00ED3B92"/>
    <w:rsid w:val="00ED3BA6"/>
    <w:rsid w:val="00ED3C27"/>
    <w:rsid w:val="00ED3CC4"/>
    <w:rsid w:val="00ED3EE7"/>
    <w:rsid w:val="00ED3F1A"/>
    <w:rsid w:val="00ED40C7"/>
    <w:rsid w:val="00ED41E5"/>
    <w:rsid w:val="00ED4258"/>
    <w:rsid w:val="00ED42C9"/>
    <w:rsid w:val="00ED43B2"/>
    <w:rsid w:val="00ED43DB"/>
    <w:rsid w:val="00ED43DE"/>
    <w:rsid w:val="00ED443A"/>
    <w:rsid w:val="00ED4505"/>
    <w:rsid w:val="00ED457D"/>
    <w:rsid w:val="00ED45BA"/>
    <w:rsid w:val="00ED471B"/>
    <w:rsid w:val="00ED4745"/>
    <w:rsid w:val="00ED48AA"/>
    <w:rsid w:val="00ED48C9"/>
    <w:rsid w:val="00ED4908"/>
    <w:rsid w:val="00ED4A97"/>
    <w:rsid w:val="00ED4C02"/>
    <w:rsid w:val="00ED4EF1"/>
    <w:rsid w:val="00ED4F50"/>
    <w:rsid w:val="00ED524E"/>
    <w:rsid w:val="00ED5720"/>
    <w:rsid w:val="00ED57C8"/>
    <w:rsid w:val="00ED57FC"/>
    <w:rsid w:val="00ED58CA"/>
    <w:rsid w:val="00ED59C3"/>
    <w:rsid w:val="00ED5A4A"/>
    <w:rsid w:val="00ED5B78"/>
    <w:rsid w:val="00ED5CAA"/>
    <w:rsid w:val="00ED611F"/>
    <w:rsid w:val="00ED61B6"/>
    <w:rsid w:val="00ED62D1"/>
    <w:rsid w:val="00ED65DD"/>
    <w:rsid w:val="00ED6608"/>
    <w:rsid w:val="00ED6633"/>
    <w:rsid w:val="00ED67D7"/>
    <w:rsid w:val="00ED6840"/>
    <w:rsid w:val="00ED68D9"/>
    <w:rsid w:val="00ED6AC2"/>
    <w:rsid w:val="00ED6B81"/>
    <w:rsid w:val="00ED6CF8"/>
    <w:rsid w:val="00ED6D7A"/>
    <w:rsid w:val="00ED6E96"/>
    <w:rsid w:val="00ED6ED3"/>
    <w:rsid w:val="00ED6F87"/>
    <w:rsid w:val="00ED6FC3"/>
    <w:rsid w:val="00ED6FC4"/>
    <w:rsid w:val="00ED71C6"/>
    <w:rsid w:val="00ED7436"/>
    <w:rsid w:val="00ED7613"/>
    <w:rsid w:val="00ED777B"/>
    <w:rsid w:val="00ED7D55"/>
    <w:rsid w:val="00ED7D75"/>
    <w:rsid w:val="00ED7E1D"/>
    <w:rsid w:val="00ED7F9B"/>
    <w:rsid w:val="00EE0316"/>
    <w:rsid w:val="00EE0456"/>
    <w:rsid w:val="00EE06B5"/>
    <w:rsid w:val="00EE0702"/>
    <w:rsid w:val="00EE074D"/>
    <w:rsid w:val="00EE0804"/>
    <w:rsid w:val="00EE099E"/>
    <w:rsid w:val="00EE0CFB"/>
    <w:rsid w:val="00EE0E13"/>
    <w:rsid w:val="00EE0FEE"/>
    <w:rsid w:val="00EE1075"/>
    <w:rsid w:val="00EE10F2"/>
    <w:rsid w:val="00EE11F4"/>
    <w:rsid w:val="00EE1343"/>
    <w:rsid w:val="00EE13B0"/>
    <w:rsid w:val="00EE142B"/>
    <w:rsid w:val="00EE144B"/>
    <w:rsid w:val="00EE1A88"/>
    <w:rsid w:val="00EE1B11"/>
    <w:rsid w:val="00EE1B2B"/>
    <w:rsid w:val="00EE1B79"/>
    <w:rsid w:val="00EE1C8E"/>
    <w:rsid w:val="00EE1CD8"/>
    <w:rsid w:val="00EE1E65"/>
    <w:rsid w:val="00EE213B"/>
    <w:rsid w:val="00EE225E"/>
    <w:rsid w:val="00EE2393"/>
    <w:rsid w:val="00EE2417"/>
    <w:rsid w:val="00EE27FA"/>
    <w:rsid w:val="00EE284E"/>
    <w:rsid w:val="00EE2E78"/>
    <w:rsid w:val="00EE3015"/>
    <w:rsid w:val="00EE3164"/>
    <w:rsid w:val="00EE316C"/>
    <w:rsid w:val="00EE31AA"/>
    <w:rsid w:val="00EE31C3"/>
    <w:rsid w:val="00EE3317"/>
    <w:rsid w:val="00EE3320"/>
    <w:rsid w:val="00EE35F6"/>
    <w:rsid w:val="00EE3707"/>
    <w:rsid w:val="00EE3749"/>
    <w:rsid w:val="00EE38EF"/>
    <w:rsid w:val="00EE3C2D"/>
    <w:rsid w:val="00EE3CC1"/>
    <w:rsid w:val="00EE3F7F"/>
    <w:rsid w:val="00EE3F8E"/>
    <w:rsid w:val="00EE3FB6"/>
    <w:rsid w:val="00EE3FBB"/>
    <w:rsid w:val="00EE4188"/>
    <w:rsid w:val="00EE41A3"/>
    <w:rsid w:val="00EE43E9"/>
    <w:rsid w:val="00EE45CE"/>
    <w:rsid w:val="00EE4711"/>
    <w:rsid w:val="00EE4777"/>
    <w:rsid w:val="00EE4781"/>
    <w:rsid w:val="00EE482A"/>
    <w:rsid w:val="00EE4902"/>
    <w:rsid w:val="00EE4A40"/>
    <w:rsid w:val="00EE4B2F"/>
    <w:rsid w:val="00EE4D42"/>
    <w:rsid w:val="00EE5026"/>
    <w:rsid w:val="00EE5203"/>
    <w:rsid w:val="00EE52CB"/>
    <w:rsid w:val="00EE53D7"/>
    <w:rsid w:val="00EE54DB"/>
    <w:rsid w:val="00EE570C"/>
    <w:rsid w:val="00EE584B"/>
    <w:rsid w:val="00EE598D"/>
    <w:rsid w:val="00EE5A63"/>
    <w:rsid w:val="00EE5B21"/>
    <w:rsid w:val="00EE5BDF"/>
    <w:rsid w:val="00EE5C3E"/>
    <w:rsid w:val="00EE5D7E"/>
    <w:rsid w:val="00EE5EAA"/>
    <w:rsid w:val="00EE612F"/>
    <w:rsid w:val="00EE619D"/>
    <w:rsid w:val="00EE61C0"/>
    <w:rsid w:val="00EE6222"/>
    <w:rsid w:val="00EE6277"/>
    <w:rsid w:val="00EE656D"/>
    <w:rsid w:val="00EE65F0"/>
    <w:rsid w:val="00EE6713"/>
    <w:rsid w:val="00EE6AFB"/>
    <w:rsid w:val="00EE6B7B"/>
    <w:rsid w:val="00EE6F9D"/>
    <w:rsid w:val="00EE7078"/>
    <w:rsid w:val="00EE7234"/>
    <w:rsid w:val="00EE73F6"/>
    <w:rsid w:val="00EE75B0"/>
    <w:rsid w:val="00EE78DD"/>
    <w:rsid w:val="00EE795A"/>
    <w:rsid w:val="00EE7AFA"/>
    <w:rsid w:val="00EE7CAB"/>
    <w:rsid w:val="00EE7CB4"/>
    <w:rsid w:val="00EE7E8D"/>
    <w:rsid w:val="00EE7FD5"/>
    <w:rsid w:val="00EE7FFA"/>
    <w:rsid w:val="00EF0196"/>
    <w:rsid w:val="00EF0356"/>
    <w:rsid w:val="00EF04CA"/>
    <w:rsid w:val="00EF0638"/>
    <w:rsid w:val="00EF0665"/>
    <w:rsid w:val="00EF069A"/>
    <w:rsid w:val="00EF0B1E"/>
    <w:rsid w:val="00EF0B3B"/>
    <w:rsid w:val="00EF0D32"/>
    <w:rsid w:val="00EF0F08"/>
    <w:rsid w:val="00EF10CF"/>
    <w:rsid w:val="00EF12B9"/>
    <w:rsid w:val="00EF12FC"/>
    <w:rsid w:val="00EF13F8"/>
    <w:rsid w:val="00EF152C"/>
    <w:rsid w:val="00EF15A3"/>
    <w:rsid w:val="00EF16C6"/>
    <w:rsid w:val="00EF182F"/>
    <w:rsid w:val="00EF1902"/>
    <w:rsid w:val="00EF1AA6"/>
    <w:rsid w:val="00EF1DFE"/>
    <w:rsid w:val="00EF1E5D"/>
    <w:rsid w:val="00EF1EC4"/>
    <w:rsid w:val="00EF1F79"/>
    <w:rsid w:val="00EF1FE4"/>
    <w:rsid w:val="00EF2086"/>
    <w:rsid w:val="00EF25B7"/>
    <w:rsid w:val="00EF26B8"/>
    <w:rsid w:val="00EF27B7"/>
    <w:rsid w:val="00EF2A74"/>
    <w:rsid w:val="00EF2C32"/>
    <w:rsid w:val="00EF2C6D"/>
    <w:rsid w:val="00EF2DDD"/>
    <w:rsid w:val="00EF2F8A"/>
    <w:rsid w:val="00EF3057"/>
    <w:rsid w:val="00EF31AD"/>
    <w:rsid w:val="00EF3221"/>
    <w:rsid w:val="00EF329F"/>
    <w:rsid w:val="00EF33A6"/>
    <w:rsid w:val="00EF33AC"/>
    <w:rsid w:val="00EF3411"/>
    <w:rsid w:val="00EF344B"/>
    <w:rsid w:val="00EF3485"/>
    <w:rsid w:val="00EF351C"/>
    <w:rsid w:val="00EF375E"/>
    <w:rsid w:val="00EF37E7"/>
    <w:rsid w:val="00EF385F"/>
    <w:rsid w:val="00EF388D"/>
    <w:rsid w:val="00EF3921"/>
    <w:rsid w:val="00EF3927"/>
    <w:rsid w:val="00EF39C8"/>
    <w:rsid w:val="00EF3A11"/>
    <w:rsid w:val="00EF3C04"/>
    <w:rsid w:val="00EF3CC2"/>
    <w:rsid w:val="00EF3F6D"/>
    <w:rsid w:val="00EF4076"/>
    <w:rsid w:val="00EF4085"/>
    <w:rsid w:val="00EF414F"/>
    <w:rsid w:val="00EF4430"/>
    <w:rsid w:val="00EF443C"/>
    <w:rsid w:val="00EF44F9"/>
    <w:rsid w:val="00EF4509"/>
    <w:rsid w:val="00EF47EF"/>
    <w:rsid w:val="00EF4845"/>
    <w:rsid w:val="00EF49CC"/>
    <w:rsid w:val="00EF4A8A"/>
    <w:rsid w:val="00EF4AD4"/>
    <w:rsid w:val="00EF4C3F"/>
    <w:rsid w:val="00EF4CFC"/>
    <w:rsid w:val="00EF4DAA"/>
    <w:rsid w:val="00EF4EE0"/>
    <w:rsid w:val="00EF50E4"/>
    <w:rsid w:val="00EF517A"/>
    <w:rsid w:val="00EF51F4"/>
    <w:rsid w:val="00EF5235"/>
    <w:rsid w:val="00EF5239"/>
    <w:rsid w:val="00EF536C"/>
    <w:rsid w:val="00EF54D9"/>
    <w:rsid w:val="00EF5528"/>
    <w:rsid w:val="00EF56D5"/>
    <w:rsid w:val="00EF5703"/>
    <w:rsid w:val="00EF5945"/>
    <w:rsid w:val="00EF59CC"/>
    <w:rsid w:val="00EF5B55"/>
    <w:rsid w:val="00EF5D43"/>
    <w:rsid w:val="00EF5D5D"/>
    <w:rsid w:val="00EF5E8F"/>
    <w:rsid w:val="00EF5F74"/>
    <w:rsid w:val="00EF5FE2"/>
    <w:rsid w:val="00EF60A9"/>
    <w:rsid w:val="00EF60EA"/>
    <w:rsid w:val="00EF6163"/>
    <w:rsid w:val="00EF62C1"/>
    <w:rsid w:val="00EF6328"/>
    <w:rsid w:val="00EF6374"/>
    <w:rsid w:val="00EF63E2"/>
    <w:rsid w:val="00EF63FD"/>
    <w:rsid w:val="00EF6456"/>
    <w:rsid w:val="00EF647A"/>
    <w:rsid w:val="00EF6673"/>
    <w:rsid w:val="00EF672A"/>
    <w:rsid w:val="00EF6762"/>
    <w:rsid w:val="00EF6A73"/>
    <w:rsid w:val="00EF6C79"/>
    <w:rsid w:val="00EF6EDC"/>
    <w:rsid w:val="00EF6F24"/>
    <w:rsid w:val="00EF6F3C"/>
    <w:rsid w:val="00EF710D"/>
    <w:rsid w:val="00EF7165"/>
    <w:rsid w:val="00EF773F"/>
    <w:rsid w:val="00EF7742"/>
    <w:rsid w:val="00EF7754"/>
    <w:rsid w:val="00EF77B0"/>
    <w:rsid w:val="00EF7A98"/>
    <w:rsid w:val="00EF7BF7"/>
    <w:rsid w:val="00EF7D7D"/>
    <w:rsid w:val="00EF7E01"/>
    <w:rsid w:val="00EF7EDA"/>
    <w:rsid w:val="00F0005C"/>
    <w:rsid w:val="00F00126"/>
    <w:rsid w:val="00F0017D"/>
    <w:rsid w:val="00F00210"/>
    <w:rsid w:val="00F002CA"/>
    <w:rsid w:val="00F002DB"/>
    <w:rsid w:val="00F00306"/>
    <w:rsid w:val="00F0044A"/>
    <w:rsid w:val="00F006F3"/>
    <w:rsid w:val="00F00868"/>
    <w:rsid w:val="00F008DF"/>
    <w:rsid w:val="00F009CB"/>
    <w:rsid w:val="00F00A80"/>
    <w:rsid w:val="00F00B12"/>
    <w:rsid w:val="00F00BB4"/>
    <w:rsid w:val="00F00BEE"/>
    <w:rsid w:val="00F00EB4"/>
    <w:rsid w:val="00F00F5F"/>
    <w:rsid w:val="00F00FC6"/>
    <w:rsid w:val="00F01414"/>
    <w:rsid w:val="00F0165C"/>
    <w:rsid w:val="00F01674"/>
    <w:rsid w:val="00F01886"/>
    <w:rsid w:val="00F019DA"/>
    <w:rsid w:val="00F01E89"/>
    <w:rsid w:val="00F01EA0"/>
    <w:rsid w:val="00F01F61"/>
    <w:rsid w:val="00F01FD5"/>
    <w:rsid w:val="00F021F1"/>
    <w:rsid w:val="00F025BA"/>
    <w:rsid w:val="00F0264C"/>
    <w:rsid w:val="00F026EB"/>
    <w:rsid w:val="00F027EE"/>
    <w:rsid w:val="00F028F8"/>
    <w:rsid w:val="00F02925"/>
    <w:rsid w:val="00F02EEF"/>
    <w:rsid w:val="00F02FA1"/>
    <w:rsid w:val="00F03138"/>
    <w:rsid w:val="00F03443"/>
    <w:rsid w:val="00F03508"/>
    <w:rsid w:val="00F0364D"/>
    <w:rsid w:val="00F037C9"/>
    <w:rsid w:val="00F0386B"/>
    <w:rsid w:val="00F0393D"/>
    <w:rsid w:val="00F03963"/>
    <w:rsid w:val="00F039B1"/>
    <w:rsid w:val="00F03A3A"/>
    <w:rsid w:val="00F03ABE"/>
    <w:rsid w:val="00F03ACD"/>
    <w:rsid w:val="00F03C65"/>
    <w:rsid w:val="00F03E35"/>
    <w:rsid w:val="00F03EE9"/>
    <w:rsid w:val="00F03FFF"/>
    <w:rsid w:val="00F04063"/>
    <w:rsid w:val="00F040EB"/>
    <w:rsid w:val="00F04161"/>
    <w:rsid w:val="00F041CA"/>
    <w:rsid w:val="00F041DE"/>
    <w:rsid w:val="00F042DD"/>
    <w:rsid w:val="00F04349"/>
    <w:rsid w:val="00F0481F"/>
    <w:rsid w:val="00F0487B"/>
    <w:rsid w:val="00F04901"/>
    <w:rsid w:val="00F04920"/>
    <w:rsid w:val="00F049E3"/>
    <w:rsid w:val="00F04B29"/>
    <w:rsid w:val="00F04C3C"/>
    <w:rsid w:val="00F04D68"/>
    <w:rsid w:val="00F04E56"/>
    <w:rsid w:val="00F04E7C"/>
    <w:rsid w:val="00F05060"/>
    <w:rsid w:val="00F050B8"/>
    <w:rsid w:val="00F050B9"/>
    <w:rsid w:val="00F05192"/>
    <w:rsid w:val="00F051A6"/>
    <w:rsid w:val="00F05214"/>
    <w:rsid w:val="00F05256"/>
    <w:rsid w:val="00F05388"/>
    <w:rsid w:val="00F0554C"/>
    <w:rsid w:val="00F055F4"/>
    <w:rsid w:val="00F0567D"/>
    <w:rsid w:val="00F058A2"/>
    <w:rsid w:val="00F058E4"/>
    <w:rsid w:val="00F05A00"/>
    <w:rsid w:val="00F05AB0"/>
    <w:rsid w:val="00F05B49"/>
    <w:rsid w:val="00F05C4E"/>
    <w:rsid w:val="00F05CE5"/>
    <w:rsid w:val="00F05CF4"/>
    <w:rsid w:val="00F0610F"/>
    <w:rsid w:val="00F0627A"/>
    <w:rsid w:val="00F064D2"/>
    <w:rsid w:val="00F064D8"/>
    <w:rsid w:val="00F0659C"/>
    <w:rsid w:val="00F065C1"/>
    <w:rsid w:val="00F066D5"/>
    <w:rsid w:val="00F067CE"/>
    <w:rsid w:val="00F06827"/>
    <w:rsid w:val="00F068B9"/>
    <w:rsid w:val="00F06908"/>
    <w:rsid w:val="00F06936"/>
    <w:rsid w:val="00F06A7A"/>
    <w:rsid w:val="00F06BE5"/>
    <w:rsid w:val="00F06C12"/>
    <w:rsid w:val="00F06CE8"/>
    <w:rsid w:val="00F06E12"/>
    <w:rsid w:val="00F0710C"/>
    <w:rsid w:val="00F0716E"/>
    <w:rsid w:val="00F071D9"/>
    <w:rsid w:val="00F076E7"/>
    <w:rsid w:val="00F07710"/>
    <w:rsid w:val="00F07736"/>
    <w:rsid w:val="00F07837"/>
    <w:rsid w:val="00F07901"/>
    <w:rsid w:val="00F07946"/>
    <w:rsid w:val="00F07960"/>
    <w:rsid w:val="00F079A8"/>
    <w:rsid w:val="00F079C4"/>
    <w:rsid w:val="00F07B9A"/>
    <w:rsid w:val="00F07CF6"/>
    <w:rsid w:val="00F07D72"/>
    <w:rsid w:val="00F07E0E"/>
    <w:rsid w:val="00F07ECD"/>
    <w:rsid w:val="00F07FD1"/>
    <w:rsid w:val="00F0F985"/>
    <w:rsid w:val="00F100E6"/>
    <w:rsid w:val="00F1026C"/>
    <w:rsid w:val="00F103B2"/>
    <w:rsid w:val="00F1040B"/>
    <w:rsid w:val="00F10537"/>
    <w:rsid w:val="00F10588"/>
    <w:rsid w:val="00F107E6"/>
    <w:rsid w:val="00F1082B"/>
    <w:rsid w:val="00F1099B"/>
    <w:rsid w:val="00F10AC1"/>
    <w:rsid w:val="00F10B1F"/>
    <w:rsid w:val="00F10B74"/>
    <w:rsid w:val="00F10C01"/>
    <w:rsid w:val="00F10C9D"/>
    <w:rsid w:val="00F10EBC"/>
    <w:rsid w:val="00F10EDF"/>
    <w:rsid w:val="00F11071"/>
    <w:rsid w:val="00F111AA"/>
    <w:rsid w:val="00F114A8"/>
    <w:rsid w:val="00F11528"/>
    <w:rsid w:val="00F11626"/>
    <w:rsid w:val="00F1168A"/>
    <w:rsid w:val="00F1174E"/>
    <w:rsid w:val="00F117E8"/>
    <w:rsid w:val="00F1195D"/>
    <w:rsid w:val="00F11C37"/>
    <w:rsid w:val="00F11CC6"/>
    <w:rsid w:val="00F11D2A"/>
    <w:rsid w:val="00F11D44"/>
    <w:rsid w:val="00F11DCB"/>
    <w:rsid w:val="00F11F3A"/>
    <w:rsid w:val="00F12063"/>
    <w:rsid w:val="00F122C1"/>
    <w:rsid w:val="00F12325"/>
    <w:rsid w:val="00F12382"/>
    <w:rsid w:val="00F1240F"/>
    <w:rsid w:val="00F124BD"/>
    <w:rsid w:val="00F12541"/>
    <w:rsid w:val="00F12616"/>
    <w:rsid w:val="00F1269F"/>
    <w:rsid w:val="00F126C4"/>
    <w:rsid w:val="00F12943"/>
    <w:rsid w:val="00F12AF2"/>
    <w:rsid w:val="00F12B46"/>
    <w:rsid w:val="00F12C0F"/>
    <w:rsid w:val="00F12CE1"/>
    <w:rsid w:val="00F12DCA"/>
    <w:rsid w:val="00F12EB3"/>
    <w:rsid w:val="00F13207"/>
    <w:rsid w:val="00F1362E"/>
    <w:rsid w:val="00F1381D"/>
    <w:rsid w:val="00F139A5"/>
    <w:rsid w:val="00F13BBF"/>
    <w:rsid w:val="00F13D54"/>
    <w:rsid w:val="00F13ED7"/>
    <w:rsid w:val="00F13FB9"/>
    <w:rsid w:val="00F1410B"/>
    <w:rsid w:val="00F14193"/>
    <w:rsid w:val="00F1421D"/>
    <w:rsid w:val="00F142F1"/>
    <w:rsid w:val="00F1445A"/>
    <w:rsid w:val="00F14678"/>
    <w:rsid w:val="00F14681"/>
    <w:rsid w:val="00F146A5"/>
    <w:rsid w:val="00F146BF"/>
    <w:rsid w:val="00F1481C"/>
    <w:rsid w:val="00F14825"/>
    <w:rsid w:val="00F148DE"/>
    <w:rsid w:val="00F14C4E"/>
    <w:rsid w:val="00F14C71"/>
    <w:rsid w:val="00F14FD2"/>
    <w:rsid w:val="00F1509D"/>
    <w:rsid w:val="00F151BA"/>
    <w:rsid w:val="00F1527B"/>
    <w:rsid w:val="00F153A0"/>
    <w:rsid w:val="00F153D9"/>
    <w:rsid w:val="00F15432"/>
    <w:rsid w:val="00F15501"/>
    <w:rsid w:val="00F15530"/>
    <w:rsid w:val="00F15803"/>
    <w:rsid w:val="00F1590A"/>
    <w:rsid w:val="00F159F1"/>
    <w:rsid w:val="00F15BCB"/>
    <w:rsid w:val="00F15C35"/>
    <w:rsid w:val="00F15C36"/>
    <w:rsid w:val="00F15CC2"/>
    <w:rsid w:val="00F15CD1"/>
    <w:rsid w:val="00F15D00"/>
    <w:rsid w:val="00F15E90"/>
    <w:rsid w:val="00F15FA5"/>
    <w:rsid w:val="00F15FF4"/>
    <w:rsid w:val="00F16187"/>
    <w:rsid w:val="00F162B3"/>
    <w:rsid w:val="00F162FE"/>
    <w:rsid w:val="00F16347"/>
    <w:rsid w:val="00F1643E"/>
    <w:rsid w:val="00F16473"/>
    <w:rsid w:val="00F167F9"/>
    <w:rsid w:val="00F16815"/>
    <w:rsid w:val="00F16887"/>
    <w:rsid w:val="00F16898"/>
    <w:rsid w:val="00F16A3C"/>
    <w:rsid w:val="00F16A87"/>
    <w:rsid w:val="00F16D84"/>
    <w:rsid w:val="00F16F3F"/>
    <w:rsid w:val="00F16FD7"/>
    <w:rsid w:val="00F17114"/>
    <w:rsid w:val="00F172B2"/>
    <w:rsid w:val="00F172D5"/>
    <w:rsid w:val="00F173BB"/>
    <w:rsid w:val="00F1752E"/>
    <w:rsid w:val="00F1752F"/>
    <w:rsid w:val="00F17630"/>
    <w:rsid w:val="00F17665"/>
    <w:rsid w:val="00F17B93"/>
    <w:rsid w:val="00F17DF4"/>
    <w:rsid w:val="00F17E80"/>
    <w:rsid w:val="00F2010C"/>
    <w:rsid w:val="00F204F0"/>
    <w:rsid w:val="00F20521"/>
    <w:rsid w:val="00F205C3"/>
    <w:rsid w:val="00F207FC"/>
    <w:rsid w:val="00F20887"/>
    <w:rsid w:val="00F20A8F"/>
    <w:rsid w:val="00F20DBF"/>
    <w:rsid w:val="00F20F01"/>
    <w:rsid w:val="00F20F09"/>
    <w:rsid w:val="00F21234"/>
    <w:rsid w:val="00F21341"/>
    <w:rsid w:val="00F21495"/>
    <w:rsid w:val="00F214D6"/>
    <w:rsid w:val="00F216AB"/>
    <w:rsid w:val="00F218BE"/>
    <w:rsid w:val="00F21A7D"/>
    <w:rsid w:val="00F21B80"/>
    <w:rsid w:val="00F21BF5"/>
    <w:rsid w:val="00F21E84"/>
    <w:rsid w:val="00F21E9D"/>
    <w:rsid w:val="00F21F7C"/>
    <w:rsid w:val="00F22000"/>
    <w:rsid w:val="00F227C5"/>
    <w:rsid w:val="00F2295F"/>
    <w:rsid w:val="00F22A97"/>
    <w:rsid w:val="00F22AF3"/>
    <w:rsid w:val="00F22B14"/>
    <w:rsid w:val="00F22BD1"/>
    <w:rsid w:val="00F22E73"/>
    <w:rsid w:val="00F230F8"/>
    <w:rsid w:val="00F231C2"/>
    <w:rsid w:val="00F23303"/>
    <w:rsid w:val="00F2331B"/>
    <w:rsid w:val="00F234AB"/>
    <w:rsid w:val="00F23572"/>
    <w:rsid w:val="00F236ED"/>
    <w:rsid w:val="00F23746"/>
    <w:rsid w:val="00F23A17"/>
    <w:rsid w:val="00F23B1D"/>
    <w:rsid w:val="00F23B5E"/>
    <w:rsid w:val="00F23C40"/>
    <w:rsid w:val="00F23C79"/>
    <w:rsid w:val="00F23C86"/>
    <w:rsid w:val="00F23DB1"/>
    <w:rsid w:val="00F23FCC"/>
    <w:rsid w:val="00F23FCF"/>
    <w:rsid w:val="00F24380"/>
    <w:rsid w:val="00F2457F"/>
    <w:rsid w:val="00F24600"/>
    <w:rsid w:val="00F24629"/>
    <w:rsid w:val="00F2474C"/>
    <w:rsid w:val="00F24907"/>
    <w:rsid w:val="00F249D4"/>
    <w:rsid w:val="00F24B0E"/>
    <w:rsid w:val="00F24CC0"/>
    <w:rsid w:val="00F24D28"/>
    <w:rsid w:val="00F250DD"/>
    <w:rsid w:val="00F2513E"/>
    <w:rsid w:val="00F251D8"/>
    <w:rsid w:val="00F2531A"/>
    <w:rsid w:val="00F257CC"/>
    <w:rsid w:val="00F258EA"/>
    <w:rsid w:val="00F25A55"/>
    <w:rsid w:val="00F25ACA"/>
    <w:rsid w:val="00F25C35"/>
    <w:rsid w:val="00F25CB5"/>
    <w:rsid w:val="00F25DBE"/>
    <w:rsid w:val="00F25EF3"/>
    <w:rsid w:val="00F25FBC"/>
    <w:rsid w:val="00F26071"/>
    <w:rsid w:val="00F2621A"/>
    <w:rsid w:val="00F2622E"/>
    <w:rsid w:val="00F26261"/>
    <w:rsid w:val="00F264F1"/>
    <w:rsid w:val="00F265DD"/>
    <w:rsid w:val="00F266F8"/>
    <w:rsid w:val="00F266FE"/>
    <w:rsid w:val="00F268C5"/>
    <w:rsid w:val="00F26A2C"/>
    <w:rsid w:val="00F26A8A"/>
    <w:rsid w:val="00F26B1C"/>
    <w:rsid w:val="00F26CB7"/>
    <w:rsid w:val="00F26D52"/>
    <w:rsid w:val="00F26D5B"/>
    <w:rsid w:val="00F26FC7"/>
    <w:rsid w:val="00F26FDC"/>
    <w:rsid w:val="00F27005"/>
    <w:rsid w:val="00F27035"/>
    <w:rsid w:val="00F27090"/>
    <w:rsid w:val="00F270EE"/>
    <w:rsid w:val="00F271C1"/>
    <w:rsid w:val="00F271D4"/>
    <w:rsid w:val="00F2729E"/>
    <w:rsid w:val="00F27310"/>
    <w:rsid w:val="00F27512"/>
    <w:rsid w:val="00F275E6"/>
    <w:rsid w:val="00F278A6"/>
    <w:rsid w:val="00F27A40"/>
    <w:rsid w:val="00F27ADD"/>
    <w:rsid w:val="00F27B14"/>
    <w:rsid w:val="00F27B9B"/>
    <w:rsid w:val="00F27C76"/>
    <w:rsid w:val="00F27DB7"/>
    <w:rsid w:val="00F27E47"/>
    <w:rsid w:val="00F27E6E"/>
    <w:rsid w:val="00F27F86"/>
    <w:rsid w:val="00F27FDD"/>
    <w:rsid w:val="00F30190"/>
    <w:rsid w:val="00F3022B"/>
    <w:rsid w:val="00F3027B"/>
    <w:rsid w:val="00F302BF"/>
    <w:rsid w:val="00F3042B"/>
    <w:rsid w:val="00F30511"/>
    <w:rsid w:val="00F30573"/>
    <w:rsid w:val="00F30670"/>
    <w:rsid w:val="00F30916"/>
    <w:rsid w:val="00F30A71"/>
    <w:rsid w:val="00F30C29"/>
    <w:rsid w:val="00F30C40"/>
    <w:rsid w:val="00F30C72"/>
    <w:rsid w:val="00F30DE6"/>
    <w:rsid w:val="00F30EEA"/>
    <w:rsid w:val="00F30F86"/>
    <w:rsid w:val="00F31088"/>
    <w:rsid w:val="00F31098"/>
    <w:rsid w:val="00F3156B"/>
    <w:rsid w:val="00F3159F"/>
    <w:rsid w:val="00F315A8"/>
    <w:rsid w:val="00F316A7"/>
    <w:rsid w:val="00F316DE"/>
    <w:rsid w:val="00F31745"/>
    <w:rsid w:val="00F31839"/>
    <w:rsid w:val="00F319B1"/>
    <w:rsid w:val="00F31A87"/>
    <w:rsid w:val="00F31AD9"/>
    <w:rsid w:val="00F31BF3"/>
    <w:rsid w:val="00F31E2E"/>
    <w:rsid w:val="00F31E79"/>
    <w:rsid w:val="00F31F0E"/>
    <w:rsid w:val="00F320F0"/>
    <w:rsid w:val="00F32117"/>
    <w:rsid w:val="00F32140"/>
    <w:rsid w:val="00F32180"/>
    <w:rsid w:val="00F321B1"/>
    <w:rsid w:val="00F321DD"/>
    <w:rsid w:val="00F32212"/>
    <w:rsid w:val="00F3232C"/>
    <w:rsid w:val="00F3236D"/>
    <w:rsid w:val="00F323FB"/>
    <w:rsid w:val="00F323FF"/>
    <w:rsid w:val="00F32456"/>
    <w:rsid w:val="00F32549"/>
    <w:rsid w:val="00F32556"/>
    <w:rsid w:val="00F3258B"/>
    <w:rsid w:val="00F3291B"/>
    <w:rsid w:val="00F32D48"/>
    <w:rsid w:val="00F32E3F"/>
    <w:rsid w:val="00F32E90"/>
    <w:rsid w:val="00F32E98"/>
    <w:rsid w:val="00F32F16"/>
    <w:rsid w:val="00F3318A"/>
    <w:rsid w:val="00F3332C"/>
    <w:rsid w:val="00F3335A"/>
    <w:rsid w:val="00F33388"/>
    <w:rsid w:val="00F3343B"/>
    <w:rsid w:val="00F33583"/>
    <w:rsid w:val="00F3364B"/>
    <w:rsid w:val="00F336DA"/>
    <w:rsid w:val="00F33764"/>
    <w:rsid w:val="00F3380C"/>
    <w:rsid w:val="00F33923"/>
    <w:rsid w:val="00F33980"/>
    <w:rsid w:val="00F3398B"/>
    <w:rsid w:val="00F33B4A"/>
    <w:rsid w:val="00F33CDF"/>
    <w:rsid w:val="00F3407A"/>
    <w:rsid w:val="00F3466F"/>
    <w:rsid w:val="00F34777"/>
    <w:rsid w:val="00F34780"/>
    <w:rsid w:val="00F34849"/>
    <w:rsid w:val="00F349C0"/>
    <w:rsid w:val="00F34A6C"/>
    <w:rsid w:val="00F34B03"/>
    <w:rsid w:val="00F34C21"/>
    <w:rsid w:val="00F34C75"/>
    <w:rsid w:val="00F34CC4"/>
    <w:rsid w:val="00F34DBF"/>
    <w:rsid w:val="00F34E87"/>
    <w:rsid w:val="00F34EEF"/>
    <w:rsid w:val="00F34EF6"/>
    <w:rsid w:val="00F34F54"/>
    <w:rsid w:val="00F351E7"/>
    <w:rsid w:val="00F35261"/>
    <w:rsid w:val="00F352B3"/>
    <w:rsid w:val="00F352F1"/>
    <w:rsid w:val="00F35677"/>
    <w:rsid w:val="00F357FE"/>
    <w:rsid w:val="00F35AA0"/>
    <w:rsid w:val="00F35CF7"/>
    <w:rsid w:val="00F35E43"/>
    <w:rsid w:val="00F35F63"/>
    <w:rsid w:val="00F35F85"/>
    <w:rsid w:val="00F35FB4"/>
    <w:rsid w:val="00F35FF8"/>
    <w:rsid w:val="00F36024"/>
    <w:rsid w:val="00F36069"/>
    <w:rsid w:val="00F3613A"/>
    <w:rsid w:val="00F361F5"/>
    <w:rsid w:val="00F3650B"/>
    <w:rsid w:val="00F36580"/>
    <w:rsid w:val="00F36698"/>
    <w:rsid w:val="00F366C3"/>
    <w:rsid w:val="00F36723"/>
    <w:rsid w:val="00F36888"/>
    <w:rsid w:val="00F36AF8"/>
    <w:rsid w:val="00F36B45"/>
    <w:rsid w:val="00F36B69"/>
    <w:rsid w:val="00F36BDB"/>
    <w:rsid w:val="00F36D34"/>
    <w:rsid w:val="00F36E84"/>
    <w:rsid w:val="00F36F72"/>
    <w:rsid w:val="00F37450"/>
    <w:rsid w:val="00F374F3"/>
    <w:rsid w:val="00F375E0"/>
    <w:rsid w:val="00F37694"/>
    <w:rsid w:val="00F37799"/>
    <w:rsid w:val="00F37AAF"/>
    <w:rsid w:val="00F37D71"/>
    <w:rsid w:val="00F37F14"/>
    <w:rsid w:val="00F37F49"/>
    <w:rsid w:val="00F37FA9"/>
    <w:rsid w:val="00F4001A"/>
    <w:rsid w:val="00F400AC"/>
    <w:rsid w:val="00F40146"/>
    <w:rsid w:val="00F4023F"/>
    <w:rsid w:val="00F404BF"/>
    <w:rsid w:val="00F40567"/>
    <w:rsid w:val="00F40643"/>
    <w:rsid w:val="00F408B9"/>
    <w:rsid w:val="00F408BB"/>
    <w:rsid w:val="00F40C69"/>
    <w:rsid w:val="00F40D14"/>
    <w:rsid w:val="00F40D67"/>
    <w:rsid w:val="00F40E8D"/>
    <w:rsid w:val="00F40EA3"/>
    <w:rsid w:val="00F40F9C"/>
    <w:rsid w:val="00F412DB"/>
    <w:rsid w:val="00F41361"/>
    <w:rsid w:val="00F41475"/>
    <w:rsid w:val="00F415F7"/>
    <w:rsid w:val="00F4164A"/>
    <w:rsid w:val="00F417B4"/>
    <w:rsid w:val="00F41879"/>
    <w:rsid w:val="00F4188E"/>
    <w:rsid w:val="00F41A8B"/>
    <w:rsid w:val="00F41B1A"/>
    <w:rsid w:val="00F41CD3"/>
    <w:rsid w:val="00F41D2B"/>
    <w:rsid w:val="00F41E17"/>
    <w:rsid w:val="00F4210D"/>
    <w:rsid w:val="00F421C1"/>
    <w:rsid w:val="00F421CB"/>
    <w:rsid w:val="00F421E6"/>
    <w:rsid w:val="00F4223F"/>
    <w:rsid w:val="00F42591"/>
    <w:rsid w:val="00F425AF"/>
    <w:rsid w:val="00F42657"/>
    <w:rsid w:val="00F42678"/>
    <w:rsid w:val="00F427D0"/>
    <w:rsid w:val="00F427D5"/>
    <w:rsid w:val="00F4282D"/>
    <w:rsid w:val="00F42936"/>
    <w:rsid w:val="00F42A80"/>
    <w:rsid w:val="00F42D2D"/>
    <w:rsid w:val="00F432FB"/>
    <w:rsid w:val="00F43443"/>
    <w:rsid w:val="00F43666"/>
    <w:rsid w:val="00F436CD"/>
    <w:rsid w:val="00F43813"/>
    <w:rsid w:val="00F4381B"/>
    <w:rsid w:val="00F43892"/>
    <w:rsid w:val="00F43AB0"/>
    <w:rsid w:val="00F43C13"/>
    <w:rsid w:val="00F43C20"/>
    <w:rsid w:val="00F43D58"/>
    <w:rsid w:val="00F43DB8"/>
    <w:rsid w:val="00F43E0F"/>
    <w:rsid w:val="00F43F3D"/>
    <w:rsid w:val="00F44277"/>
    <w:rsid w:val="00F4428F"/>
    <w:rsid w:val="00F44334"/>
    <w:rsid w:val="00F4437A"/>
    <w:rsid w:val="00F4439D"/>
    <w:rsid w:val="00F4447A"/>
    <w:rsid w:val="00F44641"/>
    <w:rsid w:val="00F4465F"/>
    <w:rsid w:val="00F4476D"/>
    <w:rsid w:val="00F44778"/>
    <w:rsid w:val="00F44791"/>
    <w:rsid w:val="00F448D0"/>
    <w:rsid w:val="00F4499D"/>
    <w:rsid w:val="00F44AC9"/>
    <w:rsid w:val="00F44D29"/>
    <w:rsid w:val="00F44D7A"/>
    <w:rsid w:val="00F44D7C"/>
    <w:rsid w:val="00F44DC6"/>
    <w:rsid w:val="00F44F2A"/>
    <w:rsid w:val="00F44F6A"/>
    <w:rsid w:val="00F451D4"/>
    <w:rsid w:val="00F45207"/>
    <w:rsid w:val="00F45223"/>
    <w:rsid w:val="00F453FA"/>
    <w:rsid w:val="00F45400"/>
    <w:rsid w:val="00F454E7"/>
    <w:rsid w:val="00F45DDF"/>
    <w:rsid w:val="00F4606A"/>
    <w:rsid w:val="00F463A8"/>
    <w:rsid w:val="00F464B2"/>
    <w:rsid w:val="00F464F0"/>
    <w:rsid w:val="00F465EE"/>
    <w:rsid w:val="00F466F1"/>
    <w:rsid w:val="00F4673E"/>
    <w:rsid w:val="00F4673F"/>
    <w:rsid w:val="00F468A9"/>
    <w:rsid w:val="00F468DB"/>
    <w:rsid w:val="00F468FE"/>
    <w:rsid w:val="00F46939"/>
    <w:rsid w:val="00F469EB"/>
    <w:rsid w:val="00F46A7F"/>
    <w:rsid w:val="00F46A9E"/>
    <w:rsid w:val="00F46CE5"/>
    <w:rsid w:val="00F46DB4"/>
    <w:rsid w:val="00F46DC4"/>
    <w:rsid w:val="00F46DD3"/>
    <w:rsid w:val="00F46F58"/>
    <w:rsid w:val="00F46F8A"/>
    <w:rsid w:val="00F47249"/>
    <w:rsid w:val="00F472B4"/>
    <w:rsid w:val="00F47335"/>
    <w:rsid w:val="00F47433"/>
    <w:rsid w:val="00F474E7"/>
    <w:rsid w:val="00F4763A"/>
    <w:rsid w:val="00F477F6"/>
    <w:rsid w:val="00F47A63"/>
    <w:rsid w:val="00F47DFC"/>
    <w:rsid w:val="00F47E3A"/>
    <w:rsid w:val="00F47FC0"/>
    <w:rsid w:val="00F50121"/>
    <w:rsid w:val="00F50268"/>
    <w:rsid w:val="00F5043A"/>
    <w:rsid w:val="00F505DE"/>
    <w:rsid w:val="00F506F2"/>
    <w:rsid w:val="00F5082A"/>
    <w:rsid w:val="00F508AC"/>
    <w:rsid w:val="00F509F1"/>
    <w:rsid w:val="00F50AB6"/>
    <w:rsid w:val="00F50E70"/>
    <w:rsid w:val="00F51293"/>
    <w:rsid w:val="00F51320"/>
    <w:rsid w:val="00F51482"/>
    <w:rsid w:val="00F515C1"/>
    <w:rsid w:val="00F51B2A"/>
    <w:rsid w:val="00F51BC0"/>
    <w:rsid w:val="00F51C2C"/>
    <w:rsid w:val="00F51F6D"/>
    <w:rsid w:val="00F51FDF"/>
    <w:rsid w:val="00F52055"/>
    <w:rsid w:val="00F520E8"/>
    <w:rsid w:val="00F52134"/>
    <w:rsid w:val="00F522B6"/>
    <w:rsid w:val="00F522E8"/>
    <w:rsid w:val="00F52417"/>
    <w:rsid w:val="00F52475"/>
    <w:rsid w:val="00F52635"/>
    <w:rsid w:val="00F526DD"/>
    <w:rsid w:val="00F5272B"/>
    <w:rsid w:val="00F5275F"/>
    <w:rsid w:val="00F527AE"/>
    <w:rsid w:val="00F52909"/>
    <w:rsid w:val="00F529E3"/>
    <w:rsid w:val="00F52AC8"/>
    <w:rsid w:val="00F52CED"/>
    <w:rsid w:val="00F5314C"/>
    <w:rsid w:val="00F531D5"/>
    <w:rsid w:val="00F53320"/>
    <w:rsid w:val="00F53324"/>
    <w:rsid w:val="00F533A9"/>
    <w:rsid w:val="00F534E2"/>
    <w:rsid w:val="00F5362E"/>
    <w:rsid w:val="00F5375C"/>
    <w:rsid w:val="00F5377F"/>
    <w:rsid w:val="00F53989"/>
    <w:rsid w:val="00F53A1F"/>
    <w:rsid w:val="00F53AFA"/>
    <w:rsid w:val="00F53BA8"/>
    <w:rsid w:val="00F53D24"/>
    <w:rsid w:val="00F53F68"/>
    <w:rsid w:val="00F53FD8"/>
    <w:rsid w:val="00F5424E"/>
    <w:rsid w:val="00F543FF"/>
    <w:rsid w:val="00F54444"/>
    <w:rsid w:val="00F5444D"/>
    <w:rsid w:val="00F54516"/>
    <w:rsid w:val="00F5455B"/>
    <w:rsid w:val="00F5480A"/>
    <w:rsid w:val="00F5482D"/>
    <w:rsid w:val="00F54967"/>
    <w:rsid w:val="00F54ACD"/>
    <w:rsid w:val="00F54C04"/>
    <w:rsid w:val="00F54C24"/>
    <w:rsid w:val="00F54D7B"/>
    <w:rsid w:val="00F54DC4"/>
    <w:rsid w:val="00F54FD8"/>
    <w:rsid w:val="00F55072"/>
    <w:rsid w:val="00F55174"/>
    <w:rsid w:val="00F55296"/>
    <w:rsid w:val="00F553C3"/>
    <w:rsid w:val="00F55463"/>
    <w:rsid w:val="00F55490"/>
    <w:rsid w:val="00F55535"/>
    <w:rsid w:val="00F55553"/>
    <w:rsid w:val="00F558A0"/>
    <w:rsid w:val="00F55AD3"/>
    <w:rsid w:val="00F55C4B"/>
    <w:rsid w:val="00F55D37"/>
    <w:rsid w:val="00F55D53"/>
    <w:rsid w:val="00F55D83"/>
    <w:rsid w:val="00F55ECA"/>
    <w:rsid w:val="00F55EF3"/>
    <w:rsid w:val="00F55F74"/>
    <w:rsid w:val="00F562ED"/>
    <w:rsid w:val="00F564C5"/>
    <w:rsid w:val="00F5675B"/>
    <w:rsid w:val="00F56795"/>
    <w:rsid w:val="00F5687B"/>
    <w:rsid w:val="00F56908"/>
    <w:rsid w:val="00F56991"/>
    <w:rsid w:val="00F56BBA"/>
    <w:rsid w:val="00F56E76"/>
    <w:rsid w:val="00F56FED"/>
    <w:rsid w:val="00F5707D"/>
    <w:rsid w:val="00F57285"/>
    <w:rsid w:val="00F572B6"/>
    <w:rsid w:val="00F5742D"/>
    <w:rsid w:val="00F5743F"/>
    <w:rsid w:val="00F574A6"/>
    <w:rsid w:val="00F574CF"/>
    <w:rsid w:val="00F576DD"/>
    <w:rsid w:val="00F578ED"/>
    <w:rsid w:val="00F5796F"/>
    <w:rsid w:val="00F57A05"/>
    <w:rsid w:val="00F57C1E"/>
    <w:rsid w:val="00F57C56"/>
    <w:rsid w:val="00F57CF5"/>
    <w:rsid w:val="00F57E16"/>
    <w:rsid w:val="00F57FFC"/>
    <w:rsid w:val="00F60009"/>
    <w:rsid w:val="00F60056"/>
    <w:rsid w:val="00F60083"/>
    <w:rsid w:val="00F600DC"/>
    <w:rsid w:val="00F6055D"/>
    <w:rsid w:val="00F60606"/>
    <w:rsid w:val="00F607C6"/>
    <w:rsid w:val="00F60839"/>
    <w:rsid w:val="00F60A8A"/>
    <w:rsid w:val="00F60B49"/>
    <w:rsid w:val="00F60B96"/>
    <w:rsid w:val="00F60C4F"/>
    <w:rsid w:val="00F60C61"/>
    <w:rsid w:val="00F60D00"/>
    <w:rsid w:val="00F60F16"/>
    <w:rsid w:val="00F60F4D"/>
    <w:rsid w:val="00F6105E"/>
    <w:rsid w:val="00F610E0"/>
    <w:rsid w:val="00F610F0"/>
    <w:rsid w:val="00F613C0"/>
    <w:rsid w:val="00F615B1"/>
    <w:rsid w:val="00F616F3"/>
    <w:rsid w:val="00F617DF"/>
    <w:rsid w:val="00F61889"/>
    <w:rsid w:val="00F61AB6"/>
    <w:rsid w:val="00F61BDB"/>
    <w:rsid w:val="00F61C5B"/>
    <w:rsid w:val="00F61C5E"/>
    <w:rsid w:val="00F61CA7"/>
    <w:rsid w:val="00F61F94"/>
    <w:rsid w:val="00F62406"/>
    <w:rsid w:val="00F624CE"/>
    <w:rsid w:val="00F6259F"/>
    <w:rsid w:val="00F628A8"/>
    <w:rsid w:val="00F629F1"/>
    <w:rsid w:val="00F62B3A"/>
    <w:rsid w:val="00F62D8B"/>
    <w:rsid w:val="00F62EF4"/>
    <w:rsid w:val="00F6314F"/>
    <w:rsid w:val="00F631B4"/>
    <w:rsid w:val="00F631E0"/>
    <w:rsid w:val="00F631EB"/>
    <w:rsid w:val="00F63244"/>
    <w:rsid w:val="00F632E2"/>
    <w:rsid w:val="00F6349B"/>
    <w:rsid w:val="00F63619"/>
    <w:rsid w:val="00F6370F"/>
    <w:rsid w:val="00F639DE"/>
    <w:rsid w:val="00F63AD7"/>
    <w:rsid w:val="00F63BF6"/>
    <w:rsid w:val="00F63C5D"/>
    <w:rsid w:val="00F63E1F"/>
    <w:rsid w:val="00F63E5C"/>
    <w:rsid w:val="00F63E83"/>
    <w:rsid w:val="00F63EA7"/>
    <w:rsid w:val="00F63F59"/>
    <w:rsid w:val="00F63FBA"/>
    <w:rsid w:val="00F6412E"/>
    <w:rsid w:val="00F6428B"/>
    <w:rsid w:val="00F642EF"/>
    <w:rsid w:val="00F645FE"/>
    <w:rsid w:val="00F6461D"/>
    <w:rsid w:val="00F6470B"/>
    <w:rsid w:val="00F6479B"/>
    <w:rsid w:val="00F64A83"/>
    <w:rsid w:val="00F64B17"/>
    <w:rsid w:val="00F64BBC"/>
    <w:rsid w:val="00F64C61"/>
    <w:rsid w:val="00F64D13"/>
    <w:rsid w:val="00F64D6B"/>
    <w:rsid w:val="00F64ED1"/>
    <w:rsid w:val="00F64F46"/>
    <w:rsid w:val="00F650F0"/>
    <w:rsid w:val="00F652FD"/>
    <w:rsid w:val="00F65635"/>
    <w:rsid w:val="00F65647"/>
    <w:rsid w:val="00F65721"/>
    <w:rsid w:val="00F657D1"/>
    <w:rsid w:val="00F6583E"/>
    <w:rsid w:val="00F65AA5"/>
    <w:rsid w:val="00F65ABE"/>
    <w:rsid w:val="00F65D09"/>
    <w:rsid w:val="00F65E23"/>
    <w:rsid w:val="00F65FA5"/>
    <w:rsid w:val="00F660A5"/>
    <w:rsid w:val="00F66180"/>
    <w:rsid w:val="00F66191"/>
    <w:rsid w:val="00F6626A"/>
    <w:rsid w:val="00F662A1"/>
    <w:rsid w:val="00F66332"/>
    <w:rsid w:val="00F66402"/>
    <w:rsid w:val="00F66448"/>
    <w:rsid w:val="00F664FC"/>
    <w:rsid w:val="00F6661D"/>
    <w:rsid w:val="00F6661F"/>
    <w:rsid w:val="00F668D6"/>
    <w:rsid w:val="00F6696B"/>
    <w:rsid w:val="00F66B31"/>
    <w:rsid w:val="00F66BB4"/>
    <w:rsid w:val="00F66C1D"/>
    <w:rsid w:val="00F66C7B"/>
    <w:rsid w:val="00F670FF"/>
    <w:rsid w:val="00F67269"/>
    <w:rsid w:val="00F67333"/>
    <w:rsid w:val="00F67411"/>
    <w:rsid w:val="00F6743B"/>
    <w:rsid w:val="00F674AA"/>
    <w:rsid w:val="00F679AF"/>
    <w:rsid w:val="00F67A67"/>
    <w:rsid w:val="00F67A7C"/>
    <w:rsid w:val="00F67A86"/>
    <w:rsid w:val="00F67C09"/>
    <w:rsid w:val="00F67CA6"/>
    <w:rsid w:val="00F67EDA"/>
    <w:rsid w:val="00F70013"/>
    <w:rsid w:val="00F700C7"/>
    <w:rsid w:val="00F701C8"/>
    <w:rsid w:val="00F70306"/>
    <w:rsid w:val="00F70383"/>
    <w:rsid w:val="00F704D9"/>
    <w:rsid w:val="00F70633"/>
    <w:rsid w:val="00F708C8"/>
    <w:rsid w:val="00F70903"/>
    <w:rsid w:val="00F70904"/>
    <w:rsid w:val="00F70A33"/>
    <w:rsid w:val="00F70A85"/>
    <w:rsid w:val="00F70BBE"/>
    <w:rsid w:val="00F70CE0"/>
    <w:rsid w:val="00F70FE7"/>
    <w:rsid w:val="00F713D6"/>
    <w:rsid w:val="00F715F7"/>
    <w:rsid w:val="00F7169E"/>
    <w:rsid w:val="00F716E0"/>
    <w:rsid w:val="00F71AC8"/>
    <w:rsid w:val="00F71C11"/>
    <w:rsid w:val="00F71D5F"/>
    <w:rsid w:val="00F71DAA"/>
    <w:rsid w:val="00F71DF0"/>
    <w:rsid w:val="00F71F23"/>
    <w:rsid w:val="00F72211"/>
    <w:rsid w:val="00F7240C"/>
    <w:rsid w:val="00F72758"/>
    <w:rsid w:val="00F727BC"/>
    <w:rsid w:val="00F729A7"/>
    <w:rsid w:val="00F72B01"/>
    <w:rsid w:val="00F72BB4"/>
    <w:rsid w:val="00F72C30"/>
    <w:rsid w:val="00F72C41"/>
    <w:rsid w:val="00F72DAA"/>
    <w:rsid w:val="00F72EE3"/>
    <w:rsid w:val="00F730EC"/>
    <w:rsid w:val="00F73128"/>
    <w:rsid w:val="00F736AA"/>
    <w:rsid w:val="00F7381B"/>
    <w:rsid w:val="00F738C4"/>
    <w:rsid w:val="00F73A77"/>
    <w:rsid w:val="00F73CA7"/>
    <w:rsid w:val="00F73DC2"/>
    <w:rsid w:val="00F73E95"/>
    <w:rsid w:val="00F741BD"/>
    <w:rsid w:val="00F74233"/>
    <w:rsid w:val="00F743EE"/>
    <w:rsid w:val="00F74494"/>
    <w:rsid w:val="00F74630"/>
    <w:rsid w:val="00F74792"/>
    <w:rsid w:val="00F74A52"/>
    <w:rsid w:val="00F74AF9"/>
    <w:rsid w:val="00F74B75"/>
    <w:rsid w:val="00F74C16"/>
    <w:rsid w:val="00F74EEA"/>
    <w:rsid w:val="00F74F61"/>
    <w:rsid w:val="00F74FAC"/>
    <w:rsid w:val="00F74FB9"/>
    <w:rsid w:val="00F7527F"/>
    <w:rsid w:val="00F7531A"/>
    <w:rsid w:val="00F753B5"/>
    <w:rsid w:val="00F75427"/>
    <w:rsid w:val="00F7542E"/>
    <w:rsid w:val="00F75690"/>
    <w:rsid w:val="00F75862"/>
    <w:rsid w:val="00F75B0E"/>
    <w:rsid w:val="00F75B99"/>
    <w:rsid w:val="00F75C66"/>
    <w:rsid w:val="00F75D25"/>
    <w:rsid w:val="00F75E41"/>
    <w:rsid w:val="00F75E43"/>
    <w:rsid w:val="00F75EA6"/>
    <w:rsid w:val="00F75EFD"/>
    <w:rsid w:val="00F75F29"/>
    <w:rsid w:val="00F75FB6"/>
    <w:rsid w:val="00F76111"/>
    <w:rsid w:val="00F76202"/>
    <w:rsid w:val="00F76225"/>
    <w:rsid w:val="00F76390"/>
    <w:rsid w:val="00F76456"/>
    <w:rsid w:val="00F764E3"/>
    <w:rsid w:val="00F7659B"/>
    <w:rsid w:val="00F767A5"/>
    <w:rsid w:val="00F7684E"/>
    <w:rsid w:val="00F7699B"/>
    <w:rsid w:val="00F76B04"/>
    <w:rsid w:val="00F76D3C"/>
    <w:rsid w:val="00F76D4B"/>
    <w:rsid w:val="00F76DAD"/>
    <w:rsid w:val="00F76EB5"/>
    <w:rsid w:val="00F76FC1"/>
    <w:rsid w:val="00F76FC9"/>
    <w:rsid w:val="00F77065"/>
    <w:rsid w:val="00F77103"/>
    <w:rsid w:val="00F77113"/>
    <w:rsid w:val="00F77206"/>
    <w:rsid w:val="00F772A8"/>
    <w:rsid w:val="00F772E2"/>
    <w:rsid w:val="00F774D8"/>
    <w:rsid w:val="00F77576"/>
    <w:rsid w:val="00F775BC"/>
    <w:rsid w:val="00F777A4"/>
    <w:rsid w:val="00F77903"/>
    <w:rsid w:val="00F77926"/>
    <w:rsid w:val="00F77A09"/>
    <w:rsid w:val="00F77AF0"/>
    <w:rsid w:val="00F80054"/>
    <w:rsid w:val="00F800B6"/>
    <w:rsid w:val="00F80301"/>
    <w:rsid w:val="00F8030F"/>
    <w:rsid w:val="00F80387"/>
    <w:rsid w:val="00F8038F"/>
    <w:rsid w:val="00F8048A"/>
    <w:rsid w:val="00F8059E"/>
    <w:rsid w:val="00F80607"/>
    <w:rsid w:val="00F806A6"/>
    <w:rsid w:val="00F80817"/>
    <w:rsid w:val="00F808D7"/>
    <w:rsid w:val="00F808E6"/>
    <w:rsid w:val="00F80A5B"/>
    <w:rsid w:val="00F80A79"/>
    <w:rsid w:val="00F80A99"/>
    <w:rsid w:val="00F80AEF"/>
    <w:rsid w:val="00F80CC1"/>
    <w:rsid w:val="00F80EB6"/>
    <w:rsid w:val="00F80F83"/>
    <w:rsid w:val="00F80FD4"/>
    <w:rsid w:val="00F81114"/>
    <w:rsid w:val="00F81143"/>
    <w:rsid w:val="00F811EF"/>
    <w:rsid w:val="00F813F9"/>
    <w:rsid w:val="00F8151E"/>
    <w:rsid w:val="00F81581"/>
    <w:rsid w:val="00F8164C"/>
    <w:rsid w:val="00F817B9"/>
    <w:rsid w:val="00F818F3"/>
    <w:rsid w:val="00F81965"/>
    <w:rsid w:val="00F81C16"/>
    <w:rsid w:val="00F81C34"/>
    <w:rsid w:val="00F81CCC"/>
    <w:rsid w:val="00F81EF8"/>
    <w:rsid w:val="00F81F2C"/>
    <w:rsid w:val="00F82020"/>
    <w:rsid w:val="00F82246"/>
    <w:rsid w:val="00F822A2"/>
    <w:rsid w:val="00F82311"/>
    <w:rsid w:val="00F823A9"/>
    <w:rsid w:val="00F824BF"/>
    <w:rsid w:val="00F825E8"/>
    <w:rsid w:val="00F82632"/>
    <w:rsid w:val="00F82953"/>
    <w:rsid w:val="00F8297F"/>
    <w:rsid w:val="00F82A08"/>
    <w:rsid w:val="00F82A20"/>
    <w:rsid w:val="00F82B8D"/>
    <w:rsid w:val="00F82CEB"/>
    <w:rsid w:val="00F82E85"/>
    <w:rsid w:val="00F833E6"/>
    <w:rsid w:val="00F836EA"/>
    <w:rsid w:val="00F83821"/>
    <w:rsid w:val="00F83A99"/>
    <w:rsid w:val="00F83C82"/>
    <w:rsid w:val="00F83CBC"/>
    <w:rsid w:val="00F83CC0"/>
    <w:rsid w:val="00F83CE4"/>
    <w:rsid w:val="00F83D16"/>
    <w:rsid w:val="00F84042"/>
    <w:rsid w:val="00F840B0"/>
    <w:rsid w:val="00F8417C"/>
    <w:rsid w:val="00F841D5"/>
    <w:rsid w:val="00F842AD"/>
    <w:rsid w:val="00F842E2"/>
    <w:rsid w:val="00F8431F"/>
    <w:rsid w:val="00F8442E"/>
    <w:rsid w:val="00F84777"/>
    <w:rsid w:val="00F84798"/>
    <w:rsid w:val="00F8486D"/>
    <w:rsid w:val="00F84920"/>
    <w:rsid w:val="00F84AC6"/>
    <w:rsid w:val="00F84B29"/>
    <w:rsid w:val="00F84BAB"/>
    <w:rsid w:val="00F84C64"/>
    <w:rsid w:val="00F84CBB"/>
    <w:rsid w:val="00F84CCF"/>
    <w:rsid w:val="00F84D9E"/>
    <w:rsid w:val="00F84E07"/>
    <w:rsid w:val="00F84FE9"/>
    <w:rsid w:val="00F8507C"/>
    <w:rsid w:val="00F85080"/>
    <w:rsid w:val="00F85171"/>
    <w:rsid w:val="00F85235"/>
    <w:rsid w:val="00F853F4"/>
    <w:rsid w:val="00F855F1"/>
    <w:rsid w:val="00F85735"/>
    <w:rsid w:val="00F85763"/>
    <w:rsid w:val="00F8583C"/>
    <w:rsid w:val="00F85891"/>
    <w:rsid w:val="00F858A3"/>
    <w:rsid w:val="00F859C0"/>
    <w:rsid w:val="00F85C31"/>
    <w:rsid w:val="00F85D82"/>
    <w:rsid w:val="00F860A9"/>
    <w:rsid w:val="00F8648F"/>
    <w:rsid w:val="00F864D3"/>
    <w:rsid w:val="00F86635"/>
    <w:rsid w:val="00F8694D"/>
    <w:rsid w:val="00F86A87"/>
    <w:rsid w:val="00F86B0A"/>
    <w:rsid w:val="00F86BB3"/>
    <w:rsid w:val="00F86BE9"/>
    <w:rsid w:val="00F86C04"/>
    <w:rsid w:val="00F86DE2"/>
    <w:rsid w:val="00F86DE6"/>
    <w:rsid w:val="00F86E49"/>
    <w:rsid w:val="00F87151"/>
    <w:rsid w:val="00F87515"/>
    <w:rsid w:val="00F87568"/>
    <w:rsid w:val="00F87AA3"/>
    <w:rsid w:val="00F87AB6"/>
    <w:rsid w:val="00F87ADA"/>
    <w:rsid w:val="00F87B0C"/>
    <w:rsid w:val="00F87BD0"/>
    <w:rsid w:val="00F87C45"/>
    <w:rsid w:val="00F87DDB"/>
    <w:rsid w:val="00F90047"/>
    <w:rsid w:val="00F9010C"/>
    <w:rsid w:val="00F904CF"/>
    <w:rsid w:val="00F9059D"/>
    <w:rsid w:val="00F906F6"/>
    <w:rsid w:val="00F906FD"/>
    <w:rsid w:val="00F908F9"/>
    <w:rsid w:val="00F90A11"/>
    <w:rsid w:val="00F90AFF"/>
    <w:rsid w:val="00F90B6D"/>
    <w:rsid w:val="00F90B9C"/>
    <w:rsid w:val="00F90D14"/>
    <w:rsid w:val="00F90D6A"/>
    <w:rsid w:val="00F90E8A"/>
    <w:rsid w:val="00F90EA9"/>
    <w:rsid w:val="00F91034"/>
    <w:rsid w:val="00F91168"/>
    <w:rsid w:val="00F91195"/>
    <w:rsid w:val="00F9130E"/>
    <w:rsid w:val="00F9141D"/>
    <w:rsid w:val="00F915A9"/>
    <w:rsid w:val="00F915AE"/>
    <w:rsid w:val="00F915FE"/>
    <w:rsid w:val="00F91800"/>
    <w:rsid w:val="00F91842"/>
    <w:rsid w:val="00F91974"/>
    <w:rsid w:val="00F919DC"/>
    <w:rsid w:val="00F91A0C"/>
    <w:rsid w:val="00F91A4A"/>
    <w:rsid w:val="00F91D0A"/>
    <w:rsid w:val="00F91DBD"/>
    <w:rsid w:val="00F91E07"/>
    <w:rsid w:val="00F92016"/>
    <w:rsid w:val="00F92142"/>
    <w:rsid w:val="00F9216B"/>
    <w:rsid w:val="00F922AD"/>
    <w:rsid w:val="00F922B7"/>
    <w:rsid w:val="00F92334"/>
    <w:rsid w:val="00F9256C"/>
    <w:rsid w:val="00F9262D"/>
    <w:rsid w:val="00F926D9"/>
    <w:rsid w:val="00F927DB"/>
    <w:rsid w:val="00F928C8"/>
    <w:rsid w:val="00F92970"/>
    <w:rsid w:val="00F92B43"/>
    <w:rsid w:val="00F92C71"/>
    <w:rsid w:val="00F92D05"/>
    <w:rsid w:val="00F92D72"/>
    <w:rsid w:val="00F92E73"/>
    <w:rsid w:val="00F92EE3"/>
    <w:rsid w:val="00F92F49"/>
    <w:rsid w:val="00F93299"/>
    <w:rsid w:val="00F9340F"/>
    <w:rsid w:val="00F9361A"/>
    <w:rsid w:val="00F937B9"/>
    <w:rsid w:val="00F939F5"/>
    <w:rsid w:val="00F93A3E"/>
    <w:rsid w:val="00F93B7C"/>
    <w:rsid w:val="00F93C80"/>
    <w:rsid w:val="00F943F9"/>
    <w:rsid w:val="00F9471E"/>
    <w:rsid w:val="00F947B2"/>
    <w:rsid w:val="00F94B2C"/>
    <w:rsid w:val="00F94B7F"/>
    <w:rsid w:val="00F94CC7"/>
    <w:rsid w:val="00F94DB0"/>
    <w:rsid w:val="00F95125"/>
    <w:rsid w:val="00F951A9"/>
    <w:rsid w:val="00F951F8"/>
    <w:rsid w:val="00F952C3"/>
    <w:rsid w:val="00F9546F"/>
    <w:rsid w:val="00F954FD"/>
    <w:rsid w:val="00F9557E"/>
    <w:rsid w:val="00F95585"/>
    <w:rsid w:val="00F95626"/>
    <w:rsid w:val="00F9571F"/>
    <w:rsid w:val="00F9596B"/>
    <w:rsid w:val="00F95A13"/>
    <w:rsid w:val="00F95AA0"/>
    <w:rsid w:val="00F95AE9"/>
    <w:rsid w:val="00F95BE6"/>
    <w:rsid w:val="00F95BEA"/>
    <w:rsid w:val="00F95D0A"/>
    <w:rsid w:val="00F95EAC"/>
    <w:rsid w:val="00F96206"/>
    <w:rsid w:val="00F96263"/>
    <w:rsid w:val="00F96308"/>
    <w:rsid w:val="00F96358"/>
    <w:rsid w:val="00F9645B"/>
    <w:rsid w:val="00F9679A"/>
    <w:rsid w:val="00F96892"/>
    <w:rsid w:val="00F96BD6"/>
    <w:rsid w:val="00F96D97"/>
    <w:rsid w:val="00F96E27"/>
    <w:rsid w:val="00F96FE6"/>
    <w:rsid w:val="00F97113"/>
    <w:rsid w:val="00F97160"/>
    <w:rsid w:val="00F97389"/>
    <w:rsid w:val="00F97517"/>
    <w:rsid w:val="00F975D8"/>
    <w:rsid w:val="00F977BC"/>
    <w:rsid w:val="00F97956"/>
    <w:rsid w:val="00F979B3"/>
    <w:rsid w:val="00F97A27"/>
    <w:rsid w:val="00F97A45"/>
    <w:rsid w:val="00F97A76"/>
    <w:rsid w:val="00F97C4E"/>
    <w:rsid w:val="00F97CEC"/>
    <w:rsid w:val="00F97DCF"/>
    <w:rsid w:val="00F97E30"/>
    <w:rsid w:val="00F97E76"/>
    <w:rsid w:val="00F97F10"/>
    <w:rsid w:val="00F97F49"/>
    <w:rsid w:val="00F97F65"/>
    <w:rsid w:val="00F97F89"/>
    <w:rsid w:val="00F9CF5D"/>
    <w:rsid w:val="00FA0020"/>
    <w:rsid w:val="00FA00F9"/>
    <w:rsid w:val="00FA0430"/>
    <w:rsid w:val="00FA04B9"/>
    <w:rsid w:val="00FA065A"/>
    <w:rsid w:val="00FA077B"/>
    <w:rsid w:val="00FA084D"/>
    <w:rsid w:val="00FA08D2"/>
    <w:rsid w:val="00FA08EF"/>
    <w:rsid w:val="00FA0A51"/>
    <w:rsid w:val="00FA0ABD"/>
    <w:rsid w:val="00FA0AF2"/>
    <w:rsid w:val="00FA0B37"/>
    <w:rsid w:val="00FA0B9B"/>
    <w:rsid w:val="00FA0C54"/>
    <w:rsid w:val="00FA0F71"/>
    <w:rsid w:val="00FA0F9E"/>
    <w:rsid w:val="00FA10DA"/>
    <w:rsid w:val="00FA11A3"/>
    <w:rsid w:val="00FA11A5"/>
    <w:rsid w:val="00FA11B5"/>
    <w:rsid w:val="00FA14E6"/>
    <w:rsid w:val="00FA1620"/>
    <w:rsid w:val="00FA1631"/>
    <w:rsid w:val="00FA1679"/>
    <w:rsid w:val="00FA1824"/>
    <w:rsid w:val="00FA1879"/>
    <w:rsid w:val="00FA1973"/>
    <w:rsid w:val="00FA19B5"/>
    <w:rsid w:val="00FA1A24"/>
    <w:rsid w:val="00FA1D8D"/>
    <w:rsid w:val="00FA1EE7"/>
    <w:rsid w:val="00FA1F20"/>
    <w:rsid w:val="00FA2121"/>
    <w:rsid w:val="00FA225E"/>
    <w:rsid w:val="00FA2303"/>
    <w:rsid w:val="00FA2641"/>
    <w:rsid w:val="00FA2B92"/>
    <w:rsid w:val="00FA2BC4"/>
    <w:rsid w:val="00FA2C9C"/>
    <w:rsid w:val="00FA2DA4"/>
    <w:rsid w:val="00FA2EAA"/>
    <w:rsid w:val="00FA2EF4"/>
    <w:rsid w:val="00FA2FE5"/>
    <w:rsid w:val="00FA33CB"/>
    <w:rsid w:val="00FA33FD"/>
    <w:rsid w:val="00FA351F"/>
    <w:rsid w:val="00FA353B"/>
    <w:rsid w:val="00FA35A8"/>
    <w:rsid w:val="00FA38A8"/>
    <w:rsid w:val="00FA3C2F"/>
    <w:rsid w:val="00FA3D37"/>
    <w:rsid w:val="00FA3D41"/>
    <w:rsid w:val="00FA3D8F"/>
    <w:rsid w:val="00FA3DBD"/>
    <w:rsid w:val="00FA400C"/>
    <w:rsid w:val="00FA403D"/>
    <w:rsid w:val="00FA40E8"/>
    <w:rsid w:val="00FA418C"/>
    <w:rsid w:val="00FA42B4"/>
    <w:rsid w:val="00FA4401"/>
    <w:rsid w:val="00FA4579"/>
    <w:rsid w:val="00FA4681"/>
    <w:rsid w:val="00FA46D9"/>
    <w:rsid w:val="00FA46EF"/>
    <w:rsid w:val="00FA4770"/>
    <w:rsid w:val="00FA4777"/>
    <w:rsid w:val="00FA47D6"/>
    <w:rsid w:val="00FA48B0"/>
    <w:rsid w:val="00FA4B2C"/>
    <w:rsid w:val="00FA4DD8"/>
    <w:rsid w:val="00FA4E25"/>
    <w:rsid w:val="00FA4F44"/>
    <w:rsid w:val="00FA5027"/>
    <w:rsid w:val="00FA5079"/>
    <w:rsid w:val="00FA5120"/>
    <w:rsid w:val="00FA5125"/>
    <w:rsid w:val="00FA51B4"/>
    <w:rsid w:val="00FA51D6"/>
    <w:rsid w:val="00FA54A9"/>
    <w:rsid w:val="00FA5789"/>
    <w:rsid w:val="00FA58CB"/>
    <w:rsid w:val="00FA59B8"/>
    <w:rsid w:val="00FA5A71"/>
    <w:rsid w:val="00FA5D88"/>
    <w:rsid w:val="00FA5DC9"/>
    <w:rsid w:val="00FA5DD8"/>
    <w:rsid w:val="00FA5F4C"/>
    <w:rsid w:val="00FA62C6"/>
    <w:rsid w:val="00FA63A0"/>
    <w:rsid w:val="00FA6446"/>
    <w:rsid w:val="00FA6507"/>
    <w:rsid w:val="00FA65CB"/>
    <w:rsid w:val="00FA6690"/>
    <w:rsid w:val="00FA677A"/>
    <w:rsid w:val="00FA681A"/>
    <w:rsid w:val="00FA6992"/>
    <w:rsid w:val="00FA6A70"/>
    <w:rsid w:val="00FA6A7A"/>
    <w:rsid w:val="00FA6AA3"/>
    <w:rsid w:val="00FA6EBD"/>
    <w:rsid w:val="00FA6FC0"/>
    <w:rsid w:val="00FA70C7"/>
    <w:rsid w:val="00FA70EF"/>
    <w:rsid w:val="00FA71AE"/>
    <w:rsid w:val="00FA71B5"/>
    <w:rsid w:val="00FA734C"/>
    <w:rsid w:val="00FA734F"/>
    <w:rsid w:val="00FA7482"/>
    <w:rsid w:val="00FA7495"/>
    <w:rsid w:val="00FA74E4"/>
    <w:rsid w:val="00FA7620"/>
    <w:rsid w:val="00FA7739"/>
    <w:rsid w:val="00FA7790"/>
    <w:rsid w:val="00FA7868"/>
    <w:rsid w:val="00FA7943"/>
    <w:rsid w:val="00FA7BD3"/>
    <w:rsid w:val="00FA7C40"/>
    <w:rsid w:val="00FA7CCB"/>
    <w:rsid w:val="00FA7D2A"/>
    <w:rsid w:val="00FA7DD8"/>
    <w:rsid w:val="00FB021C"/>
    <w:rsid w:val="00FB043F"/>
    <w:rsid w:val="00FB0619"/>
    <w:rsid w:val="00FB070E"/>
    <w:rsid w:val="00FB07F1"/>
    <w:rsid w:val="00FB0825"/>
    <w:rsid w:val="00FB0861"/>
    <w:rsid w:val="00FB08D1"/>
    <w:rsid w:val="00FB093D"/>
    <w:rsid w:val="00FB09A3"/>
    <w:rsid w:val="00FB09B6"/>
    <w:rsid w:val="00FB0AAB"/>
    <w:rsid w:val="00FB0E29"/>
    <w:rsid w:val="00FB1020"/>
    <w:rsid w:val="00FB109D"/>
    <w:rsid w:val="00FB10B6"/>
    <w:rsid w:val="00FB1152"/>
    <w:rsid w:val="00FB11FF"/>
    <w:rsid w:val="00FB1735"/>
    <w:rsid w:val="00FB175C"/>
    <w:rsid w:val="00FB1781"/>
    <w:rsid w:val="00FB1C00"/>
    <w:rsid w:val="00FB1D53"/>
    <w:rsid w:val="00FB1D7B"/>
    <w:rsid w:val="00FB1DB0"/>
    <w:rsid w:val="00FB1F58"/>
    <w:rsid w:val="00FB2230"/>
    <w:rsid w:val="00FB236A"/>
    <w:rsid w:val="00FB23B6"/>
    <w:rsid w:val="00FB23D5"/>
    <w:rsid w:val="00FB2477"/>
    <w:rsid w:val="00FB257C"/>
    <w:rsid w:val="00FB26F5"/>
    <w:rsid w:val="00FB273B"/>
    <w:rsid w:val="00FB27A0"/>
    <w:rsid w:val="00FB281E"/>
    <w:rsid w:val="00FB28C6"/>
    <w:rsid w:val="00FB29BC"/>
    <w:rsid w:val="00FB2A21"/>
    <w:rsid w:val="00FB2A50"/>
    <w:rsid w:val="00FB2A64"/>
    <w:rsid w:val="00FB2B75"/>
    <w:rsid w:val="00FB2C4E"/>
    <w:rsid w:val="00FB2D2B"/>
    <w:rsid w:val="00FB2D6E"/>
    <w:rsid w:val="00FB2F8B"/>
    <w:rsid w:val="00FB30DF"/>
    <w:rsid w:val="00FB32E5"/>
    <w:rsid w:val="00FB345D"/>
    <w:rsid w:val="00FB3467"/>
    <w:rsid w:val="00FB3569"/>
    <w:rsid w:val="00FB37A5"/>
    <w:rsid w:val="00FB38FC"/>
    <w:rsid w:val="00FB3B85"/>
    <w:rsid w:val="00FB3C1D"/>
    <w:rsid w:val="00FB3C89"/>
    <w:rsid w:val="00FB3D21"/>
    <w:rsid w:val="00FB3D47"/>
    <w:rsid w:val="00FB3EDC"/>
    <w:rsid w:val="00FB3FC7"/>
    <w:rsid w:val="00FB4002"/>
    <w:rsid w:val="00FB4262"/>
    <w:rsid w:val="00FB43F6"/>
    <w:rsid w:val="00FB44E0"/>
    <w:rsid w:val="00FB45A1"/>
    <w:rsid w:val="00FB45A6"/>
    <w:rsid w:val="00FB464F"/>
    <w:rsid w:val="00FB474A"/>
    <w:rsid w:val="00FB4887"/>
    <w:rsid w:val="00FB48EF"/>
    <w:rsid w:val="00FB4944"/>
    <w:rsid w:val="00FB4A56"/>
    <w:rsid w:val="00FB4B39"/>
    <w:rsid w:val="00FB4B79"/>
    <w:rsid w:val="00FB4BAA"/>
    <w:rsid w:val="00FB4D55"/>
    <w:rsid w:val="00FB4E2A"/>
    <w:rsid w:val="00FB4F61"/>
    <w:rsid w:val="00FB50D1"/>
    <w:rsid w:val="00FB53BB"/>
    <w:rsid w:val="00FB5409"/>
    <w:rsid w:val="00FB5432"/>
    <w:rsid w:val="00FB5458"/>
    <w:rsid w:val="00FB56E6"/>
    <w:rsid w:val="00FB5714"/>
    <w:rsid w:val="00FB5818"/>
    <w:rsid w:val="00FB58AE"/>
    <w:rsid w:val="00FB58EB"/>
    <w:rsid w:val="00FB590F"/>
    <w:rsid w:val="00FB5B3D"/>
    <w:rsid w:val="00FB5FD1"/>
    <w:rsid w:val="00FB630B"/>
    <w:rsid w:val="00FB6522"/>
    <w:rsid w:val="00FB6550"/>
    <w:rsid w:val="00FB6621"/>
    <w:rsid w:val="00FB66C5"/>
    <w:rsid w:val="00FB6701"/>
    <w:rsid w:val="00FB6A05"/>
    <w:rsid w:val="00FB6A7C"/>
    <w:rsid w:val="00FB6D5D"/>
    <w:rsid w:val="00FB6F1A"/>
    <w:rsid w:val="00FB702D"/>
    <w:rsid w:val="00FB709D"/>
    <w:rsid w:val="00FB7139"/>
    <w:rsid w:val="00FB7296"/>
    <w:rsid w:val="00FB7538"/>
    <w:rsid w:val="00FB7732"/>
    <w:rsid w:val="00FB7796"/>
    <w:rsid w:val="00FB7956"/>
    <w:rsid w:val="00FB796E"/>
    <w:rsid w:val="00FB79E7"/>
    <w:rsid w:val="00FB7A32"/>
    <w:rsid w:val="00FB7AD4"/>
    <w:rsid w:val="00FB7D9E"/>
    <w:rsid w:val="00FC0092"/>
    <w:rsid w:val="00FC00E0"/>
    <w:rsid w:val="00FC015D"/>
    <w:rsid w:val="00FC01E3"/>
    <w:rsid w:val="00FC0234"/>
    <w:rsid w:val="00FC02A0"/>
    <w:rsid w:val="00FC02AB"/>
    <w:rsid w:val="00FC03B5"/>
    <w:rsid w:val="00FC05C0"/>
    <w:rsid w:val="00FC0607"/>
    <w:rsid w:val="00FC06FF"/>
    <w:rsid w:val="00FC0912"/>
    <w:rsid w:val="00FC0973"/>
    <w:rsid w:val="00FC0C67"/>
    <w:rsid w:val="00FC0CA4"/>
    <w:rsid w:val="00FC0CAA"/>
    <w:rsid w:val="00FC1103"/>
    <w:rsid w:val="00FC1138"/>
    <w:rsid w:val="00FC11D1"/>
    <w:rsid w:val="00FC11E9"/>
    <w:rsid w:val="00FC1285"/>
    <w:rsid w:val="00FC12B0"/>
    <w:rsid w:val="00FC1304"/>
    <w:rsid w:val="00FC1577"/>
    <w:rsid w:val="00FC168B"/>
    <w:rsid w:val="00FC16C1"/>
    <w:rsid w:val="00FC1994"/>
    <w:rsid w:val="00FC19C7"/>
    <w:rsid w:val="00FC1CD2"/>
    <w:rsid w:val="00FC1D6A"/>
    <w:rsid w:val="00FC1F93"/>
    <w:rsid w:val="00FC1FE7"/>
    <w:rsid w:val="00FC201E"/>
    <w:rsid w:val="00FC21D5"/>
    <w:rsid w:val="00FC24A5"/>
    <w:rsid w:val="00FC24BB"/>
    <w:rsid w:val="00FC265E"/>
    <w:rsid w:val="00FC284E"/>
    <w:rsid w:val="00FC293C"/>
    <w:rsid w:val="00FC2AEE"/>
    <w:rsid w:val="00FC2BAD"/>
    <w:rsid w:val="00FC2C1B"/>
    <w:rsid w:val="00FC2C58"/>
    <w:rsid w:val="00FC2CBB"/>
    <w:rsid w:val="00FC2D85"/>
    <w:rsid w:val="00FC2E51"/>
    <w:rsid w:val="00FC2F72"/>
    <w:rsid w:val="00FC3178"/>
    <w:rsid w:val="00FC32E1"/>
    <w:rsid w:val="00FC3405"/>
    <w:rsid w:val="00FC3430"/>
    <w:rsid w:val="00FC346E"/>
    <w:rsid w:val="00FC35C5"/>
    <w:rsid w:val="00FC3905"/>
    <w:rsid w:val="00FC3B2A"/>
    <w:rsid w:val="00FC3C01"/>
    <w:rsid w:val="00FC3CF4"/>
    <w:rsid w:val="00FC3E14"/>
    <w:rsid w:val="00FC3EE5"/>
    <w:rsid w:val="00FC3EF0"/>
    <w:rsid w:val="00FC3EF4"/>
    <w:rsid w:val="00FC402A"/>
    <w:rsid w:val="00FC42F6"/>
    <w:rsid w:val="00FC4302"/>
    <w:rsid w:val="00FC4568"/>
    <w:rsid w:val="00FC45BF"/>
    <w:rsid w:val="00FC4611"/>
    <w:rsid w:val="00FC47E1"/>
    <w:rsid w:val="00FC4839"/>
    <w:rsid w:val="00FC49B8"/>
    <w:rsid w:val="00FC49BB"/>
    <w:rsid w:val="00FC4A2D"/>
    <w:rsid w:val="00FC530D"/>
    <w:rsid w:val="00FC565B"/>
    <w:rsid w:val="00FC5706"/>
    <w:rsid w:val="00FC571D"/>
    <w:rsid w:val="00FC59A9"/>
    <w:rsid w:val="00FC5A30"/>
    <w:rsid w:val="00FC5A87"/>
    <w:rsid w:val="00FC5B1B"/>
    <w:rsid w:val="00FC5B25"/>
    <w:rsid w:val="00FC5B36"/>
    <w:rsid w:val="00FC5E65"/>
    <w:rsid w:val="00FC5ECE"/>
    <w:rsid w:val="00FC5F33"/>
    <w:rsid w:val="00FC5F65"/>
    <w:rsid w:val="00FC605E"/>
    <w:rsid w:val="00FC61E1"/>
    <w:rsid w:val="00FC6202"/>
    <w:rsid w:val="00FC6307"/>
    <w:rsid w:val="00FC63B8"/>
    <w:rsid w:val="00FC647A"/>
    <w:rsid w:val="00FC6538"/>
    <w:rsid w:val="00FC66AB"/>
    <w:rsid w:val="00FC6756"/>
    <w:rsid w:val="00FC6827"/>
    <w:rsid w:val="00FC6A4C"/>
    <w:rsid w:val="00FC6A6A"/>
    <w:rsid w:val="00FC6A91"/>
    <w:rsid w:val="00FC6AC7"/>
    <w:rsid w:val="00FC6B10"/>
    <w:rsid w:val="00FC6BB1"/>
    <w:rsid w:val="00FC6D46"/>
    <w:rsid w:val="00FC70C6"/>
    <w:rsid w:val="00FC7192"/>
    <w:rsid w:val="00FC7211"/>
    <w:rsid w:val="00FC747F"/>
    <w:rsid w:val="00FC7705"/>
    <w:rsid w:val="00FC77A8"/>
    <w:rsid w:val="00FC7861"/>
    <w:rsid w:val="00FC795B"/>
    <w:rsid w:val="00FC7A67"/>
    <w:rsid w:val="00FC7BD0"/>
    <w:rsid w:val="00FC7C3C"/>
    <w:rsid w:val="00FC7DE4"/>
    <w:rsid w:val="00FC7E69"/>
    <w:rsid w:val="00FC7F03"/>
    <w:rsid w:val="00FC7F1C"/>
    <w:rsid w:val="00FC7FBF"/>
    <w:rsid w:val="00FD00B7"/>
    <w:rsid w:val="00FD019D"/>
    <w:rsid w:val="00FD0624"/>
    <w:rsid w:val="00FD0862"/>
    <w:rsid w:val="00FD0970"/>
    <w:rsid w:val="00FD0973"/>
    <w:rsid w:val="00FD0A84"/>
    <w:rsid w:val="00FD0B58"/>
    <w:rsid w:val="00FD0BC7"/>
    <w:rsid w:val="00FD0CD1"/>
    <w:rsid w:val="00FD0D9A"/>
    <w:rsid w:val="00FD0DB5"/>
    <w:rsid w:val="00FD0F24"/>
    <w:rsid w:val="00FD0F79"/>
    <w:rsid w:val="00FD1103"/>
    <w:rsid w:val="00FD110B"/>
    <w:rsid w:val="00FD1144"/>
    <w:rsid w:val="00FD12BA"/>
    <w:rsid w:val="00FD12F3"/>
    <w:rsid w:val="00FD15B7"/>
    <w:rsid w:val="00FD1634"/>
    <w:rsid w:val="00FD19CA"/>
    <w:rsid w:val="00FD1B76"/>
    <w:rsid w:val="00FD1BCC"/>
    <w:rsid w:val="00FD1C24"/>
    <w:rsid w:val="00FD1E93"/>
    <w:rsid w:val="00FD1FB2"/>
    <w:rsid w:val="00FD20AF"/>
    <w:rsid w:val="00FD20D8"/>
    <w:rsid w:val="00FD221A"/>
    <w:rsid w:val="00FD22CC"/>
    <w:rsid w:val="00FD254A"/>
    <w:rsid w:val="00FD2556"/>
    <w:rsid w:val="00FD257F"/>
    <w:rsid w:val="00FD2591"/>
    <w:rsid w:val="00FD2660"/>
    <w:rsid w:val="00FD27C2"/>
    <w:rsid w:val="00FD2AAA"/>
    <w:rsid w:val="00FD2B3D"/>
    <w:rsid w:val="00FD2BC2"/>
    <w:rsid w:val="00FD2C25"/>
    <w:rsid w:val="00FD2DD9"/>
    <w:rsid w:val="00FD2DEC"/>
    <w:rsid w:val="00FD2F54"/>
    <w:rsid w:val="00FD2F86"/>
    <w:rsid w:val="00FD32D2"/>
    <w:rsid w:val="00FD3315"/>
    <w:rsid w:val="00FD360E"/>
    <w:rsid w:val="00FD36BC"/>
    <w:rsid w:val="00FD3742"/>
    <w:rsid w:val="00FD378B"/>
    <w:rsid w:val="00FD37FE"/>
    <w:rsid w:val="00FD3883"/>
    <w:rsid w:val="00FD3A32"/>
    <w:rsid w:val="00FD3A95"/>
    <w:rsid w:val="00FD3C46"/>
    <w:rsid w:val="00FD3D2F"/>
    <w:rsid w:val="00FD4521"/>
    <w:rsid w:val="00FD4656"/>
    <w:rsid w:val="00FD46D2"/>
    <w:rsid w:val="00FD46F8"/>
    <w:rsid w:val="00FD4C57"/>
    <w:rsid w:val="00FD4D37"/>
    <w:rsid w:val="00FD4D6B"/>
    <w:rsid w:val="00FD4DCF"/>
    <w:rsid w:val="00FD4E73"/>
    <w:rsid w:val="00FD4ECE"/>
    <w:rsid w:val="00FD5055"/>
    <w:rsid w:val="00FD50B5"/>
    <w:rsid w:val="00FD5176"/>
    <w:rsid w:val="00FD5429"/>
    <w:rsid w:val="00FD5459"/>
    <w:rsid w:val="00FD5532"/>
    <w:rsid w:val="00FD574F"/>
    <w:rsid w:val="00FD5896"/>
    <w:rsid w:val="00FD58F0"/>
    <w:rsid w:val="00FD5900"/>
    <w:rsid w:val="00FD59A2"/>
    <w:rsid w:val="00FD5A2F"/>
    <w:rsid w:val="00FD5A33"/>
    <w:rsid w:val="00FD5C83"/>
    <w:rsid w:val="00FD5C9F"/>
    <w:rsid w:val="00FD5E06"/>
    <w:rsid w:val="00FD5ED8"/>
    <w:rsid w:val="00FD5F1A"/>
    <w:rsid w:val="00FD5F53"/>
    <w:rsid w:val="00FD5FBC"/>
    <w:rsid w:val="00FD6123"/>
    <w:rsid w:val="00FD627F"/>
    <w:rsid w:val="00FD6384"/>
    <w:rsid w:val="00FD649F"/>
    <w:rsid w:val="00FD64FD"/>
    <w:rsid w:val="00FD65D6"/>
    <w:rsid w:val="00FD678A"/>
    <w:rsid w:val="00FD67C3"/>
    <w:rsid w:val="00FD69E6"/>
    <w:rsid w:val="00FD6B12"/>
    <w:rsid w:val="00FD6BB8"/>
    <w:rsid w:val="00FD6BCB"/>
    <w:rsid w:val="00FD6C85"/>
    <w:rsid w:val="00FD6C91"/>
    <w:rsid w:val="00FD6CEA"/>
    <w:rsid w:val="00FD6E18"/>
    <w:rsid w:val="00FD6EAF"/>
    <w:rsid w:val="00FD6EF6"/>
    <w:rsid w:val="00FD6F10"/>
    <w:rsid w:val="00FD701B"/>
    <w:rsid w:val="00FD703D"/>
    <w:rsid w:val="00FD723C"/>
    <w:rsid w:val="00FD7361"/>
    <w:rsid w:val="00FD73A0"/>
    <w:rsid w:val="00FD73F1"/>
    <w:rsid w:val="00FD74CB"/>
    <w:rsid w:val="00FD75B5"/>
    <w:rsid w:val="00FD75D9"/>
    <w:rsid w:val="00FD763B"/>
    <w:rsid w:val="00FD766A"/>
    <w:rsid w:val="00FD76D9"/>
    <w:rsid w:val="00FD7744"/>
    <w:rsid w:val="00FD7825"/>
    <w:rsid w:val="00FD7847"/>
    <w:rsid w:val="00FD7858"/>
    <w:rsid w:val="00FD7AB3"/>
    <w:rsid w:val="00FD7C2C"/>
    <w:rsid w:val="00FD7CEB"/>
    <w:rsid w:val="00FD7D16"/>
    <w:rsid w:val="00FD7EE9"/>
    <w:rsid w:val="00FD7F56"/>
    <w:rsid w:val="00FE0054"/>
    <w:rsid w:val="00FE0060"/>
    <w:rsid w:val="00FE0150"/>
    <w:rsid w:val="00FE035A"/>
    <w:rsid w:val="00FE0592"/>
    <w:rsid w:val="00FE06E0"/>
    <w:rsid w:val="00FE09E5"/>
    <w:rsid w:val="00FE0A10"/>
    <w:rsid w:val="00FE0AB8"/>
    <w:rsid w:val="00FE0CC9"/>
    <w:rsid w:val="00FE0D9A"/>
    <w:rsid w:val="00FE0E50"/>
    <w:rsid w:val="00FE0EE6"/>
    <w:rsid w:val="00FE0F59"/>
    <w:rsid w:val="00FE1171"/>
    <w:rsid w:val="00FE1177"/>
    <w:rsid w:val="00FE1239"/>
    <w:rsid w:val="00FE13BE"/>
    <w:rsid w:val="00FE1466"/>
    <w:rsid w:val="00FE15ED"/>
    <w:rsid w:val="00FE17C6"/>
    <w:rsid w:val="00FE17F9"/>
    <w:rsid w:val="00FE197B"/>
    <w:rsid w:val="00FE1A2A"/>
    <w:rsid w:val="00FE1CBC"/>
    <w:rsid w:val="00FE1E3A"/>
    <w:rsid w:val="00FE1F8B"/>
    <w:rsid w:val="00FE2065"/>
    <w:rsid w:val="00FE22B5"/>
    <w:rsid w:val="00FE247D"/>
    <w:rsid w:val="00FE255D"/>
    <w:rsid w:val="00FE2607"/>
    <w:rsid w:val="00FE26CA"/>
    <w:rsid w:val="00FE288E"/>
    <w:rsid w:val="00FE29BB"/>
    <w:rsid w:val="00FE2D64"/>
    <w:rsid w:val="00FE2E3F"/>
    <w:rsid w:val="00FE2F45"/>
    <w:rsid w:val="00FE2F67"/>
    <w:rsid w:val="00FE305C"/>
    <w:rsid w:val="00FE3201"/>
    <w:rsid w:val="00FE3257"/>
    <w:rsid w:val="00FE3416"/>
    <w:rsid w:val="00FE3494"/>
    <w:rsid w:val="00FE39C7"/>
    <w:rsid w:val="00FE39D0"/>
    <w:rsid w:val="00FE3B52"/>
    <w:rsid w:val="00FE3C08"/>
    <w:rsid w:val="00FE3DA5"/>
    <w:rsid w:val="00FE3DC1"/>
    <w:rsid w:val="00FE3F05"/>
    <w:rsid w:val="00FE3F2F"/>
    <w:rsid w:val="00FE3FDE"/>
    <w:rsid w:val="00FE3FDF"/>
    <w:rsid w:val="00FE3FF4"/>
    <w:rsid w:val="00FE4039"/>
    <w:rsid w:val="00FE422D"/>
    <w:rsid w:val="00FE43A4"/>
    <w:rsid w:val="00FE4509"/>
    <w:rsid w:val="00FE4621"/>
    <w:rsid w:val="00FE46A1"/>
    <w:rsid w:val="00FE479E"/>
    <w:rsid w:val="00FE4A3F"/>
    <w:rsid w:val="00FE4AAF"/>
    <w:rsid w:val="00FE4B26"/>
    <w:rsid w:val="00FE4B8D"/>
    <w:rsid w:val="00FE4C11"/>
    <w:rsid w:val="00FE4D05"/>
    <w:rsid w:val="00FE4D9C"/>
    <w:rsid w:val="00FE4DA6"/>
    <w:rsid w:val="00FE4E61"/>
    <w:rsid w:val="00FE4EA9"/>
    <w:rsid w:val="00FE52BA"/>
    <w:rsid w:val="00FE53FF"/>
    <w:rsid w:val="00FE5402"/>
    <w:rsid w:val="00FE5442"/>
    <w:rsid w:val="00FE5502"/>
    <w:rsid w:val="00FE56F7"/>
    <w:rsid w:val="00FE5768"/>
    <w:rsid w:val="00FE57A7"/>
    <w:rsid w:val="00FE5808"/>
    <w:rsid w:val="00FE599C"/>
    <w:rsid w:val="00FE5C45"/>
    <w:rsid w:val="00FE5C50"/>
    <w:rsid w:val="00FE5DAC"/>
    <w:rsid w:val="00FE5F8A"/>
    <w:rsid w:val="00FE6141"/>
    <w:rsid w:val="00FE62C8"/>
    <w:rsid w:val="00FE6446"/>
    <w:rsid w:val="00FE64E8"/>
    <w:rsid w:val="00FE650C"/>
    <w:rsid w:val="00FE6703"/>
    <w:rsid w:val="00FE675C"/>
    <w:rsid w:val="00FE69DE"/>
    <w:rsid w:val="00FE6A46"/>
    <w:rsid w:val="00FE6A56"/>
    <w:rsid w:val="00FE6B0E"/>
    <w:rsid w:val="00FE6CE7"/>
    <w:rsid w:val="00FE6E2B"/>
    <w:rsid w:val="00FE6F1F"/>
    <w:rsid w:val="00FE73D5"/>
    <w:rsid w:val="00FE7554"/>
    <w:rsid w:val="00FE75E2"/>
    <w:rsid w:val="00FE764F"/>
    <w:rsid w:val="00FE779B"/>
    <w:rsid w:val="00FE77E2"/>
    <w:rsid w:val="00FE7833"/>
    <w:rsid w:val="00FE7965"/>
    <w:rsid w:val="00FE7AC9"/>
    <w:rsid w:val="00FE7BC3"/>
    <w:rsid w:val="00FE7CDF"/>
    <w:rsid w:val="00FE7E44"/>
    <w:rsid w:val="00FE7E5C"/>
    <w:rsid w:val="00FE7EBB"/>
    <w:rsid w:val="00FE7EC5"/>
    <w:rsid w:val="00FE7F5F"/>
    <w:rsid w:val="00FE7FD3"/>
    <w:rsid w:val="00FF02AF"/>
    <w:rsid w:val="00FF02BD"/>
    <w:rsid w:val="00FF02E4"/>
    <w:rsid w:val="00FF02E9"/>
    <w:rsid w:val="00FF02EE"/>
    <w:rsid w:val="00FF03F9"/>
    <w:rsid w:val="00FF0462"/>
    <w:rsid w:val="00FF0555"/>
    <w:rsid w:val="00FF05B2"/>
    <w:rsid w:val="00FF05CE"/>
    <w:rsid w:val="00FF05E7"/>
    <w:rsid w:val="00FF05F0"/>
    <w:rsid w:val="00FF075F"/>
    <w:rsid w:val="00FF098E"/>
    <w:rsid w:val="00FF0B34"/>
    <w:rsid w:val="00FF0CD5"/>
    <w:rsid w:val="00FF0D09"/>
    <w:rsid w:val="00FF0F47"/>
    <w:rsid w:val="00FF0F8C"/>
    <w:rsid w:val="00FF13E6"/>
    <w:rsid w:val="00FF1425"/>
    <w:rsid w:val="00FF14C2"/>
    <w:rsid w:val="00FF1821"/>
    <w:rsid w:val="00FF1848"/>
    <w:rsid w:val="00FF1936"/>
    <w:rsid w:val="00FF19AB"/>
    <w:rsid w:val="00FF1E1D"/>
    <w:rsid w:val="00FF1F21"/>
    <w:rsid w:val="00FF1FCB"/>
    <w:rsid w:val="00FF2149"/>
    <w:rsid w:val="00FF21C5"/>
    <w:rsid w:val="00FF2273"/>
    <w:rsid w:val="00FF22C7"/>
    <w:rsid w:val="00FF23D5"/>
    <w:rsid w:val="00FF2473"/>
    <w:rsid w:val="00FF2493"/>
    <w:rsid w:val="00FF25B2"/>
    <w:rsid w:val="00FF268C"/>
    <w:rsid w:val="00FF2765"/>
    <w:rsid w:val="00FF2816"/>
    <w:rsid w:val="00FF28A5"/>
    <w:rsid w:val="00FF298A"/>
    <w:rsid w:val="00FF2BA2"/>
    <w:rsid w:val="00FF2DC8"/>
    <w:rsid w:val="00FF2EBE"/>
    <w:rsid w:val="00FF2F89"/>
    <w:rsid w:val="00FF30B9"/>
    <w:rsid w:val="00FF32EB"/>
    <w:rsid w:val="00FF3300"/>
    <w:rsid w:val="00FF3608"/>
    <w:rsid w:val="00FF36DA"/>
    <w:rsid w:val="00FF3E76"/>
    <w:rsid w:val="00FF3F89"/>
    <w:rsid w:val="00FF43F9"/>
    <w:rsid w:val="00FF442E"/>
    <w:rsid w:val="00FF45D6"/>
    <w:rsid w:val="00FF4602"/>
    <w:rsid w:val="00FF4605"/>
    <w:rsid w:val="00FF49AE"/>
    <w:rsid w:val="00FF49ED"/>
    <w:rsid w:val="00FF4A1C"/>
    <w:rsid w:val="00FF4B72"/>
    <w:rsid w:val="00FF4B8F"/>
    <w:rsid w:val="00FF4C4F"/>
    <w:rsid w:val="00FF4DA8"/>
    <w:rsid w:val="00FF4DB7"/>
    <w:rsid w:val="00FF4EF9"/>
    <w:rsid w:val="00FF4F50"/>
    <w:rsid w:val="00FF504D"/>
    <w:rsid w:val="00FF5177"/>
    <w:rsid w:val="00FF52B0"/>
    <w:rsid w:val="00FF53BC"/>
    <w:rsid w:val="00FF54D7"/>
    <w:rsid w:val="00FF5657"/>
    <w:rsid w:val="00FF57B3"/>
    <w:rsid w:val="00FF59B0"/>
    <w:rsid w:val="00FF5A5B"/>
    <w:rsid w:val="00FF5A9B"/>
    <w:rsid w:val="00FF5AFA"/>
    <w:rsid w:val="00FF5C6C"/>
    <w:rsid w:val="00FF5C81"/>
    <w:rsid w:val="00FF5CB6"/>
    <w:rsid w:val="00FF5CFE"/>
    <w:rsid w:val="00FF5E33"/>
    <w:rsid w:val="00FF5F4A"/>
    <w:rsid w:val="00FF6173"/>
    <w:rsid w:val="00FF63CF"/>
    <w:rsid w:val="00FF65D5"/>
    <w:rsid w:val="00FF685B"/>
    <w:rsid w:val="00FF6943"/>
    <w:rsid w:val="00FF6A92"/>
    <w:rsid w:val="00FF6AA9"/>
    <w:rsid w:val="00FF6B0C"/>
    <w:rsid w:val="00FF6CBE"/>
    <w:rsid w:val="00FF6E2A"/>
    <w:rsid w:val="00FF6EE4"/>
    <w:rsid w:val="00FF6EFC"/>
    <w:rsid w:val="00FF6FA1"/>
    <w:rsid w:val="00FF70C8"/>
    <w:rsid w:val="00FF70CF"/>
    <w:rsid w:val="00FF71CF"/>
    <w:rsid w:val="00FF7211"/>
    <w:rsid w:val="00FF7226"/>
    <w:rsid w:val="00FF725A"/>
    <w:rsid w:val="00FF734D"/>
    <w:rsid w:val="00FF7390"/>
    <w:rsid w:val="00FF740F"/>
    <w:rsid w:val="00FF7467"/>
    <w:rsid w:val="00FF7470"/>
    <w:rsid w:val="00FF7515"/>
    <w:rsid w:val="00FF764D"/>
    <w:rsid w:val="00FF77A3"/>
    <w:rsid w:val="00FF77DF"/>
    <w:rsid w:val="00FF790E"/>
    <w:rsid w:val="00FF7D67"/>
    <w:rsid w:val="00FF7D7D"/>
    <w:rsid w:val="00FF7DAE"/>
    <w:rsid w:val="01028EBC"/>
    <w:rsid w:val="0105D1E6"/>
    <w:rsid w:val="0106008C"/>
    <w:rsid w:val="0107637D"/>
    <w:rsid w:val="010BC214"/>
    <w:rsid w:val="010F5B38"/>
    <w:rsid w:val="01106F94"/>
    <w:rsid w:val="0111B834"/>
    <w:rsid w:val="01196281"/>
    <w:rsid w:val="011C0A5B"/>
    <w:rsid w:val="01228079"/>
    <w:rsid w:val="01285496"/>
    <w:rsid w:val="012F344E"/>
    <w:rsid w:val="01327D87"/>
    <w:rsid w:val="01386FF3"/>
    <w:rsid w:val="0139CD78"/>
    <w:rsid w:val="013E4768"/>
    <w:rsid w:val="013FFC1C"/>
    <w:rsid w:val="01432786"/>
    <w:rsid w:val="0145BDF2"/>
    <w:rsid w:val="0146639B"/>
    <w:rsid w:val="014DD8A0"/>
    <w:rsid w:val="014F76D2"/>
    <w:rsid w:val="0155F3CD"/>
    <w:rsid w:val="015966C5"/>
    <w:rsid w:val="0163A499"/>
    <w:rsid w:val="0164FD87"/>
    <w:rsid w:val="01691809"/>
    <w:rsid w:val="01763AEE"/>
    <w:rsid w:val="01766E87"/>
    <w:rsid w:val="017BEECB"/>
    <w:rsid w:val="017C3D4A"/>
    <w:rsid w:val="019202B9"/>
    <w:rsid w:val="019F6861"/>
    <w:rsid w:val="01B9CA57"/>
    <w:rsid w:val="01B9F5B4"/>
    <w:rsid w:val="01BFE27D"/>
    <w:rsid w:val="01C1DD70"/>
    <w:rsid w:val="01CDD80E"/>
    <w:rsid w:val="01CF0FA5"/>
    <w:rsid w:val="01D163DB"/>
    <w:rsid w:val="01D4BD0D"/>
    <w:rsid w:val="01D79C05"/>
    <w:rsid w:val="01DBD8B5"/>
    <w:rsid w:val="01E10D16"/>
    <w:rsid w:val="01EF2011"/>
    <w:rsid w:val="01F040B1"/>
    <w:rsid w:val="01F1E75F"/>
    <w:rsid w:val="01F2310A"/>
    <w:rsid w:val="01F74B9B"/>
    <w:rsid w:val="01F7E18A"/>
    <w:rsid w:val="01F8756E"/>
    <w:rsid w:val="020275B8"/>
    <w:rsid w:val="02046D3A"/>
    <w:rsid w:val="020B2996"/>
    <w:rsid w:val="020F0657"/>
    <w:rsid w:val="020F4B0D"/>
    <w:rsid w:val="021D28ED"/>
    <w:rsid w:val="021D456E"/>
    <w:rsid w:val="02200825"/>
    <w:rsid w:val="0227C628"/>
    <w:rsid w:val="022CF407"/>
    <w:rsid w:val="02341764"/>
    <w:rsid w:val="0236F756"/>
    <w:rsid w:val="023C478D"/>
    <w:rsid w:val="023E8370"/>
    <w:rsid w:val="0244626E"/>
    <w:rsid w:val="0244FF28"/>
    <w:rsid w:val="0246D3AA"/>
    <w:rsid w:val="024F5B86"/>
    <w:rsid w:val="02546E24"/>
    <w:rsid w:val="025658F1"/>
    <w:rsid w:val="025A0703"/>
    <w:rsid w:val="025A1899"/>
    <w:rsid w:val="025AF34F"/>
    <w:rsid w:val="025BF335"/>
    <w:rsid w:val="025C5B5B"/>
    <w:rsid w:val="02662D0E"/>
    <w:rsid w:val="02667249"/>
    <w:rsid w:val="026D1BC4"/>
    <w:rsid w:val="0278A33A"/>
    <w:rsid w:val="027E25D4"/>
    <w:rsid w:val="027EB03D"/>
    <w:rsid w:val="0284CB1A"/>
    <w:rsid w:val="02873756"/>
    <w:rsid w:val="028C00D0"/>
    <w:rsid w:val="0290B79C"/>
    <w:rsid w:val="02914980"/>
    <w:rsid w:val="0294D3A2"/>
    <w:rsid w:val="029930D0"/>
    <w:rsid w:val="029A4A67"/>
    <w:rsid w:val="029B2D8C"/>
    <w:rsid w:val="029B9638"/>
    <w:rsid w:val="029B96CE"/>
    <w:rsid w:val="02A0FF80"/>
    <w:rsid w:val="02A5B065"/>
    <w:rsid w:val="02A6BA37"/>
    <w:rsid w:val="02A87EE2"/>
    <w:rsid w:val="02A93ED9"/>
    <w:rsid w:val="02AAC9E0"/>
    <w:rsid w:val="02AF1ED3"/>
    <w:rsid w:val="02B5A0C6"/>
    <w:rsid w:val="02B7AFE8"/>
    <w:rsid w:val="02B8B157"/>
    <w:rsid w:val="02BDEC1C"/>
    <w:rsid w:val="02BE03D9"/>
    <w:rsid w:val="02BEADC8"/>
    <w:rsid w:val="02C2185D"/>
    <w:rsid w:val="02C289EB"/>
    <w:rsid w:val="02C6EA22"/>
    <w:rsid w:val="02C73003"/>
    <w:rsid w:val="02CA2E22"/>
    <w:rsid w:val="02CE283E"/>
    <w:rsid w:val="02D6CF9B"/>
    <w:rsid w:val="02D7E36F"/>
    <w:rsid w:val="02E39B6C"/>
    <w:rsid w:val="02E3DDE8"/>
    <w:rsid w:val="02E6B379"/>
    <w:rsid w:val="02F0F94E"/>
    <w:rsid w:val="02F28934"/>
    <w:rsid w:val="02F9624E"/>
    <w:rsid w:val="03056A60"/>
    <w:rsid w:val="030B6114"/>
    <w:rsid w:val="0314B87A"/>
    <w:rsid w:val="0317C42E"/>
    <w:rsid w:val="031D801C"/>
    <w:rsid w:val="0326F22B"/>
    <w:rsid w:val="0327DAAD"/>
    <w:rsid w:val="032AB70B"/>
    <w:rsid w:val="032B1EE3"/>
    <w:rsid w:val="03312997"/>
    <w:rsid w:val="0331658F"/>
    <w:rsid w:val="0333F42A"/>
    <w:rsid w:val="033A9AE2"/>
    <w:rsid w:val="0342BA0F"/>
    <w:rsid w:val="034C1F2E"/>
    <w:rsid w:val="034F86B0"/>
    <w:rsid w:val="03544023"/>
    <w:rsid w:val="035600C1"/>
    <w:rsid w:val="03580BA7"/>
    <w:rsid w:val="0359CDF7"/>
    <w:rsid w:val="0359EF5A"/>
    <w:rsid w:val="035C0FD1"/>
    <w:rsid w:val="035D914A"/>
    <w:rsid w:val="036833E2"/>
    <w:rsid w:val="03689ED2"/>
    <w:rsid w:val="036A56BF"/>
    <w:rsid w:val="036B7006"/>
    <w:rsid w:val="0370C870"/>
    <w:rsid w:val="03767EDC"/>
    <w:rsid w:val="037A645C"/>
    <w:rsid w:val="037AA43B"/>
    <w:rsid w:val="037D3554"/>
    <w:rsid w:val="037E6BE9"/>
    <w:rsid w:val="037F7802"/>
    <w:rsid w:val="03817E14"/>
    <w:rsid w:val="0383410C"/>
    <w:rsid w:val="0385495A"/>
    <w:rsid w:val="038644FB"/>
    <w:rsid w:val="03890D53"/>
    <w:rsid w:val="03917D9F"/>
    <w:rsid w:val="039C86E5"/>
    <w:rsid w:val="03A1396D"/>
    <w:rsid w:val="03A7D982"/>
    <w:rsid w:val="03A8E18B"/>
    <w:rsid w:val="03A923A5"/>
    <w:rsid w:val="03A94BB3"/>
    <w:rsid w:val="03B12DD8"/>
    <w:rsid w:val="03B56A5D"/>
    <w:rsid w:val="03B7772E"/>
    <w:rsid w:val="03C28AE7"/>
    <w:rsid w:val="03C48F0F"/>
    <w:rsid w:val="03C6F03D"/>
    <w:rsid w:val="03CD8A47"/>
    <w:rsid w:val="03CF39C1"/>
    <w:rsid w:val="03D05831"/>
    <w:rsid w:val="03D1C63A"/>
    <w:rsid w:val="03D288EF"/>
    <w:rsid w:val="03D4019D"/>
    <w:rsid w:val="03D44ECA"/>
    <w:rsid w:val="03D49FB7"/>
    <w:rsid w:val="03D9582A"/>
    <w:rsid w:val="03D9779C"/>
    <w:rsid w:val="03DC3D7D"/>
    <w:rsid w:val="03DE5737"/>
    <w:rsid w:val="03E1E246"/>
    <w:rsid w:val="03E52E91"/>
    <w:rsid w:val="03E5DF50"/>
    <w:rsid w:val="03EB3065"/>
    <w:rsid w:val="03EF368A"/>
    <w:rsid w:val="03EF8000"/>
    <w:rsid w:val="03F02E05"/>
    <w:rsid w:val="03F07A62"/>
    <w:rsid w:val="03FAB9EA"/>
    <w:rsid w:val="03FC3FD4"/>
    <w:rsid w:val="04021295"/>
    <w:rsid w:val="04099925"/>
    <w:rsid w:val="040E3CA8"/>
    <w:rsid w:val="04158D16"/>
    <w:rsid w:val="0417797A"/>
    <w:rsid w:val="0417BD02"/>
    <w:rsid w:val="041B54A7"/>
    <w:rsid w:val="041D5180"/>
    <w:rsid w:val="04282904"/>
    <w:rsid w:val="04293696"/>
    <w:rsid w:val="04310088"/>
    <w:rsid w:val="04317644"/>
    <w:rsid w:val="04329595"/>
    <w:rsid w:val="0434F5F2"/>
    <w:rsid w:val="043535A5"/>
    <w:rsid w:val="043861CD"/>
    <w:rsid w:val="043968CC"/>
    <w:rsid w:val="043C6E0C"/>
    <w:rsid w:val="04455D00"/>
    <w:rsid w:val="0447F313"/>
    <w:rsid w:val="0449B8DE"/>
    <w:rsid w:val="044B8FF8"/>
    <w:rsid w:val="044B99EA"/>
    <w:rsid w:val="044DF5E7"/>
    <w:rsid w:val="0453874C"/>
    <w:rsid w:val="0457A9BF"/>
    <w:rsid w:val="04597999"/>
    <w:rsid w:val="045F0F5A"/>
    <w:rsid w:val="0464999C"/>
    <w:rsid w:val="046576E7"/>
    <w:rsid w:val="0467496E"/>
    <w:rsid w:val="046C2C9C"/>
    <w:rsid w:val="046C8D7D"/>
    <w:rsid w:val="0471A214"/>
    <w:rsid w:val="0472A815"/>
    <w:rsid w:val="0473DB8A"/>
    <w:rsid w:val="047A28FD"/>
    <w:rsid w:val="0488F34C"/>
    <w:rsid w:val="048D5E9C"/>
    <w:rsid w:val="0492ADDF"/>
    <w:rsid w:val="04930D07"/>
    <w:rsid w:val="0494535D"/>
    <w:rsid w:val="049860D3"/>
    <w:rsid w:val="049BA6E9"/>
    <w:rsid w:val="04A26167"/>
    <w:rsid w:val="04A2ED0D"/>
    <w:rsid w:val="04AD2830"/>
    <w:rsid w:val="04B16A25"/>
    <w:rsid w:val="04B4E213"/>
    <w:rsid w:val="04B7D213"/>
    <w:rsid w:val="04BB9232"/>
    <w:rsid w:val="04BDA518"/>
    <w:rsid w:val="04BE45CF"/>
    <w:rsid w:val="04C7E7D0"/>
    <w:rsid w:val="04CA3EB2"/>
    <w:rsid w:val="04D22207"/>
    <w:rsid w:val="04DE97DB"/>
    <w:rsid w:val="04DFB10F"/>
    <w:rsid w:val="04E6E295"/>
    <w:rsid w:val="04EC55D7"/>
    <w:rsid w:val="04F2FAAF"/>
    <w:rsid w:val="04F3F1E1"/>
    <w:rsid w:val="04F430C7"/>
    <w:rsid w:val="04F4508D"/>
    <w:rsid w:val="04F91527"/>
    <w:rsid w:val="04F959EA"/>
    <w:rsid w:val="04FC7943"/>
    <w:rsid w:val="04FCF0BA"/>
    <w:rsid w:val="050095CF"/>
    <w:rsid w:val="05019099"/>
    <w:rsid w:val="05024A0B"/>
    <w:rsid w:val="0502D2B2"/>
    <w:rsid w:val="050828FB"/>
    <w:rsid w:val="050985B9"/>
    <w:rsid w:val="050CC2B5"/>
    <w:rsid w:val="05101793"/>
    <w:rsid w:val="0515A271"/>
    <w:rsid w:val="051BC0D1"/>
    <w:rsid w:val="051BEF69"/>
    <w:rsid w:val="051DD422"/>
    <w:rsid w:val="052587EA"/>
    <w:rsid w:val="0527FFC7"/>
    <w:rsid w:val="052951F5"/>
    <w:rsid w:val="05299E22"/>
    <w:rsid w:val="052EE8D2"/>
    <w:rsid w:val="05317620"/>
    <w:rsid w:val="0538BCFC"/>
    <w:rsid w:val="053980D9"/>
    <w:rsid w:val="053B9CB1"/>
    <w:rsid w:val="05427052"/>
    <w:rsid w:val="054E66F5"/>
    <w:rsid w:val="055056DA"/>
    <w:rsid w:val="05538BA2"/>
    <w:rsid w:val="05595E2C"/>
    <w:rsid w:val="055D99AE"/>
    <w:rsid w:val="0568C195"/>
    <w:rsid w:val="0569B31D"/>
    <w:rsid w:val="056E359F"/>
    <w:rsid w:val="057D56B7"/>
    <w:rsid w:val="05820584"/>
    <w:rsid w:val="0583A1EB"/>
    <w:rsid w:val="0589E64A"/>
    <w:rsid w:val="058C907F"/>
    <w:rsid w:val="058DEEFA"/>
    <w:rsid w:val="0590523D"/>
    <w:rsid w:val="0591B4B4"/>
    <w:rsid w:val="0591EBDD"/>
    <w:rsid w:val="0594E258"/>
    <w:rsid w:val="0598A327"/>
    <w:rsid w:val="059CFD83"/>
    <w:rsid w:val="059D7264"/>
    <w:rsid w:val="059FEB10"/>
    <w:rsid w:val="05A25A20"/>
    <w:rsid w:val="05A65469"/>
    <w:rsid w:val="05A79D72"/>
    <w:rsid w:val="05AAACE5"/>
    <w:rsid w:val="05AEF795"/>
    <w:rsid w:val="05B4C252"/>
    <w:rsid w:val="05B79DE7"/>
    <w:rsid w:val="05B7FB7F"/>
    <w:rsid w:val="05B8F472"/>
    <w:rsid w:val="05B99899"/>
    <w:rsid w:val="05BBD353"/>
    <w:rsid w:val="05C274B8"/>
    <w:rsid w:val="05C39A4E"/>
    <w:rsid w:val="05C67C48"/>
    <w:rsid w:val="05C69793"/>
    <w:rsid w:val="05C9DB8F"/>
    <w:rsid w:val="05D1375D"/>
    <w:rsid w:val="05D597A7"/>
    <w:rsid w:val="05D60C6B"/>
    <w:rsid w:val="05D996C6"/>
    <w:rsid w:val="05DA4AF8"/>
    <w:rsid w:val="05DF70E5"/>
    <w:rsid w:val="05E17160"/>
    <w:rsid w:val="05E50F6B"/>
    <w:rsid w:val="05EA78C2"/>
    <w:rsid w:val="05ECA100"/>
    <w:rsid w:val="05ED8CB0"/>
    <w:rsid w:val="05F0D4B3"/>
    <w:rsid w:val="05F15C89"/>
    <w:rsid w:val="05F170C9"/>
    <w:rsid w:val="05F4E8FD"/>
    <w:rsid w:val="05F63A1E"/>
    <w:rsid w:val="05FDE3C8"/>
    <w:rsid w:val="05FDE990"/>
    <w:rsid w:val="05FF4E0F"/>
    <w:rsid w:val="0601AEB4"/>
    <w:rsid w:val="06175D10"/>
    <w:rsid w:val="061A0A4F"/>
    <w:rsid w:val="0623D50B"/>
    <w:rsid w:val="062590F3"/>
    <w:rsid w:val="0626E936"/>
    <w:rsid w:val="06289CF6"/>
    <w:rsid w:val="062963E8"/>
    <w:rsid w:val="062C8741"/>
    <w:rsid w:val="063777E8"/>
    <w:rsid w:val="063A7F7C"/>
    <w:rsid w:val="06408882"/>
    <w:rsid w:val="06413EF0"/>
    <w:rsid w:val="0643BF55"/>
    <w:rsid w:val="06521019"/>
    <w:rsid w:val="06551797"/>
    <w:rsid w:val="0655D58B"/>
    <w:rsid w:val="0659A5DC"/>
    <w:rsid w:val="065DAD4B"/>
    <w:rsid w:val="065EE3D4"/>
    <w:rsid w:val="065F36B9"/>
    <w:rsid w:val="0662A101"/>
    <w:rsid w:val="0665863F"/>
    <w:rsid w:val="06690C15"/>
    <w:rsid w:val="06695088"/>
    <w:rsid w:val="066BAC58"/>
    <w:rsid w:val="066BB263"/>
    <w:rsid w:val="06774167"/>
    <w:rsid w:val="0679ED0A"/>
    <w:rsid w:val="067F5DA4"/>
    <w:rsid w:val="06845FC6"/>
    <w:rsid w:val="06929095"/>
    <w:rsid w:val="0694CD67"/>
    <w:rsid w:val="0695E527"/>
    <w:rsid w:val="069BC2F8"/>
    <w:rsid w:val="069D33A5"/>
    <w:rsid w:val="069DD74A"/>
    <w:rsid w:val="069FC46D"/>
    <w:rsid w:val="06A7C321"/>
    <w:rsid w:val="06ACAC38"/>
    <w:rsid w:val="06AE01F7"/>
    <w:rsid w:val="06B08A9A"/>
    <w:rsid w:val="06B2CBDD"/>
    <w:rsid w:val="06B42295"/>
    <w:rsid w:val="06B9920B"/>
    <w:rsid w:val="06BBC4E8"/>
    <w:rsid w:val="06BEDC96"/>
    <w:rsid w:val="06BFE306"/>
    <w:rsid w:val="06C49502"/>
    <w:rsid w:val="06CBB51A"/>
    <w:rsid w:val="06D1109B"/>
    <w:rsid w:val="06D34598"/>
    <w:rsid w:val="06E2D374"/>
    <w:rsid w:val="06E71CEC"/>
    <w:rsid w:val="06E9D4C3"/>
    <w:rsid w:val="06F38448"/>
    <w:rsid w:val="06F90813"/>
    <w:rsid w:val="06FBC268"/>
    <w:rsid w:val="06FC20FB"/>
    <w:rsid w:val="06FDD89C"/>
    <w:rsid w:val="06FE2177"/>
    <w:rsid w:val="07071A70"/>
    <w:rsid w:val="0708C133"/>
    <w:rsid w:val="0708F8CA"/>
    <w:rsid w:val="070B2800"/>
    <w:rsid w:val="070C09FB"/>
    <w:rsid w:val="0710E6C6"/>
    <w:rsid w:val="07181B22"/>
    <w:rsid w:val="071C5373"/>
    <w:rsid w:val="071F4A28"/>
    <w:rsid w:val="0726C1DA"/>
    <w:rsid w:val="072B0D18"/>
    <w:rsid w:val="072F277F"/>
    <w:rsid w:val="07330887"/>
    <w:rsid w:val="0735834A"/>
    <w:rsid w:val="07370E05"/>
    <w:rsid w:val="0737D427"/>
    <w:rsid w:val="073C9AAE"/>
    <w:rsid w:val="0740AA6E"/>
    <w:rsid w:val="074804BF"/>
    <w:rsid w:val="0757605F"/>
    <w:rsid w:val="07613FA2"/>
    <w:rsid w:val="07614334"/>
    <w:rsid w:val="0763B3F1"/>
    <w:rsid w:val="0765B14A"/>
    <w:rsid w:val="0767C184"/>
    <w:rsid w:val="0767C454"/>
    <w:rsid w:val="07689B8F"/>
    <w:rsid w:val="076BCB39"/>
    <w:rsid w:val="0778C3AB"/>
    <w:rsid w:val="077A9B7C"/>
    <w:rsid w:val="077BCADA"/>
    <w:rsid w:val="0780AC52"/>
    <w:rsid w:val="07816388"/>
    <w:rsid w:val="07894B5E"/>
    <w:rsid w:val="078B6039"/>
    <w:rsid w:val="078FBE28"/>
    <w:rsid w:val="07917109"/>
    <w:rsid w:val="0797D0B1"/>
    <w:rsid w:val="079D6CBE"/>
    <w:rsid w:val="07AF000C"/>
    <w:rsid w:val="07AF34DC"/>
    <w:rsid w:val="07B2A68D"/>
    <w:rsid w:val="07C12E0B"/>
    <w:rsid w:val="07C2A17E"/>
    <w:rsid w:val="07C3A020"/>
    <w:rsid w:val="07C413A0"/>
    <w:rsid w:val="07C62266"/>
    <w:rsid w:val="07C83835"/>
    <w:rsid w:val="07CED010"/>
    <w:rsid w:val="07D20961"/>
    <w:rsid w:val="07D34BB0"/>
    <w:rsid w:val="07D454CE"/>
    <w:rsid w:val="07D5868F"/>
    <w:rsid w:val="07D906BD"/>
    <w:rsid w:val="07DA2314"/>
    <w:rsid w:val="07FBB50A"/>
    <w:rsid w:val="0804BD5D"/>
    <w:rsid w:val="080AC731"/>
    <w:rsid w:val="081818C3"/>
    <w:rsid w:val="0819DA44"/>
    <w:rsid w:val="081AD7B2"/>
    <w:rsid w:val="081F4973"/>
    <w:rsid w:val="0820F4A8"/>
    <w:rsid w:val="0824B133"/>
    <w:rsid w:val="08301CBD"/>
    <w:rsid w:val="08316348"/>
    <w:rsid w:val="08344123"/>
    <w:rsid w:val="08352485"/>
    <w:rsid w:val="0835BB5B"/>
    <w:rsid w:val="083A0C69"/>
    <w:rsid w:val="083C38FA"/>
    <w:rsid w:val="083DD501"/>
    <w:rsid w:val="0841064E"/>
    <w:rsid w:val="0841E794"/>
    <w:rsid w:val="08431156"/>
    <w:rsid w:val="08447D85"/>
    <w:rsid w:val="0853094A"/>
    <w:rsid w:val="0854DB0B"/>
    <w:rsid w:val="085FF323"/>
    <w:rsid w:val="0864BD78"/>
    <w:rsid w:val="086D187F"/>
    <w:rsid w:val="086E7A05"/>
    <w:rsid w:val="086E984F"/>
    <w:rsid w:val="08764D83"/>
    <w:rsid w:val="08780D83"/>
    <w:rsid w:val="087FDFF2"/>
    <w:rsid w:val="0886E37F"/>
    <w:rsid w:val="088AB707"/>
    <w:rsid w:val="088FE5D3"/>
    <w:rsid w:val="08923D64"/>
    <w:rsid w:val="08928E9A"/>
    <w:rsid w:val="08957A92"/>
    <w:rsid w:val="089B8920"/>
    <w:rsid w:val="089BE0B5"/>
    <w:rsid w:val="089CA63D"/>
    <w:rsid w:val="08A71BB0"/>
    <w:rsid w:val="08A7662F"/>
    <w:rsid w:val="08AAF2D9"/>
    <w:rsid w:val="08B2124B"/>
    <w:rsid w:val="08B342E6"/>
    <w:rsid w:val="08BDB984"/>
    <w:rsid w:val="08BF6024"/>
    <w:rsid w:val="08C3B1F3"/>
    <w:rsid w:val="08C89D18"/>
    <w:rsid w:val="08D30573"/>
    <w:rsid w:val="08D34B3A"/>
    <w:rsid w:val="08D48938"/>
    <w:rsid w:val="08D6E8A4"/>
    <w:rsid w:val="08E6F44D"/>
    <w:rsid w:val="08EBD3AE"/>
    <w:rsid w:val="08EE36C7"/>
    <w:rsid w:val="08F2970C"/>
    <w:rsid w:val="08F2D467"/>
    <w:rsid w:val="08F3A848"/>
    <w:rsid w:val="08F5F8AE"/>
    <w:rsid w:val="0903688C"/>
    <w:rsid w:val="0905CE5D"/>
    <w:rsid w:val="090FD0C3"/>
    <w:rsid w:val="0914BC60"/>
    <w:rsid w:val="09155571"/>
    <w:rsid w:val="091A6FA6"/>
    <w:rsid w:val="091E9584"/>
    <w:rsid w:val="09246FB2"/>
    <w:rsid w:val="09251987"/>
    <w:rsid w:val="0926EF6B"/>
    <w:rsid w:val="092FA7D8"/>
    <w:rsid w:val="0931AF3A"/>
    <w:rsid w:val="0932B806"/>
    <w:rsid w:val="093C1F9B"/>
    <w:rsid w:val="093CA049"/>
    <w:rsid w:val="093CA523"/>
    <w:rsid w:val="094009CA"/>
    <w:rsid w:val="09401F7E"/>
    <w:rsid w:val="0946A876"/>
    <w:rsid w:val="095672D0"/>
    <w:rsid w:val="0956A11A"/>
    <w:rsid w:val="09598527"/>
    <w:rsid w:val="095D64F4"/>
    <w:rsid w:val="096E4BF0"/>
    <w:rsid w:val="0989AC7A"/>
    <w:rsid w:val="098A5337"/>
    <w:rsid w:val="098AF0A3"/>
    <w:rsid w:val="098E4320"/>
    <w:rsid w:val="0990CF01"/>
    <w:rsid w:val="09919CBA"/>
    <w:rsid w:val="09930774"/>
    <w:rsid w:val="099A8B02"/>
    <w:rsid w:val="099F2085"/>
    <w:rsid w:val="09A07165"/>
    <w:rsid w:val="09A4F217"/>
    <w:rsid w:val="09A8AC33"/>
    <w:rsid w:val="09ADA42F"/>
    <w:rsid w:val="09B0C029"/>
    <w:rsid w:val="09B220B9"/>
    <w:rsid w:val="09B5E926"/>
    <w:rsid w:val="09B958D9"/>
    <w:rsid w:val="09BC81AB"/>
    <w:rsid w:val="09C522DF"/>
    <w:rsid w:val="09C9355D"/>
    <w:rsid w:val="09D9D268"/>
    <w:rsid w:val="09E14149"/>
    <w:rsid w:val="09E2523F"/>
    <w:rsid w:val="09EE1BAA"/>
    <w:rsid w:val="09EFCE61"/>
    <w:rsid w:val="09F203B1"/>
    <w:rsid w:val="09F2CD06"/>
    <w:rsid w:val="09F6C963"/>
    <w:rsid w:val="09F80BCE"/>
    <w:rsid w:val="09F98E92"/>
    <w:rsid w:val="09FA77DF"/>
    <w:rsid w:val="0A050896"/>
    <w:rsid w:val="0A088B4B"/>
    <w:rsid w:val="0A0C65D0"/>
    <w:rsid w:val="0A110BCE"/>
    <w:rsid w:val="0A166A65"/>
    <w:rsid w:val="0A17A891"/>
    <w:rsid w:val="0A1B395F"/>
    <w:rsid w:val="0A1BADE1"/>
    <w:rsid w:val="0A1E202F"/>
    <w:rsid w:val="0A23CFAB"/>
    <w:rsid w:val="0A324DC2"/>
    <w:rsid w:val="0A36B2D4"/>
    <w:rsid w:val="0A42E5FF"/>
    <w:rsid w:val="0A45078D"/>
    <w:rsid w:val="0A463293"/>
    <w:rsid w:val="0A46D77B"/>
    <w:rsid w:val="0A54656C"/>
    <w:rsid w:val="0A5D2831"/>
    <w:rsid w:val="0A5E99E5"/>
    <w:rsid w:val="0A5EF455"/>
    <w:rsid w:val="0A654DBA"/>
    <w:rsid w:val="0A6D0E65"/>
    <w:rsid w:val="0A71DC09"/>
    <w:rsid w:val="0A768F59"/>
    <w:rsid w:val="0A7912EC"/>
    <w:rsid w:val="0A7B75B6"/>
    <w:rsid w:val="0A7F241D"/>
    <w:rsid w:val="0A82C630"/>
    <w:rsid w:val="0A84A10F"/>
    <w:rsid w:val="0A84E74E"/>
    <w:rsid w:val="0A861CCE"/>
    <w:rsid w:val="0A8A3135"/>
    <w:rsid w:val="0A928C0B"/>
    <w:rsid w:val="0A95E4B6"/>
    <w:rsid w:val="0A96CC66"/>
    <w:rsid w:val="0A9719E7"/>
    <w:rsid w:val="0AAAA758"/>
    <w:rsid w:val="0AB03183"/>
    <w:rsid w:val="0AB80A95"/>
    <w:rsid w:val="0ABC6AAE"/>
    <w:rsid w:val="0ABF5D8C"/>
    <w:rsid w:val="0AC015A7"/>
    <w:rsid w:val="0AC0D69A"/>
    <w:rsid w:val="0ACD07BC"/>
    <w:rsid w:val="0ACFDF9E"/>
    <w:rsid w:val="0AD14B94"/>
    <w:rsid w:val="0AD80168"/>
    <w:rsid w:val="0ADC16DF"/>
    <w:rsid w:val="0AE46B52"/>
    <w:rsid w:val="0AE50BC3"/>
    <w:rsid w:val="0AE6E561"/>
    <w:rsid w:val="0AF0181D"/>
    <w:rsid w:val="0AF027AD"/>
    <w:rsid w:val="0AF38D86"/>
    <w:rsid w:val="0AF4DE1E"/>
    <w:rsid w:val="0AF762EC"/>
    <w:rsid w:val="0AF90FD6"/>
    <w:rsid w:val="0B1514AE"/>
    <w:rsid w:val="0B1FDB96"/>
    <w:rsid w:val="0B28ED68"/>
    <w:rsid w:val="0B295699"/>
    <w:rsid w:val="0B2AD71E"/>
    <w:rsid w:val="0B2C91FF"/>
    <w:rsid w:val="0B30353A"/>
    <w:rsid w:val="0B35200F"/>
    <w:rsid w:val="0B360A45"/>
    <w:rsid w:val="0B389037"/>
    <w:rsid w:val="0B4087C0"/>
    <w:rsid w:val="0B418F43"/>
    <w:rsid w:val="0B49183F"/>
    <w:rsid w:val="0B555D6A"/>
    <w:rsid w:val="0B55FC04"/>
    <w:rsid w:val="0B5734D7"/>
    <w:rsid w:val="0B57A0A2"/>
    <w:rsid w:val="0B57ABDE"/>
    <w:rsid w:val="0B5FB965"/>
    <w:rsid w:val="0B622794"/>
    <w:rsid w:val="0B64A934"/>
    <w:rsid w:val="0B6A083D"/>
    <w:rsid w:val="0B73F839"/>
    <w:rsid w:val="0B795312"/>
    <w:rsid w:val="0B7A296C"/>
    <w:rsid w:val="0B812294"/>
    <w:rsid w:val="0B86C244"/>
    <w:rsid w:val="0B89C3C5"/>
    <w:rsid w:val="0B8DB3BC"/>
    <w:rsid w:val="0B98CF3E"/>
    <w:rsid w:val="0B9B984E"/>
    <w:rsid w:val="0B9BC2F0"/>
    <w:rsid w:val="0B9F098B"/>
    <w:rsid w:val="0BA3C21C"/>
    <w:rsid w:val="0BA5DC7E"/>
    <w:rsid w:val="0BAAF661"/>
    <w:rsid w:val="0BAF3AA7"/>
    <w:rsid w:val="0BB49C53"/>
    <w:rsid w:val="0BBB19FB"/>
    <w:rsid w:val="0BBB571C"/>
    <w:rsid w:val="0BBFA7CF"/>
    <w:rsid w:val="0BC03991"/>
    <w:rsid w:val="0BC5C50E"/>
    <w:rsid w:val="0BC6CCEB"/>
    <w:rsid w:val="0BCF78BA"/>
    <w:rsid w:val="0BD0F52D"/>
    <w:rsid w:val="0BE09EAC"/>
    <w:rsid w:val="0BE222C6"/>
    <w:rsid w:val="0BE25220"/>
    <w:rsid w:val="0BE7302A"/>
    <w:rsid w:val="0BF6D2EC"/>
    <w:rsid w:val="0BF8C55A"/>
    <w:rsid w:val="0BFB8D96"/>
    <w:rsid w:val="0C01F7A1"/>
    <w:rsid w:val="0C109250"/>
    <w:rsid w:val="0C16469F"/>
    <w:rsid w:val="0C17822A"/>
    <w:rsid w:val="0C186721"/>
    <w:rsid w:val="0C1D0E28"/>
    <w:rsid w:val="0C1E597C"/>
    <w:rsid w:val="0C205856"/>
    <w:rsid w:val="0C216944"/>
    <w:rsid w:val="0C218ADE"/>
    <w:rsid w:val="0C295B7C"/>
    <w:rsid w:val="0C2BB549"/>
    <w:rsid w:val="0C2EE6F2"/>
    <w:rsid w:val="0C362FF0"/>
    <w:rsid w:val="0C36F276"/>
    <w:rsid w:val="0C3EC74F"/>
    <w:rsid w:val="0C4141A1"/>
    <w:rsid w:val="0C470C8B"/>
    <w:rsid w:val="0C5278BD"/>
    <w:rsid w:val="0C56FEA2"/>
    <w:rsid w:val="0C5A8B0A"/>
    <w:rsid w:val="0C5F1D26"/>
    <w:rsid w:val="0C65BFD0"/>
    <w:rsid w:val="0C69CA2C"/>
    <w:rsid w:val="0C6B2BBD"/>
    <w:rsid w:val="0C6BD7A6"/>
    <w:rsid w:val="0C6DCCA5"/>
    <w:rsid w:val="0C73A993"/>
    <w:rsid w:val="0C757961"/>
    <w:rsid w:val="0C75E946"/>
    <w:rsid w:val="0C7F84F9"/>
    <w:rsid w:val="0C86CC18"/>
    <w:rsid w:val="0C8A13A9"/>
    <w:rsid w:val="0C8A6F4E"/>
    <w:rsid w:val="0C8E9561"/>
    <w:rsid w:val="0C930EC6"/>
    <w:rsid w:val="0C945C9C"/>
    <w:rsid w:val="0C993352"/>
    <w:rsid w:val="0C995DD5"/>
    <w:rsid w:val="0C9ACB03"/>
    <w:rsid w:val="0C9B4C46"/>
    <w:rsid w:val="0C9B8EB6"/>
    <w:rsid w:val="0C9C1B56"/>
    <w:rsid w:val="0CA138C8"/>
    <w:rsid w:val="0CA700EF"/>
    <w:rsid w:val="0CA7A01C"/>
    <w:rsid w:val="0CAFCD69"/>
    <w:rsid w:val="0CB46746"/>
    <w:rsid w:val="0CB65D40"/>
    <w:rsid w:val="0CCA7DA2"/>
    <w:rsid w:val="0CD1416B"/>
    <w:rsid w:val="0CD2691A"/>
    <w:rsid w:val="0CD62839"/>
    <w:rsid w:val="0CD6CFB0"/>
    <w:rsid w:val="0CD7FBC1"/>
    <w:rsid w:val="0CE345DE"/>
    <w:rsid w:val="0CE6A090"/>
    <w:rsid w:val="0CE8349B"/>
    <w:rsid w:val="0CEA9F82"/>
    <w:rsid w:val="0CEF710E"/>
    <w:rsid w:val="0CEFBE07"/>
    <w:rsid w:val="0CF0F40A"/>
    <w:rsid w:val="0CF181FF"/>
    <w:rsid w:val="0CF2287E"/>
    <w:rsid w:val="0CF380FE"/>
    <w:rsid w:val="0CF5A916"/>
    <w:rsid w:val="0CFEE786"/>
    <w:rsid w:val="0D04AA72"/>
    <w:rsid w:val="0D0550C4"/>
    <w:rsid w:val="0D0C2E03"/>
    <w:rsid w:val="0D0EB076"/>
    <w:rsid w:val="0D0EB2C5"/>
    <w:rsid w:val="0D106F45"/>
    <w:rsid w:val="0D10EDA7"/>
    <w:rsid w:val="0D1525E5"/>
    <w:rsid w:val="0D15524D"/>
    <w:rsid w:val="0D1E47F9"/>
    <w:rsid w:val="0D200902"/>
    <w:rsid w:val="0D35C2C6"/>
    <w:rsid w:val="0D38809B"/>
    <w:rsid w:val="0D3F78CC"/>
    <w:rsid w:val="0D4025F2"/>
    <w:rsid w:val="0D4296C9"/>
    <w:rsid w:val="0D43054B"/>
    <w:rsid w:val="0D45E030"/>
    <w:rsid w:val="0D4840B6"/>
    <w:rsid w:val="0D4B8809"/>
    <w:rsid w:val="0D4BDF74"/>
    <w:rsid w:val="0D4EA144"/>
    <w:rsid w:val="0D537C34"/>
    <w:rsid w:val="0D57C82F"/>
    <w:rsid w:val="0D5B1CEE"/>
    <w:rsid w:val="0D5E1261"/>
    <w:rsid w:val="0D5F4DC5"/>
    <w:rsid w:val="0D66379C"/>
    <w:rsid w:val="0D66DDA5"/>
    <w:rsid w:val="0D6F4C48"/>
    <w:rsid w:val="0D79817E"/>
    <w:rsid w:val="0D7C3B9B"/>
    <w:rsid w:val="0D81A001"/>
    <w:rsid w:val="0D831E56"/>
    <w:rsid w:val="0D839C44"/>
    <w:rsid w:val="0D8481A9"/>
    <w:rsid w:val="0D8B30B2"/>
    <w:rsid w:val="0D8E0CC6"/>
    <w:rsid w:val="0D9AD1EB"/>
    <w:rsid w:val="0DA59DAC"/>
    <w:rsid w:val="0DA5CD9C"/>
    <w:rsid w:val="0DA65E63"/>
    <w:rsid w:val="0DAB628C"/>
    <w:rsid w:val="0DAC17DF"/>
    <w:rsid w:val="0DAC7EF6"/>
    <w:rsid w:val="0DAD8328"/>
    <w:rsid w:val="0DAD8EA1"/>
    <w:rsid w:val="0DAED0F0"/>
    <w:rsid w:val="0DB8BB07"/>
    <w:rsid w:val="0DC24881"/>
    <w:rsid w:val="0DCA776B"/>
    <w:rsid w:val="0DCDE96A"/>
    <w:rsid w:val="0DD6F36E"/>
    <w:rsid w:val="0DDAF974"/>
    <w:rsid w:val="0DDB32B2"/>
    <w:rsid w:val="0DDF4DC7"/>
    <w:rsid w:val="0DE4CC87"/>
    <w:rsid w:val="0DE652AF"/>
    <w:rsid w:val="0DED6676"/>
    <w:rsid w:val="0DF0C7EB"/>
    <w:rsid w:val="0DF6FD11"/>
    <w:rsid w:val="0DFA1032"/>
    <w:rsid w:val="0DFA37C0"/>
    <w:rsid w:val="0DFC102C"/>
    <w:rsid w:val="0DFF02D3"/>
    <w:rsid w:val="0E02FAFF"/>
    <w:rsid w:val="0E03D2B1"/>
    <w:rsid w:val="0E041B16"/>
    <w:rsid w:val="0E06374E"/>
    <w:rsid w:val="0E0657BC"/>
    <w:rsid w:val="0E07048D"/>
    <w:rsid w:val="0E070DA3"/>
    <w:rsid w:val="0E1595D1"/>
    <w:rsid w:val="0E1E6DD6"/>
    <w:rsid w:val="0E1EC109"/>
    <w:rsid w:val="0E2417C7"/>
    <w:rsid w:val="0E34B057"/>
    <w:rsid w:val="0E385806"/>
    <w:rsid w:val="0E3AA890"/>
    <w:rsid w:val="0E3DCC24"/>
    <w:rsid w:val="0E449207"/>
    <w:rsid w:val="0E4F7514"/>
    <w:rsid w:val="0E51477F"/>
    <w:rsid w:val="0E584DEB"/>
    <w:rsid w:val="0E64FF39"/>
    <w:rsid w:val="0E6A2493"/>
    <w:rsid w:val="0E790570"/>
    <w:rsid w:val="0E7BD60A"/>
    <w:rsid w:val="0E7BF0C9"/>
    <w:rsid w:val="0E7D6E39"/>
    <w:rsid w:val="0E88D17C"/>
    <w:rsid w:val="0E8B1E22"/>
    <w:rsid w:val="0E8E8511"/>
    <w:rsid w:val="0E93E6CA"/>
    <w:rsid w:val="0E98EA20"/>
    <w:rsid w:val="0EA4196A"/>
    <w:rsid w:val="0EAC2847"/>
    <w:rsid w:val="0EAE4F07"/>
    <w:rsid w:val="0EAFD650"/>
    <w:rsid w:val="0EB28DA4"/>
    <w:rsid w:val="0EC8D917"/>
    <w:rsid w:val="0ECA120C"/>
    <w:rsid w:val="0ECAF7EB"/>
    <w:rsid w:val="0ED03DE8"/>
    <w:rsid w:val="0EDE376D"/>
    <w:rsid w:val="0EDF364E"/>
    <w:rsid w:val="0EE62555"/>
    <w:rsid w:val="0EE77B72"/>
    <w:rsid w:val="0EEBE38F"/>
    <w:rsid w:val="0EEE1B50"/>
    <w:rsid w:val="0EF07409"/>
    <w:rsid w:val="0EF3052D"/>
    <w:rsid w:val="0EF60E6E"/>
    <w:rsid w:val="0EF8ECE5"/>
    <w:rsid w:val="0EFAD02A"/>
    <w:rsid w:val="0EFDA1A4"/>
    <w:rsid w:val="0F107081"/>
    <w:rsid w:val="0F129D19"/>
    <w:rsid w:val="0F1326CE"/>
    <w:rsid w:val="0F1BC7B8"/>
    <w:rsid w:val="0F1BCDCC"/>
    <w:rsid w:val="0F2067FF"/>
    <w:rsid w:val="0F220029"/>
    <w:rsid w:val="0F2862CC"/>
    <w:rsid w:val="0F2950BF"/>
    <w:rsid w:val="0F2D5150"/>
    <w:rsid w:val="0F35FAB3"/>
    <w:rsid w:val="0F426F0A"/>
    <w:rsid w:val="0F45128D"/>
    <w:rsid w:val="0F461C77"/>
    <w:rsid w:val="0F49DECB"/>
    <w:rsid w:val="0F4AAFD7"/>
    <w:rsid w:val="0F4DB3CF"/>
    <w:rsid w:val="0F50897B"/>
    <w:rsid w:val="0F51F230"/>
    <w:rsid w:val="0F52D631"/>
    <w:rsid w:val="0F57340D"/>
    <w:rsid w:val="0F5B6E4E"/>
    <w:rsid w:val="0F647D90"/>
    <w:rsid w:val="0F66BA78"/>
    <w:rsid w:val="0F6D4545"/>
    <w:rsid w:val="0F6DD795"/>
    <w:rsid w:val="0F6EE977"/>
    <w:rsid w:val="0F76568B"/>
    <w:rsid w:val="0F778F42"/>
    <w:rsid w:val="0F82FF91"/>
    <w:rsid w:val="0F857985"/>
    <w:rsid w:val="0F864E5A"/>
    <w:rsid w:val="0F87EF35"/>
    <w:rsid w:val="0F8826DA"/>
    <w:rsid w:val="0F8BDAC4"/>
    <w:rsid w:val="0F8BF263"/>
    <w:rsid w:val="0F9F0BAB"/>
    <w:rsid w:val="0FA3A463"/>
    <w:rsid w:val="0FA4BA58"/>
    <w:rsid w:val="0FA4D4BC"/>
    <w:rsid w:val="0FAA32FE"/>
    <w:rsid w:val="0FB16B4C"/>
    <w:rsid w:val="0FBB93F1"/>
    <w:rsid w:val="0FC12515"/>
    <w:rsid w:val="0FC3ECDE"/>
    <w:rsid w:val="0FD3ACA5"/>
    <w:rsid w:val="0FD6EE2A"/>
    <w:rsid w:val="0FD85764"/>
    <w:rsid w:val="0FD988D9"/>
    <w:rsid w:val="0FDB7A79"/>
    <w:rsid w:val="0FDF3784"/>
    <w:rsid w:val="0FE0AE7F"/>
    <w:rsid w:val="0FE0D7F5"/>
    <w:rsid w:val="0FE1640D"/>
    <w:rsid w:val="0FE3195E"/>
    <w:rsid w:val="0FEBFB00"/>
    <w:rsid w:val="0FF035DE"/>
    <w:rsid w:val="0FF1B00E"/>
    <w:rsid w:val="0FF52EE7"/>
    <w:rsid w:val="0FF7EC36"/>
    <w:rsid w:val="0FF93E5A"/>
    <w:rsid w:val="0FF98AB1"/>
    <w:rsid w:val="10003EE7"/>
    <w:rsid w:val="10010A86"/>
    <w:rsid w:val="1002A906"/>
    <w:rsid w:val="100B96C2"/>
    <w:rsid w:val="100E4A09"/>
    <w:rsid w:val="101179C2"/>
    <w:rsid w:val="1013E3A1"/>
    <w:rsid w:val="1017EF4F"/>
    <w:rsid w:val="101EC7C5"/>
    <w:rsid w:val="10240269"/>
    <w:rsid w:val="1028E6E1"/>
    <w:rsid w:val="102C7487"/>
    <w:rsid w:val="102D6314"/>
    <w:rsid w:val="1030D742"/>
    <w:rsid w:val="10339F63"/>
    <w:rsid w:val="10340B36"/>
    <w:rsid w:val="103C1F06"/>
    <w:rsid w:val="103FD632"/>
    <w:rsid w:val="1044349B"/>
    <w:rsid w:val="104D32FA"/>
    <w:rsid w:val="104EA685"/>
    <w:rsid w:val="1063AEBB"/>
    <w:rsid w:val="10783F18"/>
    <w:rsid w:val="107869B4"/>
    <w:rsid w:val="107BDCA2"/>
    <w:rsid w:val="108084B7"/>
    <w:rsid w:val="1085B89A"/>
    <w:rsid w:val="10861CB3"/>
    <w:rsid w:val="1087CB4F"/>
    <w:rsid w:val="108AC8C7"/>
    <w:rsid w:val="108DF83A"/>
    <w:rsid w:val="108E8A31"/>
    <w:rsid w:val="10959C97"/>
    <w:rsid w:val="109AC441"/>
    <w:rsid w:val="109E46CD"/>
    <w:rsid w:val="10A5D76B"/>
    <w:rsid w:val="10A7C41C"/>
    <w:rsid w:val="10A925EF"/>
    <w:rsid w:val="10A9B3CC"/>
    <w:rsid w:val="10B19068"/>
    <w:rsid w:val="10B27C8F"/>
    <w:rsid w:val="10B2C840"/>
    <w:rsid w:val="10B30183"/>
    <w:rsid w:val="10C086AF"/>
    <w:rsid w:val="10C4182C"/>
    <w:rsid w:val="10CE5E6B"/>
    <w:rsid w:val="10CFD10C"/>
    <w:rsid w:val="10D6B553"/>
    <w:rsid w:val="10E71F81"/>
    <w:rsid w:val="10E825F4"/>
    <w:rsid w:val="10E895BD"/>
    <w:rsid w:val="10F1BA35"/>
    <w:rsid w:val="10F36908"/>
    <w:rsid w:val="10F7A793"/>
    <w:rsid w:val="10F9D956"/>
    <w:rsid w:val="10FB1E31"/>
    <w:rsid w:val="10FEF389"/>
    <w:rsid w:val="11009BD6"/>
    <w:rsid w:val="1101E6D8"/>
    <w:rsid w:val="1107DADC"/>
    <w:rsid w:val="111028C0"/>
    <w:rsid w:val="1112A3BE"/>
    <w:rsid w:val="11169A06"/>
    <w:rsid w:val="11175AD6"/>
    <w:rsid w:val="111BA0FE"/>
    <w:rsid w:val="112474BE"/>
    <w:rsid w:val="112714DC"/>
    <w:rsid w:val="1128E020"/>
    <w:rsid w:val="112EF23B"/>
    <w:rsid w:val="1135A51C"/>
    <w:rsid w:val="11389125"/>
    <w:rsid w:val="1139CCDD"/>
    <w:rsid w:val="113CDA54"/>
    <w:rsid w:val="113D2747"/>
    <w:rsid w:val="113EAF0B"/>
    <w:rsid w:val="1148AF79"/>
    <w:rsid w:val="114BDB5C"/>
    <w:rsid w:val="114E7299"/>
    <w:rsid w:val="11528847"/>
    <w:rsid w:val="1153BD03"/>
    <w:rsid w:val="1160F504"/>
    <w:rsid w:val="11671A86"/>
    <w:rsid w:val="116DC5A1"/>
    <w:rsid w:val="116EEA55"/>
    <w:rsid w:val="116EFA52"/>
    <w:rsid w:val="11702983"/>
    <w:rsid w:val="117F4741"/>
    <w:rsid w:val="1180947D"/>
    <w:rsid w:val="11837877"/>
    <w:rsid w:val="11858AA9"/>
    <w:rsid w:val="1188D361"/>
    <w:rsid w:val="118C5370"/>
    <w:rsid w:val="1196C1A5"/>
    <w:rsid w:val="119ABEDA"/>
    <w:rsid w:val="119B5C5B"/>
    <w:rsid w:val="119D515D"/>
    <w:rsid w:val="11A3B108"/>
    <w:rsid w:val="11A5948C"/>
    <w:rsid w:val="11A64B64"/>
    <w:rsid w:val="11A70069"/>
    <w:rsid w:val="11A7C80A"/>
    <w:rsid w:val="11ABCCDC"/>
    <w:rsid w:val="11ACE8F5"/>
    <w:rsid w:val="11B05577"/>
    <w:rsid w:val="11B8E611"/>
    <w:rsid w:val="11B9463D"/>
    <w:rsid w:val="11C6DE06"/>
    <w:rsid w:val="11D4C4DB"/>
    <w:rsid w:val="11D54441"/>
    <w:rsid w:val="11D69B02"/>
    <w:rsid w:val="11E02400"/>
    <w:rsid w:val="11E6E382"/>
    <w:rsid w:val="11EE0698"/>
    <w:rsid w:val="11EF5027"/>
    <w:rsid w:val="11F232BF"/>
    <w:rsid w:val="11F48C20"/>
    <w:rsid w:val="11F805B9"/>
    <w:rsid w:val="11FAA772"/>
    <w:rsid w:val="120688C2"/>
    <w:rsid w:val="12091059"/>
    <w:rsid w:val="1212EDBC"/>
    <w:rsid w:val="1218BAA2"/>
    <w:rsid w:val="1218D99B"/>
    <w:rsid w:val="121A98EE"/>
    <w:rsid w:val="121D29F7"/>
    <w:rsid w:val="121FC392"/>
    <w:rsid w:val="1221C402"/>
    <w:rsid w:val="1224F10D"/>
    <w:rsid w:val="1225653C"/>
    <w:rsid w:val="122A4B3A"/>
    <w:rsid w:val="123382F7"/>
    <w:rsid w:val="12362891"/>
    <w:rsid w:val="123730C5"/>
    <w:rsid w:val="12382EC4"/>
    <w:rsid w:val="1239E305"/>
    <w:rsid w:val="1248E5BF"/>
    <w:rsid w:val="124CC5E7"/>
    <w:rsid w:val="124F9F4E"/>
    <w:rsid w:val="1258FBE3"/>
    <w:rsid w:val="125EB915"/>
    <w:rsid w:val="125EBBE2"/>
    <w:rsid w:val="12677EF0"/>
    <w:rsid w:val="126AD569"/>
    <w:rsid w:val="126DFDEB"/>
    <w:rsid w:val="126F98FF"/>
    <w:rsid w:val="1270D17D"/>
    <w:rsid w:val="12712577"/>
    <w:rsid w:val="12721380"/>
    <w:rsid w:val="12773B11"/>
    <w:rsid w:val="12792BA1"/>
    <w:rsid w:val="1280878D"/>
    <w:rsid w:val="12818161"/>
    <w:rsid w:val="129721F7"/>
    <w:rsid w:val="129906E5"/>
    <w:rsid w:val="12990A0F"/>
    <w:rsid w:val="129AD6B4"/>
    <w:rsid w:val="129B7430"/>
    <w:rsid w:val="129EB0B9"/>
    <w:rsid w:val="12A1E8C0"/>
    <w:rsid w:val="12A4D83D"/>
    <w:rsid w:val="12A82588"/>
    <w:rsid w:val="12AA6F94"/>
    <w:rsid w:val="12AE9AC8"/>
    <w:rsid w:val="12AF499D"/>
    <w:rsid w:val="12B13B39"/>
    <w:rsid w:val="12B2B75F"/>
    <w:rsid w:val="12BB531E"/>
    <w:rsid w:val="12BC8ACE"/>
    <w:rsid w:val="12C58443"/>
    <w:rsid w:val="12C77247"/>
    <w:rsid w:val="12CD8869"/>
    <w:rsid w:val="12D406C0"/>
    <w:rsid w:val="12D6E825"/>
    <w:rsid w:val="12DB31C1"/>
    <w:rsid w:val="12F34FD1"/>
    <w:rsid w:val="12F64ED5"/>
    <w:rsid w:val="12F7D233"/>
    <w:rsid w:val="12FD4B98"/>
    <w:rsid w:val="13000587"/>
    <w:rsid w:val="1300B00C"/>
    <w:rsid w:val="1300E513"/>
    <w:rsid w:val="13024B3F"/>
    <w:rsid w:val="13031C9D"/>
    <w:rsid w:val="13049EBB"/>
    <w:rsid w:val="130ABCEE"/>
    <w:rsid w:val="13122E9A"/>
    <w:rsid w:val="131590D3"/>
    <w:rsid w:val="131D6258"/>
    <w:rsid w:val="131F0A08"/>
    <w:rsid w:val="1324C892"/>
    <w:rsid w:val="13272DCF"/>
    <w:rsid w:val="1327C3D1"/>
    <w:rsid w:val="1328BA19"/>
    <w:rsid w:val="13380623"/>
    <w:rsid w:val="1338FF8F"/>
    <w:rsid w:val="133DAC6C"/>
    <w:rsid w:val="133F50CB"/>
    <w:rsid w:val="133FCDB9"/>
    <w:rsid w:val="1340FCC8"/>
    <w:rsid w:val="13484512"/>
    <w:rsid w:val="135B936F"/>
    <w:rsid w:val="135C54D8"/>
    <w:rsid w:val="1360F0FC"/>
    <w:rsid w:val="136751F9"/>
    <w:rsid w:val="136F5676"/>
    <w:rsid w:val="13708F86"/>
    <w:rsid w:val="13739787"/>
    <w:rsid w:val="13798081"/>
    <w:rsid w:val="137B49C0"/>
    <w:rsid w:val="137ED8FD"/>
    <w:rsid w:val="1384E326"/>
    <w:rsid w:val="1395CC54"/>
    <w:rsid w:val="139ADB3C"/>
    <w:rsid w:val="13A53887"/>
    <w:rsid w:val="13AADE4A"/>
    <w:rsid w:val="13AC1F52"/>
    <w:rsid w:val="13AF6C76"/>
    <w:rsid w:val="13B0358C"/>
    <w:rsid w:val="13B2C0B7"/>
    <w:rsid w:val="13C0D514"/>
    <w:rsid w:val="13C5DEF2"/>
    <w:rsid w:val="13C6C7A6"/>
    <w:rsid w:val="13C726B6"/>
    <w:rsid w:val="13CE61F4"/>
    <w:rsid w:val="13CEDA75"/>
    <w:rsid w:val="13DA9461"/>
    <w:rsid w:val="13DBFADD"/>
    <w:rsid w:val="13E09EFD"/>
    <w:rsid w:val="13EBC70F"/>
    <w:rsid w:val="13EF90F3"/>
    <w:rsid w:val="13F30C29"/>
    <w:rsid w:val="13F73440"/>
    <w:rsid w:val="13F9F987"/>
    <w:rsid w:val="13FE9DDB"/>
    <w:rsid w:val="1400F15A"/>
    <w:rsid w:val="1402A79B"/>
    <w:rsid w:val="140F66B0"/>
    <w:rsid w:val="1410D88E"/>
    <w:rsid w:val="14163A91"/>
    <w:rsid w:val="1417BEA8"/>
    <w:rsid w:val="141E2D3A"/>
    <w:rsid w:val="141E6BC3"/>
    <w:rsid w:val="141FFFF4"/>
    <w:rsid w:val="14203B1A"/>
    <w:rsid w:val="1425ADF3"/>
    <w:rsid w:val="142A567E"/>
    <w:rsid w:val="142D1A17"/>
    <w:rsid w:val="14301180"/>
    <w:rsid w:val="14309704"/>
    <w:rsid w:val="143255A2"/>
    <w:rsid w:val="14346A7D"/>
    <w:rsid w:val="1434BB48"/>
    <w:rsid w:val="14367F19"/>
    <w:rsid w:val="1437DA2E"/>
    <w:rsid w:val="143B3602"/>
    <w:rsid w:val="1440224E"/>
    <w:rsid w:val="14430192"/>
    <w:rsid w:val="1443FB8B"/>
    <w:rsid w:val="14461BE0"/>
    <w:rsid w:val="144871DC"/>
    <w:rsid w:val="144C8804"/>
    <w:rsid w:val="1455DEF9"/>
    <w:rsid w:val="1456D0C2"/>
    <w:rsid w:val="1465A350"/>
    <w:rsid w:val="1466DCA9"/>
    <w:rsid w:val="1476D29C"/>
    <w:rsid w:val="147CA201"/>
    <w:rsid w:val="148DC0A8"/>
    <w:rsid w:val="148F22FB"/>
    <w:rsid w:val="1495DCE4"/>
    <w:rsid w:val="149773FD"/>
    <w:rsid w:val="14978DA1"/>
    <w:rsid w:val="14983BB0"/>
    <w:rsid w:val="149A92FD"/>
    <w:rsid w:val="149AFD68"/>
    <w:rsid w:val="14A260DB"/>
    <w:rsid w:val="14A58F30"/>
    <w:rsid w:val="14ACC1F3"/>
    <w:rsid w:val="14AEFDCA"/>
    <w:rsid w:val="14B02918"/>
    <w:rsid w:val="14B7E76F"/>
    <w:rsid w:val="14BAC6AF"/>
    <w:rsid w:val="14C693F7"/>
    <w:rsid w:val="14C97253"/>
    <w:rsid w:val="14CA7C3F"/>
    <w:rsid w:val="14D76D16"/>
    <w:rsid w:val="14DB5CB3"/>
    <w:rsid w:val="14DCC1D3"/>
    <w:rsid w:val="14DE2C31"/>
    <w:rsid w:val="14E567DB"/>
    <w:rsid w:val="14E8E65D"/>
    <w:rsid w:val="14EE78FB"/>
    <w:rsid w:val="14F4F4F4"/>
    <w:rsid w:val="14FD312F"/>
    <w:rsid w:val="14FF0E37"/>
    <w:rsid w:val="1501FF43"/>
    <w:rsid w:val="15029337"/>
    <w:rsid w:val="150B7B05"/>
    <w:rsid w:val="150BF5BA"/>
    <w:rsid w:val="150CAAC1"/>
    <w:rsid w:val="150F593C"/>
    <w:rsid w:val="15100217"/>
    <w:rsid w:val="15163C51"/>
    <w:rsid w:val="15173334"/>
    <w:rsid w:val="1518D66F"/>
    <w:rsid w:val="151AA8B4"/>
    <w:rsid w:val="151C5829"/>
    <w:rsid w:val="151D198D"/>
    <w:rsid w:val="151F8786"/>
    <w:rsid w:val="151FD23E"/>
    <w:rsid w:val="1524876E"/>
    <w:rsid w:val="152AABE3"/>
    <w:rsid w:val="152B9CD0"/>
    <w:rsid w:val="1533CB4F"/>
    <w:rsid w:val="1535DAF5"/>
    <w:rsid w:val="1535E470"/>
    <w:rsid w:val="154B7A4B"/>
    <w:rsid w:val="15509582"/>
    <w:rsid w:val="1550DB00"/>
    <w:rsid w:val="155471D6"/>
    <w:rsid w:val="1554F747"/>
    <w:rsid w:val="1555AC11"/>
    <w:rsid w:val="15563411"/>
    <w:rsid w:val="155DEFB2"/>
    <w:rsid w:val="155EEDCB"/>
    <w:rsid w:val="15607C82"/>
    <w:rsid w:val="15686FAA"/>
    <w:rsid w:val="156AC226"/>
    <w:rsid w:val="156DA4A3"/>
    <w:rsid w:val="157427D4"/>
    <w:rsid w:val="15749A5A"/>
    <w:rsid w:val="1577A886"/>
    <w:rsid w:val="1583147C"/>
    <w:rsid w:val="15840EAD"/>
    <w:rsid w:val="158440B6"/>
    <w:rsid w:val="158475F0"/>
    <w:rsid w:val="158BEB2F"/>
    <w:rsid w:val="158C2C91"/>
    <w:rsid w:val="158D1B5E"/>
    <w:rsid w:val="158D7A90"/>
    <w:rsid w:val="158E0140"/>
    <w:rsid w:val="158EB2C6"/>
    <w:rsid w:val="1592787D"/>
    <w:rsid w:val="15987BF3"/>
    <w:rsid w:val="1599E7F2"/>
    <w:rsid w:val="159A6911"/>
    <w:rsid w:val="159DE450"/>
    <w:rsid w:val="15A71070"/>
    <w:rsid w:val="15AB3B57"/>
    <w:rsid w:val="15AD02D0"/>
    <w:rsid w:val="15B4D4F1"/>
    <w:rsid w:val="15B826E4"/>
    <w:rsid w:val="15BD09E3"/>
    <w:rsid w:val="15BD79BB"/>
    <w:rsid w:val="15C24E9D"/>
    <w:rsid w:val="15CA1E57"/>
    <w:rsid w:val="15CB3BE3"/>
    <w:rsid w:val="15D44E21"/>
    <w:rsid w:val="15D9141F"/>
    <w:rsid w:val="15E2AAAF"/>
    <w:rsid w:val="15EDDBC6"/>
    <w:rsid w:val="15F07614"/>
    <w:rsid w:val="15F149F0"/>
    <w:rsid w:val="15F4F2C0"/>
    <w:rsid w:val="15F70F3C"/>
    <w:rsid w:val="15FF3BD9"/>
    <w:rsid w:val="1602428E"/>
    <w:rsid w:val="16033A84"/>
    <w:rsid w:val="16078259"/>
    <w:rsid w:val="1607ED3E"/>
    <w:rsid w:val="160EA00D"/>
    <w:rsid w:val="16116650"/>
    <w:rsid w:val="1615543A"/>
    <w:rsid w:val="16178ECE"/>
    <w:rsid w:val="1618FF68"/>
    <w:rsid w:val="161D4E17"/>
    <w:rsid w:val="161E1F8E"/>
    <w:rsid w:val="16213F52"/>
    <w:rsid w:val="16294554"/>
    <w:rsid w:val="162A1E0F"/>
    <w:rsid w:val="162C477C"/>
    <w:rsid w:val="162D3DFF"/>
    <w:rsid w:val="162F140F"/>
    <w:rsid w:val="163A223C"/>
    <w:rsid w:val="16454F97"/>
    <w:rsid w:val="16463B31"/>
    <w:rsid w:val="16494083"/>
    <w:rsid w:val="1649AAF2"/>
    <w:rsid w:val="164AD68E"/>
    <w:rsid w:val="1651887D"/>
    <w:rsid w:val="165799CF"/>
    <w:rsid w:val="1658B4FB"/>
    <w:rsid w:val="165F56F8"/>
    <w:rsid w:val="1660DE76"/>
    <w:rsid w:val="1665E8BF"/>
    <w:rsid w:val="16694314"/>
    <w:rsid w:val="166A7F51"/>
    <w:rsid w:val="1679CB4C"/>
    <w:rsid w:val="167AACF8"/>
    <w:rsid w:val="1684862A"/>
    <w:rsid w:val="1684F444"/>
    <w:rsid w:val="1688B92C"/>
    <w:rsid w:val="1690D4CC"/>
    <w:rsid w:val="16996115"/>
    <w:rsid w:val="169D4F1C"/>
    <w:rsid w:val="16A001CC"/>
    <w:rsid w:val="16A68974"/>
    <w:rsid w:val="16B65C2F"/>
    <w:rsid w:val="16B6D89F"/>
    <w:rsid w:val="16B76314"/>
    <w:rsid w:val="16C1A505"/>
    <w:rsid w:val="16C1D2FD"/>
    <w:rsid w:val="16C2590F"/>
    <w:rsid w:val="16C55F91"/>
    <w:rsid w:val="16CA89E0"/>
    <w:rsid w:val="16D49DAB"/>
    <w:rsid w:val="16D4B4F5"/>
    <w:rsid w:val="16D7980D"/>
    <w:rsid w:val="16D8BBF6"/>
    <w:rsid w:val="16D97A7D"/>
    <w:rsid w:val="16DF63CD"/>
    <w:rsid w:val="16E50564"/>
    <w:rsid w:val="16E9D30A"/>
    <w:rsid w:val="16E9DCE4"/>
    <w:rsid w:val="16EDACD1"/>
    <w:rsid w:val="16F1E36B"/>
    <w:rsid w:val="16F39520"/>
    <w:rsid w:val="16F757FF"/>
    <w:rsid w:val="16F9A929"/>
    <w:rsid w:val="16FDCAFB"/>
    <w:rsid w:val="1702224E"/>
    <w:rsid w:val="1705CA38"/>
    <w:rsid w:val="17093507"/>
    <w:rsid w:val="170D15E4"/>
    <w:rsid w:val="170E1A79"/>
    <w:rsid w:val="17115B5E"/>
    <w:rsid w:val="171A45AA"/>
    <w:rsid w:val="1724DB05"/>
    <w:rsid w:val="1725BB74"/>
    <w:rsid w:val="1739D88E"/>
    <w:rsid w:val="174290B1"/>
    <w:rsid w:val="17494731"/>
    <w:rsid w:val="174C8C75"/>
    <w:rsid w:val="174F3189"/>
    <w:rsid w:val="1752A632"/>
    <w:rsid w:val="17541EA4"/>
    <w:rsid w:val="175BD5D6"/>
    <w:rsid w:val="175EEA87"/>
    <w:rsid w:val="1760FF68"/>
    <w:rsid w:val="176428F4"/>
    <w:rsid w:val="1769E971"/>
    <w:rsid w:val="176CBFFB"/>
    <w:rsid w:val="17733F0E"/>
    <w:rsid w:val="17764EC4"/>
    <w:rsid w:val="1778846C"/>
    <w:rsid w:val="177C9A24"/>
    <w:rsid w:val="17860D95"/>
    <w:rsid w:val="1787F8EC"/>
    <w:rsid w:val="178EB56C"/>
    <w:rsid w:val="17978992"/>
    <w:rsid w:val="17981CB6"/>
    <w:rsid w:val="179A4631"/>
    <w:rsid w:val="179C4CB4"/>
    <w:rsid w:val="179E5B77"/>
    <w:rsid w:val="17A0672E"/>
    <w:rsid w:val="17A7CBA5"/>
    <w:rsid w:val="17AB97A6"/>
    <w:rsid w:val="17AC2987"/>
    <w:rsid w:val="17B167D0"/>
    <w:rsid w:val="17B75801"/>
    <w:rsid w:val="17B7CA68"/>
    <w:rsid w:val="17BA13FC"/>
    <w:rsid w:val="17BCF068"/>
    <w:rsid w:val="17BF5607"/>
    <w:rsid w:val="17C29321"/>
    <w:rsid w:val="17C56111"/>
    <w:rsid w:val="17C5D5E0"/>
    <w:rsid w:val="17C7A7DE"/>
    <w:rsid w:val="17D35ADE"/>
    <w:rsid w:val="17D84986"/>
    <w:rsid w:val="17DF54E0"/>
    <w:rsid w:val="17E61EC1"/>
    <w:rsid w:val="17F0D806"/>
    <w:rsid w:val="17F1324E"/>
    <w:rsid w:val="17F71070"/>
    <w:rsid w:val="17FAF8DC"/>
    <w:rsid w:val="18001A9C"/>
    <w:rsid w:val="180C20C7"/>
    <w:rsid w:val="180CAFF5"/>
    <w:rsid w:val="18165FD7"/>
    <w:rsid w:val="18192BB1"/>
    <w:rsid w:val="18208841"/>
    <w:rsid w:val="1821336D"/>
    <w:rsid w:val="18220F2C"/>
    <w:rsid w:val="182236A7"/>
    <w:rsid w:val="1825DEEC"/>
    <w:rsid w:val="182DBC1B"/>
    <w:rsid w:val="18309585"/>
    <w:rsid w:val="18422420"/>
    <w:rsid w:val="18453DA0"/>
    <w:rsid w:val="18475A2B"/>
    <w:rsid w:val="1847EE50"/>
    <w:rsid w:val="184921AF"/>
    <w:rsid w:val="184D0C50"/>
    <w:rsid w:val="185294DE"/>
    <w:rsid w:val="18607C74"/>
    <w:rsid w:val="1862848D"/>
    <w:rsid w:val="186E10D6"/>
    <w:rsid w:val="186EBDAA"/>
    <w:rsid w:val="1876A441"/>
    <w:rsid w:val="1879A4E0"/>
    <w:rsid w:val="187CB38D"/>
    <w:rsid w:val="187D1095"/>
    <w:rsid w:val="1883B8E0"/>
    <w:rsid w:val="188BD200"/>
    <w:rsid w:val="18908C02"/>
    <w:rsid w:val="1892E312"/>
    <w:rsid w:val="18979284"/>
    <w:rsid w:val="189CC9D9"/>
    <w:rsid w:val="189DC354"/>
    <w:rsid w:val="189E9967"/>
    <w:rsid w:val="18A19721"/>
    <w:rsid w:val="18AE9ED7"/>
    <w:rsid w:val="18B1688B"/>
    <w:rsid w:val="18B533A9"/>
    <w:rsid w:val="18B624D6"/>
    <w:rsid w:val="18B92D65"/>
    <w:rsid w:val="18BA999A"/>
    <w:rsid w:val="18BBD968"/>
    <w:rsid w:val="18BD88D6"/>
    <w:rsid w:val="18C1B45A"/>
    <w:rsid w:val="18C9589C"/>
    <w:rsid w:val="18D042D8"/>
    <w:rsid w:val="18D1CCE3"/>
    <w:rsid w:val="18D3F2E6"/>
    <w:rsid w:val="18E10593"/>
    <w:rsid w:val="18E1BE82"/>
    <w:rsid w:val="18E323BC"/>
    <w:rsid w:val="18E5955B"/>
    <w:rsid w:val="18EBA3A1"/>
    <w:rsid w:val="18EE31E3"/>
    <w:rsid w:val="18F3F9A4"/>
    <w:rsid w:val="18F63513"/>
    <w:rsid w:val="18F75079"/>
    <w:rsid w:val="18FA1F5E"/>
    <w:rsid w:val="18FE6F88"/>
    <w:rsid w:val="1904E70A"/>
    <w:rsid w:val="1909A058"/>
    <w:rsid w:val="1909CCF8"/>
    <w:rsid w:val="191043CA"/>
    <w:rsid w:val="1911A773"/>
    <w:rsid w:val="19174E41"/>
    <w:rsid w:val="19175636"/>
    <w:rsid w:val="1918F90F"/>
    <w:rsid w:val="191A125E"/>
    <w:rsid w:val="191B3F1D"/>
    <w:rsid w:val="19208B5D"/>
    <w:rsid w:val="192198B2"/>
    <w:rsid w:val="19251329"/>
    <w:rsid w:val="1926D2CD"/>
    <w:rsid w:val="1927D031"/>
    <w:rsid w:val="19330210"/>
    <w:rsid w:val="19340108"/>
    <w:rsid w:val="193FB9A1"/>
    <w:rsid w:val="19453436"/>
    <w:rsid w:val="194ED824"/>
    <w:rsid w:val="19559A99"/>
    <w:rsid w:val="1956A6D9"/>
    <w:rsid w:val="19597185"/>
    <w:rsid w:val="1959E4DD"/>
    <w:rsid w:val="195C277A"/>
    <w:rsid w:val="195F6CA1"/>
    <w:rsid w:val="19625BBC"/>
    <w:rsid w:val="1966B54F"/>
    <w:rsid w:val="1966D9E0"/>
    <w:rsid w:val="19670DDD"/>
    <w:rsid w:val="1968CD60"/>
    <w:rsid w:val="196E4642"/>
    <w:rsid w:val="197090DA"/>
    <w:rsid w:val="197449B2"/>
    <w:rsid w:val="19754671"/>
    <w:rsid w:val="1977556E"/>
    <w:rsid w:val="1978A432"/>
    <w:rsid w:val="1979230A"/>
    <w:rsid w:val="197D3609"/>
    <w:rsid w:val="19805D49"/>
    <w:rsid w:val="1982FA60"/>
    <w:rsid w:val="198524F2"/>
    <w:rsid w:val="1989D54D"/>
    <w:rsid w:val="198F4ABA"/>
    <w:rsid w:val="1991A285"/>
    <w:rsid w:val="1996E935"/>
    <w:rsid w:val="199964C4"/>
    <w:rsid w:val="199A298A"/>
    <w:rsid w:val="199C058D"/>
    <w:rsid w:val="199E9F49"/>
    <w:rsid w:val="19A03739"/>
    <w:rsid w:val="19A03F0B"/>
    <w:rsid w:val="19A27763"/>
    <w:rsid w:val="19A9DDC0"/>
    <w:rsid w:val="19ACFB42"/>
    <w:rsid w:val="19AE93DA"/>
    <w:rsid w:val="19B07D8B"/>
    <w:rsid w:val="19B2C163"/>
    <w:rsid w:val="19B2F25B"/>
    <w:rsid w:val="19BAB798"/>
    <w:rsid w:val="19BDB3C8"/>
    <w:rsid w:val="19BF5428"/>
    <w:rsid w:val="19BF6A68"/>
    <w:rsid w:val="19C02EA3"/>
    <w:rsid w:val="19C36DE7"/>
    <w:rsid w:val="19C526A3"/>
    <w:rsid w:val="19C5C496"/>
    <w:rsid w:val="19D0E247"/>
    <w:rsid w:val="19D9D35B"/>
    <w:rsid w:val="19E3228C"/>
    <w:rsid w:val="19E68AC3"/>
    <w:rsid w:val="19E72DDA"/>
    <w:rsid w:val="19E760EE"/>
    <w:rsid w:val="19EB86E1"/>
    <w:rsid w:val="19F3C146"/>
    <w:rsid w:val="19F6B9FD"/>
    <w:rsid w:val="19F81F00"/>
    <w:rsid w:val="19F8B218"/>
    <w:rsid w:val="19FAD980"/>
    <w:rsid w:val="1A00A89B"/>
    <w:rsid w:val="1A0157F0"/>
    <w:rsid w:val="1A01EFA0"/>
    <w:rsid w:val="1A03FD79"/>
    <w:rsid w:val="1A04BD40"/>
    <w:rsid w:val="1A058AFF"/>
    <w:rsid w:val="1A0646BF"/>
    <w:rsid w:val="1A07B59B"/>
    <w:rsid w:val="1A0AFC4F"/>
    <w:rsid w:val="1A0C1ADD"/>
    <w:rsid w:val="1A0DB410"/>
    <w:rsid w:val="1A0ECD8B"/>
    <w:rsid w:val="1A163734"/>
    <w:rsid w:val="1A164A23"/>
    <w:rsid w:val="1A17A71B"/>
    <w:rsid w:val="1A17C073"/>
    <w:rsid w:val="1A1B5137"/>
    <w:rsid w:val="1A1BB81F"/>
    <w:rsid w:val="1A2020B2"/>
    <w:rsid w:val="1A20ACC1"/>
    <w:rsid w:val="1A2BE943"/>
    <w:rsid w:val="1A384E33"/>
    <w:rsid w:val="1A392858"/>
    <w:rsid w:val="1A4443C4"/>
    <w:rsid w:val="1A51E1E3"/>
    <w:rsid w:val="1A5281AE"/>
    <w:rsid w:val="1A5460B8"/>
    <w:rsid w:val="1A547047"/>
    <w:rsid w:val="1A647AA5"/>
    <w:rsid w:val="1A6E049D"/>
    <w:rsid w:val="1A76E8E2"/>
    <w:rsid w:val="1A7A6B94"/>
    <w:rsid w:val="1A7AB866"/>
    <w:rsid w:val="1A7BAB85"/>
    <w:rsid w:val="1A7DA845"/>
    <w:rsid w:val="1A7DAAD3"/>
    <w:rsid w:val="1A7E0999"/>
    <w:rsid w:val="1A847B47"/>
    <w:rsid w:val="1A85797C"/>
    <w:rsid w:val="1A888F4D"/>
    <w:rsid w:val="1A8955DD"/>
    <w:rsid w:val="1A8EF77B"/>
    <w:rsid w:val="1A951C3E"/>
    <w:rsid w:val="1A96A216"/>
    <w:rsid w:val="1A974FFA"/>
    <w:rsid w:val="1AA0AAF4"/>
    <w:rsid w:val="1AA97A0A"/>
    <w:rsid w:val="1AABE924"/>
    <w:rsid w:val="1AAD8968"/>
    <w:rsid w:val="1AB4B71F"/>
    <w:rsid w:val="1ABCD227"/>
    <w:rsid w:val="1AC2283A"/>
    <w:rsid w:val="1AC3ACC3"/>
    <w:rsid w:val="1AD0C319"/>
    <w:rsid w:val="1AD2CFF0"/>
    <w:rsid w:val="1AD58728"/>
    <w:rsid w:val="1AD7B239"/>
    <w:rsid w:val="1ADA742D"/>
    <w:rsid w:val="1ADCBA38"/>
    <w:rsid w:val="1ADCF2FE"/>
    <w:rsid w:val="1AE33224"/>
    <w:rsid w:val="1AE3AC78"/>
    <w:rsid w:val="1AE3B076"/>
    <w:rsid w:val="1AE448CB"/>
    <w:rsid w:val="1AE6A597"/>
    <w:rsid w:val="1AE78325"/>
    <w:rsid w:val="1AEA1EB2"/>
    <w:rsid w:val="1AEA271E"/>
    <w:rsid w:val="1AEAE935"/>
    <w:rsid w:val="1AED594C"/>
    <w:rsid w:val="1AF16226"/>
    <w:rsid w:val="1AF6AF9C"/>
    <w:rsid w:val="1B053FB9"/>
    <w:rsid w:val="1B0954BE"/>
    <w:rsid w:val="1B108AB8"/>
    <w:rsid w:val="1B10A374"/>
    <w:rsid w:val="1B115494"/>
    <w:rsid w:val="1B1727CF"/>
    <w:rsid w:val="1B1B24B5"/>
    <w:rsid w:val="1B1B56D7"/>
    <w:rsid w:val="1B24FF02"/>
    <w:rsid w:val="1B2589BC"/>
    <w:rsid w:val="1B2599CE"/>
    <w:rsid w:val="1B2929AE"/>
    <w:rsid w:val="1B297AC7"/>
    <w:rsid w:val="1B36B458"/>
    <w:rsid w:val="1B3BFDDF"/>
    <w:rsid w:val="1B50BC6E"/>
    <w:rsid w:val="1B582C20"/>
    <w:rsid w:val="1B590D3B"/>
    <w:rsid w:val="1B59C33C"/>
    <w:rsid w:val="1B5C567F"/>
    <w:rsid w:val="1B5E7D7E"/>
    <w:rsid w:val="1B7050E8"/>
    <w:rsid w:val="1B7CE73B"/>
    <w:rsid w:val="1B825A7B"/>
    <w:rsid w:val="1B83992A"/>
    <w:rsid w:val="1B8399CC"/>
    <w:rsid w:val="1B88730E"/>
    <w:rsid w:val="1B8A9BBF"/>
    <w:rsid w:val="1B8AB3A4"/>
    <w:rsid w:val="1B92A02F"/>
    <w:rsid w:val="1B953B43"/>
    <w:rsid w:val="1BA11B8B"/>
    <w:rsid w:val="1BA287CD"/>
    <w:rsid w:val="1BA29547"/>
    <w:rsid w:val="1BA9D044"/>
    <w:rsid w:val="1BB16EC0"/>
    <w:rsid w:val="1BB9A0DD"/>
    <w:rsid w:val="1BBCA0D0"/>
    <w:rsid w:val="1BBFA2B9"/>
    <w:rsid w:val="1BC46CB0"/>
    <w:rsid w:val="1BCB717C"/>
    <w:rsid w:val="1BCB7A22"/>
    <w:rsid w:val="1BCB8B5A"/>
    <w:rsid w:val="1BD00E5E"/>
    <w:rsid w:val="1BDD7CEB"/>
    <w:rsid w:val="1BEE91CC"/>
    <w:rsid w:val="1BF0CB9E"/>
    <w:rsid w:val="1BF56DE9"/>
    <w:rsid w:val="1BFB3C74"/>
    <w:rsid w:val="1C000759"/>
    <w:rsid w:val="1C025B54"/>
    <w:rsid w:val="1C09C547"/>
    <w:rsid w:val="1C0F3FE3"/>
    <w:rsid w:val="1C1556F3"/>
    <w:rsid w:val="1C16EC7F"/>
    <w:rsid w:val="1C198FDD"/>
    <w:rsid w:val="1C1B881A"/>
    <w:rsid w:val="1C2194D9"/>
    <w:rsid w:val="1C23FB17"/>
    <w:rsid w:val="1C3D8641"/>
    <w:rsid w:val="1C4003E1"/>
    <w:rsid w:val="1C426BCD"/>
    <w:rsid w:val="1C42C896"/>
    <w:rsid w:val="1C4F0DF8"/>
    <w:rsid w:val="1C501A00"/>
    <w:rsid w:val="1C553E72"/>
    <w:rsid w:val="1C5B3EFD"/>
    <w:rsid w:val="1C5C4050"/>
    <w:rsid w:val="1C5CF09E"/>
    <w:rsid w:val="1C601CA3"/>
    <w:rsid w:val="1C650CFC"/>
    <w:rsid w:val="1C6BDDF6"/>
    <w:rsid w:val="1C6F5E9A"/>
    <w:rsid w:val="1C7EEE51"/>
    <w:rsid w:val="1C854A24"/>
    <w:rsid w:val="1C889A56"/>
    <w:rsid w:val="1C8DF79C"/>
    <w:rsid w:val="1C94B449"/>
    <w:rsid w:val="1C99F101"/>
    <w:rsid w:val="1C9B93DD"/>
    <w:rsid w:val="1CA585D6"/>
    <w:rsid w:val="1CAD30DB"/>
    <w:rsid w:val="1CADBC09"/>
    <w:rsid w:val="1CB386BD"/>
    <w:rsid w:val="1CB6C589"/>
    <w:rsid w:val="1CC45FAF"/>
    <w:rsid w:val="1CC800AB"/>
    <w:rsid w:val="1CCA9525"/>
    <w:rsid w:val="1CD4040D"/>
    <w:rsid w:val="1CDAC1FC"/>
    <w:rsid w:val="1CDCBD00"/>
    <w:rsid w:val="1CE34D49"/>
    <w:rsid w:val="1CE68D99"/>
    <w:rsid w:val="1CE89C3C"/>
    <w:rsid w:val="1CF677FA"/>
    <w:rsid w:val="1CFA088C"/>
    <w:rsid w:val="1CFA2D1A"/>
    <w:rsid w:val="1D0035C9"/>
    <w:rsid w:val="1D006292"/>
    <w:rsid w:val="1D0247EF"/>
    <w:rsid w:val="1D02EF35"/>
    <w:rsid w:val="1D04F97F"/>
    <w:rsid w:val="1D057A8F"/>
    <w:rsid w:val="1D066CA1"/>
    <w:rsid w:val="1D0AD556"/>
    <w:rsid w:val="1D0B3565"/>
    <w:rsid w:val="1D11048B"/>
    <w:rsid w:val="1D132E41"/>
    <w:rsid w:val="1D161CB3"/>
    <w:rsid w:val="1D169D5C"/>
    <w:rsid w:val="1D1BFF45"/>
    <w:rsid w:val="1D21C68F"/>
    <w:rsid w:val="1D233C89"/>
    <w:rsid w:val="1D250074"/>
    <w:rsid w:val="1D267118"/>
    <w:rsid w:val="1D26FC85"/>
    <w:rsid w:val="1D27E45A"/>
    <w:rsid w:val="1D28CDDF"/>
    <w:rsid w:val="1D3016C3"/>
    <w:rsid w:val="1D307A01"/>
    <w:rsid w:val="1D3123B7"/>
    <w:rsid w:val="1D342BC2"/>
    <w:rsid w:val="1D375234"/>
    <w:rsid w:val="1D391935"/>
    <w:rsid w:val="1D3E8E85"/>
    <w:rsid w:val="1D42515D"/>
    <w:rsid w:val="1D42AD61"/>
    <w:rsid w:val="1D42E05D"/>
    <w:rsid w:val="1D49A3C2"/>
    <w:rsid w:val="1D4CDE0D"/>
    <w:rsid w:val="1D5024A9"/>
    <w:rsid w:val="1D5F0F7B"/>
    <w:rsid w:val="1D677D10"/>
    <w:rsid w:val="1D6AE3FB"/>
    <w:rsid w:val="1D6BDA10"/>
    <w:rsid w:val="1D747345"/>
    <w:rsid w:val="1D77A8CA"/>
    <w:rsid w:val="1D790F88"/>
    <w:rsid w:val="1D79CF2B"/>
    <w:rsid w:val="1D7B568C"/>
    <w:rsid w:val="1D7BB79F"/>
    <w:rsid w:val="1D7F3CD9"/>
    <w:rsid w:val="1D81AA42"/>
    <w:rsid w:val="1D86094B"/>
    <w:rsid w:val="1D87A435"/>
    <w:rsid w:val="1D88289A"/>
    <w:rsid w:val="1D89747D"/>
    <w:rsid w:val="1D8DA146"/>
    <w:rsid w:val="1D92A218"/>
    <w:rsid w:val="1D934F0B"/>
    <w:rsid w:val="1D9D62B2"/>
    <w:rsid w:val="1DA0AC4A"/>
    <w:rsid w:val="1DA27490"/>
    <w:rsid w:val="1DA6910C"/>
    <w:rsid w:val="1DA86E77"/>
    <w:rsid w:val="1DAE617F"/>
    <w:rsid w:val="1DB24E2D"/>
    <w:rsid w:val="1DB5F3F4"/>
    <w:rsid w:val="1DBF60D6"/>
    <w:rsid w:val="1DC50D9D"/>
    <w:rsid w:val="1DCB9C48"/>
    <w:rsid w:val="1DCC377A"/>
    <w:rsid w:val="1DCF9A23"/>
    <w:rsid w:val="1DD76665"/>
    <w:rsid w:val="1DD924EC"/>
    <w:rsid w:val="1DE75FC0"/>
    <w:rsid w:val="1DEA3CE0"/>
    <w:rsid w:val="1DEB4BC3"/>
    <w:rsid w:val="1DEDB22B"/>
    <w:rsid w:val="1DF59B2A"/>
    <w:rsid w:val="1DF9D1D7"/>
    <w:rsid w:val="1E01EC0C"/>
    <w:rsid w:val="1E029901"/>
    <w:rsid w:val="1E02C0EF"/>
    <w:rsid w:val="1E037175"/>
    <w:rsid w:val="1E0590C2"/>
    <w:rsid w:val="1E1314C2"/>
    <w:rsid w:val="1E148C44"/>
    <w:rsid w:val="1E203343"/>
    <w:rsid w:val="1E205B87"/>
    <w:rsid w:val="1E228F1A"/>
    <w:rsid w:val="1E2AEC2A"/>
    <w:rsid w:val="1E2C83F4"/>
    <w:rsid w:val="1E3ACFB5"/>
    <w:rsid w:val="1E3B6FD5"/>
    <w:rsid w:val="1E3C4F7A"/>
    <w:rsid w:val="1E3C7544"/>
    <w:rsid w:val="1E44C69B"/>
    <w:rsid w:val="1E44EB74"/>
    <w:rsid w:val="1E4CFE7D"/>
    <w:rsid w:val="1E4DE1B6"/>
    <w:rsid w:val="1E4EB388"/>
    <w:rsid w:val="1E4F637B"/>
    <w:rsid w:val="1E56F292"/>
    <w:rsid w:val="1E57208E"/>
    <w:rsid w:val="1E57F1C0"/>
    <w:rsid w:val="1E5A823A"/>
    <w:rsid w:val="1E5B5E73"/>
    <w:rsid w:val="1E5E9E78"/>
    <w:rsid w:val="1E603298"/>
    <w:rsid w:val="1E61E9DC"/>
    <w:rsid w:val="1E6395DE"/>
    <w:rsid w:val="1E673FFC"/>
    <w:rsid w:val="1E68B7C1"/>
    <w:rsid w:val="1E6A09DD"/>
    <w:rsid w:val="1E6B750F"/>
    <w:rsid w:val="1E74CE0C"/>
    <w:rsid w:val="1E7AAC17"/>
    <w:rsid w:val="1E7F5AFA"/>
    <w:rsid w:val="1E82F2A0"/>
    <w:rsid w:val="1E92220D"/>
    <w:rsid w:val="1E966427"/>
    <w:rsid w:val="1E983543"/>
    <w:rsid w:val="1E9D65D2"/>
    <w:rsid w:val="1E9D6FC3"/>
    <w:rsid w:val="1EA09672"/>
    <w:rsid w:val="1EAC99BA"/>
    <w:rsid w:val="1EB047BD"/>
    <w:rsid w:val="1EB104F8"/>
    <w:rsid w:val="1EB361CA"/>
    <w:rsid w:val="1EB7E454"/>
    <w:rsid w:val="1EBD27B6"/>
    <w:rsid w:val="1EBD865A"/>
    <w:rsid w:val="1EC0363F"/>
    <w:rsid w:val="1EC0BAFF"/>
    <w:rsid w:val="1ECB7ED0"/>
    <w:rsid w:val="1ED1F7B8"/>
    <w:rsid w:val="1ED8C7B5"/>
    <w:rsid w:val="1EE108A1"/>
    <w:rsid w:val="1EE372F3"/>
    <w:rsid w:val="1EE462C2"/>
    <w:rsid w:val="1EE5DD82"/>
    <w:rsid w:val="1EE8115F"/>
    <w:rsid w:val="1EE8DC82"/>
    <w:rsid w:val="1EF895B2"/>
    <w:rsid w:val="1EFF155E"/>
    <w:rsid w:val="1F072D14"/>
    <w:rsid w:val="1F08313C"/>
    <w:rsid w:val="1F0CB25F"/>
    <w:rsid w:val="1F0CD31D"/>
    <w:rsid w:val="1F0ECC3D"/>
    <w:rsid w:val="1F131B2E"/>
    <w:rsid w:val="1F13E739"/>
    <w:rsid w:val="1F18F6C3"/>
    <w:rsid w:val="1F1F2E02"/>
    <w:rsid w:val="1F3216FD"/>
    <w:rsid w:val="1F329C66"/>
    <w:rsid w:val="1F3CAB53"/>
    <w:rsid w:val="1F3E962C"/>
    <w:rsid w:val="1F40EEA8"/>
    <w:rsid w:val="1F4179F1"/>
    <w:rsid w:val="1F43A8B5"/>
    <w:rsid w:val="1F485894"/>
    <w:rsid w:val="1F49020E"/>
    <w:rsid w:val="1F494019"/>
    <w:rsid w:val="1F4F449B"/>
    <w:rsid w:val="1F5B1F51"/>
    <w:rsid w:val="1F613754"/>
    <w:rsid w:val="1F620082"/>
    <w:rsid w:val="1F65EFFA"/>
    <w:rsid w:val="1F66019F"/>
    <w:rsid w:val="1F69AA0A"/>
    <w:rsid w:val="1F6C4D21"/>
    <w:rsid w:val="1F7B0F77"/>
    <w:rsid w:val="1F8036D8"/>
    <w:rsid w:val="1F847371"/>
    <w:rsid w:val="1F859F40"/>
    <w:rsid w:val="1F87CEF9"/>
    <w:rsid w:val="1F888911"/>
    <w:rsid w:val="1F95FBB4"/>
    <w:rsid w:val="1F968779"/>
    <w:rsid w:val="1F96BC39"/>
    <w:rsid w:val="1F99FF9B"/>
    <w:rsid w:val="1F9BB491"/>
    <w:rsid w:val="1FA7DD54"/>
    <w:rsid w:val="1FABE603"/>
    <w:rsid w:val="1FB44AC1"/>
    <w:rsid w:val="1FB7D0CC"/>
    <w:rsid w:val="1FBA2ADE"/>
    <w:rsid w:val="1FC283D5"/>
    <w:rsid w:val="1FC35AA7"/>
    <w:rsid w:val="1FCA0BD9"/>
    <w:rsid w:val="1FCFD5D7"/>
    <w:rsid w:val="1FD41FFA"/>
    <w:rsid w:val="1FD5217E"/>
    <w:rsid w:val="1FDB543D"/>
    <w:rsid w:val="1FDD381B"/>
    <w:rsid w:val="1FE0971F"/>
    <w:rsid w:val="1FECF808"/>
    <w:rsid w:val="1FF971AE"/>
    <w:rsid w:val="1FF9CEAA"/>
    <w:rsid w:val="20025867"/>
    <w:rsid w:val="200531B5"/>
    <w:rsid w:val="200A90F3"/>
    <w:rsid w:val="201608F9"/>
    <w:rsid w:val="201E4866"/>
    <w:rsid w:val="201F0F8F"/>
    <w:rsid w:val="202045A6"/>
    <w:rsid w:val="20226105"/>
    <w:rsid w:val="2023B8C3"/>
    <w:rsid w:val="202401F7"/>
    <w:rsid w:val="202467E2"/>
    <w:rsid w:val="202501EF"/>
    <w:rsid w:val="20250B9E"/>
    <w:rsid w:val="20315E0A"/>
    <w:rsid w:val="2032B73B"/>
    <w:rsid w:val="20353330"/>
    <w:rsid w:val="203B30A0"/>
    <w:rsid w:val="2040454C"/>
    <w:rsid w:val="2044F8E6"/>
    <w:rsid w:val="2045DF86"/>
    <w:rsid w:val="2048B414"/>
    <w:rsid w:val="20499779"/>
    <w:rsid w:val="204CBB9F"/>
    <w:rsid w:val="20530E35"/>
    <w:rsid w:val="205690D5"/>
    <w:rsid w:val="20598A44"/>
    <w:rsid w:val="205A97A2"/>
    <w:rsid w:val="205B4CFF"/>
    <w:rsid w:val="206270AA"/>
    <w:rsid w:val="2064C632"/>
    <w:rsid w:val="20654519"/>
    <w:rsid w:val="206DD0DD"/>
    <w:rsid w:val="206E1D87"/>
    <w:rsid w:val="2077084F"/>
    <w:rsid w:val="207C0F99"/>
    <w:rsid w:val="2083EC03"/>
    <w:rsid w:val="208648CC"/>
    <w:rsid w:val="208AA6FA"/>
    <w:rsid w:val="2093E7CA"/>
    <w:rsid w:val="20A112C2"/>
    <w:rsid w:val="20A97BF7"/>
    <w:rsid w:val="20A9CC83"/>
    <w:rsid w:val="20AAB9DE"/>
    <w:rsid w:val="20BA68C9"/>
    <w:rsid w:val="20BF76B1"/>
    <w:rsid w:val="20CC2412"/>
    <w:rsid w:val="20D59507"/>
    <w:rsid w:val="20D8B506"/>
    <w:rsid w:val="20DF7916"/>
    <w:rsid w:val="20E16502"/>
    <w:rsid w:val="20E1C4F2"/>
    <w:rsid w:val="20E84891"/>
    <w:rsid w:val="20E895F2"/>
    <w:rsid w:val="20EA9558"/>
    <w:rsid w:val="20F1A09A"/>
    <w:rsid w:val="20F4E9BE"/>
    <w:rsid w:val="20F5E78A"/>
    <w:rsid w:val="20FB6CEB"/>
    <w:rsid w:val="21047A45"/>
    <w:rsid w:val="210A2761"/>
    <w:rsid w:val="210C059A"/>
    <w:rsid w:val="211104B7"/>
    <w:rsid w:val="2113FDCB"/>
    <w:rsid w:val="2116D271"/>
    <w:rsid w:val="211C8D0C"/>
    <w:rsid w:val="211DE655"/>
    <w:rsid w:val="211E28C2"/>
    <w:rsid w:val="2120D874"/>
    <w:rsid w:val="212217B7"/>
    <w:rsid w:val="2123AB65"/>
    <w:rsid w:val="21251E63"/>
    <w:rsid w:val="212FFB67"/>
    <w:rsid w:val="2130F20F"/>
    <w:rsid w:val="2131A892"/>
    <w:rsid w:val="2136A63D"/>
    <w:rsid w:val="2137AC77"/>
    <w:rsid w:val="21393CEE"/>
    <w:rsid w:val="2141212D"/>
    <w:rsid w:val="2145668C"/>
    <w:rsid w:val="2156BB7F"/>
    <w:rsid w:val="215EEE67"/>
    <w:rsid w:val="215F7C90"/>
    <w:rsid w:val="2160DB6D"/>
    <w:rsid w:val="21629268"/>
    <w:rsid w:val="216A38D0"/>
    <w:rsid w:val="216C8E22"/>
    <w:rsid w:val="217CFF1B"/>
    <w:rsid w:val="217F2D4E"/>
    <w:rsid w:val="218412F9"/>
    <w:rsid w:val="21878A5C"/>
    <w:rsid w:val="219250B0"/>
    <w:rsid w:val="2195EFEB"/>
    <w:rsid w:val="2197C84E"/>
    <w:rsid w:val="219E4DD9"/>
    <w:rsid w:val="219EFE5C"/>
    <w:rsid w:val="21A0970A"/>
    <w:rsid w:val="21A306C6"/>
    <w:rsid w:val="21AD7090"/>
    <w:rsid w:val="21AEEBED"/>
    <w:rsid w:val="21B21466"/>
    <w:rsid w:val="21B5A1B6"/>
    <w:rsid w:val="21BB352D"/>
    <w:rsid w:val="21BD8698"/>
    <w:rsid w:val="21BEB588"/>
    <w:rsid w:val="21C45977"/>
    <w:rsid w:val="21C664E5"/>
    <w:rsid w:val="21CB6A41"/>
    <w:rsid w:val="21CEE1BB"/>
    <w:rsid w:val="21D6DA72"/>
    <w:rsid w:val="21DC0ED2"/>
    <w:rsid w:val="21E3CB2C"/>
    <w:rsid w:val="21E715C2"/>
    <w:rsid w:val="21E7D492"/>
    <w:rsid w:val="21EB7615"/>
    <w:rsid w:val="21EBE9F4"/>
    <w:rsid w:val="21EC3BBB"/>
    <w:rsid w:val="21EF7674"/>
    <w:rsid w:val="21F4309C"/>
    <w:rsid w:val="21FC223C"/>
    <w:rsid w:val="21FE0ABE"/>
    <w:rsid w:val="2200B659"/>
    <w:rsid w:val="2203602B"/>
    <w:rsid w:val="22053BBD"/>
    <w:rsid w:val="22062D3B"/>
    <w:rsid w:val="220671E4"/>
    <w:rsid w:val="2209EE3E"/>
    <w:rsid w:val="220CFE90"/>
    <w:rsid w:val="220FEFCB"/>
    <w:rsid w:val="22166B1A"/>
    <w:rsid w:val="221749D2"/>
    <w:rsid w:val="221E2200"/>
    <w:rsid w:val="22268308"/>
    <w:rsid w:val="22286ECF"/>
    <w:rsid w:val="2228FECB"/>
    <w:rsid w:val="22295444"/>
    <w:rsid w:val="222C440A"/>
    <w:rsid w:val="222E55A0"/>
    <w:rsid w:val="223533E8"/>
    <w:rsid w:val="2239C9A6"/>
    <w:rsid w:val="2246A1A6"/>
    <w:rsid w:val="2247E81C"/>
    <w:rsid w:val="2259AAAC"/>
    <w:rsid w:val="225D9438"/>
    <w:rsid w:val="2262A699"/>
    <w:rsid w:val="2264F34B"/>
    <w:rsid w:val="22669E3F"/>
    <w:rsid w:val="226C32A0"/>
    <w:rsid w:val="226C7273"/>
    <w:rsid w:val="2270F818"/>
    <w:rsid w:val="2272397B"/>
    <w:rsid w:val="2274FAAA"/>
    <w:rsid w:val="22774709"/>
    <w:rsid w:val="22798AE9"/>
    <w:rsid w:val="228348BD"/>
    <w:rsid w:val="22843989"/>
    <w:rsid w:val="2286C2D2"/>
    <w:rsid w:val="2287C787"/>
    <w:rsid w:val="228B126B"/>
    <w:rsid w:val="228BDE3D"/>
    <w:rsid w:val="228C8B7C"/>
    <w:rsid w:val="22901BB9"/>
    <w:rsid w:val="229A4912"/>
    <w:rsid w:val="229D8D4F"/>
    <w:rsid w:val="22A3E643"/>
    <w:rsid w:val="22A3FF2D"/>
    <w:rsid w:val="22A40323"/>
    <w:rsid w:val="22A89091"/>
    <w:rsid w:val="22A92B06"/>
    <w:rsid w:val="22AD6F69"/>
    <w:rsid w:val="22AEE053"/>
    <w:rsid w:val="22AF2911"/>
    <w:rsid w:val="22B4C46B"/>
    <w:rsid w:val="22B7505D"/>
    <w:rsid w:val="22B95759"/>
    <w:rsid w:val="22BB16AC"/>
    <w:rsid w:val="22BD2028"/>
    <w:rsid w:val="22BFAE17"/>
    <w:rsid w:val="22CED3CD"/>
    <w:rsid w:val="22CEE0DF"/>
    <w:rsid w:val="22CF6012"/>
    <w:rsid w:val="22D3E0EB"/>
    <w:rsid w:val="22D71803"/>
    <w:rsid w:val="22D915A4"/>
    <w:rsid w:val="22DBB5BB"/>
    <w:rsid w:val="22DBFEE1"/>
    <w:rsid w:val="22E08F01"/>
    <w:rsid w:val="22E4D76F"/>
    <w:rsid w:val="22E53BEC"/>
    <w:rsid w:val="22ED62E9"/>
    <w:rsid w:val="22F362A8"/>
    <w:rsid w:val="22F36807"/>
    <w:rsid w:val="22F3B029"/>
    <w:rsid w:val="22F3B837"/>
    <w:rsid w:val="22FCC0E7"/>
    <w:rsid w:val="23009220"/>
    <w:rsid w:val="23040A76"/>
    <w:rsid w:val="23062A77"/>
    <w:rsid w:val="2307228A"/>
    <w:rsid w:val="2309B449"/>
    <w:rsid w:val="230EF1A5"/>
    <w:rsid w:val="230F1D33"/>
    <w:rsid w:val="2313455E"/>
    <w:rsid w:val="23158FD8"/>
    <w:rsid w:val="231D8C81"/>
    <w:rsid w:val="23237A33"/>
    <w:rsid w:val="232F4F6C"/>
    <w:rsid w:val="23317240"/>
    <w:rsid w:val="23374835"/>
    <w:rsid w:val="233B4390"/>
    <w:rsid w:val="23434EE1"/>
    <w:rsid w:val="23475EFE"/>
    <w:rsid w:val="2348796D"/>
    <w:rsid w:val="234FD23F"/>
    <w:rsid w:val="23548AC6"/>
    <w:rsid w:val="2359D2D6"/>
    <w:rsid w:val="235EE52A"/>
    <w:rsid w:val="23651AB1"/>
    <w:rsid w:val="2368C2A1"/>
    <w:rsid w:val="236DEFDE"/>
    <w:rsid w:val="2376B78C"/>
    <w:rsid w:val="23807111"/>
    <w:rsid w:val="2380CC9C"/>
    <w:rsid w:val="23895437"/>
    <w:rsid w:val="238A89C3"/>
    <w:rsid w:val="238E692D"/>
    <w:rsid w:val="2391FCC5"/>
    <w:rsid w:val="2398AE34"/>
    <w:rsid w:val="239AC841"/>
    <w:rsid w:val="239AECEC"/>
    <w:rsid w:val="239C3CF1"/>
    <w:rsid w:val="239C9E6F"/>
    <w:rsid w:val="23A98D81"/>
    <w:rsid w:val="23AE1158"/>
    <w:rsid w:val="23B0380F"/>
    <w:rsid w:val="23B03D16"/>
    <w:rsid w:val="23B161E0"/>
    <w:rsid w:val="23B9145A"/>
    <w:rsid w:val="23B939F5"/>
    <w:rsid w:val="23BBA630"/>
    <w:rsid w:val="23BC401E"/>
    <w:rsid w:val="23BCC735"/>
    <w:rsid w:val="23C0CBF8"/>
    <w:rsid w:val="23C2C492"/>
    <w:rsid w:val="23C31D0B"/>
    <w:rsid w:val="23C4A0E8"/>
    <w:rsid w:val="23C685E6"/>
    <w:rsid w:val="23C9B567"/>
    <w:rsid w:val="23CCCC90"/>
    <w:rsid w:val="23CDC91F"/>
    <w:rsid w:val="23CFB332"/>
    <w:rsid w:val="23D3B1FB"/>
    <w:rsid w:val="23D40DF0"/>
    <w:rsid w:val="23DCF031"/>
    <w:rsid w:val="23E0B5F9"/>
    <w:rsid w:val="23E185B7"/>
    <w:rsid w:val="23EA2FAF"/>
    <w:rsid w:val="23F7DB5A"/>
    <w:rsid w:val="23F8EAE4"/>
    <w:rsid w:val="23F94331"/>
    <w:rsid w:val="23F982DD"/>
    <w:rsid w:val="24064690"/>
    <w:rsid w:val="2406C1EF"/>
    <w:rsid w:val="240D7AFE"/>
    <w:rsid w:val="240DD898"/>
    <w:rsid w:val="2412D0A6"/>
    <w:rsid w:val="241B9399"/>
    <w:rsid w:val="241C153C"/>
    <w:rsid w:val="241FC22E"/>
    <w:rsid w:val="242F52E5"/>
    <w:rsid w:val="2431D84F"/>
    <w:rsid w:val="24362B29"/>
    <w:rsid w:val="243AAF55"/>
    <w:rsid w:val="244745AA"/>
    <w:rsid w:val="2454ADB6"/>
    <w:rsid w:val="245D7F22"/>
    <w:rsid w:val="2460987D"/>
    <w:rsid w:val="246176A7"/>
    <w:rsid w:val="24715470"/>
    <w:rsid w:val="2474CA10"/>
    <w:rsid w:val="247662F6"/>
    <w:rsid w:val="2478EF29"/>
    <w:rsid w:val="247D3A5C"/>
    <w:rsid w:val="24817808"/>
    <w:rsid w:val="24825BD4"/>
    <w:rsid w:val="24849B34"/>
    <w:rsid w:val="248AC006"/>
    <w:rsid w:val="2491C7EA"/>
    <w:rsid w:val="2492DBA2"/>
    <w:rsid w:val="24984A3F"/>
    <w:rsid w:val="24A3E41E"/>
    <w:rsid w:val="24A3F6F5"/>
    <w:rsid w:val="24ADC54C"/>
    <w:rsid w:val="24AF8C60"/>
    <w:rsid w:val="24B4594D"/>
    <w:rsid w:val="24B5EDD3"/>
    <w:rsid w:val="24BB65F4"/>
    <w:rsid w:val="24BD96C9"/>
    <w:rsid w:val="24BDE9F1"/>
    <w:rsid w:val="24BECD53"/>
    <w:rsid w:val="24BF41F0"/>
    <w:rsid w:val="24C1313A"/>
    <w:rsid w:val="24C181FA"/>
    <w:rsid w:val="24C2FFB9"/>
    <w:rsid w:val="24C5A310"/>
    <w:rsid w:val="24C799A0"/>
    <w:rsid w:val="24CE15BA"/>
    <w:rsid w:val="24D0D7E2"/>
    <w:rsid w:val="24D21F77"/>
    <w:rsid w:val="24D25722"/>
    <w:rsid w:val="24D5DD46"/>
    <w:rsid w:val="24D99121"/>
    <w:rsid w:val="24E07E10"/>
    <w:rsid w:val="24E42ABD"/>
    <w:rsid w:val="24F13B19"/>
    <w:rsid w:val="24F22115"/>
    <w:rsid w:val="24F4A1A4"/>
    <w:rsid w:val="24F8C466"/>
    <w:rsid w:val="24FC29A0"/>
    <w:rsid w:val="24FD2D4E"/>
    <w:rsid w:val="24FE3B9C"/>
    <w:rsid w:val="24FEAD68"/>
    <w:rsid w:val="2503BDB4"/>
    <w:rsid w:val="25063C9B"/>
    <w:rsid w:val="250A6D56"/>
    <w:rsid w:val="250FB401"/>
    <w:rsid w:val="250FE32A"/>
    <w:rsid w:val="25122CA8"/>
    <w:rsid w:val="2512B73F"/>
    <w:rsid w:val="2513446B"/>
    <w:rsid w:val="2514B89A"/>
    <w:rsid w:val="2518E9D2"/>
    <w:rsid w:val="251BCB92"/>
    <w:rsid w:val="251F5807"/>
    <w:rsid w:val="2525140A"/>
    <w:rsid w:val="252E43BB"/>
    <w:rsid w:val="2530C001"/>
    <w:rsid w:val="253210AB"/>
    <w:rsid w:val="25367D9B"/>
    <w:rsid w:val="2536F4AE"/>
    <w:rsid w:val="253BC50B"/>
    <w:rsid w:val="2545FB5B"/>
    <w:rsid w:val="25485EBF"/>
    <w:rsid w:val="2548BCE4"/>
    <w:rsid w:val="254EC72C"/>
    <w:rsid w:val="2559E0FB"/>
    <w:rsid w:val="255CA5B8"/>
    <w:rsid w:val="25610794"/>
    <w:rsid w:val="2565D555"/>
    <w:rsid w:val="25660549"/>
    <w:rsid w:val="256715A6"/>
    <w:rsid w:val="25678790"/>
    <w:rsid w:val="256B2AC0"/>
    <w:rsid w:val="256CFF57"/>
    <w:rsid w:val="256D11F5"/>
    <w:rsid w:val="25716445"/>
    <w:rsid w:val="25764FB9"/>
    <w:rsid w:val="25771C5A"/>
    <w:rsid w:val="25873119"/>
    <w:rsid w:val="2594D55E"/>
    <w:rsid w:val="25981B6F"/>
    <w:rsid w:val="25983322"/>
    <w:rsid w:val="259B5C07"/>
    <w:rsid w:val="259DC3F8"/>
    <w:rsid w:val="25A81332"/>
    <w:rsid w:val="25AC5803"/>
    <w:rsid w:val="25B13E2D"/>
    <w:rsid w:val="25BF6849"/>
    <w:rsid w:val="25C38C35"/>
    <w:rsid w:val="25C3BBC9"/>
    <w:rsid w:val="25CBAD52"/>
    <w:rsid w:val="25D3B71E"/>
    <w:rsid w:val="25D55985"/>
    <w:rsid w:val="25D8DB91"/>
    <w:rsid w:val="25DF2C34"/>
    <w:rsid w:val="25EA9B03"/>
    <w:rsid w:val="25EB6EAB"/>
    <w:rsid w:val="25F1D343"/>
    <w:rsid w:val="25F83394"/>
    <w:rsid w:val="25FBCBD7"/>
    <w:rsid w:val="25FC6FA8"/>
    <w:rsid w:val="25FCA24C"/>
    <w:rsid w:val="25FE4255"/>
    <w:rsid w:val="260199EE"/>
    <w:rsid w:val="2601B04A"/>
    <w:rsid w:val="260B23D2"/>
    <w:rsid w:val="260CC2C4"/>
    <w:rsid w:val="260F1C1C"/>
    <w:rsid w:val="260FF6EA"/>
    <w:rsid w:val="262522DF"/>
    <w:rsid w:val="2627D48E"/>
    <w:rsid w:val="26283ED8"/>
    <w:rsid w:val="2629BB29"/>
    <w:rsid w:val="262C7F71"/>
    <w:rsid w:val="2634D5A0"/>
    <w:rsid w:val="2639A511"/>
    <w:rsid w:val="263A855B"/>
    <w:rsid w:val="263C57A6"/>
    <w:rsid w:val="263F1540"/>
    <w:rsid w:val="264B80DA"/>
    <w:rsid w:val="2652ED86"/>
    <w:rsid w:val="2656C965"/>
    <w:rsid w:val="265D53FB"/>
    <w:rsid w:val="2663767F"/>
    <w:rsid w:val="26650BC8"/>
    <w:rsid w:val="266A3F06"/>
    <w:rsid w:val="26717AD9"/>
    <w:rsid w:val="2671D5C4"/>
    <w:rsid w:val="2680A016"/>
    <w:rsid w:val="268334ED"/>
    <w:rsid w:val="26869466"/>
    <w:rsid w:val="26873BE3"/>
    <w:rsid w:val="268B54F9"/>
    <w:rsid w:val="268C7FB7"/>
    <w:rsid w:val="268D08C4"/>
    <w:rsid w:val="268DD1CC"/>
    <w:rsid w:val="2695DAD1"/>
    <w:rsid w:val="26978528"/>
    <w:rsid w:val="269834EB"/>
    <w:rsid w:val="269DA74A"/>
    <w:rsid w:val="269F235A"/>
    <w:rsid w:val="26A1E19E"/>
    <w:rsid w:val="26A586C3"/>
    <w:rsid w:val="26AA412F"/>
    <w:rsid w:val="26AC4B46"/>
    <w:rsid w:val="26AD58B9"/>
    <w:rsid w:val="26AEDFCE"/>
    <w:rsid w:val="26BC1845"/>
    <w:rsid w:val="26C0A81E"/>
    <w:rsid w:val="26C627E6"/>
    <w:rsid w:val="26CA4356"/>
    <w:rsid w:val="26CD51BA"/>
    <w:rsid w:val="26DDFA14"/>
    <w:rsid w:val="26E29037"/>
    <w:rsid w:val="26E4AD66"/>
    <w:rsid w:val="26E68592"/>
    <w:rsid w:val="26EC739A"/>
    <w:rsid w:val="26F13B30"/>
    <w:rsid w:val="26F4419E"/>
    <w:rsid w:val="26F517D2"/>
    <w:rsid w:val="26FAA0F4"/>
    <w:rsid w:val="27025CD3"/>
    <w:rsid w:val="27146423"/>
    <w:rsid w:val="2715A67D"/>
    <w:rsid w:val="27200F95"/>
    <w:rsid w:val="2720E477"/>
    <w:rsid w:val="2722A27C"/>
    <w:rsid w:val="2724394F"/>
    <w:rsid w:val="272F9527"/>
    <w:rsid w:val="2734DD01"/>
    <w:rsid w:val="273E4DC6"/>
    <w:rsid w:val="27405FE9"/>
    <w:rsid w:val="274E3F72"/>
    <w:rsid w:val="2759B6D7"/>
    <w:rsid w:val="275DCB16"/>
    <w:rsid w:val="2762FB10"/>
    <w:rsid w:val="276694E7"/>
    <w:rsid w:val="276B3F8D"/>
    <w:rsid w:val="276B8F07"/>
    <w:rsid w:val="276C2C4E"/>
    <w:rsid w:val="2774CE72"/>
    <w:rsid w:val="27764B50"/>
    <w:rsid w:val="2781F003"/>
    <w:rsid w:val="27833E56"/>
    <w:rsid w:val="2783A077"/>
    <w:rsid w:val="278E305B"/>
    <w:rsid w:val="2791787B"/>
    <w:rsid w:val="27946B8C"/>
    <w:rsid w:val="2795A76A"/>
    <w:rsid w:val="27A0B2AD"/>
    <w:rsid w:val="27AE3289"/>
    <w:rsid w:val="27B43803"/>
    <w:rsid w:val="27B9F71B"/>
    <w:rsid w:val="27BE4558"/>
    <w:rsid w:val="27BEF266"/>
    <w:rsid w:val="27C220F8"/>
    <w:rsid w:val="27CA0C69"/>
    <w:rsid w:val="27CCCA6D"/>
    <w:rsid w:val="27D6B49F"/>
    <w:rsid w:val="27DA49A9"/>
    <w:rsid w:val="27DB68C4"/>
    <w:rsid w:val="27DE3C2E"/>
    <w:rsid w:val="27E20491"/>
    <w:rsid w:val="27E76937"/>
    <w:rsid w:val="27EC1516"/>
    <w:rsid w:val="27F982A8"/>
    <w:rsid w:val="2802FF45"/>
    <w:rsid w:val="2806C3C7"/>
    <w:rsid w:val="280788A6"/>
    <w:rsid w:val="28096D21"/>
    <w:rsid w:val="280C3F3C"/>
    <w:rsid w:val="28107944"/>
    <w:rsid w:val="2819F085"/>
    <w:rsid w:val="281A02C5"/>
    <w:rsid w:val="281B9A08"/>
    <w:rsid w:val="281BD9C0"/>
    <w:rsid w:val="2822881B"/>
    <w:rsid w:val="2826999C"/>
    <w:rsid w:val="2828540F"/>
    <w:rsid w:val="283785D4"/>
    <w:rsid w:val="283DED11"/>
    <w:rsid w:val="284458C1"/>
    <w:rsid w:val="284597B2"/>
    <w:rsid w:val="28469020"/>
    <w:rsid w:val="2847F94C"/>
    <w:rsid w:val="2848F5A9"/>
    <w:rsid w:val="284C741D"/>
    <w:rsid w:val="284CB804"/>
    <w:rsid w:val="284D8071"/>
    <w:rsid w:val="284DB329"/>
    <w:rsid w:val="285F193C"/>
    <w:rsid w:val="28611054"/>
    <w:rsid w:val="286AC576"/>
    <w:rsid w:val="286BBF66"/>
    <w:rsid w:val="286F5686"/>
    <w:rsid w:val="286F7040"/>
    <w:rsid w:val="28713F8F"/>
    <w:rsid w:val="28770544"/>
    <w:rsid w:val="287764BA"/>
    <w:rsid w:val="287FD134"/>
    <w:rsid w:val="28835CB0"/>
    <w:rsid w:val="2883CB08"/>
    <w:rsid w:val="288CB406"/>
    <w:rsid w:val="288CCA2D"/>
    <w:rsid w:val="28930FC3"/>
    <w:rsid w:val="289E9F3B"/>
    <w:rsid w:val="28A30B59"/>
    <w:rsid w:val="28A63E75"/>
    <w:rsid w:val="28AE6CFE"/>
    <w:rsid w:val="28AFC599"/>
    <w:rsid w:val="28B40227"/>
    <w:rsid w:val="28BABF24"/>
    <w:rsid w:val="28BBA850"/>
    <w:rsid w:val="28C0DA20"/>
    <w:rsid w:val="28C63A2E"/>
    <w:rsid w:val="28CC1A24"/>
    <w:rsid w:val="28CD43F8"/>
    <w:rsid w:val="28CE5BBA"/>
    <w:rsid w:val="28D142E0"/>
    <w:rsid w:val="28D4600B"/>
    <w:rsid w:val="28D51E38"/>
    <w:rsid w:val="28D6E63B"/>
    <w:rsid w:val="28D8A0D9"/>
    <w:rsid w:val="28D9680B"/>
    <w:rsid w:val="28D9F43A"/>
    <w:rsid w:val="28E029FD"/>
    <w:rsid w:val="28E0899B"/>
    <w:rsid w:val="28F1D96C"/>
    <w:rsid w:val="28F5292C"/>
    <w:rsid w:val="28FA81B8"/>
    <w:rsid w:val="28FC3844"/>
    <w:rsid w:val="28FF5585"/>
    <w:rsid w:val="2905D991"/>
    <w:rsid w:val="290BEE4A"/>
    <w:rsid w:val="290F0F23"/>
    <w:rsid w:val="291613B0"/>
    <w:rsid w:val="29192CE9"/>
    <w:rsid w:val="291DF001"/>
    <w:rsid w:val="291ED707"/>
    <w:rsid w:val="2921BBC0"/>
    <w:rsid w:val="292A2159"/>
    <w:rsid w:val="29300D22"/>
    <w:rsid w:val="29300E53"/>
    <w:rsid w:val="2930E2D7"/>
    <w:rsid w:val="2933294E"/>
    <w:rsid w:val="2933C0CE"/>
    <w:rsid w:val="293401BF"/>
    <w:rsid w:val="2935A433"/>
    <w:rsid w:val="2937A91B"/>
    <w:rsid w:val="293AABC0"/>
    <w:rsid w:val="29414756"/>
    <w:rsid w:val="29589A1D"/>
    <w:rsid w:val="295A1D55"/>
    <w:rsid w:val="295AEEE3"/>
    <w:rsid w:val="295AF1B5"/>
    <w:rsid w:val="2960F6F6"/>
    <w:rsid w:val="29621385"/>
    <w:rsid w:val="2968A877"/>
    <w:rsid w:val="2971B07B"/>
    <w:rsid w:val="29721BB1"/>
    <w:rsid w:val="297411D4"/>
    <w:rsid w:val="2975828A"/>
    <w:rsid w:val="29774E8F"/>
    <w:rsid w:val="29796C3B"/>
    <w:rsid w:val="297AD7EB"/>
    <w:rsid w:val="297F4C2B"/>
    <w:rsid w:val="29885CB1"/>
    <w:rsid w:val="29893105"/>
    <w:rsid w:val="29959B25"/>
    <w:rsid w:val="299873AB"/>
    <w:rsid w:val="299890BE"/>
    <w:rsid w:val="2998DD1B"/>
    <w:rsid w:val="299D48E3"/>
    <w:rsid w:val="29A08F93"/>
    <w:rsid w:val="29ABB780"/>
    <w:rsid w:val="29AC3F0A"/>
    <w:rsid w:val="29AE08D0"/>
    <w:rsid w:val="29BAF656"/>
    <w:rsid w:val="29C0E272"/>
    <w:rsid w:val="29C44C10"/>
    <w:rsid w:val="29C453C6"/>
    <w:rsid w:val="29CA1096"/>
    <w:rsid w:val="29CB0D46"/>
    <w:rsid w:val="29D020BD"/>
    <w:rsid w:val="29D3C8A0"/>
    <w:rsid w:val="29DC6D9D"/>
    <w:rsid w:val="29DD39DA"/>
    <w:rsid w:val="29E37DB4"/>
    <w:rsid w:val="29E5070E"/>
    <w:rsid w:val="29E586FF"/>
    <w:rsid w:val="29E60442"/>
    <w:rsid w:val="29E9FC7C"/>
    <w:rsid w:val="29EA10A2"/>
    <w:rsid w:val="29EE3517"/>
    <w:rsid w:val="29F209E2"/>
    <w:rsid w:val="29F6EB04"/>
    <w:rsid w:val="29F7C4FB"/>
    <w:rsid w:val="29F9A988"/>
    <w:rsid w:val="29FEA934"/>
    <w:rsid w:val="2A06172B"/>
    <w:rsid w:val="2A075E92"/>
    <w:rsid w:val="2A0868A8"/>
    <w:rsid w:val="2A088609"/>
    <w:rsid w:val="2A08D303"/>
    <w:rsid w:val="2A12460F"/>
    <w:rsid w:val="2A1854BC"/>
    <w:rsid w:val="2A199FFA"/>
    <w:rsid w:val="2A1AB649"/>
    <w:rsid w:val="2A1ABBCE"/>
    <w:rsid w:val="2A1CA756"/>
    <w:rsid w:val="2A20F236"/>
    <w:rsid w:val="2A255EFA"/>
    <w:rsid w:val="2A2C48B7"/>
    <w:rsid w:val="2A2F9FB3"/>
    <w:rsid w:val="2A386971"/>
    <w:rsid w:val="2A393362"/>
    <w:rsid w:val="2A41B9DC"/>
    <w:rsid w:val="2A434FFA"/>
    <w:rsid w:val="2A44A4CA"/>
    <w:rsid w:val="2A44D711"/>
    <w:rsid w:val="2A4749BD"/>
    <w:rsid w:val="2A4F7D1B"/>
    <w:rsid w:val="2A536ED9"/>
    <w:rsid w:val="2A544736"/>
    <w:rsid w:val="2A576D45"/>
    <w:rsid w:val="2A5C8DF1"/>
    <w:rsid w:val="2A6206DD"/>
    <w:rsid w:val="2A661A99"/>
    <w:rsid w:val="2A6C60A6"/>
    <w:rsid w:val="2A6F847F"/>
    <w:rsid w:val="2A704C97"/>
    <w:rsid w:val="2A712DCB"/>
    <w:rsid w:val="2A77FD8F"/>
    <w:rsid w:val="2A7DDD22"/>
    <w:rsid w:val="2A889A00"/>
    <w:rsid w:val="2A8A09D0"/>
    <w:rsid w:val="2A8B74BB"/>
    <w:rsid w:val="2A8D3BF6"/>
    <w:rsid w:val="2AA064F4"/>
    <w:rsid w:val="2AA07692"/>
    <w:rsid w:val="2AA452B2"/>
    <w:rsid w:val="2AAAF27C"/>
    <w:rsid w:val="2AAB4717"/>
    <w:rsid w:val="2AB3EA9F"/>
    <w:rsid w:val="2AB4D4D4"/>
    <w:rsid w:val="2AB72ED2"/>
    <w:rsid w:val="2ABAC4F3"/>
    <w:rsid w:val="2ABEB32F"/>
    <w:rsid w:val="2AC061AE"/>
    <w:rsid w:val="2AC45D07"/>
    <w:rsid w:val="2AC7A98E"/>
    <w:rsid w:val="2AC8EC8A"/>
    <w:rsid w:val="2ACBDD0C"/>
    <w:rsid w:val="2AD6DD62"/>
    <w:rsid w:val="2ADC26EC"/>
    <w:rsid w:val="2ADFED87"/>
    <w:rsid w:val="2AE2865D"/>
    <w:rsid w:val="2AE3C291"/>
    <w:rsid w:val="2AE88AAD"/>
    <w:rsid w:val="2AF078A9"/>
    <w:rsid w:val="2AF5B4A8"/>
    <w:rsid w:val="2AF8B16D"/>
    <w:rsid w:val="2AFA4208"/>
    <w:rsid w:val="2B0BA2C6"/>
    <w:rsid w:val="2B0D2C82"/>
    <w:rsid w:val="2B1036E5"/>
    <w:rsid w:val="2B11CAC6"/>
    <w:rsid w:val="2B141C7C"/>
    <w:rsid w:val="2B17071E"/>
    <w:rsid w:val="2B1B22CD"/>
    <w:rsid w:val="2B2074A1"/>
    <w:rsid w:val="2B2222CC"/>
    <w:rsid w:val="2B26E36F"/>
    <w:rsid w:val="2B27CAA6"/>
    <w:rsid w:val="2B2EC407"/>
    <w:rsid w:val="2B31DD7A"/>
    <w:rsid w:val="2B329415"/>
    <w:rsid w:val="2B3453C4"/>
    <w:rsid w:val="2B36C1AB"/>
    <w:rsid w:val="2B374490"/>
    <w:rsid w:val="2B3E630D"/>
    <w:rsid w:val="2B441903"/>
    <w:rsid w:val="2B52D719"/>
    <w:rsid w:val="2B549A18"/>
    <w:rsid w:val="2B567180"/>
    <w:rsid w:val="2B579100"/>
    <w:rsid w:val="2B5F04AA"/>
    <w:rsid w:val="2B6603CF"/>
    <w:rsid w:val="2B68AA05"/>
    <w:rsid w:val="2B6961C1"/>
    <w:rsid w:val="2B71DA75"/>
    <w:rsid w:val="2B741CC0"/>
    <w:rsid w:val="2B7A540C"/>
    <w:rsid w:val="2B7CE405"/>
    <w:rsid w:val="2B85B441"/>
    <w:rsid w:val="2B88123A"/>
    <w:rsid w:val="2B89071F"/>
    <w:rsid w:val="2B8A99E2"/>
    <w:rsid w:val="2B8ED3D5"/>
    <w:rsid w:val="2B902A03"/>
    <w:rsid w:val="2B92E931"/>
    <w:rsid w:val="2B986A45"/>
    <w:rsid w:val="2B9FC30F"/>
    <w:rsid w:val="2BA16364"/>
    <w:rsid w:val="2BA87021"/>
    <w:rsid w:val="2BAB70BC"/>
    <w:rsid w:val="2BB05B84"/>
    <w:rsid w:val="2BB0C1BB"/>
    <w:rsid w:val="2BB47B85"/>
    <w:rsid w:val="2BB76050"/>
    <w:rsid w:val="2BB83484"/>
    <w:rsid w:val="2BB8E8A9"/>
    <w:rsid w:val="2BC6C4F1"/>
    <w:rsid w:val="2BC88B4B"/>
    <w:rsid w:val="2BCDEDE5"/>
    <w:rsid w:val="2BCE2E2E"/>
    <w:rsid w:val="2BCECA69"/>
    <w:rsid w:val="2BCF3F94"/>
    <w:rsid w:val="2BD4BA42"/>
    <w:rsid w:val="2BD622FC"/>
    <w:rsid w:val="2BD8E188"/>
    <w:rsid w:val="2BD9A4B9"/>
    <w:rsid w:val="2BDCBE1C"/>
    <w:rsid w:val="2BDCEC07"/>
    <w:rsid w:val="2BE116EF"/>
    <w:rsid w:val="2BE11797"/>
    <w:rsid w:val="2BE5745F"/>
    <w:rsid w:val="2BEBA2FF"/>
    <w:rsid w:val="2BF14878"/>
    <w:rsid w:val="2BF468B8"/>
    <w:rsid w:val="2BFAA5BF"/>
    <w:rsid w:val="2BFC3C19"/>
    <w:rsid w:val="2C01A9AD"/>
    <w:rsid w:val="2C02EE38"/>
    <w:rsid w:val="2C046CAA"/>
    <w:rsid w:val="2C047E38"/>
    <w:rsid w:val="2C07C47C"/>
    <w:rsid w:val="2C087BBA"/>
    <w:rsid w:val="2C08BA44"/>
    <w:rsid w:val="2C0E10BE"/>
    <w:rsid w:val="2C12AE7D"/>
    <w:rsid w:val="2C1EA7A0"/>
    <w:rsid w:val="2C1F23B2"/>
    <w:rsid w:val="2C20693A"/>
    <w:rsid w:val="2C246C0A"/>
    <w:rsid w:val="2C264E37"/>
    <w:rsid w:val="2C2BBA7D"/>
    <w:rsid w:val="2C3308C8"/>
    <w:rsid w:val="2C34B321"/>
    <w:rsid w:val="2C4D59A9"/>
    <w:rsid w:val="2C4DD28D"/>
    <w:rsid w:val="2C5121E3"/>
    <w:rsid w:val="2C536BEF"/>
    <w:rsid w:val="2C5A39EE"/>
    <w:rsid w:val="2C5F33C3"/>
    <w:rsid w:val="2C6675F2"/>
    <w:rsid w:val="2C709098"/>
    <w:rsid w:val="2C72841D"/>
    <w:rsid w:val="2C733B2E"/>
    <w:rsid w:val="2C740969"/>
    <w:rsid w:val="2C743394"/>
    <w:rsid w:val="2C79BCDD"/>
    <w:rsid w:val="2C7AD165"/>
    <w:rsid w:val="2C835D81"/>
    <w:rsid w:val="2C84A382"/>
    <w:rsid w:val="2C852F72"/>
    <w:rsid w:val="2C9713D6"/>
    <w:rsid w:val="2C9C8095"/>
    <w:rsid w:val="2CA16AD8"/>
    <w:rsid w:val="2CA44850"/>
    <w:rsid w:val="2CA4B936"/>
    <w:rsid w:val="2CA829AB"/>
    <w:rsid w:val="2CAF6A81"/>
    <w:rsid w:val="2CB2A5B0"/>
    <w:rsid w:val="2CB43368"/>
    <w:rsid w:val="2CB4AF65"/>
    <w:rsid w:val="2CB80FCA"/>
    <w:rsid w:val="2CBFF5CA"/>
    <w:rsid w:val="2CC0C670"/>
    <w:rsid w:val="2CC28C17"/>
    <w:rsid w:val="2CC56070"/>
    <w:rsid w:val="2CC5FB9C"/>
    <w:rsid w:val="2CD7C19A"/>
    <w:rsid w:val="2CD913B4"/>
    <w:rsid w:val="2CDB6EC4"/>
    <w:rsid w:val="2CE0F05A"/>
    <w:rsid w:val="2CE2FD0A"/>
    <w:rsid w:val="2CE356FF"/>
    <w:rsid w:val="2CEC18D5"/>
    <w:rsid w:val="2CF1ABBE"/>
    <w:rsid w:val="2CF2751C"/>
    <w:rsid w:val="2CFD0FE3"/>
    <w:rsid w:val="2D053286"/>
    <w:rsid w:val="2D073314"/>
    <w:rsid w:val="2D07E202"/>
    <w:rsid w:val="2D0B347A"/>
    <w:rsid w:val="2D105CAD"/>
    <w:rsid w:val="2D1F8254"/>
    <w:rsid w:val="2D209651"/>
    <w:rsid w:val="2D247D83"/>
    <w:rsid w:val="2D25D656"/>
    <w:rsid w:val="2D2C1D15"/>
    <w:rsid w:val="2D2FDB14"/>
    <w:rsid w:val="2D322C1A"/>
    <w:rsid w:val="2D32B736"/>
    <w:rsid w:val="2D3659C1"/>
    <w:rsid w:val="2D38CE0C"/>
    <w:rsid w:val="2D3B53FA"/>
    <w:rsid w:val="2D42DC4C"/>
    <w:rsid w:val="2D4562ED"/>
    <w:rsid w:val="2D4DB268"/>
    <w:rsid w:val="2D4F8774"/>
    <w:rsid w:val="2D51B7CF"/>
    <w:rsid w:val="2D545F3F"/>
    <w:rsid w:val="2D566A45"/>
    <w:rsid w:val="2D57D8CF"/>
    <w:rsid w:val="2D623543"/>
    <w:rsid w:val="2D624847"/>
    <w:rsid w:val="2D629EDE"/>
    <w:rsid w:val="2D6480F1"/>
    <w:rsid w:val="2D667DCD"/>
    <w:rsid w:val="2D6873EA"/>
    <w:rsid w:val="2D6E714D"/>
    <w:rsid w:val="2D6EDB28"/>
    <w:rsid w:val="2D6F597E"/>
    <w:rsid w:val="2D704EC5"/>
    <w:rsid w:val="2D728F77"/>
    <w:rsid w:val="2D72CB02"/>
    <w:rsid w:val="2D74EFD3"/>
    <w:rsid w:val="2D76209A"/>
    <w:rsid w:val="2D7F34A2"/>
    <w:rsid w:val="2D7FBE3E"/>
    <w:rsid w:val="2D84C709"/>
    <w:rsid w:val="2D955BE3"/>
    <w:rsid w:val="2D95697E"/>
    <w:rsid w:val="2D9BB415"/>
    <w:rsid w:val="2D9BE23E"/>
    <w:rsid w:val="2D9ECA93"/>
    <w:rsid w:val="2D9F4C24"/>
    <w:rsid w:val="2DA4ACD1"/>
    <w:rsid w:val="2DA4FA43"/>
    <w:rsid w:val="2DAB160F"/>
    <w:rsid w:val="2DB4E594"/>
    <w:rsid w:val="2DBC3116"/>
    <w:rsid w:val="2DC0C6CB"/>
    <w:rsid w:val="2DC68DB6"/>
    <w:rsid w:val="2DC8C660"/>
    <w:rsid w:val="2DCB60CD"/>
    <w:rsid w:val="2DCC4BA6"/>
    <w:rsid w:val="2DCD5AF1"/>
    <w:rsid w:val="2DD4E82C"/>
    <w:rsid w:val="2DD635F1"/>
    <w:rsid w:val="2DDBC45D"/>
    <w:rsid w:val="2DE5C76C"/>
    <w:rsid w:val="2DEF55B6"/>
    <w:rsid w:val="2DF6A409"/>
    <w:rsid w:val="2DF9D990"/>
    <w:rsid w:val="2E01D075"/>
    <w:rsid w:val="2E093AC9"/>
    <w:rsid w:val="2E0C3D75"/>
    <w:rsid w:val="2E140C99"/>
    <w:rsid w:val="2E1A5FEC"/>
    <w:rsid w:val="2E1D0E0E"/>
    <w:rsid w:val="2E1DB9D0"/>
    <w:rsid w:val="2E274FD4"/>
    <w:rsid w:val="2E28AF3A"/>
    <w:rsid w:val="2E297F76"/>
    <w:rsid w:val="2E2B98CA"/>
    <w:rsid w:val="2E2BAF06"/>
    <w:rsid w:val="2E3F8D84"/>
    <w:rsid w:val="2E4D69C7"/>
    <w:rsid w:val="2E539C90"/>
    <w:rsid w:val="2E54F41C"/>
    <w:rsid w:val="2E5F02BD"/>
    <w:rsid w:val="2E62E132"/>
    <w:rsid w:val="2E63BA3C"/>
    <w:rsid w:val="2E69DFF8"/>
    <w:rsid w:val="2E6C4C8A"/>
    <w:rsid w:val="2E6DFC0F"/>
    <w:rsid w:val="2E6EBD36"/>
    <w:rsid w:val="2E747426"/>
    <w:rsid w:val="2E75CE52"/>
    <w:rsid w:val="2E7AD414"/>
    <w:rsid w:val="2E7B8C6A"/>
    <w:rsid w:val="2E81B2F6"/>
    <w:rsid w:val="2E81B4EC"/>
    <w:rsid w:val="2E825253"/>
    <w:rsid w:val="2E87E734"/>
    <w:rsid w:val="2E8B478D"/>
    <w:rsid w:val="2E99FDE7"/>
    <w:rsid w:val="2E9F64BF"/>
    <w:rsid w:val="2EAB2EAC"/>
    <w:rsid w:val="2EAC84D2"/>
    <w:rsid w:val="2EAF3AD0"/>
    <w:rsid w:val="2EB57572"/>
    <w:rsid w:val="2EBCF012"/>
    <w:rsid w:val="2ECDE8C7"/>
    <w:rsid w:val="2ED64C60"/>
    <w:rsid w:val="2EE07B5C"/>
    <w:rsid w:val="2EE48620"/>
    <w:rsid w:val="2EE4CE73"/>
    <w:rsid w:val="2EE58912"/>
    <w:rsid w:val="2EEBFD8D"/>
    <w:rsid w:val="2EF1DAE8"/>
    <w:rsid w:val="2EF3539E"/>
    <w:rsid w:val="2EF81B1C"/>
    <w:rsid w:val="2EF8B93B"/>
    <w:rsid w:val="2EFE8C75"/>
    <w:rsid w:val="2F0081E6"/>
    <w:rsid w:val="2F07FEC7"/>
    <w:rsid w:val="2F0CB5CF"/>
    <w:rsid w:val="2F115750"/>
    <w:rsid w:val="2F1940E4"/>
    <w:rsid w:val="2F21B91A"/>
    <w:rsid w:val="2F24A0BA"/>
    <w:rsid w:val="2F2A396C"/>
    <w:rsid w:val="2F2A826F"/>
    <w:rsid w:val="2F2D7B97"/>
    <w:rsid w:val="2F2F1FE5"/>
    <w:rsid w:val="2F325CD5"/>
    <w:rsid w:val="2F3920D0"/>
    <w:rsid w:val="2F42BBFA"/>
    <w:rsid w:val="2F49603D"/>
    <w:rsid w:val="2F497935"/>
    <w:rsid w:val="2F4AECFD"/>
    <w:rsid w:val="2F4B3A4D"/>
    <w:rsid w:val="2F51F36E"/>
    <w:rsid w:val="2F55421A"/>
    <w:rsid w:val="2F61D578"/>
    <w:rsid w:val="2F6331FD"/>
    <w:rsid w:val="2F654DCF"/>
    <w:rsid w:val="2F679848"/>
    <w:rsid w:val="2F69013C"/>
    <w:rsid w:val="2F6FC379"/>
    <w:rsid w:val="2F6FDD24"/>
    <w:rsid w:val="2F7248EA"/>
    <w:rsid w:val="2F75DD70"/>
    <w:rsid w:val="2F7A9E73"/>
    <w:rsid w:val="2F7C27CC"/>
    <w:rsid w:val="2F862714"/>
    <w:rsid w:val="2F88C026"/>
    <w:rsid w:val="2F917C77"/>
    <w:rsid w:val="2F9D555C"/>
    <w:rsid w:val="2F9F7FF3"/>
    <w:rsid w:val="2FA3F162"/>
    <w:rsid w:val="2FA5AB04"/>
    <w:rsid w:val="2FA84B4C"/>
    <w:rsid w:val="2FAF5386"/>
    <w:rsid w:val="2FB93B0F"/>
    <w:rsid w:val="2FC04F85"/>
    <w:rsid w:val="2FC37CC7"/>
    <w:rsid w:val="2FC92D6D"/>
    <w:rsid w:val="2FC95CB5"/>
    <w:rsid w:val="2FCF8A65"/>
    <w:rsid w:val="2FD2BD88"/>
    <w:rsid w:val="2FD9ACA6"/>
    <w:rsid w:val="2FDF75CB"/>
    <w:rsid w:val="2FDF8277"/>
    <w:rsid w:val="2FE07CCC"/>
    <w:rsid w:val="2FE6AA5A"/>
    <w:rsid w:val="2FE89B9B"/>
    <w:rsid w:val="2FEB2501"/>
    <w:rsid w:val="2FEC8E83"/>
    <w:rsid w:val="2FF31BEF"/>
    <w:rsid w:val="2FF32F36"/>
    <w:rsid w:val="2FF4531B"/>
    <w:rsid w:val="30008D65"/>
    <w:rsid w:val="3000CA65"/>
    <w:rsid w:val="3005269F"/>
    <w:rsid w:val="3007E593"/>
    <w:rsid w:val="30083266"/>
    <w:rsid w:val="30088618"/>
    <w:rsid w:val="30116035"/>
    <w:rsid w:val="30138E94"/>
    <w:rsid w:val="30140AB3"/>
    <w:rsid w:val="3017F6FC"/>
    <w:rsid w:val="301A69B2"/>
    <w:rsid w:val="301DD8D8"/>
    <w:rsid w:val="301E509A"/>
    <w:rsid w:val="3023A752"/>
    <w:rsid w:val="302D2A9E"/>
    <w:rsid w:val="3033B32B"/>
    <w:rsid w:val="3034FE12"/>
    <w:rsid w:val="30371B85"/>
    <w:rsid w:val="3037766F"/>
    <w:rsid w:val="30423D71"/>
    <w:rsid w:val="3044298A"/>
    <w:rsid w:val="3044FE5C"/>
    <w:rsid w:val="304AED01"/>
    <w:rsid w:val="3053149E"/>
    <w:rsid w:val="3055A101"/>
    <w:rsid w:val="305B39D4"/>
    <w:rsid w:val="30639D0D"/>
    <w:rsid w:val="3066E3C8"/>
    <w:rsid w:val="306D99DA"/>
    <w:rsid w:val="30773C17"/>
    <w:rsid w:val="3078B754"/>
    <w:rsid w:val="30794CBA"/>
    <w:rsid w:val="307D345E"/>
    <w:rsid w:val="3082D7E1"/>
    <w:rsid w:val="308D1D4C"/>
    <w:rsid w:val="30918808"/>
    <w:rsid w:val="30943A81"/>
    <w:rsid w:val="3099E966"/>
    <w:rsid w:val="309FFAE0"/>
    <w:rsid w:val="30A90336"/>
    <w:rsid w:val="30B6718A"/>
    <w:rsid w:val="30B6E39F"/>
    <w:rsid w:val="30BEBE9F"/>
    <w:rsid w:val="30BFD196"/>
    <w:rsid w:val="30C1958C"/>
    <w:rsid w:val="30C27EAD"/>
    <w:rsid w:val="30C3269F"/>
    <w:rsid w:val="30C35A60"/>
    <w:rsid w:val="30CEDE30"/>
    <w:rsid w:val="30D5F74E"/>
    <w:rsid w:val="30D903DE"/>
    <w:rsid w:val="30EE2F40"/>
    <w:rsid w:val="30F2011F"/>
    <w:rsid w:val="30F21651"/>
    <w:rsid w:val="30F6CC89"/>
    <w:rsid w:val="30F9F6F4"/>
    <w:rsid w:val="30FAAF21"/>
    <w:rsid w:val="310023A2"/>
    <w:rsid w:val="310081FD"/>
    <w:rsid w:val="31089372"/>
    <w:rsid w:val="311A66C3"/>
    <w:rsid w:val="311B31F5"/>
    <w:rsid w:val="311C27AC"/>
    <w:rsid w:val="311EAE00"/>
    <w:rsid w:val="311F61D2"/>
    <w:rsid w:val="3121293F"/>
    <w:rsid w:val="312D5D17"/>
    <w:rsid w:val="3131CCDC"/>
    <w:rsid w:val="3136D578"/>
    <w:rsid w:val="313748BD"/>
    <w:rsid w:val="31375A4B"/>
    <w:rsid w:val="3138A558"/>
    <w:rsid w:val="313B9C3E"/>
    <w:rsid w:val="3141E80B"/>
    <w:rsid w:val="31439F5A"/>
    <w:rsid w:val="3145B922"/>
    <w:rsid w:val="3145BFB5"/>
    <w:rsid w:val="3146F59A"/>
    <w:rsid w:val="314B102D"/>
    <w:rsid w:val="314C940C"/>
    <w:rsid w:val="314DBEF0"/>
    <w:rsid w:val="314DFB8C"/>
    <w:rsid w:val="315FA981"/>
    <w:rsid w:val="31689FED"/>
    <w:rsid w:val="316A4179"/>
    <w:rsid w:val="316A68B7"/>
    <w:rsid w:val="316E0505"/>
    <w:rsid w:val="317AFA6D"/>
    <w:rsid w:val="317BC9BA"/>
    <w:rsid w:val="317F52A4"/>
    <w:rsid w:val="317F6915"/>
    <w:rsid w:val="317FD126"/>
    <w:rsid w:val="31828C45"/>
    <w:rsid w:val="31832B6D"/>
    <w:rsid w:val="31871737"/>
    <w:rsid w:val="3194CD4F"/>
    <w:rsid w:val="3196FD14"/>
    <w:rsid w:val="31971F2E"/>
    <w:rsid w:val="3199A68A"/>
    <w:rsid w:val="319CFA27"/>
    <w:rsid w:val="31A2CE53"/>
    <w:rsid w:val="31A6274E"/>
    <w:rsid w:val="31AEF734"/>
    <w:rsid w:val="31B0483E"/>
    <w:rsid w:val="31B37831"/>
    <w:rsid w:val="31B40063"/>
    <w:rsid w:val="31B468FE"/>
    <w:rsid w:val="31BD2828"/>
    <w:rsid w:val="31BF682F"/>
    <w:rsid w:val="31C3BBD3"/>
    <w:rsid w:val="31C6B444"/>
    <w:rsid w:val="31C6FBEC"/>
    <w:rsid w:val="31C7E218"/>
    <w:rsid w:val="31CA5A43"/>
    <w:rsid w:val="31CF8440"/>
    <w:rsid w:val="31D94A8B"/>
    <w:rsid w:val="31E2F391"/>
    <w:rsid w:val="31E45CA0"/>
    <w:rsid w:val="31E882DE"/>
    <w:rsid w:val="31E9D060"/>
    <w:rsid w:val="31EF3AAD"/>
    <w:rsid w:val="31EF9013"/>
    <w:rsid w:val="31F6D66F"/>
    <w:rsid w:val="31F81179"/>
    <w:rsid w:val="31F8A9F6"/>
    <w:rsid w:val="31FA8F19"/>
    <w:rsid w:val="3200DDD8"/>
    <w:rsid w:val="3201578A"/>
    <w:rsid w:val="3201BB0B"/>
    <w:rsid w:val="32024856"/>
    <w:rsid w:val="320A18AA"/>
    <w:rsid w:val="320A1D84"/>
    <w:rsid w:val="320C45BE"/>
    <w:rsid w:val="32100461"/>
    <w:rsid w:val="32115E05"/>
    <w:rsid w:val="321B2CFA"/>
    <w:rsid w:val="3222F72C"/>
    <w:rsid w:val="3225541D"/>
    <w:rsid w:val="32296845"/>
    <w:rsid w:val="322D4A59"/>
    <w:rsid w:val="322D90A3"/>
    <w:rsid w:val="3232FF76"/>
    <w:rsid w:val="32333CDB"/>
    <w:rsid w:val="3238EB47"/>
    <w:rsid w:val="323A07C0"/>
    <w:rsid w:val="323A4C27"/>
    <w:rsid w:val="323C5A05"/>
    <w:rsid w:val="323E5BBF"/>
    <w:rsid w:val="324039F4"/>
    <w:rsid w:val="3240F00C"/>
    <w:rsid w:val="32451FC0"/>
    <w:rsid w:val="32491364"/>
    <w:rsid w:val="324BA113"/>
    <w:rsid w:val="324E323A"/>
    <w:rsid w:val="325BCE47"/>
    <w:rsid w:val="325DE464"/>
    <w:rsid w:val="32684CA8"/>
    <w:rsid w:val="3268A498"/>
    <w:rsid w:val="326C0DA3"/>
    <w:rsid w:val="326C63ED"/>
    <w:rsid w:val="326F350E"/>
    <w:rsid w:val="3270A142"/>
    <w:rsid w:val="32762050"/>
    <w:rsid w:val="3279CAD7"/>
    <w:rsid w:val="327B1071"/>
    <w:rsid w:val="32851537"/>
    <w:rsid w:val="328AB945"/>
    <w:rsid w:val="328CD131"/>
    <w:rsid w:val="32907D98"/>
    <w:rsid w:val="32932A22"/>
    <w:rsid w:val="329503B8"/>
    <w:rsid w:val="32990873"/>
    <w:rsid w:val="329BFD1B"/>
    <w:rsid w:val="329DAB4A"/>
    <w:rsid w:val="329DCE73"/>
    <w:rsid w:val="329F58B9"/>
    <w:rsid w:val="32A37C97"/>
    <w:rsid w:val="32A6465F"/>
    <w:rsid w:val="32AB66DC"/>
    <w:rsid w:val="32AC4162"/>
    <w:rsid w:val="32AF64B4"/>
    <w:rsid w:val="32B738ED"/>
    <w:rsid w:val="32BA3D11"/>
    <w:rsid w:val="32BAC4C4"/>
    <w:rsid w:val="32C1649C"/>
    <w:rsid w:val="32C920FE"/>
    <w:rsid w:val="32D1DF67"/>
    <w:rsid w:val="32D2BC90"/>
    <w:rsid w:val="32E15967"/>
    <w:rsid w:val="32E41813"/>
    <w:rsid w:val="32EAC2DD"/>
    <w:rsid w:val="32EB65A0"/>
    <w:rsid w:val="32F03A7C"/>
    <w:rsid w:val="32F7AEE4"/>
    <w:rsid w:val="32F90A2F"/>
    <w:rsid w:val="3304D2B1"/>
    <w:rsid w:val="33051FF4"/>
    <w:rsid w:val="3305E95B"/>
    <w:rsid w:val="330A5D2E"/>
    <w:rsid w:val="330A9104"/>
    <w:rsid w:val="3314AF4A"/>
    <w:rsid w:val="33165EBE"/>
    <w:rsid w:val="3321BBC5"/>
    <w:rsid w:val="33264BD3"/>
    <w:rsid w:val="332FE40D"/>
    <w:rsid w:val="3331D427"/>
    <w:rsid w:val="33375146"/>
    <w:rsid w:val="333D1FAC"/>
    <w:rsid w:val="33426422"/>
    <w:rsid w:val="3342C8E4"/>
    <w:rsid w:val="33454113"/>
    <w:rsid w:val="3345D742"/>
    <w:rsid w:val="334B60DB"/>
    <w:rsid w:val="334D70E5"/>
    <w:rsid w:val="33566F77"/>
    <w:rsid w:val="335716EC"/>
    <w:rsid w:val="335BC6F2"/>
    <w:rsid w:val="335C7E99"/>
    <w:rsid w:val="335F997E"/>
    <w:rsid w:val="3361044F"/>
    <w:rsid w:val="33625356"/>
    <w:rsid w:val="3364EA5A"/>
    <w:rsid w:val="33677D56"/>
    <w:rsid w:val="33679AE4"/>
    <w:rsid w:val="336CFF51"/>
    <w:rsid w:val="336E258B"/>
    <w:rsid w:val="337413B0"/>
    <w:rsid w:val="3374FAD3"/>
    <w:rsid w:val="3375131E"/>
    <w:rsid w:val="337A981F"/>
    <w:rsid w:val="3384BFB6"/>
    <w:rsid w:val="3385A539"/>
    <w:rsid w:val="3387FFB4"/>
    <w:rsid w:val="3389FFBF"/>
    <w:rsid w:val="338C9717"/>
    <w:rsid w:val="3392F07E"/>
    <w:rsid w:val="3394F7AD"/>
    <w:rsid w:val="339513EA"/>
    <w:rsid w:val="339BE300"/>
    <w:rsid w:val="339D33BE"/>
    <w:rsid w:val="339E8886"/>
    <w:rsid w:val="33A0918C"/>
    <w:rsid w:val="33A16788"/>
    <w:rsid w:val="33A44B95"/>
    <w:rsid w:val="33A6C4F3"/>
    <w:rsid w:val="33ACB1F8"/>
    <w:rsid w:val="33B791D2"/>
    <w:rsid w:val="33B86E99"/>
    <w:rsid w:val="33B9F32B"/>
    <w:rsid w:val="33BF7371"/>
    <w:rsid w:val="33C6AAE2"/>
    <w:rsid w:val="33D1F127"/>
    <w:rsid w:val="33D3894D"/>
    <w:rsid w:val="33DB4DC2"/>
    <w:rsid w:val="33DB7917"/>
    <w:rsid w:val="33DB8CD6"/>
    <w:rsid w:val="33DD248F"/>
    <w:rsid w:val="33DF7809"/>
    <w:rsid w:val="33E2E53E"/>
    <w:rsid w:val="33E7AB16"/>
    <w:rsid w:val="33ED262A"/>
    <w:rsid w:val="33F25F48"/>
    <w:rsid w:val="33F484D7"/>
    <w:rsid w:val="340A9817"/>
    <w:rsid w:val="34100D28"/>
    <w:rsid w:val="34124750"/>
    <w:rsid w:val="3412B352"/>
    <w:rsid w:val="34133180"/>
    <w:rsid w:val="341B813A"/>
    <w:rsid w:val="341F7645"/>
    <w:rsid w:val="341FBBFB"/>
    <w:rsid w:val="3426A367"/>
    <w:rsid w:val="34353145"/>
    <w:rsid w:val="343B27DC"/>
    <w:rsid w:val="34408161"/>
    <w:rsid w:val="3447D72D"/>
    <w:rsid w:val="3452295D"/>
    <w:rsid w:val="34549302"/>
    <w:rsid w:val="34561C27"/>
    <w:rsid w:val="345645FB"/>
    <w:rsid w:val="3456D006"/>
    <w:rsid w:val="3457DB1C"/>
    <w:rsid w:val="345A2A69"/>
    <w:rsid w:val="345BB746"/>
    <w:rsid w:val="345D4A4F"/>
    <w:rsid w:val="3465D20B"/>
    <w:rsid w:val="346F7FBB"/>
    <w:rsid w:val="34742749"/>
    <w:rsid w:val="34755B2E"/>
    <w:rsid w:val="34770DC2"/>
    <w:rsid w:val="347B809B"/>
    <w:rsid w:val="347F0134"/>
    <w:rsid w:val="348328CE"/>
    <w:rsid w:val="348D55C7"/>
    <w:rsid w:val="348F228A"/>
    <w:rsid w:val="34908FC6"/>
    <w:rsid w:val="3494F555"/>
    <w:rsid w:val="34B2F6E3"/>
    <w:rsid w:val="34B5BEA7"/>
    <w:rsid w:val="34B78972"/>
    <w:rsid w:val="34BA4A8B"/>
    <w:rsid w:val="34BD6608"/>
    <w:rsid w:val="34BE19CD"/>
    <w:rsid w:val="34C0AB38"/>
    <w:rsid w:val="34C59957"/>
    <w:rsid w:val="34C8CEF4"/>
    <w:rsid w:val="34CB384B"/>
    <w:rsid w:val="34CCFD41"/>
    <w:rsid w:val="34CFE5FB"/>
    <w:rsid w:val="34DE0FB7"/>
    <w:rsid w:val="34E057D7"/>
    <w:rsid w:val="34E26220"/>
    <w:rsid w:val="34E7BCD7"/>
    <w:rsid w:val="34E84D00"/>
    <w:rsid w:val="34EA885F"/>
    <w:rsid w:val="34F3EBF6"/>
    <w:rsid w:val="34FF2017"/>
    <w:rsid w:val="350853F2"/>
    <w:rsid w:val="350C1133"/>
    <w:rsid w:val="35133083"/>
    <w:rsid w:val="3514B354"/>
    <w:rsid w:val="35162B76"/>
    <w:rsid w:val="351EECFC"/>
    <w:rsid w:val="3521F6EF"/>
    <w:rsid w:val="3522293F"/>
    <w:rsid w:val="3525C21D"/>
    <w:rsid w:val="3529B29F"/>
    <w:rsid w:val="352D8468"/>
    <w:rsid w:val="352E1144"/>
    <w:rsid w:val="35306B54"/>
    <w:rsid w:val="3532BB43"/>
    <w:rsid w:val="3537CC69"/>
    <w:rsid w:val="353BFD5F"/>
    <w:rsid w:val="353CBDAE"/>
    <w:rsid w:val="3543450C"/>
    <w:rsid w:val="3543FA27"/>
    <w:rsid w:val="3544CA3D"/>
    <w:rsid w:val="354571EE"/>
    <w:rsid w:val="354740C4"/>
    <w:rsid w:val="354D5EB1"/>
    <w:rsid w:val="3551B833"/>
    <w:rsid w:val="35534EA7"/>
    <w:rsid w:val="35576A62"/>
    <w:rsid w:val="355985F3"/>
    <w:rsid w:val="355D3A22"/>
    <w:rsid w:val="35613518"/>
    <w:rsid w:val="35614BE6"/>
    <w:rsid w:val="3563B995"/>
    <w:rsid w:val="3564B8CB"/>
    <w:rsid w:val="3565FFB0"/>
    <w:rsid w:val="35674BDE"/>
    <w:rsid w:val="3567D6A9"/>
    <w:rsid w:val="3568E500"/>
    <w:rsid w:val="356A7A91"/>
    <w:rsid w:val="356D667A"/>
    <w:rsid w:val="35720ACE"/>
    <w:rsid w:val="35724C13"/>
    <w:rsid w:val="35775669"/>
    <w:rsid w:val="35814029"/>
    <w:rsid w:val="35854D4C"/>
    <w:rsid w:val="3585E8C9"/>
    <w:rsid w:val="35893890"/>
    <w:rsid w:val="35898A04"/>
    <w:rsid w:val="358AA176"/>
    <w:rsid w:val="358ED649"/>
    <w:rsid w:val="358F175F"/>
    <w:rsid w:val="358FCEA9"/>
    <w:rsid w:val="3592B443"/>
    <w:rsid w:val="359924A1"/>
    <w:rsid w:val="359C959A"/>
    <w:rsid w:val="35A1056E"/>
    <w:rsid w:val="35A5757F"/>
    <w:rsid w:val="35A7B48A"/>
    <w:rsid w:val="35A9217D"/>
    <w:rsid w:val="35AAA4B1"/>
    <w:rsid w:val="35AFC5AA"/>
    <w:rsid w:val="35B040BF"/>
    <w:rsid w:val="35B0C15B"/>
    <w:rsid w:val="35B4C3F8"/>
    <w:rsid w:val="35B5ADD2"/>
    <w:rsid w:val="35B6EF6F"/>
    <w:rsid w:val="35B8FD96"/>
    <w:rsid w:val="35C60BAC"/>
    <w:rsid w:val="35CA2FEA"/>
    <w:rsid w:val="35CE75AE"/>
    <w:rsid w:val="35D00667"/>
    <w:rsid w:val="35D3B6F1"/>
    <w:rsid w:val="35D71EC9"/>
    <w:rsid w:val="35EF9007"/>
    <w:rsid w:val="35F259F9"/>
    <w:rsid w:val="35F42576"/>
    <w:rsid w:val="35F6B2F8"/>
    <w:rsid w:val="35FDDB58"/>
    <w:rsid w:val="3600C4B4"/>
    <w:rsid w:val="3605B3C0"/>
    <w:rsid w:val="3607640C"/>
    <w:rsid w:val="360854A6"/>
    <w:rsid w:val="360940E7"/>
    <w:rsid w:val="360975E4"/>
    <w:rsid w:val="36118190"/>
    <w:rsid w:val="361529CA"/>
    <w:rsid w:val="361C9287"/>
    <w:rsid w:val="361D99D3"/>
    <w:rsid w:val="36288504"/>
    <w:rsid w:val="36296EE9"/>
    <w:rsid w:val="362A0E3E"/>
    <w:rsid w:val="362DEC3C"/>
    <w:rsid w:val="362E2169"/>
    <w:rsid w:val="36302F21"/>
    <w:rsid w:val="3630F5B7"/>
    <w:rsid w:val="36349561"/>
    <w:rsid w:val="3636AFE9"/>
    <w:rsid w:val="363890C8"/>
    <w:rsid w:val="3642F7F1"/>
    <w:rsid w:val="3643C94D"/>
    <w:rsid w:val="36467B41"/>
    <w:rsid w:val="364FC536"/>
    <w:rsid w:val="36580471"/>
    <w:rsid w:val="365A977F"/>
    <w:rsid w:val="365B9462"/>
    <w:rsid w:val="36600B84"/>
    <w:rsid w:val="36718BAC"/>
    <w:rsid w:val="3679D482"/>
    <w:rsid w:val="36808B18"/>
    <w:rsid w:val="368A4853"/>
    <w:rsid w:val="368CC8EB"/>
    <w:rsid w:val="368DE41E"/>
    <w:rsid w:val="36915283"/>
    <w:rsid w:val="36974822"/>
    <w:rsid w:val="36997AF3"/>
    <w:rsid w:val="36A6FC30"/>
    <w:rsid w:val="36A82B2F"/>
    <w:rsid w:val="36AA83F7"/>
    <w:rsid w:val="36AF405D"/>
    <w:rsid w:val="36B2453C"/>
    <w:rsid w:val="36B25C7E"/>
    <w:rsid w:val="36B2AABD"/>
    <w:rsid w:val="36B3ED82"/>
    <w:rsid w:val="36B99ECF"/>
    <w:rsid w:val="36C2071C"/>
    <w:rsid w:val="36C671B0"/>
    <w:rsid w:val="36CBD7FA"/>
    <w:rsid w:val="36CF78D0"/>
    <w:rsid w:val="36D0EF04"/>
    <w:rsid w:val="36D34677"/>
    <w:rsid w:val="36D5D28B"/>
    <w:rsid w:val="36D9D6AD"/>
    <w:rsid w:val="36E1338D"/>
    <w:rsid w:val="36E5B207"/>
    <w:rsid w:val="36F17D0A"/>
    <w:rsid w:val="36F18164"/>
    <w:rsid w:val="36F6C127"/>
    <w:rsid w:val="36F9CC1E"/>
    <w:rsid w:val="3701A846"/>
    <w:rsid w:val="370249AA"/>
    <w:rsid w:val="3706308F"/>
    <w:rsid w:val="37094D4C"/>
    <w:rsid w:val="37098E51"/>
    <w:rsid w:val="370A69CB"/>
    <w:rsid w:val="370CCFA3"/>
    <w:rsid w:val="37103042"/>
    <w:rsid w:val="37134908"/>
    <w:rsid w:val="3714EEFF"/>
    <w:rsid w:val="3717794B"/>
    <w:rsid w:val="371F6057"/>
    <w:rsid w:val="37235501"/>
    <w:rsid w:val="372AAB37"/>
    <w:rsid w:val="372DCFB7"/>
    <w:rsid w:val="372E766C"/>
    <w:rsid w:val="3730A604"/>
    <w:rsid w:val="3733BBEF"/>
    <w:rsid w:val="373CB2BC"/>
    <w:rsid w:val="373EC730"/>
    <w:rsid w:val="373F371D"/>
    <w:rsid w:val="3743FA1E"/>
    <w:rsid w:val="374422CD"/>
    <w:rsid w:val="3749C706"/>
    <w:rsid w:val="374E3ED8"/>
    <w:rsid w:val="374E659D"/>
    <w:rsid w:val="3750E2B2"/>
    <w:rsid w:val="37534BC7"/>
    <w:rsid w:val="375EDF41"/>
    <w:rsid w:val="37632C0E"/>
    <w:rsid w:val="3768D42D"/>
    <w:rsid w:val="3769BB0C"/>
    <w:rsid w:val="376B5FC8"/>
    <w:rsid w:val="376D4D7F"/>
    <w:rsid w:val="376E575E"/>
    <w:rsid w:val="3777E248"/>
    <w:rsid w:val="3781991F"/>
    <w:rsid w:val="378F3C1B"/>
    <w:rsid w:val="3796B812"/>
    <w:rsid w:val="3797F573"/>
    <w:rsid w:val="37981D2F"/>
    <w:rsid w:val="379BAF8E"/>
    <w:rsid w:val="37A28C0C"/>
    <w:rsid w:val="37A53DB0"/>
    <w:rsid w:val="37A78EAF"/>
    <w:rsid w:val="37A85B6F"/>
    <w:rsid w:val="37AAC534"/>
    <w:rsid w:val="37B56AEF"/>
    <w:rsid w:val="37B82CDC"/>
    <w:rsid w:val="37C21BED"/>
    <w:rsid w:val="37C32A37"/>
    <w:rsid w:val="37C8A036"/>
    <w:rsid w:val="37D4A2B6"/>
    <w:rsid w:val="37D67D78"/>
    <w:rsid w:val="37D68C80"/>
    <w:rsid w:val="37D8038A"/>
    <w:rsid w:val="37DC952D"/>
    <w:rsid w:val="37DD025D"/>
    <w:rsid w:val="37E39EEF"/>
    <w:rsid w:val="37E459CA"/>
    <w:rsid w:val="37F0808A"/>
    <w:rsid w:val="37F7AB6F"/>
    <w:rsid w:val="37F8375A"/>
    <w:rsid w:val="37F97B6A"/>
    <w:rsid w:val="37FCE931"/>
    <w:rsid w:val="37FD84BC"/>
    <w:rsid w:val="37FF3550"/>
    <w:rsid w:val="380830C4"/>
    <w:rsid w:val="380AE2E2"/>
    <w:rsid w:val="3818148A"/>
    <w:rsid w:val="381BAF95"/>
    <w:rsid w:val="381F8E62"/>
    <w:rsid w:val="38202BCB"/>
    <w:rsid w:val="382E5B96"/>
    <w:rsid w:val="383122BF"/>
    <w:rsid w:val="3835AF2E"/>
    <w:rsid w:val="3836240C"/>
    <w:rsid w:val="384618D9"/>
    <w:rsid w:val="384A71CD"/>
    <w:rsid w:val="384E4C8C"/>
    <w:rsid w:val="3854FFEB"/>
    <w:rsid w:val="385576B2"/>
    <w:rsid w:val="385CD694"/>
    <w:rsid w:val="385D1F46"/>
    <w:rsid w:val="385DEEF4"/>
    <w:rsid w:val="386312F8"/>
    <w:rsid w:val="386509EC"/>
    <w:rsid w:val="386DBFBA"/>
    <w:rsid w:val="3876D1CF"/>
    <w:rsid w:val="38810C58"/>
    <w:rsid w:val="388B0A60"/>
    <w:rsid w:val="388E67FA"/>
    <w:rsid w:val="388FFD17"/>
    <w:rsid w:val="3891E17F"/>
    <w:rsid w:val="3894DB3E"/>
    <w:rsid w:val="38953240"/>
    <w:rsid w:val="38A2EA26"/>
    <w:rsid w:val="38A6A134"/>
    <w:rsid w:val="38B31657"/>
    <w:rsid w:val="38B7A8CD"/>
    <w:rsid w:val="38B813A5"/>
    <w:rsid w:val="38C02140"/>
    <w:rsid w:val="38C31EEE"/>
    <w:rsid w:val="38C64AB4"/>
    <w:rsid w:val="38CFD1F1"/>
    <w:rsid w:val="38D24D7E"/>
    <w:rsid w:val="38DB71B8"/>
    <w:rsid w:val="38DBD355"/>
    <w:rsid w:val="38DE9E79"/>
    <w:rsid w:val="38E0A3D1"/>
    <w:rsid w:val="38E13D59"/>
    <w:rsid w:val="38E28CE7"/>
    <w:rsid w:val="38E2920D"/>
    <w:rsid w:val="38E63403"/>
    <w:rsid w:val="38E92C2F"/>
    <w:rsid w:val="38EFB9E3"/>
    <w:rsid w:val="38F8BC2F"/>
    <w:rsid w:val="38FA4738"/>
    <w:rsid w:val="38FB8006"/>
    <w:rsid w:val="38FE74E1"/>
    <w:rsid w:val="390DA20E"/>
    <w:rsid w:val="3911BE44"/>
    <w:rsid w:val="391674F7"/>
    <w:rsid w:val="3919FED9"/>
    <w:rsid w:val="391F2A63"/>
    <w:rsid w:val="392050CC"/>
    <w:rsid w:val="3927D95C"/>
    <w:rsid w:val="3935CA9A"/>
    <w:rsid w:val="39397BB0"/>
    <w:rsid w:val="3942AEF9"/>
    <w:rsid w:val="3943EE29"/>
    <w:rsid w:val="39442552"/>
    <w:rsid w:val="394525CA"/>
    <w:rsid w:val="394C54BE"/>
    <w:rsid w:val="394E256D"/>
    <w:rsid w:val="394EBF59"/>
    <w:rsid w:val="39549A32"/>
    <w:rsid w:val="3957024C"/>
    <w:rsid w:val="395F9646"/>
    <w:rsid w:val="3964F5B8"/>
    <w:rsid w:val="3968AA56"/>
    <w:rsid w:val="3968DB0B"/>
    <w:rsid w:val="396A3774"/>
    <w:rsid w:val="396B4E23"/>
    <w:rsid w:val="396D7F15"/>
    <w:rsid w:val="397161E2"/>
    <w:rsid w:val="3975D7AE"/>
    <w:rsid w:val="397D13B5"/>
    <w:rsid w:val="397DD85B"/>
    <w:rsid w:val="39816E43"/>
    <w:rsid w:val="39885860"/>
    <w:rsid w:val="398B6D43"/>
    <w:rsid w:val="39904CAD"/>
    <w:rsid w:val="39913A18"/>
    <w:rsid w:val="3991DE6A"/>
    <w:rsid w:val="39955E6E"/>
    <w:rsid w:val="3996047C"/>
    <w:rsid w:val="399A168D"/>
    <w:rsid w:val="399A953E"/>
    <w:rsid w:val="399ED6FE"/>
    <w:rsid w:val="39B4968D"/>
    <w:rsid w:val="39BACBDB"/>
    <w:rsid w:val="39C04C22"/>
    <w:rsid w:val="39C0E3B8"/>
    <w:rsid w:val="39C6A8D6"/>
    <w:rsid w:val="39D88D94"/>
    <w:rsid w:val="39DAF2B3"/>
    <w:rsid w:val="39E41742"/>
    <w:rsid w:val="39E4E429"/>
    <w:rsid w:val="39E67AD5"/>
    <w:rsid w:val="39E72ACF"/>
    <w:rsid w:val="39E8AC5B"/>
    <w:rsid w:val="39EBB82B"/>
    <w:rsid w:val="39ECAD99"/>
    <w:rsid w:val="39EDADC2"/>
    <w:rsid w:val="39FB46EB"/>
    <w:rsid w:val="3A03B451"/>
    <w:rsid w:val="3A06D467"/>
    <w:rsid w:val="3A09C2CE"/>
    <w:rsid w:val="3A0A88FF"/>
    <w:rsid w:val="3A0D7637"/>
    <w:rsid w:val="3A0FA645"/>
    <w:rsid w:val="3A158EAC"/>
    <w:rsid w:val="3A15AA93"/>
    <w:rsid w:val="3A16ED95"/>
    <w:rsid w:val="3A188297"/>
    <w:rsid w:val="3A1D6EA1"/>
    <w:rsid w:val="3A218750"/>
    <w:rsid w:val="3A25B7E3"/>
    <w:rsid w:val="3A279696"/>
    <w:rsid w:val="3A27CFE9"/>
    <w:rsid w:val="3A292DC6"/>
    <w:rsid w:val="3A29AFB8"/>
    <w:rsid w:val="3A484092"/>
    <w:rsid w:val="3A493E63"/>
    <w:rsid w:val="3A499449"/>
    <w:rsid w:val="3A4C5640"/>
    <w:rsid w:val="3A504A08"/>
    <w:rsid w:val="3A521AF9"/>
    <w:rsid w:val="3A53B88C"/>
    <w:rsid w:val="3A55DE83"/>
    <w:rsid w:val="3A56E422"/>
    <w:rsid w:val="3A5A3DC1"/>
    <w:rsid w:val="3A5D0E3D"/>
    <w:rsid w:val="3A64A542"/>
    <w:rsid w:val="3A675845"/>
    <w:rsid w:val="3A750046"/>
    <w:rsid w:val="3A7957B7"/>
    <w:rsid w:val="3A7B600A"/>
    <w:rsid w:val="3A7B71E1"/>
    <w:rsid w:val="3A7C992E"/>
    <w:rsid w:val="3A86C662"/>
    <w:rsid w:val="3A883864"/>
    <w:rsid w:val="3A8CCBB8"/>
    <w:rsid w:val="3AA15181"/>
    <w:rsid w:val="3AA1FF19"/>
    <w:rsid w:val="3AB231C6"/>
    <w:rsid w:val="3AB2A23F"/>
    <w:rsid w:val="3AB51AAF"/>
    <w:rsid w:val="3ABAE2D5"/>
    <w:rsid w:val="3AC4760F"/>
    <w:rsid w:val="3ACAE6E3"/>
    <w:rsid w:val="3ACBF7CA"/>
    <w:rsid w:val="3ACD50AC"/>
    <w:rsid w:val="3ACF0383"/>
    <w:rsid w:val="3ACFC54E"/>
    <w:rsid w:val="3AD01D76"/>
    <w:rsid w:val="3AD070C8"/>
    <w:rsid w:val="3AD1E95A"/>
    <w:rsid w:val="3AD557B1"/>
    <w:rsid w:val="3AD9EB0F"/>
    <w:rsid w:val="3AE0ACC7"/>
    <w:rsid w:val="3AE28DB8"/>
    <w:rsid w:val="3AE3AFED"/>
    <w:rsid w:val="3AE491A1"/>
    <w:rsid w:val="3AEAA77C"/>
    <w:rsid w:val="3AFBD650"/>
    <w:rsid w:val="3AFC5A64"/>
    <w:rsid w:val="3B020322"/>
    <w:rsid w:val="3B0BA557"/>
    <w:rsid w:val="3B0E4483"/>
    <w:rsid w:val="3B11440D"/>
    <w:rsid w:val="3B119B2C"/>
    <w:rsid w:val="3B2ED162"/>
    <w:rsid w:val="3B2F280E"/>
    <w:rsid w:val="3B2F2E65"/>
    <w:rsid w:val="3B2F2FA4"/>
    <w:rsid w:val="3B2FB160"/>
    <w:rsid w:val="3B306D99"/>
    <w:rsid w:val="3B34B120"/>
    <w:rsid w:val="3B36B9D5"/>
    <w:rsid w:val="3B403B7B"/>
    <w:rsid w:val="3B4702A1"/>
    <w:rsid w:val="3B48B476"/>
    <w:rsid w:val="3B496775"/>
    <w:rsid w:val="3B49E60C"/>
    <w:rsid w:val="3B4D8F76"/>
    <w:rsid w:val="3B4DC3FD"/>
    <w:rsid w:val="3B509CD1"/>
    <w:rsid w:val="3B589114"/>
    <w:rsid w:val="3B5906A2"/>
    <w:rsid w:val="3B61A504"/>
    <w:rsid w:val="3B69A1A7"/>
    <w:rsid w:val="3B7E9E0B"/>
    <w:rsid w:val="3B823245"/>
    <w:rsid w:val="3B8719E6"/>
    <w:rsid w:val="3B87753A"/>
    <w:rsid w:val="3B8BCF89"/>
    <w:rsid w:val="3B9429B1"/>
    <w:rsid w:val="3B9460C6"/>
    <w:rsid w:val="3B94F281"/>
    <w:rsid w:val="3B961114"/>
    <w:rsid w:val="3B9845DB"/>
    <w:rsid w:val="3B98BD84"/>
    <w:rsid w:val="3B9F1077"/>
    <w:rsid w:val="3BA2113A"/>
    <w:rsid w:val="3BA2774C"/>
    <w:rsid w:val="3BA27FC0"/>
    <w:rsid w:val="3BA596ED"/>
    <w:rsid w:val="3BA875C7"/>
    <w:rsid w:val="3BB37A52"/>
    <w:rsid w:val="3BBC5551"/>
    <w:rsid w:val="3BBE86A3"/>
    <w:rsid w:val="3BBE9BE2"/>
    <w:rsid w:val="3BC51547"/>
    <w:rsid w:val="3BC9B502"/>
    <w:rsid w:val="3BCA5728"/>
    <w:rsid w:val="3BCBE8AF"/>
    <w:rsid w:val="3BCFFC73"/>
    <w:rsid w:val="3BD6B9C0"/>
    <w:rsid w:val="3BD799E3"/>
    <w:rsid w:val="3BDAB41C"/>
    <w:rsid w:val="3BDC5F26"/>
    <w:rsid w:val="3BDEB61D"/>
    <w:rsid w:val="3BDEFF7E"/>
    <w:rsid w:val="3BE1E31D"/>
    <w:rsid w:val="3BE49FA8"/>
    <w:rsid w:val="3BEB48E3"/>
    <w:rsid w:val="3BEC5023"/>
    <w:rsid w:val="3BEFE469"/>
    <w:rsid w:val="3BEFE707"/>
    <w:rsid w:val="3BF33095"/>
    <w:rsid w:val="3BF73E4F"/>
    <w:rsid w:val="3BF9ADE6"/>
    <w:rsid w:val="3C005287"/>
    <w:rsid w:val="3C014ABD"/>
    <w:rsid w:val="3C082DDE"/>
    <w:rsid w:val="3C0C688C"/>
    <w:rsid w:val="3C15C71E"/>
    <w:rsid w:val="3C164C15"/>
    <w:rsid w:val="3C19522F"/>
    <w:rsid w:val="3C1F2C4B"/>
    <w:rsid w:val="3C21002E"/>
    <w:rsid w:val="3C252841"/>
    <w:rsid w:val="3C253511"/>
    <w:rsid w:val="3C2703EB"/>
    <w:rsid w:val="3C2DAE0A"/>
    <w:rsid w:val="3C2E6CDC"/>
    <w:rsid w:val="3C2E9C94"/>
    <w:rsid w:val="3C2FD916"/>
    <w:rsid w:val="3C3A3D48"/>
    <w:rsid w:val="3C3AC3A9"/>
    <w:rsid w:val="3C3F329A"/>
    <w:rsid w:val="3C3F96FC"/>
    <w:rsid w:val="3C413137"/>
    <w:rsid w:val="3C4CBFDD"/>
    <w:rsid w:val="3C5CAE73"/>
    <w:rsid w:val="3C602D6F"/>
    <w:rsid w:val="3C6129BF"/>
    <w:rsid w:val="3C64EC0E"/>
    <w:rsid w:val="3C6554EB"/>
    <w:rsid w:val="3C69182B"/>
    <w:rsid w:val="3C6CD5EB"/>
    <w:rsid w:val="3C6DC260"/>
    <w:rsid w:val="3C6E0280"/>
    <w:rsid w:val="3C7036FD"/>
    <w:rsid w:val="3C744D50"/>
    <w:rsid w:val="3C78C285"/>
    <w:rsid w:val="3C7958FC"/>
    <w:rsid w:val="3C7FA1F9"/>
    <w:rsid w:val="3C8112F0"/>
    <w:rsid w:val="3C83E4B0"/>
    <w:rsid w:val="3C886F4E"/>
    <w:rsid w:val="3C89D5A1"/>
    <w:rsid w:val="3C92010E"/>
    <w:rsid w:val="3C932B04"/>
    <w:rsid w:val="3C9AE332"/>
    <w:rsid w:val="3C9C0B98"/>
    <w:rsid w:val="3C9CFB21"/>
    <w:rsid w:val="3CA02FDE"/>
    <w:rsid w:val="3CA1AC16"/>
    <w:rsid w:val="3CA227F6"/>
    <w:rsid w:val="3CA5BA4C"/>
    <w:rsid w:val="3CAA5CC6"/>
    <w:rsid w:val="3CAB2C26"/>
    <w:rsid w:val="3CADF997"/>
    <w:rsid w:val="3CAE098A"/>
    <w:rsid w:val="3CB24BB3"/>
    <w:rsid w:val="3CB70470"/>
    <w:rsid w:val="3CB813B7"/>
    <w:rsid w:val="3CBA53E3"/>
    <w:rsid w:val="3CBB68D0"/>
    <w:rsid w:val="3CC3BBC7"/>
    <w:rsid w:val="3CC403BD"/>
    <w:rsid w:val="3CD3E08D"/>
    <w:rsid w:val="3CDD61F6"/>
    <w:rsid w:val="3CE17CD8"/>
    <w:rsid w:val="3CE52F5C"/>
    <w:rsid w:val="3CE544E6"/>
    <w:rsid w:val="3CE82B97"/>
    <w:rsid w:val="3CEDDE59"/>
    <w:rsid w:val="3CF07FC8"/>
    <w:rsid w:val="3CF0D254"/>
    <w:rsid w:val="3CF8A811"/>
    <w:rsid w:val="3CF8DC92"/>
    <w:rsid w:val="3CFA41F4"/>
    <w:rsid w:val="3CFACBFC"/>
    <w:rsid w:val="3D14B3BE"/>
    <w:rsid w:val="3D198242"/>
    <w:rsid w:val="3D1B622B"/>
    <w:rsid w:val="3D1CF67F"/>
    <w:rsid w:val="3D1F682D"/>
    <w:rsid w:val="3D327B9F"/>
    <w:rsid w:val="3D368A1B"/>
    <w:rsid w:val="3D396A5C"/>
    <w:rsid w:val="3D43F353"/>
    <w:rsid w:val="3D466C6E"/>
    <w:rsid w:val="3D515644"/>
    <w:rsid w:val="3D515F22"/>
    <w:rsid w:val="3D57C622"/>
    <w:rsid w:val="3D59126E"/>
    <w:rsid w:val="3D5AA221"/>
    <w:rsid w:val="3D5B2804"/>
    <w:rsid w:val="3D5E24E2"/>
    <w:rsid w:val="3D603D3A"/>
    <w:rsid w:val="3D604820"/>
    <w:rsid w:val="3D643AE2"/>
    <w:rsid w:val="3D6638FC"/>
    <w:rsid w:val="3D6F7004"/>
    <w:rsid w:val="3D78DE53"/>
    <w:rsid w:val="3D792C8B"/>
    <w:rsid w:val="3D7ADF99"/>
    <w:rsid w:val="3D7B5971"/>
    <w:rsid w:val="3D7B6493"/>
    <w:rsid w:val="3D818F3E"/>
    <w:rsid w:val="3D87A267"/>
    <w:rsid w:val="3D87C24D"/>
    <w:rsid w:val="3D8EE06B"/>
    <w:rsid w:val="3D9422BF"/>
    <w:rsid w:val="3D945AE7"/>
    <w:rsid w:val="3D954975"/>
    <w:rsid w:val="3D9C646D"/>
    <w:rsid w:val="3DA781D5"/>
    <w:rsid w:val="3DA816C7"/>
    <w:rsid w:val="3DADFB31"/>
    <w:rsid w:val="3DAFB8A8"/>
    <w:rsid w:val="3DB00C8D"/>
    <w:rsid w:val="3DB28231"/>
    <w:rsid w:val="3DB29667"/>
    <w:rsid w:val="3DB7343A"/>
    <w:rsid w:val="3DB7D04C"/>
    <w:rsid w:val="3DB819C3"/>
    <w:rsid w:val="3DB888E5"/>
    <w:rsid w:val="3DBFF2F8"/>
    <w:rsid w:val="3DC1934C"/>
    <w:rsid w:val="3DC53D56"/>
    <w:rsid w:val="3DC79F75"/>
    <w:rsid w:val="3DC89008"/>
    <w:rsid w:val="3DCAE792"/>
    <w:rsid w:val="3DCC2D52"/>
    <w:rsid w:val="3DCD4A07"/>
    <w:rsid w:val="3DCF9643"/>
    <w:rsid w:val="3DD14E25"/>
    <w:rsid w:val="3DD2DC55"/>
    <w:rsid w:val="3DD3FD3F"/>
    <w:rsid w:val="3DE227FC"/>
    <w:rsid w:val="3DE34A2E"/>
    <w:rsid w:val="3DE57BBA"/>
    <w:rsid w:val="3DECAF4C"/>
    <w:rsid w:val="3DF12715"/>
    <w:rsid w:val="3DF34785"/>
    <w:rsid w:val="3DF57DC9"/>
    <w:rsid w:val="3DF68175"/>
    <w:rsid w:val="3DF6CAF4"/>
    <w:rsid w:val="3DF98DFA"/>
    <w:rsid w:val="3DFA7A04"/>
    <w:rsid w:val="3E00B8C3"/>
    <w:rsid w:val="3E09EE99"/>
    <w:rsid w:val="3E0A0EE0"/>
    <w:rsid w:val="3E15DB26"/>
    <w:rsid w:val="3E173111"/>
    <w:rsid w:val="3E1B9DD3"/>
    <w:rsid w:val="3E1C6542"/>
    <w:rsid w:val="3E225B4E"/>
    <w:rsid w:val="3E25C3C9"/>
    <w:rsid w:val="3E267D44"/>
    <w:rsid w:val="3E2AA7C7"/>
    <w:rsid w:val="3E2B83B2"/>
    <w:rsid w:val="3E32E317"/>
    <w:rsid w:val="3E33ECB7"/>
    <w:rsid w:val="3E3568BE"/>
    <w:rsid w:val="3E36629B"/>
    <w:rsid w:val="3E4E3AED"/>
    <w:rsid w:val="3E547A5D"/>
    <w:rsid w:val="3E582686"/>
    <w:rsid w:val="3E59045A"/>
    <w:rsid w:val="3E5A0685"/>
    <w:rsid w:val="3E5A10AE"/>
    <w:rsid w:val="3E5EA695"/>
    <w:rsid w:val="3E62397A"/>
    <w:rsid w:val="3E69ABF5"/>
    <w:rsid w:val="3E6CA4CD"/>
    <w:rsid w:val="3E7005A7"/>
    <w:rsid w:val="3E7684D0"/>
    <w:rsid w:val="3E7C149E"/>
    <w:rsid w:val="3E7C2A2A"/>
    <w:rsid w:val="3E8264FD"/>
    <w:rsid w:val="3E841CB3"/>
    <w:rsid w:val="3E852F7E"/>
    <w:rsid w:val="3E87AB64"/>
    <w:rsid w:val="3E89E168"/>
    <w:rsid w:val="3E96BFDA"/>
    <w:rsid w:val="3E9865A8"/>
    <w:rsid w:val="3E9A0E36"/>
    <w:rsid w:val="3E9A5287"/>
    <w:rsid w:val="3EA07885"/>
    <w:rsid w:val="3EA24801"/>
    <w:rsid w:val="3EA45EA1"/>
    <w:rsid w:val="3EAA7F6F"/>
    <w:rsid w:val="3EAF7F47"/>
    <w:rsid w:val="3EB5591F"/>
    <w:rsid w:val="3EBAF11B"/>
    <w:rsid w:val="3EBBC2D0"/>
    <w:rsid w:val="3EBEFE11"/>
    <w:rsid w:val="3EC39A52"/>
    <w:rsid w:val="3ECB68FD"/>
    <w:rsid w:val="3ED01BFC"/>
    <w:rsid w:val="3EE10507"/>
    <w:rsid w:val="3EE40162"/>
    <w:rsid w:val="3EE403DA"/>
    <w:rsid w:val="3EEB306A"/>
    <w:rsid w:val="3EEB5935"/>
    <w:rsid w:val="3EEFCCFD"/>
    <w:rsid w:val="3EF20DCD"/>
    <w:rsid w:val="3EF76BE8"/>
    <w:rsid w:val="3EF80C90"/>
    <w:rsid w:val="3EFA1CF4"/>
    <w:rsid w:val="3EFC04DF"/>
    <w:rsid w:val="3EFC59D3"/>
    <w:rsid w:val="3EFD3D3F"/>
    <w:rsid w:val="3F006B36"/>
    <w:rsid w:val="3F017687"/>
    <w:rsid w:val="3F017823"/>
    <w:rsid w:val="3F023580"/>
    <w:rsid w:val="3F0930B0"/>
    <w:rsid w:val="3F0B6E59"/>
    <w:rsid w:val="3F0D5A99"/>
    <w:rsid w:val="3F119322"/>
    <w:rsid w:val="3F14FFA2"/>
    <w:rsid w:val="3F15AA48"/>
    <w:rsid w:val="3F165DE2"/>
    <w:rsid w:val="3F16A9F5"/>
    <w:rsid w:val="3F1BA828"/>
    <w:rsid w:val="3F1CEA2A"/>
    <w:rsid w:val="3F29AFC4"/>
    <w:rsid w:val="3F2CED87"/>
    <w:rsid w:val="3F30A7B6"/>
    <w:rsid w:val="3F3399FB"/>
    <w:rsid w:val="3F3A3DC8"/>
    <w:rsid w:val="3F3C1978"/>
    <w:rsid w:val="3F3C589D"/>
    <w:rsid w:val="3F52D8DC"/>
    <w:rsid w:val="3F5553DD"/>
    <w:rsid w:val="3F5BECD3"/>
    <w:rsid w:val="3F5E5D65"/>
    <w:rsid w:val="3F615AB0"/>
    <w:rsid w:val="3F65546B"/>
    <w:rsid w:val="3F663D56"/>
    <w:rsid w:val="3F676BCB"/>
    <w:rsid w:val="3F6D6C63"/>
    <w:rsid w:val="3F70AEEE"/>
    <w:rsid w:val="3F7288E6"/>
    <w:rsid w:val="3F7E3969"/>
    <w:rsid w:val="3F7FBBC1"/>
    <w:rsid w:val="3F820D61"/>
    <w:rsid w:val="3F88DF0B"/>
    <w:rsid w:val="3F8A96F8"/>
    <w:rsid w:val="3F8CF4F4"/>
    <w:rsid w:val="3F900D35"/>
    <w:rsid w:val="3F914BBC"/>
    <w:rsid w:val="3F927563"/>
    <w:rsid w:val="3F99D432"/>
    <w:rsid w:val="3FA0C13E"/>
    <w:rsid w:val="3FA12D77"/>
    <w:rsid w:val="3FA7988B"/>
    <w:rsid w:val="3FAB54AA"/>
    <w:rsid w:val="3FB1374E"/>
    <w:rsid w:val="3FB20FF4"/>
    <w:rsid w:val="3FB3E3DF"/>
    <w:rsid w:val="3FBCAA6F"/>
    <w:rsid w:val="3FC57A47"/>
    <w:rsid w:val="3FC74F65"/>
    <w:rsid w:val="3FCD325A"/>
    <w:rsid w:val="3FD08FC5"/>
    <w:rsid w:val="3FD25F38"/>
    <w:rsid w:val="3FD8AD81"/>
    <w:rsid w:val="3FD9F5EC"/>
    <w:rsid w:val="3FDE509A"/>
    <w:rsid w:val="3FDE7E39"/>
    <w:rsid w:val="3FE11EF3"/>
    <w:rsid w:val="3FEAF2E2"/>
    <w:rsid w:val="3FF650C3"/>
    <w:rsid w:val="3FF7D28F"/>
    <w:rsid w:val="3FF9B742"/>
    <w:rsid w:val="3FFDDD32"/>
    <w:rsid w:val="4002FD80"/>
    <w:rsid w:val="4006C4BC"/>
    <w:rsid w:val="4007BD49"/>
    <w:rsid w:val="4011E5E1"/>
    <w:rsid w:val="40170B50"/>
    <w:rsid w:val="4018C453"/>
    <w:rsid w:val="40217AC2"/>
    <w:rsid w:val="40299849"/>
    <w:rsid w:val="402A2745"/>
    <w:rsid w:val="403090AC"/>
    <w:rsid w:val="403B6C7C"/>
    <w:rsid w:val="403D27D0"/>
    <w:rsid w:val="403ECD1F"/>
    <w:rsid w:val="4047EB18"/>
    <w:rsid w:val="404A5E55"/>
    <w:rsid w:val="40510969"/>
    <w:rsid w:val="4053B39F"/>
    <w:rsid w:val="4056EAF0"/>
    <w:rsid w:val="40590766"/>
    <w:rsid w:val="405DAAD8"/>
    <w:rsid w:val="4067E7E9"/>
    <w:rsid w:val="407041D3"/>
    <w:rsid w:val="40724F6B"/>
    <w:rsid w:val="40794030"/>
    <w:rsid w:val="407A3599"/>
    <w:rsid w:val="407FF143"/>
    <w:rsid w:val="40806B1F"/>
    <w:rsid w:val="408A57C1"/>
    <w:rsid w:val="408E0EC9"/>
    <w:rsid w:val="408F8B43"/>
    <w:rsid w:val="40904BD4"/>
    <w:rsid w:val="40958140"/>
    <w:rsid w:val="4097A8F6"/>
    <w:rsid w:val="40A196FB"/>
    <w:rsid w:val="40B1F67E"/>
    <w:rsid w:val="40B5D0B7"/>
    <w:rsid w:val="40B7D1EC"/>
    <w:rsid w:val="40BF105E"/>
    <w:rsid w:val="40C374BE"/>
    <w:rsid w:val="40C91B8B"/>
    <w:rsid w:val="40CEA238"/>
    <w:rsid w:val="40CF5EF2"/>
    <w:rsid w:val="40D42AEA"/>
    <w:rsid w:val="40D5630D"/>
    <w:rsid w:val="40DB3E03"/>
    <w:rsid w:val="40DBFF3E"/>
    <w:rsid w:val="40E733B5"/>
    <w:rsid w:val="40EFC406"/>
    <w:rsid w:val="40F079FC"/>
    <w:rsid w:val="40F89BBD"/>
    <w:rsid w:val="40FC9CA1"/>
    <w:rsid w:val="4101B026"/>
    <w:rsid w:val="410BC1FC"/>
    <w:rsid w:val="410FBFB6"/>
    <w:rsid w:val="4110BF72"/>
    <w:rsid w:val="41135623"/>
    <w:rsid w:val="411A9CE1"/>
    <w:rsid w:val="411CB42A"/>
    <w:rsid w:val="411CB93A"/>
    <w:rsid w:val="412163C7"/>
    <w:rsid w:val="412C62A4"/>
    <w:rsid w:val="412CBF4D"/>
    <w:rsid w:val="412CD206"/>
    <w:rsid w:val="413047D4"/>
    <w:rsid w:val="4136EBBA"/>
    <w:rsid w:val="41373A2A"/>
    <w:rsid w:val="413E8BBF"/>
    <w:rsid w:val="414D229A"/>
    <w:rsid w:val="4152F8C2"/>
    <w:rsid w:val="4159C379"/>
    <w:rsid w:val="415DB342"/>
    <w:rsid w:val="416163C5"/>
    <w:rsid w:val="416467BE"/>
    <w:rsid w:val="416742AF"/>
    <w:rsid w:val="41692DDA"/>
    <w:rsid w:val="416A0338"/>
    <w:rsid w:val="416CE6EB"/>
    <w:rsid w:val="417197D2"/>
    <w:rsid w:val="41725BD6"/>
    <w:rsid w:val="417B9CF1"/>
    <w:rsid w:val="417BEEDE"/>
    <w:rsid w:val="4185A6DE"/>
    <w:rsid w:val="41883831"/>
    <w:rsid w:val="4188CA0C"/>
    <w:rsid w:val="418DBE45"/>
    <w:rsid w:val="4192B09A"/>
    <w:rsid w:val="41979F9B"/>
    <w:rsid w:val="419BB95C"/>
    <w:rsid w:val="419E34B0"/>
    <w:rsid w:val="419F0B83"/>
    <w:rsid w:val="41A19444"/>
    <w:rsid w:val="41A8AA02"/>
    <w:rsid w:val="41AF7CFF"/>
    <w:rsid w:val="41B1839E"/>
    <w:rsid w:val="41B30449"/>
    <w:rsid w:val="41B330EC"/>
    <w:rsid w:val="41B3C908"/>
    <w:rsid w:val="41B492F6"/>
    <w:rsid w:val="41C2F96B"/>
    <w:rsid w:val="41D8D301"/>
    <w:rsid w:val="41DE29E5"/>
    <w:rsid w:val="41E1B34D"/>
    <w:rsid w:val="41F098A2"/>
    <w:rsid w:val="41F3626D"/>
    <w:rsid w:val="41F3C443"/>
    <w:rsid w:val="41F45F69"/>
    <w:rsid w:val="41F7FDA6"/>
    <w:rsid w:val="41F8C487"/>
    <w:rsid w:val="41FD6016"/>
    <w:rsid w:val="41FE8C54"/>
    <w:rsid w:val="4207A13E"/>
    <w:rsid w:val="42082701"/>
    <w:rsid w:val="420E3540"/>
    <w:rsid w:val="420E6FF1"/>
    <w:rsid w:val="4211F473"/>
    <w:rsid w:val="421A6991"/>
    <w:rsid w:val="421B6985"/>
    <w:rsid w:val="421F0B77"/>
    <w:rsid w:val="4220A7A9"/>
    <w:rsid w:val="4227D9E9"/>
    <w:rsid w:val="422EECDC"/>
    <w:rsid w:val="423AEBF9"/>
    <w:rsid w:val="423F51EF"/>
    <w:rsid w:val="42431EC8"/>
    <w:rsid w:val="4246A370"/>
    <w:rsid w:val="424C3BD6"/>
    <w:rsid w:val="425932B8"/>
    <w:rsid w:val="425F2022"/>
    <w:rsid w:val="425FBC20"/>
    <w:rsid w:val="426098C4"/>
    <w:rsid w:val="426135BF"/>
    <w:rsid w:val="4264A574"/>
    <w:rsid w:val="4264E57D"/>
    <w:rsid w:val="426FAE23"/>
    <w:rsid w:val="4278FF6F"/>
    <w:rsid w:val="427B49CD"/>
    <w:rsid w:val="42846CE8"/>
    <w:rsid w:val="42889036"/>
    <w:rsid w:val="428932EE"/>
    <w:rsid w:val="428962E2"/>
    <w:rsid w:val="428B1349"/>
    <w:rsid w:val="428E9EDB"/>
    <w:rsid w:val="42984D0F"/>
    <w:rsid w:val="42AC9957"/>
    <w:rsid w:val="42AF29B7"/>
    <w:rsid w:val="42AF35B6"/>
    <w:rsid w:val="42B34CF1"/>
    <w:rsid w:val="42C3E98D"/>
    <w:rsid w:val="42C944D7"/>
    <w:rsid w:val="42D5CB49"/>
    <w:rsid w:val="42D66AA2"/>
    <w:rsid w:val="42D98D0F"/>
    <w:rsid w:val="42DF145B"/>
    <w:rsid w:val="42E0CB20"/>
    <w:rsid w:val="42ECF12F"/>
    <w:rsid w:val="42ED4D10"/>
    <w:rsid w:val="42ED7B0F"/>
    <w:rsid w:val="42EDE512"/>
    <w:rsid w:val="42F5272D"/>
    <w:rsid w:val="42F7E70D"/>
    <w:rsid w:val="42FC5A96"/>
    <w:rsid w:val="42FC8C57"/>
    <w:rsid w:val="42FD3C0F"/>
    <w:rsid w:val="42FE1CAD"/>
    <w:rsid w:val="43017243"/>
    <w:rsid w:val="43021A7A"/>
    <w:rsid w:val="4302E742"/>
    <w:rsid w:val="4308CAE6"/>
    <w:rsid w:val="4308E27A"/>
    <w:rsid w:val="43098E15"/>
    <w:rsid w:val="430C72E1"/>
    <w:rsid w:val="430CA5E4"/>
    <w:rsid w:val="430E1CB9"/>
    <w:rsid w:val="431023D8"/>
    <w:rsid w:val="431488AE"/>
    <w:rsid w:val="43185DD2"/>
    <w:rsid w:val="431DD2D4"/>
    <w:rsid w:val="431ECD4D"/>
    <w:rsid w:val="431F2BED"/>
    <w:rsid w:val="43277107"/>
    <w:rsid w:val="432E84F1"/>
    <w:rsid w:val="4333A85E"/>
    <w:rsid w:val="43344C3F"/>
    <w:rsid w:val="433C88A3"/>
    <w:rsid w:val="4344CBF9"/>
    <w:rsid w:val="43474D47"/>
    <w:rsid w:val="4348883A"/>
    <w:rsid w:val="4348D009"/>
    <w:rsid w:val="434A33AE"/>
    <w:rsid w:val="434AEE18"/>
    <w:rsid w:val="434EC822"/>
    <w:rsid w:val="435219BD"/>
    <w:rsid w:val="4359F047"/>
    <w:rsid w:val="435D9149"/>
    <w:rsid w:val="43609C84"/>
    <w:rsid w:val="436A60F0"/>
    <w:rsid w:val="436BC581"/>
    <w:rsid w:val="436FAEFD"/>
    <w:rsid w:val="4377180F"/>
    <w:rsid w:val="43799950"/>
    <w:rsid w:val="437DEA71"/>
    <w:rsid w:val="437E6FE8"/>
    <w:rsid w:val="43879CBB"/>
    <w:rsid w:val="4389B549"/>
    <w:rsid w:val="438F254C"/>
    <w:rsid w:val="438F2625"/>
    <w:rsid w:val="4391AADD"/>
    <w:rsid w:val="4393F892"/>
    <w:rsid w:val="439CF0BF"/>
    <w:rsid w:val="43A1D853"/>
    <w:rsid w:val="43A3ED56"/>
    <w:rsid w:val="43AC237C"/>
    <w:rsid w:val="43ACCE66"/>
    <w:rsid w:val="43AEAD7B"/>
    <w:rsid w:val="43AF676B"/>
    <w:rsid w:val="43B3C1C4"/>
    <w:rsid w:val="43B808E6"/>
    <w:rsid w:val="43BA5C76"/>
    <w:rsid w:val="43BBB799"/>
    <w:rsid w:val="43C12435"/>
    <w:rsid w:val="43C5FA71"/>
    <w:rsid w:val="43C66E0D"/>
    <w:rsid w:val="43C78E50"/>
    <w:rsid w:val="43D32045"/>
    <w:rsid w:val="43D60DB4"/>
    <w:rsid w:val="43D98CE7"/>
    <w:rsid w:val="43DC5812"/>
    <w:rsid w:val="43E0CB1E"/>
    <w:rsid w:val="43E8E4E7"/>
    <w:rsid w:val="43EA1FFC"/>
    <w:rsid w:val="43F72682"/>
    <w:rsid w:val="43F920B1"/>
    <w:rsid w:val="43F937BF"/>
    <w:rsid w:val="43FA7F7C"/>
    <w:rsid w:val="43FAC145"/>
    <w:rsid w:val="43FC82CB"/>
    <w:rsid w:val="4403E659"/>
    <w:rsid w:val="4404BA22"/>
    <w:rsid w:val="44067EF6"/>
    <w:rsid w:val="44092DD2"/>
    <w:rsid w:val="4415490C"/>
    <w:rsid w:val="4416C2FF"/>
    <w:rsid w:val="441A7951"/>
    <w:rsid w:val="44243222"/>
    <w:rsid w:val="44253A9A"/>
    <w:rsid w:val="442688D8"/>
    <w:rsid w:val="4436D219"/>
    <w:rsid w:val="443F12DE"/>
    <w:rsid w:val="44450708"/>
    <w:rsid w:val="4446783A"/>
    <w:rsid w:val="444CBFB3"/>
    <w:rsid w:val="444F2C70"/>
    <w:rsid w:val="44522E84"/>
    <w:rsid w:val="4453891A"/>
    <w:rsid w:val="445681E1"/>
    <w:rsid w:val="446BF169"/>
    <w:rsid w:val="446C82A2"/>
    <w:rsid w:val="446DE0BA"/>
    <w:rsid w:val="446E2D4C"/>
    <w:rsid w:val="44767AE0"/>
    <w:rsid w:val="4476FA2B"/>
    <w:rsid w:val="44793112"/>
    <w:rsid w:val="447C3D28"/>
    <w:rsid w:val="447EFA99"/>
    <w:rsid w:val="4484DA1B"/>
    <w:rsid w:val="4484DCED"/>
    <w:rsid w:val="44874DA3"/>
    <w:rsid w:val="448B7B48"/>
    <w:rsid w:val="448BE734"/>
    <w:rsid w:val="4494BCAF"/>
    <w:rsid w:val="4498BDB7"/>
    <w:rsid w:val="44A11F52"/>
    <w:rsid w:val="44A840E2"/>
    <w:rsid w:val="44B0D000"/>
    <w:rsid w:val="44B1B9DD"/>
    <w:rsid w:val="44B29454"/>
    <w:rsid w:val="44B31ADA"/>
    <w:rsid w:val="44B3DD9C"/>
    <w:rsid w:val="44B4AE79"/>
    <w:rsid w:val="44BB25E9"/>
    <w:rsid w:val="44BF991D"/>
    <w:rsid w:val="44C6473D"/>
    <w:rsid w:val="44C70947"/>
    <w:rsid w:val="44C83515"/>
    <w:rsid w:val="44CA0ECE"/>
    <w:rsid w:val="44D125A5"/>
    <w:rsid w:val="44D250DF"/>
    <w:rsid w:val="44D73835"/>
    <w:rsid w:val="44DC18D3"/>
    <w:rsid w:val="44DC23E4"/>
    <w:rsid w:val="44E08239"/>
    <w:rsid w:val="44E2DC3E"/>
    <w:rsid w:val="44E66586"/>
    <w:rsid w:val="44E69AF2"/>
    <w:rsid w:val="44E71DC1"/>
    <w:rsid w:val="44EC3B28"/>
    <w:rsid w:val="44F24030"/>
    <w:rsid w:val="44F40DF1"/>
    <w:rsid w:val="44FD3DF6"/>
    <w:rsid w:val="44FE1B92"/>
    <w:rsid w:val="45068B74"/>
    <w:rsid w:val="45082726"/>
    <w:rsid w:val="4509B549"/>
    <w:rsid w:val="4511195A"/>
    <w:rsid w:val="45119BA6"/>
    <w:rsid w:val="4512ABFE"/>
    <w:rsid w:val="45194726"/>
    <w:rsid w:val="451F714A"/>
    <w:rsid w:val="45291F9B"/>
    <w:rsid w:val="452C2505"/>
    <w:rsid w:val="452F8B9B"/>
    <w:rsid w:val="4532DCB1"/>
    <w:rsid w:val="4538020F"/>
    <w:rsid w:val="4538F30F"/>
    <w:rsid w:val="4538FBA4"/>
    <w:rsid w:val="453F7987"/>
    <w:rsid w:val="4540F854"/>
    <w:rsid w:val="454457A9"/>
    <w:rsid w:val="454699C9"/>
    <w:rsid w:val="4547C965"/>
    <w:rsid w:val="454AC839"/>
    <w:rsid w:val="454DD043"/>
    <w:rsid w:val="4551E9F9"/>
    <w:rsid w:val="4558839D"/>
    <w:rsid w:val="455CE7E7"/>
    <w:rsid w:val="45650141"/>
    <w:rsid w:val="4579A776"/>
    <w:rsid w:val="457E5763"/>
    <w:rsid w:val="457F3E90"/>
    <w:rsid w:val="458413E4"/>
    <w:rsid w:val="45894D0D"/>
    <w:rsid w:val="458AD0B3"/>
    <w:rsid w:val="458AE6E8"/>
    <w:rsid w:val="458C18DE"/>
    <w:rsid w:val="458C46DD"/>
    <w:rsid w:val="458CB1C0"/>
    <w:rsid w:val="45921A1F"/>
    <w:rsid w:val="45939BAB"/>
    <w:rsid w:val="45974A48"/>
    <w:rsid w:val="45983EEC"/>
    <w:rsid w:val="45985F44"/>
    <w:rsid w:val="45A0E033"/>
    <w:rsid w:val="45A82D29"/>
    <w:rsid w:val="45BCF734"/>
    <w:rsid w:val="45BF729B"/>
    <w:rsid w:val="45C58FEB"/>
    <w:rsid w:val="45C99CF6"/>
    <w:rsid w:val="45CF7BF4"/>
    <w:rsid w:val="45D6BB75"/>
    <w:rsid w:val="45DA16DB"/>
    <w:rsid w:val="45DC3FDD"/>
    <w:rsid w:val="45DCD726"/>
    <w:rsid w:val="45E1F244"/>
    <w:rsid w:val="45E26ED8"/>
    <w:rsid w:val="45E4C32D"/>
    <w:rsid w:val="45E8321E"/>
    <w:rsid w:val="45E85F79"/>
    <w:rsid w:val="45EC11E6"/>
    <w:rsid w:val="45F180B9"/>
    <w:rsid w:val="45F646E4"/>
    <w:rsid w:val="45F72034"/>
    <w:rsid w:val="45FA89E0"/>
    <w:rsid w:val="46026C11"/>
    <w:rsid w:val="46086030"/>
    <w:rsid w:val="46091A73"/>
    <w:rsid w:val="4612E9C4"/>
    <w:rsid w:val="4614A370"/>
    <w:rsid w:val="461624C1"/>
    <w:rsid w:val="461890B0"/>
    <w:rsid w:val="461B0736"/>
    <w:rsid w:val="461BE6C0"/>
    <w:rsid w:val="462044A1"/>
    <w:rsid w:val="462687F2"/>
    <w:rsid w:val="46392C1D"/>
    <w:rsid w:val="463C0F2A"/>
    <w:rsid w:val="463D90CB"/>
    <w:rsid w:val="463DE33E"/>
    <w:rsid w:val="46479DBE"/>
    <w:rsid w:val="46486B91"/>
    <w:rsid w:val="464A6DEB"/>
    <w:rsid w:val="464AED59"/>
    <w:rsid w:val="464C8E17"/>
    <w:rsid w:val="464E9394"/>
    <w:rsid w:val="46516480"/>
    <w:rsid w:val="4651821C"/>
    <w:rsid w:val="46544637"/>
    <w:rsid w:val="46557DCE"/>
    <w:rsid w:val="465C188D"/>
    <w:rsid w:val="465E41D6"/>
    <w:rsid w:val="466111D5"/>
    <w:rsid w:val="4661BC51"/>
    <w:rsid w:val="4661C146"/>
    <w:rsid w:val="467AA515"/>
    <w:rsid w:val="4688B9DA"/>
    <w:rsid w:val="469326E1"/>
    <w:rsid w:val="4694494C"/>
    <w:rsid w:val="469876DE"/>
    <w:rsid w:val="469F1F0B"/>
    <w:rsid w:val="46A28B90"/>
    <w:rsid w:val="46A4B9B5"/>
    <w:rsid w:val="46A78635"/>
    <w:rsid w:val="46AB30F5"/>
    <w:rsid w:val="46AB5813"/>
    <w:rsid w:val="46ADB51A"/>
    <w:rsid w:val="46B0EFF3"/>
    <w:rsid w:val="46B3E690"/>
    <w:rsid w:val="46B5682A"/>
    <w:rsid w:val="46B67B4B"/>
    <w:rsid w:val="46B9D9F8"/>
    <w:rsid w:val="46BA2EB6"/>
    <w:rsid w:val="46BC58C8"/>
    <w:rsid w:val="46C1F297"/>
    <w:rsid w:val="46D2CA51"/>
    <w:rsid w:val="46D671FC"/>
    <w:rsid w:val="46D70DCF"/>
    <w:rsid w:val="46E0C56B"/>
    <w:rsid w:val="46E5CAB8"/>
    <w:rsid w:val="46E7B3A5"/>
    <w:rsid w:val="46F54C5B"/>
    <w:rsid w:val="46F70CD5"/>
    <w:rsid w:val="46F72CD9"/>
    <w:rsid w:val="46FC3F1D"/>
    <w:rsid w:val="47038C19"/>
    <w:rsid w:val="470C090D"/>
    <w:rsid w:val="470FDA5A"/>
    <w:rsid w:val="47118006"/>
    <w:rsid w:val="471ADB68"/>
    <w:rsid w:val="471E8E90"/>
    <w:rsid w:val="4720BC1B"/>
    <w:rsid w:val="473541F1"/>
    <w:rsid w:val="47399577"/>
    <w:rsid w:val="474337C5"/>
    <w:rsid w:val="4744921F"/>
    <w:rsid w:val="47454977"/>
    <w:rsid w:val="474E0E3F"/>
    <w:rsid w:val="474F2507"/>
    <w:rsid w:val="47582F36"/>
    <w:rsid w:val="47584680"/>
    <w:rsid w:val="4758C873"/>
    <w:rsid w:val="475FCC43"/>
    <w:rsid w:val="475FE242"/>
    <w:rsid w:val="4762CCB1"/>
    <w:rsid w:val="476AE171"/>
    <w:rsid w:val="476D35D3"/>
    <w:rsid w:val="476FA0AC"/>
    <w:rsid w:val="4776C5B0"/>
    <w:rsid w:val="47777ACB"/>
    <w:rsid w:val="47789A6B"/>
    <w:rsid w:val="477B9DCB"/>
    <w:rsid w:val="47826E83"/>
    <w:rsid w:val="4784E6CB"/>
    <w:rsid w:val="478934F0"/>
    <w:rsid w:val="478950C0"/>
    <w:rsid w:val="478979BB"/>
    <w:rsid w:val="47905BB2"/>
    <w:rsid w:val="4791D9B4"/>
    <w:rsid w:val="4798F8E6"/>
    <w:rsid w:val="479EC733"/>
    <w:rsid w:val="47A8EAA8"/>
    <w:rsid w:val="47AD6C1E"/>
    <w:rsid w:val="47B0F261"/>
    <w:rsid w:val="47B1123A"/>
    <w:rsid w:val="47B155BF"/>
    <w:rsid w:val="47B40E05"/>
    <w:rsid w:val="47B6F6D2"/>
    <w:rsid w:val="47BCBCF8"/>
    <w:rsid w:val="47BD78D4"/>
    <w:rsid w:val="47BEBE6C"/>
    <w:rsid w:val="47C9B9A4"/>
    <w:rsid w:val="47CE5EB9"/>
    <w:rsid w:val="47D0EFBF"/>
    <w:rsid w:val="47D1A4CC"/>
    <w:rsid w:val="47D55FB0"/>
    <w:rsid w:val="47DE2361"/>
    <w:rsid w:val="47DED5ED"/>
    <w:rsid w:val="47E3670A"/>
    <w:rsid w:val="47E75A2E"/>
    <w:rsid w:val="47E7A45B"/>
    <w:rsid w:val="47E7D322"/>
    <w:rsid w:val="47E93E7F"/>
    <w:rsid w:val="47E9458E"/>
    <w:rsid w:val="47F5E923"/>
    <w:rsid w:val="47FF8BDF"/>
    <w:rsid w:val="48005626"/>
    <w:rsid w:val="48007471"/>
    <w:rsid w:val="480DAD7D"/>
    <w:rsid w:val="480DDA55"/>
    <w:rsid w:val="48102BA4"/>
    <w:rsid w:val="48115B0B"/>
    <w:rsid w:val="48140D92"/>
    <w:rsid w:val="4819D97C"/>
    <w:rsid w:val="481A1DC1"/>
    <w:rsid w:val="481B195E"/>
    <w:rsid w:val="4826562D"/>
    <w:rsid w:val="482F0DFE"/>
    <w:rsid w:val="4831DA82"/>
    <w:rsid w:val="4833D9A3"/>
    <w:rsid w:val="483724CE"/>
    <w:rsid w:val="483A6F1A"/>
    <w:rsid w:val="483E6CD6"/>
    <w:rsid w:val="4842A8E9"/>
    <w:rsid w:val="48449682"/>
    <w:rsid w:val="48469A91"/>
    <w:rsid w:val="4851C243"/>
    <w:rsid w:val="4852D9C2"/>
    <w:rsid w:val="4853A38E"/>
    <w:rsid w:val="485635A2"/>
    <w:rsid w:val="48643CF6"/>
    <w:rsid w:val="48660B23"/>
    <w:rsid w:val="4866A9FA"/>
    <w:rsid w:val="4873D2F6"/>
    <w:rsid w:val="4876B268"/>
    <w:rsid w:val="4877C8D5"/>
    <w:rsid w:val="487C3E8F"/>
    <w:rsid w:val="487E6477"/>
    <w:rsid w:val="48805C58"/>
    <w:rsid w:val="4889EE33"/>
    <w:rsid w:val="488BB357"/>
    <w:rsid w:val="488EBA1B"/>
    <w:rsid w:val="4890C747"/>
    <w:rsid w:val="48911091"/>
    <w:rsid w:val="489C4D12"/>
    <w:rsid w:val="489E5851"/>
    <w:rsid w:val="48A03971"/>
    <w:rsid w:val="48AA091D"/>
    <w:rsid w:val="48AC7F44"/>
    <w:rsid w:val="48AD38D4"/>
    <w:rsid w:val="48AF380C"/>
    <w:rsid w:val="48B541CD"/>
    <w:rsid w:val="48C25DB6"/>
    <w:rsid w:val="48C514A2"/>
    <w:rsid w:val="48C59457"/>
    <w:rsid w:val="48C6F4EA"/>
    <w:rsid w:val="48CD02CB"/>
    <w:rsid w:val="48D2E76F"/>
    <w:rsid w:val="48D756E1"/>
    <w:rsid w:val="48D9547C"/>
    <w:rsid w:val="48DB05D0"/>
    <w:rsid w:val="48DC720D"/>
    <w:rsid w:val="48DF5154"/>
    <w:rsid w:val="48E5B728"/>
    <w:rsid w:val="48E6E2B2"/>
    <w:rsid w:val="48EBB15C"/>
    <w:rsid w:val="48F12DC7"/>
    <w:rsid w:val="48F2B349"/>
    <w:rsid w:val="48F3B6C2"/>
    <w:rsid w:val="48F5EBD8"/>
    <w:rsid w:val="48F6EE34"/>
    <w:rsid w:val="48FBFA64"/>
    <w:rsid w:val="48FCA8BC"/>
    <w:rsid w:val="49093C08"/>
    <w:rsid w:val="4909774B"/>
    <w:rsid w:val="490A6876"/>
    <w:rsid w:val="490C6888"/>
    <w:rsid w:val="49104187"/>
    <w:rsid w:val="491A586A"/>
    <w:rsid w:val="491AD9BA"/>
    <w:rsid w:val="491C7753"/>
    <w:rsid w:val="49207E5A"/>
    <w:rsid w:val="4921FCCD"/>
    <w:rsid w:val="4931822A"/>
    <w:rsid w:val="493383DC"/>
    <w:rsid w:val="49347489"/>
    <w:rsid w:val="4935CCDC"/>
    <w:rsid w:val="493894DC"/>
    <w:rsid w:val="4938A280"/>
    <w:rsid w:val="4955E798"/>
    <w:rsid w:val="4957D905"/>
    <w:rsid w:val="495C1E3E"/>
    <w:rsid w:val="495E8BFC"/>
    <w:rsid w:val="4962D856"/>
    <w:rsid w:val="49637670"/>
    <w:rsid w:val="4967B440"/>
    <w:rsid w:val="49684C26"/>
    <w:rsid w:val="496BF20F"/>
    <w:rsid w:val="496CA5A6"/>
    <w:rsid w:val="496EE9DF"/>
    <w:rsid w:val="4977040B"/>
    <w:rsid w:val="497F1B52"/>
    <w:rsid w:val="497FFF17"/>
    <w:rsid w:val="49823516"/>
    <w:rsid w:val="4986120E"/>
    <w:rsid w:val="4986BA51"/>
    <w:rsid w:val="49905CC9"/>
    <w:rsid w:val="4990B1A9"/>
    <w:rsid w:val="4992B2BC"/>
    <w:rsid w:val="49948BEF"/>
    <w:rsid w:val="499B6986"/>
    <w:rsid w:val="499C1F3A"/>
    <w:rsid w:val="499F6506"/>
    <w:rsid w:val="49A14AE4"/>
    <w:rsid w:val="49A6CAAC"/>
    <w:rsid w:val="49B21228"/>
    <w:rsid w:val="49B24CF7"/>
    <w:rsid w:val="49B59B9D"/>
    <w:rsid w:val="49B616DC"/>
    <w:rsid w:val="49BA2744"/>
    <w:rsid w:val="49BAEDFE"/>
    <w:rsid w:val="49BC45E8"/>
    <w:rsid w:val="49BFFDB1"/>
    <w:rsid w:val="49C6AFEC"/>
    <w:rsid w:val="49C97566"/>
    <w:rsid w:val="49D53CCC"/>
    <w:rsid w:val="49D73F0C"/>
    <w:rsid w:val="49D7573F"/>
    <w:rsid w:val="49DB6371"/>
    <w:rsid w:val="49DE5DA5"/>
    <w:rsid w:val="49E11FD4"/>
    <w:rsid w:val="49E1D33A"/>
    <w:rsid w:val="49E221EF"/>
    <w:rsid w:val="49E6060A"/>
    <w:rsid w:val="49ECF901"/>
    <w:rsid w:val="49F50CE2"/>
    <w:rsid w:val="49FD81EE"/>
    <w:rsid w:val="49FFC134"/>
    <w:rsid w:val="4A0193BE"/>
    <w:rsid w:val="4A0882D1"/>
    <w:rsid w:val="4A0A1B87"/>
    <w:rsid w:val="4A0B1392"/>
    <w:rsid w:val="4A0B4916"/>
    <w:rsid w:val="4A0D9E44"/>
    <w:rsid w:val="4A0E613C"/>
    <w:rsid w:val="4A0EC06E"/>
    <w:rsid w:val="4A12A2A5"/>
    <w:rsid w:val="4A12E824"/>
    <w:rsid w:val="4A163D4B"/>
    <w:rsid w:val="4A17BB5F"/>
    <w:rsid w:val="4A19A8B7"/>
    <w:rsid w:val="4A1ECA9C"/>
    <w:rsid w:val="4A224E81"/>
    <w:rsid w:val="4A242698"/>
    <w:rsid w:val="4A2B8584"/>
    <w:rsid w:val="4A367488"/>
    <w:rsid w:val="4A39B135"/>
    <w:rsid w:val="4A3BA178"/>
    <w:rsid w:val="4A3C2ECE"/>
    <w:rsid w:val="4A3C3353"/>
    <w:rsid w:val="4A40A0B7"/>
    <w:rsid w:val="4A4A0505"/>
    <w:rsid w:val="4A528492"/>
    <w:rsid w:val="4A54496A"/>
    <w:rsid w:val="4A5662CB"/>
    <w:rsid w:val="4A6326B0"/>
    <w:rsid w:val="4A633993"/>
    <w:rsid w:val="4A64B13F"/>
    <w:rsid w:val="4A65D221"/>
    <w:rsid w:val="4A6C8B08"/>
    <w:rsid w:val="4A6D60ED"/>
    <w:rsid w:val="4A700A4B"/>
    <w:rsid w:val="4A70607D"/>
    <w:rsid w:val="4A7A0D71"/>
    <w:rsid w:val="4A7F9778"/>
    <w:rsid w:val="4A8083C9"/>
    <w:rsid w:val="4A81377D"/>
    <w:rsid w:val="4A86785F"/>
    <w:rsid w:val="4A87A641"/>
    <w:rsid w:val="4A8C5BA9"/>
    <w:rsid w:val="4A8F53C1"/>
    <w:rsid w:val="4A901720"/>
    <w:rsid w:val="4A90709F"/>
    <w:rsid w:val="4A963F9E"/>
    <w:rsid w:val="4A9EF528"/>
    <w:rsid w:val="4A9F4131"/>
    <w:rsid w:val="4AA57771"/>
    <w:rsid w:val="4AB2A407"/>
    <w:rsid w:val="4AB4D562"/>
    <w:rsid w:val="4AB927B6"/>
    <w:rsid w:val="4ABA4507"/>
    <w:rsid w:val="4ABB89AA"/>
    <w:rsid w:val="4ABC8D76"/>
    <w:rsid w:val="4AC115ED"/>
    <w:rsid w:val="4AC13BB2"/>
    <w:rsid w:val="4AC35372"/>
    <w:rsid w:val="4AC69F16"/>
    <w:rsid w:val="4AC805FA"/>
    <w:rsid w:val="4AC8A075"/>
    <w:rsid w:val="4ACADD0D"/>
    <w:rsid w:val="4ACB6FE9"/>
    <w:rsid w:val="4ACCFB6E"/>
    <w:rsid w:val="4AD1CBA6"/>
    <w:rsid w:val="4AD38E33"/>
    <w:rsid w:val="4AD831E2"/>
    <w:rsid w:val="4ADB1228"/>
    <w:rsid w:val="4AE062A5"/>
    <w:rsid w:val="4AE6ECD0"/>
    <w:rsid w:val="4AE9C4C7"/>
    <w:rsid w:val="4AEF2D47"/>
    <w:rsid w:val="4B06D7D8"/>
    <w:rsid w:val="4B090F28"/>
    <w:rsid w:val="4B0CF06E"/>
    <w:rsid w:val="4B0D5442"/>
    <w:rsid w:val="4B0ECBC1"/>
    <w:rsid w:val="4B10FB22"/>
    <w:rsid w:val="4B123E5C"/>
    <w:rsid w:val="4B155C5D"/>
    <w:rsid w:val="4B15D749"/>
    <w:rsid w:val="4B17B33F"/>
    <w:rsid w:val="4B1BCE4C"/>
    <w:rsid w:val="4B1BE30D"/>
    <w:rsid w:val="4B231913"/>
    <w:rsid w:val="4B242E4C"/>
    <w:rsid w:val="4B27C92C"/>
    <w:rsid w:val="4B28A105"/>
    <w:rsid w:val="4B2BE8CF"/>
    <w:rsid w:val="4B2EC54E"/>
    <w:rsid w:val="4B31DBE2"/>
    <w:rsid w:val="4B370187"/>
    <w:rsid w:val="4B3CDDE8"/>
    <w:rsid w:val="4B41CC52"/>
    <w:rsid w:val="4B41FCAA"/>
    <w:rsid w:val="4B448704"/>
    <w:rsid w:val="4B4B80CF"/>
    <w:rsid w:val="4B51C041"/>
    <w:rsid w:val="4B565F45"/>
    <w:rsid w:val="4B59B7F6"/>
    <w:rsid w:val="4B5C2EA3"/>
    <w:rsid w:val="4B5EFB21"/>
    <w:rsid w:val="4B6024EC"/>
    <w:rsid w:val="4B63B1A1"/>
    <w:rsid w:val="4B641699"/>
    <w:rsid w:val="4B6BD406"/>
    <w:rsid w:val="4B6C449C"/>
    <w:rsid w:val="4B6CBD9D"/>
    <w:rsid w:val="4B765B19"/>
    <w:rsid w:val="4B770771"/>
    <w:rsid w:val="4B775CC9"/>
    <w:rsid w:val="4B7C3317"/>
    <w:rsid w:val="4B828FC7"/>
    <w:rsid w:val="4B88EFE8"/>
    <w:rsid w:val="4B8E23C1"/>
    <w:rsid w:val="4B935CA6"/>
    <w:rsid w:val="4B9F3A0D"/>
    <w:rsid w:val="4BA46836"/>
    <w:rsid w:val="4BAD4946"/>
    <w:rsid w:val="4BB1353B"/>
    <w:rsid w:val="4BBB6C2A"/>
    <w:rsid w:val="4BBDB928"/>
    <w:rsid w:val="4BC47AF8"/>
    <w:rsid w:val="4BC4A0A3"/>
    <w:rsid w:val="4BD074DD"/>
    <w:rsid w:val="4BDC053A"/>
    <w:rsid w:val="4BED0384"/>
    <w:rsid w:val="4BEEA6FD"/>
    <w:rsid w:val="4BF3C0CF"/>
    <w:rsid w:val="4BFD179D"/>
    <w:rsid w:val="4BFF9B29"/>
    <w:rsid w:val="4C026EB4"/>
    <w:rsid w:val="4C02D985"/>
    <w:rsid w:val="4C08AFBF"/>
    <w:rsid w:val="4C0E108C"/>
    <w:rsid w:val="4C0F6177"/>
    <w:rsid w:val="4C10B60D"/>
    <w:rsid w:val="4C18F3DF"/>
    <w:rsid w:val="4C1F3861"/>
    <w:rsid w:val="4C24ADD0"/>
    <w:rsid w:val="4C2A4E5A"/>
    <w:rsid w:val="4C3063CA"/>
    <w:rsid w:val="4C369D2A"/>
    <w:rsid w:val="4C3BEDCC"/>
    <w:rsid w:val="4C42BD3E"/>
    <w:rsid w:val="4C436509"/>
    <w:rsid w:val="4C45ADE8"/>
    <w:rsid w:val="4C4724A6"/>
    <w:rsid w:val="4C4C4817"/>
    <w:rsid w:val="4C4E6E41"/>
    <w:rsid w:val="4C5B874B"/>
    <w:rsid w:val="4C5DFAC8"/>
    <w:rsid w:val="4C6359B4"/>
    <w:rsid w:val="4C6477A5"/>
    <w:rsid w:val="4C66CBEC"/>
    <w:rsid w:val="4C6920AC"/>
    <w:rsid w:val="4C715938"/>
    <w:rsid w:val="4C72AB66"/>
    <w:rsid w:val="4C75A731"/>
    <w:rsid w:val="4C75B28A"/>
    <w:rsid w:val="4C769AA8"/>
    <w:rsid w:val="4C84E225"/>
    <w:rsid w:val="4C84FA40"/>
    <w:rsid w:val="4C860587"/>
    <w:rsid w:val="4C885200"/>
    <w:rsid w:val="4C8BCA84"/>
    <w:rsid w:val="4C8D945B"/>
    <w:rsid w:val="4C8EB056"/>
    <w:rsid w:val="4C98F5A7"/>
    <w:rsid w:val="4C993C75"/>
    <w:rsid w:val="4C9D8306"/>
    <w:rsid w:val="4C9F407E"/>
    <w:rsid w:val="4C9FC4FF"/>
    <w:rsid w:val="4CA0F79B"/>
    <w:rsid w:val="4CA23F32"/>
    <w:rsid w:val="4CA34955"/>
    <w:rsid w:val="4CA4D995"/>
    <w:rsid w:val="4CA6215B"/>
    <w:rsid w:val="4CA9CBF6"/>
    <w:rsid w:val="4CAA9A5F"/>
    <w:rsid w:val="4CAE676C"/>
    <w:rsid w:val="4CAF6961"/>
    <w:rsid w:val="4CB113E6"/>
    <w:rsid w:val="4CB1C8EA"/>
    <w:rsid w:val="4CB4014F"/>
    <w:rsid w:val="4CB68088"/>
    <w:rsid w:val="4CB9F6A7"/>
    <w:rsid w:val="4CC7D805"/>
    <w:rsid w:val="4CC99E44"/>
    <w:rsid w:val="4CCA4979"/>
    <w:rsid w:val="4CCBDE65"/>
    <w:rsid w:val="4CD87E5D"/>
    <w:rsid w:val="4CDA0020"/>
    <w:rsid w:val="4CDA16F4"/>
    <w:rsid w:val="4CE4BAD1"/>
    <w:rsid w:val="4CE65D04"/>
    <w:rsid w:val="4CF8D245"/>
    <w:rsid w:val="4CFAFCEC"/>
    <w:rsid w:val="4D036673"/>
    <w:rsid w:val="4D0739A0"/>
    <w:rsid w:val="4D08228A"/>
    <w:rsid w:val="4D133209"/>
    <w:rsid w:val="4D133643"/>
    <w:rsid w:val="4D13E79B"/>
    <w:rsid w:val="4D143C06"/>
    <w:rsid w:val="4D155000"/>
    <w:rsid w:val="4D16C7AC"/>
    <w:rsid w:val="4D1B9D8E"/>
    <w:rsid w:val="4D201E3A"/>
    <w:rsid w:val="4D21CE04"/>
    <w:rsid w:val="4D22A40D"/>
    <w:rsid w:val="4D2313AA"/>
    <w:rsid w:val="4D23501D"/>
    <w:rsid w:val="4D23F825"/>
    <w:rsid w:val="4D25C82D"/>
    <w:rsid w:val="4D2C6B2C"/>
    <w:rsid w:val="4D30D31E"/>
    <w:rsid w:val="4D344DCD"/>
    <w:rsid w:val="4D3A7940"/>
    <w:rsid w:val="4D3EA0E7"/>
    <w:rsid w:val="4D416911"/>
    <w:rsid w:val="4D42BB75"/>
    <w:rsid w:val="4D446185"/>
    <w:rsid w:val="4D452991"/>
    <w:rsid w:val="4D4A0A56"/>
    <w:rsid w:val="4D4E4152"/>
    <w:rsid w:val="4D52FB7E"/>
    <w:rsid w:val="4D575370"/>
    <w:rsid w:val="4D5BAFD9"/>
    <w:rsid w:val="4D5F743B"/>
    <w:rsid w:val="4D634FDC"/>
    <w:rsid w:val="4D64292F"/>
    <w:rsid w:val="4D659680"/>
    <w:rsid w:val="4D6C2891"/>
    <w:rsid w:val="4D6FFE0F"/>
    <w:rsid w:val="4D738982"/>
    <w:rsid w:val="4D84FA41"/>
    <w:rsid w:val="4D853895"/>
    <w:rsid w:val="4D866727"/>
    <w:rsid w:val="4D87D144"/>
    <w:rsid w:val="4D899D0A"/>
    <w:rsid w:val="4D8F2CF2"/>
    <w:rsid w:val="4D9098EF"/>
    <w:rsid w:val="4D92EE28"/>
    <w:rsid w:val="4D953C4A"/>
    <w:rsid w:val="4D9DD128"/>
    <w:rsid w:val="4D9F379A"/>
    <w:rsid w:val="4DA265DB"/>
    <w:rsid w:val="4DA37A62"/>
    <w:rsid w:val="4DA6A443"/>
    <w:rsid w:val="4DA88325"/>
    <w:rsid w:val="4DB0A8C0"/>
    <w:rsid w:val="4DB19DD6"/>
    <w:rsid w:val="4DB23780"/>
    <w:rsid w:val="4DB8E0DA"/>
    <w:rsid w:val="4DC767E0"/>
    <w:rsid w:val="4DCB3359"/>
    <w:rsid w:val="4DCC6C14"/>
    <w:rsid w:val="4DDE37B0"/>
    <w:rsid w:val="4DE1C223"/>
    <w:rsid w:val="4DE552CE"/>
    <w:rsid w:val="4DE8B6D4"/>
    <w:rsid w:val="4DE90200"/>
    <w:rsid w:val="4DE940B2"/>
    <w:rsid w:val="4DEED5BA"/>
    <w:rsid w:val="4DEF0C86"/>
    <w:rsid w:val="4DEF1E2A"/>
    <w:rsid w:val="4DF90898"/>
    <w:rsid w:val="4E00BA2D"/>
    <w:rsid w:val="4E01EA0B"/>
    <w:rsid w:val="4E07BE56"/>
    <w:rsid w:val="4E0B5C90"/>
    <w:rsid w:val="4E0D63B9"/>
    <w:rsid w:val="4E0F8F53"/>
    <w:rsid w:val="4E17F90E"/>
    <w:rsid w:val="4E252C49"/>
    <w:rsid w:val="4E2772CF"/>
    <w:rsid w:val="4E2B1747"/>
    <w:rsid w:val="4E2C390A"/>
    <w:rsid w:val="4E3805C1"/>
    <w:rsid w:val="4E3910DC"/>
    <w:rsid w:val="4E3B00FE"/>
    <w:rsid w:val="4E456EFF"/>
    <w:rsid w:val="4E4590DB"/>
    <w:rsid w:val="4E48DFD2"/>
    <w:rsid w:val="4E4CB50D"/>
    <w:rsid w:val="4E4E216E"/>
    <w:rsid w:val="4E5A74B8"/>
    <w:rsid w:val="4E6089A1"/>
    <w:rsid w:val="4E6BB147"/>
    <w:rsid w:val="4E6CCF87"/>
    <w:rsid w:val="4E6F7DD6"/>
    <w:rsid w:val="4E704127"/>
    <w:rsid w:val="4E70AF6D"/>
    <w:rsid w:val="4E714A0C"/>
    <w:rsid w:val="4E71DF0B"/>
    <w:rsid w:val="4E7238F4"/>
    <w:rsid w:val="4E7E642B"/>
    <w:rsid w:val="4E86C5EB"/>
    <w:rsid w:val="4E8C5EC2"/>
    <w:rsid w:val="4E8DBE17"/>
    <w:rsid w:val="4E9106DD"/>
    <w:rsid w:val="4E9AEB7E"/>
    <w:rsid w:val="4EAA958B"/>
    <w:rsid w:val="4EAE60D3"/>
    <w:rsid w:val="4EB5BBA1"/>
    <w:rsid w:val="4EBBA463"/>
    <w:rsid w:val="4EBBDE81"/>
    <w:rsid w:val="4EBEFDA5"/>
    <w:rsid w:val="4ECD1481"/>
    <w:rsid w:val="4ED30CB1"/>
    <w:rsid w:val="4ED5FF5A"/>
    <w:rsid w:val="4ED7F57F"/>
    <w:rsid w:val="4ED8D564"/>
    <w:rsid w:val="4EE11981"/>
    <w:rsid w:val="4EE148E9"/>
    <w:rsid w:val="4EE18E79"/>
    <w:rsid w:val="4EE3C452"/>
    <w:rsid w:val="4EEBAAD4"/>
    <w:rsid w:val="4EEF3164"/>
    <w:rsid w:val="4EF07E84"/>
    <w:rsid w:val="4EF721F9"/>
    <w:rsid w:val="4F00A8FA"/>
    <w:rsid w:val="4F022909"/>
    <w:rsid w:val="4F0B6CDF"/>
    <w:rsid w:val="4F0BB33E"/>
    <w:rsid w:val="4F0D42E3"/>
    <w:rsid w:val="4F0E7717"/>
    <w:rsid w:val="4F137CAB"/>
    <w:rsid w:val="4F14B696"/>
    <w:rsid w:val="4F1631AC"/>
    <w:rsid w:val="4F195836"/>
    <w:rsid w:val="4F1EE953"/>
    <w:rsid w:val="4F2065D4"/>
    <w:rsid w:val="4F20AC01"/>
    <w:rsid w:val="4F20AD49"/>
    <w:rsid w:val="4F2525AD"/>
    <w:rsid w:val="4F2822A4"/>
    <w:rsid w:val="4F2C96EA"/>
    <w:rsid w:val="4F2ED04D"/>
    <w:rsid w:val="4F3B51A6"/>
    <w:rsid w:val="4F3D444A"/>
    <w:rsid w:val="4F41CDA7"/>
    <w:rsid w:val="4F43F79A"/>
    <w:rsid w:val="4F46E65D"/>
    <w:rsid w:val="4F530F5F"/>
    <w:rsid w:val="4F55B7C2"/>
    <w:rsid w:val="4F5CA60D"/>
    <w:rsid w:val="4F671F4F"/>
    <w:rsid w:val="4F6C62F1"/>
    <w:rsid w:val="4F6E7039"/>
    <w:rsid w:val="4F6E7EC3"/>
    <w:rsid w:val="4F71F2A4"/>
    <w:rsid w:val="4F745EA9"/>
    <w:rsid w:val="4F761C1E"/>
    <w:rsid w:val="4F79EAD9"/>
    <w:rsid w:val="4F7AB51C"/>
    <w:rsid w:val="4F7CD3E7"/>
    <w:rsid w:val="4F88896E"/>
    <w:rsid w:val="4F8935BA"/>
    <w:rsid w:val="4F8CB078"/>
    <w:rsid w:val="4F906687"/>
    <w:rsid w:val="4F9A5ACC"/>
    <w:rsid w:val="4F9F566C"/>
    <w:rsid w:val="4FBB03E2"/>
    <w:rsid w:val="4FBD7D93"/>
    <w:rsid w:val="4FBF044C"/>
    <w:rsid w:val="4FC33557"/>
    <w:rsid w:val="4FC36C07"/>
    <w:rsid w:val="4FC80BFA"/>
    <w:rsid w:val="4FCB7C47"/>
    <w:rsid w:val="4FCCB57E"/>
    <w:rsid w:val="4FD06674"/>
    <w:rsid w:val="4FD9FEB0"/>
    <w:rsid w:val="4FDBF7CA"/>
    <w:rsid w:val="4FE15552"/>
    <w:rsid w:val="4FE2FB2B"/>
    <w:rsid w:val="4FE8F603"/>
    <w:rsid w:val="4FEE202C"/>
    <w:rsid w:val="4FEE7D25"/>
    <w:rsid w:val="4FF295F3"/>
    <w:rsid w:val="4FF2C883"/>
    <w:rsid w:val="4FF87A52"/>
    <w:rsid w:val="4FFA29AD"/>
    <w:rsid w:val="4FFBF1EB"/>
    <w:rsid w:val="4FFD000C"/>
    <w:rsid w:val="4FFF4127"/>
    <w:rsid w:val="4FFF4C2C"/>
    <w:rsid w:val="4FFF78C7"/>
    <w:rsid w:val="50027094"/>
    <w:rsid w:val="5005B2EB"/>
    <w:rsid w:val="5008085D"/>
    <w:rsid w:val="500AAB14"/>
    <w:rsid w:val="500BE1E4"/>
    <w:rsid w:val="5011ED74"/>
    <w:rsid w:val="5012F549"/>
    <w:rsid w:val="50140B95"/>
    <w:rsid w:val="50141473"/>
    <w:rsid w:val="501443C5"/>
    <w:rsid w:val="501E6230"/>
    <w:rsid w:val="501EA739"/>
    <w:rsid w:val="5020CDDD"/>
    <w:rsid w:val="502D8CF3"/>
    <w:rsid w:val="502DC8D1"/>
    <w:rsid w:val="50311E23"/>
    <w:rsid w:val="50392466"/>
    <w:rsid w:val="503B79B0"/>
    <w:rsid w:val="503E3BDE"/>
    <w:rsid w:val="5040A406"/>
    <w:rsid w:val="50444173"/>
    <w:rsid w:val="5063358C"/>
    <w:rsid w:val="50660391"/>
    <w:rsid w:val="50694D10"/>
    <w:rsid w:val="506D7C2F"/>
    <w:rsid w:val="5076FE0E"/>
    <w:rsid w:val="5077B38B"/>
    <w:rsid w:val="507A56DD"/>
    <w:rsid w:val="50818B06"/>
    <w:rsid w:val="5085DCE6"/>
    <w:rsid w:val="508A853C"/>
    <w:rsid w:val="508BB33E"/>
    <w:rsid w:val="508E7322"/>
    <w:rsid w:val="508F2CB6"/>
    <w:rsid w:val="508F58F6"/>
    <w:rsid w:val="508FF3E1"/>
    <w:rsid w:val="509260B9"/>
    <w:rsid w:val="509322C4"/>
    <w:rsid w:val="50946560"/>
    <w:rsid w:val="50997E26"/>
    <w:rsid w:val="50997EC9"/>
    <w:rsid w:val="509FDC69"/>
    <w:rsid w:val="509FFA65"/>
    <w:rsid w:val="50A01CA9"/>
    <w:rsid w:val="50A56A49"/>
    <w:rsid w:val="50A67EFE"/>
    <w:rsid w:val="50AEBA25"/>
    <w:rsid w:val="50B4474E"/>
    <w:rsid w:val="50B5FA2F"/>
    <w:rsid w:val="50B7302A"/>
    <w:rsid w:val="50BBFD95"/>
    <w:rsid w:val="50BE9011"/>
    <w:rsid w:val="50C2C19D"/>
    <w:rsid w:val="50C3D3B8"/>
    <w:rsid w:val="50C4A3AE"/>
    <w:rsid w:val="50CBD7BB"/>
    <w:rsid w:val="50D05F52"/>
    <w:rsid w:val="50D07D83"/>
    <w:rsid w:val="50D102A4"/>
    <w:rsid w:val="50D85E3F"/>
    <w:rsid w:val="50E2930E"/>
    <w:rsid w:val="50EF952C"/>
    <w:rsid w:val="50FD2B15"/>
    <w:rsid w:val="50FFB7AF"/>
    <w:rsid w:val="510F11D6"/>
    <w:rsid w:val="5110DC98"/>
    <w:rsid w:val="51111BD9"/>
    <w:rsid w:val="511798A6"/>
    <w:rsid w:val="511993DC"/>
    <w:rsid w:val="511B58AF"/>
    <w:rsid w:val="511E120B"/>
    <w:rsid w:val="5121BDBC"/>
    <w:rsid w:val="51221A94"/>
    <w:rsid w:val="5123885A"/>
    <w:rsid w:val="5124B7CE"/>
    <w:rsid w:val="5135E4EE"/>
    <w:rsid w:val="513664A7"/>
    <w:rsid w:val="51380876"/>
    <w:rsid w:val="513A1D94"/>
    <w:rsid w:val="513A5AB2"/>
    <w:rsid w:val="513B6662"/>
    <w:rsid w:val="5140B902"/>
    <w:rsid w:val="5146BD07"/>
    <w:rsid w:val="5148A4A5"/>
    <w:rsid w:val="514FB313"/>
    <w:rsid w:val="51511226"/>
    <w:rsid w:val="515D0BAF"/>
    <w:rsid w:val="515DB76B"/>
    <w:rsid w:val="515DC76A"/>
    <w:rsid w:val="515E8051"/>
    <w:rsid w:val="5160E868"/>
    <w:rsid w:val="51611595"/>
    <w:rsid w:val="51661F95"/>
    <w:rsid w:val="516E01E1"/>
    <w:rsid w:val="517191C8"/>
    <w:rsid w:val="517916D1"/>
    <w:rsid w:val="5185C985"/>
    <w:rsid w:val="5186A8A2"/>
    <w:rsid w:val="51891527"/>
    <w:rsid w:val="5196E6BB"/>
    <w:rsid w:val="519BB7E9"/>
    <w:rsid w:val="519EB692"/>
    <w:rsid w:val="519F9D3E"/>
    <w:rsid w:val="51A2EDA6"/>
    <w:rsid w:val="51A552AA"/>
    <w:rsid w:val="51A9DE41"/>
    <w:rsid w:val="51AA4F90"/>
    <w:rsid w:val="51B01BD9"/>
    <w:rsid w:val="51B15A0C"/>
    <w:rsid w:val="51B3EE9C"/>
    <w:rsid w:val="51B5796D"/>
    <w:rsid w:val="51B8A3C3"/>
    <w:rsid w:val="51B9784D"/>
    <w:rsid w:val="51B9FB7A"/>
    <w:rsid w:val="51C0204A"/>
    <w:rsid w:val="51C33B8F"/>
    <w:rsid w:val="51C82799"/>
    <w:rsid w:val="51D30159"/>
    <w:rsid w:val="51DEFAE7"/>
    <w:rsid w:val="51E26639"/>
    <w:rsid w:val="51E2FB91"/>
    <w:rsid w:val="51E92A4A"/>
    <w:rsid w:val="51EDA340"/>
    <w:rsid w:val="51F23C92"/>
    <w:rsid w:val="51F72BA7"/>
    <w:rsid w:val="51FD8DFF"/>
    <w:rsid w:val="520308C4"/>
    <w:rsid w:val="520EB077"/>
    <w:rsid w:val="52106B11"/>
    <w:rsid w:val="52117521"/>
    <w:rsid w:val="5214B396"/>
    <w:rsid w:val="52185AFC"/>
    <w:rsid w:val="52194365"/>
    <w:rsid w:val="52196E2C"/>
    <w:rsid w:val="521E08B8"/>
    <w:rsid w:val="522052AF"/>
    <w:rsid w:val="5223927E"/>
    <w:rsid w:val="5223E544"/>
    <w:rsid w:val="522ED515"/>
    <w:rsid w:val="5233C10D"/>
    <w:rsid w:val="5234F68E"/>
    <w:rsid w:val="52379823"/>
    <w:rsid w:val="52398450"/>
    <w:rsid w:val="523AAB7C"/>
    <w:rsid w:val="523B94F6"/>
    <w:rsid w:val="523CE306"/>
    <w:rsid w:val="52407BBB"/>
    <w:rsid w:val="5244D561"/>
    <w:rsid w:val="52472786"/>
    <w:rsid w:val="524891D9"/>
    <w:rsid w:val="52490B29"/>
    <w:rsid w:val="524A1385"/>
    <w:rsid w:val="524D151C"/>
    <w:rsid w:val="524FF5ED"/>
    <w:rsid w:val="5256ABE8"/>
    <w:rsid w:val="525E214F"/>
    <w:rsid w:val="5261B2DB"/>
    <w:rsid w:val="5268C52A"/>
    <w:rsid w:val="526AF0C8"/>
    <w:rsid w:val="526DD858"/>
    <w:rsid w:val="526F8A14"/>
    <w:rsid w:val="5279AE76"/>
    <w:rsid w:val="527B9F23"/>
    <w:rsid w:val="528137F3"/>
    <w:rsid w:val="528A47AF"/>
    <w:rsid w:val="528C5FD2"/>
    <w:rsid w:val="528D61CD"/>
    <w:rsid w:val="528E8F41"/>
    <w:rsid w:val="529676C9"/>
    <w:rsid w:val="529D1129"/>
    <w:rsid w:val="529DB73C"/>
    <w:rsid w:val="52A162CA"/>
    <w:rsid w:val="52A3BD0C"/>
    <w:rsid w:val="52A97B83"/>
    <w:rsid w:val="52A9D574"/>
    <w:rsid w:val="52AD2179"/>
    <w:rsid w:val="52BA52EF"/>
    <w:rsid w:val="52BFE126"/>
    <w:rsid w:val="52C327F1"/>
    <w:rsid w:val="52C7F6E4"/>
    <w:rsid w:val="52CB63BB"/>
    <w:rsid w:val="52D66422"/>
    <w:rsid w:val="52DB0716"/>
    <w:rsid w:val="52DE2C76"/>
    <w:rsid w:val="52DED1C7"/>
    <w:rsid w:val="52DFA5FD"/>
    <w:rsid w:val="52E3D3A1"/>
    <w:rsid w:val="52EA2785"/>
    <w:rsid w:val="52EA41A2"/>
    <w:rsid w:val="52EE9FDA"/>
    <w:rsid w:val="52F40737"/>
    <w:rsid w:val="52F708E8"/>
    <w:rsid w:val="52F84B61"/>
    <w:rsid w:val="52F8E37E"/>
    <w:rsid w:val="5300DC93"/>
    <w:rsid w:val="5301BFB9"/>
    <w:rsid w:val="5302309C"/>
    <w:rsid w:val="530436B7"/>
    <w:rsid w:val="530CE20A"/>
    <w:rsid w:val="530E8FF9"/>
    <w:rsid w:val="53158D69"/>
    <w:rsid w:val="53174B51"/>
    <w:rsid w:val="531BFC13"/>
    <w:rsid w:val="532033A3"/>
    <w:rsid w:val="5329A150"/>
    <w:rsid w:val="532C3A37"/>
    <w:rsid w:val="532F055F"/>
    <w:rsid w:val="53305360"/>
    <w:rsid w:val="5330FBC5"/>
    <w:rsid w:val="533468D0"/>
    <w:rsid w:val="533A0900"/>
    <w:rsid w:val="5341DB68"/>
    <w:rsid w:val="5347C87B"/>
    <w:rsid w:val="5347E5F2"/>
    <w:rsid w:val="53506A9F"/>
    <w:rsid w:val="53571D21"/>
    <w:rsid w:val="535D0229"/>
    <w:rsid w:val="535E7082"/>
    <w:rsid w:val="535F137D"/>
    <w:rsid w:val="53625040"/>
    <w:rsid w:val="537229EA"/>
    <w:rsid w:val="537324C7"/>
    <w:rsid w:val="537555E0"/>
    <w:rsid w:val="537906F5"/>
    <w:rsid w:val="537D31CD"/>
    <w:rsid w:val="5384B53E"/>
    <w:rsid w:val="5387B9A4"/>
    <w:rsid w:val="5388B088"/>
    <w:rsid w:val="5389759A"/>
    <w:rsid w:val="538A47FC"/>
    <w:rsid w:val="53939E37"/>
    <w:rsid w:val="539B17EA"/>
    <w:rsid w:val="539FB00C"/>
    <w:rsid w:val="53A131EE"/>
    <w:rsid w:val="53A52CE3"/>
    <w:rsid w:val="53ACCF27"/>
    <w:rsid w:val="53AE9CF1"/>
    <w:rsid w:val="53B4BF57"/>
    <w:rsid w:val="53BAA083"/>
    <w:rsid w:val="53BEA0A7"/>
    <w:rsid w:val="53CC0CC7"/>
    <w:rsid w:val="53CCDAD9"/>
    <w:rsid w:val="53CD8326"/>
    <w:rsid w:val="53D80864"/>
    <w:rsid w:val="53D8FB03"/>
    <w:rsid w:val="53DA30E8"/>
    <w:rsid w:val="53DEDBF9"/>
    <w:rsid w:val="53DF6473"/>
    <w:rsid w:val="53E0C578"/>
    <w:rsid w:val="53E83A73"/>
    <w:rsid w:val="53E94894"/>
    <w:rsid w:val="53EBBB05"/>
    <w:rsid w:val="53ECFB2F"/>
    <w:rsid w:val="53EE80E2"/>
    <w:rsid w:val="53EFBDE3"/>
    <w:rsid w:val="53F27F54"/>
    <w:rsid w:val="53F457C0"/>
    <w:rsid w:val="53F8BA76"/>
    <w:rsid w:val="5400DA5F"/>
    <w:rsid w:val="5402CC96"/>
    <w:rsid w:val="540D76B9"/>
    <w:rsid w:val="540E5C4A"/>
    <w:rsid w:val="54139990"/>
    <w:rsid w:val="541412F3"/>
    <w:rsid w:val="54168814"/>
    <w:rsid w:val="54184769"/>
    <w:rsid w:val="541BC9F6"/>
    <w:rsid w:val="54201B2F"/>
    <w:rsid w:val="5424F873"/>
    <w:rsid w:val="5425C1D8"/>
    <w:rsid w:val="54293622"/>
    <w:rsid w:val="542AC66C"/>
    <w:rsid w:val="542DB604"/>
    <w:rsid w:val="5432103C"/>
    <w:rsid w:val="5434A8F6"/>
    <w:rsid w:val="5434F220"/>
    <w:rsid w:val="54391E85"/>
    <w:rsid w:val="5439FDD5"/>
    <w:rsid w:val="543D6547"/>
    <w:rsid w:val="543F67D7"/>
    <w:rsid w:val="54489672"/>
    <w:rsid w:val="544AA28F"/>
    <w:rsid w:val="544ADBCC"/>
    <w:rsid w:val="544B88CB"/>
    <w:rsid w:val="544FCCCE"/>
    <w:rsid w:val="54556624"/>
    <w:rsid w:val="545FC571"/>
    <w:rsid w:val="5465CF8C"/>
    <w:rsid w:val="5467C85B"/>
    <w:rsid w:val="5470AB9F"/>
    <w:rsid w:val="547157D6"/>
    <w:rsid w:val="547B5186"/>
    <w:rsid w:val="548534E3"/>
    <w:rsid w:val="54909BBB"/>
    <w:rsid w:val="5491CB81"/>
    <w:rsid w:val="549593ED"/>
    <w:rsid w:val="5499BF61"/>
    <w:rsid w:val="549B2135"/>
    <w:rsid w:val="54A0B46E"/>
    <w:rsid w:val="54A2D758"/>
    <w:rsid w:val="54A652E6"/>
    <w:rsid w:val="54A7F7F7"/>
    <w:rsid w:val="54A82F34"/>
    <w:rsid w:val="54AA3EDF"/>
    <w:rsid w:val="54AB5798"/>
    <w:rsid w:val="54B1BD0F"/>
    <w:rsid w:val="54BBCB17"/>
    <w:rsid w:val="54BE07B9"/>
    <w:rsid w:val="54BF5750"/>
    <w:rsid w:val="54C16EB1"/>
    <w:rsid w:val="54C47F52"/>
    <w:rsid w:val="54C796D1"/>
    <w:rsid w:val="54D208B4"/>
    <w:rsid w:val="54D9729C"/>
    <w:rsid w:val="54DB531A"/>
    <w:rsid w:val="54DB5ED1"/>
    <w:rsid w:val="54E19776"/>
    <w:rsid w:val="54E1CAB9"/>
    <w:rsid w:val="54EA3CFB"/>
    <w:rsid w:val="54EB5391"/>
    <w:rsid w:val="54F1CFEA"/>
    <w:rsid w:val="54F3426B"/>
    <w:rsid w:val="54FD8872"/>
    <w:rsid w:val="550260E9"/>
    <w:rsid w:val="5503FB3F"/>
    <w:rsid w:val="550FA1D4"/>
    <w:rsid w:val="55144AEE"/>
    <w:rsid w:val="5514C88E"/>
    <w:rsid w:val="5518BB8C"/>
    <w:rsid w:val="5519F200"/>
    <w:rsid w:val="551AEB80"/>
    <w:rsid w:val="551F2307"/>
    <w:rsid w:val="5529E1E2"/>
    <w:rsid w:val="552A685C"/>
    <w:rsid w:val="552EA4D3"/>
    <w:rsid w:val="552F22AC"/>
    <w:rsid w:val="55328975"/>
    <w:rsid w:val="553959E5"/>
    <w:rsid w:val="553CA5D7"/>
    <w:rsid w:val="553ED4F9"/>
    <w:rsid w:val="5547A8B7"/>
    <w:rsid w:val="554E409C"/>
    <w:rsid w:val="5553F966"/>
    <w:rsid w:val="5561C480"/>
    <w:rsid w:val="55634485"/>
    <w:rsid w:val="556442D4"/>
    <w:rsid w:val="55693B47"/>
    <w:rsid w:val="5572070D"/>
    <w:rsid w:val="55742A4B"/>
    <w:rsid w:val="5576D90D"/>
    <w:rsid w:val="5577F2C0"/>
    <w:rsid w:val="55785B02"/>
    <w:rsid w:val="557DB0D8"/>
    <w:rsid w:val="558E2960"/>
    <w:rsid w:val="559F6032"/>
    <w:rsid w:val="55AB0926"/>
    <w:rsid w:val="55AF322C"/>
    <w:rsid w:val="55B13E81"/>
    <w:rsid w:val="55B5F74B"/>
    <w:rsid w:val="55B65794"/>
    <w:rsid w:val="55B6EA94"/>
    <w:rsid w:val="55B74653"/>
    <w:rsid w:val="55B9C88E"/>
    <w:rsid w:val="55BF963C"/>
    <w:rsid w:val="55BF9D35"/>
    <w:rsid w:val="55C771CA"/>
    <w:rsid w:val="55C9C9D9"/>
    <w:rsid w:val="55D9B9D4"/>
    <w:rsid w:val="55DA1B82"/>
    <w:rsid w:val="55DB9101"/>
    <w:rsid w:val="55E8B6F6"/>
    <w:rsid w:val="55E9CC7B"/>
    <w:rsid w:val="55EE3427"/>
    <w:rsid w:val="55F494AD"/>
    <w:rsid w:val="55F55087"/>
    <w:rsid w:val="55F7ECB0"/>
    <w:rsid w:val="55F90EA4"/>
    <w:rsid w:val="55FB45AC"/>
    <w:rsid w:val="55FE54C8"/>
    <w:rsid w:val="560161FE"/>
    <w:rsid w:val="560F522D"/>
    <w:rsid w:val="56105C89"/>
    <w:rsid w:val="56158E28"/>
    <w:rsid w:val="56195C3E"/>
    <w:rsid w:val="561CB7AB"/>
    <w:rsid w:val="5623E4ED"/>
    <w:rsid w:val="562B5078"/>
    <w:rsid w:val="562D7487"/>
    <w:rsid w:val="562F05FC"/>
    <w:rsid w:val="5630A7D7"/>
    <w:rsid w:val="56335A0B"/>
    <w:rsid w:val="56356EB3"/>
    <w:rsid w:val="563C67FC"/>
    <w:rsid w:val="564026CF"/>
    <w:rsid w:val="56423602"/>
    <w:rsid w:val="5643B1F7"/>
    <w:rsid w:val="5643FD94"/>
    <w:rsid w:val="5647897D"/>
    <w:rsid w:val="564A21F7"/>
    <w:rsid w:val="5653D535"/>
    <w:rsid w:val="565A33D0"/>
    <w:rsid w:val="565CFEB6"/>
    <w:rsid w:val="5660C054"/>
    <w:rsid w:val="566A1CF5"/>
    <w:rsid w:val="5670ADCF"/>
    <w:rsid w:val="567147F9"/>
    <w:rsid w:val="5677BB07"/>
    <w:rsid w:val="5687F341"/>
    <w:rsid w:val="5689A386"/>
    <w:rsid w:val="56901D9B"/>
    <w:rsid w:val="56A02876"/>
    <w:rsid w:val="56A32A5D"/>
    <w:rsid w:val="56A3B854"/>
    <w:rsid w:val="56A6C3AA"/>
    <w:rsid w:val="56AB11D7"/>
    <w:rsid w:val="56B095E4"/>
    <w:rsid w:val="56B0FABC"/>
    <w:rsid w:val="56B10351"/>
    <w:rsid w:val="56B51D4D"/>
    <w:rsid w:val="56B56AEE"/>
    <w:rsid w:val="56B70FD2"/>
    <w:rsid w:val="56BDC6CC"/>
    <w:rsid w:val="56C16596"/>
    <w:rsid w:val="56CB21F7"/>
    <w:rsid w:val="56CD11E8"/>
    <w:rsid w:val="56CF3477"/>
    <w:rsid w:val="56D2A161"/>
    <w:rsid w:val="56D32FAF"/>
    <w:rsid w:val="56D6A589"/>
    <w:rsid w:val="56DD6EA1"/>
    <w:rsid w:val="56E7C1CE"/>
    <w:rsid w:val="56E84F02"/>
    <w:rsid w:val="56EAA32A"/>
    <w:rsid w:val="56EADB16"/>
    <w:rsid w:val="56EEC53A"/>
    <w:rsid w:val="56F03D27"/>
    <w:rsid w:val="56F0BBD8"/>
    <w:rsid w:val="56F6FAEC"/>
    <w:rsid w:val="56F72B93"/>
    <w:rsid w:val="56FBAF5D"/>
    <w:rsid w:val="56FDFECF"/>
    <w:rsid w:val="56FEA6EE"/>
    <w:rsid w:val="57014B30"/>
    <w:rsid w:val="57052983"/>
    <w:rsid w:val="57073902"/>
    <w:rsid w:val="570BAFE3"/>
    <w:rsid w:val="57134150"/>
    <w:rsid w:val="5715E436"/>
    <w:rsid w:val="5715EDAE"/>
    <w:rsid w:val="57193E49"/>
    <w:rsid w:val="57197673"/>
    <w:rsid w:val="571A691B"/>
    <w:rsid w:val="571C1BE0"/>
    <w:rsid w:val="571D17C6"/>
    <w:rsid w:val="571F1687"/>
    <w:rsid w:val="571F8E8E"/>
    <w:rsid w:val="5720F544"/>
    <w:rsid w:val="57272045"/>
    <w:rsid w:val="572CACEA"/>
    <w:rsid w:val="5732730D"/>
    <w:rsid w:val="573580A5"/>
    <w:rsid w:val="573652C6"/>
    <w:rsid w:val="57377825"/>
    <w:rsid w:val="5744CD90"/>
    <w:rsid w:val="574760B3"/>
    <w:rsid w:val="57476701"/>
    <w:rsid w:val="574C625F"/>
    <w:rsid w:val="574F58C8"/>
    <w:rsid w:val="5754E4DF"/>
    <w:rsid w:val="575DB429"/>
    <w:rsid w:val="57614E05"/>
    <w:rsid w:val="57615756"/>
    <w:rsid w:val="57669143"/>
    <w:rsid w:val="576ABAB4"/>
    <w:rsid w:val="576ACC68"/>
    <w:rsid w:val="576EE901"/>
    <w:rsid w:val="5772478C"/>
    <w:rsid w:val="57744695"/>
    <w:rsid w:val="5774D76B"/>
    <w:rsid w:val="57754A65"/>
    <w:rsid w:val="5778E314"/>
    <w:rsid w:val="577A661E"/>
    <w:rsid w:val="577D56CB"/>
    <w:rsid w:val="577F4EBF"/>
    <w:rsid w:val="578534AA"/>
    <w:rsid w:val="5788E49A"/>
    <w:rsid w:val="57964AC9"/>
    <w:rsid w:val="5797AEDB"/>
    <w:rsid w:val="57A078F3"/>
    <w:rsid w:val="57A1B4B1"/>
    <w:rsid w:val="57A4EB87"/>
    <w:rsid w:val="57A688FE"/>
    <w:rsid w:val="57AF7526"/>
    <w:rsid w:val="57B14FB1"/>
    <w:rsid w:val="57B22D67"/>
    <w:rsid w:val="57B4A358"/>
    <w:rsid w:val="57B673B1"/>
    <w:rsid w:val="57B6D033"/>
    <w:rsid w:val="57BB4F0F"/>
    <w:rsid w:val="57BF832A"/>
    <w:rsid w:val="57C5A6A2"/>
    <w:rsid w:val="57C81BA8"/>
    <w:rsid w:val="57DEF996"/>
    <w:rsid w:val="57E2A123"/>
    <w:rsid w:val="57F2FAC8"/>
    <w:rsid w:val="57FEE14B"/>
    <w:rsid w:val="580B2AD4"/>
    <w:rsid w:val="5816FC66"/>
    <w:rsid w:val="58171EDA"/>
    <w:rsid w:val="581EDEE9"/>
    <w:rsid w:val="582014A8"/>
    <w:rsid w:val="58204C20"/>
    <w:rsid w:val="582879DE"/>
    <w:rsid w:val="582B3BB7"/>
    <w:rsid w:val="582E7493"/>
    <w:rsid w:val="582FB5A3"/>
    <w:rsid w:val="5830E82A"/>
    <w:rsid w:val="5836E55A"/>
    <w:rsid w:val="583747A7"/>
    <w:rsid w:val="58375E71"/>
    <w:rsid w:val="58397C6C"/>
    <w:rsid w:val="583B70AE"/>
    <w:rsid w:val="583C292F"/>
    <w:rsid w:val="583DCA4E"/>
    <w:rsid w:val="5841E779"/>
    <w:rsid w:val="5844B960"/>
    <w:rsid w:val="5849C95C"/>
    <w:rsid w:val="5850B031"/>
    <w:rsid w:val="5852AD89"/>
    <w:rsid w:val="5854A234"/>
    <w:rsid w:val="58574FC5"/>
    <w:rsid w:val="585C44C6"/>
    <w:rsid w:val="585C59B4"/>
    <w:rsid w:val="585EAD97"/>
    <w:rsid w:val="58611C87"/>
    <w:rsid w:val="586193E8"/>
    <w:rsid w:val="586752A4"/>
    <w:rsid w:val="586BA761"/>
    <w:rsid w:val="587614F0"/>
    <w:rsid w:val="587655F7"/>
    <w:rsid w:val="587DC4E5"/>
    <w:rsid w:val="588370CB"/>
    <w:rsid w:val="5884B715"/>
    <w:rsid w:val="58871930"/>
    <w:rsid w:val="588EF34E"/>
    <w:rsid w:val="5896D5B0"/>
    <w:rsid w:val="5899341F"/>
    <w:rsid w:val="589D645D"/>
    <w:rsid w:val="58A492CC"/>
    <w:rsid w:val="58A8F4D7"/>
    <w:rsid w:val="58ACE821"/>
    <w:rsid w:val="58AED819"/>
    <w:rsid w:val="58B49516"/>
    <w:rsid w:val="58B6EC69"/>
    <w:rsid w:val="58BCB602"/>
    <w:rsid w:val="58BEE837"/>
    <w:rsid w:val="58BF3922"/>
    <w:rsid w:val="58C77FDD"/>
    <w:rsid w:val="58C9C115"/>
    <w:rsid w:val="58CC5F78"/>
    <w:rsid w:val="58D1068B"/>
    <w:rsid w:val="58D8CFEE"/>
    <w:rsid w:val="58DA8DCB"/>
    <w:rsid w:val="58DEF88C"/>
    <w:rsid w:val="58E949C7"/>
    <w:rsid w:val="58EA2E15"/>
    <w:rsid w:val="58EF7F34"/>
    <w:rsid w:val="58F4979B"/>
    <w:rsid w:val="58F8DA87"/>
    <w:rsid w:val="58FD3F3C"/>
    <w:rsid w:val="590267DD"/>
    <w:rsid w:val="59030951"/>
    <w:rsid w:val="590402CA"/>
    <w:rsid w:val="5907557E"/>
    <w:rsid w:val="59168991"/>
    <w:rsid w:val="59172432"/>
    <w:rsid w:val="5923D156"/>
    <w:rsid w:val="59244274"/>
    <w:rsid w:val="592C5FD0"/>
    <w:rsid w:val="592CF149"/>
    <w:rsid w:val="592EFA33"/>
    <w:rsid w:val="5931A415"/>
    <w:rsid w:val="59340BF1"/>
    <w:rsid w:val="5936AF67"/>
    <w:rsid w:val="593C608D"/>
    <w:rsid w:val="594367C2"/>
    <w:rsid w:val="5943DE94"/>
    <w:rsid w:val="594AA5CC"/>
    <w:rsid w:val="594C5FF1"/>
    <w:rsid w:val="594E1C7D"/>
    <w:rsid w:val="5954640D"/>
    <w:rsid w:val="5955A2E6"/>
    <w:rsid w:val="59561977"/>
    <w:rsid w:val="595790EB"/>
    <w:rsid w:val="595ACEAF"/>
    <w:rsid w:val="5970F3C0"/>
    <w:rsid w:val="59720E4C"/>
    <w:rsid w:val="597233AC"/>
    <w:rsid w:val="5974361A"/>
    <w:rsid w:val="597AB1B1"/>
    <w:rsid w:val="597B5C44"/>
    <w:rsid w:val="597D5DA6"/>
    <w:rsid w:val="5983F214"/>
    <w:rsid w:val="5988D5FE"/>
    <w:rsid w:val="5988F531"/>
    <w:rsid w:val="599140BE"/>
    <w:rsid w:val="5991C0F6"/>
    <w:rsid w:val="599281F0"/>
    <w:rsid w:val="59936D26"/>
    <w:rsid w:val="59937FFF"/>
    <w:rsid w:val="5994159F"/>
    <w:rsid w:val="5995EC8B"/>
    <w:rsid w:val="5997E3E1"/>
    <w:rsid w:val="59A269E7"/>
    <w:rsid w:val="59A5373F"/>
    <w:rsid w:val="59AB471E"/>
    <w:rsid w:val="59ACE9E2"/>
    <w:rsid w:val="59B2AE3A"/>
    <w:rsid w:val="59B52B64"/>
    <w:rsid w:val="59B7E094"/>
    <w:rsid w:val="59BB11D2"/>
    <w:rsid w:val="59BF48DA"/>
    <w:rsid w:val="59C8CD62"/>
    <w:rsid w:val="59CA00DC"/>
    <w:rsid w:val="59CCBE13"/>
    <w:rsid w:val="59CFE0F5"/>
    <w:rsid w:val="59DA488B"/>
    <w:rsid w:val="59DD1EED"/>
    <w:rsid w:val="59DD2A34"/>
    <w:rsid w:val="59DE3A87"/>
    <w:rsid w:val="59F9B367"/>
    <w:rsid w:val="59FB5134"/>
    <w:rsid w:val="59FD6BA7"/>
    <w:rsid w:val="5A041B32"/>
    <w:rsid w:val="5A060452"/>
    <w:rsid w:val="5A090A35"/>
    <w:rsid w:val="5A0B3EC3"/>
    <w:rsid w:val="5A0B950F"/>
    <w:rsid w:val="5A0DD84B"/>
    <w:rsid w:val="5A11F52B"/>
    <w:rsid w:val="5A1545F2"/>
    <w:rsid w:val="5A17C633"/>
    <w:rsid w:val="5A1885EC"/>
    <w:rsid w:val="5A20B1A9"/>
    <w:rsid w:val="5A26AD99"/>
    <w:rsid w:val="5A29A12C"/>
    <w:rsid w:val="5A29FF75"/>
    <w:rsid w:val="5A2FC525"/>
    <w:rsid w:val="5A335872"/>
    <w:rsid w:val="5A374EA5"/>
    <w:rsid w:val="5A37994E"/>
    <w:rsid w:val="5A3D18F2"/>
    <w:rsid w:val="5A419261"/>
    <w:rsid w:val="5A457D52"/>
    <w:rsid w:val="5A46CCCA"/>
    <w:rsid w:val="5A482000"/>
    <w:rsid w:val="5A492DE1"/>
    <w:rsid w:val="5A4D9AA3"/>
    <w:rsid w:val="5A4FD604"/>
    <w:rsid w:val="5A51F50A"/>
    <w:rsid w:val="5A5B0401"/>
    <w:rsid w:val="5A5BDFE6"/>
    <w:rsid w:val="5A5DC86F"/>
    <w:rsid w:val="5A60A814"/>
    <w:rsid w:val="5A641166"/>
    <w:rsid w:val="5A64F18C"/>
    <w:rsid w:val="5A65534D"/>
    <w:rsid w:val="5A6C8A87"/>
    <w:rsid w:val="5A6D92FA"/>
    <w:rsid w:val="5A7042EE"/>
    <w:rsid w:val="5A71DE4A"/>
    <w:rsid w:val="5A7D9C0A"/>
    <w:rsid w:val="5A8324E5"/>
    <w:rsid w:val="5A847BD9"/>
    <w:rsid w:val="5A852DF4"/>
    <w:rsid w:val="5A85E131"/>
    <w:rsid w:val="5A87273B"/>
    <w:rsid w:val="5A87FC4D"/>
    <w:rsid w:val="5A8B0181"/>
    <w:rsid w:val="5A8E0B1D"/>
    <w:rsid w:val="5A945A57"/>
    <w:rsid w:val="5A979752"/>
    <w:rsid w:val="5A9B997E"/>
    <w:rsid w:val="5AA10B8D"/>
    <w:rsid w:val="5AA71656"/>
    <w:rsid w:val="5AAB746E"/>
    <w:rsid w:val="5AAFB126"/>
    <w:rsid w:val="5AB20B8C"/>
    <w:rsid w:val="5AB42D5E"/>
    <w:rsid w:val="5AB43B59"/>
    <w:rsid w:val="5AB48FA6"/>
    <w:rsid w:val="5AB9D92C"/>
    <w:rsid w:val="5AC5B8FA"/>
    <w:rsid w:val="5AC7F7B8"/>
    <w:rsid w:val="5ACB3C25"/>
    <w:rsid w:val="5ACC708F"/>
    <w:rsid w:val="5ACEF394"/>
    <w:rsid w:val="5ACF0D5A"/>
    <w:rsid w:val="5AD1DD44"/>
    <w:rsid w:val="5AD3D552"/>
    <w:rsid w:val="5AD5F0C0"/>
    <w:rsid w:val="5ADDCD24"/>
    <w:rsid w:val="5ADEE24B"/>
    <w:rsid w:val="5AE218CC"/>
    <w:rsid w:val="5AE2432D"/>
    <w:rsid w:val="5AE3422E"/>
    <w:rsid w:val="5AEAE841"/>
    <w:rsid w:val="5AEC7058"/>
    <w:rsid w:val="5AF6F79A"/>
    <w:rsid w:val="5AFBF9B0"/>
    <w:rsid w:val="5B0665CB"/>
    <w:rsid w:val="5B088B93"/>
    <w:rsid w:val="5B08E77E"/>
    <w:rsid w:val="5B08FFD0"/>
    <w:rsid w:val="5B147B62"/>
    <w:rsid w:val="5B17141C"/>
    <w:rsid w:val="5B18300E"/>
    <w:rsid w:val="5B1A1031"/>
    <w:rsid w:val="5B1AC212"/>
    <w:rsid w:val="5B1B0804"/>
    <w:rsid w:val="5B1C5526"/>
    <w:rsid w:val="5B1D5DB5"/>
    <w:rsid w:val="5B1F8459"/>
    <w:rsid w:val="5B2BB50A"/>
    <w:rsid w:val="5B2EDDBA"/>
    <w:rsid w:val="5B3B381E"/>
    <w:rsid w:val="5B3D8581"/>
    <w:rsid w:val="5B3E8032"/>
    <w:rsid w:val="5B50E426"/>
    <w:rsid w:val="5B53C679"/>
    <w:rsid w:val="5B57F613"/>
    <w:rsid w:val="5B600BFA"/>
    <w:rsid w:val="5B66663A"/>
    <w:rsid w:val="5B6A365E"/>
    <w:rsid w:val="5B6E2031"/>
    <w:rsid w:val="5B747095"/>
    <w:rsid w:val="5B756676"/>
    <w:rsid w:val="5B760EEB"/>
    <w:rsid w:val="5B773BAC"/>
    <w:rsid w:val="5B7753DF"/>
    <w:rsid w:val="5B7C45A1"/>
    <w:rsid w:val="5B7D900E"/>
    <w:rsid w:val="5B7E44B8"/>
    <w:rsid w:val="5B7F1876"/>
    <w:rsid w:val="5B82A8F3"/>
    <w:rsid w:val="5B86878C"/>
    <w:rsid w:val="5B8CA816"/>
    <w:rsid w:val="5B927869"/>
    <w:rsid w:val="5B984021"/>
    <w:rsid w:val="5BA7A5EA"/>
    <w:rsid w:val="5BA8BA80"/>
    <w:rsid w:val="5BAD4804"/>
    <w:rsid w:val="5BADD711"/>
    <w:rsid w:val="5BB41203"/>
    <w:rsid w:val="5BB4BE60"/>
    <w:rsid w:val="5BBB04E7"/>
    <w:rsid w:val="5BBD05BD"/>
    <w:rsid w:val="5BC50187"/>
    <w:rsid w:val="5BC71F16"/>
    <w:rsid w:val="5BCB34CE"/>
    <w:rsid w:val="5BD4B07A"/>
    <w:rsid w:val="5BD65F79"/>
    <w:rsid w:val="5BD76B7C"/>
    <w:rsid w:val="5BE2AAE5"/>
    <w:rsid w:val="5BE3B8AA"/>
    <w:rsid w:val="5BEAC9D9"/>
    <w:rsid w:val="5BEE7F5D"/>
    <w:rsid w:val="5BEE8DC0"/>
    <w:rsid w:val="5BF5DF29"/>
    <w:rsid w:val="5BF7E7DE"/>
    <w:rsid w:val="5BF90087"/>
    <w:rsid w:val="5BFA1AB1"/>
    <w:rsid w:val="5C00E101"/>
    <w:rsid w:val="5C026326"/>
    <w:rsid w:val="5C02F048"/>
    <w:rsid w:val="5C04A09E"/>
    <w:rsid w:val="5C06940F"/>
    <w:rsid w:val="5C09A47B"/>
    <w:rsid w:val="5C0A0531"/>
    <w:rsid w:val="5C0CED8D"/>
    <w:rsid w:val="5C140ABB"/>
    <w:rsid w:val="5C141253"/>
    <w:rsid w:val="5C163BD8"/>
    <w:rsid w:val="5C170D90"/>
    <w:rsid w:val="5C228A95"/>
    <w:rsid w:val="5C239920"/>
    <w:rsid w:val="5C26B0D8"/>
    <w:rsid w:val="5C2703CF"/>
    <w:rsid w:val="5C271D09"/>
    <w:rsid w:val="5C289B1F"/>
    <w:rsid w:val="5C2A0B0C"/>
    <w:rsid w:val="5C2F4044"/>
    <w:rsid w:val="5C330397"/>
    <w:rsid w:val="5C347F89"/>
    <w:rsid w:val="5C378282"/>
    <w:rsid w:val="5C398FF2"/>
    <w:rsid w:val="5C401970"/>
    <w:rsid w:val="5C46B63A"/>
    <w:rsid w:val="5C4847BD"/>
    <w:rsid w:val="5C4A3EF3"/>
    <w:rsid w:val="5C52C95C"/>
    <w:rsid w:val="5C533CE2"/>
    <w:rsid w:val="5C55591C"/>
    <w:rsid w:val="5C5E148C"/>
    <w:rsid w:val="5C5E70F8"/>
    <w:rsid w:val="5C61E4F9"/>
    <w:rsid w:val="5C638D18"/>
    <w:rsid w:val="5C64349A"/>
    <w:rsid w:val="5C6470DD"/>
    <w:rsid w:val="5C6A6C74"/>
    <w:rsid w:val="5C6C48A8"/>
    <w:rsid w:val="5C6EBEFD"/>
    <w:rsid w:val="5C7357BA"/>
    <w:rsid w:val="5C79C21E"/>
    <w:rsid w:val="5C7C7AA5"/>
    <w:rsid w:val="5C7EEAA6"/>
    <w:rsid w:val="5C7F4013"/>
    <w:rsid w:val="5C8051B4"/>
    <w:rsid w:val="5C86FAC9"/>
    <w:rsid w:val="5C899B09"/>
    <w:rsid w:val="5C9BF804"/>
    <w:rsid w:val="5C9D9963"/>
    <w:rsid w:val="5CA52A6A"/>
    <w:rsid w:val="5CA73125"/>
    <w:rsid w:val="5CA888A5"/>
    <w:rsid w:val="5CAA4EAA"/>
    <w:rsid w:val="5CAA821D"/>
    <w:rsid w:val="5CB6585F"/>
    <w:rsid w:val="5CB70B36"/>
    <w:rsid w:val="5CB7BFF7"/>
    <w:rsid w:val="5CB8BD35"/>
    <w:rsid w:val="5CB998B1"/>
    <w:rsid w:val="5CBC7CA6"/>
    <w:rsid w:val="5CC45B20"/>
    <w:rsid w:val="5CCE2EEB"/>
    <w:rsid w:val="5CD0401C"/>
    <w:rsid w:val="5CD196E9"/>
    <w:rsid w:val="5CD2FE98"/>
    <w:rsid w:val="5CD36103"/>
    <w:rsid w:val="5CD5396E"/>
    <w:rsid w:val="5CDB3BF7"/>
    <w:rsid w:val="5CDDB68B"/>
    <w:rsid w:val="5CE59C02"/>
    <w:rsid w:val="5CE89932"/>
    <w:rsid w:val="5CF13DFB"/>
    <w:rsid w:val="5CF357EB"/>
    <w:rsid w:val="5CF95D58"/>
    <w:rsid w:val="5CFB12A5"/>
    <w:rsid w:val="5CFF337C"/>
    <w:rsid w:val="5D062027"/>
    <w:rsid w:val="5D064848"/>
    <w:rsid w:val="5D090F9E"/>
    <w:rsid w:val="5D11D61F"/>
    <w:rsid w:val="5D15A346"/>
    <w:rsid w:val="5D1915AB"/>
    <w:rsid w:val="5D1A939D"/>
    <w:rsid w:val="5D1D82AC"/>
    <w:rsid w:val="5D2A498C"/>
    <w:rsid w:val="5D2FEE1A"/>
    <w:rsid w:val="5D329A26"/>
    <w:rsid w:val="5D3A214E"/>
    <w:rsid w:val="5D3E1D71"/>
    <w:rsid w:val="5D4131DB"/>
    <w:rsid w:val="5D4532B6"/>
    <w:rsid w:val="5D479D9A"/>
    <w:rsid w:val="5D4A8450"/>
    <w:rsid w:val="5D5C3F7A"/>
    <w:rsid w:val="5D5EF3FF"/>
    <w:rsid w:val="5D62AF11"/>
    <w:rsid w:val="5D62E6DA"/>
    <w:rsid w:val="5D6335B5"/>
    <w:rsid w:val="5D690029"/>
    <w:rsid w:val="5D6C8887"/>
    <w:rsid w:val="5D70BF85"/>
    <w:rsid w:val="5D764B22"/>
    <w:rsid w:val="5D7CAFEA"/>
    <w:rsid w:val="5D81F870"/>
    <w:rsid w:val="5D873F6E"/>
    <w:rsid w:val="5D88DDBB"/>
    <w:rsid w:val="5D8E4D7B"/>
    <w:rsid w:val="5D972709"/>
    <w:rsid w:val="5D99F6DD"/>
    <w:rsid w:val="5D9A2FFC"/>
    <w:rsid w:val="5DA11C40"/>
    <w:rsid w:val="5DA6E95C"/>
    <w:rsid w:val="5DA7C625"/>
    <w:rsid w:val="5DA84218"/>
    <w:rsid w:val="5DAAAB1C"/>
    <w:rsid w:val="5DB15AE9"/>
    <w:rsid w:val="5DB3114A"/>
    <w:rsid w:val="5DB52D26"/>
    <w:rsid w:val="5DB89A59"/>
    <w:rsid w:val="5DB8A6F9"/>
    <w:rsid w:val="5DB94679"/>
    <w:rsid w:val="5DB9A337"/>
    <w:rsid w:val="5DC1560A"/>
    <w:rsid w:val="5DC1BAF9"/>
    <w:rsid w:val="5DCBEDB6"/>
    <w:rsid w:val="5DCEC333"/>
    <w:rsid w:val="5DD0D7EC"/>
    <w:rsid w:val="5DD2196D"/>
    <w:rsid w:val="5DD22115"/>
    <w:rsid w:val="5DD3B2E7"/>
    <w:rsid w:val="5DD81B66"/>
    <w:rsid w:val="5DDE6E2D"/>
    <w:rsid w:val="5DDF285F"/>
    <w:rsid w:val="5DEDD8EC"/>
    <w:rsid w:val="5DF835DC"/>
    <w:rsid w:val="5E11F29B"/>
    <w:rsid w:val="5E133603"/>
    <w:rsid w:val="5E14AFD8"/>
    <w:rsid w:val="5E1DA1A0"/>
    <w:rsid w:val="5E1E6D2C"/>
    <w:rsid w:val="5E238892"/>
    <w:rsid w:val="5E24D6A8"/>
    <w:rsid w:val="5E25C87B"/>
    <w:rsid w:val="5E3B3838"/>
    <w:rsid w:val="5E425BFC"/>
    <w:rsid w:val="5E432D26"/>
    <w:rsid w:val="5E4754BB"/>
    <w:rsid w:val="5E500A8F"/>
    <w:rsid w:val="5E50440F"/>
    <w:rsid w:val="5E538C01"/>
    <w:rsid w:val="5E598910"/>
    <w:rsid w:val="5E5C1F49"/>
    <w:rsid w:val="5E5DE555"/>
    <w:rsid w:val="5E5E594F"/>
    <w:rsid w:val="5E6061EE"/>
    <w:rsid w:val="5E6468C6"/>
    <w:rsid w:val="5E65143D"/>
    <w:rsid w:val="5E668E59"/>
    <w:rsid w:val="5E682146"/>
    <w:rsid w:val="5E6CB39D"/>
    <w:rsid w:val="5E6DDCEE"/>
    <w:rsid w:val="5E721DF1"/>
    <w:rsid w:val="5E782E01"/>
    <w:rsid w:val="5E7F826C"/>
    <w:rsid w:val="5E8227D8"/>
    <w:rsid w:val="5E84E5D5"/>
    <w:rsid w:val="5E86B89A"/>
    <w:rsid w:val="5E87F26A"/>
    <w:rsid w:val="5E89E738"/>
    <w:rsid w:val="5E94E282"/>
    <w:rsid w:val="5E9875D5"/>
    <w:rsid w:val="5E999DEB"/>
    <w:rsid w:val="5E9A0B28"/>
    <w:rsid w:val="5E9C4ABD"/>
    <w:rsid w:val="5E9CBE84"/>
    <w:rsid w:val="5E9DCD6E"/>
    <w:rsid w:val="5EA2DE92"/>
    <w:rsid w:val="5EA5491C"/>
    <w:rsid w:val="5EA5D8E0"/>
    <w:rsid w:val="5EA71045"/>
    <w:rsid w:val="5EAC93A0"/>
    <w:rsid w:val="5EADA3B6"/>
    <w:rsid w:val="5EAE9C4E"/>
    <w:rsid w:val="5EB08F1E"/>
    <w:rsid w:val="5EB11A70"/>
    <w:rsid w:val="5EB2A77D"/>
    <w:rsid w:val="5EB49568"/>
    <w:rsid w:val="5EB6692C"/>
    <w:rsid w:val="5EB9FBBA"/>
    <w:rsid w:val="5EBA142F"/>
    <w:rsid w:val="5EC1EA6B"/>
    <w:rsid w:val="5EC39184"/>
    <w:rsid w:val="5EC44235"/>
    <w:rsid w:val="5EC8DDA4"/>
    <w:rsid w:val="5ECA421C"/>
    <w:rsid w:val="5ECF0768"/>
    <w:rsid w:val="5ED22FDA"/>
    <w:rsid w:val="5ED633E7"/>
    <w:rsid w:val="5ED7D21A"/>
    <w:rsid w:val="5EDCB853"/>
    <w:rsid w:val="5EE3D958"/>
    <w:rsid w:val="5EE5AD88"/>
    <w:rsid w:val="5EE5FF25"/>
    <w:rsid w:val="5EE9151A"/>
    <w:rsid w:val="5EEC623A"/>
    <w:rsid w:val="5EF2E920"/>
    <w:rsid w:val="5EFC9A34"/>
    <w:rsid w:val="5F02911F"/>
    <w:rsid w:val="5F03BFFD"/>
    <w:rsid w:val="5F088DC6"/>
    <w:rsid w:val="5F0AD9C0"/>
    <w:rsid w:val="5F0F2BC5"/>
    <w:rsid w:val="5F111D5C"/>
    <w:rsid w:val="5F12CFFA"/>
    <w:rsid w:val="5F160E22"/>
    <w:rsid w:val="5F17653D"/>
    <w:rsid w:val="5F186395"/>
    <w:rsid w:val="5F1901FA"/>
    <w:rsid w:val="5F1F245B"/>
    <w:rsid w:val="5F23BFA5"/>
    <w:rsid w:val="5F2911D0"/>
    <w:rsid w:val="5F372901"/>
    <w:rsid w:val="5F3780BE"/>
    <w:rsid w:val="5F3A2623"/>
    <w:rsid w:val="5F3BD10C"/>
    <w:rsid w:val="5F451635"/>
    <w:rsid w:val="5F458ED5"/>
    <w:rsid w:val="5F45AA34"/>
    <w:rsid w:val="5F46BE6F"/>
    <w:rsid w:val="5F47F3DE"/>
    <w:rsid w:val="5F487C29"/>
    <w:rsid w:val="5F4A17AE"/>
    <w:rsid w:val="5F4A2A5F"/>
    <w:rsid w:val="5F4E61E2"/>
    <w:rsid w:val="5F5163C9"/>
    <w:rsid w:val="5F5184AB"/>
    <w:rsid w:val="5F51A894"/>
    <w:rsid w:val="5F51EAE3"/>
    <w:rsid w:val="5F5276F1"/>
    <w:rsid w:val="5F5A09BC"/>
    <w:rsid w:val="5F5A7E41"/>
    <w:rsid w:val="5F5ECB0B"/>
    <w:rsid w:val="5F5F11CF"/>
    <w:rsid w:val="5F621614"/>
    <w:rsid w:val="5F63D203"/>
    <w:rsid w:val="5F643BDA"/>
    <w:rsid w:val="5F674A23"/>
    <w:rsid w:val="5F6786E4"/>
    <w:rsid w:val="5F7BDC56"/>
    <w:rsid w:val="5F800D3D"/>
    <w:rsid w:val="5F84375A"/>
    <w:rsid w:val="5F8C8D98"/>
    <w:rsid w:val="5F92F9E1"/>
    <w:rsid w:val="5F942AD0"/>
    <w:rsid w:val="5F96C146"/>
    <w:rsid w:val="5F96EA29"/>
    <w:rsid w:val="5FA3910C"/>
    <w:rsid w:val="5FA67003"/>
    <w:rsid w:val="5FAA9B9B"/>
    <w:rsid w:val="5FAAD829"/>
    <w:rsid w:val="5FACA6CB"/>
    <w:rsid w:val="5FBC5E3C"/>
    <w:rsid w:val="5FC2486D"/>
    <w:rsid w:val="5FC3F330"/>
    <w:rsid w:val="5FCA9B8B"/>
    <w:rsid w:val="5FCB8D7A"/>
    <w:rsid w:val="5FCEFF85"/>
    <w:rsid w:val="5FD56160"/>
    <w:rsid w:val="5FD6BC30"/>
    <w:rsid w:val="5FD981AF"/>
    <w:rsid w:val="5FE09DF1"/>
    <w:rsid w:val="5FE7D2BE"/>
    <w:rsid w:val="5FE9F6E1"/>
    <w:rsid w:val="5FEEF1E5"/>
    <w:rsid w:val="5FF64ECF"/>
    <w:rsid w:val="5FFC7DD2"/>
    <w:rsid w:val="60015AE2"/>
    <w:rsid w:val="600DA352"/>
    <w:rsid w:val="601396B8"/>
    <w:rsid w:val="60158276"/>
    <w:rsid w:val="60161350"/>
    <w:rsid w:val="601E0406"/>
    <w:rsid w:val="6021CB71"/>
    <w:rsid w:val="602652F1"/>
    <w:rsid w:val="6028BEA6"/>
    <w:rsid w:val="602DFAB4"/>
    <w:rsid w:val="60336917"/>
    <w:rsid w:val="603794B5"/>
    <w:rsid w:val="603C06EB"/>
    <w:rsid w:val="603E7B1C"/>
    <w:rsid w:val="6041EBDD"/>
    <w:rsid w:val="604B9A5D"/>
    <w:rsid w:val="604C0A01"/>
    <w:rsid w:val="6050B455"/>
    <w:rsid w:val="60558F67"/>
    <w:rsid w:val="605ABC03"/>
    <w:rsid w:val="605AC33B"/>
    <w:rsid w:val="605B7DA4"/>
    <w:rsid w:val="605F3D40"/>
    <w:rsid w:val="60698913"/>
    <w:rsid w:val="606C52BC"/>
    <w:rsid w:val="6070CAD7"/>
    <w:rsid w:val="6071494E"/>
    <w:rsid w:val="607562ED"/>
    <w:rsid w:val="607F3CDD"/>
    <w:rsid w:val="607FBC18"/>
    <w:rsid w:val="60805372"/>
    <w:rsid w:val="6082DE2F"/>
    <w:rsid w:val="60845F39"/>
    <w:rsid w:val="6089FF0E"/>
    <w:rsid w:val="608BC825"/>
    <w:rsid w:val="608C748C"/>
    <w:rsid w:val="60954D0F"/>
    <w:rsid w:val="6098CBE4"/>
    <w:rsid w:val="609DE369"/>
    <w:rsid w:val="60A25C15"/>
    <w:rsid w:val="60A3E809"/>
    <w:rsid w:val="60A45644"/>
    <w:rsid w:val="60AB652E"/>
    <w:rsid w:val="60AC9A16"/>
    <w:rsid w:val="60B0B109"/>
    <w:rsid w:val="60B47A28"/>
    <w:rsid w:val="60B4EB2B"/>
    <w:rsid w:val="60B92DCD"/>
    <w:rsid w:val="60BAA892"/>
    <w:rsid w:val="60BC7130"/>
    <w:rsid w:val="60BCD915"/>
    <w:rsid w:val="60BD8ACE"/>
    <w:rsid w:val="60C5C114"/>
    <w:rsid w:val="60C7D157"/>
    <w:rsid w:val="60C81615"/>
    <w:rsid w:val="60C83F6E"/>
    <w:rsid w:val="60CDCD37"/>
    <w:rsid w:val="60CF8A58"/>
    <w:rsid w:val="60D48388"/>
    <w:rsid w:val="60D7227B"/>
    <w:rsid w:val="60DCA6D9"/>
    <w:rsid w:val="60E65942"/>
    <w:rsid w:val="60EAD785"/>
    <w:rsid w:val="60F16DA9"/>
    <w:rsid w:val="60F19535"/>
    <w:rsid w:val="60F43917"/>
    <w:rsid w:val="60F75592"/>
    <w:rsid w:val="60FA3E7A"/>
    <w:rsid w:val="6105943E"/>
    <w:rsid w:val="610CA5B6"/>
    <w:rsid w:val="6110E12C"/>
    <w:rsid w:val="611187B3"/>
    <w:rsid w:val="611824F7"/>
    <w:rsid w:val="611AE9CE"/>
    <w:rsid w:val="611B2C92"/>
    <w:rsid w:val="611B5FA7"/>
    <w:rsid w:val="61204780"/>
    <w:rsid w:val="612217E8"/>
    <w:rsid w:val="612628C1"/>
    <w:rsid w:val="61277EC6"/>
    <w:rsid w:val="612B6F8A"/>
    <w:rsid w:val="612C1011"/>
    <w:rsid w:val="612D260F"/>
    <w:rsid w:val="612EFFB9"/>
    <w:rsid w:val="613393F5"/>
    <w:rsid w:val="6135B9A2"/>
    <w:rsid w:val="6140FC9E"/>
    <w:rsid w:val="6141EAA4"/>
    <w:rsid w:val="6142E76E"/>
    <w:rsid w:val="6147DE14"/>
    <w:rsid w:val="61487D7C"/>
    <w:rsid w:val="614883E4"/>
    <w:rsid w:val="614B16CF"/>
    <w:rsid w:val="61514917"/>
    <w:rsid w:val="61523C28"/>
    <w:rsid w:val="6153CCFF"/>
    <w:rsid w:val="6164E6BA"/>
    <w:rsid w:val="617005DB"/>
    <w:rsid w:val="617941D9"/>
    <w:rsid w:val="617D175A"/>
    <w:rsid w:val="617D854E"/>
    <w:rsid w:val="617EC961"/>
    <w:rsid w:val="617F4F70"/>
    <w:rsid w:val="618139F7"/>
    <w:rsid w:val="6183EAF9"/>
    <w:rsid w:val="6185B177"/>
    <w:rsid w:val="6186F97B"/>
    <w:rsid w:val="618B4A8C"/>
    <w:rsid w:val="618E8480"/>
    <w:rsid w:val="6195580B"/>
    <w:rsid w:val="6195E3BA"/>
    <w:rsid w:val="61995A47"/>
    <w:rsid w:val="61A285CB"/>
    <w:rsid w:val="61A451CB"/>
    <w:rsid w:val="61AD61E4"/>
    <w:rsid w:val="61B258C0"/>
    <w:rsid w:val="61B7AC68"/>
    <w:rsid w:val="61B88FBF"/>
    <w:rsid w:val="61BA8211"/>
    <w:rsid w:val="61C0B9BB"/>
    <w:rsid w:val="61C369E4"/>
    <w:rsid w:val="61C4C68B"/>
    <w:rsid w:val="61C7FED3"/>
    <w:rsid w:val="61CEB029"/>
    <w:rsid w:val="61D17F6F"/>
    <w:rsid w:val="61D36563"/>
    <w:rsid w:val="61D4E409"/>
    <w:rsid w:val="61D9703E"/>
    <w:rsid w:val="61DDA59A"/>
    <w:rsid w:val="61DFEA3E"/>
    <w:rsid w:val="61E2AE97"/>
    <w:rsid w:val="61E490E5"/>
    <w:rsid w:val="61E9EEBE"/>
    <w:rsid w:val="61ED03B2"/>
    <w:rsid w:val="61F16875"/>
    <w:rsid w:val="61F1B019"/>
    <w:rsid w:val="61FE5E74"/>
    <w:rsid w:val="620DEC2F"/>
    <w:rsid w:val="6210348A"/>
    <w:rsid w:val="621253C1"/>
    <w:rsid w:val="6213B915"/>
    <w:rsid w:val="621B7C42"/>
    <w:rsid w:val="621F184C"/>
    <w:rsid w:val="622408A9"/>
    <w:rsid w:val="62242E2F"/>
    <w:rsid w:val="622A9414"/>
    <w:rsid w:val="623601A4"/>
    <w:rsid w:val="623933F4"/>
    <w:rsid w:val="623F529F"/>
    <w:rsid w:val="62440CAE"/>
    <w:rsid w:val="624D7D89"/>
    <w:rsid w:val="62571D7B"/>
    <w:rsid w:val="625A68F4"/>
    <w:rsid w:val="625AF039"/>
    <w:rsid w:val="625B505B"/>
    <w:rsid w:val="625BFDF4"/>
    <w:rsid w:val="6261046C"/>
    <w:rsid w:val="6265FD88"/>
    <w:rsid w:val="6269822C"/>
    <w:rsid w:val="626E4BE0"/>
    <w:rsid w:val="627322D7"/>
    <w:rsid w:val="6273A825"/>
    <w:rsid w:val="627905D9"/>
    <w:rsid w:val="627C3914"/>
    <w:rsid w:val="627EF33F"/>
    <w:rsid w:val="627FBA17"/>
    <w:rsid w:val="628025E2"/>
    <w:rsid w:val="6281A581"/>
    <w:rsid w:val="6282503E"/>
    <w:rsid w:val="6284247A"/>
    <w:rsid w:val="628550BA"/>
    <w:rsid w:val="6287552C"/>
    <w:rsid w:val="628CEAA0"/>
    <w:rsid w:val="628EA862"/>
    <w:rsid w:val="62923C6F"/>
    <w:rsid w:val="6294DFB6"/>
    <w:rsid w:val="62996F3F"/>
    <w:rsid w:val="62998256"/>
    <w:rsid w:val="629B1B9B"/>
    <w:rsid w:val="629EB5C2"/>
    <w:rsid w:val="62A03C5E"/>
    <w:rsid w:val="62A13D70"/>
    <w:rsid w:val="62A14269"/>
    <w:rsid w:val="62A248E8"/>
    <w:rsid w:val="62A5F2A7"/>
    <w:rsid w:val="62A72314"/>
    <w:rsid w:val="62A96379"/>
    <w:rsid w:val="62B39795"/>
    <w:rsid w:val="62B74504"/>
    <w:rsid w:val="62BB5882"/>
    <w:rsid w:val="62BB868A"/>
    <w:rsid w:val="62CD5220"/>
    <w:rsid w:val="62CDC809"/>
    <w:rsid w:val="62D3E1C1"/>
    <w:rsid w:val="62D7EE37"/>
    <w:rsid w:val="62D84713"/>
    <w:rsid w:val="62DB505B"/>
    <w:rsid w:val="62E0EB89"/>
    <w:rsid w:val="62E26577"/>
    <w:rsid w:val="62E3E74E"/>
    <w:rsid w:val="62E9E625"/>
    <w:rsid w:val="62EECB98"/>
    <w:rsid w:val="62F14DBE"/>
    <w:rsid w:val="62F3E2CF"/>
    <w:rsid w:val="62F53236"/>
    <w:rsid w:val="62F5335F"/>
    <w:rsid w:val="62FADD6F"/>
    <w:rsid w:val="63019AD2"/>
    <w:rsid w:val="6302AA21"/>
    <w:rsid w:val="630829D5"/>
    <w:rsid w:val="6309202B"/>
    <w:rsid w:val="630A77EE"/>
    <w:rsid w:val="630C71AF"/>
    <w:rsid w:val="630E115C"/>
    <w:rsid w:val="630FEF43"/>
    <w:rsid w:val="6312802B"/>
    <w:rsid w:val="6317C11A"/>
    <w:rsid w:val="631C0ED1"/>
    <w:rsid w:val="631F868C"/>
    <w:rsid w:val="6324FAA9"/>
    <w:rsid w:val="632ADDCF"/>
    <w:rsid w:val="632BA2B7"/>
    <w:rsid w:val="632E215F"/>
    <w:rsid w:val="632E46DA"/>
    <w:rsid w:val="633725E5"/>
    <w:rsid w:val="6339E075"/>
    <w:rsid w:val="633A942D"/>
    <w:rsid w:val="633C2B7D"/>
    <w:rsid w:val="633CF3D7"/>
    <w:rsid w:val="633FED05"/>
    <w:rsid w:val="63400859"/>
    <w:rsid w:val="634171E8"/>
    <w:rsid w:val="63442FDB"/>
    <w:rsid w:val="6346E246"/>
    <w:rsid w:val="6347879C"/>
    <w:rsid w:val="634CA6C6"/>
    <w:rsid w:val="6350F74D"/>
    <w:rsid w:val="6357CF4F"/>
    <w:rsid w:val="635F9C6A"/>
    <w:rsid w:val="6365860B"/>
    <w:rsid w:val="6369790B"/>
    <w:rsid w:val="636D8FC6"/>
    <w:rsid w:val="6376589E"/>
    <w:rsid w:val="637CF820"/>
    <w:rsid w:val="637F26AA"/>
    <w:rsid w:val="63822438"/>
    <w:rsid w:val="63829975"/>
    <w:rsid w:val="638AB62A"/>
    <w:rsid w:val="638DFF22"/>
    <w:rsid w:val="638F45A5"/>
    <w:rsid w:val="639214F5"/>
    <w:rsid w:val="63925615"/>
    <w:rsid w:val="6396E163"/>
    <w:rsid w:val="639CBFEC"/>
    <w:rsid w:val="63A14772"/>
    <w:rsid w:val="63A5C373"/>
    <w:rsid w:val="63A63B70"/>
    <w:rsid w:val="63A98B57"/>
    <w:rsid w:val="63AD204E"/>
    <w:rsid w:val="63AE3A7B"/>
    <w:rsid w:val="63AFFF04"/>
    <w:rsid w:val="63B1C34A"/>
    <w:rsid w:val="63B71546"/>
    <w:rsid w:val="63B936E4"/>
    <w:rsid w:val="63BE6A45"/>
    <w:rsid w:val="63C39D49"/>
    <w:rsid w:val="63C3FCE8"/>
    <w:rsid w:val="63C88EEC"/>
    <w:rsid w:val="63CF3A33"/>
    <w:rsid w:val="63D19C1D"/>
    <w:rsid w:val="63D2FDD7"/>
    <w:rsid w:val="63D519A3"/>
    <w:rsid w:val="63D5D503"/>
    <w:rsid w:val="63D825E3"/>
    <w:rsid w:val="63DEF4CC"/>
    <w:rsid w:val="63DF5827"/>
    <w:rsid w:val="63E20DE0"/>
    <w:rsid w:val="63E5673A"/>
    <w:rsid w:val="63F15628"/>
    <w:rsid w:val="63F6F7A8"/>
    <w:rsid w:val="63F75E56"/>
    <w:rsid w:val="63FFF822"/>
    <w:rsid w:val="64055791"/>
    <w:rsid w:val="640660D7"/>
    <w:rsid w:val="64069389"/>
    <w:rsid w:val="6407BFA2"/>
    <w:rsid w:val="640C9E27"/>
    <w:rsid w:val="640EE83E"/>
    <w:rsid w:val="6411D6DF"/>
    <w:rsid w:val="6414BE26"/>
    <w:rsid w:val="641EEB22"/>
    <w:rsid w:val="6422DD2E"/>
    <w:rsid w:val="64232908"/>
    <w:rsid w:val="6425D864"/>
    <w:rsid w:val="6430E85F"/>
    <w:rsid w:val="64311F50"/>
    <w:rsid w:val="643E53FD"/>
    <w:rsid w:val="6447F6DC"/>
    <w:rsid w:val="6450B75F"/>
    <w:rsid w:val="64564221"/>
    <w:rsid w:val="6459660D"/>
    <w:rsid w:val="645EBD2D"/>
    <w:rsid w:val="6460DFC3"/>
    <w:rsid w:val="6460EAFE"/>
    <w:rsid w:val="646CFE1A"/>
    <w:rsid w:val="647115E5"/>
    <w:rsid w:val="6475BF70"/>
    <w:rsid w:val="64780B2E"/>
    <w:rsid w:val="64789E76"/>
    <w:rsid w:val="6478A03A"/>
    <w:rsid w:val="647B0B6D"/>
    <w:rsid w:val="647CB88B"/>
    <w:rsid w:val="647CE11B"/>
    <w:rsid w:val="648397AB"/>
    <w:rsid w:val="64861806"/>
    <w:rsid w:val="64867A39"/>
    <w:rsid w:val="648ADC88"/>
    <w:rsid w:val="648F8CC3"/>
    <w:rsid w:val="649C83D9"/>
    <w:rsid w:val="649E2070"/>
    <w:rsid w:val="649E7670"/>
    <w:rsid w:val="64A3E4EB"/>
    <w:rsid w:val="64AAF258"/>
    <w:rsid w:val="64B9C11E"/>
    <w:rsid w:val="64C05920"/>
    <w:rsid w:val="64C05B1F"/>
    <w:rsid w:val="64C1A0CD"/>
    <w:rsid w:val="64C738B7"/>
    <w:rsid w:val="64C8C1AA"/>
    <w:rsid w:val="64DF4B22"/>
    <w:rsid w:val="64E1666C"/>
    <w:rsid w:val="64E192D4"/>
    <w:rsid w:val="64E7AD76"/>
    <w:rsid w:val="64ED4D13"/>
    <w:rsid w:val="64ED588F"/>
    <w:rsid w:val="64EF79A3"/>
    <w:rsid w:val="64EFE572"/>
    <w:rsid w:val="64F4562D"/>
    <w:rsid w:val="64F5128C"/>
    <w:rsid w:val="64F55A85"/>
    <w:rsid w:val="64FB6291"/>
    <w:rsid w:val="6500C5B3"/>
    <w:rsid w:val="65081F3F"/>
    <w:rsid w:val="650C4A95"/>
    <w:rsid w:val="65118116"/>
    <w:rsid w:val="6513688E"/>
    <w:rsid w:val="65158DAC"/>
    <w:rsid w:val="652476E6"/>
    <w:rsid w:val="6525C4DF"/>
    <w:rsid w:val="6529D5FA"/>
    <w:rsid w:val="652B6051"/>
    <w:rsid w:val="652B703C"/>
    <w:rsid w:val="652F1A20"/>
    <w:rsid w:val="6531A1AD"/>
    <w:rsid w:val="65337714"/>
    <w:rsid w:val="6533BD0D"/>
    <w:rsid w:val="653F1085"/>
    <w:rsid w:val="653FAC12"/>
    <w:rsid w:val="6540B662"/>
    <w:rsid w:val="65466720"/>
    <w:rsid w:val="65471F6A"/>
    <w:rsid w:val="6547BD39"/>
    <w:rsid w:val="654D57AB"/>
    <w:rsid w:val="65581BA5"/>
    <w:rsid w:val="655AB70B"/>
    <w:rsid w:val="655B88D2"/>
    <w:rsid w:val="655DA908"/>
    <w:rsid w:val="655FFE5B"/>
    <w:rsid w:val="6560E4D3"/>
    <w:rsid w:val="6562513A"/>
    <w:rsid w:val="65635EB5"/>
    <w:rsid w:val="6563981C"/>
    <w:rsid w:val="65673BCD"/>
    <w:rsid w:val="656931C1"/>
    <w:rsid w:val="656C291D"/>
    <w:rsid w:val="656C67FE"/>
    <w:rsid w:val="657197DC"/>
    <w:rsid w:val="65733BB3"/>
    <w:rsid w:val="6575C494"/>
    <w:rsid w:val="65789523"/>
    <w:rsid w:val="658255ED"/>
    <w:rsid w:val="6589317E"/>
    <w:rsid w:val="658B579E"/>
    <w:rsid w:val="6597B8A8"/>
    <w:rsid w:val="659A86FD"/>
    <w:rsid w:val="659C18E8"/>
    <w:rsid w:val="659FE276"/>
    <w:rsid w:val="65A0694E"/>
    <w:rsid w:val="65A16545"/>
    <w:rsid w:val="65A19EEF"/>
    <w:rsid w:val="65A4EF13"/>
    <w:rsid w:val="65A867FF"/>
    <w:rsid w:val="65AD2ACF"/>
    <w:rsid w:val="65AF7916"/>
    <w:rsid w:val="65B3DCE3"/>
    <w:rsid w:val="65B53F4D"/>
    <w:rsid w:val="65B9F324"/>
    <w:rsid w:val="65BDEDFD"/>
    <w:rsid w:val="65C08A99"/>
    <w:rsid w:val="65C1CBD5"/>
    <w:rsid w:val="65C7E829"/>
    <w:rsid w:val="65C90CFF"/>
    <w:rsid w:val="65CC7ADA"/>
    <w:rsid w:val="65D11B0F"/>
    <w:rsid w:val="65D423D0"/>
    <w:rsid w:val="65D70C28"/>
    <w:rsid w:val="65D9D2A5"/>
    <w:rsid w:val="65E1048C"/>
    <w:rsid w:val="65E6170A"/>
    <w:rsid w:val="65E65F15"/>
    <w:rsid w:val="65E6761A"/>
    <w:rsid w:val="65ED1E75"/>
    <w:rsid w:val="65F0A80A"/>
    <w:rsid w:val="65F1BFA3"/>
    <w:rsid w:val="65F57017"/>
    <w:rsid w:val="65FA397A"/>
    <w:rsid w:val="65FC8501"/>
    <w:rsid w:val="65FDD394"/>
    <w:rsid w:val="66005578"/>
    <w:rsid w:val="6602B1DD"/>
    <w:rsid w:val="660CFBA4"/>
    <w:rsid w:val="660FAAEE"/>
    <w:rsid w:val="66119843"/>
    <w:rsid w:val="661970C3"/>
    <w:rsid w:val="661F12A0"/>
    <w:rsid w:val="662304C6"/>
    <w:rsid w:val="66300071"/>
    <w:rsid w:val="66300A01"/>
    <w:rsid w:val="6631C66C"/>
    <w:rsid w:val="6632A00C"/>
    <w:rsid w:val="6636AA75"/>
    <w:rsid w:val="663BA9F4"/>
    <w:rsid w:val="663E240A"/>
    <w:rsid w:val="663EE6E0"/>
    <w:rsid w:val="664C6694"/>
    <w:rsid w:val="6651865C"/>
    <w:rsid w:val="66599CE7"/>
    <w:rsid w:val="6659D1FA"/>
    <w:rsid w:val="665BEBA1"/>
    <w:rsid w:val="665CD58D"/>
    <w:rsid w:val="665D37F3"/>
    <w:rsid w:val="66653770"/>
    <w:rsid w:val="666E078E"/>
    <w:rsid w:val="6671AF90"/>
    <w:rsid w:val="667639DA"/>
    <w:rsid w:val="66853420"/>
    <w:rsid w:val="66855E4A"/>
    <w:rsid w:val="66864F30"/>
    <w:rsid w:val="6686672E"/>
    <w:rsid w:val="668B3722"/>
    <w:rsid w:val="6690B037"/>
    <w:rsid w:val="66917B7E"/>
    <w:rsid w:val="66930B2D"/>
    <w:rsid w:val="669586F5"/>
    <w:rsid w:val="6699297A"/>
    <w:rsid w:val="6699B6BA"/>
    <w:rsid w:val="669A20D4"/>
    <w:rsid w:val="669C3263"/>
    <w:rsid w:val="66A10A47"/>
    <w:rsid w:val="66A385EA"/>
    <w:rsid w:val="66A5C0A7"/>
    <w:rsid w:val="66AD4CF0"/>
    <w:rsid w:val="66B1DF71"/>
    <w:rsid w:val="66B867FC"/>
    <w:rsid w:val="66BBF5B2"/>
    <w:rsid w:val="66BEA7C9"/>
    <w:rsid w:val="66BEF7AE"/>
    <w:rsid w:val="66BF9561"/>
    <w:rsid w:val="66C00799"/>
    <w:rsid w:val="66C4E2F9"/>
    <w:rsid w:val="66CACAB9"/>
    <w:rsid w:val="66CDB264"/>
    <w:rsid w:val="66D0713C"/>
    <w:rsid w:val="66D180C8"/>
    <w:rsid w:val="66D7ED2F"/>
    <w:rsid w:val="66D80855"/>
    <w:rsid w:val="66D8287A"/>
    <w:rsid w:val="66E21DFC"/>
    <w:rsid w:val="66E9BBB0"/>
    <w:rsid w:val="66EA829C"/>
    <w:rsid w:val="66EB395F"/>
    <w:rsid w:val="66EB5445"/>
    <w:rsid w:val="66EBE406"/>
    <w:rsid w:val="66F4F6EE"/>
    <w:rsid w:val="66FE0FF5"/>
    <w:rsid w:val="6705C379"/>
    <w:rsid w:val="670641A4"/>
    <w:rsid w:val="6706B260"/>
    <w:rsid w:val="67073ACC"/>
    <w:rsid w:val="67087B28"/>
    <w:rsid w:val="67126D67"/>
    <w:rsid w:val="6719448A"/>
    <w:rsid w:val="671B8678"/>
    <w:rsid w:val="67220F0B"/>
    <w:rsid w:val="6723B6B3"/>
    <w:rsid w:val="672427AE"/>
    <w:rsid w:val="6727A119"/>
    <w:rsid w:val="6728CA11"/>
    <w:rsid w:val="672D9CF9"/>
    <w:rsid w:val="672DF4C5"/>
    <w:rsid w:val="67321208"/>
    <w:rsid w:val="673FF453"/>
    <w:rsid w:val="6740D3E9"/>
    <w:rsid w:val="6742DEE6"/>
    <w:rsid w:val="6743FA00"/>
    <w:rsid w:val="6746E0A2"/>
    <w:rsid w:val="6747257B"/>
    <w:rsid w:val="674B6D4E"/>
    <w:rsid w:val="674FCF8C"/>
    <w:rsid w:val="67638890"/>
    <w:rsid w:val="6769D6A3"/>
    <w:rsid w:val="677B7C82"/>
    <w:rsid w:val="677F5E13"/>
    <w:rsid w:val="6780E348"/>
    <w:rsid w:val="679344CD"/>
    <w:rsid w:val="67940B56"/>
    <w:rsid w:val="67947E86"/>
    <w:rsid w:val="67A0F031"/>
    <w:rsid w:val="67A11402"/>
    <w:rsid w:val="67A416DB"/>
    <w:rsid w:val="67A47DC3"/>
    <w:rsid w:val="67A7DA9C"/>
    <w:rsid w:val="67AB4365"/>
    <w:rsid w:val="67AB69D5"/>
    <w:rsid w:val="67B132D7"/>
    <w:rsid w:val="67B38C94"/>
    <w:rsid w:val="67B5D3BB"/>
    <w:rsid w:val="67B7DC9A"/>
    <w:rsid w:val="67B891F6"/>
    <w:rsid w:val="67B8DB4A"/>
    <w:rsid w:val="67B8DC6E"/>
    <w:rsid w:val="67BE93B5"/>
    <w:rsid w:val="67C3198F"/>
    <w:rsid w:val="67C90278"/>
    <w:rsid w:val="67C9AA84"/>
    <w:rsid w:val="67CD0A5E"/>
    <w:rsid w:val="67CF356D"/>
    <w:rsid w:val="67D0070F"/>
    <w:rsid w:val="67D6E5E5"/>
    <w:rsid w:val="67EC5ECF"/>
    <w:rsid w:val="67F037C6"/>
    <w:rsid w:val="67F200EC"/>
    <w:rsid w:val="6801D071"/>
    <w:rsid w:val="68144F76"/>
    <w:rsid w:val="68164536"/>
    <w:rsid w:val="68172F75"/>
    <w:rsid w:val="6818B2FD"/>
    <w:rsid w:val="681ABE5C"/>
    <w:rsid w:val="6821882A"/>
    <w:rsid w:val="68241E7E"/>
    <w:rsid w:val="68253462"/>
    <w:rsid w:val="68280AF0"/>
    <w:rsid w:val="682C8913"/>
    <w:rsid w:val="682D7700"/>
    <w:rsid w:val="682DCA98"/>
    <w:rsid w:val="683513E1"/>
    <w:rsid w:val="6840955F"/>
    <w:rsid w:val="68433AC7"/>
    <w:rsid w:val="6843E05D"/>
    <w:rsid w:val="68451F69"/>
    <w:rsid w:val="6845CAEC"/>
    <w:rsid w:val="6848D294"/>
    <w:rsid w:val="68520CAE"/>
    <w:rsid w:val="6854AD27"/>
    <w:rsid w:val="68594C66"/>
    <w:rsid w:val="6867BD2E"/>
    <w:rsid w:val="686DE51D"/>
    <w:rsid w:val="68726C05"/>
    <w:rsid w:val="68736B68"/>
    <w:rsid w:val="6875F052"/>
    <w:rsid w:val="6879B9E5"/>
    <w:rsid w:val="687D8B46"/>
    <w:rsid w:val="6891B160"/>
    <w:rsid w:val="68933400"/>
    <w:rsid w:val="689AA80E"/>
    <w:rsid w:val="68A21D98"/>
    <w:rsid w:val="68A6A092"/>
    <w:rsid w:val="68B2E23A"/>
    <w:rsid w:val="68B5177F"/>
    <w:rsid w:val="68B7CD4B"/>
    <w:rsid w:val="68BC60EB"/>
    <w:rsid w:val="68BD5B25"/>
    <w:rsid w:val="68CCF2A4"/>
    <w:rsid w:val="68CEF8F1"/>
    <w:rsid w:val="68D2649A"/>
    <w:rsid w:val="68D660A4"/>
    <w:rsid w:val="68D7CD4B"/>
    <w:rsid w:val="68DF84B8"/>
    <w:rsid w:val="68E52246"/>
    <w:rsid w:val="68F721AE"/>
    <w:rsid w:val="68F8CCA9"/>
    <w:rsid w:val="68FB8022"/>
    <w:rsid w:val="6902A9B2"/>
    <w:rsid w:val="69059C7F"/>
    <w:rsid w:val="690C6EA7"/>
    <w:rsid w:val="6911493E"/>
    <w:rsid w:val="691554B4"/>
    <w:rsid w:val="6916ADED"/>
    <w:rsid w:val="69180896"/>
    <w:rsid w:val="69190B71"/>
    <w:rsid w:val="691B6064"/>
    <w:rsid w:val="691D6B2E"/>
    <w:rsid w:val="69222FE9"/>
    <w:rsid w:val="69233CB7"/>
    <w:rsid w:val="6929B8E3"/>
    <w:rsid w:val="692A2104"/>
    <w:rsid w:val="692C2436"/>
    <w:rsid w:val="6935028A"/>
    <w:rsid w:val="693780BA"/>
    <w:rsid w:val="69383DC5"/>
    <w:rsid w:val="693AA4DF"/>
    <w:rsid w:val="693BA20E"/>
    <w:rsid w:val="6940C3EE"/>
    <w:rsid w:val="6947302C"/>
    <w:rsid w:val="6949943A"/>
    <w:rsid w:val="694A61C3"/>
    <w:rsid w:val="694D3566"/>
    <w:rsid w:val="694D8304"/>
    <w:rsid w:val="694EAC4E"/>
    <w:rsid w:val="695418FB"/>
    <w:rsid w:val="695980D1"/>
    <w:rsid w:val="695BE8D7"/>
    <w:rsid w:val="695D5647"/>
    <w:rsid w:val="6960F3BE"/>
    <w:rsid w:val="696594FE"/>
    <w:rsid w:val="6966932C"/>
    <w:rsid w:val="696DF593"/>
    <w:rsid w:val="6972B591"/>
    <w:rsid w:val="697BB2AB"/>
    <w:rsid w:val="69832137"/>
    <w:rsid w:val="69841439"/>
    <w:rsid w:val="6985535D"/>
    <w:rsid w:val="698AB470"/>
    <w:rsid w:val="6990F6F8"/>
    <w:rsid w:val="699E4A0F"/>
    <w:rsid w:val="69A29C3C"/>
    <w:rsid w:val="69A3EBE8"/>
    <w:rsid w:val="69AC7006"/>
    <w:rsid w:val="69AE1867"/>
    <w:rsid w:val="69B2FE6A"/>
    <w:rsid w:val="69BC1781"/>
    <w:rsid w:val="69BEDFCB"/>
    <w:rsid w:val="69C0F075"/>
    <w:rsid w:val="69C29A48"/>
    <w:rsid w:val="69C607FE"/>
    <w:rsid w:val="69C6D7C0"/>
    <w:rsid w:val="69C6E329"/>
    <w:rsid w:val="69C9F366"/>
    <w:rsid w:val="69D7CF40"/>
    <w:rsid w:val="69E56F9D"/>
    <w:rsid w:val="69E77902"/>
    <w:rsid w:val="69EA03E7"/>
    <w:rsid w:val="69F0676F"/>
    <w:rsid w:val="69F9DB83"/>
    <w:rsid w:val="69FA4E33"/>
    <w:rsid w:val="69FB2EAE"/>
    <w:rsid w:val="69FC2DCB"/>
    <w:rsid w:val="6A01C438"/>
    <w:rsid w:val="6A01E0E8"/>
    <w:rsid w:val="6A03C249"/>
    <w:rsid w:val="6A05213F"/>
    <w:rsid w:val="6A054A67"/>
    <w:rsid w:val="6A091292"/>
    <w:rsid w:val="6A0ACB20"/>
    <w:rsid w:val="6A129D5F"/>
    <w:rsid w:val="6A12A328"/>
    <w:rsid w:val="6A154516"/>
    <w:rsid w:val="6A172E77"/>
    <w:rsid w:val="6A1BAD33"/>
    <w:rsid w:val="6A1BFE1B"/>
    <w:rsid w:val="6A1C28CF"/>
    <w:rsid w:val="6A1C9A99"/>
    <w:rsid w:val="6A1DB2E9"/>
    <w:rsid w:val="6A1E1B8B"/>
    <w:rsid w:val="6A1FFDE0"/>
    <w:rsid w:val="6A258570"/>
    <w:rsid w:val="6A273847"/>
    <w:rsid w:val="6A338CCD"/>
    <w:rsid w:val="6A35D98B"/>
    <w:rsid w:val="6A35EBB7"/>
    <w:rsid w:val="6A3C6313"/>
    <w:rsid w:val="6A3C7542"/>
    <w:rsid w:val="6A46C1AB"/>
    <w:rsid w:val="6A48A0CC"/>
    <w:rsid w:val="6A5295E6"/>
    <w:rsid w:val="6A52B1F6"/>
    <w:rsid w:val="6A562AE3"/>
    <w:rsid w:val="6A6133EA"/>
    <w:rsid w:val="6A61829D"/>
    <w:rsid w:val="6A61D7F1"/>
    <w:rsid w:val="6A6F3680"/>
    <w:rsid w:val="6A713BA7"/>
    <w:rsid w:val="6A779D92"/>
    <w:rsid w:val="6A7C6370"/>
    <w:rsid w:val="6A88F646"/>
    <w:rsid w:val="6A89AE38"/>
    <w:rsid w:val="6A8CB802"/>
    <w:rsid w:val="6A90B00B"/>
    <w:rsid w:val="6A94DEC7"/>
    <w:rsid w:val="6A9FEC9E"/>
    <w:rsid w:val="6AA62C87"/>
    <w:rsid w:val="6AAED2D2"/>
    <w:rsid w:val="6AB2D688"/>
    <w:rsid w:val="6AB5A3E1"/>
    <w:rsid w:val="6AB6A75B"/>
    <w:rsid w:val="6ABB947C"/>
    <w:rsid w:val="6ABB9E0A"/>
    <w:rsid w:val="6ABC12A0"/>
    <w:rsid w:val="6AC38BED"/>
    <w:rsid w:val="6AC61386"/>
    <w:rsid w:val="6AC6E509"/>
    <w:rsid w:val="6ACD16C1"/>
    <w:rsid w:val="6AD3C768"/>
    <w:rsid w:val="6AD4760D"/>
    <w:rsid w:val="6AE3FA5B"/>
    <w:rsid w:val="6AE53806"/>
    <w:rsid w:val="6AE572C2"/>
    <w:rsid w:val="6AE90B53"/>
    <w:rsid w:val="6AEB870C"/>
    <w:rsid w:val="6AEC7577"/>
    <w:rsid w:val="6AECD21F"/>
    <w:rsid w:val="6AECEA8D"/>
    <w:rsid w:val="6AEF9293"/>
    <w:rsid w:val="6AF5FB47"/>
    <w:rsid w:val="6AF644FD"/>
    <w:rsid w:val="6AF85DDF"/>
    <w:rsid w:val="6AF9A0A3"/>
    <w:rsid w:val="6AFB3D71"/>
    <w:rsid w:val="6AFC9B2F"/>
    <w:rsid w:val="6B10D0EA"/>
    <w:rsid w:val="6B13D58C"/>
    <w:rsid w:val="6B1C37B7"/>
    <w:rsid w:val="6B21AF73"/>
    <w:rsid w:val="6B22828F"/>
    <w:rsid w:val="6B27D7B7"/>
    <w:rsid w:val="6B2C6EAB"/>
    <w:rsid w:val="6B2FE5F8"/>
    <w:rsid w:val="6B305122"/>
    <w:rsid w:val="6B332F9F"/>
    <w:rsid w:val="6B376FB1"/>
    <w:rsid w:val="6B3B0E8A"/>
    <w:rsid w:val="6B3D13D7"/>
    <w:rsid w:val="6B3EEC04"/>
    <w:rsid w:val="6B441D34"/>
    <w:rsid w:val="6B47ABD9"/>
    <w:rsid w:val="6B4B6887"/>
    <w:rsid w:val="6B568777"/>
    <w:rsid w:val="6B5714E0"/>
    <w:rsid w:val="6B5DE07D"/>
    <w:rsid w:val="6B6D4974"/>
    <w:rsid w:val="6B6E74A3"/>
    <w:rsid w:val="6B7281B2"/>
    <w:rsid w:val="6B757E3C"/>
    <w:rsid w:val="6B76EB6F"/>
    <w:rsid w:val="6B7AC54E"/>
    <w:rsid w:val="6B82258C"/>
    <w:rsid w:val="6B8759CF"/>
    <w:rsid w:val="6B8766B6"/>
    <w:rsid w:val="6B8A9F52"/>
    <w:rsid w:val="6B8D34AF"/>
    <w:rsid w:val="6B930EA7"/>
    <w:rsid w:val="6B93F6E8"/>
    <w:rsid w:val="6B9863D5"/>
    <w:rsid w:val="6B992BBD"/>
    <w:rsid w:val="6BA41E66"/>
    <w:rsid w:val="6BA72B5B"/>
    <w:rsid w:val="6BAF3EC4"/>
    <w:rsid w:val="6BAFF29F"/>
    <w:rsid w:val="6BB290A3"/>
    <w:rsid w:val="6BB728AD"/>
    <w:rsid w:val="6BBA45CD"/>
    <w:rsid w:val="6BBDDB31"/>
    <w:rsid w:val="6BC20043"/>
    <w:rsid w:val="6BC292FB"/>
    <w:rsid w:val="6BCE5F2C"/>
    <w:rsid w:val="6BD21BF7"/>
    <w:rsid w:val="6BD9522B"/>
    <w:rsid w:val="6BE3CD7B"/>
    <w:rsid w:val="6BE4EFA7"/>
    <w:rsid w:val="6BF2CBC8"/>
    <w:rsid w:val="6BF71597"/>
    <w:rsid w:val="6BF879A5"/>
    <w:rsid w:val="6BFAA403"/>
    <w:rsid w:val="6BFFF1C7"/>
    <w:rsid w:val="6C0535BB"/>
    <w:rsid w:val="6C073A98"/>
    <w:rsid w:val="6C0A95E0"/>
    <w:rsid w:val="6C106E9D"/>
    <w:rsid w:val="6C16BFC5"/>
    <w:rsid w:val="6C16D2F5"/>
    <w:rsid w:val="6C1A00ED"/>
    <w:rsid w:val="6C1B7F1C"/>
    <w:rsid w:val="6C1EF4D9"/>
    <w:rsid w:val="6C227C11"/>
    <w:rsid w:val="6C23CCE1"/>
    <w:rsid w:val="6C271BC5"/>
    <w:rsid w:val="6C2C3D13"/>
    <w:rsid w:val="6C3F58B8"/>
    <w:rsid w:val="6C3FB0A7"/>
    <w:rsid w:val="6C469FF0"/>
    <w:rsid w:val="6C52A3ED"/>
    <w:rsid w:val="6C55745C"/>
    <w:rsid w:val="6C55BBEC"/>
    <w:rsid w:val="6C5E3111"/>
    <w:rsid w:val="6C60DBC8"/>
    <w:rsid w:val="6C62DC53"/>
    <w:rsid w:val="6C656786"/>
    <w:rsid w:val="6C665628"/>
    <w:rsid w:val="6C6FC334"/>
    <w:rsid w:val="6C7339FD"/>
    <w:rsid w:val="6C734933"/>
    <w:rsid w:val="6C7BAA90"/>
    <w:rsid w:val="6C84D139"/>
    <w:rsid w:val="6C8631CF"/>
    <w:rsid w:val="6C8678D0"/>
    <w:rsid w:val="6C8790C6"/>
    <w:rsid w:val="6C8D35AC"/>
    <w:rsid w:val="6C90596F"/>
    <w:rsid w:val="6C920754"/>
    <w:rsid w:val="6C924E0F"/>
    <w:rsid w:val="6C93ADD8"/>
    <w:rsid w:val="6C9F481E"/>
    <w:rsid w:val="6CA822A5"/>
    <w:rsid w:val="6CAFB15F"/>
    <w:rsid w:val="6CB67949"/>
    <w:rsid w:val="6CB7B425"/>
    <w:rsid w:val="6CC0AE4F"/>
    <w:rsid w:val="6CC1E5AC"/>
    <w:rsid w:val="6CC4CF1B"/>
    <w:rsid w:val="6CCB43DE"/>
    <w:rsid w:val="6CD963ED"/>
    <w:rsid w:val="6CD9BE5C"/>
    <w:rsid w:val="6CDD4987"/>
    <w:rsid w:val="6CDE3D6E"/>
    <w:rsid w:val="6CDF9AB6"/>
    <w:rsid w:val="6CE6C7CD"/>
    <w:rsid w:val="6CE9CC3F"/>
    <w:rsid w:val="6CEA62A5"/>
    <w:rsid w:val="6CF08684"/>
    <w:rsid w:val="6CF1BA5D"/>
    <w:rsid w:val="6CF5A8B2"/>
    <w:rsid w:val="6CF7D5E0"/>
    <w:rsid w:val="6CFD25F8"/>
    <w:rsid w:val="6CFDA73C"/>
    <w:rsid w:val="6D056D47"/>
    <w:rsid w:val="6D076B6D"/>
    <w:rsid w:val="6D0B0EFE"/>
    <w:rsid w:val="6D0E042A"/>
    <w:rsid w:val="6D196806"/>
    <w:rsid w:val="6D1A844A"/>
    <w:rsid w:val="6D1BA1FE"/>
    <w:rsid w:val="6D2621D4"/>
    <w:rsid w:val="6D278083"/>
    <w:rsid w:val="6D2945BF"/>
    <w:rsid w:val="6D2BBDB7"/>
    <w:rsid w:val="6D2CC79B"/>
    <w:rsid w:val="6D39E79E"/>
    <w:rsid w:val="6D3AEFF1"/>
    <w:rsid w:val="6D4F31AC"/>
    <w:rsid w:val="6D50B3BE"/>
    <w:rsid w:val="6D57D0FA"/>
    <w:rsid w:val="6D5A9392"/>
    <w:rsid w:val="6D5B7C98"/>
    <w:rsid w:val="6D63CE36"/>
    <w:rsid w:val="6D6C6B61"/>
    <w:rsid w:val="6D6DE7E2"/>
    <w:rsid w:val="6D744F25"/>
    <w:rsid w:val="6D792E6E"/>
    <w:rsid w:val="6D7A0DA8"/>
    <w:rsid w:val="6D8359C6"/>
    <w:rsid w:val="6D87B265"/>
    <w:rsid w:val="6D8A48D2"/>
    <w:rsid w:val="6D8C524B"/>
    <w:rsid w:val="6D901AB2"/>
    <w:rsid w:val="6D960BAD"/>
    <w:rsid w:val="6D98CD07"/>
    <w:rsid w:val="6D99AD1C"/>
    <w:rsid w:val="6D9C587B"/>
    <w:rsid w:val="6D9DAF9A"/>
    <w:rsid w:val="6DA5467A"/>
    <w:rsid w:val="6DA937F1"/>
    <w:rsid w:val="6DAA48FA"/>
    <w:rsid w:val="6DAF00E0"/>
    <w:rsid w:val="6DB44A78"/>
    <w:rsid w:val="6DB5EA9F"/>
    <w:rsid w:val="6DB5F752"/>
    <w:rsid w:val="6DBC76AA"/>
    <w:rsid w:val="6DC4EF34"/>
    <w:rsid w:val="6DC73F47"/>
    <w:rsid w:val="6DCBB932"/>
    <w:rsid w:val="6DCC1047"/>
    <w:rsid w:val="6DCE3ADF"/>
    <w:rsid w:val="6DD25DFA"/>
    <w:rsid w:val="6DD65AAF"/>
    <w:rsid w:val="6DE1A00F"/>
    <w:rsid w:val="6DE341F8"/>
    <w:rsid w:val="6DEBAE54"/>
    <w:rsid w:val="6DEC0947"/>
    <w:rsid w:val="6DEC4DD2"/>
    <w:rsid w:val="6DF11689"/>
    <w:rsid w:val="6DFE81AC"/>
    <w:rsid w:val="6E00FF56"/>
    <w:rsid w:val="6E014ABB"/>
    <w:rsid w:val="6E063AAA"/>
    <w:rsid w:val="6E090E64"/>
    <w:rsid w:val="6E0A70DF"/>
    <w:rsid w:val="6E0AB039"/>
    <w:rsid w:val="6E1144A5"/>
    <w:rsid w:val="6E19C688"/>
    <w:rsid w:val="6E1B1B7C"/>
    <w:rsid w:val="6E1C65E9"/>
    <w:rsid w:val="6E1FFEF2"/>
    <w:rsid w:val="6E20DBC8"/>
    <w:rsid w:val="6E2531C7"/>
    <w:rsid w:val="6E280BFD"/>
    <w:rsid w:val="6E298FA1"/>
    <w:rsid w:val="6E2BC6F8"/>
    <w:rsid w:val="6E2C3835"/>
    <w:rsid w:val="6E2F91EB"/>
    <w:rsid w:val="6E37CADB"/>
    <w:rsid w:val="6E39FC57"/>
    <w:rsid w:val="6E3B6D78"/>
    <w:rsid w:val="6E4366E3"/>
    <w:rsid w:val="6E4E9694"/>
    <w:rsid w:val="6E50A974"/>
    <w:rsid w:val="6E5136D1"/>
    <w:rsid w:val="6E52711A"/>
    <w:rsid w:val="6E55AEAE"/>
    <w:rsid w:val="6E55EE9A"/>
    <w:rsid w:val="6E5779BD"/>
    <w:rsid w:val="6E5E169D"/>
    <w:rsid w:val="6E6A47BF"/>
    <w:rsid w:val="6E7464CC"/>
    <w:rsid w:val="6E74F561"/>
    <w:rsid w:val="6E7A4030"/>
    <w:rsid w:val="6E7ED1F2"/>
    <w:rsid w:val="6E7F3EC9"/>
    <w:rsid w:val="6E7F9F4D"/>
    <w:rsid w:val="6E802BAD"/>
    <w:rsid w:val="6E81DA07"/>
    <w:rsid w:val="6E86CCA5"/>
    <w:rsid w:val="6E871D0D"/>
    <w:rsid w:val="6E8C9CEC"/>
    <w:rsid w:val="6E8F3D45"/>
    <w:rsid w:val="6E8FD8AF"/>
    <w:rsid w:val="6E92984A"/>
    <w:rsid w:val="6E9956F7"/>
    <w:rsid w:val="6E9E2466"/>
    <w:rsid w:val="6EA1AD7A"/>
    <w:rsid w:val="6EA36EFF"/>
    <w:rsid w:val="6EA41B4C"/>
    <w:rsid w:val="6EA627BD"/>
    <w:rsid w:val="6EAC0909"/>
    <w:rsid w:val="6EB15EAF"/>
    <w:rsid w:val="6EB1881D"/>
    <w:rsid w:val="6EBB7DBC"/>
    <w:rsid w:val="6EBE6A56"/>
    <w:rsid w:val="6EC027CE"/>
    <w:rsid w:val="6ED09B9A"/>
    <w:rsid w:val="6ED15877"/>
    <w:rsid w:val="6ED2CF75"/>
    <w:rsid w:val="6ED4A173"/>
    <w:rsid w:val="6ED895F2"/>
    <w:rsid w:val="6ED91069"/>
    <w:rsid w:val="6EE1B856"/>
    <w:rsid w:val="6EE3186C"/>
    <w:rsid w:val="6EE49105"/>
    <w:rsid w:val="6EE5091B"/>
    <w:rsid w:val="6EE70E42"/>
    <w:rsid w:val="6EE92AB8"/>
    <w:rsid w:val="6EECB00E"/>
    <w:rsid w:val="6EEFE011"/>
    <w:rsid w:val="6EF9A8C2"/>
    <w:rsid w:val="6F03C8F6"/>
    <w:rsid w:val="6F05DF46"/>
    <w:rsid w:val="6F0A6AE8"/>
    <w:rsid w:val="6F0C95E2"/>
    <w:rsid w:val="6F0FFD66"/>
    <w:rsid w:val="6F163154"/>
    <w:rsid w:val="6F1E4150"/>
    <w:rsid w:val="6F217AB4"/>
    <w:rsid w:val="6F29E2BB"/>
    <w:rsid w:val="6F2AD176"/>
    <w:rsid w:val="6F33B33B"/>
    <w:rsid w:val="6F342412"/>
    <w:rsid w:val="6F34B843"/>
    <w:rsid w:val="6F3993B1"/>
    <w:rsid w:val="6F44420D"/>
    <w:rsid w:val="6F4561FF"/>
    <w:rsid w:val="6F481BE9"/>
    <w:rsid w:val="6F4B107D"/>
    <w:rsid w:val="6F4F3F18"/>
    <w:rsid w:val="6F4F74E1"/>
    <w:rsid w:val="6F4F83A3"/>
    <w:rsid w:val="6F5094C8"/>
    <w:rsid w:val="6F51073A"/>
    <w:rsid w:val="6F569714"/>
    <w:rsid w:val="6F5820F6"/>
    <w:rsid w:val="6F5BE0B4"/>
    <w:rsid w:val="6F61E2F8"/>
    <w:rsid w:val="6F62BCA8"/>
    <w:rsid w:val="6F65263E"/>
    <w:rsid w:val="6F6C7C42"/>
    <w:rsid w:val="6F7B6702"/>
    <w:rsid w:val="6F80A49E"/>
    <w:rsid w:val="6F80E7E7"/>
    <w:rsid w:val="6F812234"/>
    <w:rsid w:val="6F820A86"/>
    <w:rsid w:val="6F842F16"/>
    <w:rsid w:val="6F8668E0"/>
    <w:rsid w:val="6F874A07"/>
    <w:rsid w:val="6F8F7711"/>
    <w:rsid w:val="6F92D0EE"/>
    <w:rsid w:val="6F978C5F"/>
    <w:rsid w:val="6F97A27E"/>
    <w:rsid w:val="6F9A9AC4"/>
    <w:rsid w:val="6F9D06B1"/>
    <w:rsid w:val="6F9E924F"/>
    <w:rsid w:val="6FA5B457"/>
    <w:rsid w:val="6FADAE66"/>
    <w:rsid w:val="6FAF0728"/>
    <w:rsid w:val="6FB26C5D"/>
    <w:rsid w:val="6FB68B03"/>
    <w:rsid w:val="6FC420ED"/>
    <w:rsid w:val="6FC6EAA0"/>
    <w:rsid w:val="6FD7F4DE"/>
    <w:rsid w:val="6FE06514"/>
    <w:rsid w:val="6FE283EC"/>
    <w:rsid w:val="6FE59E84"/>
    <w:rsid w:val="6FE5E681"/>
    <w:rsid w:val="6FEC4C70"/>
    <w:rsid w:val="6FF21A14"/>
    <w:rsid w:val="6FFD9EB6"/>
    <w:rsid w:val="6FFF0645"/>
    <w:rsid w:val="70062144"/>
    <w:rsid w:val="701309FD"/>
    <w:rsid w:val="7015181B"/>
    <w:rsid w:val="7017771F"/>
    <w:rsid w:val="70206AFA"/>
    <w:rsid w:val="702319FF"/>
    <w:rsid w:val="7023348A"/>
    <w:rsid w:val="70250C30"/>
    <w:rsid w:val="70266224"/>
    <w:rsid w:val="7027088F"/>
    <w:rsid w:val="7029CCFE"/>
    <w:rsid w:val="702E0C40"/>
    <w:rsid w:val="703367AB"/>
    <w:rsid w:val="7034211D"/>
    <w:rsid w:val="70362C7D"/>
    <w:rsid w:val="7036B094"/>
    <w:rsid w:val="7038DE07"/>
    <w:rsid w:val="703A94FF"/>
    <w:rsid w:val="7042BA1A"/>
    <w:rsid w:val="7042FD70"/>
    <w:rsid w:val="70452469"/>
    <w:rsid w:val="70470CC9"/>
    <w:rsid w:val="704DA4C4"/>
    <w:rsid w:val="704E2E64"/>
    <w:rsid w:val="705072C3"/>
    <w:rsid w:val="705BD865"/>
    <w:rsid w:val="705F0E0A"/>
    <w:rsid w:val="706115E3"/>
    <w:rsid w:val="7065725D"/>
    <w:rsid w:val="706C2EA1"/>
    <w:rsid w:val="706F59C2"/>
    <w:rsid w:val="706FE57C"/>
    <w:rsid w:val="70742552"/>
    <w:rsid w:val="7075801A"/>
    <w:rsid w:val="707739D6"/>
    <w:rsid w:val="707A0867"/>
    <w:rsid w:val="7083878D"/>
    <w:rsid w:val="70888C67"/>
    <w:rsid w:val="708A0735"/>
    <w:rsid w:val="708ADB64"/>
    <w:rsid w:val="708B0E4E"/>
    <w:rsid w:val="708BC848"/>
    <w:rsid w:val="708CDCF7"/>
    <w:rsid w:val="70912C74"/>
    <w:rsid w:val="7091DE3F"/>
    <w:rsid w:val="7096F7DD"/>
    <w:rsid w:val="7098DADE"/>
    <w:rsid w:val="709E1AE6"/>
    <w:rsid w:val="709ED0AE"/>
    <w:rsid w:val="70A0E05F"/>
    <w:rsid w:val="70A76270"/>
    <w:rsid w:val="70AD5F6C"/>
    <w:rsid w:val="70B0D685"/>
    <w:rsid w:val="70B0E988"/>
    <w:rsid w:val="70BC058A"/>
    <w:rsid w:val="70CF3939"/>
    <w:rsid w:val="70D012E8"/>
    <w:rsid w:val="70D0F83E"/>
    <w:rsid w:val="70D3A8BC"/>
    <w:rsid w:val="70D8F832"/>
    <w:rsid w:val="70D9C72C"/>
    <w:rsid w:val="70DD5AA8"/>
    <w:rsid w:val="70EA5866"/>
    <w:rsid w:val="70EC3B8F"/>
    <w:rsid w:val="70EFD041"/>
    <w:rsid w:val="70F93762"/>
    <w:rsid w:val="70FC1F90"/>
    <w:rsid w:val="70FC3462"/>
    <w:rsid w:val="70FDDFF6"/>
    <w:rsid w:val="710621C1"/>
    <w:rsid w:val="7109AE8D"/>
    <w:rsid w:val="71128454"/>
    <w:rsid w:val="7113F948"/>
    <w:rsid w:val="7118E968"/>
    <w:rsid w:val="711D902E"/>
    <w:rsid w:val="71212602"/>
    <w:rsid w:val="7127212B"/>
    <w:rsid w:val="712A3CF8"/>
    <w:rsid w:val="712BB5CA"/>
    <w:rsid w:val="712CEECE"/>
    <w:rsid w:val="712E6750"/>
    <w:rsid w:val="71314B44"/>
    <w:rsid w:val="7135E5A5"/>
    <w:rsid w:val="71363396"/>
    <w:rsid w:val="713E1CDF"/>
    <w:rsid w:val="7147B003"/>
    <w:rsid w:val="714BB337"/>
    <w:rsid w:val="714C0673"/>
    <w:rsid w:val="71526196"/>
    <w:rsid w:val="71538333"/>
    <w:rsid w:val="71580A13"/>
    <w:rsid w:val="71587E0C"/>
    <w:rsid w:val="7158E267"/>
    <w:rsid w:val="715B1017"/>
    <w:rsid w:val="716A26B1"/>
    <w:rsid w:val="716C9BE2"/>
    <w:rsid w:val="717540D3"/>
    <w:rsid w:val="71768ECC"/>
    <w:rsid w:val="71788B83"/>
    <w:rsid w:val="717B7467"/>
    <w:rsid w:val="717E1CCF"/>
    <w:rsid w:val="71838EBB"/>
    <w:rsid w:val="71877E85"/>
    <w:rsid w:val="7188D9C1"/>
    <w:rsid w:val="718BCB73"/>
    <w:rsid w:val="718C1215"/>
    <w:rsid w:val="718C860C"/>
    <w:rsid w:val="718D5025"/>
    <w:rsid w:val="718DF760"/>
    <w:rsid w:val="718E85BA"/>
    <w:rsid w:val="719B0EBC"/>
    <w:rsid w:val="719C8C70"/>
    <w:rsid w:val="719E21C2"/>
    <w:rsid w:val="71A59443"/>
    <w:rsid w:val="71A5DD89"/>
    <w:rsid w:val="71A82539"/>
    <w:rsid w:val="71AA34F8"/>
    <w:rsid w:val="71ADD305"/>
    <w:rsid w:val="71ADE4E9"/>
    <w:rsid w:val="71AF12C4"/>
    <w:rsid w:val="71AFE36C"/>
    <w:rsid w:val="71B3B652"/>
    <w:rsid w:val="71BD2CD5"/>
    <w:rsid w:val="71C0089D"/>
    <w:rsid w:val="71C47C1F"/>
    <w:rsid w:val="71C6D216"/>
    <w:rsid w:val="71C72146"/>
    <w:rsid w:val="71CA426D"/>
    <w:rsid w:val="71CF5A41"/>
    <w:rsid w:val="71E0822B"/>
    <w:rsid w:val="71E24A26"/>
    <w:rsid w:val="71E64A65"/>
    <w:rsid w:val="71E685E2"/>
    <w:rsid w:val="71EB0D47"/>
    <w:rsid w:val="71EDF682"/>
    <w:rsid w:val="71EEDB9C"/>
    <w:rsid w:val="71F118A7"/>
    <w:rsid w:val="71FD3D14"/>
    <w:rsid w:val="71FEDAAB"/>
    <w:rsid w:val="7205E19E"/>
    <w:rsid w:val="7206658E"/>
    <w:rsid w:val="7210AF04"/>
    <w:rsid w:val="721D97EB"/>
    <w:rsid w:val="7220D5BC"/>
    <w:rsid w:val="72275F87"/>
    <w:rsid w:val="722D27D2"/>
    <w:rsid w:val="722E699F"/>
    <w:rsid w:val="722F2CFD"/>
    <w:rsid w:val="723183AF"/>
    <w:rsid w:val="72366300"/>
    <w:rsid w:val="7238DE1B"/>
    <w:rsid w:val="723C5FBE"/>
    <w:rsid w:val="723F4EEC"/>
    <w:rsid w:val="723FFC0E"/>
    <w:rsid w:val="7241EB87"/>
    <w:rsid w:val="72482B92"/>
    <w:rsid w:val="72543EC8"/>
    <w:rsid w:val="7259D4C6"/>
    <w:rsid w:val="725F27C1"/>
    <w:rsid w:val="726011B9"/>
    <w:rsid w:val="726D50B0"/>
    <w:rsid w:val="726DB0F9"/>
    <w:rsid w:val="72814AE5"/>
    <w:rsid w:val="7282EC82"/>
    <w:rsid w:val="7286F884"/>
    <w:rsid w:val="729CE662"/>
    <w:rsid w:val="72A93B0C"/>
    <w:rsid w:val="72B346B2"/>
    <w:rsid w:val="72C2EC0C"/>
    <w:rsid w:val="72C46D22"/>
    <w:rsid w:val="72C50812"/>
    <w:rsid w:val="72C64721"/>
    <w:rsid w:val="72CA3C39"/>
    <w:rsid w:val="72CA732A"/>
    <w:rsid w:val="72CBC4D2"/>
    <w:rsid w:val="72CD3605"/>
    <w:rsid w:val="72D270D8"/>
    <w:rsid w:val="72D46C83"/>
    <w:rsid w:val="72DDBF1E"/>
    <w:rsid w:val="72DF2B00"/>
    <w:rsid w:val="72ECC233"/>
    <w:rsid w:val="72FB5738"/>
    <w:rsid w:val="7301C77E"/>
    <w:rsid w:val="73084967"/>
    <w:rsid w:val="730996F3"/>
    <w:rsid w:val="730AEC15"/>
    <w:rsid w:val="7311E8BE"/>
    <w:rsid w:val="7316AF9A"/>
    <w:rsid w:val="73188BBC"/>
    <w:rsid w:val="731C1605"/>
    <w:rsid w:val="7320D59A"/>
    <w:rsid w:val="73211E31"/>
    <w:rsid w:val="73217142"/>
    <w:rsid w:val="73227802"/>
    <w:rsid w:val="732594A8"/>
    <w:rsid w:val="732DAABF"/>
    <w:rsid w:val="732DEAE4"/>
    <w:rsid w:val="73378676"/>
    <w:rsid w:val="733C1BC5"/>
    <w:rsid w:val="733CACF5"/>
    <w:rsid w:val="733CAD5E"/>
    <w:rsid w:val="733F9F36"/>
    <w:rsid w:val="734FC0AB"/>
    <w:rsid w:val="7354D019"/>
    <w:rsid w:val="7357C2D8"/>
    <w:rsid w:val="735D5167"/>
    <w:rsid w:val="735D88FB"/>
    <w:rsid w:val="735F9E16"/>
    <w:rsid w:val="73624E46"/>
    <w:rsid w:val="73664495"/>
    <w:rsid w:val="7368AF01"/>
    <w:rsid w:val="73701E6F"/>
    <w:rsid w:val="7379CF0C"/>
    <w:rsid w:val="737AF180"/>
    <w:rsid w:val="737B9EB9"/>
    <w:rsid w:val="7380CBD7"/>
    <w:rsid w:val="73835943"/>
    <w:rsid w:val="73847EB0"/>
    <w:rsid w:val="73911953"/>
    <w:rsid w:val="7391F8B1"/>
    <w:rsid w:val="73942ECA"/>
    <w:rsid w:val="73951B88"/>
    <w:rsid w:val="739B9D48"/>
    <w:rsid w:val="739BFFFC"/>
    <w:rsid w:val="73A09E0E"/>
    <w:rsid w:val="73A4182C"/>
    <w:rsid w:val="73AA885E"/>
    <w:rsid w:val="73B09A59"/>
    <w:rsid w:val="73B9837F"/>
    <w:rsid w:val="73BAE709"/>
    <w:rsid w:val="73BB1100"/>
    <w:rsid w:val="73C5744D"/>
    <w:rsid w:val="73C88F39"/>
    <w:rsid w:val="73CE0FF9"/>
    <w:rsid w:val="73CF273B"/>
    <w:rsid w:val="73D6EFA0"/>
    <w:rsid w:val="73D7E27D"/>
    <w:rsid w:val="73DCC7F3"/>
    <w:rsid w:val="73DDE250"/>
    <w:rsid w:val="73E5C5FB"/>
    <w:rsid w:val="73E79E82"/>
    <w:rsid w:val="73EFB35E"/>
    <w:rsid w:val="73FC62F6"/>
    <w:rsid w:val="7400409D"/>
    <w:rsid w:val="7405DC71"/>
    <w:rsid w:val="74085A15"/>
    <w:rsid w:val="7409D0A8"/>
    <w:rsid w:val="740C4BD4"/>
    <w:rsid w:val="740C7BDC"/>
    <w:rsid w:val="740F382B"/>
    <w:rsid w:val="74149E09"/>
    <w:rsid w:val="741A0C8C"/>
    <w:rsid w:val="7424BCDF"/>
    <w:rsid w:val="7426187E"/>
    <w:rsid w:val="74283B24"/>
    <w:rsid w:val="7428B090"/>
    <w:rsid w:val="7429BAAB"/>
    <w:rsid w:val="742A69EB"/>
    <w:rsid w:val="742C87B5"/>
    <w:rsid w:val="742C8CCB"/>
    <w:rsid w:val="742CA1E0"/>
    <w:rsid w:val="742DEFB5"/>
    <w:rsid w:val="7431943D"/>
    <w:rsid w:val="7433A4A8"/>
    <w:rsid w:val="7433D0CD"/>
    <w:rsid w:val="74364377"/>
    <w:rsid w:val="7438881E"/>
    <w:rsid w:val="743BC189"/>
    <w:rsid w:val="74432D67"/>
    <w:rsid w:val="74452F29"/>
    <w:rsid w:val="7446B1D4"/>
    <w:rsid w:val="7447C770"/>
    <w:rsid w:val="7447EFE7"/>
    <w:rsid w:val="744EE8ED"/>
    <w:rsid w:val="744FFECB"/>
    <w:rsid w:val="74519D24"/>
    <w:rsid w:val="7458E8AE"/>
    <w:rsid w:val="745D16A2"/>
    <w:rsid w:val="7461E97D"/>
    <w:rsid w:val="7464681A"/>
    <w:rsid w:val="74673BB7"/>
    <w:rsid w:val="7469B8DC"/>
    <w:rsid w:val="746AA0C6"/>
    <w:rsid w:val="746AE4A4"/>
    <w:rsid w:val="74702463"/>
    <w:rsid w:val="74709182"/>
    <w:rsid w:val="7473EA1C"/>
    <w:rsid w:val="74755913"/>
    <w:rsid w:val="7476E695"/>
    <w:rsid w:val="74775345"/>
    <w:rsid w:val="7477C0B4"/>
    <w:rsid w:val="747CA57E"/>
    <w:rsid w:val="74895A9C"/>
    <w:rsid w:val="7490DBF8"/>
    <w:rsid w:val="749521B4"/>
    <w:rsid w:val="74968075"/>
    <w:rsid w:val="749D1D99"/>
    <w:rsid w:val="749D3007"/>
    <w:rsid w:val="74AEF027"/>
    <w:rsid w:val="74B3053D"/>
    <w:rsid w:val="74C4AD69"/>
    <w:rsid w:val="74C97F3F"/>
    <w:rsid w:val="74CAE06B"/>
    <w:rsid w:val="74CC26CC"/>
    <w:rsid w:val="74CC4CE8"/>
    <w:rsid w:val="74D6D1D4"/>
    <w:rsid w:val="74D98707"/>
    <w:rsid w:val="74E13CF6"/>
    <w:rsid w:val="74E42175"/>
    <w:rsid w:val="74E6D73B"/>
    <w:rsid w:val="74E9869A"/>
    <w:rsid w:val="74EA30CD"/>
    <w:rsid w:val="74F0D221"/>
    <w:rsid w:val="74F29B44"/>
    <w:rsid w:val="74F45AE8"/>
    <w:rsid w:val="74FD06B7"/>
    <w:rsid w:val="74FD33A1"/>
    <w:rsid w:val="7508B458"/>
    <w:rsid w:val="750D4A81"/>
    <w:rsid w:val="750DD767"/>
    <w:rsid w:val="750E720F"/>
    <w:rsid w:val="750ED04E"/>
    <w:rsid w:val="7511A6A3"/>
    <w:rsid w:val="751CF3B9"/>
    <w:rsid w:val="7523DDCE"/>
    <w:rsid w:val="752B86B2"/>
    <w:rsid w:val="754A5AB4"/>
    <w:rsid w:val="754DC478"/>
    <w:rsid w:val="755297EB"/>
    <w:rsid w:val="7558FFE6"/>
    <w:rsid w:val="7559CF61"/>
    <w:rsid w:val="756DB1BB"/>
    <w:rsid w:val="756F55FB"/>
    <w:rsid w:val="7572EE03"/>
    <w:rsid w:val="7579D475"/>
    <w:rsid w:val="757DA4A7"/>
    <w:rsid w:val="757E5FCE"/>
    <w:rsid w:val="7584B2F8"/>
    <w:rsid w:val="7584E402"/>
    <w:rsid w:val="75860275"/>
    <w:rsid w:val="758EC2D1"/>
    <w:rsid w:val="758F7648"/>
    <w:rsid w:val="7590CE3F"/>
    <w:rsid w:val="75913D7F"/>
    <w:rsid w:val="7592E3C3"/>
    <w:rsid w:val="7593B63E"/>
    <w:rsid w:val="75955E85"/>
    <w:rsid w:val="7595E280"/>
    <w:rsid w:val="7596A8F0"/>
    <w:rsid w:val="75AC5628"/>
    <w:rsid w:val="75AFD56F"/>
    <w:rsid w:val="75BD06CF"/>
    <w:rsid w:val="75C0C317"/>
    <w:rsid w:val="75C675B2"/>
    <w:rsid w:val="75C9DA06"/>
    <w:rsid w:val="75CB9791"/>
    <w:rsid w:val="75CD979B"/>
    <w:rsid w:val="75CDA9E7"/>
    <w:rsid w:val="75CDF23B"/>
    <w:rsid w:val="75D13D98"/>
    <w:rsid w:val="75D99A3E"/>
    <w:rsid w:val="75E008B2"/>
    <w:rsid w:val="75E63F86"/>
    <w:rsid w:val="75EC9ABB"/>
    <w:rsid w:val="75F0C618"/>
    <w:rsid w:val="75F1B154"/>
    <w:rsid w:val="75F23EA0"/>
    <w:rsid w:val="75F3BBB7"/>
    <w:rsid w:val="75F4209D"/>
    <w:rsid w:val="75FE20BD"/>
    <w:rsid w:val="75FF45DC"/>
    <w:rsid w:val="76056903"/>
    <w:rsid w:val="7606ED10"/>
    <w:rsid w:val="76117C96"/>
    <w:rsid w:val="7617CCD1"/>
    <w:rsid w:val="7618F83B"/>
    <w:rsid w:val="761B7D00"/>
    <w:rsid w:val="761DAD8E"/>
    <w:rsid w:val="7622FAB3"/>
    <w:rsid w:val="76238F4D"/>
    <w:rsid w:val="76272B64"/>
    <w:rsid w:val="762A2580"/>
    <w:rsid w:val="762C6C74"/>
    <w:rsid w:val="762DDB1F"/>
    <w:rsid w:val="76326F19"/>
    <w:rsid w:val="763A1C14"/>
    <w:rsid w:val="763E1B86"/>
    <w:rsid w:val="764F3159"/>
    <w:rsid w:val="764FBC24"/>
    <w:rsid w:val="765308CF"/>
    <w:rsid w:val="7659E751"/>
    <w:rsid w:val="765A70E2"/>
    <w:rsid w:val="765DFF67"/>
    <w:rsid w:val="765EADF7"/>
    <w:rsid w:val="765EF2D5"/>
    <w:rsid w:val="765F5F21"/>
    <w:rsid w:val="76635B16"/>
    <w:rsid w:val="7665B028"/>
    <w:rsid w:val="76669D8A"/>
    <w:rsid w:val="7668A90C"/>
    <w:rsid w:val="766DE768"/>
    <w:rsid w:val="766E9E08"/>
    <w:rsid w:val="766F5251"/>
    <w:rsid w:val="76729D26"/>
    <w:rsid w:val="7672EE94"/>
    <w:rsid w:val="7678563D"/>
    <w:rsid w:val="767EEDB5"/>
    <w:rsid w:val="76801EAD"/>
    <w:rsid w:val="76868EF0"/>
    <w:rsid w:val="76874FED"/>
    <w:rsid w:val="7687C82B"/>
    <w:rsid w:val="7689AE87"/>
    <w:rsid w:val="768AB5A7"/>
    <w:rsid w:val="768CB0C6"/>
    <w:rsid w:val="768FBC28"/>
    <w:rsid w:val="76998CC8"/>
    <w:rsid w:val="769A2154"/>
    <w:rsid w:val="769F3749"/>
    <w:rsid w:val="76A1D968"/>
    <w:rsid w:val="76A90AD3"/>
    <w:rsid w:val="76ABDF2B"/>
    <w:rsid w:val="76AC8D20"/>
    <w:rsid w:val="76ACA8D3"/>
    <w:rsid w:val="76AD0FED"/>
    <w:rsid w:val="76AE68BB"/>
    <w:rsid w:val="76B972D4"/>
    <w:rsid w:val="76BA0EEF"/>
    <w:rsid w:val="76BC8CF3"/>
    <w:rsid w:val="76C08C84"/>
    <w:rsid w:val="76C1A9D6"/>
    <w:rsid w:val="76CAEFFC"/>
    <w:rsid w:val="76CAF791"/>
    <w:rsid w:val="76CDE3B6"/>
    <w:rsid w:val="76D289CE"/>
    <w:rsid w:val="76DC723B"/>
    <w:rsid w:val="76DDE1B9"/>
    <w:rsid w:val="76E83567"/>
    <w:rsid w:val="76E88FD2"/>
    <w:rsid w:val="76E99F60"/>
    <w:rsid w:val="76E9C6CF"/>
    <w:rsid w:val="76EA60A9"/>
    <w:rsid w:val="76EEC626"/>
    <w:rsid w:val="76F9E3AA"/>
    <w:rsid w:val="76FC947A"/>
    <w:rsid w:val="77001E30"/>
    <w:rsid w:val="770F7A78"/>
    <w:rsid w:val="77117CA6"/>
    <w:rsid w:val="77120771"/>
    <w:rsid w:val="77147A7B"/>
    <w:rsid w:val="771ED936"/>
    <w:rsid w:val="771EEC50"/>
    <w:rsid w:val="77258D9F"/>
    <w:rsid w:val="77292DE6"/>
    <w:rsid w:val="77298219"/>
    <w:rsid w:val="772E2B25"/>
    <w:rsid w:val="7732407C"/>
    <w:rsid w:val="7732EA69"/>
    <w:rsid w:val="7736443E"/>
    <w:rsid w:val="7736A3D9"/>
    <w:rsid w:val="7736B3FC"/>
    <w:rsid w:val="7737DB9E"/>
    <w:rsid w:val="773F61EB"/>
    <w:rsid w:val="773FC366"/>
    <w:rsid w:val="773FCDEA"/>
    <w:rsid w:val="77402928"/>
    <w:rsid w:val="774632BB"/>
    <w:rsid w:val="774916BA"/>
    <w:rsid w:val="774A0D67"/>
    <w:rsid w:val="7753C19D"/>
    <w:rsid w:val="775733A0"/>
    <w:rsid w:val="775910FD"/>
    <w:rsid w:val="7762C167"/>
    <w:rsid w:val="7766448B"/>
    <w:rsid w:val="7767F62A"/>
    <w:rsid w:val="7768B3C5"/>
    <w:rsid w:val="776BA380"/>
    <w:rsid w:val="776DF378"/>
    <w:rsid w:val="776EC5F0"/>
    <w:rsid w:val="7770844D"/>
    <w:rsid w:val="777905F8"/>
    <w:rsid w:val="777A58B4"/>
    <w:rsid w:val="777DB9C3"/>
    <w:rsid w:val="77800F3C"/>
    <w:rsid w:val="7784DCEF"/>
    <w:rsid w:val="77871A98"/>
    <w:rsid w:val="778B1F59"/>
    <w:rsid w:val="778B8D73"/>
    <w:rsid w:val="778DFA34"/>
    <w:rsid w:val="7790CF88"/>
    <w:rsid w:val="7790D53C"/>
    <w:rsid w:val="7794DB6D"/>
    <w:rsid w:val="779893E6"/>
    <w:rsid w:val="7798B111"/>
    <w:rsid w:val="77996742"/>
    <w:rsid w:val="779AEA68"/>
    <w:rsid w:val="77A19F25"/>
    <w:rsid w:val="77A6B333"/>
    <w:rsid w:val="77A76FB2"/>
    <w:rsid w:val="77AA3C2E"/>
    <w:rsid w:val="77AC6843"/>
    <w:rsid w:val="77AC9A74"/>
    <w:rsid w:val="77AD5850"/>
    <w:rsid w:val="77AFEA0D"/>
    <w:rsid w:val="77B1E89D"/>
    <w:rsid w:val="77B27DC6"/>
    <w:rsid w:val="77B53F97"/>
    <w:rsid w:val="77B8AA95"/>
    <w:rsid w:val="77C0A3DD"/>
    <w:rsid w:val="77C96687"/>
    <w:rsid w:val="77C98A07"/>
    <w:rsid w:val="77D1E19D"/>
    <w:rsid w:val="77D5023F"/>
    <w:rsid w:val="77E03DC0"/>
    <w:rsid w:val="77E61BF1"/>
    <w:rsid w:val="77E9090F"/>
    <w:rsid w:val="77EC7351"/>
    <w:rsid w:val="77EE026E"/>
    <w:rsid w:val="77F866E3"/>
    <w:rsid w:val="77FA1598"/>
    <w:rsid w:val="77FE00C0"/>
    <w:rsid w:val="77FE33C4"/>
    <w:rsid w:val="78004D99"/>
    <w:rsid w:val="78048CAE"/>
    <w:rsid w:val="7806D51E"/>
    <w:rsid w:val="78072381"/>
    <w:rsid w:val="780A5353"/>
    <w:rsid w:val="780E9253"/>
    <w:rsid w:val="7813E459"/>
    <w:rsid w:val="781C5004"/>
    <w:rsid w:val="7823E10E"/>
    <w:rsid w:val="7824A94E"/>
    <w:rsid w:val="78252533"/>
    <w:rsid w:val="78275959"/>
    <w:rsid w:val="782D7EAD"/>
    <w:rsid w:val="78313A21"/>
    <w:rsid w:val="783322BC"/>
    <w:rsid w:val="783ADFC1"/>
    <w:rsid w:val="783B465F"/>
    <w:rsid w:val="783B5FE0"/>
    <w:rsid w:val="783EEB14"/>
    <w:rsid w:val="7842C787"/>
    <w:rsid w:val="7844ECF3"/>
    <w:rsid w:val="78476647"/>
    <w:rsid w:val="784BFC86"/>
    <w:rsid w:val="784DA1A7"/>
    <w:rsid w:val="785CB51E"/>
    <w:rsid w:val="785D45A0"/>
    <w:rsid w:val="7864ED53"/>
    <w:rsid w:val="786825C5"/>
    <w:rsid w:val="78693EBB"/>
    <w:rsid w:val="786B88B8"/>
    <w:rsid w:val="7872DE5E"/>
    <w:rsid w:val="787AE7C5"/>
    <w:rsid w:val="787B432F"/>
    <w:rsid w:val="787CC0C4"/>
    <w:rsid w:val="787D9DA5"/>
    <w:rsid w:val="78817C02"/>
    <w:rsid w:val="78825DE3"/>
    <w:rsid w:val="788C79BA"/>
    <w:rsid w:val="788DEBE8"/>
    <w:rsid w:val="7896D0FA"/>
    <w:rsid w:val="789E5268"/>
    <w:rsid w:val="78A0BEC6"/>
    <w:rsid w:val="78A8196D"/>
    <w:rsid w:val="78A94CF5"/>
    <w:rsid w:val="78ADFF96"/>
    <w:rsid w:val="78B02D8D"/>
    <w:rsid w:val="78B1D5D0"/>
    <w:rsid w:val="78B4D8C1"/>
    <w:rsid w:val="78C283F1"/>
    <w:rsid w:val="78C6B54B"/>
    <w:rsid w:val="78C6E30C"/>
    <w:rsid w:val="78C731AE"/>
    <w:rsid w:val="78C78451"/>
    <w:rsid w:val="78CAB812"/>
    <w:rsid w:val="78CACB98"/>
    <w:rsid w:val="78CAF96D"/>
    <w:rsid w:val="78D268ED"/>
    <w:rsid w:val="78D49AA3"/>
    <w:rsid w:val="78DB15A9"/>
    <w:rsid w:val="78DB4E80"/>
    <w:rsid w:val="78DBA2D2"/>
    <w:rsid w:val="78DC40CA"/>
    <w:rsid w:val="78DEF97D"/>
    <w:rsid w:val="78E4129F"/>
    <w:rsid w:val="78E5370D"/>
    <w:rsid w:val="78F6EBD9"/>
    <w:rsid w:val="790389BB"/>
    <w:rsid w:val="7903D985"/>
    <w:rsid w:val="79054FC4"/>
    <w:rsid w:val="790B2EA3"/>
    <w:rsid w:val="790F5D91"/>
    <w:rsid w:val="790F8D38"/>
    <w:rsid w:val="7910462B"/>
    <w:rsid w:val="791362AA"/>
    <w:rsid w:val="7918A210"/>
    <w:rsid w:val="791C757D"/>
    <w:rsid w:val="7921269D"/>
    <w:rsid w:val="7921D3F5"/>
    <w:rsid w:val="7928B11B"/>
    <w:rsid w:val="7929A03F"/>
    <w:rsid w:val="792CA955"/>
    <w:rsid w:val="792EDE0C"/>
    <w:rsid w:val="79363D8D"/>
    <w:rsid w:val="79387E4B"/>
    <w:rsid w:val="793B23DA"/>
    <w:rsid w:val="793C991E"/>
    <w:rsid w:val="793FD6C4"/>
    <w:rsid w:val="794C0637"/>
    <w:rsid w:val="794E2E1E"/>
    <w:rsid w:val="7952103B"/>
    <w:rsid w:val="7957E5B5"/>
    <w:rsid w:val="7959E71B"/>
    <w:rsid w:val="795D0826"/>
    <w:rsid w:val="79617C9B"/>
    <w:rsid w:val="79629B69"/>
    <w:rsid w:val="7965B6B2"/>
    <w:rsid w:val="79672D58"/>
    <w:rsid w:val="796BE9A9"/>
    <w:rsid w:val="796DA12F"/>
    <w:rsid w:val="79740DFD"/>
    <w:rsid w:val="797DA618"/>
    <w:rsid w:val="797FF8C1"/>
    <w:rsid w:val="79852B5C"/>
    <w:rsid w:val="798C6BD4"/>
    <w:rsid w:val="7994D79A"/>
    <w:rsid w:val="7997AC13"/>
    <w:rsid w:val="7997B89D"/>
    <w:rsid w:val="799DAB97"/>
    <w:rsid w:val="799DD6E7"/>
    <w:rsid w:val="79A76FCC"/>
    <w:rsid w:val="79A7A447"/>
    <w:rsid w:val="79BAE074"/>
    <w:rsid w:val="79C15090"/>
    <w:rsid w:val="79C24379"/>
    <w:rsid w:val="79CB8418"/>
    <w:rsid w:val="79CF7128"/>
    <w:rsid w:val="79D06AF2"/>
    <w:rsid w:val="79DBC6AD"/>
    <w:rsid w:val="79F66412"/>
    <w:rsid w:val="79F68C88"/>
    <w:rsid w:val="79F7B712"/>
    <w:rsid w:val="79F811C4"/>
    <w:rsid w:val="79FD4F21"/>
    <w:rsid w:val="79FDDB30"/>
    <w:rsid w:val="7A023DEB"/>
    <w:rsid w:val="7A04409D"/>
    <w:rsid w:val="7A10E3E6"/>
    <w:rsid w:val="7A11E5BC"/>
    <w:rsid w:val="7A12F265"/>
    <w:rsid w:val="7A13E087"/>
    <w:rsid w:val="7A1DCD8C"/>
    <w:rsid w:val="7A1F2B75"/>
    <w:rsid w:val="7A2122EC"/>
    <w:rsid w:val="7A2698B4"/>
    <w:rsid w:val="7A27474B"/>
    <w:rsid w:val="7A282F03"/>
    <w:rsid w:val="7A295EC4"/>
    <w:rsid w:val="7A2BEA8F"/>
    <w:rsid w:val="7A2BF15B"/>
    <w:rsid w:val="7A2D4B80"/>
    <w:rsid w:val="7A2E4B79"/>
    <w:rsid w:val="7A358684"/>
    <w:rsid w:val="7A41F31E"/>
    <w:rsid w:val="7A46DC42"/>
    <w:rsid w:val="7A4DE769"/>
    <w:rsid w:val="7A4E0634"/>
    <w:rsid w:val="7A4EAAF8"/>
    <w:rsid w:val="7A572025"/>
    <w:rsid w:val="7A5AFA79"/>
    <w:rsid w:val="7A63E208"/>
    <w:rsid w:val="7A65864D"/>
    <w:rsid w:val="7A685BE6"/>
    <w:rsid w:val="7A69AD7D"/>
    <w:rsid w:val="7A6A1D29"/>
    <w:rsid w:val="7A6D30DA"/>
    <w:rsid w:val="7A711F9F"/>
    <w:rsid w:val="7A76ED8C"/>
    <w:rsid w:val="7A819C38"/>
    <w:rsid w:val="7A838361"/>
    <w:rsid w:val="7A8572AB"/>
    <w:rsid w:val="7A88DC54"/>
    <w:rsid w:val="7A8C1D34"/>
    <w:rsid w:val="7A918CE1"/>
    <w:rsid w:val="7A97CE24"/>
    <w:rsid w:val="7A9C29A8"/>
    <w:rsid w:val="7A9EB54A"/>
    <w:rsid w:val="7AA1BA1F"/>
    <w:rsid w:val="7AA835BD"/>
    <w:rsid w:val="7AA94EDA"/>
    <w:rsid w:val="7AAA331B"/>
    <w:rsid w:val="7AAF4C75"/>
    <w:rsid w:val="7AAFFCE8"/>
    <w:rsid w:val="7ABC0698"/>
    <w:rsid w:val="7ABD6EE3"/>
    <w:rsid w:val="7ACB795E"/>
    <w:rsid w:val="7ACFDAF1"/>
    <w:rsid w:val="7AD1BDA3"/>
    <w:rsid w:val="7AD3B2A8"/>
    <w:rsid w:val="7AD5D6CC"/>
    <w:rsid w:val="7AD95111"/>
    <w:rsid w:val="7AD98673"/>
    <w:rsid w:val="7AD9F9DE"/>
    <w:rsid w:val="7AE0AB29"/>
    <w:rsid w:val="7AEAB2A8"/>
    <w:rsid w:val="7AECE252"/>
    <w:rsid w:val="7AEDE5E8"/>
    <w:rsid w:val="7AF361EB"/>
    <w:rsid w:val="7B03E41B"/>
    <w:rsid w:val="7B074406"/>
    <w:rsid w:val="7B084FF3"/>
    <w:rsid w:val="7B0C3760"/>
    <w:rsid w:val="7B0C92FA"/>
    <w:rsid w:val="7B0EBEE4"/>
    <w:rsid w:val="7B10E86A"/>
    <w:rsid w:val="7B18D83A"/>
    <w:rsid w:val="7B1A14FF"/>
    <w:rsid w:val="7B1B5533"/>
    <w:rsid w:val="7B1BD96C"/>
    <w:rsid w:val="7B22FF99"/>
    <w:rsid w:val="7B257F26"/>
    <w:rsid w:val="7B280465"/>
    <w:rsid w:val="7B2C129F"/>
    <w:rsid w:val="7B2D36FE"/>
    <w:rsid w:val="7B367FA4"/>
    <w:rsid w:val="7B37CA1D"/>
    <w:rsid w:val="7B3AE513"/>
    <w:rsid w:val="7B420CB1"/>
    <w:rsid w:val="7B46E2CE"/>
    <w:rsid w:val="7B4A7B78"/>
    <w:rsid w:val="7B4A815E"/>
    <w:rsid w:val="7B50922A"/>
    <w:rsid w:val="7B52CB06"/>
    <w:rsid w:val="7B53DFD2"/>
    <w:rsid w:val="7B5602CD"/>
    <w:rsid w:val="7B582A2B"/>
    <w:rsid w:val="7B5C5190"/>
    <w:rsid w:val="7B5D6DBF"/>
    <w:rsid w:val="7B602F00"/>
    <w:rsid w:val="7B60C9EC"/>
    <w:rsid w:val="7B629C3D"/>
    <w:rsid w:val="7B62F166"/>
    <w:rsid w:val="7B634447"/>
    <w:rsid w:val="7B65DFE7"/>
    <w:rsid w:val="7B6A743F"/>
    <w:rsid w:val="7B6B8C0F"/>
    <w:rsid w:val="7B6E3348"/>
    <w:rsid w:val="7B751616"/>
    <w:rsid w:val="7B7693FF"/>
    <w:rsid w:val="7B7988CF"/>
    <w:rsid w:val="7B7CD5B9"/>
    <w:rsid w:val="7B7E59B4"/>
    <w:rsid w:val="7B87F6CE"/>
    <w:rsid w:val="7B8ED19D"/>
    <w:rsid w:val="7B8FD136"/>
    <w:rsid w:val="7B940C09"/>
    <w:rsid w:val="7B9BCF9F"/>
    <w:rsid w:val="7BA37673"/>
    <w:rsid w:val="7BA59BFE"/>
    <w:rsid w:val="7BAA674D"/>
    <w:rsid w:val="7BAE55A4"/>
    <w:rsid w:val="7BB03FDF"/>
    <w:rsid w:val="7BB1BFF1"/>
    <w:rsid w:val="7BB466C3"/>
    <w:rsid w:val="7BBCC0B2"/>
    <w:rsid w:val="7BCA36E5"/>
    <w:rsid w:val="7BD5C5A9"/>
    <w:rsid w:val="7BD7EDF9"/>
    <w:rsid w:val="7BD87DC9"/>
    <w:rsid w:val="7BD87E7B"/>
    <w:rsid w:val="7BE0707B"/>
    <w:rsid w:val="7BE4CFB2"/>
    <w:rsid w:val="7BE58BF4"/>
    <w:rsid w:val="7BE89AF6"/>
    <w:rsid w:val="7BF0480C"/>
    <w:rsid w:val="7BF7ACA0"/>
    <w:rsid w:val="7BFD84D8"/>
    <w:rsid w:val="7C016ADA"/>
    <w:rsid w:val="7C0520D6"/>
    <w:rsid w:val="7C0782EA"/>
    <w:rsid w:val="7C07AAEF"/>
    <w:rsid w:val="7C0CFF4F"/>
    <w:rsid w:val="7C1117D3"/>
    <w:rsid w:val="7C135D32"/>
    <w:rsid w:val="7C14D25B"/>
    <w:rsid w:val="7C188446"/>
    <w:rsid w:val="7C34251A"/>
    <w:rsid w:val="7C3EB76C"/>
    <w:rsid w:val="7C53AE0B"/>
    <w:rsid w:val="7C53ED75"/>
    <w:rsid w:val="7C56337D"/>
    <w:rsid w:val="7C5AE11F"/>
    <w:rsid w:val="7C5F34CF"/>
    <w:rsid w:val="7C5FD082"/>
    <w:rsid w:val="7C603C5B"/>
    <w:rsid w:val="7C645D56"/>
    <w:rsid w:val="7C64C62F"/>
    <w:rsid w:val="7C658069"/>
    <w:rsid w:val="7C66F11A"/>
    <w:rsid w:val="7C6E5BF8"/>
    <w:rsid w:val="7C7E16FB"/>
    <w:rsid w:val="7C864A60"/>
    <w:rsid w:val="7C8971D3"/>
    <w:rsid w:val="7C8CF278"/>
    <w:rsid w:val="7C90E73B"/>
    <w:rsid w:val="7C9299BF"/>
    <w:rsid w:val="7C9487CF"/>
    <w:rsid w:val="7C961602"/>
    <w:rsid w:val="7C98F714"/>
    <w:rsid w:val="7C9B1CB6"/>
    <w:rsid w:val="7C9DE7DF"/>
    <w:rsid w:val="7CA1F741"/>
    <w:rsid w:val="7CA52321"/>
    <w:rsid w:val="7CA916F3"/>
    <w:rsid w:val="7CB0DB9A"/>
    <w:rsid w:val="7CB2FBC8"/>
    <w:rsid w:val="7CB5EA81"/>
    <w:rsid w:val="7CC00829"/>
    <w:rsid w:val="7CC701AF"/>
    <w:rsid w:val="7CCD998B"/>
    <w:rsid w:val="7CD2C326"/>
    <w:rsid w:val="7CD4DD75"/>
    <w:rsid w:val="7CD9B7F4"/>
    <w:rsid w:val="7CDD037E"/>
    <w:rsid w:val="7CE1466B"/>
    <w:rsid w:val="7CE33826"/>
    <w:rsid w:val="7CE4C223"/>
    <w:rsid w:val="7CE9867B"/>
    <w:rsid w:val="7CEA8D8C"/>
    <w:rsid w:val="7CF126D4"/>
    <w:rsid w:val="7CF2C625"/>
    <w:rsid w:val="7CF660A3"/>
    <w:rsid w:val="7CFA0A2C"/>
    <w:rsid w:val="7CFAE579"/>
    <w:rsid w:val="7D01F72F"/>
    <w:rsid w:val="7D029927"/>
    <w:rsid w:val="7D02DA29"/>
    <w:rsid w:val="7D0B9D77"/>
    <w:rsid w:val="7D0DBBDE"/>
    <w:rsid w:val="7D142374"/>
    <w:rsid w:val="7D193CEC"/>
    <w:rsid w:val="7D236F2E"/>
    <w:rsid w:val="7D389DA8"/>
    <w:rsid w:val="7D39C571"/>
    <w:rsid w:val="7D3CA2F7"/>
    <w:rsid w:val="7D41E09D"/>
    <w:rsid w:val="7D44285B"/>
    <w:rsid w:val="7D4A4D48"/>
    <w:rsid w:val="7D4C1C23"/>
    <w:rsid w:val="7D588E1B"/>
    <w:rsid w:val="7D5DA306"/>
    <w:rsid w:val="7D5ED64F"/>
    <w:rsid w:val="7D6353B5"/>
    <w:rsid w:val="7D6B5D94"/>
    <w:rsid w:val="7D70CB67"/>
    <w:rsid w:val="7D7201F0"/>
    <w:rsid w:val="7D7720EA"/>
    <w:rsid w:val="7D780957"/>
    <w:rsid w:val="7D788789"/>
    <w:rsid w:val="7D78FBF7"/>
    <w:rsid w:val="7D80B76F"/>
    <w:rsid w:val="7D8994A2"/>
    <w:rsid w:val="7D89D8E3"/>
    <w:rsid w:val="7D89F183"/>
    <w:rsid w:val="7D8ABE5A"/>
    <w:rsid w:val="7D8DB97C"/>
    <w:rsid w:val="7D8E0F95"/>
    <w:rsid w:val="7D8E3835"/>
    <w:rsid w:val="7D8F1919"/>
    <w:rsid w:val="7D9239D9"/>
    <w:rsid w:val="7D9623D4"/>
    <w:rsid w:val="7D96AE1B"/>
    <w:rsid w:val="7D9AEDE6"/>
    <w:rsid w:val="7DA816DF"/>
    <w:rsid w:val="7DAAA40A"/>
    <w:rsid w:val="7DAD2AC6"/>
    <w:rsid w:val="7DB044B1"/>
    <w:rsid w:val="7DB4AFE3"/>
    <w:rsid w:val="7DB6B781"/>
    <w:rsid w:val="7DB81112"/>
    <w:rsid w:val="7DB89B94"/>
    <w:rsid w:val="7DBBF6FC"/>
    <w:rsid w:val="7DC308A3"/>
    <w:rsid w:val="7DC4C6BE"/>
    <w:rsid w:val="7DC694A0"/>
    <w:rsid w:val="7DCE49DD"/>
    <w:rsid w:val="7DD34AE2"/>
    <w:rsid w:val="7DD50F7B"/>
    <w:rsid w:val="7DD9E574"/>
    <w:rsid w:val="7DDA0158"/>
    <w:rsid w:val="7DDA5EAD"/>
    <w:rsid w:val="7DDB9100"/>
    <w:rsid w:val="7DDC2EA3"/>
    <w:rsid w:val="7DDE7221"/>
    <w:rsid w:val="7DE0BC83"/>
    <w:rsid w:val="7DE14584"/>
    <w:rsid w:val="7DE5C135"/>
    <w:rsid w:val="7DEB2C6F"/>
    <w:rsid w:val="7DEEE6F4"/>
    <w:rsid w:val="7DF30433"/>
    <w:rsid w:val="7DFB62FA"/>
    <w:rsid w:val="7DFDB930"/>
    <w:rsid w:val="7E0102A7"/>
    <w:rsid w:val="7E0290B3"/>
    <w:rsid w:val="7E04A962"/>
    <w:rsid w:val="7E056CA1"/>
    <w:rsid w:val="7E072244"/>
    <w:rsid w:val="7E0D1966"/>
    <w:rsid w:val="7E14B69E"/>
    <w:rsid w:val="7E1D29A1"/>
    <w:rsid w:val="7E1D96C9"/>
    <w:rsid w:val="7E1DF95A"/>
    <w:rsid w:val="7E22E73B"/>
    <w:rsid w:val="7E285D06"/>
    <w:rsid w:val="7E31041F"/>
    <w:rsid w:val="7E35D820"/>
    <w:rsid w:val="7E365797"/>
    <w:rsid w:val="7E37B6B0"/>
    <w:rsid w:val="7E3C63B9"/>
    <w:rsid w:val="7E3C7889"/>
    <w:rsid w:val="7E40B9B3"/>
    <w:rsid w:val="7E440E34"/>
    <w:rsid w:val="7E4414EE"/>
    <w:rsid w:val="7E446688"/>
    <w:rsid w:val="7E44EC4A"/>
    <w:rsid w:val="7E47759C"/>
    <w:rsid w:val="7E55D928"/>
    <w:rsid w:val="7E5A7314"/>
    <w:rsid w:val="7E5DBA71"/>
    <w:rsid w:val="7E61DC7E"/>
    <w:rsid w:val="7E61EBEF"/>
    <w:rsid w:val="7E6BF9FF"/>
    <w:rsid w:val="7E736DF3"/>
    <w:rsid w:val="7E78F5E9"/>
    <w:rsid w:val="7E7BD237"/>
    <w:rsid w:val="7E7C7E1F"/>
    <w:rsid w:val="7E7FCA1A"/>
    <w:rsid w:val="7E7FF271"/>
    <w:rsid w:val="7E8042C6"/>
    <w:rsid w:val="7E820901"/>
    <w:rsid w:val="7E831CBF"/>
    <w:rsid w:val="7E849F31"/>
    <w:rsid w:val="7E84FB2E"/>
    <w:rsid w:val="7E89C1B6"/>
    <w:rsid w:val="7E8B10B2"/>
    <w:rsid w:val="7E8EDCD2"/>
    <w:rsid w:val="7E954136"/>
    <w:rsid w:val="7E954D44"/>
    <w:rsid w:val="7E994E31"/>
    <w:rsid w:val="7E9ADBAE"/>
    <w:rsid w:val="7E9C7FC6"/>
    <w:rsid w:val="7E9CF550"/>
    <w:rsid w:val="7EA35092"/>
    <w:rsid w:val="7EA6CFBD"/>
    <w:rsid w:val="7EAC8554"/>
    <w:rsid w:val="7EACBC32"/>
    <w:rsid w:val="7EAFF845"/>
    <w:rsid w:val="7EB1C25A"/>
    <w:rsid w:val="7EB7329F"/>
    <w:rsid w:val="7EBC4D44"/>
    <w:rsid w:val="7EBE4E7A"/>
    <w:rsid w:val="7EBEC331"/>
    <w:rsid w:val="7EC01E65"/>
    <w:rsid w:val="7EC31716"/>
    <w:rsid w:val="7EC7CCFF"/>
    <w:rsid w:val="7ED11383"/>
    <w:rsid w:val="7EE03947"/>
    <w:rsid w:val="7EE2B5F4"/>
    <w:rsid w:val="7EE39A0B"/>
    <w:rsid w:val="7EE54EF2"/>
    <w:rsid w:val="7EEDB68F"/>
    <w:rsid w:val="7EEDFD08"/>
    <w:rsid w:val="7EF15B64"/>
    <w:rsid w:val="7EF33BE4"/>
    <w:rsid w:val="7EF393CE"/>
    <w:rsid w:val="7EF476CE"/>
    <w:rsid w:val="7EF477C7"/>
    <w:rsid w:val="7EF980FB"/>
    <w:rsid w:val="7EFB99D5"/>
    <w:rsid w:val="7EFD46E7"/>
    <w:rsid w:val="7EFDD913"/>
    <w:rsid w:val="7EFF02D6"/>
    <w:rsid w:val="7F043A47"/>
    <w:rsid w:val="7F046731"/>
    <w:rsid w:val="7F04881A"/>
    <w:rsid w:val="7F0B19B6"/>
    <w:rsid w:val="7F0DCA91"/>
    <w:rsid w:val="7F123451"/>
    <w:rsid w:val="7F126F51"/>
    <w:rsid w:val="7F19523B"/>
    <w:rsid w:val="7F1B608F"/>
    <w:rsid w:val="7F1B9C63"/>
    <w:rsid w:val="7F1F9BAC"/>
    <w:rsid w:val="7F205329"/>
    <w:rsid w:val="7F241783"/>
    <w:rsid w:val="7F244C75"/>
    <w:rsid w:val="7F244EEB"/>
    <w:rsid w:val="7F26784F"/>
    <w:rsid w:val="7F2D4D1D"/>
    <w:rsid w:val="7F2F0BF5"/>
    <w:rsid w:val="7F2F292A"/>
    <w:rsid w:val="7F2FB413"/>
    <w:rsid w:val="7F3473CA"/>
    <w:rsid w:val="7F3792D2"/>
    <w:rsid w:val="7F3A20B0"/>
    <w:rsid w:val="7F3F01C3"/>
    <w:rsid w:val="7F4C9AE9"/>
    <w:rsid w:val="7F4F10A3"/>
    <w:rsid w:val="7F4F22D6"/>
    <w:rsid w:val="7F5528BC"/>
    <w:rsid w:val="7F58D9DC"/>
    <w:rsid w:val="7F602F60"/>
    <w:rsid w:val="7F6399A9"/>
    <w:rsid w:val="7F6587B7"/>
    <w:rsid w:val="7F670A45"/>
    <w:rsid w:val="7F6985F5"/>
    <w:rsid w:val="7F6AEFF5"/>
    <w:rsid w:val="7F6C4C04"/>
    <w:rsid w:val="7F6D4CDD"/>
    <w:rsid w:val="7F73239B"/>
    <w:rsid w:val="7F7EC87A"/>
    <w:rsid w:val="7F7FFB3E"/>
    <w:rsid w:val="7F80AA2D"/>
    <w:rsid w:val="7F80F4AB"/>
    <w:rsid w:val="7F838359"/>
    <w:rsid w:val="7F88E448"/>
    <w:rsid w:val="7F8D27E2"/>
    <w:rsid w:val="7F8E73BA"/>
    <w:rsid w:val="7F8FFD49"/>
    <w:rsid w:val="7F956469"/>
    <w:rsid w:val="7F969554"/>
    <w:rsid w:val="7F98D46C"/>
    <w:rsid w:val="7F99D4AF"/>
    <w:rsid w:val="7F9D1946"/>
    <w:rsid w:val="7FA07FDF"/>
    <w:rsid w:val="7FA271CB"/>
    <w:rsid w:val="7FAB607D"/>
    <w:rsid w:val="7FAEC29C"/>
    <w:rsid w:val="7FAFE7AD"/>
    <w:rsid w:val="7FB8BE88"/>
    <w:rsid w:val="7FBE0969"/>
    <w:rsid w:val="7FBE28F8"/>
    <w:rsid w:val="7FC024C5"/>
    <w:rsid w:val="7FC6594D"/>
    <w:rsid w:val="7FCFEC97"/>
    <w:rsid w:val="7FD0DFA2"/>
    <w:rsid w:val="7FD774DB"/>
    <w:rsid w:val="7FD9BB9A"/>
    <w:rsid w:val="7FDD5DEC"/>
    <w:rsid w:val="7FE43C89"/>
    <w:rsid w:val="7FE82ED1"/>
    <w:rsid w:val="7FEC8358"/>
    <w:rsid w:val="7FF5673F"/>
    <w:rsid w:val="7FF765DC"/>
    <w:rsid w:val="7FFACFD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6125D5"/>
  <w15:chartTrackingRefBased/>
  <w15:docId w15:val="{7F4C7F5F-537F-4D2E-A826-50225AD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4B"/>
  </w:style>
  <w:style w:type="paragraph" w:styleId="Heading1">
    <w:name w:val="heading 1"/>
    <w:basedOn w:val="Normal"/>
    <w:next w:val="Normal"/>
    <w:link w:val="Heading1Char"/>
    <w:uiPriority w:val="9"/>
    <w:qFormat/>
    <w:rsid w:val="0058364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A4E5B"/>
    <w:pPr>
      <w:keepNext/>
      <w:keepLines/>
      <w:spacing w:before="40" w:after="120"/>
      <w:outlineLvl w:val="1"/>
    </w:pPr>
    <w:rPr>
      <w:rFonts w:eastAsiaTheme="majorEastAsia" w:cstheme="majorBidi"/>
      <w:b/>
      <w:szCs w:val="26"/>
    </w:rPr>
  </w:style>
  <w:style w:type="paragraph" w:styleId="Heading3">
    <w:name w:val="heading 3"/>
    <w:basedOn w:val="Heading1"/>
    <w:next w:val="Normal"/>
    <w:link w:val="Heading3Char"/>
    <w:uiPriority w:val="9"/>
    <w:unhideWhenUsed/>
    <w:qFormat/>
    <w:rsid w:val="007B4A95"/>
    <w:pPr>
      <w:spacing w:before="0" w:after="120"/>
      <w:outlineLvl w:val="2"/>
    </w:pPr>
    <w:rPr>
      <w:bCs/>
      <w:i/>
      <w:lang w:val="en-GB"/>
    </w:rPr>
  </w:style>
  <w:style w:type="paragraph" w:styleId="Heading4">
    <w:name w:val="heading 4"/>
    <w:basedOn w:val="Normal"/>
    <w:next w:val="Normal"/>
    <w:link w:val="Heading4Char"/>
    <w:uiPriority w:val="9"/>
    <w:unhideWhenUsed/>
    <w:qFormat/>
    <w:rsid w:val="00AD1F6C"/>
    <w:pPr>
      <w:keepNext/>
      <w:keepLines/>
      <w:pBdr>
        <w:top w:val="single" w:sz="4" w:space="1" w:color="auto"/>
        <w:left w:val="single" w:sz="4" w:space="4" w:color="auto"/>
        <w:bottom w:val="single" w:sz="4" w:space="1" w:color="auto"/>
        <w:right w:val="single" w:sz="4" w:space="0" w:color="auto"/>
      </w:pBdr>
      <w:spacing w:before="240" w:after="0" w:line="240" w:lineRule="auto"/>
      <w:outlineLvl w:val="3"/>
    </w:pPr>
    <w:rPr>
      <w:rFonts w:ascii="Calibri" w:eastAsia="MS Gothic" w:hAnsi="Calibri" w:cs="Arial"/>
      <w:b/>
      <w:bCs/>
      <w:color w:val="0033CC"/>
      <w:kern w:val="0"/>
      <w:szCs w:val="24"/>
      <w14:ligatures w14:val="none"/>
    </w:rPr>
  </w:style>
  <w:style w:type="paragraph" w:styleId="Heading5">
    <w:name w:val="heading 5"/>
    <w:basedOn w:val="NoSpacing"/>
    <w:next w:val="Normal"/>
    <w:link w:val="Heading5Char"/>
    <w:uiPriority w:val="9"/>
    <w:unhideWhenUsed/>
    <w:qFormat/>
    <w:rsid w:val="00583F60"/>
    <w:pPr>
      <w:spacing w:after="240"/>
      <w:outlineLvl w:val="4"/>
    </w:pPr>
    <w:rPr>
      <w:rFonts w:cs="Times New Roman"/>
      <w:b/>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ED5720"/>
    <w:rPr>
      <w:color w:val="0000FF"/>
      <w:shd w:val="clear" w:color="auto" w:fill="auto"/>
    </w:rPr>
  </w:style>
  <w:style w:type="paragraph" w:styleId="Header">
    <w:name w:val="header"/>
    <w:basedOn w:val="Normal"/>
    <w:link w:val="HeaderChar"/>
    <w:uiPriority w:val="99"/>
    <w:unhideWhenUsed/>
    <w:rsid w:val="00ED5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20"/>
  </w:style>
  <w:style w:type="paragraph" w:styleId="Footer">
    <w:name w:val="footer"/>
    <w:basedOn w:val="Normal"/>
    <w:link w:val="FooterChar"/>
    <w:uiPriority w:val="99"/>
    <w:unhideWhenUsed/>
    <w:rsid w:val="00ED5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20"/>
  </w:style>
  <w:style w:type="paragraph" w:customStyle="1" w:styleId="Pagedecouverture">
    <w:name w:val="Page de couverture"/>
    <w:basedOn w:val="Normal"/>
    <w:next w:val="Normal"/>
    <w:rsid w:val="00ED5720"/>
    <w:pPr>
      <w:spacing w:after="0" w:line="240" w:lineRule="auto"/>
      <w:jc w:val="both"/>
    </w:pPr>
    <w:rPr>
      <w:rFonts w:cs="Times New Roman"/>
      <w:kern w:val="0"/>
      <w14:ligatures w14:val="none"/>
    </w:rPr>
  </w:style>
  <w:style w:type="paragraph" w:customStyle="1" w:styleId="FooterCoverPage">
    <w:name w:val="Footer Cover Page"/>
    <w:basedOn w:val="Normal"/>
    <w:link w:val="FooterCoverPageChar"/>
    <w:rsid w:val="00ED5720"/>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sid w:val="00ED5720"/>
  </w:style>
  <w:style w:type="paragraph" w:customStyle="1" w:styleId="FooterSensitivity">
    <w:name w:val="Footer Sensitivity"/>
    <w:basedOn w:val="Normal"/>
    <w:link w:val="FooterSensitivityChar"/>
    <w:rsid w:val="00ED572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ED5720"/>
    <w:rPr>
      <w:b/>
      <w:sz w:val="32"/>
    </w:rPr>
  </w:style>
  <w:style w:type="paragraph" w:customStyle="1" w:styleId="HeaderCoverPage">
    <w:name w:val="Header Cover Page"/>
    <w:basedOn w:val="Normal"/>
    <w:link w:val="HeaderCoverPageChar"/>
    <w:rsid w:val="00ED5720"/>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ED5720"/>
  </w:style>
  <w:style w:type="paragraph" w:customStyle="1" w:styleId="HeaderSensitivity">
    <w:name w:val="Header Sensitivity"/>
    <w:basedOn w:val="Normal"/>
    <w:link w:val="HeaderSensitivityChar"/>
    <w:rsid w:val="00ED5720"/>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ED5720"/>
    <w:rPr>
      <w:b/>
      <w:sz w:val="32"/>
    </w:rPr>
  </w:style>
  <w:style w:type="paragraph" w:customStyle="1" w:styleId="HeaderSensitivityRight">
    <w:name w:val="Header Sensitivity Right"/>
    <w:basedOn w:val="Normal"/>
    <w:link w:val="HeaderSensitivityRightChar"/>
    <w:rsid w:val="00ED5720"/>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ED5720"/>
    <w:rPr>
      <w:sz w:val="28"/>
    </w:rPr>
  </w:style>
  <w:style w:type="paragraph" w:styleId="ListParagraph">
    <w:name w:val="List Paragraph"/>
    <w:aliases w:val="List Paragraph1,Recommendation,List Paragraph11,L,CV text,Table text,List Paragraph2,F5 List Paragraph,Dot pt,List Paragraph111,Medium Grid 1 - Accent 21,Numbered Paragraph,Main numbered paragraph,Numbered List Paragraph,Bullets,Bullet 1"/>
    <w:basedOn w:val="Normal"/>
    <w:link w:val="ListParagraphChar"/>
    <w:uiPriority w:val="34"/>
    <w:qFormat/>
    <w:rsid w:val="0060535C"/>
    <w:pPr>
      <w:ind w:left="720"/>
      <w:contextualSpacing/>
    </w:pPr>
  </w:style>
  <w:style w:type="paragraph" w:styleId="Revision">
    <w:name w:val="Revision"/>
    <w:hidden/>
    <w:uiPriority w:val="99"/>
    <w:semiHidden/>
    <w:rsid w:val="000104F7"/>
    <w:pPr>
      <w:spacing w:after="0" w:line="240" w:lineRule="auto"/>
    </w:pPr>
  </w:style>
  <w:style w:type="character" w:styleId="CommentReference">
    <w:name w:val="annotation reference"/>
    <w:basedOn w:val="DefaultParagraphFont"/>
    <w:uiPriority w:val="99"/>
    <w:semiHidden/>
    <w:unhideWhenUsed/>
    <w:rsid w:val="007868BF"/>
    <w:rPr>
      <w:sz w:val="16"/>
      <w:szCs w:val="16"/>
    </w:rPr>
  </w:style>
  <w:style w:type="paragraph" w:styleId="CommentText">
    <w:name w:val="annotation text"/>
    <w:basedOn w:val="Normal"/>
    <w:link w:val="CommentTextChar"/>
    <w:uiPriority w:val="99"/>
    <w:unhideWhenUsed/>
    <w:rsid w:val="007868BF"/>
    <w:pPr>
      <w:spacing w:line="240" w:lineRule="auto"/>
    </w:pPr>
    <w:rPr>
      <w:sz w:val="20"/>
      <w:szCs w:val="20"/>
    </w:rPr>
  </w:style>
  <w:style w:type="character" w:customStyle="1" w:styleId="CommentTextChar">
    <w:name w:val="Comment Text Char"/>
    <w:basedOn w:val="DefaultParagraphFont"/>
    <w:link w:val="CommentText"/>
    <w:uiPriority w:val="99"/>
    <w:rsid w:val="007868BF"/>
    <w:rPr>
      <w:sz w:val="20"/>
      <w:szCs w:val="20"/>
    </w:rPr>
  </w:style>
  <w:style w:type="paragraph" w:styleId="CommentSubject">
    <w:name w:val="annotation subject"/>
    <w:basedOn w:val="CommentText"/>
    <w:next w:val="CommentText"/>
    <w:link w:val="CommentSubjectChar"/>
    <w:uiPriority w:val="99"/>
    <w:semiHidden/>
    <w:unhideWhenUsed/>
    <w:rsid w:val="007868BF"/>
    <w:rPr>
      <w:b/>
      <w:bCs/>
    </w:rPr>
  </w:style>
  <w:style w:type="character" w:customStyle="1" w:styleId="CommentSubjectChar">
    <w:name w:val="Comment Subject Char"/>
    <w:basedOn w:val="CommentTextChar"/>
    <w:link w:val="CommentSubject"/>
    <w:uiPriority w:val="99"/>
    <w:semiHidden/>
    <w:rsid w:val="007868BF"/>
    <w:rPr>
      <w:b/>
      <w:bCs/>
      <w:sz w:val="20"/>
      <w:szCs w:val="20"/>
    </w:rPr>
  </w:style>
  <w:style w:type="paragraph" w:customStyle="1" w:styleId="Text2">
    <w:name w:val="Text 2"/>
    <w:basedOn w:val="Normal"/>
    <w:uiPriority w:val="1"/>
    <w:qFormat/>
    <w:rsid w:val="006C1A8C"/>
    <w:pPr>
      <w:spacing w:before="120" w:after="120" w:line="240" w:lineRule="auto"/>
      <w:ind w:left="1417"/>
      <w:jc w:val="both"/>
    </w:pPr>
    <w:rPr>
      <w:rFonts w:cs="Times New Roman"/>
      <w:kern w:val="0"/>
      <w:lang w:val="en-GB"/>
      <w14:ligatures w14:val="none"/>
    </w:rPr>
  </w:style>
  <w:style w:type="paragraph" w:customStyle="1" w:styleId="Point1">
    <w:name w:val="Point 1"/>
    <w:basedOn w:val="Normal"/>
    <w:rsid w:val="006C1A8C"/>
    <w:pPr>
      <w:spacing w:before="120" w:after="120" w:line="240" w:lineRule="auto"/>
      <w:ind w:left="1417" w:hanging="567"/>
      <w:jc w:val="both"/>
    </w:pPr>
    <w:rPr>
      <w:rFonts w:cs="Times New Roman"/>
      <w:kern w:val="0"/>
      <w:lang w:val="en-GB"/>
      <w14:ligatures w14:val="none"/>
    </w:rPr>
  </w:style>
  <w:style w:type="character" w:styleId="Hyperlink">
    <w:name w:val="Hyperlink"/>
    <w:basedOn w:val="DefaultParagraphFont"/>
    <w:uiPriority w:val="99"/>
    <w:unhideWhenUsed/>
    <w:rsid w:val="00896647"/>
    <w:rPr>
      <w:color w:val="0563C1" w:themeColor="hyperlink"/>
      <w:u w:val="single"/>
    </w:rPr>
  </w:style>
  <w:style w:type="paragraph" w:styleId="FootnoteText">
    <w:name w:val="footnote text"/>
    <w:basedOn w:val="Normal"/>
    <w:link w:val="FootnoteTextChar"/>
    <w:uiPriority w:val="99"/>
    <w:unhideWhenUsed/>
    <w:rsid w:val="0032040D"/>
    <w:pPr>
      <w:spacing w:after="0" w:line="240" w:lineRule="auto"/>
    </w:pPr>
    <w:rPr>
      <w:sz w:val="20"/>
      <w:szCs w:val="20"/>
    </w:rPr>
  </w:style>
  <w:style w:type="character" w:customStyle="1" w:styleId="FootnoteTextChar">
    <w:name w:val="Footnote Text Char"/>
    <w:basedOn w:val="DefaultParagraphFont"/>
    <w:link w:val="FootnoteText"/>
    <w:uiPriority w:val="99"/>
    <w:rsid w:val="0032040D"/>
    <w:rPr>
      <w:sz w:val="20"/>
      <w:szCs w:val="20"/>
    </w:rPr>
  </w:style>
  <w:style w:type="character" w:styleId="FootnoteReference">
    <w:name w:val="footnote reference"/>
    <w:basedOn w:val="DefaultParagraphFont"/>
    <w:uiPriority w:val="99"/>
    <w:semiHidden/>
    <w:unhideWhenUsed/>
    <w:rsid w:val="0032040D"/>
    <w:rPr>
      <w:vertAlign w:val="superscript"/>
    </w:rPr>
  </w:style>
  <w:style w:type="character" w:customStyle="1" w:styleId="Mention1">
    <w:name w:val="Mention1"/>
    <w:basedOn w:val="DefaultParagraphFont"/>
    <w:uiPriority w:val="99"/>
    <w:unhideWhenUsed/>
    <w:rsid w:val="001C387F"/>
    <w:rPr>
      <w:color w:val="2B579A"/>
      <w:shd w:val="clear" w:color="auto" w:fill="E1DFDD"/>
    </w:rPr>
  </w:style>
  <w:style w:type="character" w:customStyle="1" w:styleId="Heading1Char">
    <w:name w:val="Heading 1 Char"/>
    <w:basedOn w:val="DefaultParagraphFont"/>
    <w:link w:val="Heading1"/>
    <w:uiPriority w:val="9"/>
    <w:rsid w:val="00583643"/>
    <w:rPr>
      <w:rFonts w:ascii="Times New Roman" w:eastAsiaTheme="majorEastAsia" w:hAnsi="Times New Roman" w:cstheme="majorBidi"/>
      <w:b/>
      <w:sz w:val="24"/>
      <w:szCs w:val="32"/>
    </w:rPr>
  </w:style>
  <w:style w:type="paragraph" w:customStyle="1" w:styleId="Style1">
    <w:name w:val="Style1"/>
    <w:basedOn w:val="Heading1"/>
    <w:link w:val="Style1Char"/>
    <w:qFormat/>
    <w:rsid w:val="00E92F20"/>
    <w:pPr>
      <w:numPr>
        <w:numId w:val="3"/>
      </w:numPr>
      <w:spacing w:before="120" w:after="120"/>
      <w:ind w:left="714" w:hanging="357"/>
    </w:pPr>
    <w:rPr>
      <w:b w:val="0"/>
      <w:color w:val="000000" w:themeColor="text1"/>
    </w:rPr>
  </w:style>
  <w:style w:type="character" w:customStyle="1" w:styleId="Style1Char">
    <w:name w:val="Style1 Char"/>
    <w:basedOn w:val="Heading1Char"/>
    <w:link w:val="Style1"/>
    <w:rsid w:val="00E92F20"/>
    <w:rPr>
      <w:rFonts w:ascii="Times New Roman" w:eastAsiaTheme="majorEastAsia" w:hAnsi="Times New Roman" w:cstheme="majorBidi"/>
      <w:b w:val="0"/>
      <w:color w:val="000000" w:themeColor="text1"/>
      <w:sz w:val="24"/>
      <w:szCs w:val="32"/>
    </w:rPr>
  </w:style>
  <w:style w:type="character" w:customStyle="1" w:styleId="Heading2Char">
    <w:name w:val="Heading 2 Char"/>
    <w:basedOn w:val="DefaultParagraphFont"/>
    <w:link w:val="Heading2"/>
    <w:uiPriority w:val="9"/>
    <w:rsid w:val="00BA4E5B"/>
    <w:rPr>
      <w:rFonts w:ascii="Times New Roman" w:eastAsiaTheme="majorEastAsia" w:hAnsi="Times New Roman" w:cstheme="majorBidi"/>
      <w:b/>
      <w:sz w:val="24"/>
      <w:szCs w:val="26"/>
    </w:rPr>
  </w:style>
  <w:style w:type="paragraph" w:customStyle="1" w:styleId="Style2">
    <w:name w:val="Style2"/>
    <w:basedOn w:val="Heading4"/>
    <w:link w:val="Style2Char"/>
    <w:qFormat/>
    <w:rsid w:val="00BA4E5B"/>
    <w:pPr>
      <w:spacing w:after="240"/>
    </w:pPr>
    <w:rPr>
      <w:rFonts w:ascii="Times New Roman" w:eastAsia="Times New Roman" w:hAnsi="Times New Roman"/>
      <w:noProof/>
      <w:color w:val="000000" w:themeColor="text1"/>
    </w:rPr>
  </w:style>
  <w:style w:type="character" w:customStyle="1" w:styleId="Style2Char">
    <w:name w:val="Style2 Char"/>
    <w:basedOn w:val="Heading2Char"/>
    <w:link w:val="Style2"/>
    <w:rsid w:val="00BA4E5B"/>
    <w:rPr>
      <w:rFonts w:ascii="Times New Roman" w:eastAsia="Times New Roman" w:hAnsi="Times New Roman" w:cs="Arial"/>
      <w:b/>
      <w:bCs/>
      <w:noProof/>
      <w:color w:val="000000" w:themeColor="text1"/>
      <w:kern w:val="0"/>
      <w:sz w:val="24"/>
      <w:szCs w:val="24"/>
      <w14:ligatures w14:val="none"/>
    </w:rPr>
  </w:style>
  <w:style w:type="character" w:customStyle="1" w:styleId="Heading3Char">
    <w:name w:val="Heading 3 Char"/>
    <w:basedOn w:val="DefaultParagraphFont"/>
    <w:link w:val="Heading3"/>
    <w:uiPriority w:val="9"/>
    <w:rsid w:val="007B4A95"/>
    <w:rPr>
      <w:rFonts w:ascii="Times New Roman" w:eastAsiaTheme="majorEastAsia" w:hAnsi="Times New Roman" w:cstheme="majorBidi"/>
      <w:b/>
      <w:bCs/>
      <w:i/>
      <w:sz w:val="24"/>
      <w:szCs w:val="32"/>
      <w:lang w:val="en-GB"/>
    </w:rPr>
  </w:style>
  <w:style w:type="paragraph" w:customStyle="1" w:styleId="Style3">
    <w:name w:val="Style3"/>
    <w:basedOn w:val="Heading3"/>
    <w:link w:val="Style3Char"/>
    <w:rsid w:val="00DF340F"/>
    <w:rPr>
      <w:rFonts w:eastAsia="Times New Roman"/>
      <w:noProof/>
      <w:color w:val="000000" w:themeColor="text1"/>
    </w:rPr>
  </w:style>
  <w:style w:type="character" w:customStyle="1" w:styleId="Style3Char">
    <w:name w:val="Style3 Char"/>
    <w:basedOn w:val="Heading3Char"/>
    <w:link w:val="Style3"/>
    <w:rsid w:val="00DF340F"/>
    <w:rPr>
      <w:rFonts w:ascii="Times New Roman" w:eastAsia="Times New Roman" w:hAnsi="Times New Roman" w:cstheme="majorBidi"/>
      <w:b/>
      <w:bCs/>
      <w:i/>
      <w:noProof/>
      <w:color w:val="000000" w:themeColor="text1"/>
      <w:sz w:val="24"/>
      <w:szCs w:val="24"/>
      <w:lang w:val="en-GB"/>
    </w:rPr>
  </w:style>
  <w:style w:type="paragraph" w:customStyle="1" w:styleId="Style4">
    <w:name w:val="Style4"/>
    <w:basedOn w:val="Style3"/>
    <w:link w:val="Style4Char"/>
    <w:rsid w:val="00DF340F"/>
    <w:rPr>
      <w:b w:val="0"/>
    </w:rPr>
  </w:style>
  <w:style w:type="character" w:customStyle="1" w:styleId="Style4Char">
    <w:name w:val="Style4 Char"/>
    <w:basedOn w:val="Style3Char"/>
    <w:link w:val="Style4"/>
    <w:rsid w:val="00DF340F"/>
    <w:rPr>
      <w:rFonts w:ascii="Times New Roman" w:eastAsia="Times New Roman" w:hAnsi="Times New Roman" w:cstheme="majorBidi"/>
      <w:b w:val="0"/>
      <w:bCs/>
      <w:i/>
      <w:noProof/>
      <w:color w:val="000000" w:themeColor="text1"/>
      <w:sz w:val="24"/>
      <w:szCs w:val="24"/>
      <w:lang w:val="en-GB"/>
    </w:rPr>
  </w:style>
  <w:style w:type="paragraph" w:customStyle="1" w:styleId="Style5">
    <w:name w:val="Style5"/>
    <w:basedOn w:val="Style4"/>
    <w:link w:val="Style5Char"/>
    <w:qFormat/>
    <w:rsid w:val="00DF340F"/>
  </w:style>
  <w:style w:type="character" w:customStyle="1" w:styleId="Style5Char">
    <w:name w:val="Style5 Char"/>
    <w:basedOn w:val="Style4Char"/>
    <w:link w:val="Style5"/>
    <w:rsid w:val="00DF340F"/>
    <w:rPr>
      <w:rFonts w:ascii="Times New Roman" w:eastAsia="Times New Roman" w:hAnsi="Times New Roman" w:cstheme="majorBidi"/>
      <w:b w:val="0"/>
      <w:bCs/>
      <w:i/>
      <w:noProof/>
      <w:color w:val="000000" w:themeColor="text1"/>
      <w:sz w:val="24"/>
      <w:szCs w:val="24"/>
      <w:lang w:val="en-GB"/>
    </w:rPr>
  </w:style>
  <w:style w:type="paragraph" w:customStyle="1" w:styleId="Style6">
    <w:name w:val="Style6"/>
    <w:basedOn w:val="Style2"/>
    <w:link w:val="Style6Char"/>
    <w:qFormat/>
    <w:rsid w:val="00DF340F"/>
    <w:pPr>
      <w:numPr>
        <w:ilvl w:val="1"/>
        <w:numId w:val="3"/>
      </w:numPr>
    </w:pPr>
    <w:rPr>
      <w:b w:val="0"/>
    </w:rPr>
  </w:style>
  <w:style w:type="character" w:customStyle="1" w:styleId="Style6Char">
    <w:name w:val="Style6 Char"/>
    <w:basedOn w:val="Style2Char"/>
    <w:link w:val="Style6"/>
    <w:rsid w:val="00DF340F"/>
    <w:rPr>
      <w:rFonts w:ascii="Times New Roman" w:eastAsia="Times New Roman" w:hAnsi="Times New Roman" w:cstheme="majorBidi"/>
      <w:b w:val="0"/>
      <w:bCs/>
      <w:noProof/>
      <w:color w:val="000000" w:themeColor="text1"/>
      <w:kern w:val="0"/>
      <w:sz w:val="24"/>
      <w:szCs w:val="26"/>
      <w14:ligatures w14:val="none"/>
    </w:rPr>
  </w:style>
  <w:style w:type="paragraph" w:styleId="TOCHeading">
    <w:name w:val="TOC Heading"/>
    <w:basedOn w:val="Heading1"/>
    <w:next w:val="Normal"/>
    <w:uiPriority w:val="39"/>
    <w:unhideWhenUsed/>
    <w:qFormat/>
    <w:rsid w:val="00F95AE9"/>
    <w:pPr>
      <w:outlineLvl w:val="9"/>
    </w:pPr>
    <w:rPr>
      <w:kern w:val="0"/>
      <w:lang w:val="en-US"/>
      <w14:ligatures w14:val="none"/>
    </w:rPr>
  </w:style>
  <w:style w:type="paragraph" w:styleId="TOC1">
    <w:name w:val="toc 1"/>
    <w:basedOn w:val="Normal"/>
    <w:next w:val="Normal"/>
    <w:autoRedefine/>
    <w:uiPriority w:val="39"/>
    <w:unhideWhenUsed/>
    <w:rsid w:val="006E2854"/>
    <w:pPr>
      <w:tabs>
        <w:tab w:val="left" w:pos="270"/>
        <w:tab w:val="right" w:leader="dot" w:pos="9016"/>
      </w:tabs>
      <w:spacing w:after="100"/>
      <w:ind w:left="450" w:hanging="450"/>
      <w:jc w:val="both"/>
    </w:pPr>
    <w:rPr>
      <w:b/>
      <w:bCs/>
      <w:noProof/>
    </w:rPr>
  </w:style>
  <w:style w:type="paragraph" w:styleId="TOC2">
    <w:name w:val="toc 2"/>
    <w:basedOn w:val="Normal"/>
    <w:next w:val="Normal"/>
    <w:autoRedefine/>
    <w:uiPriority w:val="39"/>
    <w:unhideWhenUsed/>
    <w:rsid w:val="001E3238"/>
    <w:pPr>
      <w:tabs>
        <w:tab w:val="right" w:leader="dot" w:pos="9016"/>
      </w:tabs>
      <w:spacing w:after="100"/>
      <w:ind w:left="900" w:hanging="460"/>
    </w:pPr>
    <w:rPr>
      <w:rFonts w:cs="Times New Roman"/>
      <w:noProof/>
      <w:szCs w:val="24"/>
      <w:lang w:val="en-GB"/>
    </w:rPr>
  </w:style>
  <w:style w:type="paragraph" w:styleId="TOC3">
    <w:name w:val="toc 3"/>
    <w:basedOn w:val="Normal"/>
    <w:next w:val="Normal"/>
    <w:autoRedefine/>
    <w:uiPriority w:val="39"/>
    <w:unhideWhenUsed/>
    <w:rsid w:val="000E3B03"/>
    <w:pPr>
      <w:tabs>
        <w:tab w:val="right" w:leader="dot" w:pos="9016"/>
      </w:tabs>
      <w:spacing w:after="80" w:line="240" w:lineRule="auto"/>
      <w:ind w:left="440"/>
    </w:pPr>
  </w:style>
  <w:style w:type="character" w:customStyle="1" w:styleId="UnresolvedMention1">
    <w:name w:val="Unresolved Mention1"/>
    <w:basedOn w:val="DefaultParagraphFont"/>
    <w:uiPriority w:val="99"/>
    <w:semiHidden/>
    <w:unhideWhenUsed/>
    <w:rsid w:val="00C11178"/>
    <w:rPr>
      <w:color w:val="605E5C"/>
      <w:shd w:val="clear" w:color="auto" w:fill="E1DFDD"/>
    </w:rPr>
  </w:style>
  <w:style w:type="paragraph" w:styleId="Caption">
    <w:name w:val="caption"/>
    <w:basedOn w:val="Normal"/>
    <w:next w:val="Normal"/>
    <w:unhideWhenUsed/>
    <w:qFormat/>
    <w:rsid w:val="00764C51"/>
    <w:pPr>
      <w:spacing w:after="200" w:line="240" w:lineRule="auto"/>
    </w:pPr>
    <w:rPr>
      <w:i/>
      <w:iCs/>
      <w:color w:val="44546A" w:themeColor="text2"/>
      <w:sz w:val="18"/>
      <w:szCs w:val="18"/>
    </w:rPr>
  </w:style>
  <w:style w:type="paragraph" w:styleId="NormalWeb">
    <w:name w:val="Normal (Web)"/>
    <w:basedOn w:val="Normal"/>
    <w:uiPriority w:val="99"/>
    <w:semiHidden/>
    <w:unhideWhenUsed/>
    <w:rsid w:val="008E1682"/>
    <w:pPr>
      <w:spacing w:before="100" w:beforeAutospacing="1" w:after="100" w:afterAutospacing="1" w:line="240" w:lineRule="auto"/>
    </w:pPr>
    <w:rPr>
      <w:rFonts w:eastAsia="Times New Roman" w:cs="Times New Roman"/>
      <w:kern w:val="0"/>
      <w:szCs w:val="24"/>
      <w:lang w:val="fr-BE" w:eastAsia="fr-BE"/>
      <w14:ligatures w14:val="none"/>
    </w:rPr>
  </w:style>
  <w:style w:type="paragraph" w:styleId="EndnoteText">
    <w:name w:val="endnote text"/>
    <w:basedOn w:val="Normal"/>
    <w:link w:val="EndnoteTextChar"/>
    <w:uiPriority w:val="99"/>
    <w:semiHidden/>
    <w:unhideWhenUsed/>
    <w:rsid w:val="008E1682"/>
    <w:pPr>
      <w:spacing w:after="0" w:line="240" w:lineRule="auto"/>
    </w:pPr>
    <w:rPr>
      <w:sz w:val="20"/>
      <w:szCs w:val="20"/>
      <w:lang w:val="fr-BE"/>
    </w:rPr>
  </w:style>
  <w:style w:type="character" w:customStyle="1" w:styleId="EndnoteTextChar">
    <w:name w:val="Endnote Text Char"/>
    <w:basedOn w:val="DefaultParagraphFont"/>
    <w:link w:val="EndnoteText"/>
    <w:uiPriority w:val="99"/>
    <w:semiHidden/>
    <w:rsid w:val="008E1682"/>
    <w:rPr>
      <w:sz w:val="20"/>
      <w:szCs w:val="20"/>
      <w:lang w:val="fr-BE"/>
    </w:rPr>
  </w:style>
  <w:style w:type="character" w:styleId="EndnoteReference">
    <w:name w:val="endnote reference"/>
    <w:basedOn w:val="DefaultParagraphFont"/>
    <w:uiPriority w:val="99"/>
    <w:semiHidden/>
    <w:unhideWhenUsed/>
    <w:rsid w:val="008E1682"/>
    <w:rPr>
      <w:vertAlign w:val="superscript"/>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DefaultParagraphFont"/>
    <w:link w:val="ListParagraph"/>
    <w:uiPriority w:val="34"/>
    <w:qFormat/>
    <w:locked/>
    <w:rsid w:val="005443C1"/>
  </w:style>
  <w:style w:type="character" w:styleId="FollowedHyperlink">
    <w:name w:val="FollowedHyperlink"/>
    <w:basedOn w:val="DefaultParagraphFont"/>
    <w:uiPriority w:val="99"/>
    <w:semiHidden/>
    <w:unhideWhenUsed/>
    <w:rsid w:val="009E51DA"/>
    <w:rPr>
      <w:color w:val="954F72" w:themeColor="followedHyperlink"/>
      <w:u w:val="single"/>
    </w:rPr>
  </w:style>
  <w:style w:type="table" w:styleId="TableGrid">
    <w:name w:val="Table Grid"/>
    <w:aliases w:val="Document Table,CV1,Table Format 1,HTG,TabelEcorys,Tabela Renova,Deloitte,Simple table,simple table"/>
    <w:basedOn w:val="TableNormal"/>
    <w:uiPriority w:val="39"/>
    <w:rsid w:val="00B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35680"/>
    <w:pPr>
      <w:spacing w:after="0" w:line="240" w:lineRule="auto"/>
    </w:pPr>
  </w:style>
  <w:style w:type="character" w:customStyle="1" w:styleId="normaltextrun">
    <w:name w:val="normaltextrun"/>
    <w:basedOn w:val="DefaultParagraphFont"/>
    <w:rsid w:val="004E0A8D"/>
  </w:style>
  <w:style w:type="character" w:customStyle="1" w:styleId="findhit">
    <w:name w:val="findhit"/>
    <w:basedOn w:val="DefaultParagraphFont"/>
    <w:rsid w:val="002125BE"/>
  </w:style>
  <w:style w:type="character" w:styleId="Strong">
    <w:name w:val="Strong"/>
    <w:basedOn w:val="DefaultParagraphFont"/>
    <w:uiPriority w:val="22"/>
    <w:qFormat/>
    <w:rsid w:val="00245281"/>
    <w:rPr>
      <w:b/>
      <w:bCs/>
    </w:rPr>
  </w:style>
  <w:style w:type="paragraph" w:customStyle="1" w:styleId="P68B1DB1-Normal3">
    <w:name w:val="P68B1DB1-Normal3"/>
    <w:basedOn w:val="Normal"/>
    <w:rsid w:val="00321241"/>
    <w:pPr>
      <w:spacing w:after="240"/>
      <w:jc w:val="both"/>
    </w:pPr>
    <w:rPr>
      <w:rFonts w:eastAsia="Times New Roman"/>
      <w:i/>
      <w:iCs/>
      <w:szCs w:val="24"/>
      <w:lang w:val="en" w:eastAsia="en-IE"/>
    </w:rPr>
  </w:style>
  <w:style w:type="character" w:customStyle="1" w:styleId="eop">
    <w:name w:val="eop"/>
    <w:basedOn w:val="DefaultParagraphFont"/>
    <w:rsid w:val="00F77065"/>
  </w:style>
  <w:style w:type="paragraph" w:customStyle="1" w:styleId="Default">
    <w:name w:val="Default"/>
    <w:rsid w:val="00E90DEC"/>
    <w:pPr>
      <w:autoSpaceDE w:val="0"/>
      <w:autoSpaceDN w:val="0"/>
      <w:adjustRightInd w:val="0"/>
      <w:spacing w:after="0" w:line="240" w:lineRule="auto"/>
    </w:pPr>
    <w:rPr>
      <w:rFonts w:cs="Times New Roman"/>
      <w:color w:val="000000"/>
      <w:kern w:val="0"/>
      <w:szCs w:val="24"/>
    </w:rPr>
  </w:style>
  <w:style w:type="character" w:customStyle="1" w:styleId="Heading4Char">
    <w:name w:val="Heading 4 Char"/>
    <w:basedOn w:val="DefaultParagraphFont"/>
    <w:link w:val="Heading4"/>
    <w:uiPriority w:val="9"/>
    <w:rsid w:val="00AD1F6C"/>
    <w:rPr>
      <w:rFonts w:ascii="Calibri" w:eastAsia="MS Gothic" w:hAnsi="Calibri" w:cs="Arial"/>
      <w:b/>
      <w:bCs/>
      <w:color w:val="0033CC"/>
      <w:kern w:val="0"/>
      <w:sz w:val="24"/>
      <w:szCs w:val="24"/>
      <w14:ligatures w14:val="none"/>
    </w:rPr>
  </w:style>
  <w:style w:type="character" w:customStyle="1" w:styleId="superscript">
    <w:name w:val="superscript"/>
    <w:basedOn w:val="DefaultParagraphFont"/>
    <w:rsid w:val="00366F32"/>
  </w:style>
  <w:style w:type="paragraph" w:customStyle="1" w:styleId="Considrant">
    <w:name w:val="Considérant"/>
    <w:basedOn w:val="Normal"/>
    <w:rsid w:val="001D390B"/>
    <w:pPr>
      <w:numPr>
        <w:numId w:val="6"/>
      </w:numPr>
      <w:spacing w:before="120" w:after="120" w:line="240" w:lineRule="auto"/>
      <w:jc w:val="both"/>
    </w:pPr>
    <w:rPr>
      <w:rFonts w:cs="Times New Roman"/>
      <w:kern w:val="0"/>
      <w:lang w:val="en-GB"/>
      <w14:ligatures w14:val="none"/>
    </w:rPr>
  </w:style>
  <w:style w:type="paragraph" w:customStyle="1" w:styleId="paragraph">
    <w:name w:val="paragraph"/>
    <w:basedOn w:val="Normal"/>
    <w:rsid w:val="001B2913"/>
    <w:pPr>
      <w:spacing w:before="100" w:beforeAutospacing="1" w:after="100" w:afterAutospacing="1" w:line="240" w:lineRule="auto"/>
    </w:pPr>
    <w:rPr>
      <w:rFonts w:eastAsia="Times New Roman" w:cs="Times New Roman"/>
      <w:kern w:val="0"/>
      <w:szCs w:val="24"/>
      <w:lang w:eastAsia="en-IE"/>
      <w14:ligatures w14:val="none"/>
    </w:rPr>
  </w:style>
  <w:style w:type="paragraph" w:customStyle="1" w:styleId="TableParagraph">
    <w:name w:val="Table Paragraph"/>
    <w:basedOn w:val="Normal"/>
    <w:uiPriority w:val="1"/>
    <w:qFormat/>
    <w:rsid w:val="000341FF"/>
    <w:pPr>
      <w:autoSpaceDE w:val="0"/>
      <w:autoSpaceDN w:val="0"/>
      <w:adjustRightInd w:val="0"/>
      <w:spacing w:after="0" w:line="240" w:lineRule="auto"/>
      <w:ind w:left="110"/>
    </w:pPr>
    <w:rPr>
      <w:rFonts w:cs="Times New Roman"/>
      <w:kern w:val="0"/>
      <w:szCs w:val="24"/>
    </w:rPr>
  </w:style>
  <w:style w:type="character" w:customStyle="1" w:styleId="cf01">
    <w:name w:val="cf01"/>
    <w:basedOn w:val="DefaultParagraphFont"/>
    <w:rsid w:val="007C3C31"/>
    <w:rPr>
      <w:rFonts w:ascii="Segoe UI" w:hAnsi="Segoe UI" w:cs="Segoe UI" w:hint="default"/>
      <w:sz w:val="18"/>
      <w:szCs w:val="18"/>
    </w:rPr>
  </w:style>
  <w:style w:type="character" w:styleId="Emphasis">
    <w:name w:val="Emphasis"/>
    <w:basedOn w:val="DefaultParagraphFont"/>
    <w:uiPriority w:val="20"/>
    <w:qFormat/>
    <w:rsid w:val="00282278"/>
    <w:rPr>
      <w:i/>
      <w:iCs/>
    </w:rPr>
  </w:style>
  <w:style w:type="paragraph" w:customStyle="1" w:styleId="AnnexTitle">
    <w:name w:val="Annex Title"/>
    <w:basedOn w:val="Heading1"/>
    <w:next w:val="Normal"/>
    <w:link w:val="AnnexTitleChar"/>
    <w:autoRedefine/>
    <w:qFormat/>
    <w:rsid w:val="00B6182B"/>
    <w:pPr>
      <w:keepLines w:val="0"/>
      <w:spacing w:after="480" w:line="240" w:lineRule="auto"/>
      <w:jc w:val="center"/>
    </w:pPr>
    <w:rPr>
      <w:rFonts w:eastAsia="Times New Roman" w:cs="Times New Roman"/>
      <w:smallCaps/>
      <w:kern w:val="0"/>
      <w:sz w:val="32"/>
      <w:szCs w:val="20"/>
      <w:lang w:val="en-GB"/>
      <w14:ligatures w14:val="none"/>
    </w:rPr>
  </w:style>
  <w:style w:type="character" w:customStyle="1" w:styleId="AnnexTitleChar">
    <w:name w:val="Annex Title Char"/>
    <w:basedOn w:val="DefaultParagraphFont"/>
    <w:link w:val="AnnexTitle"/>
    <w:rsid w:val="00B6182B"/>
    <w:rPr>
      <w:rFonts w:ascii="Times New Roman" w:eastAsia="Times New Roman" w:hAnsi="Times New Roman" w:cs="Times New Roman"/>
      <w:b/>
      <w:smallCaps/>
      <w:kern w:val="0"/>
      <w:sz w:val="32"/>
      <w:szCs w:val="20"/>
      <w:lang w:val="en-GB"/>
      <w14:ligatures w14:val="none"/>
    </w:rPr>
  </w:style>
  <w:style w:type="table" w:customStyle="1" w:styleId="CV11">
    <w:name w:val="CV11"/>
    <w:basedOn w:val="TableNormal"/>
    <w:next w:val="TableGrid"/>
    <w:uiPriority w:val="59"/>
    <w:rsid w:val="005479E2"/>
    <w:pPr>
      <w:spacing w:after="0" w:line="240" w:lineRule="auto"/>
    </w:pPr>
    <w:rPr>
      <w:rFonts w:eastAsia="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5479E2"/>
    <w:pPr>
      <w:spacing w:after="0" w:line="240" w:lineRule="auto"/>
    </w:pPr>
    <w:rPr>
      <w:rFonts w:eastAsia="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top-levelParagraph">
    <w:name w:val="List top-level Paragraph"/>
    <w:basedOn w:val="ListParagraph"/>
    <w:qFormat/>
    <w:rsid w:val="005479E2"/>
    <w:pPr>
      <w:numPr>
        <w:numId w:val="17"/>
      </w:numPr>
      <w:tabs>
        <w:tab w:val="num" w:pos="360"/>
      </w:tabs>
      <w:spacing w:before="60" w:after="0" w:line="240" w:lineRule="auto"/>
      <w:ind w:left="720" w:firstLine="0"/>
      <w:contextualSpacing w:val="0"/>
    </w:pPr>
    <w:rPr>
      <w:rFonts w:cs="Times New Roman"/>
      <w:spacing w:val="-1"/>
      <w:kern w:val="0"/>
      <w:szCs w:val="20"/>
      <w14:ligatures w14:val="none"/>
    </w:rPr>
  </w:style>
  <w:style w:type="numbering" w:customStyle="1" w:styleId="NoList1">
    <w:name w:val="No List1"/>
    <w:next w:val="NoList"/>
    <w:uiPriority w:val="99"/>
    <w:semiHidden/>
    <w:unhideWhenUsed/>
    <w:rsid w:val="00872C68"/>
  </w:style>
  <w:style w:type="table" w:customStyle="1" w:styleId="TableGrid1">
    <w:name w:val="Table Grid1"/>
    <w:basedOn w:val="TableNormal"/>
    <w:next w:val="TableGrid"/>
    <w:uiPriority w:val="59"/>
    <w:rsid w:val="00872C68"/>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872C68"/>
  </w:style>
  <w:style w:type="paragraph" w:customStyle="1" w:styleId="Text1">
    <w:name w:val="Text 1"/>
    <w:basedOn w:val="Normal"/>
    <w:uiPriority w:val="1"/>
    <w:qFormat/>
    <w:rsid w:val="00872C68"/>
    <w:pPr>
      <w:spacing w:after="240" w:line="240" w:lineRule="auto"/>
      <w:ind w:left="482"/>
      <w:jc w:val="both"/>
    </w:pPr>
    <w:rPr>
      <w:rFonts w:eastAsia="Times New Roman" w:cs="Times New Roman"/>
      <w:kern w:val="0"/>
      <w:szCs w:val="20"/>
      <w:lang w:val="en-GB" w:eastAsia="en-IE"/>
      <w14:ligatures w14:val="none"/>
    </w:rPr>
  </w:style>
  <w:style w:type="paragraph" w:customStyle="1" w:styleId="pf0">
    <w:name w:val="pf0"/>
    <w:basedOn w:val="Normal"/>
    <w:rsid w:val="00872C68"/>
    <w:pPr>
      <w:spacing w:before="100" w:beforeAutospacing="1" w:after="100" w:afterAutospacing="1" w:line="240" w:lineRule="auto"/>
    </w:pPr>
    <w:rPr>
      <w:rFonts w:eastAsia="Times New Roman" w:cs="Times New Roman"/>
      <w:kern w:val="0"/>
      <w:szCs w:val="24"/>
      <w:lang w:eastAsia="en-IE"/>
      <w14:ligatures w14:val="none"/>
    </w:rPr>
  </w:style>
  <w:style w:type="character" w:customStyle="1" w:styleId="Heading5Char">
    <w:name w:val="Heading 5 Char"/>
    <w:basedOn w:val="DefaultParagraphFont"/>
    <w:link w:val="Heading5"/>
    <w:uiPriority w:val="9"/>
    <w:rsid w:val="00583F60"/>
    <w:rPr>
      <w:rFonts w:cs="Times New Roman"/>
      <w:b/>
      <w:szCs w:val="24"/>
      <w:lang w:val="en-GB"/>
    </w:rPr>
  </w:style>
  <w:style w:type="character" w:customStyle="1" w:styleId="NoSpacingChar">
    <w:name w:val="No Spacing Char"/>
    <w:basedOn w:val="DefaultParagraphFont"/>
    <w:link w:val="NoSpacing"/>
    <w:uiPriority w:val="1"/>
    <w:rsid w:val="0070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9920">
      <w:bodyDiv w:val="1"/>
      <w:marLeft w:val="0"/>
      <w:marRight w:val="0"/>
      <w:marTop w:val="0"/>
      <w:marBottom w:val="0"/>
      <w:divBdr>
        <w:top w:val="none" w:sz="0" w:space="0" w:color="auto"/>
        <w:left w:val="none" w:sz="0" w:space="0" w:color="auto"/>
        <w:bottom w:val="none" w:sz="0" w:space="0" w:color="auto"/>
        <w:right w:val="none" w:sz="0" w:space="0" w:color="auto"/>
      </w:divBdr>
    </w:div>
    <w:div w:id="219021686">
      <w:bodyDiv w:val="1"/>
      <w:marLeft w:val="0"/>
      <w:marRight w:val="0"/>
      <w:marTop w:val="0"/>
      <w:marBottom w:val="0"/>
      <w:divBdr>
        <w:top w:val="none" w:sz="0" w:space="0" w:color="auto"/>
        <w:left w:val="none" w:sz="0" w:space="0" w:color="auto"/>
        <w:bottom w:val="none" w:sz="0" w:space="0" w:color="auto"/>
        <w:right w:val="none" w:sz="0" w:space="0" w:color="auto"/>
      </w:divBdr>
    </w:div>
    <w:div w:id="267272106">
      <w:bodyDiv w:val="1"/>
      <w:marLeft w:val="0"/>
      <w:marRight w:val="0"/>
      <w:marTop w:val="0"/>
      <w:marBottom w:val="0"/>
      <w:divBdr>
        <w:top w:val="none" w:sz="0" w:space="0" w:color="auto"/>
        <w:left w:val="none" w:sz="0" w:space="0" w:color="auto"/>
        <w:bottom w:val="none" w:sz="0" w:space="0" w:color="auto"/>
        <w:right w:val="none" w:sz="0" w:space="0" w:color="auto"/>
      </w:divBdr>
      <w:divsChild>
        <w:div w:id="95948521">
          <w:marLeft w:val="0"/>
          <w:marRight w:val="0"/>
          <w:marTop w:val="0"/>
          <w:marBottom w:val="0"/>
          <w:divBdr>
            <w:top w:val="none" w:sz="0" w:space="0" w:color="auto"/>
            <w:left w:val="none" w:sz="0" w:space="0" w:color="auto"/>
            <w:bottom w:val="none" w:sz="0" w:space="0" w:color="auto"/>
            <w:right w:val="none" w:sz="0" w:space="0" w:color="auto"/>
          </w:divBdr>
        </w:div>
      </w:divsChild>
    </w:div>
    <w:div w:id="324819818">
      <w:bodyDiv w:val="1"/>
      <w:marLeft w:val="0"/>
      <w:marRight w:val="0"/>
      <w:marTop w:val="0"/>
      <w:marBottom w:val="0"/>
      <w:divBdr>
        <w:top w:val="none" w:sz="0" w:space="0" w:color="auto"/>
        <w:left w:val="none" w:sz="0" w:space="0" w:color="auto"/>
        <w:bottom w:val="none" w:sz="0" w:space="0" w:color="auto"/>
        <w:right w:val="none" w:sz="0" w:space="0" w:color="auto"/>
      </w:divBdr>
    </w:div>
    <w:div w:id="357898830">
      <w:bodyDiv w:val="1"/>
      <w:marLeft w:val="0"/>
      <w:marRight w:val="0"/>
      <w:marTop w:val="0"/>
      <w:marBottom w:val="0"/>
      <w:divBdr>
        <w:top w:val="none" w:sz="0" w:space="0" w:color="auto"/>
        <w:left w:val="none" w:sz="0" w:space="0" w:color="auto"/>
        <w:bottom w:val="none" w:sz="0" w:space="0" w:color="auto"/>
        <w:right w:val="none" w:sz="0" w:space="0" w:color="auto"/>
      </w:divBdr>
    </w:div>
    <w:div w:id="489100381">
      <w:bodyDiv w:val="1"/>
      <w:marLeft w:val="0"/>
      <w:marRight w:val="0"/>
      <w:marTop w:val="0"/>
      <w:marBottom w:val="0"/>
      <w:divBdr>
        <w:top w:val="none" w:sz="0" w:space="0" w:color="auto"/>
        <w:left w:val="none" w:sz="0" w:space="0" w:color="auto"/>
        <w:bottom w:val="none" w:sz="0" w:space="0" w:color="auto"/>
        <w:right w:val="none" w:sz="0" w:space="0" w:color="auto"/>
      </w:divBdr>
      <w:divsChild>
        <w:div w:id="1362851932">
          <w:marLeft w:val="0"/>
          <w:marRight w:val="0"/>
          <w:marTop w:val="0"/>
          <w:marBottom w:val="0"/>
          <w:divBdr>
            <w:top w:val="none" w:sz="0" w:space="0" w:color="auto"/>
            <w:left w:val="none" w:sz="0" w:space="0" w:color="auto"/>
            <w:bottom w:val="none" w:sz="0" w:space="0" w:color="auto"/>
            <w:right w:val="none" w:sz="0" w:space="0" w:color="auto"/>
          </w:divBdr>
        </w:div>
      </w:divsChild>
    </w:div>
    <w:div w:id="576404776">
      <w:bodyDiv w:val="1"/>
      <w:marLeft w:val="0"/>
      <w:marRight w:val="0"/>
      <w:marTop w:val="0"/>
      <w:marBottom w:val="0"/>
      <w:divBdr>
        <w:top w:val="none" w:sz="0" w:space="0" w:color="auto"/>
        <w:left w:val="none" w:sz="0" w:space="0" w:color="auto"/>
        <w:bottom w:val="none" w:sz="0" w:space="0" w:color="auto"/>
        <w:right w:val="none" w:sz="0" w:space="0" w:color="auto"/>
      </w:divBdr>
    </w:div>
    <w:div w:id="655718440">
      <w:bodyDiv w:val="1"/>
      <w:marLeft w:val="0"/>
      <w:marRight w:val="0"/>
      <w:marTop w:val="0"/>
      <w:marBottom w:val="0"/>
      <w:divBdr>
        <w:top w:val="none" w:sz="0" w:space="0" w:color="auto"/>
        <w:left w:val="none" w:sz="0" w:space="0" w:color="auto"/>
        <w:bottom w:val="none" w:sz="0" w:space="0" w:color="auto"/>
        <w:right w:val="none" w:sz="0" w:space="0" w:color="auto"/>
      </w:divBdr>
    </w:div>
    <w:div w:id="740178696">
      <w:bodyDiv w:val="1"/>
      <w:marLeft w:val="0"/>
      <w:marRight w:val="0"/>
      <w:marTop w:val="0"/>
      <w:marBottom w:val="0"/>
      <w:divBdr>
        <w:top w:val="none" w:sz="0" w:space="0" w:color="auto"/>
        <w:left w:val="none" w:sz="0" w:space="0" w:color="auto"/>
        <w:bottom w:val="none" w:sz="0" w:space="0" w:color="auto"/>
        <w:right w:val="none" w:sz="0" w:space="0" w:color="auto"/>
      </w:divBdr>
    </w:div>
    <w:div w:id="946275111">
      <w:bodyDiv w:val="1"/>
      <w:marLeft w:val="0"/>
      <w:marRight w:val="0"/>
      <w:marTop w:val="0"/>
      <w:marBottom w:val="0"/>
      <w:divBdr>
        <w:top w:val="none" w:sz="0" w:space="0" w:color="auto"/>
        <w:left w:val="none" w:sz="0" w:space="0" w:color="auto"/>
        <w:bottom w:val="none" w:sz="0" w:space="0" w:color="auto"/>
        <w:right w:val="none" w:sz="0" w:space="0" w:color="auto"/>
      </w:divBdr>
    </w:div>
    <w:div w:id="1185174577">
      <w:bodyDiv w:val="1"/>
      <w:marLeft w:val="0"/>
      <w:marRight w:val="0"/>
      <w:marTop w:val="0"/>
      <w:marBottom w:val="0"/>
      <w:divBdr>
        <w:top w:val="none" w:sz="0" w:space="0" w:color="auto"/>
        <w:left w:val="none" w:sz="0" w:space="0" w:color="auto"/>
        <w:bottom w:val="none" w:sz="0" w:space="0" w:color="auto"/>
        <w:right w:val="none" w:sz="0" w:space="0" w:color="auto"/>
      </w:divBdr>
      <w:divsChild>
        <w:div w:id="28796749">
          <w:marLeft w:val="0"/>
          <w:marRight w:val="0"/>
          <w:marTop w:val="0"/>
          <w:marBottom w:val="0"/>
          <w:divBdr>
            <w:top w:val="none" w:sz="0" w:space="0" w:color="auto"/>
            <w:left w:val="none" w:sz="0" w:space="0" w:color="auto"/>
            <w:bottom w:val="none" w:sz="0" w:space="0" w:color="auto"/>
            <w:right w:val="none" w:sz="0" w:space="0" w:color="auto"/>
          </w:divBdr>
        </w:div>
        <w:div w:id="34669365">
          <w:marLeft w:val="0"/>
          <w:marRight w:val="0"/>
          <w:marTop w:val="0"/>
          <w:marBottom w:val="0"/>
          <w:divBdr>
            <w:top w:val="none" w:sz="0" w:space="0" w:color="auto"/>
            <w:left w:val="none" w:sz="0" w:space="0" w:color="auto"/>
            <w:bottom w:val="none" w:sz="0" w:space="0" w:color="auto"/>
            <w:right w:val="none" w:sz="0" w:space="0" w:color="auto"/>
          </w:divBdr>
        </w:div>
        <w:div w:id="209001255">
          <w:marLeft w:val="0"/>
          <w:marRight w:val="0"/>
          <w:marTop w:val="0"/>
          <w:marBottom w:val="0"/>
          <w:divBdr>
            <w:top w:val="none" w:sz="0" w:space="0" w:color="auto"/>
            <w:left w:val="none" w:sz="0" w:space="0" w:color="auto"/>
            <w:bottom w:val="none" w:sz="0" w:space="0" w:color="auto"/>
            <w:right w:val="none" w:sz="0" w:space="0" w:color="auto"/>
          </w:divBdr>
        </w:div>
        <w:div w:id="267396952">
          <w:marLeft w:val="0"/>
          <w:marRight w:val="0"/>
          <w:marTop w:val="0"/>
          <w:marBottom w:val="0"/>
          <w:divBdr>
            <w:top w:val="none" w:sz="0" w:space="0" w:color="auto"/>
            <w:left w:val="none" w:sz="0" w:space="0" w:color="auto"/>
            <w:bottom w:val="none" w:sz="0" w:space="0" w:color="auto"/>
            <w:right w:val="none" w:sz="0" w:space="0" w:color="auto"/>
          </w:divBdr>
        </w:div>
        <w:div w:id="270167329">
          <w:marLeft w:val="0"/>
          <w:marRight w:val="0"/>
          <w:marTop w:val="0"/>
          <w:marBottom w:val="0"/>
          <w:divBdr>
            <w:top w:val="none" w:sz="0" w:space="0" w:color="auto"/>
            <w:left w:val="none" w:sz="0" w:space="0" w:color="auto"/>
            <w:bottom w:val="none" w:sz="0" w:space="0" w:color="auto"/>
            <w:right w:val="none" w:sz="0" w:space="0" w:color="auto"/>
          </w:divBdr>
        </w:div>
        <w:div w:id="315769005">
          <w:marLeft w:val="0"/>
          <w:marRight w:val="0"/>
          <w:marTop w:val="0"/>
          <w:marBottom w:val="0"/>
          <w:divBdr>
            <w:top w:val="none" w:sz="0" w:space="0" w:color="auto"/>
            <w:left w:val="none" w:sz="0" w:space="0" w:color="auto"/>
            <w:bottom w:val="none" w:sz="0" w:space="0" w:color="auto"/>
            <w:right w:val="none" w:sz="0" w:space="0" w:color="auto"/>
          </w:divBdr>
        </w:div>
        <w:div w:id="320044114">
          <w:marLeft w:val="0"/>
          <w:marRight w:val="0"/>
          <w:marTop w:val="0"/>
          <w:marBottom w:val="0"/>
          <w:divBdr>
            <w:top w:val="none" w:sz="0" w:space="0" w:color="auto"/>
            <w:left w:val="none" w:sz="0" w:space="0" w:color="auto"/>
            <w:bottom w:val="none" w:sz="0" w:space="0" w:color="auto"/>
            <w:right w:val="none" w:sz="0" w:space="0" w:color="auto"/>
          </w:divBdr>
        </w:div>
        <w:div w:id="442892992">
          <w:marLeft w:val="0"/>
          <w:marRight w:val="0"/>
          <w:marTop w:val="0"/>
          <w:marBottom w:val="0"/>
          <w:divBdr>
            <w:top w:val="none" w:sz="0" w:space="0" w:color="auto"/>
            <w:left w:val="none" w:sz="0" w:space="0" w:color="auto"/>
            <w:bottom w:val="none" w:sz="0" w:space="0" w:color="auto"/>
            <w:right w:val="none" w:sz="0" w:space="0" w:color="auto"/>
          </w:divBdr>
        </w:div>
        <w:div w:id="526874865">
          <w:marLeft w:val="0"/>
          <w:marRight w:val="0"/>
          <w:marTop w:val="0"/>
          <w:marBottom w:val="0"/>
          <w:divBdr>
            <w:top w:val="none" w:sz="0" w:space="0" w:color="auto"/>
            <w:left w:val="none" w:sz="0" w:space="0" w:color="auto"/>
            <w:bottom w:val="none" w:sz="0" w:space="0" w:color="auto"/>
            <w:right w:val="none" w:sz="0" w:space="0" w:color="auto"/>
          </w:divBdr>
        </w:div>
        <w:div w:id="540094488">
          <w:marLeft w:val="0"/>
          <w:marRight w:val="0"/>
          <w:marTop w:val="0"/>
          <w:marBottom w:val="0"/>
          <w:divBdr>
            <w:top w:val="none" w:sz="0" w:space="0" w:color="auto"/>
            <w:left w:val="none" w:sz="0" w:space="0" w:color="auto"/>
            <w:bottom w:val="none" w:sz="0" w:space="0" w:color="auto"/>
            <w:right w:val="none" w:sz="0" w:space="0" w:color="auto"/>
          </w:divBdr>
        </w:div>
        <w:div w:id="627206106">
          <w:marLeft w:val="0"/>
          <w:marRight w:val="0"/>
          <w:marTop w:val="0"/>
          <w:marBottom w:val="0"/>
          <w:divBdr>
            <w:top w:val="none" w:sz="0" w:space="0" w:color="auto"/>
            <w:left w:val="none" w:sz="0" w:space="0" w:color="auto"/>
            <w:bottom w:val="none" w:sz="0" w:space="0" w:color="auto"/>
            <w:right w:val="none" w:sz="0" w:space="0" w:color="auto"/>
          </w:divBdr>
        </w:div>
        <w:div w:id="700861155">
          <w:marLeft w:val="0"/>
          <w:marRight w:val="0"/>
          <w:marTop w:val="0"/>
          <w:marBottom w:val="0"/>
          <w:divBdr>
            <w:top w:val="none" w:sz="0" w:space="0" w:color="auto"/>
            <w:left w:val="none" w:sz="0" w:space="0" w:color="auto"/>
            <w:bottom w:val="none" w:sz="0" w:space="0" w:color="auto"/>
            <w:right w:val="none" w:sz="0" w:space="0" w:color="auto"/>
          </w:divBdr>
        </w:div>
        <w:div w:id="851383351">
          <w:marLeft w:val="0"/>
          <w:marRight w:val="0"/>
          <w:marTop w:val="0"/>
          <w:marBottom w:val="0"/>
          <w:divBdr>
            <w:top w:val="none" w:sz="0" w:space="0" w:color="auto"/>
            <w:left w:val="none" w:sz="0" w:space="0" w:color="auto"/>
            <w:bottom w:val="none" w:sz="0" w:space="0" w:color="auto"/>
            <w:right w:val="none" w:sz="0" w:space="0" w:color="auto"/>
          </w:divBdr>
        </w:div>
        <w:div w:id="1157770305">
          <w:marLeft w:val="0"/>
          <w:marRight w:val="0"/>
          <w:marTop w:val="0"/>
          <w:marBottom w:val="0"/>
          <w:divBdr>
            <w:top w:val="none" w:sz="0" w:space="0" w:color="auto"/>
            <w:left w:val="none" w:sz="0" w:space="0" w:color="auto"/>
            <w:bottom w:val="none" w:sz="0" w:space="0" w:color="auto"/>
            <w:right w:val="none" w:sz="0" w:space="0" w:color="auto"/>
          </w:divBdr>
        </w:div>
        <w:div w:id="1213615880">
          <w:marLeft w:val="0"/>
          <w:marRight w:val="0"/>
          <w:marTop w:val="0"/>
          <w:marBottom w:val="0"/>
          <w:divBdr>
            <w:top w:val="none" w:sz="0" w:space="0" w:color="auto"/>
            <w:left w:val="none" w:sz="0" w:space="0" w:color="auto"/>
            <w:bottom w:val="none" w:sz="0" w:space="0" w:color="auto"/>
            <w:right w:val="none" w:sz="0" w:space="0" w:color="auto"/>
          </w:divBdr>
        </w:div>
        <w:div w:id="1221751798">
          <w:marLeft w:val="0"/>
          <w:marRight w:val="0"/>
          <w:marTop w:val="0"/>
          <w:marBottom w:val="0"/>
          <w:divBdr>
            <w:top w:val="none" w:sz="0" w:space="0" w:color="auto"/>
            <w:left w:val="none" w:sz="0" w:space="0" w:color="auto"/>
            <w:bottom w:val="none" w:sz="0" w:space="0" w:color="auto"/>
            <w:right w:val="none" w:sz="0" w:space="0" w:color="auto"/>
          </w:divBdr>
        </w:div>
        <w:div w:id="1231111814">
          <w:marLeft w:val="0"/>
          <w:marRight w:val="0"/>
          <w:marTop w:val="0"/>
          <w:marBottom w:val="0"/>
          <w:divBdr>
            <w:top w:val="none" w:sz="0" w:space="0" w:color="auto"/>
            <w:left w:val="none" w:sz="0" w:space="0" w:color="auto"/>
            <w:bottom w:val="none" w:sz="0" w:space="0" w:color="auto"/>
            <w:right w:val="none" w:sz="0" w:space="0" w:color="auto"/>
          </w:divBdr>
        </w:div>
        <w:div w:id="1337801512">
          <w:marLeft w:val="0"/>
          <w:marRight w:val="0"/>
          <w:marTop w:val="0"/>
          <w:marBottom w:val="0"/>
          <w:divBdr>
            <w:top w:val="none" w:sz="0" w:space="0" w:color="auto"/>
            <w:left w:val="none" w:sz="0" w:space="0" w:color="auto"/>
            <w:bottom w:val="none" w:sz="0" w:space="0" w:color="auto"/>
            <w:right w:val="none" w:sz="0" w:space="0" w:color="auto"/>
          </w:divBdr>
        </w:div>
        <w:div w:id="1340619866">
          <w:marLeft w:val="0"/>
          <w:marRight w:val="0"/>
          <w:marTop w:val="0"/>
          <w:marBottom w:val="0"/>
          <w:divBdr>
            <w:top w:val="none" w:sz="0" w:space="0" w:color="auto"/>
            <w:left w:val="none" w:sz="0" w:space="0" w:color="auto"/>
            <w:bottom w:val="none" w:sz="0" w:space="0" w:color="auto"/>
            <w:right w:val="none" w:sz="0" w:space="0" w:color="auto"/>
          </w:divBdr>
        </w:div>
        <w:div w:id="1450195889">
          <w:marLeft w:val="0"/>
          <w:marRight w:val="0"/>
          <w:marTop w:val="0"/>
          <w:marBottom w:val="0"/>
          <w:divBdr>
            <w:top w:val="none" w:sz="0" w:space="0" w:color="auto"/>
            <w:left w:val="none" w:sz="0" w:space="0" w:color="auto"/>
            <w:bottom w:val="none" w:sz="0" w:space="0" w:color="auto"/>
            <w:right w:val="none" w:sz="0" w:space="0" w:color="auto"/>
          </w:divBdr>
        </w:div>
        <w:div w:id="1459254523">
          <w:marLeft w:val="0"/>
          <w:marRight w:val="0"/>
          <w:marTop w:val="0"/>
          <w:marBottom w:val="0"/>
          <w:divBdr>
            <w:top w:val="none" w:sz="0" w:space="0" w:color="auto"/>
            <w:left w:val="none" w:sz="0" w:space="0" w:color="auto"/>
            <w:bottom w:val="none" w:sz="0" w:space="0" w:color="auto"/>
            <w:right w:val="none" w:sz="0" w:space="0" w:color="auto"/>
          </w:divBdr>
        </w:div>
        <w:div w:id="1488201532">
          <w:marLeft w:val="0"/>
          <w:marRight w:val="0"/>
          <w:marTop w:val="0"/>
          <w:marBottom w:val="0"/>
          <w:divBdr>
            <w:top w:val="none" w:sz="0" w:space="0" w:color="auto"/>
            <w:left w:val="none" w:sz="0" w:space="0" w:color="auto"/>
            <w:bottom w:val="none" w:sz="0" w:space="0" w:color="auto"/>
            <w:right w:val="none" w:sz="0" w:space="0" w:color="auto"/>
          </w:divBdr>
        </w:div>
        <w:div w:id="1548058358">
          <w:marLeft w:val="0"/>
          <w:marRight w:val="0"/>
          <w:marTop w:val="0"/>
          <w:marBottom w:val="0"/>
          <w:divBdr>
            <w:top w:val="none" w:sz="0" w:space="0" w:color="auto"/>
            <w:left w:val="none" w:sz="0" w:space="0" w:color="auto"/>
            <w:bottom w:val="none" w:sz="0" w:space="0" w:color="auto"/>
            <w:right w:val="none" w:sz="0" w:space="0" w:color="auto"/>
          </w:divBdr>
        </w:div>
        <w:div w:id="1620910448">
          <w:marLeft w:val="0"/>
          <w:marRight w:val="0"/>
          <w:marTop w:val="0"/>
          <w:marBottom w:val="0"/>
          <w:divBdr>
            <w:top w:val="none" w:sz="0" w:space="0" w:color="auto"/>
            <w:left w:val="none" w:sz="0" w:space="0" w:color="auto"/>
            <w:bottom w:val="none" w:sz="0" w:space="0" w:color="auto"/>
            <w:right w:val="none" w:sz="0" w:space="0" w:color="auto"/>
          </w:divBdr>
        </w:div>
        <w:div w:id="1637178927">
          <w:marLeft w:val="0"/>
          <w:marRight w:val="0"/>
          <w:marTop w:val="0"/>
          <w:marBottom w:val="0"/>
          <w:divBdr>
            <w:top w:val="none" w:sz="0" w:space="0" w:color="auto"/>
            <w:left w:val="none" w:sz="0" w:space="0" w:color="auto"/>
            <w:bottom w:val="none" w:sz="0" w:space="0" w:color="auto"/>
            <w:right w:val="none" w:sz="0" w:space="0" w:color="auto"/>
          </w:divBdr>
        </w:div>
        <w:div w:id="1660186769">
          <w:marLeft w:val="0"/>
          <w:marRight w:val="0"/>
          <w:marTop w:val="0"/>
          <w:marBottom w:val="0"/>
          <w:divBdr>
            <w:top w:val="none" w:sz="0" w:space="0" w:color="auto"/>
            <w:left w:val="none" w:sz="0" w:space="0" w:color="auto"/>
            <w:bottom w:val="none" w:sz="0" w:space="0" w:color="auto"/>
            <w:right w:val="none" w:sz="0" w:space="0" w:color="auto"/>
          </w:divBdr>
        </w:div>
        <w:div w:id="1718889939">
          <w:marLeft w:val="0"/>
          <w:marRight w:val="0"/>
          <w:marTop w:val="0"/>
          <w:marBottom w:val="0"/>
          <w:divBdr>
            <w:top w:val="none" w:sz="0" w:space="0" w:color="auto"/>
            <w:left w:val="none" w:sz="0" w:space="0" w:color="auto"/>
            <w:bottom w:val="none" w:sz="0" w:space="0" w:color="auto"/>
            <w:right w:val="none" w:sz="0" w:space="0" w:color="auto"/>
          </w:divBdr>
        </w:div>
        <w:div w:id="1952204734">
          <w:marLeft w:val="0"/>
          <w:marRight w:val="0"/>
          <w:marTop w:val="0"/>
          <w:marBottom w:val="0"/>
          <w:divBdr>
            <w:top w:val="none" w:sz="0" w:space="0" w:color="auto"/>
            <w:left w:val="none" w:sz="0" w:space="0" w:color="auto"/>
            <w:bottom w:val="none" w:sz="0" w:space="0" w:color="auto"/>
            <w:right w:val="none" w:sz="0" w:space="0" w:color="auto"/>
          </w:divBdr>
        </w:div>
        <w:div w:id="2028022008">
          <w:marLeft w:val="0"/>
          <w:marRight w:val="0"/>
          <w:marTop w:val="0"/>
          <w:marBottom w:val="0"/>
          <w:divBdr>
            <w:top w:val="none" w:sz="0" w:space="0" w:color="auto"/>
            <w:left w:val="none" w:sz="0" w:space="0" w:color="auto"/>
            <w:bottom w:val="none" w:sz="0" w:space="0" w:color="auto"/>
            <w:right w:val="none" w:sz="0" w:space="0" w:color="auto"/>
          </w:divBdr>
        </w:div>
        <w:div w:id="2103917531">
          <w:marLeft w:val="0"/>
          <w:marRight w:val="0"/>
          <w:marTop w:val="0"/>
          <w:marBottom w:val="0"/>
          <w:divBdr>
            <w:top w:val="none" w:sz="0" w:space="0" w:color="auto"/>
            <w:left w:val="none" w:sz="0" w:space="0" w:color="auto"/>
            <w:bottom w:val="none" w:sz="0" w:space="0" w:color="auto"/>
            <w:right w:val="none" w:sz="0" w:space="0" w:color="auto"/>
          </w:divBdr>
        </w:div>
        <w:div w:id="2105496874">
          <w:marLeft w:val="0"/>
          <w:marRight w:val="0"/>
          <w:marTop w:val="0"/>
          <w:marBottom w:val="0"/>
          <w:divBdr>
            <w:top w:val="none" w:sz="0" w:space="0" w:color="auto"/>
            <w:left w:val="none" w:sz="0" w:space="0" w:color="auto"/>
            <w:bottom w:val="none" w:sz="0" w:space="0" w:color="auto"/>
            <w:right w:val="none" w:sz="0" w:space="0" w:color="auto"/>
          </w:divBdr>
        </w:div>
        <w:div w:id="2114550899">
          <w:marLeft w:val="0"/>
          <w:marRight w:val="0"/>
          <w:marTop w:val="0"/>
          <w:marBottom w:val="0"/>
          <w:divBdr>
            <w:top w:val="none" w:sz="0" w:space="0" w:color="auto"/>
            <w:left w:val="none" w:sz="0" w:space="0" w:color="auto"/>
            <w:bottom w:val="none" w:sz="0" w:space="0" w:color="auto"/>
            <w:right w:val="none" w:sz="0" w:space="0" w:color="auto"/>
          </w:divBdr>
        </w:div>
        <w:div w:id="2116552188">
          <w:marLeft w:val="0"/>
          <w:marRight w:val="0"/>
          <w:marTop w:val="0"/>
          <w:marBottom w:val="0"/>
          <w:divBdr>
            <w:top w:val="none" w:sz="0" w:space="0" w:color="auto"/>
            <w:left w:val="none" w:sz="0" w:space="0" w:color="auto"/>
            <w:bottom w:val="none" w:sz="0" w:space="0" w:color="auto"/>
            <w:right w:val="none" w:sz="0" w:space="0" w:color="auto"/>
          </w:divBdr>
        </w:div>
        <w:div w:id="2129157583">
          <w:marLeft w:val="0"/>
          <w:marRight w:val="0"/>
          <w:marTop w:val="0"/>
          <w:marBottom w:val="0"/>
          <w:divBdr>
            <w:top w:val="none" w:sz="0" w:space="0" w:color="auto"/>
            <w:left w:val="none" w:sz="0" w:space="0" w:color="auto"/>
            <w:bottom w:val="none" w:sz="0" w:space="0" w:color="auto"/>
            <w:right w:val="none" w:sz="0" w:space="0" w:color="auto"/>
          </w:divBdr>
        </w:div>
      </w:divsChild>
    </w:div>
    <w:div w:id="1190072172">
      <w:bodyDiv w:val="1"/>
      <w:marLeft w:val="0"/>
      <w:marRight w:val="0"/>
      <w:marTop w:val="0"/>
      <w:marBottom w:val="0"/>
      <w:divBdr>
        <w:top w:val="none" w:sz="0" w:space="0" w:color="auto"/>
        <w:left w:val="none" w:sz="0" w:space="0" w:color="auto"/>
        <w:bottom w:val="none" w:sz="0" w:space="0" w:color="auto"/>
        <w:right w:val="none" w:sz="0" w:space="0" w:color="auto"/>
      </w:divBdr>
    </w:div>
    <w:div w:id="1290938980">
      <w:bodyDiv w:val="1"/>
      <w:marLeft w:val="0"/>
      <w:marRight w:val="0"/>
      <w:marTop w:val="0"/>
      <w:marBottom w:val="0"/>
      <w:divBdr>
        <w:top w:val="none" w:sz="0" w:space="0" w:color="auto"/>
        <w:left w:val="none" w:sz="0" w:space="0" w:color="auto"/>
        <w:bottom w:val="none" w:sz="0" w:space="0" w:color="auto"/>
        <w:right w:val="none" w:sz="0" w:space="0" w:color="auto"/>
      </w:divBdr>
    </w:div>
    <w:div w:id="1402674509">
      <w:bodyDiv w:val="1"/>
      <w:marLeft w:val="0"/>
      <w:marRight w:val="0"/>
      <w:marTop w:val="0"/>
      <w:marBottom w:val="0"/>
      <w:divBdr>
        <w:top w:val="none" w:sz="0" w:space="0" w:color="auto"/>
        <w:left w:val="none" w:sz="0" w:space="0" w:color="auto"/>
        <w:bottom w:val="none" w:sz="0" w:space="0" w:color="auto"/>
        <w:right w:val="none" w:sz="0" w:space="0" w:color="auto"/>
      </w:divBdr>
    </w:div>
    <w:div w:id="1478037321">
      <w:bodyDiv w:val="1"/>
      <w:marLeft w:val="0"/>
      <w:marRight w:val="0"/>
      <w:marTop w:val="0"/>
      <w:marBottom w:val="0"/>
      <w:divBdr>
        <w:top w:val="none" w:sz="0" w:space="0" w:color="auto"/>
        <w:left w:val="none" w:sz="0" w:space="0" w:color="auto"/>
        <w:bottom w:val="none" w:sz="0" w:space="0" w:color="auto"/>
        <w:right w:val="none" w:sz="0" w:space="0" w:color="auto"/>
      </w:divBdr>
      <w:divsChild>
        <w:div w:id="35936173">
          <w:marLeft w:val="0"/>
          <w:marRight w:val="0"/>
          <w:marTop w:val="0"/>
          <w:marBottom w:val="0"/>
          <w:divBdr>
            <w:top w:val="none" w:sz="0" w:space="0" w:color="auto"/>
            <w:left w:val="none" w:sz="0" w:space="0" w:color="auto"/>
            <w:bottom w:val="none" w:sz="0" w:space="0" w:color="auto"/>
            <w:right w:val="none" w:sz="0" w:space="0" w:color="auto"/>
          </w:divBdr>
        </w:div>
        <w:div w:id="67533816">
          <w:marLeft w:val="0"/>
          <w:marRight w:val="0"/>
          <w:marTop w:val="0"/>
          <w:marBottom w:val="0"/>
          <w:divBdr>
            <w:top w:val="none" w:sz="0" w:space="0" w:color="auto"/>
            <w:left w:val="none" w:sz="0" w:space="0" w:color="auto"/>
            <w:bottom w:val="none" w:sz="0" w:space="0" w:color="auto"/>
            <w:right w:val="none" w:sz="0" w:space="0" w:color="auto"/>
          </w:divBdr>
        </w:div>
        <w:div w:id="150368072">
          <w:marLeft w:val="0"/>
          <w:marRight w:val="0"/>
          <w:marTop w:val="0"/>
          <w:marBottom w:val="0"/>
          <w:divBdr>
            <w:top w:val="none" w:sz="0" w:space="0" w:color="auto"/>
            <w:left w:val="none" w:sz="0" w:space="0" w:color="auto"/>
            <w:bottom w:val="none" w:sz="0" w:space="0" w:color="auto"/>
            <w:right w:val="none" w:sz="0" w:space="0" w:color="auto"/>
          </w:divBdr>
        </w:div>
        <w:div w:id="196817620">
          <w:marLeft w:val="0"/>
          <w:marRight w:val="0"/>
          <w:marTop w:val="0"/>
          <w:marBottom w:val="0"/>
          <w:divBdr>
            <w:top w:val="none" w:sz="0" w:space="0" w:color="auto"/>
            <w:left w:val="none" w:sz="0" w:space="0" w:color="auto"/>
            <w:bottom w:val="none" w:sz="0" w:space="0" w:color="auto"/>
            <w:right w:val="none" w:sz="0" w:space="0" w:color="auto"/>
          </w:divBdr>
        </w:div>
        <w:div w:id="212890971">
          <w:marLeft w:val="0"/>
          <w:marRight w:val="0"/>
          <w:marTop w:val="0"/>
          <w:marBottom w:val="0"/>
          <w:divBdr>
            <w:top w:val="none" w:sz="0" w:space="0" w:color="auto"/>
            <w:left w:val="none" w:sz="0" w:space="0" w:color="auto"/>
            <w:bottom w:val="none" w:sz="0" w:space="0" w:color="auto"/>
            <w:right w:val="none" w:sz="0" w:space="0" w:color="auto"/>
          </w:divBdr>
        </w:div>
        <w:div w:id="294870538">
          <w:marLeft w:val="0"/>
          <w:marRight w:val="0"/>
          <w:marTop w:val="0"/>
          <w:marBottom w:val="0"/>
          <w:divBdr>
            <w:top w:val="none" w:sz="0" w:space="0" w:color="auto"/>
            <w:left w:val="none" w:sz="0" w:space="0" w:color="auto"/>
            <w:bottom w:val="none" w:sz="0" w:space="0" w:color="auto"/>
            <w:right w:val="none" w:sz="0" w:space="0" w:color="auto"/>
          </w:divBdr>
        </w:div>
        <w:div w:id="351343667">
          <w:marLeft w:val="0"/>
          <w:marRight w:val="0"/>
          <w:marTop w:val="0"/>
          <w:marBottom w:val="0"/>
          <w:divBdr>
            <w:top w:val="none" w:sz="0" w:space="0" w:color="auto"/>
            <w:left w:val="none" w:sz="0" w:space="0" w:color="auto"/>
            <w:bottom w:val="none" w:sz="0" w:space="0" w:color="auto"/>
            <w:right w:val="none" w:sz="0" w:space="0" w:color="auto"/>
          </w:divBdr>
        </w:div>
        <w:div w:id="375160823">
          <w:marLeft w:val="0"/>
          <w:marRight w:val="0"/>
          <w:marTop w:val="0"/>
          <w:marBottom w:val="0"/>
          <w:divBdr>
            <w:top w:val="none" w:sz="0" w:space="0" w:color="auto"/>
            <w:left w:val="none" w:sz="0" w:space="0" w:color="auto"/>
            <w:bottom w:val="none" w:sz="0" w:space="0" w:color="auto"/>
            <w:right w:val="none" w:sz="0" w:space="0" w:color="auto"/>
          </w:divBdr>
        </w:div>
        <w:div w:id="377166082">
          <w:marLeft w:val="0"/>
          <w:marRight w:val="0"/>
          <w:marTop w:val="0"/>
          <w:marBottom w:val="0"/>
          <w:divBdr>
            <w:top w:val="none" w:sz="0" w:space="0" w:color="auto"/>
            <w:left w:val="none" w:sz="0" w:space="0" w:color="auto"/>
            <w:bottom w:val="none" w:sz="0" w:space="0" w:color="auto"/>
            <w:right w:val="none" w:sz="0" w:space="0" w:color="auto"/>
          </w:divBdr>
        </w:div>
        <w:div w:id="385765487">
          <w:marLeft w:val="0"/>
          <w:marRight w:val="0"/>
          <w:marTop w:val="0"/>
          <w:marBottom w:val="0"/>
          <w:divBdr>
            <w:top w:val="none" w:sz="0" w:space="0" w:color="auto"/>
            <w:left w:val="none" w:sz="0" w:space="0" w:color="auto"/>
            <w:bottom w:val="none" w:sz="0" w:space="0" w:color="auto"/>
            <w:right w:val="none" w:sz="0" w:space="0" w:color="auto"/>
          </w:divBdr>
        </w:div>
        <w:div w:id="460611049">
          <w:marLeft w:val="0"/>
          <w:marRight w:val="0"/>
          <w:marTop w:val="0"/>
          <w:marBottom w:val="0"/>
          <w:divBdr>
            <w:top w:val="none" w:sz="0" w:space="0" w:color="auto"/>
            <w:left w:val="none" w:sz="0" w:space="0" w:color="auto"/>
            <w:bottom w:val="none" w:sz="0" w:space="0" w:color="auto"/>
            <w:right w:val="none" w:sz="0" w:space="0" w:color="auto"/>
          </w:divBdr>
        </w:div>
        <w:div w:id="499856091">
          <w:marLeft w:val="0"/>
          <w:marRight w:val="0"/>
          <w:marTop w:val="0"/>
          <w:marBottom w:val="0"/>
          <w:divBdr>
            <w:top w:val="none" w:sz="0" w:space="0" w:color="auto"/>
            <w:left w:val="none" w:sz="0" w:space="0" w:color="auto"/>
            <w:bottom w:val="none" w:sz="0" w:space="0" w:color="auto"/>
            <w:right w:val="none" w:sz="0" w:space="0" w:color="auto"/>
          </w:divBdr>
        </w:div>
        <w:div w:id="533736805">
          <w:marLeft w:val="0"/>
          <w:marRight w:val="0"/>
          <w:marTop w:val="0"/>
          <w:marBottom w:val="0"/>
          <w:divBdr>
            <w:top w:val="none" w:sz="0" w:space="0" w:color="auto"/>
            <w:left w:val="none" w:sz="0" w:space="0" w:color="auto"/>
            <w:bottom w:val="none" w:sz="0" w:space="0" w:color="auto"/>
            <w:right w:val="none" w:sz="0" w:space="0" w:color="auto"/>
          </w:divBdr>
        </w:div>
        <w:div w:id="772826815">
          <w:marLeft w:val="0"/>
          <w:marRight w:val="0"/>
          <w:marTop w:val="0"/>
          <w:marBottom w:val="0"/>
          <w:divBdr>
            <w:top w:val="none" w:sz="0" w:space="0" w:color="auto"/>
            <w:left w:val="none" w:sz="0" w:space="0" w:color="auto"/>
            <w:bottom w:val="none" w:sz="0" w:space="0" w:color="auto"/>
            <w:right w:val="none" w:sz="0" w:space="0" w:color="auto"/>
          </w:divBdr>
        </w:div>
        <w:div w:id="773596535">
          <w:marLeft w:val="0"/>
          <w:marRight w:val="0"/>
          <w:marTop w:val="0"/>
          <w:marBottom w:val="0"/>
          <w:divBdr>
            <w:top w:val="none" w:sz="0" w:space="0" w:color="auto"/>
            <w:left w:val="none" w:sz="0" w:space="0" w:color="auto"/>
            <w:bottom w:val="none" w:sz="0" w:space="0" w:color="auto"/>
            <w:right w:val="none" w:sz="0" w:space="0" w:color="auto"/>
          </w:divBdr>
        </w:div>
        <w:div w:id="858860644">
          <w:marLeft w:val="0"/>
          <w:marRight w:val="0"/>
          <w:marTop w:val="0"/>
          <w:marBottom w:val="0"/>
          <w:divBdr>
            <w:top w:val="none" w:sz="0" w:space="0" w:color="auto"/>
            <w:left w:val="none" w:sz="0" w:space="0" w:color="auto"/>
            <w:bottom w:val="none" w:sz="0" w:space="0" w:color="auto"/>
            <w:right w:val="none" w:sz="0" w:space="0" w:color="auto"/>
          </w:divBdr>
        </w:div>
        <w:div w:id="872569839">
          <w:marLeft w:val="0"/>
          <w:marRight w:val="0"/>
          <w:marTop w:val="0"/>
          <w:marBottom w:val="0"/>
          <w:divBdr>
            <w:top w:val="none" w:sz="0" w:space="0" w:color="auto"/>
            <w:left w:val="none" w:sz="0" w:space="0" w:color="auto"/>
            <w:bottom w:val="none" w:sz="0" w:space="0" w:color="auto"/>
            <w:right w:val="none" w:sz="0" w:space="0" w:color="auto"/>
          </w:divBdr>
        </w:div>
        <w:div w:id="899171046">
          <w:marLeft w:val="0"/>
          <w:marRight w:val="0"/>
          <w:marTop w:val="0"/>
          <w:marBottom w:val="0"/>
          <w:divBdr>
            <w:top w:val="none" w:sz="0" w:space="0" w:color="auto"/>
            <w:left w:val="none" w:sz="0" w:space="0" w:color="auto"/>
            <w:bottom w:val="none" w:sz="0" w:space="0" w:color="auto"/>
            <w:right w:val="none" w:sz="0" w:space="0" w:color="auto"/>
          </w:divBdr>
        </w:div>
        <w:div w:id="1079133924">
          <w:marLeft w:val="0"/>
          <w:marRight w:val="0"/>
          <w:marTop w:val="0"/>
          <w:marBottom w:val="0"/>
          <w:divBdr>
            <w:top w:val="none" w:sz="0" w:space="0" w:color="auto"/>
            <w:left w:val="none" w:sz="0" w:space="0" w:color="auto"/>
            <w:bottom w:val="none" w:sz="0" w:space="0" w:color="auto"/>
            <w:right w:val="none" w:sz="0" w:space="0" w:color="auto"/>
          </w:divBdr>
        </w:div>
        <w:div w:id="1098672185">
          <w:marLeft w:val="0"/>
          <w:marRight w:val="0"/>
          <w:marTop w:val="0"/>
          <w:marBottom w:val="0"/>
          <w:divBdr>
            <w:top w:val="none" w:sz="0" w:space="0" w:color="auto"/>
            <w:left w:val="none" w:sz="0" w:space="0" w:color="auto"/>
            <w:bottom w:val="none" w:sz="0" w:space="0" w:color="auto"/>
            <w:right w:val="none" w:sz="0" w:space="0" w:color="auto"/>
          </w:divBdr>
        </w:div>
        <w:div w:id="1107114584">
          <w:marLeft w:val="0"/>
          <w:marRight w:val="0"/>
          <w:marTop w:val="0"/>
          <w:marBottom w:val="0"/>
          <w:divBdr>
            <w:top w:val="none" w:sz="0" w:space="0" w:color="auto"/>
            <w:left w:val="none" w:sz="0" w:space="0" w:color="auto"/>
            <w:bottom w:val="none" w:sz="0" w:space="0" w:color="auto"/>
            <w:right w:val="none" w:sz="0" w:space="0" w:color="auto"/>
          </w:divBdr>
        </w:div>
        <w:div w:id="1318534163">
          <w:marLeft w:val="0"/>
          <w:marRight w:val="0"/>
          <w:marTop w:val="0"/>
          <w:marBottom w:val="0"/>
          <w:divBdr>
            <w:top w:val="none" w:sz="0" w:space="0" w:color="auto"/>
            <w:left w:val="none" w:sz="0" w:space="0" w:color="auto"/>
            <w:bottom w:val="none" w:sz="0" w:space="0" w:color="auto"/>
            <w:right w:val="none" w:sz="0" w:space="0" w:color="auto"/>
          </w:divBdr>
        </w:div>
        <w:div w:id="1364591621">
          <w:marLeft w:val="0"/>
          <w:marRight w:val="0"/>
          <w:marTop w:val="0"/>
          <w:marBottom w:val="0"/>
          <w:divBdr>
            <w:top w:val="none" w:sz="0" w:space="0" w:color="auto"/>
            <w:left w:val="none" w:sz="0" w:space="0" w:color="auto"/>
            <w:bottom w:val="none" w:sz="0" w:space="0" w:color="auto"/>
            <w:right w:val="none" w:sz="0" w:space="0" w:color="auto"/>
          </w:divBdr>
        </w:div>
        <w:div w:id="1393700031">
          <w:marLeft w:val="0"/>
          <w:marRight w:val="0"/>
          <w:marTop w:val="0"/>
          <w:marBottom w:val="0"/>
          <w:divBdr>
            <w:top w:val="none" w:sz="0" w:space="0" w:color="auto"/>
            <w:left w:val="none" w:sz="0" w:space="0" w:color="auto"/>
            <w:bottom w:val="none" w:sz="0" w:space="0" w:color="auto"/>
            <w:right w:val="none" w:sz="0" w:space="0" w:color="auto"/>
          </w:divBdr>
        </w:div>
        <w:div w:id="1414427310">
          <w:marLeft w:val="0"/>
          <w:marRight w:val="0"/>
          <w:marTop w:val="0"/>
          <w:marBottom w:val="0"/>
          <w:divBdr>
            <w:top w:val="none" w:sz="0" w:space="0" w:color="auto"/>
            <w:left w:val="none" w:sz="0" w:space="0" w:color="auto"/>
            <w:bottom w:val="none" w:sz="0" w:space="0" w:color="auto"/>
            <w:right w:val="none" w:sz="0" w:space="0" w:color="auto"/>
          </w:divBdr>
        </w:div>
        <w:div w:id="1424492924">
          <w:marLeft w:val="0"/>
          <w:marRight w:val="0"/>
          <w:marTop w:val="0"/>
          <w:marBottom w:val="0"/>
          <w:divBdr>
            <w:top w:val="none" w:sz="0" w:space="0" w:color="auto"/>
            <w:left w:val="none" w:sz="0" w:space="0" w:color="auto"/>
            <w:bottom w:val="none" w:sz="0" w:space="0" w:color="auto"/>
            <w:right w:val="none" w:sz="0" w:space="0" w:color="auto"/>
          </w:divBdr>
        </w:div>
        <w:div w:id="1514878902">
          <w:marLeft w:val="0"/>
          <w:marRight w:val="0"/>
          <w:marTop w:val="0"/>
          <w:marBottom w:val="0"/>
          <w:divBdr>
            <w:top w:val="none" w:sz="0" w:space="0" w:color="auto"/>
            <w:left w:val="none" w:sz="0" w:space="0" w:color="auto"/>
            <w:bottom w:val="none" w:sz="0" w:space="0" w:color="auto"/>
            <w:right w:val="none" w:sz="0" w:space="0" w:color="auto"/>
          </w:divBdr>
        </w:div>
        <w:div w:id="1619603894">
          <w:marLeft w:val="0"/>
          <w:marRight w:val="0"/>
          <w:marTop w:val="0"/>
          <w:marBottom w:val="0"/>
          <w:divBdr>
            <w:top w:val="none" w:sz="0" w:space="0" w:color="auto"/>
            <w:left w:val="none" w:sz="0" w:space="0" w:color="auto"/>
            <w:bottom w:val="none" w:sz="0" w:space="0" w:color="auto"/>
            <w:right w:val="none" w:sz="0" w:space="0" w:color="auto"/>
          </w:divBdr>
        </w:div>
        <w:div w:id="1694453924">
          <w:marLeft w:val="0"/>
          <w:marRight w:val="0"/>
          <w:marTop w:val="0"/>
          <w:marBottom w:val="0"/>
          <w:divBdr>
            <w:top w:val="none" w:sz="0" w:space="0" w:color="auto"/>
            <w:left w:val="none" w:sz="0" w:space="0" w:color="auto"/>
            <w:bottom w:val="none" w:sz="0" w:space="0" w:color="auto"/>
            <w:right w:val="none" w:sz="0" w:space="0" w:color="auto"/>
          </w:divBdr>
        </w:div>
        <w:div w:id="1768648979">
          <w:marLeft w:val="0"/>
          <w:marRight w:val="0"/>
          <w:marTop w:val="0"/>
          <w:marBottom w:val="0"/>
          <w:divBdr>
            <w:top w:val="none" w:sz="0" w:space="0" w:color="auto"/>
            <w:left w:val="none" w:sz="0" w:space="0" w:color="auto"/>
            <w:bottom w:val="none" w:sz="0" w:space="0" w:color="auto"/>
            <w:right w:val="none" w:sz="0" w:space="0" w:color="auto"/>
          </w:divBdr>
        </w:div>
        <w:div w:id="1779597295">
          <w:marLeft w:val="0"/>
          <w:marRight w:val="0"/>
          <w:marTop w:val="0"/>
          <w:marBottom w:val="0"/>
          <w:divBdr>
            <w:top w:val="none" w:sz="0" w:space="0" w:color="auto"/>
            <w:left w:val="none" w:sz="0" w:space="0" w:color="auto"/>
            <w:bottom w:val="none" w:sz="0" w:space="0" w:color="auto"/>
            <w:right w:val="none" w:sz="0" w:space="0" w:color="auto"/>
          </w:divBdr>
        </w:div>
        <w:div w:id="1782723343">
          <w:marLeft w:val="0"/>
          <w:marRight w:val="0"/>
          <w:marTop w:val="0"/>
          <w:marBottom w:val="0"/>
          <w:divBdr>
            <w:top w:val="none" w:sz="0" w:space="0" w:color="auto"/>
            <w:left w:val="none" w:sz="0" w:space="0" w:color="auto"/>
            <w:bottom w:val="none" w:sz="0" w:space="0" w:color="auto"/>
            <w:right w:val="none" w:sz="0" w:space="0" w:color="auto"/>
          </w:divBdr>
        </w:div>
        <w:div w:id="1975793577">
          <w:marLeft w:val="0"/>
          <w:marRight w:val="0"/>
          <w:marTop w:val="0"/>
          <w:marBottom w:val="0"/>
          <w:divBdr>
            <w:top w:val="none" w:sz="0" w:space="0" w:color="auto"/>
            <w:left w:val="none" w:sz="0" w:space="0" w:color="auto"/>
            <w:bottom w:val="none" w:sz="0" w:space="0" w:color="auto"/>
            <w:right w:val="none" w:sz="0" w:space="0" w:color="auto"/>
          </w:divBdr>
        </w:div>
        <w:div w:id="2064668298">
          <w:marLeft w:val="0"/>
          <w:marRight w:val="0"/>
          <w:marTop w:val="0"/>
          <w:marBottom w:val="0"/>
          <w:divBdr>
            <w:top w:val="none" w:sz="0" w:space="0" w:color="auto"/>
            <w:left w:val="none" w:sz="0" w:space="0" w:color="auto"/>
            <w:bottom w:val="none" w:sz="0" w:space="0" w:color="auto"/>
            <w:right w:val="none" w:sz="0" w:space="0" w:color="auto"/>
          </w:divBdr>
        </w:div>
        <w:div w:id="2100522955">
          <w:marLeft w:val="0"/>
          <w:marRight w:val="0"/>
          <w:marTop w:val="0"/>
          <w:marBottom w:val="0"/>
          <w:divBdr>
            <w:top w:val="none" w:sz="0" w:space="0" w:color="auto"/>
            <w:left w:val="none" w:sz="0" w:space="0" w:color="auto"/>
            <w:bottom w:val="none" w:sz="0" w:space="0" w:color="auto"/>
            <w:right w:val="none" w:sz="0" w:space="0" w:color="auto"/>
          </w:divBdr>
        </w:div>
      </w:divsChild>
    </w:div>
    <w:div w:id="1549339457">
      <w:bodyDiv w:val="1"/>
      <w:marLeft w:val="0"/>
      <w:marRight w:val="0"/>
      <w:marTop w:val="0"/>
      <w:marBottom w:val="0"/>
      <w:divBdr>
        <w:top w:val="none" w:sz="0" w:space="0" w:color="auto"/>
        <w:left w:val="none" w:sz="0" w:space="0" w:color="auto"/>
        <w:bottom w:val="none" w:sz="0" w:space="0" w:color="auto"/>
        <w:right w:val="none" w:sz="0" w:space="0" w:color="auto"/>
      </w:divBdr>
    </w:div>
    <w:div w:id="1593319645">
      <w:bodyDiv w:val="1"/>
      <w:marLeft w:val="0"/>
      <w:marRight w:val="0"/>
      <w:marTop w:val="0"/>
      <w:marBottom w:val="0"/>
      <w:divBdr>
        <w:top w:val="none" w:sz="0" w:space="0" w:color="auto"/>
        <w:left w:val="none" w:sz="0" w:space="0" w:color="auto"/>
        <w:bottom w:val="none" w:sz="0" w:space="0" w:color="auto"/>
        <w:right w:val="none" w:sz="0" w:space="0" w:color="auto"/>
      </w:divBdr>
      <w:divsChild>
        <w:div w:id="47996040">
          <w:marLeft w:val="0"/>
          <w:marRight w:val="0"/>
          <w:marTop w:val="0"/>
          <w:marBottom w:val="0"/>
          <w:divBdr>
            <w:top w:val="none" w:sz="0" w:space="0" w:color="auto"/>
            <w:left w:val="none" w:sz="0" w:space="0" w:color="auto"/>
            <w:bottom w:val="none" w:sz="0" w:space="0" w:color="auto"/>
            <w:right w:val="none" w:sz="0" w:space="0" w:color="auto"/>
          </w:divBdr>
        </w:div>
        <w:div w:id="940720776">
          <w:marLeft w:val="0"/>
          <w:marRight w:val="0"/>
          <w:marTop w:val="0"/>
          <w:marBottom w:val="0"/>
          <w:divBdr>
            <w:top w:val="none" w:sz="0" w:space="0" w:color="auto"/>
            <w:left w:val="none" w:sz="0" w:space="0" w:color="auto"/>
            <w:bottom w:val="none" w:sz="0" w:space="0" w:color="auto"/>
            <w:right w:val="none" w:sz="0" w:space="0" w:color="auto"/>
          </w:divBdr>
        </w:div>
      </w:divsChild>
    </w:div>
    <w:div w:id="1655798633">
      <w:bodyDiv w:val="1"/>
      <w:marLeft w:val="0"/>
      <w:marRight w:val="0"/>
      <w:marTop w:val="0"/>
      <w:marBottom w:val="0"/>
      <w:divBdr>
        <w:top w:val="none" w:sz="0" w:space="0" w:color="auto"/>
        <w:left w:val="none" w:sz="0" w:space="0" w:color="auto"/>
        <w:bottom w:val="none" w:sz="0" w:space="0" w:color="auto"/>
        <w:right w:val="none" w:sz="0" w:space="0" w:color="auto"/>
      </w:divBdr>
    </w:div>
    <w:div w:id="1777170033">
      <w:bodyDiv w:val="1"/>
      <w:marLeft w:val="0"/>
      <w:marRight w:val="0"/>
      <w:marTop w:val="0"/>
      <w:marBottom w:val="0"/>
      <w:divBdr>
        <w:top w:val="none" w:sz="0" w:space="0" w:color="auto"/>
        <w:left w:val="none" w:sz="0" w:space="0" w:color="auto"/>
        <w:bottom w:val="none" w:sz="0" w:space="0" w:color="auto"/>
        <w:right w:val="none" w:sz="0" w:space="0" w:color="auto"/>
      </w:divBdr>
    </w:div>
    <w:div w:id="1907565281">
      <w:bodyDiv w:val="1"/>
      <w:marLeft w:val="0"/>
      <w:marRight w:val="0"/>
      <w:marTop w:val="0"/>
      <w:marBottom w:val="0"/>
      <w:divBdr>
        <w:top w:val="none" w:sz="0" w:space="0" w:color="auto"/>
        <w:left w:val="none" w:sz="0" w:space="0" w:color="auto"/>
        <w:bottom w:val="none" w:sz="0" w:space="0" w:color="auto"/>
        <w:right w:val="none" w:sz="0" w:space="0" w:color="auto"/>
      </w:divBdr>
      <w:divsChild>
        <w:div w:id="742532518">
          <w:marLeft w:val="0"/>
          <w:marRight w:val="0"/>
          <w:marTop w:val="0"/>
          <w:marBottom w:val="0"/>
          <w:divBdr>
            <w:top w:val="none" w:sz="0" w:space="0" w:color="auto"/>
            <w:left w:val="none" w:sz="0" w:space="0" w:color="auto"/>
            <w:bottom w:val="none" w:sz="0" w:space="0" w:color="auto"/>
            <w:right w:val="none" w:sz="0" w:space="0" w:color="auto"/>
          </w:divBdr>
        </w:div>
      </w:divsChild>
    </w:div>
    <w:div w:id="1923564102">
      <w:bodyDiv w:val="1"/>
      <w:marLeft w:val="0"/>
      <w:marRight w:val="0"/>
      <w:marTop w:val="0"/>
      <w:marBottom w:val="0"/>
      <w:divBdr>
        <w:top w:val="none" w:sz="0" w:space="0" w:color="auto"/>
        <w:left w:val="none" w:sz="0" w:space="0" w:color="auto"/>
        <w:bottom w:val="none" w:sz="0" w:space="0" w:color="auto"/>
        <w:right w:val="none" w:sz="0" w:space="0" w:color="auto"/>
      </w:divBdr>
    </w:div>
    <w:div w:id="1957445079">
      <w:bodyDiv w:val="1"/>
      <w:marLeft w:val="0"/>
      <w:marRight w:val="0"/>
      <w:marTop w:val="0"/>
      <w:marBottom w:val="0"/>
      <w:divBdr>
        <w:top w:val="none" w:sz="0" w:space="0" w:color="auto"/>
        <w:left w:val="none" w:sz="0" w:space="0" w:color="auto"/>
        <w:bottom w:val="none" w:sz="0" w:space="0" w:color="auto"/>
        <w:right w:val="none" w:sz="0" w:space="0" w:color="auto"/>
      </w:divBdr>
    </w:div>
    <w:div w:id="2041585096">
      <w:bodyDiv w:val="1"/>
      <w:marLeft w:val="0"/>
      <w:marRight w:val="0"/>
      <w:marTop w:val="0"/>
      <w:marBottom w:val="0"/>
      <w:divBdr>
        <w:top w:val="none" w:sz="0" w:space="0" w:color="auto"/>
        <w:left w:val="none" w:sz="0" w:space="0" w:color="auto"/>
        <w:bottom w:val="none" w:sz="0" w:space="0" w:color="auto"/>
        <w:right w:val="none" w:sz="0" w:space="0" w:color="auto"/>
      </w:divBdr>
    </w:div>
    <w:div w:id="2066296871">
      <w:bodyDiv w:val="1"/>
      <w:marLeft w:val="0"/>
      <w:marRight w:val="0"/>
      <w:marTop w:val="0"/>
      <w:marBottom w:val="0"/>
      <w:divBdr>
        <w:top w:val="none" w:sz="0" w:space="0" w:color="auto"/>
        <w:left w:val="none" w:sz="0" w:space="0" w:color="auto"/>
        <w:bottom w:val="none" w:sz="0" w:space="0" w:color="auto"/>
        <w:right w:val="none" w:sz="0" w:space="0" w:color="auto"/>
      </w:divBdr>
    </w:div>
    <w:div w:id="210580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4.xml"/><Relationship Id="rId42" Type="http://schemas.openxmlformats.org/officeDocument/2006/relationships/footer" Target="footer14.xml"/><Relationship Id="rId47" Type="http://schemas.openxmlformats.org/officeDocument/2006/relationships/header" Target="header17.xml"/><Relationship Id="rId63" Type="http://schemas.openxmlformats.org/officeDocument/2006/relationships/footer" Target="footer24.xml"/><Relationship Id="rId68" Type="http://schemas.openxmlformats.org/officeDocument/2006/relationships/header" Target="header27.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7.xml"/><Relationship Id="rId11" Type="http://schemas.openxmlformats.org/officeDocument/2006/relationships/image" Target="media/image1.emf"/><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yperlink" Target="https://op.europa.eu/en/publication-detail/-/publication/beca5d94-7d21-11ee-99ba-01aa75ed71a1/language-en" TargetMode="External"/><Relationship Id="rId53" Type="http://schemas.openxmlformats.org/officeDocument/2006/relationships/header" Target="header20.xml"/><Relationship Id="rId58" Type="http://schemas.openxmlformats.org/officeDocument/2006/relationships/header" Target="header22.xml"/><Relationship Id="rId66"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footer" Target="footer23.xml"/><Relationship Id="rId1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6.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27.xml"/><Relationship Id="rId8" Type="http://schemas.openxmlformats.org/officeDocument/2006/relationships/webSettings" Target="webSettings.xml"/><Relationship Id="rId51" Type="http://schemas.openxmlformats.org/officeDocument/2006/relationships/footer" Target="footer18.xm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hyperlink" Target="https://publications.jrc.ec.europa.eu/repository/handle/JRC136069" TargetMode="External"/><Relationship Id="rId41" Type="http://schemas.openxmlformats.org/officeDocument/2006/relationships/footer" Target="footer13.xml"/><Relationship Id="rId54" Type="http://schemas.openxmlformats.org/officeDocument/2006/relationships/footer" Target="footer19.xml"/><Relationship Id="rId62" Type="http://schemas.openxmlformats.org/officeDocument/2006/relationships/header" Target="header24.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19.xml"/><Relationship Id="rId60" Type="http://schemas.openxmlformats.org/officeDocument/2006/relationships/footer" Target="footer22.xml"/><Relationship Id="rId65"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eader" Target="header13.xml"/><Relationship Id="rId34" Type="http://schemas.openxmlformats.org/officeDocument/2006/relationships/header" Target="header11.xml"/><Relationship Id="rId50" Type="http://schemas.openxmlformats.org/officeDocument/2006/relationships/header" Target="header18.xml"/><Relationship Id="rId55" Type="http://schemas.openxmlformats.org/officeDocument/2006/relationships/footer" Target="footer20.xml"/></Relationships>
</file>

<file path=word/_rels/footnotes.xml.rels><?xml version="1.0" encoding="UTF-8" standalone="yes"?>
<Relationships xmlns="http://schemas.openxmlformats.org/package/2006/relationships"><Relationship Id="rId8" Type="http://schemas.openxmlformats.org/officeDocument/2006/relationships/hyperlink" Target="https://agriculture.ec.europa.eu/news/simplification-survey-sheds-light-specific-issues-faced-farmers-across-eu-2024-04-12_en" TargetMode="External"/><Relationship Id="rId13" Type="http://schemas.openxmlformats.org/officeDocument/2006/relationships/hyperlink" Target="http://eur-lex.europa.eu/legal-content/EN/TXT/PDF/?uri=PI_COM:C(2024)6069&amp;qid=1725451340160" TargetMode="External"/><Relationship Id="rId18" Type="http://schemas.openxmlformats.org/officeDocument/2006/relationships/hyperlink" Target="https://ec.europa.eu/commission/presscorner/detail/en/ip_24_1493" TargetMode="External"/><Relationship Id="rId26" Type="http://schemas.openxmlformats.org/officeDocument/2006/relationships/hyperlink" Target="https://www.efsa.europa.eu/en/efsajournal/pub/3601" TargetMode="External"/><Relationship Id="rId3" Type="http://schemas.openxmlformats.org/officeDocument/2006/relationships/hyperlink" Target="https://commission.europa.eu/system/files/2023-03/Communication_Long-term-competitiveness.pdf" TargetMode="External"/><Relationship Id="rId21" Type="http://schemas.openxmlformats.org/officeDocument/2006/relationships/hyperlink" Target="https://midas.jrc.cec.eu.int/discovery/midas/explore/models/model-ifm-cap/" TargetMode="External"/><Relationship Id="rId7" Type="http://schemas.openxmlformats.org/officeDocument/2006/relationships/hyperlink" Target="https://agriculture.ec.europa.eu/document/download/171329ff-0f50-4fa5-946f-aea11032172e_en?filename=strategic-dialogue-report-2024_en.pdf" TargetMode="External"/><Relationship Id="rId12" Type="http://schemas.openxmlformats.org/officeDocument/2006/relationships/hyperlink" Target="https://ec.europa.eu/transparency/expert-groups-register/screen/meetings/consult?lang=en&amp;meetingId=53235" TargetMode="External"/><Relationship Id="rId17" Type="http://schemas.openxmlformats.org/officeDocument/2006/relationships/hyperlink" Target="https://eur-lex.europa.eu/legal-content/EN/TXT/PDF/?uri=PI_COM:C(2024)6069&amp;qid=1725451340160" TargetMode="External"/><Relationship Id="rId25" Type="http://schemas.openxmlformats.org/officeDocument/2006/relationships/hyperlink" Target="https://ec.europa.eu/info/law/better-regulation/have-your-say/initiatives/14051/public-consultation_en" TargetMode="External"/><Relationship Id="rId2" Type="http://schemas.openxmlformats.org/officeDocument/2006/relationships/hyperlink" Target="https://multimedia.europarl.europa.eu/en/webstreaming/committee-on-agriculture-and-rural-development_20240226-1900-COMMITTEE-AGRI" TargetMode="External"/><Relationship Id="rId16" Type="http://schemas.openxmlformats.org/officeDocument/2006/relationships/hyperlink" Target="https://ec.europa.eu/transparency/expert-groups-register/screen/meetings/consult?lang=en&amp;meetingId=53804" TargetMode="External"/><Relationship Id="rId20" Type="http://schemas.openxmlformats.org/officeDocument/2006/relationships/hyperlink" Target="https://ec.europa.eu/info/law/better-regulation/have-your-say/initiatives/14242-Nitrates-updated-rules-on-the-use-of-certain-fertilising-materials-from-livestock-manure-RENURE-_en" TargetMode="External"/><Relationship Id="rId29" Type="http://schemas.openxmlformats.org/officeDocument/2006/relationships/hyperlink" Target="https://publications.jrc.ec.europa.eu/repository/handle/JRC136069" TargetMode="External"/><Relationship Id="rId1" Type="http://schemas.openxmlformats.org/officeDocument/2006/relationships/hyperlink" Target="https://ec.europa.eu/commission/presscorner/detail/en/ip_24_1002" TargetMode="External"/><Relationship Id="rId6" Type="http://schemas.openxmlformats.org/officeDocument/2006/relationships/hyperlink" Target="https://commission.europa.eu/strategy-and-policy/priorities-2019-2024/european-green-deal/agriculture-and-green-deal/strategic-dialogue-future-eu-agriculture_en" TargetMode="External"/><Relationship Id="rId11" Type="http://schemas.openxmlformats.org/officeDocument/2006/relationships/hyperlink" Target="https://ec.europa.eu/transparency/comitology-register/screen/meetings/CMTD%282024%29772/consult?lang=en" TargetMode="External"/><Relationship Id="rId24" Type="http://schemas.openxmlformats.org/officeDocument/2006/relationships/hyperlink" Target="https://ec.europa.eu/transparency/comitology-register/screen/documents/098645/1/consult?lang=en" TargetMode="External"/><Relationship Id="rId5" Type="http://schemas.openxmlformats.org/officeDocument/2006/relationships/hyperlink" Target="https://ec.europa.eu/commission/presscorner/detail/en/QANDA_24_1494" TargetMode="External"/><Relationship Id="rId15" Type="http://schemas.openxmlformats.org/officeDocument/2006/relationships/hyperlink" Target="https://agriculture.ec.europa.eu/common-agricultural-policy/financing-cap/assurance-and-audit/managing-payments_en" TargetMode="External"/><Relationship Id="rId23" Type="http://schemas.openxmlformats.org/officeDocument/2006/relationships/hyperlink" Target="https://agridata.ec.europa.eu/extensions/DashboardCapPlan/catalogue_interventions.html" TargetMode="External"/><Relationship Id="rId28" Type="http://schemas.openxmlformats.org/officeDocument/2006/relationships/hyperlink" Target="https://agriculture.ec.europa.eu/system/files/2023-06/approved-28-cap-strategic-plans-2023-27.pdf" TargetMode="External"/><Relationship Id="rId10" Type="http://schemas.openxmlformats.org/officeDocument/2006/relationships/hyperlink" Target="https://competition-policy.ec.europa.eu/public-consultations/2024-deminimis-agri_en" TargetMode="External"/><Relationship Id="rId19" Type="http://schemas.openxmlformats.org/officeDocument/2006/relationships/hyperlink" Target="https://eu-cap-network.ec.europa.eu/about/eu-cap-network_en" TargetMode="External"/><Relationship Id="rId4" Type="http://schemas.openxmlformats.org/officeDocument/2006/relationships/hyperlink" Target="https://ec.europa.eu/commission/presscorner/detail/en/ip_24_1493" TargetMode="External"/><Relationship Id="rId9" Type="http://schemas.openxmlformats.org/officeDocument/2006/relationships/hyperlink" Target="https://ec.europa.eu/commission/presscorner/detail/en/ip_24_2332" TargetMode="External"/><Relationship Id="rId14" Type="http://schemas.openxmlformats.org/officeDocument/2006/relationships/hyperlink" Target="https://eur-lex.europa.eu/legal-content/EN/TXT/PDF/?uri=PI_COM:C(2024)6069&amp;qid=1725451340160" TargetMode="External"/><Relationship Id="rId22" Type="http://schemas.openxmlformats.org/officeDocument/2006/relationships/hyperlink" Target="https://publications.jrc.ec.europa.eu/repository/handle/JRC127014" TargetMode="External"/><Relationship Id="rId27" Type="http://schemas.openxmlformats.org/officeDocument/2006/relationships/hyperlink" Target="https://agriculture.ec.europa.eu/data-and-analysis/farm-structures-and-economics/fadn_en" TargetMode="External"/><Relationship Id="rId30" Type="http://schemas.openxmlformats.org/officeDocument/2006/relationships/hyperlink" Target="https://www.ipcc-nggip.iges.or.jp/public/2019rf/pdf/4_Volume4/19R_V4_Ch11_Soils_N2O_CO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eate a new document." ma:contentTypeScope="" ma:versionID="4f9c962fa346fb4ee4d235e808d9d049">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460808c2c73fea78cf9bc72727922b06"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4CAF-2748-47D7-AF93-34EFA2879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5C50A-61EF-45ED-A79C-C6818CF0E21F}">
  <ds:schemaRefs>
    <ds:schemaRef ds:uri="http://schemas.microsoft.com/sharepoint/v3/contenttype/forms"/>
  </ds:schemaRefs>
</ds:datastoreItem>
</file>

<file path=customXml/itemProps3.xml><?xml version="1.0" encoding="utf-8"?>
<ds:datastoreItem xmlns:ds="http://schemas.openxmlformats.org/officeDocument/2006/customXml" ds:itemID="{670DA4DF-B763-4A6B-AA67-38D8547536D0}">
  <ds:schemaRefs>
    <ds:schemaRef ds:uri="http://schemas.openxmlformats.org/package/2006/metadata/core-properties"/>
    <ds:schemaRef ds:uri="http://www.w3.org/XML/1998/namespace"/>
    <ds:schemaRef ds:uri="c1752347-4e16-4ce8-a381-9ddf3e797ad6"/>
    <ds:schemaRef ds:uri="http://purl.org/dc/dcmitype/"/>
    <ds:schemaRef ds:uri="http://schemas.microsoft.com/office/2006/documentManagement/types"/>
    <ds:schemaRef ds:uri="http://schemas.microsoft.com/office/2006/metadata/properties"/>
    <ds:schemaRef ds:uri="9b53d6be-5940-4371-8a56-d6ca0a43a11a"/>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241368D8-5446-4F36-9DED-585E5F07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137</Pages>
  <Words>51864</Words>
  <Characters>286293</Characters>
  <Application>Microsoft Office Word</Application>
  <DocSecurity>0</DocSecurity>
  <Lines>6506</Lines>
  <Paragraphs>2662</Paragraphs>
  <ScaleCrop>false</ScaleCrop>
  <Manager/>
  <Company/>
  <LinksUpToDate>false</LinksUpToDate>
  <CharactersWithSpaces>335495</CharactersWithSpaces>
  <SharedDoc>false</SharedDoc>
  <HLinks>
    <vt:vector size="378" baseType="variant">
      <vt:variant>
        <vt:i4>4849686</vt:i4>
      </vt:variant>
      <vt:variant>
        <vt:i4>195</vt:i4>
      </vt:variant>
      <vt:variant>
        <vt:i4>0</vt:i4>
      </vt:variant>
      <vt:variant>
        <vt:i4>5</vt:i4>
      </vt:variant>
      <vt:variant>
        <vt:lpwstr>https://op.europa.eu/en/publication-detail/-/publication/beca5d94-7d21-11ee-99ba-01aa75ed71a1/language-en</vt:lpwstr>
      </vt:variant>
      <vt:variant>
        <vt:lpwstr/>
      </vt:variant>
      <vt:variant>
        <vt:i4>196674</vt:i4>
      </vt:variant>
      <vt:variant>
        <vt:i4>192</vt:i4>
      </vt:variant>
      <vt:variant>
        <vt:i4>0</vt:i4>
      </vt:variant>
      <vt:variant>
        <vt:i4>5</vt:i4>
      </vt:variant>
      <vt:variant>
        <vt:lpwstr>https://publications.jrc.ec.europa.eu/repository/handle/JRC136069</vt:lpwstr>
      </vt:variant>
      <vt:variant>
        <vt:lpwstr/>
      </vt:variant>
      <vt:variant>
        <vt:i4>1048624</vt:i4>
      </vt:variant>
      <vt:variant>
        <vt:i4>176</vt:i4>
      </vt:variant>
      <vt:variant>
        <vt:i4>0</vt:i4>
      </vt:variant>
      <vt:variant>
        <vt:i4>5</vt:i4>
      </vt:variant>
      <vt:variant>
        <vt:lpwstr/>
      </vt:variant>
      <vt:variant>
        <vt:lpwstr>_Toc172125144</vt:lpwstr>
      </vt:variant>
      <vt:variant>
        <vt:i4>1048624</vt:i4>
      </vt:variant>
      <vt:variant>
        <vt:i4>170</vt:i4>
      </vt:variant>
      <vt:variant>
        <vt:i4>0</vt:i4>
      </vt:variant>
      <vt:variant>
        <vt:i4>5</vt:i4>
      </vt:variant>
      <vt:variant>
        <vt:lpwstr/>
      </vt:variant>
      <vt:variant>
        <vt:lpwstr>_Toc172125143</vt:lpwstr>
      </vt:variant>
      <vt:variant>
        <vt:i4>1048624</vt:i4>
      </vt:variant>
      <vt:variant>
        <vt:i4>164</vt:i4>
      </vt:variant>
      <vt:variant>
        <vt:i4>0</vt:i4>
      </vt:variant>
      <vt:variant>
        <vt:i4>5</vt:i4>
      </vt:variant>
      <vt:variant>
        <vt:lpwstr/>
      </vt:variant>
      <vt:variant>
        <vt:lpwstr>_Toc172125142</vt:lpwstr>
      </vt:variant>
      <vt:variant>
        <vt:i4>1048624</vt:i4>
      </vt:variant>
      <vt:variant>
        <vt:i4>158</vt:i4>
      </vt:variant>
      <vt:variant>
        <vt:i4>0</vt:i4>
      </vt:variant>
      <vt:variant>
        <vt:i4>5</vt:i4>
      </vt:variant>
      <vt:variant>
        <vt:lpwstr/>
      </vt:variant>
      <vt:variant>
        <vt:lpwstr>_Toc172125141</vt:lpwstr>
      </vt:variant>
      <vt:variant>
        <vt:i4>1048624</vt:i4>
      </vt:variant>
      <vt:variant>
        <vt:i4>152</vt:i4>
      </vt:variant>
      <vt:variant>
        <vt:i4>0</vt:i4>
      </vt:variant>
      <vt:variant>
        <vt:i4>5</vt:i4>
      </vt:variant>
      <vt:variant>
        <vt:lpwstr/>
      </vt:variant>
      <vt:variant>
        <vt:lpwstr>_Toc172125140</vt:lpwstr>
      </vt:variant>
      <vt:variant>
        <vt:i4>1507376</vt:i4>
      </vt:variant>
      <vt:variant>
        <vt:i4>146</vt:i4>
      </vt:variant>
      <vt:variant>
        <vt:i4>0</vt:i4>
      </vt:variant>
      <vt:variant>
        <vt:i4>5</vt:i4>
      </vt:variant>
      <vt:variant>
        <vt:lpwstr/>
      </vt:variant>
      <vt:variant>
        <vt:lpwstr>_Toc172125139</vt:lpwstr>
      </vt:variant>
      <vt:variant>
        <vt:i4>1507376</vt:i4>
      </vt:variant>
      <vt:variant>
        <vt:i4>140</vt:i4>
      </vt:variant>
      <vt:variant>
        <vt:i4>0</vt:i4>
      </vt:variant>
      <vt:variant>
        <vt:i4>5</vt:i4>
      </vt:variant>
      <vt:variant>
        <vt:lpwstr/>
      </vt:variant>
      <vt:variant>
        <vt:lpwstr>_Toc172125138</vt:lpwstr>
      </vt:variant>
      <vt:variant>
        <vt:i4>1507376</vt:i4>
      </vt:variant>
      <vt:variant>
        <vt:i4>134</vt:i4>
      </vt:variant>
      <vt:variant>
        <vt:i4>0</vt:i4>
      </vt:variant>
      <vt:variant>
        <vt:i4>5</vt:i4>
      </vt:variant>
      <vt:variant>
        <vt:lpwstr/>
      </vt:variant>
      <vt:variant>
        <vt:lpwstr>_Toc172125137</vt:lpwstr>
      </vt:variant>
      <vt:variant>
        <vt:i4>1507376</vt:i4>
      </vt:variant>
      <vt:variant>
        <vt:i4>128</vt:i4>
      </vt:variant>
      <vt:variant>
        <vt:i4>0</vt:i4>
      </vt:variant>
      <vt:variant>
        <vt:i4>5</vt:i4>
      </vt:variant>
      <vt:variant>
        <vt:lpwstr/>
      </vt:variant>
      <vt:variant>
        <vt:lpwstr>_Toc172125136</vt:lpwstr>
      </vt:variant>
      <vt:variant>
        <vt:i4>1507376</vt:i4>
      </vt:variant>
      <vt:variant>
        <vt:i4>122</vt:i4>
      </vt:variant>
      <vt:variant>
        <vt:i4>0</vt:i4>
      </vt:variant>
      <vt:variant>
        <vt:i4>5</vt:i4>
      </vt:variant>
      <vt:variant>
        <vt:lpwstr/>
      </vt:variant>
      <vt:variant>
        <vt:lpwstr>_Toc172125135</vt:lpwstr>
      </vt:variant>
      <vt:variant>
        <vt:i4>1507376</vt:i4>
      </vt:variant>
      <vt:variant>
        <vt:i4>116</vt:i4>
      </vt:variant>
      <vt:variant>
        <vt:i4>0</vt:i4>
      </vt:variant>
      <vt:variant>
        <vt:i4>5</vt:i4>
      </vt:variant>
      <vt:variant>
        <vt:lpwstr/>
      </vt:variant>
      <vt:variant>
        <vt:lpwstr>_Toc172125134</vt:lpwstr>
      </vt:variant>
      <vt:variant>
        <vt:i4>1507376</vt:i4>
      </vt:variant>
      <vt:variant>
        <vt:i4>110</vt:i4>
      </vt:variant>
      <vt:variant>
        <vt:i4>0</vt:i4>
      </vt:variant>
      <vt:variant>
        <vt:i4>5</vt:i4>
      </vt:variant>
      <vt:variant>
        <vt:lpwstr/>
      </vt:variant>
      <vt:variant>
        <vt:lpwstr>_Toc172125133</vt:lpwstr>
      </vt:variant>
      <vt:variant>
        <vt:i4>1507376</vt:i4>
      </vt:variant>
      <vt:variant>
        <vt:i4>104</vt:i4>
      </vt:variant>
      <vt:variant>
        <vt:i4>0</vt:i4>
      </vt:variant>
      <vt:variant>
        <vt:i4>5</vt:i4>
      </vt:variant>
      <vt:variant>
        <vt:lpwstr/>
      </vt:variant>
      <vt:variant>
        <vt:lpwstr>_Toc172125132</vt:lpwstr>
      </vt:variant>
      <vt:variant>
        <vt:i4>1507376</vt:i4>
      </vt:variant>
      <vt:variant>
        <vt:i4>98</vt:i4>
      </vt:variant>
      <vt:variant>
        <vt:i4>0</vt:i4>
      </vt:variant>
      <vt:variant>
        <vt:i4>5</vt:i4>
      </vt:variant>
      <vt:variant>
        <vt:lpwstr/>
      </vt:variant>
      <vt:variant>
        <vt:lpwstr>_Toc172125131</vt:lpwstr>
      </vt:variant>
      <vt:variant>
        <vt:i4>1507376</vt:i4>
      </vt:variant>
      <vt:variant>
        <vt:i4>92</vt:i4>
      </vt:variant>
      <vt:variant>
        <vt:i4>0</vt:i4>
      </vt:variant>
      <vt:variant>
        <vt:i4>5</vt:i4>
      </vt:variant>
      <vt:variant>
        <vt:lpwstr/>
      </vt:variant>
      <vt:variant>
        <vt:lpwstr>_Toc172125130</vt:lpwstr>
      </vt:variant>
      <vt:variant>
        <vt:i4>1441840</vt:i4>
      </vt:variant>
      <vt:variant>
        <vt:i4>86</vt:i4>
      </vt:variant>
      <vt:variant>
        <vt:i4>0</vt:i4>
      </vt:variant>
      <vt:variant>
        <vt:i4>5</vt:i4>
      </vt:variant>
      <vt:variant>
        <vt:lpwstr/>
      </vt:variant>
      <vt:variant>
        <vt:lpwstr>_Toc172125129</vt:lpwstr>
      </vt:variant>
      <vt:variant>
        <vt:i4>1441840</vt:i4>
      </vt:variant>
      <vt:variant>
        <vt:i4>80</vt:i4>
      </vt:variant>
      <vt:variant>
        <vt:i4>0</vt:i4>
      </vt:variant>
      <vt:variant>
        <vt:i4>5</vt:i4>
      </vt:variant>
      <vt:variant>
        <vt:lpwstr/>
      </vt:variant>
      <vt:variant>
        <vt:lpwstr>_Toc172125128</vt:lpwstr>
      </vt:variant>
      <vt:variant>
        <vt:i4>1441840</vt:i4>
      </vt:variant>
      <vt:variant>
        <vt:i4>74</vt:i4>
      </vt:variant>
      <vt:variant>
        <vt:i4>0</vt:i4>
      </vt:variant>
      <vt:variant>
        <vt:i4>5</vt:i4>
      </vt:variant>
      <vt:variant>
        <vt:lpwstr/>
      </vt:variant>
      <vt:variant>
        <vt:lpwstr>_Toc172125127</vt:lpwstr>
      </vt:variant>
      <vt:variant>
        <vt:i4>1441840</vt:i4>
      </vt:variant>
      <vt:variant>
        <vt:i4>68</vt:i4>
      </vt:variant>
      <vt:variant>
        <vt:i4>0</vt:i4>
      </vt:variant>
      <vt:variant>
        <vt:i4>5</vt:i4>
      </vt:variant>
      <vt:variant>
        <vt:lpwstr/>
      </vt:variant>
      <vt:variant>
        <vt:lpwstr>_Toc172125126</vt:lpwstr>
      </vt:variant>
      <vt:variant>
        <vt:i4>1441840</vt:i4>
      </vt:variant>
      <vt:variant>
        <vt:i4>62</vt:i4>
      </vt:variant>
      <vt:variant>
        <vt:i4>0</vt:i4>
      </vt:variant>
      <vt:variant>
        <vt:i4>5</vt:i4>
      </vt:variant>
      <vt:variant>
        <vt:lpwstr/>
      </vt:variant>
      <vt:variant>
        <vt:lpwstr>_Toc172125125</vt:lpwstr>
      </vt:variant>
      <vt:variant>
        <vt:i4>1441840</vt:i4>
      </vt:variant>
      <vt:variant>
        <vt:i4>56</vt:i4>
      </vt:variant>
      <vt:variant>
        <vt:i4>0</vt:i4>
      </vt:variant>
      <vt:variant>
        <vt:i4>5</vt:i4>
      </vt:variant>
      <vt:variant>
        <vt:lpwstr/>
      </vt:variant>
      <vt:variant>
        <vt:lpwstr>_Toc172125124</vt:lpwstr>
      </vt:variant>
      <vt:variant>
        <vt:i4>1441840</vt:i4>
      </vt:variant>
      <vt:variant>
        <vt:i4>50</vt:i4>
      </vt:variant>
      <vt:variant>
        <vt:i4>0</vt:i4>
      </vt:variant>
      <vt:variant>
        <vt:i4>5</vt:i4>
      </vt:variant>
      <vt:variant>
        <vt:lpwstr/>
      </vt:variant>
      <vt:variant>
        <vt:lpwstr>_Toc172125123</vt:lpwstr>
      </vt:variant>
      <vt:variant>
        <vt:i4>1441840</vt:i4>
      </vt:variant>
      <vt:variant>
        <vt:i4>44</vt:i4>
      </vt:variant>
      <vt:variant>
        <vt:i4>0</vt:i4>
      </vt:variant>
      <vt:variant>
        <vt:i4>5</vt:i4>
      </vt:variant>
      <vt:variant>
        <vt:lpwstr/>
      </vt:variant>
      <vt:variant>
        <vt:lpwstr>_Toc172125122</vt:lpwstr>
      </vt:variant>
      <vt:variant>
        <vt:i4>1441840</vt:i4>
      </vt:variant>
      <vt:variant>
        <vt:i4>38</vt:i4>
      </vt:variant>
      <vt:variant>
        <vt:i4>0</vt:i4>
      </vt:variant>
      <vt:variant>
        <vt:i4>5</vt:i4>
      </vt:variant>
      <vt:variant>
        <vt:lpwstr/>
      </vt:variant>
      <vt:variant>
        <vt:lpwstr>_Toc172125121</vt:lpwstr>
      </vt:variant>
      <vt:variant>
        <vt:i4>1441840</vt:i4>
      </vt:variant>
      <vt:variant>
        <vt:i4>32</vt:i4>
      </vt:variant>
      <vt:variant>
        <vt:i4>0</vt:i4>
      </vt:variant>
      <vt:variant>
        <vt:i4>5</vt:i4>
      </vt:variant>
      <vt:variant>
        <vt:lpwstr/>
      </vt:variant>
      <vt:variant>
        <vt:lpwstr>_Toc172125120</vt:lpwstr>
      </vt:variant>
      <vt:variant>
        <vt:i4>1376304</vt:i4>
      </vt:variant>
      <vt:variant>
        <vt:i4>26</vt:i4>
      </vt:variant>
      <vt:variant>
        <vt:i4>0</vt:i4>
      </vt:variant>
      <vt:variant>
        <vt:i4>5</vt:i4>
      </vt:variant>
      <vt:variant>
        <vt:lpwstr/>
      </vt:variant>
      <vt:variant>
        <vt:lpwstr>_Toc172125119</vt:lpwstr>
      </vt:variant>
      <vt:variant>
        <vt:i4>1376304</vt:i4>
      </vt:variant>
      <vt:variant>
        <vt:i4>20</vt:i4>
      </vt:variant>
      <vt:variant>
        <vt:i4>0</vt:i4>
      </vt:variant>
      <vt:variant>
        <vt:i4>5</vt:i4>
      </vt:variant>
      <vt:variant>
        <vt:lpwstr/>
      </vt:variant>
      <vt:variant>
        <vt:lpwstr>_Toc172125118</vt:lpwstr>
      </vt:variant>
      <vt:variant>
        <vt:i4>1376304</vt:i4>
      </vt:variant>
      <vt:variant>
        <vt:i4>14</vt:i4>
      </vt:variant>
      <vt:variant>
        <vt:i4>0</vt:i4>
      </vt:variant>
      <vt:variant>
        <vt:i4>5</vt:i4>
      </vt:variant>
      <vt:variant>
        <vt:lpwstr/>
      </vt:variant>
      <vt:variant>
        <vt:lpwstr>_Toc172125117</vt:lpwstr>
      </vt:variant>
      <vt:variant>
        <vt:i4>1376304</vt:i4>
      </vt:variant>
      <vt:variant>
        <vt:i4>8</vt:i4>
      </vt:variant>
      <vt:variant>
        <vt:i4>0</vt:i4>
      </vt:variant>
      <vt:variant>
        <vt:i4>5</vt:i4>
      </vt:variant>
      <vt:variant>
        <vt:lpwstr/>
      </vt:variant>
      <vt:variant>
        <vt:lpwstr>_Toc172125116</vt:lpwstr>
      </vt:variant>
      <vt:variant>
        <vt:i4>1376304</vt:i4>
      </vt:variant>
      <vt:variant>
        <vt:i4>2</vt:i4>
      </vt:variant>
      <vt:variant>
        <vt:i4>0</vt:i4>
      </vt:variant>
      <vt:variant>
        <vt:i4>5</vt:i4>
      </vt:variant>
      <vt:variant>
        <vt:lpwstr/>
      </vt:variant>
      <vt:variant>
        <vt:lpwstr>_Toc172125115</vt:lpwstr>
      </vt:variant>
      <vt:variant>
        <vt:i4>1835074</vt:i4>
      </vt:variant>
      <vt:variant>
        <vt:i4>90</vt:i4>
      </vt:variant>
      <vt:variant>
        <vt:i4>0</vt:i4>
      </vt:variant>
      <vt:variant>
        <vt:i4>5</vt:i4>
      </vt:variant>
      <vt:variant>
        <vt:lpwstr>https://www.ipcc-nggip.iges.or.jp/public/2019rf/pdf/4_Volume4/19R_V4_Ch11_Soils_N2O_CO2.pdf</vt:lpwstr>
      </vt:variant>
      <vt:variant>
        <vt:lpwstr/>
      </vt:variant>
      <vt:variant>
        <vt:i4>196674</vt:i4>
      </vt:variant>
      <vt:variant>
        <vt:i4>87</vt:i4>
      </vt:variant>
      <vt:variant>
        <vt:i4>0</vt:i4>
      </vt:variant>
      <vt:variant>
        <vt:i4>5</vt:i4>
      </vt:variant>
      <vt:variant>
        <vt:lpwstr>https://publications.jrc.ec.europa.eu/repository/handle/JRC136069</vt:lpwstr>
      </vt:variant>
      <vt:variant>
        <vt:lpwstr/>
      </vt:variant>
      <vt:variant>
        <vt:i4>4915280</vt:i4>
      </vt:variant>
      <vt:variant>
        <vt:i4>84</vt:i4>
      </vt:variant>
      <vt:variant>
        <vt:i4>0</vt:i4>
      </vt:variant>
      <vt:variant>
        <vt:i4>5</vt:i4>
      </vt:variant>
      <vt:variant>
        <vt:lpwstr>https://agriculture.ec.europa.eu/system/files/2023-06/approved-28-cap-strategic-plans-2023-27.pdf</vt:lpwstr>
      </vt:variant>
      <vt:variant>
        <vt:lpwstr/>
      </vt:variant>
      <vt:variant>
        <vt:i4>6619226</vt:i4>
      </vt:variant>
      <vt:variant>
        <vt:i4>81</vt:i4>
      </vt:variant>
      <vt:variant>
        <vt:i4>0</vt:i4>
      </vt:variant>
      <vt:variant>
        <vt:i4>5</vt:i4>
      </vt:variant>
      <vt:variant>
        <vt:lpwstr>https://agriculture.ec.europa.eu/data-and-analysis/farm-structures-and-economics/fadn_en</vt:lpwstr>
      </vt:variant>
      <vt:variant>
        <vt:lpwstr/>
      </vt:variant>
      <vt:variant>
        <vt:i4>3145789</vt:i4>
      </vt:variant>
      <vt:variant>
        <vt:i4>78</vt:i4>
      </vt:variant>
      <vt:variant>
        <vt:i4>0</vt:i4>
      </vt:variant>
      <vt:variant>
        <vt:i4>5</vt:i4>
      </vt:variant>
      <vt:variant>
        <vt:lpwstr>https://www.efsa.europa.eu/en/efsajournal/pub/3601</vt:lpwstr>
      </vt:variant>
      <vt:variant>
        <vt:lpwstr/>
      </vt:variant>
      <vt:variant>
        <vt:i4>5177377</vt:i4>
      </vt:variant>
      <vt:variant>
        <vt:i4>75</vt:i4>
      </vt:variant>
      <vt:variant>
        <vt:i4>0</vt:i4>
      </vt:variant>
      <vt:variant>
        <vt:i4>5</vt:i4>
      </vt:variant>
      <vt:variant>
        <vt:lpwstr>https://ec.europa.eu/info/law/better-regulation/have-your-say/initiatives/14051/public-consultation_en</vt:lpwstr>
      </vt:variant>
      <vt:variant>
        <vt:lpwstr/>
      </vt:variant>
      <vt:variant>
        <vt:i4>3932210</vt:i4>
      </vt:variant>
      <vt:variant>
        <vt:i4>72</vt:i4>
      </vt:variant>
      <vt:variant>
        <vt:i4>0</vt:i4>
      </vt:variant>
      <vt:variant>
        <vt:i4>5</vt:i4>
      </vt:variant>
      <vt:variant>
        <vt:lpwstr>https://ec.europa.eu/transparency/comitology-register/screen/documents/098645/1/consult?lang=en</vt:lpwstr>
      </vt:variant>
      <vt:variant>
        <vt:lpwstr/>
      </vt:variant>
      <vt:variant>
        <vt:i4>6226046</vt:i4>
      </vt:variant>
      <vt:variant>
        <vt:i4>69</vt:i4>
      </vt:variant>
      <vt:variant>
        <vt:i4>0</vt:i4>
      </vt:variant>
      <vt:variant>
        <vt:i4>5</vt:i4>
      </vt:variant>
      <vt:variant>
        <vt:lpwstr>https://agridata.ec.europa.eu/extensions/DashboardCapPlan/catalogue_interventions.html</vt:lpwstr>
      </vt:variant>
      <vt:variant>
        <vt:lpwstr/>
      </vt:variant>
      <vt:variant>
        <vt:i4>327747</vt:i4>
      </vt:variant>
      <vt:variant>
        <vt:i4>66</vt:i4>
      </vt:variant>
      <vt:variant>
        <vt:i4>0</vt:i4>
      </vt:variant>
      <vt:variant>
        <vt:i4>5</vt:i4>
      </vt:variant>
      <vt:variant>
        <vt:lpwstr>https://publications.jrc.ec.europa.eu/repository/handle/JRC127014</vt:lpwstr>
      </vt:variant>
      <vt:variant>
        <vt:lpwstr/>
      </vt:variant>
      <vt:variant>
        <vt:i4>2162813</vt:i4>
      </vt:variant>
      <vt:variant>
        <vt:i4>63</vt:i4>
      </vt:variant>
      <vt:variant>
        <vt:i4>0</vt:i4>
      </vt:variant>
      <vt:variant>
        <vt:i4>5</vt:i4>
      </vt:variant>
      <vt:variant>
        <vt:lpwstr>https://midas.jrc.cec.eu.int/discovery/midas/explore/models/model-ifm-cap/</vt:lpwstr>
      </vt:variant>
      <vt:variant>
        <vt:lpwstr/>
      </vt:variant>
      <vt:variant>
        <vt:i4>7733350</vt:i4>
      </vt:variant>
      <vt:variant>
        <vt:i4>60</vt:i4>
      </vt:variant>
      <vt:variant>
        <vt:i4>0</vt:i4>
      </vt:variant>
      <vt:variant>
        <vt:i4>5</vt:i4>
      </vt:variant>
      <vt:variant>
        <vt:lpwstr>https://ec.europa.eu/commission/presscorner/detail/en/ip_24_5009</vt:lpwstr>
      </vt:variant>
      <vt:variant>
        <vt:lpwstr/>
      </vt:variant>
      <vt:variant>
        <vt:i4>6750287</vt:i4>
      </vt:variant>
      <vt:variant>
        <vt:i4>57</vt:i4>
      </vt:variant>
      <vt:variant>
        <vt:i4>0</vt:i4>
      </vt:variant>
      <vt:variant>
        <vt:i4>5</vt:i4>
      </vt:variant>
      <vt:variant>
        <vt:lpwstr>https://ec.europa.eu/info/law/better-regulation/have-your-say/initiatives/14242-Nitrates-updated-rules-on-the-use-of-certain-fertilising-materials-from-livestock-manure-RENURE-_en</vt:lpwstr>
      </vt:variant>
      <vt:variant>
        <vt:lpwstr/>
      </vt:variant>
      <vt:variant>
        <vt:i4>3538964</vt:i4>
      </vt:variant>
      <vt:variant>
        <vt:i4>54</vt:i4>
      </vt:variant>
      <vt:variant>
        <vt:i4>0</vt:i4>
      </vt:variant>
      <vt:variant>
        <vt:i4>5</vt:i4>
      </vt:variant>
      <vt:variant>
        <vt:lpwstr>https://eu-cap-network.ec.europa.eu/about/eu-cap-network_en</vt:lpwstr>
      </vt:variant>
      <vt:variant>
        <vt:lpwstr/>
      </vt:variant>
      <vt:variant>
        <vt:i4>7864427</vt:i4>
      </vt:variant>
      <vt:variant>
        <vt:i4>51</vt:i4>
      </vt:variant>
      <vt:variant>
        <vt:i4>0</vt:i4>
      </vt:variant>
      <vt:variant>
        <vt:i4>5</vt:i4>
      </vt:variant>
      <vt:variant>
        <vt:lpwstr>https://ec.europa.eu/commission/presscorner/detail/en/ip_24_1493</vt:lpwstr>
      </vt:variant>
      <vt:variant>
        <vt:lpwstr/>
      </vt:variant>
      <vt:variant>
        <vt:i4>4849768</vt:i4>
      </vt:variant>
      <vt:variant>
        <vt:i4>48</vt:i4>
      </vt:variant>
      <vt:variant>
        <vt:i4>0</vt:i4>
      </vt:variant>
      <vt:variant>
        <vt:i4>5</vt:i4>
      </vt:variant>
      <vt:variant>
        <vt:lpwstr>https://eur-lex.europa.eu/legal-content/EN/TXT/PDF/?uri=PI_COM:C(2024)6069&amp;qid=1725451340160</vt:lpwstr>
      </vt:variant>
      <vt:variant>
        <vt:lpwstr/>
      </vt:variant>
      <vt:variant>
        <vt:i4>1507394</vt:i4>
      </vt:variant>
      <vt:variant>
        <vt:i4>45</vt:i4>
      </vt:variant>
      <vt:variant>
        <vt:i4>0</vt:i4>
      </vt:variant>
      <vt:variant>
        <vt:i4>5</vt:i4>
      </vt:variant>
      <vt:variant>
        <vt:lpwstr>https://ec.europa.eu/transparency/expert-groups-register/screen/meetings/consult?lang=en&amp;meetingId=53804</vt:lpwstr>
      </vt:variant>
      <vt:variant>
        <vt:lpwstr/>
      </vt:variant>
      <vt:variant>
        <vt:i4>524343</vt:i4>
      </vt:variant>
      <vt:variant>
        <vt:i4>42</vt:i4>
      </vt:variant>
      <vt:variant>
        <vt:i4>0</vt:i4>
      </vt:variant>
      <vt:variant>
        <vt:i4>5</vt:i4>
      </vt:variant>
      <vt:variant>
        <vt:lpwstr>https://agriculture.ec.europa.eu/common-agricultural-policy/financing-cap/assurance-and-audit/managing-payments_en</vt:lpwstr>
      </vt:variant>
      <vt:variant>
        <vt:lpwstr/>
      </vt:variant>
      <vt:variant>
        <vt:i4>4849768</vt:i4>
      </vt:variant>
      <vt:variant>
        <vt:i4>38</vt:i4>
      </vt:variant>
      <vt:variant>
        <vt:i4>0</vt:i4>
      </vt:variant>
      <vt:variant>
        <vt:i4>5</vt:i4>
      </vt:variant>
      <vt:variant>
        <vt:lpwstr>https://eur-lex.europa.eu/legal-content/EN/TXT/PDF/?uri=PI_COM:C(2024)6069&amp;qid=1725451340160</vt:lpwstr>
      </vt:variant>
      <vt:variant>
        <vt:lpwstr/>
      </vt:variant>
      <vt:variant>
        <vt:i4>196706</vt:i4>
      </vt:variant>
      <vt:variant>
        <vt:i4>36</vt:i4>
      </vt:variant>
      <vt:variant>
        <vt:i4>0</vt:i4>
      </vt:variant>
      <vt:variant>
        <vt:i4>5</vt:i4>
      </vt:variant>
      <vt:variant>
        <vt:lpwstr>http://eur-lex.europa.eu/legal-content/EN/TXT/PDF/?uri=PI_COM:C(2024)6069&amp;qid=1725451340160</vt:lpwstr>
      </vt:variant>
      <vt:variant>
        <vt:lpwstr/>
      </vt:variant>
      <vt:variant>
        <vt:i4>1835073</vt:i4>
      </vt:variant>
      <vt:variant>
        <vt:i4>33</vt:i4>
      </vt:variant>
      <vt:variant>
        <vt:i4>0</vt:i4>
      </vt:variant>
      <vt:variant>
        <vt:i4>5</vt:i4>
      </vt:variant>
      <vt:variant>
        <vt:lpwstr>https://ec.europa.eu/transparency/expert-groups-register/screen/meetings/consult?lang=en&amp;meetingId=53235</vt:lpwstr>
      </vt:variant>
      <vt:variant>
        <vt:lpwstr/>
      </vt:variant>
      <vt:variant>
        <vt:i4>6357032</vt:i4>
      </vt:variant>
      <vt:variant>
        <vt:i4>30</vt:i4>
      </vt:variant>
      <vt:variant>
        <vt:i4>0</vt:i4>
      </vt:variant>
      <vt:variant>
        <vt:i4>5</vt:i4>
      </vt:variant>
      <vt:variant>
        <vt:lpwstr>https://ec.europa.eu/transparency/comitology-register/screen/meetings/CMTD%282024%29772/consult?lang=en</vt:lpwstr>
      </vt:variant>
      <vt:variant>
        <vt:lpwstr/>
      </vt:variant>
      <vt:variant>
        <vt:i4>3145749</vt:i4>
      </vt:variant>
      <vt:variant>
        <vt:i4>27</vt:i4>
      </vt:variant>
      <vt:variant>
        <vt:i4>0</vt:i4>
      </vt:variant>
      <vt:variant>
        <vt:i4>5</vt:i4>
      </vt:variant>
      <vt:variant>
        <vt:lpwstr>https://competition-policy.ec.europa.eu/public-consultations/2024-deminimis-agri_en</vt:lpwstr>
      </vt:variant>
      <vt:variant>
        <vt:lpwstr/>
      </vt:variant>
      <vt:variant>
        <vt:i4>8257634</vt:i4>
      </vt:variant>
      <vt:variant>
        <vt:i4>24</vt:i4>
      </vt:variant>
      <vt:variant>
        <vt:i4>0</vt:i4>
      </vt:variant>
      <vt:variant>
        <vt:i4>5</vt:i4>
      </vt:variant>
      <vt:variant>
        <vt:lpwstr>https://ec.europa.eu/commission/presscorner/detail/en/ip_24_2332</vt:lpwstr>
      </vt:variant>
      <vt:variant>
        <vt:lpwstr/>
      </vt:variant>
      <vt:variant>
        <vt:i4>5701731</vt:i4>
      </vt:variant>
      <vt:variant>
        <vt:i4>21</vt:i4>
      </vt:variant>
      <vt:variant>
        <vt:i4>0</vt:i4>
      </vt:variant>
      <vt:variant>
        <vt:i4>5</vt:i4>
      </vt:variant>
      <vt:variant>
        <vt:lpwstr>https://agriculture.ec.europa.eu/news/simplification-survey-sheds-light-specific-issues-faced-farmers-across-eu-2024-04-12_en</vt:lpwstr>
      </vt:variant>
      <vt:variant>
        <vt:lpwstr/>
      </vt:variant>
      <vt:variant>
        <vt:i4>7864356</vt:i4>
      </vt:variant>
      <vt:variant>
        <vt:i4>18</vt:i4>
      </vt:variant>
      <vt:variant>
        <vt:i4>0</vt:i4>
      </vt:variant>
      <vt:variant>
        <vt:i4>5</vt:i4>
      </vt:variant>
      <vt:variant>
        <vt:lpwstr>https://agriculture.ec.europa.eu/document/download/171329ff-0f50-4fa5-946f-aea11032172e_en?filename=strategic-dialogue-report-2024_en.pdf</vt:lpwstr>
      </vt:variant>
      <vt:variant>
        <vt:lpwstr/>
      </vt:variant>
      <vt:variant>
        <vt:i4>8126473</vt:i4>
      </vt:variant>
      <vt:variant>
        <vt:i4>15</vt:i4>
      </vt:variant>
      <vt:variant>
        <vt:i4>0</vt:i4>
      </vt:variant>
      <vt:variant>
        <vt:i4>5</vt:i4>
      </vt:variant>
      <vt:variant>
        <vt:lpwstr>https://commission.europa.eu/strategy-and-policy/priorities-2019-2024/european-green-deal/agriculture-and-green-deal/strategic-dialogue-future-eu-agriculture_en</vt:lpwstr>
      </vt:variant>
      <vt:variant>
        <vt:lpwstr/>
      </vt:variant>
      <vt:variant>
        <vt:i4>262214</vt:i4>
      </vt:variant>
      <vt:variant>
        <vt:i4>12</vt:i4>
      </vt:variant>
      <vt:variant>
        <vt:i4>0</vt:i4>
      </vt:variant>
      <vt:variant>
        <vt:i4>5</vt:i4>
      </vt:variant>
      <vt:variant>
        <vt:lpwstr>https://ec.europa.eu/commission/presscorner/detail/en/QANDA_24_1494</vt:lpwstr>
      </vt:variant>
      <vt:variant>
        <vt:lpwstr/>
      </vt:variant>
      <vt:variant>
        <vt:i4>7864427</vt:i4>
      </vt:variant>
      <vt:variant>
        <vt:i4>9</vt:i4>
      </vt:variant>
      <vt:variant>
        <vt:i4>0</vt:i4>
      </vt:variant>
      <vt:variant>
        <vt:i4>5</vt:i4>
      </vt:variant>
      <vt:variant>
        <vt:lpwstr>https://ec.europa.eu/commission/presscorner/detail/en/ip_24_1493</vt:lpwstr>
      </vt:variant>
      <vt:variant>
        <vt:lpwstr/>
      </vt:variant>
      <vt:variant>
        <vt:i4>7864344</vt:i4>
      </vt:variant>
      <vt:variant>
        <vt:i4>6</vt:i4>
      </vt:variant>
      <vt:variant>
        <vt:i4>0</vt:i4>
      </vt:variant>
      <vt:variant>
        <vt:i4>5</vt:i4>
      </vt:variant>
      <vt:variant>
        <vt:lpwstr>https://commission.europa.eu/system/files/2023-03/Communication_Long-term-competitiveness.pdf</vt:lpwstr>
      </vt:variant>
      <vt:variant>
        <vt:lpwstr/>
      </vt:variant>
      <vt:variant>
        <vt:i4>6094904</vt:i4>
      </vt:variant>
      <vt:variant>
        <vt:i4>3</vt:i4>
      </vt:variant>
      <vt:variant>
        <vt:i4>0</vt:i4>
      </vt:variant>
      <vt:variant>
        <vt:i4>5</vt:i4>
      </vt:variant>
      <vt:variant>
        <vt:lpwstr>https://multimedia.europarl.europa.eu/en/webstreaming/committee-on-agriculture-and-rural-development_20240226-1900-COMMITTEE-AGRI</vt:lpwstr>
      </vt:variant>
      <vt:variant>
        <vt:lpwstr/>
      </vt:variant>
      <vt:variant>
        <vt:i4>8192098</vt:i4>
      </vt:variant>
      <vt:variant>
        <vt:i4>0</vt:i4>
      </vt:variant>
      <vt:variant>
        <vt:i4>0</vt:i4>
      </vt:variant>
      <vt:variant>
        <vt:i4>5</vt:i4>
      </vt:variant>
      <vt:variant>
        <vt:lpwstr>https://ec.europa.eu/commission/presscorner/detail/en/ip_24_1002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LAGES CARVALHO Patrick (SG)</cp:lastModifiedBy>
  <cp:revision>10</cp:revision>
  <cp:lastPrinted>2024-12-02T18:53:00Z</cp:lastPrinted>
  <dcterms:created xsi:type="dcterms:W3CDTF">2024-12-04T16:53:00Z</dcterms:created>
  <dcterms:modified xsi:type="dcterms:W3CDTF">2024-12-10T07:10:00Z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2024-04-08T15:06:06Z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b8c6550c-5340-4182-bd6d-d1f0f69c4e54</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CP-025</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0x01010081D7E5E20A3B6448BB831F127F5CFB05</vt:lpwstr>
  </property>
</Properties>
</file>