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DF077" w14:textId="42457983" w:rsidR="00D42672" w:rsidRPr="00720012" w:rsidRDefault="00E3534A" w:rsidP="00E3534A">
      <w:pPr>
        <w:pStyle w:val="Pagedecouverture"/>
        <w:rPr>
          <w:noProof/>
        </w:rPr>
      </w:pPr>
      <w:r>
        <w:rPr>
          <w:noProof/>
        </w:rPr>
        <w:pict w14:anchorId="5FFBC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654D7C5-FFA5-4858-B08A-93691605DF0F" style="width:455.25pt;height:328.5pt">
            <v:imagedata r:id="rId10" o:title=""/>
          </v:shape>
        </w:pict>
      </w:r>
    </w:p>
    <w:p w14:paraId="0E0EB710" w14:textId="77777777" w:rsidR="00D42672" w:rsidRPr="00720012" w:rsidRDefault="00D42672" w:rsidP="00D42672">
      <w:pPr>
        <w:rPr>
          <w:noProof/>
        </w:rPr>
        <w:sectPr w:rsidR="00D42672" w:rsidRPr="00720012" w:rsidSect="00E3534A">
          <w:footerReference w:type="even" r:id="rId11"/>
          <w:footerReference w:type="default" r:id="rId12"/>
          <w:pgSz w:w="11907" w:h="16839"/>
          <w:pgMar w:top="1134" w:right="1417" w:bottom="1134" w:left="1417" w:header="709" w:footer="709" w:gutter="0"/>
          <w:pgNumType w:start="0"/>
          <w:cols w:space="720"/>
          <w:docGrid w:linePitch="360"/>
        </w:sectPr>
      </w:pPr>
    </w:p>
    <w:p w14:paraId="65918C45" w14:textId="52104024" w:rsidR="00D42672" w:rsidRPr="00720012" w:rsidRDefault="00720012" w:rsidP="00720012">
      <w:pPr>
        <w:pStyle w:val="Statut"/>
        <w:rPr>
          <w:noProof/>
        </w:rPr>
      </w:pPr>
      <w:bookmarkStart w:id="0" w:name="_GoBack"/>
      <w:bookmarkEnd w:id="0"/>
      <w:r w:rsidRPr="00720012">
        <w:rPr>
          <w:noProof/>
        </w:rPr>
        <w:lastRenderedPageBreak/>
        <w:t>Preporuka za</w:t>
      </w:r>
    </w:p>
    <w:p w14:paraId="1BBF1A65" w14:textId="57A74545" w:rsidR="00D42672" w:rsidRPr="00720012" w:rsidRDefault="00720012" w:rsidP="00720012">
      <w:pPr>
        <w:pStyle w:val="Typedudocument"/>
        <w:rPr>
          <w:noProof/>
        </w:rPr>
      </w:pPr>
      <w:r w:rsidRPr="00720012">
        <w:rPr>
          <w:noProof/>
        </w:rPr>
        <w:t>PREPORUKU VIJEĆA</w:t>
      </w:r>
    </w:p>
    <w:p w14:paraId="0D645AAE" w14:textId="30AE7FAF" w:rsidR="00D42672" w:rsidRPr="00720012" w:rsidRDefault="00720012" w:rsidP="00720012">
      <w:pPr>
        <w:pStyle w:val="Titreobjet"/>
        <w:rPr>
          <w:noProof/>
        </w:rPr>
      </w:pPr>
      <w:r w:rsidRPr="00720012">
        <w:rPr>
          <w:noProof/>
        </w:rPr>
        <w:t>s ciljem okončanja stanja prekomjernog državnog deficita u Mađarskoj</w:t>
      </w:r>
    </w:p>
    <w:p w14:paraId="5DF76B59" w14:textId="77777777" w:rsidR="00D42672" w:rsidRPr="00720012" w:rsidRDefault="00D42672">
      <w:pPr>
        <w:pStyle w:val="Institutionquiagit"/>
        <w:rPr>
          <w:noProof/>
        </w:rPr>
      </w:pPr>
      <w:r w:rsidRPr="00720012">
        <w:rPr>
          <w:noProof/>
        </w:rPr>
        <w:t>VIJEĆE EUROPSKE UNIJE,</w:t>
      </w:r>
    </w:p>
    <w:p w14:paraId="77DE20A0" w14:textId="77777777" w:rsidR="00D42672" w:rsidRPr="00720012" w:rsidRDefault="00D42672" w:rsidP="00D42672">
      <w:pPr>
        <w:rPr>
          <w:noProof/>
        </w:rPr>
      </w:pPr>
      <w:r w:rsidRPr="00720012">
        <w:rPr>
          <w:noProof/>
        </w:rPr>
        <w:t>uzimajući u obzir Ugovor o funkcioniranju Europske unije, a posebno njegov članak 126. stavak 7.,</w:t>
      </w:r>
    </w:p>
    <w:p w14:paraId="1F969E87" w14:textId="77777777" w:rsidR="00D42672" w:rsidRPr="00720012" w:rsidRDefault="00D42672" w:rsidP="00D42672">
      <w:pPr>
        <w:rPr>
          <w:noProof/>
        </w:rPr>
      </w:pPr>
      <w:r w:rsidRPr="00720012">
        <w:rPr>
          <w:noProof/>
        </w:rPr>
        <w:t>uzimajući u obzir preporuku Komisije,</w:t>
      </w:r>
    </w:p>
    <w:p w14:paraId="704C5304" w14:textId="77777777" w:rsidR="00D42672" w:rsidRPr="00720012" w:rsidRDefault="00D42672" w:rsidP="00D42672">
      <w:pPr>
        <w:rPr>
          <w:noProof/>
        </w:rPr>
      </w:pPr>
      <w:r w:rsidRPr="00720012">
        <w:rPr>
          <w:noProof/>
        </w:rPr>
        <w:t>budući da:</w:t>
      </w:r>
    </w:p>
    <w:p w14:paraId="3B19C693" w14:textId="79AD9F42" w:rsidR="00184E51" w:rsidRPr="00720012" w:rsidRDefault="009200F9" w:rsidP="009200F9">
      <w:pPr>
        <w:pStyle w:val="ManualConsidrant"/>
        <w:rPr>
          <w:noProof/>
        </w:rPr>
      </w:pPr>
      <w:r w:rsidRPr="009200F9">
        <w:rPr>
          <w:noProof/>
        </w:rPr>
        <w:t>(1)</w:t>
      </w:r>
      <w:r w:rsidRPr="009200F9">
        <w:rPr>
          <w:noProof/>
        </w:rPr>
        <w:tab/>
      </w:r>
      <w:r w:rsidR="00184E51" w:rsidRPr="00720012">
        <w:rPr>
          <w:noProof/>
        </w:rPr>
        <w:t>U skladu s člankom 126. UFEU-a države članice dužne su izbjegavati prekomjerni državni deficit.</w:t>
      </w:r>
    </w:p>
    <w:p w14:paraId="66E3D4A2" w14:textId="75BD4930" w:rsidR="00266A31" w:rsidRPr="00720012" w:rsidRDefault="009200F9" w:rsidP="009200F9">
      <w:pPr>
        <w:pStyle w:val="ManualConsidrant"/>
        <w:rPr>
          <w:noProof/>
        </w:rPr>
      </w:pPr>
      <w:r w:rsidRPr="009200F9">
        <w:rPr>
          <w:noProof/>
        </w:rPr>
        <w:t>(2)</w:t>
      </w:r>
      <w:r w:rsidRPr="009200F9">
        <w:rPr>
          <w:noProof/>
        </w:rPr>
        <w:tab/>
      </w:r>
      <w:r w:rsidR="00266A31" w:rsidRPr="00720012">
        <w:rPr>
          <w:noProof/>
        </w:rPr>
        <w:t>Pakt o stabilnosti i rastu temelji se na cilju zdravih javnih financija kao sredstvu jačanja uvjeta za stabilnost cijena i snažan održivi rast koji se temelji na financijskoj stabilnosti, čime se doprinosi ostvarivanju Unijinih ciljeva za održiv rast i zapošljavanje.</w:t>
      </w:r>
    </w:p>
    <w:p w14:paraId="4D6145E2" w14:textId="44D335A1" w:rsidR="00AE57F7" w:rsidRPr="00720012" w:rsidRDefault="009200F9" w:rsidP="009200F9">
      <w:pPr>
        <w:pStyle w:val="ManualConsidrant"/>
        <w:rPr>
          <w:noProof/>
        </w:rPr>
      </w:pPr>
      <w:r w:rsidRPr="009200F9">
        <w:rPr>
          <w:noProof/>
        </w:rPr>
        <w:t>(3)</w:t>
      </w:r>
      <w:r w:rsidRPr="009200F9">
        <w:rPr>
          <w:noProof/>
        </w:rPr>
        <w:tab/>
      </w:r>
      <w:r w:rsidR="00AE57F7" w:rsidRPr="00720012">
        <w:rPr>
          <w:noProof/>
        </w:rPr>
        <w:t>EU-ov reformirani okvir gospodarskog upravljanja stupio je na snagu 30. travnja 2024. i uključuje Uredbu (EU) 2024/1263</w:t>
      </w:r>
      <w:r w:rsidR="00AE57F7" w:rsidRPr="00720012">
        <w:rPr>
          <w:rStyle w:val="FootnoteReference"/>
          <w:noProof/>
        </w:rPr>
        <w:footnoteReference w:id="2"/>
      </w:r>
      <w:r w:rsidR="00AE57F7" w:rsidRPr="00720012">
        <w:rPr>
          <w:noProof/>
        </w:rPr>
        <w:t xml:space="preserve"> od 29. travnja 2024. o djelotvornoj koordinaciji ekonomskih politika i multilateralnom proračunskom nadzoru te stavljanju izvan snage Uredbe Vijeća (EZ) br. 1466/97. Uključuje i Uredbu Vijeća (EU) 2024/1264 o izmjeni Uredbe Vijeća (EZ) br. 1467/97</w:t>
      </w:r>
      <w:r w:rsidR="00AE57F7" w:rsidRPr="00720012">
        <w:rPr>
          <w:rStyle w:val="FootnoteReference"/>
          <w:noProof/>
        </w:rPr>
        <w:footnoteReference w:id="3"/>
      </w:r>
      <w:r w:rsidR="00AE57F7" w:rsidRPr="00720012">
        <w:rPr>
          <w:noProof/>
        </w:rPr>
        <w:t xml:space="preserve"> o ubrzanju i pojašnjenju provedbe postupka u slučaju prekomjernog deficita, kao i Direktivu Vijeća (EU) 2024/1265</w:t>
      </w:r>
      <w:r w:rsidR="00AE57F7" w:rsidRPr="00720012">
        <w:rPr>
          <w:rStyle w:val="FootnoteReference"/>
          <w:noProof/>
          <w:szCs w:val="24"/>
        </w:rPr>
        <w:footnoteReference w:id="4"/>
      </w:r>
      <w:r w:rsidR="00AE57F7" w:rsidRPr="00720012">
        <w:rPr>
          <w:noProof/>
        </w:rPr>
        <w:t xml:space="preserve"> od 29. travnja 2024. o izmjeni Direktive 2011/85/EU o zahtjevima za proračunske okvire država članica.</w:t>
      </w:r>
    </w:p>
    <w:p w14:paraId="27C2D2AF" w14:textId="44C7ECC6" w:rsidR="00830A5F" w:rsidRPr="00720012" w:rsidRDefault="009200F9" w:rsidP="009200F9">
      <w:pPr>
        <w:pStyle w:val="ManualConsidrant"/>
        <w:rPr>
          <w:noProof/>
        </w:rPr>
      </w:pPr>
      <w:r w:rsidRPr="009200F9">
        <w:rPr>
          <w:noProof/>
        </w:rPr>
        <w:t>(4)</w:t>
      </w:r>
      <w:r w:rsidRPr="009200F9">
        <w:rPr>
          <w:noProof/>
        </w:rPr>
        <w:tab/>
      </w:r>
      <w:r w:rsidR="00830A5F" w:rsidRPr="00720012">
        <w:rPr>
          <w:noProof/>
        </w:rPr>
        <w:t>Vijeće je 26. srpnja 2024. u skladu s člankom 126. stavkom 6. UFEU-a zaključilo da u Mađarskoj postoji prekomjerni deficit zbog neusklađenosti s kriterijem deficita</w:t>
      </w:r>
      <w:r w:rsidR="00830A5F" w:rsidRPr="00720012">
        <w:rPr>
          <w:rStyle w:val="FootnoteReference"/>
          <w:noProof/>
        </w:rPr>
        <w:footnoteReference w:id="5"/>
      </w:r>
      <w:r w:rsidR="00830A5F" w:rsidRPr="00720012">
        <w:rPr>
          <w:noProof/>
        </w:rPr>
        <w:t xml:space="preserve">. </w:t>
      </w:r>
    </w:p>
    <w:p w14:paraId="78194668" w14:textId="7EA931D6" w:rsidR="00AF21B6" w:rsidRPr="00720012" w:rsidRDefault="009200F9" w:rsidP="009200F9">
      <w:pPr>
        <w:pStyle w:val="ManualConsidrant"/>
        <w:rPr>
          <w:noProof/>
        </w:rPr>
      </w:pPr>
      <w:r w:rsidRPr="009200F9">
        <w:rPr>
          <w:noProof/>
        </w:rPr>
        <w:t>(5)</w:t>
      </w:r>
      <w:r w:rsidRPr="009200F9">
        <w:rPr>
          <w:noProof/>
        </w:rPr>
        <w:tab/>
      </w:r>
      <w:r w:rsidR="00AF21B6" w:rsidRPr="00720012">
        <w:rPr>
          <w:noProof/>
        </w:rPr>
        <w:t>U skladu s člankom 126. stavkom 7. UFEU-a i člankom 3. stavkom 4. Uredbe Vijeća (EZ) br. 1467/97 Vijeće donosi preporuku za dotičnu državu članicu s ciljem okončanja stanja prekomjernog deficita u određenom razdoblju. U skladu s člankom 3. stavkom 4. Uredbe Vijeća (EZ) 1467/97 u toj se preporuci utvrđuje rok od najviše šest mjeseci tijekom kojih dotična država članica treba poduzeti djelotvorne mjere za smanjenje prekomjernog deficita, koji se može skratiti na tri mjeseca kad je to opravdano ozbiljnošću situacije. Isto tako, Vijeće u svojoj preporuci treba preporučiti da država članica primijeni korektivno kretanje neto rashoda</w:t>
      </w:r>
      <w:r w:rsidR="00AF21B6" w:rsidRPr="00720012">
        <w:rPr>
          <w:rStyle w:val="FootnoteReference"/>
          <w:noProof/>
        </w:rPr>
        <w:footnoteReference w:id="6"/>
      </w:r>
      <w:r w:rsidR="00AF21B6" w:rsidRPr="00720012">
        <w:rPr>
          <w:noProof/>
        </w:rPr>
        <w:t xml:space="preserve"> kojim se osigurava da se državni deficit smanji i zadrži ispod 3 % referentne vrijednosti BDP-a u roku utvrđenom u toj preporuci. Ako je postupak u slučaju prekomjernog deficita pokrenut na temelju kriterija deficita, korektivno kretanje neto rashoda treba biti u skladu s minimalnom godišnjom strukturnom prilagodbom od najmanje 0,5 % BDP-a kao referentnim mjerilom za godine u kojima se očekuje da će deficit opće države premašiti referentnu vrijednost. Komisija može tijekom prijelaznog razdoblja u 2025., 2026. i 2027. prilagoditi referentno mjerilo kako bi se pri utvrđivanju predloženog korektivnog kretanja za te godine uzelo u obzir povećanje plaćanja kamata, uzimajući u obzir uvodnu izjavu 23. iz Uredbe Vijeća (EU) 2024/1264. </w:t>
      </w:r>
    </w:p>
    <w:p w14:paraId="7CAF04E1" w14:textId="5156813F" w:rsidR="003102BA" w:rsidRPr="00720012" w:rsidRDefault="009200F9" w:rsidP="009200F9">
      <w:pPr>
        <w:pStyle w:val="ManualConsidrant"/>
        <w:rPr>
          <w:noProof/>
        </w:rPr>
      </w:pPr>
      <w:r w:rsidRPr="009200F9">
        <w:rPr>
          <w:noProof/>
        </w:rPr>
        <w:t>(6)</w:t>
      </w:r>
      <w:r w:rsidRPr="009200F9">
        <w:rPr>
          <w:noProof/>
        </w:rPr>
        <w:tab/>
      </w:r>
      <w:r w:rsidR="003102BA" w:rsidRPr="00720012">
        <w:rPr>
          <w:noProof/>
        </w:rPr>
        <w:t xml:space="preserve">S obzirom na dostavljanje nacionalnog srednjoročnog fiskalno-strukturnog plana u skladu s člankom 11. i člankom 36. stavkom 1. točkom (a) Uredbe (EU) 2024/1263, u Odluci Vijeća od 26. srpnja 2024. vodilo se računa o tome da će u sljedećem koraku u postupku u slučaju prekomjernog deficita Komisija preporuku za preporuku Vijeća na temelju članka 126. stavka 7. UFEU-a o smanjenju prekomjernog deficita donijeti zajedno sa svojim mišljenjem o nacrtima proračunskih planova država članica europodručja na temelju članka 7. Uredbe (EU) br. 473/2013. Tim se pristupom osigurava usklađenost proračunskih zahtjeva u postupku u slučaju prekomjernog deficita s kretanjima prilagodbe utvrđenih u srednjoročnim fiskalno-strukturnim planovima. Taj je raspored izniman i povezan s prelaskom na novi okvir, pa se njime ne postavlja presedan. </w:t>
      </w:r>
    </w:p>
    <w:p w14:paraId="615B2ABD" w14:textId="6863A24E" w:rsidR="00572182" w:rsidRPr="00720012" w:rsidRDefault="009200F9" w:rsidP="009200F9">
      <w:pPr>
        <w:pStyle w:val="ManualConsidrant"/>
        <w:rPr>
          <w:noProof/>
        </w:rPr>
      </w:pPr>
      <w:r w:rsidRPr="009200F9">
        <w:rPr>
          <w:noProof/>
        </w:rPr>
        <w:t>(7)</w:t>
      </w:r>
      <w:r w:rsidRPr="009200F9">
        <w:rPr>
          <w:noProof/>
        </w:rPr>
        <w:tab/>
      </w:r>
      <w:r w:rsidR="00572182" w:rsidRPr="00720012">
        <w:rPr>
          <w:noProof/>
        </w:rPr>
        <w:t>Realni BDP u Mađarskoj smanjio se za –0,9 % u 2023. Prema jesenskoj prognozi Europske komisije 2024. u 2024. se očekuje rast gospodarstva za 0,6 % zahvaljujući oporavku privatne potrošnje i pozitivnom doprinosu neto izvoza. Očekuje se da će se u 2025. realni BDP povećati za 1,8 % jer će privatna potrošnja i dalje snažno rasti, a ulaganja će se umjereno oporaviti. Očekuje se da će stopa nezaposlenosti 2024. dosegnuti 4,5 %, a 2025. 4,3 %. Očekuje se da će se inflacija 2024. smanjiti sa 17,0 % u 2023. na 3,8 % te 2025. dosegnuti 3,6 %.</w:t>
      </w:r>
    </w:p>
    <w:p w14:paraId="0183905F" w14:textId="792054D7" w:rsidR="00A764B7" w:rsidRPr="00720012" w:rsidRDefault="009200F9" w:rsidP="009200F9">
      <w:pPr>
        <w:pStyle w:val="ManualConsidrant"/>
        <w:rPr>
          <w:noProof/>
        </w:rPr>
      </w:pPr>
      <w:r w:rsidRPr="009200F9">
        <w:rPr>
          <w:noProof/>
        </w:rPr>
        <w:t>(8)</w:t>
      </w:r>
      <w:r w:rsidRPr="009200F9">
        <w:rPr>
          <w:noProof/>
        </w:rPr>
        <w:tab/>
      </w:r>
      <w:r w:rsidR="00A764B7" w:rsidRPr="00720012">
        <w:rPr>
          <w:noProof/>
        </w:rPr>
        <w:t>Prema podacima koje je Eurostat potvrdio 22. listopada 2024.</w:t>
      </w:r>
      <w:r w:rsidR="00A764B7" w:rsidRPr="00720012">
        <w:rPr>
          <w:rStyle w:val="FootnoteReference"/>
          <w:noProof/>
        </w:rPr>
        <w:footnoteReference w:id="7"/>
      </w:r>
      <w:r w:rsidR="00A764B7" w:rsidRPr="00720012">
        <w:rPr>
          <w:noProof/>
        </w:rPr>
        <w:t xml:space="preserve"> deficit opće države u Mađarskoj iznosio je u 2023. 6,7 % BDP-a. U jesenskoj prognozi Europske komisije 2024. predviđa se deficit opće države od 5,4 % BDP-a u 2024. i 4,6 % BDP-a u 2025., što je iznad referentne vrijednosti u obje godine. Predviđa se da će strukturni deficit u 2024. iznositi –4,7 % BDP-a, a očekuje se da će se u 2025. smanjiti za 0,7 postotnih bodova. To se smanjenje objašnjava nižim rashodima za kamate u 2025. zbog smanjenja kuponskih isplata na obveznice za stanovništvo povezane s inflacijom i smanjenja subvencija komunalnim poduzećima za gubitke uzrokovane ograničenjem cijena energije za kućanstva.</w:t>
      </w:r>
    </w:p>
    <w:p w14:paraId="2F463BB8" w14:textId="17B796C9" w:rsidR="006634F4" w:rsidRPr="00720012" w:rsidRDefault="009200F9" w:rsidP="009200F9">
      <w:pPr>
        <w:pStyle w:val="ManualConsidrant"/>
        <w:rPr>
          <w:noProof/>
        </w:rPr>
      </w:pPr>
      <w:r w:rsidRPr="009200F9">
        <w:rPr>
          <w:noProof/>
        </w:rPr>
        <w:t>(9)</w:t>
      </w:r>
      <w:r w:rsidRPr="009200F9">
        <w:rPr>
          <w:noProof/>
        </w:rPr>
        <w:tab/>
      </w:r>
      <w:r w:rsidR="00E154A6" w:rsidRPr="00720012">
        <w:rPr>
          <w:noProof/>
        </w:rPr>
        <w:t>Dug opće države krajem 2023. iznosio je 73,4 % BDP-a. Prema jesenskoj prognozi Europske komisije 2024. predviđa se njegovo povećanje na 74,5 % BDP-a krajem 2024., ostanak na 74,5 % BDP-a krajem 2025. i smanjenje na 73,8 % BDP-a krajem 2026., što znači da će ostati iznad referentne vrijednosti od 60 % BDP-a.</w:t>
      </w:r>
    </w:p>
    <w:p w14:paraId="346DC5F5" w14:textId="57B00B8A" w:rsidR="009E1B70" w:rsidRPr="00720012" w:rsidRDefault="009200F9" w:rsidP="009200F9">
      <w:pPr>
        <w:pStyle w:val="ManualConsidrant"/>
        <w:rPr>
          <w:noProof/>
        </w:rPr>
      </w:pPr>
      <w:r w:rsidRPr="009200F9">
        <w:rPr>
          <w:noProof/>
        </w:rPr>
        <w:t>(10)</w:t>
      </w:r>
      <w:r w:rsidRPr="009200F9">
        <w:rPr>
          <w:noProof/>
        </w:rPr>
        <w:tab/>
      </w:r>
      <w:r w:rsidR="009E1B70" w:rsidRPr="00720012">
        <w:rPr>
          <w:noProof/>
        </w:rPr>
        <w:t xml:space="preserve">Mađarska je 4. studenog 2024. dostavila svoj prvi nacionalni srednjoročni fiskalno-strukturni plan. U tijeku je ocjena plana. </w:t>
      </w:r>
      <w:r w:rsidR="009E1B70" w:rsidRPr="00720012">
        <w:rPr>
          <w:rStyle w:val="ui-provider"/>
          <w:noProof/>
        </w:rPr>
        <w:t>Plan obuhvaća razdoblje 2025. – 2028. i sadržava fiskalnu prilagodbu tijekom četiri godine.</w:t>
      </w:r>
      <w:r w:rsidR="009E1B70" w:rsidRPr="00720012">
        <w:rPr>
          <w:noProof/>
        </w:rPr>
        <w:t xml:space="preserve"> Dok Vijeće ne odobri srednjoročni fiskalno-strukturni plan, kao korektivno kretanje u postupku u slučaju prekomjernog deficita trebalo bi preporučiti referentni smjer kretanja s četverogodišnjom fiskalnom prilagodbom, ažuriran na temelju novijih podataka. Korektivno kretanje neto rashoda stoga je u skladu s minimalnom godišnjom strukturnom prilagodbom od najmanje 0,5 % BDP-a kao referentnim mjerilom za godine u kojima se očekuje da će deficit opće države premašiti referentnu vrijednost, u skladu s Uredbom Vijeća (EZ) 1467/97.</w:t>
      </w:r>
    </w:p>
    <w:p w14:paraId="72500B40" w14:textId="15D64209" w:rsidR="001B24C1" w:rsidRPr="00720012" w:rsidRDefault="009200F9" w:rsidP="009200F9">
      <w:pPr>
        <w:pStyle w:val="ManualConsidrant"/>
        <w:rPr>
          <w:noProof/>
        </w:rPr>
      </w:pPr>
      <w:r w:rsidRPr="009200F9">
        <w:rPr>
          <w:noProof/>
        </w:rPr>
        <w:t>(11)</w:t>
      </w:r>
      <w:r w:rsidRPr="009200F9">
        <w:rPr>
          <w:noProof/>
        </w:rPr>
        <w:tab/>
      </w:r>
      <w:r w:rsidR="001B24C1" w:rsidRPr="00720012">
        <w:rPr>
          <w:noProof/>
        </w:rPr>
        <w:t xml:space="preserve">Na temelju kretanja neto rashoda, koje je jedina operativna referentna vrijednost za praćenje usklađenosti i koje je utvrđeno u ovoj Preporuci, te na temelju okvira Europske komisije za srednjoročnu projekciju državnog duga i jesenske prognoze Europske komisije 2024., očekuje se da će se deficit opće države smanjiti s 5,4 % BDP-a u 2024. na 2,5 % do 2027. </w:t>
      </w:r>
    </w:p>
    <w:p w14:paraId="03CC8423" w14:textId="1B1BD565" w:rsidR="00652FB9" w:rsidRPr="00720012" w:rsidRDefault="009200F9" w:rsidP="009200F9">
      <w:pPr>
        <w:pStyle w:val="ManualConsidrant"/>
        <w:rPr>
          <w:noProof/>
        </w:rPr>
      </w:pPr>
      <w:r w:rsidRPr="009200F9">
        <w:rPr>
          <w:noProof/>
        </w:rPr>
        <w:t>(12)</w:t>
      </w:r>
      <w:r w:rsidRPr="009200F9">
        <w:rPr>
          <w:noProof/>
        </w:rPr>
        <w:tab/>
      </w:r>
      <w:r w:rsidR="3774B6A9" w:rsidRPr="00720012">
        <w:rPr>
          <w:noProof/>
        </w:rPr>
        <w:t>Na temelju korektivnog kretanja neto rashoda koje bi trebalo preporučiti, okvira Europske komisije za srednjoročnu projekciju državnog duga i jesenske prognoze Europske komisije 2024., dug opće države postupno bi se smanjio sa 74,5 % BDP-a krajem 2024. na 72,6 % krajem 2027.</w:t>
      </w:r>
    </w:p>
    <w:p w14:paraId="57F5E18B" w14:textId="2F09840E" w:rsidR="00117312" w:rsidRPr="00720012" w:rsidRDefault="009200F9" w:rsidP="009200F9">
      <w:pPr>
        <w:pStyle w:val="ManualConsidrant"/>
        <w:rPr>
          <w:noProof/>
        </w:rPr>
      </w:pPr>
      <w:r w:rsidRPr="009200F9">
        <w:rPr>
          <w:noProof/>
        </w:rPr>
        <w:t>(13)</w:t>
      </w:r>
      <w:r w:rsidRPr="009200F9">
        <w:rPr>
          <w:noProof/>
        </w:rPr>
        <w:tab/>
      </w:r>
      <w:r w:rsidR="00117312" w:rsidRPr="00720012">
        <w:rPr>
          <w:noProof/>
        </w:rPr>
        <w:t>Mjerama konsolidacije proračuna trebalo bi osigurati trajno smanjenje prekomjernog deficita i istodobno ih usmjeriti na poboljšanje kvalitete i sastava javnih financija, očuvanje ulaganja i jačanje potencijala rasta gospodarstva. Reformama fiskalne i šire gospodarske prirode trebalo bi na održiv način poboljšati potencijal rasta i otpornosti gospodarstva i poticati fiskalnu održivost.</w:t>
      </w:r>
    </w:p>
    <w:p w14:paraId="0EDA7F7F" w14:textId="039CBCF4" w:rsidR="00D42672" w:rsidRPr="00720012" w:rsidRDefault="009200F9" w:rsidP="009200F9">
      <w:pPr>
        <w:pStyle w:val="ManualConsidrant"/>
        <w:rPr>
          <w:noProof/>
        </w:rPr>
      </w:pPr>
      <w:r w:rsidRPr="009200F9">
        <w:rPr>
          <w:noProof/>
        </w:rPr>
        <w:t>(14)</w:t>
      </w:r>
      <w:r w:rsidRPr="009200F9">
        <w:rPr>
          <w:noProof/>
        </w:rPr>
        <w:tab/>
      </w:r>
      <w:r w:rsidR="00BC5AC0" w:rsidRPr="00720012">
        <w:rPr>
          <w:noProof/>
        </w:rPr>
        <w:t>Nakon što Komisija pozitivno ocijeni srednjoročni fiskalno-strukturni plan Mađarske i Vijeće ga odobri, Vijeće bi na temelju članka 126. stavka 7. UFEU-a moglo na prijedlog Komisije preporučiti novo korektivno kretanje neto rashoda.</w:t>
      </w:r>
    </w:p>
    <w:p w14:paraId="63B895FC" w14:textId="77777777" w:rsidR="00245CE4" w:rsidRPr="00720012" w:rsidRDefault="00245CE4" w:rsidP="001F2DE2">
      <w:pPr>
        <w:pStyle w:val="Formuledadoption"/>
        <w:rPr>
          <w:noProof/>
        </w:rPr>
      </w:pPr>
      <w:r w:rsidRPr="00720012">
        <w:rPr>
          <w:noProof/>
        </w:rPr>
        <w:t>PREPORUČUJE:</w:t>
      </w:r>
    </w:p>
    <w:p w14:paraId="3B5ECAF9" w14:textId="53DA9541" w:rsidR="00635B94" w:rsidRPr="00720012" w:rsidRDefault="009200F9" w:rsidP="009200F9">
      <w:pPr>
        <w:pStyle w:val="Point0"/>
        <w:rPr>
          <w:noProof/>
        </w:rPr>
      </w:pPr>
      <w:r w:rsidRPr="009200F9">
        <w:rPr>
          <w:noProof/>
        </w:rPr>
        <w:t>(1)</w:t>
      </w:r>
      <w:r w:rsidRPr="009200F9">
        <w:rPr>
          <w:noProof/>
        </w:rPr>
        <w:tab/>
      </w:r>
      <w:r w:rsidR="00635B94" w:rsidRPr="00720012">
        <w:rPr>
          <w:noProof/>
        </w:rPr>
        <w:t xml:space="preserve">Mađarska bi trebala osigurati da stopa nominalnog rasta neto rashoda ne premaši gornje granice utvrđene u Prilogu I. </w:t>
      </w:r>
    </w:p>
    <w:p w14:paraId="3E9D97E9" w14:textId="7E350A57" w:rsidR="00D42672" w:rsidRPr="00720012" w:rsidRDefault="009200F9" w:rsidP="009200F9">
      <w:pPr>
        <w:pStyle w:val="Point0"/>
        <w:rPr>
          <w:noProof/>
          <w:u w:val="single"/>
        </w:rPr>
      </w:pPr>
      <w:r w:rsidRPr="009200F9">
        <w:rPr>
          <w:noProof/>
        </w:rPr>
        <w:t>(2)</w:t>
      </w:r>
      <w:r w:rsidRPr="009200F9">
        <w:rPr>
          <w:noProof/>
        </w:rPr>
        <w:tab/>
      </w:r>
      <w:r w:rsidR="008E37EC" w:rsidRPr="00720012">
        <w:rPr>
          <w:noProof/>
        </w:rPr>
        <w:t>Stoga bi Mađarska trebala okončati stanje prekomjernog deficita do 2027.</w:t>
      </w:r>
    </w:p>
    <w:p w14:paraId="3ED99D3C" w14:textId="2C42153A" w:rsidR="008E37EC" w:rsidRPr="00720012" w:rsidRDefault="009200F9" w:rsidP="009200F9">
      <w:pPr>
        <w:pStyle w:val="Point0"/>
        <w:rPr>
          <w:noProof/>
        </w:rPr>
      </w:pPr>
      <w:r w:rsidRPr="009200F9">
        <w:rPr>
          <w:noProof/>
        </w:rPr>
        <w:t>(3)</w:t>
      </w:r>
      <w:r w:rsidRPr="009200F9">
        <w:rPr>
          <w:noProof/>
        </w:rPr>
        <w:tab/>
      </w:r>
      <w:r w:rsidR="002E041B" w:rsidRPr="00720012">
        <w:rPr>
          <w:noProof/>
        </w:rPr>
        <w:t>Vijeće utvrđuje rok do 30. travnja 2025., do kojeg bi Mađarska trebala učinkovito djelovati i predstaviti potrebne mjere zajedno sa svojim godišnjim izvješćem o napretku za 2025., koje treba dostaviti Komisiji u skladu s člankom 21. Uredbe (EU) 2024/1263. Nakon toga Mađarska bi trebala barem svakih šest mjeseci izvješćivati o napretku postignutom u provedbi ove Preporuke dok se prekomjerni deficit ne ispravi.</w:t>
      </w:r>
    </w:p>
    <w:p w14:paraId="3D71ED99" w14:textId="77777777" w:rsidR="00D42672" w:rsidRDefault="00D42672" w:rsidP="00731063">
      <w:pPr>
        <w:rPr>
          <w:noProof/>
        </w:rPr>
      </w:pPr>
      <w:r w:rsidRPr="00720012">
        <w:rPr>
          <w:noProof/>
        </w:rPr>
        <w:t xml:space="preserve">Ova je Preporuka upućena Mađarskoj. </w:t>
      </w:r>
    </w:p>
    <w:p w14:paraId="76D9C4FA" w14:textId="77777777" w:rsidR="00720012" w:rsidRDefault="00720012" w:rsidP="00731063">
      <w:pPr>
        <w:rPr>
          <w:noProof/>
        </w:rPr>
      </w:pPr>
    </w:p>
    <w:p w14:paraId="4D5CCFAF" w14:textId="77777777" w:rsidR="00720012" w:rsidRDefault="00720012" w:rsidP="00731063">
      <w:pPr>
        <w:rPr>
          <w:noProof/>
        </w:rPr>
      </w:pPr>
    </w:p>
    <w:p w14:paraId="79B537F6" w14:textId="77777777" w:rsidR="00720012" w:rsidRDefault="00720012" w:rsidP="00731063">
      <w:pPr>
        <w:rPr>
          <w:noProof/>
        </w:rPr>
      </w:pPr>
    </w:p>
    <w:p w14:paraId="42170BA3" w14:textId="77777777" w:rsidR="00720012" w:rsidRDefault="00720012" w:rsidP="00731063">
      <w:pPr>
        <w:rPr>
          <w:noProof/>
        </w:rPr>
      </w:pPr>
    </w:p>
    <w:p w14:paraId="19385CD8" w14:textId="77777777" w:rsidR="00720012" w:rsidRDefault="00720012" w:rsidP="00731063">
      <w:pPr>
        <w:rPr>
          <w:noProof/>
        </w:rPr>
      </w:pPr>
    </w:p>
    <w:p w14:paraId="3806214D" w14:textId="77777777" w:rsidR="00720012" w:rsidRDefault="00720012" w:rsidP="00731063">
      <w:pPr>
        <w:rPr>
          <w:noProof/>
        </w:rPr>
      </w:pPr>
    </w:p>
    <w:p w14:paraId="354E2D12" w14:textId="77777777" w:rsidR="00720012" w:rsidRDefault="00720012" w:rsidP="00731063">
      <w:pPr>
        <w:rPr>
          <w:noProof/>
        </w:rPr>
      </w:pPr>
    </w:p>
    <w:p w14:paraId="609CC902" w14:textId="77777777" w:rsidR="00720012" w:rsidRDefault="00720012" w:rsidP="00731063">
      <w:pPr>
        <w:rPr>
          <w:noProof/>
        </w:rPr>
      </w:pPr>
    </w:p>
    <w:p w14:paraId="75F500DF" w14:textId="77777777" w:rsidR="00720012" w:rsidRDefault="00720012" w:rsidP="00731063">
      <w:pPr>
        <w:rPr>
          <w:noProof/>
        </w:rPr>
      </w:pPr>
    </w:p>
    <w:p w14:paraId="591A9DCD" w14:textId="77777777" w:rsidR="00720012" w:rsidRPr="00720012" w:rsidRDefault="00720012" w:rsidP="00731063">
      <w:pPr>
        <w:rPr>
          <w:noProof/>
        </w:rPr>
      </w:pPr>
    </w:p>
    <w:p w14:paraId="6671ACC6" w14:textId="77777777" w:rsidR="00D42672" w:rsidRPr="00720012" w:rsidRDefault="00D42672" w:rsidP="00D42672">
      <w:pPr>
        <w:contextualSpacing/>
        <w:jc w:val="center"/>
        <w:rPr>
          <w:b/>
          <w:bCs/>
          <w:noProof/>
          <w:szCs w:val="24"/>
        </w:rPr>
      </w:pPr>
      <w:r w:rsidRPr="00720012">
        <w:rPr>
          <w:b/>
          <w:noProof/>
        </w:rPr>
        <w:t>PRILOG I.</w:t>
      </w:r>
    </w:p>
    <w:p w14:paraId="31FE13AE" w14:textId="77777777" w:rsidR="00D42672" w:rsidRPr="00720012" w:rsidRDefault="00D42672" w:rsidP="00D42672">
      <w:pPr>
        <w:contextualSpacing/>
        <w:jc w:val="center"/>
        <w:rPr>
          <w:noProof/>
          <w:szCs w:val="24"/>
        </w:rPr>
      </w:pPr>
      <w:r w:rsidRPr="00720012">
        <w:rPr>
          <w:noProof/>
        </w:rPr>
        <w:t xml:space="preserve">Maksimalne stope rasta neto rashoda </w:t>
      </w:r>
      <w:r w:rsidRPr="00720012">
        <w:rPr>
          <w:noProof/>
        </w:rPr>
        <w:br/>
        <w:t>(godišnje i kumulativne stope rasta, u nominalnom smislu)</w:t>
      </w:r>
    </w:p>
    <w:p w14:paraId="7B45B553" w14:textId="77777777" w:rsidR="00D42672" w:rsidRPr="00720012" w:rsidRDefault="00AD48E0" w:rsidP="00970187">
      <w:pPr>
        <w:contextualSpacing/>
        <w:jc w:val="center"/>
        <w:rPr>
          <w:noProof/>
          <w:szCs w:val="24"/>
        </w:rPr>
      </w:pPr>
      <w:r w:rsidRPr="00720012">
        <w:rPr>
          <w:noProof/>
        </w:rPr>
        <w:t>Mađarska</w:t>
      </w:r>
    </w:p>
    <w:tbl>
      <w:tblPr>
        <w:tblStyle w:val="TableGrid"/>
        <w:tblW w:w="6843" w:type="dxa"/>
        <w:jc w:val="center"/>
        <w:tblBorders>
          <w:left w:val="none" w:sz="0" w:space="0" w:color="auto"/>
          <w:right w:val="none" w:sz="0" w:space="0" w:color="auto"/>
        </w:tblBorders>
        <w:tblLayout w:type="fixed"/>
        <w:tblLook w:val="04A0" w:firstRow="1" w:lastRow="0" w:firstColumn="1" w:lastColumn="0" w:noHBand="0" w:noVBand="1"/>
      </w:tblPr>
      <w:tblGrid>
        <w:gridCol w:w="1560"/>
        <w:gridCol w:w="1998"/>
        <w:gridCol w:w="1095"/>
        <w:gridCol w:w="1095"/>
        <w:gridCol w:w="1095"/>
      </w:tblGrid>
      <w:tr w:rsidR="00242D9C" w:rsidRPr="00720012" w14:paraId="59748E30" w14:textId="77777777" w:rsidTr="00BF4498">
        <w:trPr>
          <w:jc w:val="center"/>
        </w:trPr>
        <w:tc>
          <w:tcPr>
            <w:tcW w:w="3558" w:type="dxa"/>
            <w:gridSpan w:val="2"/>
          </w:tcPr>
          <w:p w14:paraId="07230CEA" w14:textId="77777777" w:rsidR="00242D9C" w:rsidRPr="00720012" w:rsidRDefault="00242D9C" w:rsidP="00ED6EA2">
            <w:pPr>
              <w:widowControl/>
              <w:ind w:left="0"/>
              <w:contextualSpacing/>
              <w:jc w:val="center"/>
              <w:rPr>
                <w:noProof/>
                <w:szCs w:val="24"/>
              </w:rPr>
            </w:pPr>
            <w:r w:rsidRPr="00720012">
              <w:rPr>
                <w:noProof/>
              </w:rPr>
              <w:t>Godine</w:t>
            </w:r>
          </w:p>
        </w:tc>
        <w:tc>
          <w:tcPr>
            <w:tcW w:w="1095" w:type="dxa"/>
            <w:vAlign w:val="center"/>
          </w:tcPr>
          <w:p w14:paraId="66B314B8" w14:textId="77777777" w:rsidR="00242D9C" w:rsidRPr="00720012" w:rsidRDefault="00242D9C" w:rsidP="00D525F2">
            <w:pPr>
              <w:widowControl/>
              <w:ind w:left="0"/>
              <w:contextualSpacing/>
              <w:jc w:val="center"/>
              <w:rPr>
                <w:b/>
                <w:bCs/>
                <w:noProof/>
                <w:szCs w:val="24"/>
              </w:rPr>
            </w:pPr>
            <w:r w:rsidRPr="00720012">
              <w:rPr>
                <w:noProof/>
              </w:rPr>
              <w:t>2025.</w:t>
            </w:r>
          </w:p>
        </w:tc>
        <w:tc>
          <w:tcPr>
            <w:tcW w:w="1095" w:type="dxa"/>
            <w:vAlign w:val="center"/>
          </w:tcPr>
          <w:p w14:paraId="7F2EBB05" w14:textId="77777777" w:rsidR="00242D9C" w:rsidRPr="00720012" w:rsidRDefault="00242D9C" w:rsidP="009B063C">
            <w:pPr>
              <w:ind w:left="0"/>
              <w:contextualSpacing/>
              <w:jc w:val="center"/>
              <w:rPr>
                <w:noProof/>
                <w:szCs w:val="24"/>
              </w:rPr>
            </w:pPr>
            <w:r w:rsidRPr="00720012">
              <w:rPr>
                <w:noProof/>
              </w:rPr>
              <w:t>2026.</w:t>
            </w:r>
          </w:p>
        </w:tc>
        <w:tc>
          <w:tcPr>
            <w:tcW w:w="1095" w:type="dxa"/>
            <w:vAlign w:val="center"/>
          </w:tcPr>
          <w:p w14:paraId="3EC9A966" w14:textId="77777777" w:rsidR="00242D9C" w:rsidRPr="00720012" w:rsidRDefault="00242D9C" w:rsidP="009B063C">
            <w:pPr>
              <w:ind w:left="0"/>
              <w:contextualSpacing/>
              <w:jc w:val="center"/>
              <w:rPr>
                <w:noProof/>
                <w:szCs w:val="24"/>
              </w:rPr>
            </w:pPr>
            <w:r w:rsidRPr="00720012">
              <w:rPr>
                <w:noProof/>
              </w:rPr>
              <w:t>2027.</w:t>
            </w:r>
          </w:p>
        </w:tc>
      </w:tr>
      <w:tr w:rsidR="00242D9C" w:rsidRPr="00720012" w14:paraId="555A259F" w14:textId="77777777" w:rsidTr="00BF4498">
        <w:trPr>
          <w:trHeight w:val="567"/>
          <w:jc w:val="center"/>
        </w:trPr>
        <w:tc>
          <w:tcPr>
            <w:tcW w:w="1560" w:type="dxa"/>
            <w:vMerge w:val="restart"/>
            <w:vAlign w:val="center"/>
          </w:tcPr>
          <w:p w14:paraId="677FA2FF" w14:textId="77777777" w:rsidR="00242D9C" w:rsidRPr="00720012" w:rsidRDefault="00242D9C" w:rsidP="00ED6EA2">
            <w:pPr>
              <w:widowControl/>
              <w:ind w:left="0"/>
              <w:contextualSpacing/>
              <w:jc w:val="center"/>
              <w:rPr>
                <w:b/>
                <w:bCs/>
                <w:noProof/>
              </w:rPr>
            </w:pPr>
            <w:r w:rsidRPr="00720012">
              <w:rPr>
                <w:noProof/>
              </w:rPr>
              <w:t>Stope rasta</w:t>
            </w:r>
          </w:p>
          <w:p w14:paraId="269D0F7E" w14:textId="77777777" w:rsidR="00242D9C" w:rsidRPr="00720012" w:rsidRDefault="00242D9C" w:rsidP="00ED6EA2">
            <w:pPr>
              <w:widowControl/>
              <w:ind w:left="0"/>
              <w:contextualSpacing/>
              <w:jc w:val="center"/>
              <w:rPr>
                <w:rFonts w:eastAsia="Times New Roman"/>
                <w:noProof/>
                <w:szCs w:val="24"/>
              </w:rPr>
            </w:pPr>
            <w:r w:rsidRPr="00720012">
              <w:rPr>
                <w:noProof/>
              </w:rPr>
              <w:t>(%)</w:t>
            </w:r>
          </w:p>
        </w:tc>
        <w:tc>
          <w:tcPr>
            <w:tcW w:w="1998" w:type="dxa"/>
            <w:vAlign w:val="center"/>
          </w:tcPr>
          <w:p w14:paraId="72681C1A" w14:textId="77777777" w:rsidR="00242D9C" w:rsidRPr="00720012" w:rsidRDefault="00746353" w:rsidP="00ED6EA2">
            <w:pPr>
              <w:widowControl/>
              <w:ind w:left="0"/>
              <w:contextualSpacing/>
              <w:jc w:val="center"/>
              <w:rPr>
                <w:noProof/>
                <w:szCs w:val="24"/>
              </w:rPr>
            </w:pPr>
            <w:r w:rsidRPr="00720012">
              <w:rPr>
                <w:noProof/>
              </w:rPr>
              <w:t>Godišnje</w:t>
            </w:r>
          </w:p>
        </w:tc>
        <w:tc>
          <w:tcPr>
            <w:tcW w:w="1095" w:type="dxa"/>
            <w:vAlign w:val="center"/>
          </w:tcPr>
          <w:p w14:paraId="1F0B0EA7" w14:textId="77777777" w:rsidR="00242D9C" w:rsidRPr="00720012" w:rsidRDefault="00242D9C" w:rsidP="00ED6EA2">
            <w:pPr>
              <w:widowControl/>
              <w:ind w:left="0"/>
              <w:contextualSpacing/>
              <w:jc w:val="center"/>
              <w:rPr>
                <w:noProof/>
                <w:szCs w:val="24"/>
              </w:rPr>
            </w:pPr>
            <w:r w:rsidRPr="00720012">
              <w:rPr>
                <w:noProof/>
              </w:rPr>
              <w:t>3,9</w:t>
            </w:r>
          </w:p>
        </w:tc>
        <w:tc>
          <w:tcPr>
            <w:tcW w:w="1095" w:type="dxa"/>
            <w:vAlign w:val="center"/>
          </w:tcPr>
          <w:p w14:paraId="063DE43A" w14:textId="77777777" w:rsidR="00242D9C" w:rsidRPr="00720012" w:rsidRDefault="00242D9C" w:rsidP="00ED6EA2">
            <w:pPr>
              <w:ind w:left="0"/>
              <w:contextualSpacing/>
              <w:jc w:val="center"/>
              <w:rPr>
                <w:noProof/>
                <w:szCs w:val="24"/>
              </w:rPr>
            </w:pPr>
            <w:r w:rsidRPr="00720012">
              <w:rPr>
                <w:noProof/>
              </w:rPr>
              <w:t>3,3</w:t>
            </w:r>
          </w:p>
        </w:tc>
        <w:tc>
          <w:tcPr>
            <w:tcW w:w="1095" w:type="dxa"/>
            <w:vAlign w:val="center"/>
          </w:tcPr>
          <w:p w14:paraId="0F694A75" w14:textId="77777777" w:rsidR="00242D9C" w:rsidRPr="00720012" w:rsidRDefault="00242D9C" w:rsidP="00ED6EA2">
            <w:pPr>
              <w:ind w:left="0"/>
              <w:contextualSpacing/>
              <w:jc w:val="center"/>
              <w:rPr>
                <w:noProof/>
                <w:szCs w:val="24"/>
              </w:rPr>
            </w:pPr>
            <w:r w:rsidRPr="00720012">
              <w:rPr>
                <w:noProof/>
              </w:rPr>
              <w:t>3,2</w:t>
            </w:r>
          </w:p>
        </w:tc>
      </w:tr>
      <w:tr w:rsidR="00242D9C" w:rsidRPr="00720012" w14:paraId="5EF3C5CA" w14:textId="77777777" w:rsidTr="00BF4498">
        <w:trPr>
          <w:trHeight w:val="567"/>
          <w:jc w:val="center"/>
        </w:trPr>
        <w:tc>
          <w:tcPr>
            <w:tcW w:w="1560" w:type="dxa"/>
            <w:vMerge/>
            <w:vAlign w:val="center"/>
          </w:tcPr>
          <w:p w14:paraId="7E622AA9" w14:textId="77777777" w:rsidR="00242D9C" w:rsidRPr="00720012" w:rsidRDefault="00242D9C" w:rsidP="00ED6EA2">
            <w:pPr>
              <w:widowControl/>
              <w:ind w:left="0"/>
              <w:contextualSpacing/>
              <w:jc w:val="center"/>
              <w:rPr>
                <w:noProof/>
                <w:szCs w:val="24"/>
              </w:rPr>
            </w:pPr>
          </w:p>
        </w:tc>
        <w:tc>
          <w:tcPr>
            <w:tcW w:w="1998" w:type="dxa"/>
            <w:vAlign w:val="center"/>
          </w:tcPr>
          <w:p w14:paraId="170B96CC" w14:textId="77777777" w:rsidR="00242D9C" w:rsidRPr="00720012" w:rsidRDefault="00242D9C" w:rsidP="00ED6EA2">
            <w:pPr>
              <w:widowControl/>
              <w:ind w:left="0"/>
              <w:contextualSpacing/>
              <w:jc w:val="center"/>
              <w:rPr>
                <w:noProof/>
                <w:szCs w:val="24"/>
              </w:rPr>
            </w:pPr>
            <w:r w:rsidRPr="00720012">
              <w:rPr>
                <w:noProof/>
              </w:rPr>
              <w:t>Kumulativno (*)</w:t>
            </w:r>
          </w:p>
        </w:tc>
        <w:tc>
          <w:tcPr>
            <w:tcW w:w="1095" w:type="dxa"/>
            <w:vAlign w:val="center"/>
          </w:tcPr>
          <w:p w14:paraId="32A4DE43" w14:textId="77777777" w:rsidR="00242D9C" w:rsidRPr="00720012" w:rsidRDefault="00242D9C" w:rsidP="00ED6EA2">
            <w:pPr>
              <w:widowControl/>
              <w:ind w:left="0"/>
              <w:contextualSpacing/>
              <w:jc w:val="center"/>
              <w:rPr>
                <w:noProof/>
                <w:szCs w:val="24"/>
              </w:rPr>
            </w:pPr>
            <w:r w:rsidRPr="00720012">
              <w:rPr>
                <w:noProof/>
              </w:rPr>
              <w:t>7,6</w:t>
            </w:r>
          </w:p>
        </w:tc>
        <w:tc>
          <w:tcPr>
            <w:tcW w:w="1095" w:type="dxa"/>
            <w:vAlign w:val="center"/>
          </w:tcPr>
          <w:p w14:paraId="79EF751F" w14:textId="77777777" w:rsidR="00242D9C" w:rsidRPr="00720012" w:rsidRDefault="00242D9C" w:rsidP="00ED6EA2">
            <w:pPr>
              <w:ind w:left="0"/>
              <w:contextualSpacing/>
              <w:jc w:val="center"/>
              <w:rPr>
                <w:noProof/>
                <w:szCs w:val="24"/>
              </w:rPr>
            </w:pPr>
            <w:r w:rsidRPr="00720012">
              <w:rPr>
                <w:noProof/>
              </w:rPr>
              <w:t>11,1</w:t>
            </w:r>
          </w:p>
        </w:tc>
        <w:tc>
          <w:tcPr>
            <w:tcW w:w="1095" w:type="dxa"/>
            <w:vAlign w:val="center"/>
          </w:tcPr>
          <w:p w14:paraId="726D1CB8" w14:textId="77777777" w:rsidR="00242D9C" w:rsidRPr="00720012" w:rsidRDefault="00242D9C" w:rsidP="00ED6EA2">
            <w:pPr>
              <w:ind w:left="0"/>
              <w:contextualSpacing/>
              <w:jc w:val="center"/>
              <w:rPr>
                <w:noProof/>
                <w:szCs w:val="24"/>
              </w:rPr>
            </w:pPr>
            <w:r w:rsidRPr="00720012">
              <w:rPr>
                <w:noProof/>
              </w:rPr>
              <w:t>14,7</w:t>
            </w:r>
          </w:p>
        </w:tc>
      </w:tr>
    </w:tbl>
    <w:p w14:paraId="48F7B577" w14:textId="77777777" w:rsidR="00D42672" w:rsidRPr="00720012" w:rsidRDefault="00D42672" w:rsidP="00D42672">
      <w:pPr>
        <w:contextualSpacing/>
        <w:jc w:val="center"/>
        <w:rPr>
          <w:noProof/>
          <w:sz w:val="20"/>
          <w:szCs w:val="20"/>
        </w:rPr>
      </w:pPr>
      <w:r w:rsidRPr="00720012">
        <w:rPr>
          <w:noProof/>
          <w:sz w:val="20"/>
        </w:rPr>
        <w:t>(*) Kumulativne stope rasta izračunavaju se upućivanjem na baznu godinu 2023.</w:t>
      </w:r>
    </w:p>
    <w:p w14:paraId="3C2FF2FA" w14:textId="30776667" w:rsidR="00D42672" w:rsidRPr="00720012" w:rsidRDefault="00720012" w:rsidP="007D7E72">
      <w:pPr>
        <w:pStyle w:val="Fait"/>
        <w:rPr>
          <w:noProof/>
        </w:rPr>
      </w:pPr>
      <w:r>
        <w:rPr>
          <w:noProof/>
        </w:rPr>
        <w:t>Sastavljeno u Bruxellesu</w:t>
      </w:r>
    </w:p>
    <w:p w14:paraId="168922E9" w14:textId="77777777" w:rsidR="00D42672" w:rsidRPr="00720012" w:rsidRDefault="00D42672" w:rsidP="007D7E72">
      <w:pPr>
        <w:pStyle w:val="Institutionquisigne"/>
        <w:rPr>
          <w:noProof/>
        </w:rPr>
      </w:pPr>
      <w:r w:rsidRPr="00720012">
        <w:rPr>
          <w:noProof/>
        </w:rPr>
        <w:tab/>
        <w:t>Za Vijeće</w:t>
      </w:r>
    </w:p>
    <w:p w14:paraId="260D0011" w14:textId="77777777" w:rsidR="00D42672" w:rsidRPr="00720012" w:rsidRDefault="00D42672" w:rsidP="00D42672">
      <w:pPr>
        <w:pStyle w:val="Personnequisigne"/>
        <w:rPr>
          <w:noProof/>
        </w:rPr>
      </w:pPr>
      <w:r w:rsidRPr="00720012">
        <w:rPr>
          <w:noProof/>
        </w:rPr>
        <w:tab/>
        <w:t>Predsjednik</w:t>
      </w:r>
    </w:p>
    <w:sectPr w:rsidR="00D42672" w:rsidRPr="00720012" w:rsidSect="00E3534A">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ECAF6" w14:textId="77777777" w:rsidR="00F60EDD" w:rsidRDefault="00F60EDD" w:rsidP="00D42672">
      <w:pPr>
        <w:spacing w:before="0" w:after="0"/>
      </w:pPr>
      <w:r>
        <w:separator/>
      </w:r>
    </w:p>
  </w:endnote>
  <w:endnote w:type="continuationSeparator" w:id="0">
    <w:p w14:paraId="65792067" w14:textId="77777777" w:rsidR="00F60EDD" w:rsidRDefault="00F60EDD" w:rsidP="00D42672">
      <w:pPr>
        <w:spacing w:before="0" w:after="0"/>
      </w:pPr>
      <w:r>
        <w:continuationSeparator/>
      </w:r>
    </w:p>
  </w:endnote>
  <w:endnote w:type="continuationNotice" w:id="1">
    <w:p w14:paraId="2371122C" w14:textId="77777777" w:rsidR="00F60EDD" w:rsidRDefault="00F60E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65BFF" w14:textId="43E22383" w:rsidR="00E3534A" w:rsidRPr="00E3534A" w:rsidRDefault="00E3534A" w:rsidP="00E3534A">
    <w:pPr>
      <w:pStyle w:val="Footer"/>
      <w:rPr>
        <w:rFonts w:ascii="Arial" w:hAnsi="Arial" w:cs="Arial"/>
        <w:b/>
        <w:sz w:val="48"/>
      </w:rPr>
    </w:pPr>
    <w:r w:rsidRPr="00E3534A">
      <w:rPr>
        <w:rFonts w:ascii="Arial" w:hAnsi="Arial" w:cs="Arial"/>
        <w:b/>
        <w:sz w:val="48"/>
      </w:rPr>
      <w:t>HR</w:t>
    </w:r>
    <w:r w:rsidRPr="00E3534A">
      <w:rPr>
        <w:rFonts w:ascii="Arial" w:hAnsi="Arial" w:cs="Arial"/>
        <w:b/>
        <w:sz w:val="48"/>
      </w:rPr>
      <w:tab/>
    </w:r>
    <w:r w:rsidRPr="00E3534A">
      <w:rPr>
        <w:rFonts w:ascii="Arial" w:hAnsi="Arial" w:cs="Arial"/>
        <w:b/>
        <w:sz w:val="48"/>
      </w:rPr>
      <w:tab/>
    </w:r>
    <w:r w:rsidRPr="00E3534A">
      <w:tab/>
    </w:r>
    <w:r w:rsidRPr="00E3534A">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76DC" w14:textId="3573AD0B" w:rsidR="00E3534A" w:rsidRPr="00E3534A" w:rsidRDefault="00E3534A" w:rsidP="00E3534A">
    <w:pPr>
      <w:pStyle w:val="Footer"/>
      <w:rPr>
        <w:rFonts w:ascii="Arial" w:hAnsi="Arial" w:cs="Arial"/>
        <w:b/>
        <w:sz w:val="48"/>
      </w:rPr>
    </w:pPr>
    <w:r w:rsidRPr="00E3534A">
      <w:rPr>
        <w:rFonts w:ascii="Arial" w:hAnsi="Arial" w:cs="Arial"/>
        <w:b/>
        <w:sz w:val="48"/>
      </w:rPr>
      <w:t>HR</w:t>
    </w:r>
    <w:r w:rsidRPr="00E3534A">
      <w:rPr>
        <w:rFonts w:ascii="Arial" w:hAnsi="Arial" w:cs="Arial"/>
        <w:b/>
        <w:sz w:val="48"/>
      </w:rPr>
      <w:tab/>
    </w:r>
    <w:r w:rsidRPr="00E3534A">
      <w:rPr>
        <w:rFonts w:ascii="Arial" w:hAnsi="Arial" w:cs="Arial"/>
        <w:b/>
        <w:sz w:val="48"/>
      </w:rPr>
      <w:tab/>
    </w:r>
    <w:r w:rsidRPr="00E3534A">
      <w:tab/>
    </w:r>
    <w:r w:rsidRPr="00E3534A">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7F1FF" w14:textId="77777777" w:rsidR="00E3534A" w:rsidRDefault="00E35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7371D" w14:textId="6D4110A8" w:rsidR="00E3534A" w:rsidRPr="00E3534A" w:rsidRDefault="00E3534A" w:rsidP="00E3534A">
    <w:pPr>
      <w:pStyle w:val="Footer"/>
      <w:rPr>
        <w:rFonts w:ascii="Arial" w:hAnsi="Arial" w:cs="Arial"/>
        <w:b/>
        <w:sz w:val="48"/>
      </w:rPr>
    </w:pPr>
    <w:r w:rsidRPr="00E3534A">
      <w:rPr>
        <w:rFonts w:ascii="Arial" w:hAnsi="Arial" w:cs="Arial"/>
        <w:b/>
        <w:sz w:val="48"/>
      </w:rPr>
      <w:t>HR</w:t>
    </w:r>
    <w:r w:rsidRPr="00E3534A">
      <w:rPr>
        <w:rFonts w:ascii="Arial" w:hAnsi="Arial" w:cs="Arial"/>
        <w:b/>
        <w:sz w:val="48"/>
      </w:rPr>
      <w:tab/>
    </w:r>
    <w:r>
      <w:fldChar w:fldCharType="begin"/>
    </w:r>
    <w:r>
      <w:instrText xml:space="preserve"> PAGE  \* MERGEFORMAT </w:instrText>
    </w:r>
    <w:r>
      <w:fldChar w:fldCharType="separate"/>
    </w:r>
    <w:r w:rsidR="007D7E72">
      <w:rPr>
        <w:noProof/>
      </w:rPr>
      <w:t>4</w:t>
    </w:r>
    <w:r>
      <w:fldChar w:fldCharType="end"/>
    </w:r>
    <w:r>
      <w:tab/>
    </w:r>
    <w:r w:rsidRPr="00E3534A">
      <w:tab/>
    </w:r>
    <w:r w:rsidRPr="00E3534A">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5894" w14:textId="77777777" w:rsidR="00E3534A" w:rsidRDefault="00E3534A" w:rsidP="00E35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E1560" w14:textId="77777777" w:rsidR="00F60EDD" w:rsidRDefault="00F60EDD" w:rsidP="00D42672">
      <w:pPr>
        <w:spacing w:before="0" w:after="0"/>
      </w:pPr>
      <w:r>
        <w:separator/>
      </w:r>
    </w:p>
  </w:footnote>
  <w:footnote w:type="continuationSeparator" w:id="0">
    <w:p w14:paraId="02AA61DB" w14:textId="77777777" w:rsidR="00F60EDD" w:rsidRDefault="00F60EDD" w:rsidP="00D42672">
      <w:pPr>
        <w:spacing w:before="0" w:after="0"/>
      </w:pPr>
      <w:r>
        <w:continuationSeparator/>
      </w:r>
    </w:p>
  </w:footnote>
  <w:footnote w:type="continuationNotice" w:id="1">
    <w:p w14:paraId="7A54607D" w14:textId="77777777" w:rsidR="00F60EDD" w:rsidRDefault="00F60EDD">
      <w:pPr>
        <w:spacing w:before="0" w:after="0"/>
      </w:pPr>
    </w:p>
  </w:footnote>
  <w:footnote w:id="2">
    <w:p w14:paraId="30813764" w14:textId="77777777" w:rsidR="00912F6A" w:rsidRPr="009064A7" w:rsidRDefault="00912F6A" w:rsidP="00B766AE">
      <w:pPr>
        <w:pStyle w:val="FootnoteText"/>
        <w:rPr>
          <w:rStyle w:val="Hyperlink"/>
        </w:rPr>
      </w:pPr>
      <w:r>
        <w:rPr>
          <w:rStyle w:val="FootnoteReference"/>
        </w:rPr>
        <w:footnoteRef/>
      </w:r>
      <w:r>
        <w:tab/>
        <w:t xml:space="preserve">SL L, 1.8.2024., ELI: </w:t>
      </w:r>
      <w:hyperlink r:id="rId1" w:history="1">
        <w:r>
          <w:rPr>
            <w:rStyle w:val="Hyperlink"/>
          </w:rPr>
          <w:t>http://data.europa.eu/eli/reg/2024/1263/oj</w:t>
        </w:r>
      </w:hyperlink>
      <w:r>
        <w:t>.</w:t>
      </w:r>
    </w:p>
  </w:footnote>
  <w:footnote w:id="3">
    <w:p w14:paraId="6836C70D" w14:textId="77777777" w:rsidR="00AD03A1" w:rsidRPr="00765CF0" w:rsidRDefault="00AD03A1" w:rsidP="00B766AE">
      <w:pPr>
        <w:pStyle w:val="FootnoteText"/>
      </w:pPr>
      <w:r>
        <w:rPr>
          <w:rStyle w:val="FootnoteReference"/>
        </w:rPr>
        <w:footnoteRef/>
      </w:r>
      <w:r>
        <w:tab/>
        <w:t xml:space="preserve">SL L 209, 2.8.1997., ELI: </w:t>
      </w:r>
      <w:hyperlink r:id="rId2" w:history="1">
        <w:r>
          <w:rPr>
            <w:rStyle w:val="Hyperlink"/>
          </w:rPr>
          <w:t>http://data.europa.eu/eli/reg/1997/1467/2024-04-30</w:t>
        </w:r>
      </w:hyperlink>
      <w:r>
        <w:t xml:space="preserve">. </w:t>
      </w:r>
    </w:p>
  </w:footnote>
  <w:footnote w:id="4">
    <w:p w14:paraId="187F21C1" w14:textId="77777777" w:rsidR="003D5826" w:rsidRPr="000465C7" w:rsidRDefault="003D5826" w:rsidP="00B766AE">
      <w:pPr>
        <w:pStyle w:val="FootnoteText"/>
      </w:pPr>
      <w:r>
        <w:rPr>
          <w:rStyle w:val="FootnoteReference"/>
        </w:rPr>
        <w:footnoteRef/>
      </w:r>
      <w:r>
        <w:tab/>
        <w:t xml:space="preserve">SL L, 30.4.2024., ELI: </w:t>
      </w:r>
      <w:hyperlink r:id="rId3" w:history="1">
        <w:r>
          <w:rPr>
            <w:rStyle w:val="Hyperlink"/>
          </w:rPr>
          <w:t>http://data.europa.eu/eli/dir/2024/1265/oj</w:t>
        </w:r>
      </w:hyperlink>
      <w:r>
        <w:t xml:space="preserve">. </w:t>
      </w:r>
    </w:p>
  </w:footnote>
  <w:footnote w:id="5">
    <w:p w14:paraId="603EAF65" w14:textId="77777777" w:rsidR="006E12A8" w:rsidRPr="009064A7" w:rsidRDefault="006E12A8" w:rsidP="00B766AE">
      <w:pPr>
        <w:pStyle w:val="FootnoteText"/>
        <w:rPr>
          <w:rStyle w:val="Hyperlink"/>
        </w:rPr>
      </w:pPr>
      <w:r>
        <w:rPr>
          <w:rStyle w:val="FootnoteReference"/>
        </w:rPr>
        <w:footnoteRef/>
      </w:r>
      <w:r>
        <w:tab/>
        <w:t xml:space="preserve">SL L, 1.8.2024., ELI: </w:t>
      </w:r>
      <w:hyperlink r:id="rId4" w:history="1">
        <w:r>
          <w:rPr>
            <w:rStyle w:val="Hyperlink"/>
          </w:rPr>
          <w:t>https://eur-lex.europa.eu/eli/dec/2024/2123/oj</w:t>
        </w:r>
      </w:hyperlink>
      <w:r>
        <w:rPr>
          <w:rStyle w:val="Hyperlink"/>
        </w:rPr>
        <w:t>.</w:t>
      </w:r>
    </w:p>
  </w:footnote>
  <w:footnote w:id="6">
    <w:p w14:paraId="5FDB9E11" w14:textId="77777777" w:rsidR="00276157" w:rsidRPr="00720012" w:rsidRDefault="00276157" w:rsidP="00B766AE">
      <w:pPr>
        <w:pStyle w:val="FootnoteText"/>
        <w:rPr>
          <w:lang w:val="de-DE"/>
        </w:rPr>
      </w:pPr>
      <w:r>
        <w:rPr>
          <w:rStyle w:val="FootnoteReference"/>
        </w:rPr>
        <w:footnoteRef/>
      </w:r>
      <w:r w:rsidRPr="00720012">
        <w:rPr>
          <w:lang w:val="de-DE"/>
        </w:rPr>
        <w:tab/>
        <w:t>U skladu s člankom 2. stavkom 2. Uredbe (EU) 2024/1263 „neto rashodi” znači državni rashodi bez izdataka za kamate, diskrecijskih mjera na strani prihoda, rashoda za programe Unije koji su u cijelosti pokriveni prihodima iz fondova Unije, nacionalnih rashoda za sufinanciranje programa koji se financiraju sredstvima Unije, cikličkih elemenata rashoda za naknade za nezaposlenost te jednokratnih i drugih privremenih mjera.</w:t>
      </w:r>
    </w:p>
  </w:footnote>
  <w:footnote w:id="7">
    <w:p w14:paraId="074BCCFE" w14:textId="77777777" w:rsidR="00266416" w:rsidRPr="00720012" w:rsidRDefault="00266416" w:rsidP="00266416">
      <w:pPr>
        <w:pStyle w:val="FootnoteText"/>
        <w:rPr>
          <w:lang w:val="es-ES"/>
        </w:rPr>
      </w:pPr>
      <w:r>
        <w:rPr>
          <w:rStyle w:val="FootnoteReference"/>
        </w:rPr>
        <w:footnoteRef/>
      </w:r>
      <w:r w:rsidRPr="00720012">
        <w:rPr>
          <w:lang w:val="es-ES"/>
        </w:rPr>
        <w:tab/>
        <w:t xml:space="preserve">Eurostat Euro Indicators (Pokazatelji za europodručje), objavljeno 22. listopada 2024. Vidjeti: </w:t>
      </w:r>
      <w:hyperlink r:id="rId5" w:history="1">
        <w:r w:rsidRPr="00720012">
          <w:rPr>
            <w:rStyle w:val="Hyperlink"/>
            <w:lang w:val="es-ES"/>
          </w:rPr>
          <w:t>https://ec.europa.eu/eurostat/en/web/products-euro-indicators/w/2-22102024-AP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FF2" w14:textId="77777777" w:rsidR="00E3534A" w:rsidRDefault="00E3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FAF6" w14:textId="77777777" w:rsidR="00E3534A" w:rsidRDefault="00E35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D80DEB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FA0E8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012214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F9A7C7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2-12 09:00: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4654D7C5-FFA5-4858-B08A-93691605DF0F"/>
    <w:docVar w:name="LW_COVERPAGE_TYPE" w:val="1"/>
    <w:docVar w:name="LW_CROSSREFERENCE" w:val="&lt;UNUSED&gt;"/>
    <w:docVar w:name="LW_DocType" w:val="COM"/>
    <w:docVar w:name="LW_EMISSION" w:val="26.11.2024."/>
    <w:docVar w:name="LW_EMISSION_ISODATE" w:val="2024-11-26"/>
    <w:docVar w:name="LW_EMISSION_LOCATION" w:val="BRX"/>
    <w:docVar w:name="LW_EMISSION_PREFIX" w:val="Bruxelles, "/>
    <w:docVar w:name="LW_EMISSION_SUFFIX" w:val="&lt;EMPTY&gt;"/>
    <w:docVar w:name="LW_ID_DOCMODEL" w:val="SG-002"/>
    <w:docVar w:name="LW_ID_DOCSIGNATURE" w:val="SG-002"/>
    <w:docVar w:name="LW_ID_DOCSTRUCTURE" w:val="COM/PL/ORG/NOEEA"/>
    <w:docVar w:name="LW_ID_DOCTYPE" w:val="SG-002"/>
    <w:docVar w:name="LW_ID_STATUT" w:val="SG-002"/>
    <w:docVar w:name="LW_INSERT_EXP.MOTIFS.NEW" w:val="1"/>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9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poruka za"/>
    <w:docVar w:name="LW_SUPERTITRE" w:val="&lt;UNUSED&gt;"/>
    <w:docVar w:name="LW_TITRE.OBJ.CP" w:val="s ciljem okon\u269?anja stanja prekomjernog dr\u382?avnog deficita u Ma\u273?arskoj"/>
    <w:docVar w:name="LW_TYPE.DOC.CP" w:val="PREPORUKU VIJE\u262?A"/>
    <w:docVar w:name="LwApiVersions" w:val="LW4CoDe 1.24.5.0; LW 9.0, Build 20240221"/>
  </w:docVars>
  <w:rsids>
    <w:rsidRoot w:val="00D42672"/>
    <w:rsid w:val="00006450"/>
    <w:rsid w:val="000064F6"/>
    <w:rsid w:val="0000751C"/>
    <w:rsid w:val="00015CC1"/>
    <w:rsid w:val="00025AB8"/>
    <w:rsid w:val="0003060F"/>
    <w:rsid w:val="00034B07"/>
    <w:rsid w:val="00035C64"/>
    <w:rsid w:val="00044CA5"/>
    <w:rsid w:val="000538E6"/>
    <w:rsid w:val="00054093"/>
    <w:rsid w:val="00060D65"/>
    <w:rsid w:val="000628B5"/>
    <w:rsid w:val="00070175"/>
    <w:rsid w:val="000717F8"/>
    <w:rsid w:val="0007215B"/>
    <w:rsid w:val="00072D79"/>
    <w:rsid w:val="00076166"/>
    <w:rsid w:val="00081509"/>
    <w:rsid w:val="0008158F"/>
    <w:rsid w:val="00082296"/>
    <w:rsid w:val="00087638"/>
    <w:rsid w:val="000908A7"/>
    <w:rsid w:val="00090C73"/>
    <w:rsid w:val="0009329A"/>
    <w:rsid w:val="000A0924"/>
    <w:rsid w:val="000A51EF"/>
    <w:rsid w:val="000A73D8"/>
    <w:rsid w:val="000B5A94"/>
    <w:rsid w:val="000B77E9"/>
    <w:rsid w:val="000C17E1"/>
    <w:rsid w:val="000C3798"/>
    <w:rsid w:val="000C512E"/>
    <w:rsid w:val="000C6958"/>
    <w:rsid w:val="000E1134"/>
    <w:rsid w:val="000E6994"/>
    <w:rsid w:val="000F454E"/>
    <w:rsid w:val="0010129C"/>
    <w:rsid w:val="001065F5"/>
    <w:rsid w:val="001074EE"/>
    <w:rsid w:val="00111FEE"/>
    <w:rsid w:val="00116B58"/>
    <w:rsid w:val="00117312"/>
    <w:rsid w:val="00117E14"/>
    <w:rsid w:val="001219A2"/>
    <w:rsid w:val="00121CA8"/>
    <w:rsid w:val="0012308A"/>
    <w:rsid w:val="001238EF"/>
    <w:rsid w:val="00124899"/>
    <w:rsid w:val="001355E4"/>
    <w:rsid w:val="001461BA"/>
    <w:rsid w:val="001535DF"/>
    <w:rsid w:val="001564BB"/>
    <w:rsid w:val="00162AED"/>
    <w:rsid w:val="001630AB"/>
    <w:rsid w:val="001663D8"/>
    <w:rsid w:val="001678E9"/>
    <w:rsid w:val="0017359A"/>
    <w:rsid w:val="00177EF6"/>
    <w:rsid w:val="00180ACD"/>
    <w:rsid w:val="0018123E"/>
    <w:rsid w:val="00182F1B"/>
    <w:rsid w:val="00184E51"/>
    <w:rsid w:val="0019052A"/>
    <w:rsid w:val="00191AAC"/>
    <w:rsid w:val="00196FCF"/>
    <w:rsid w:val="00197613"/>
    <w:rsid w:val="001A0360"/>
    <w:rsid w:val="001A571E"/>
    <w:rsid w:val="001B02D3"/>
    <w:rsid w:val="001B2299"/>
    <w:rsid w:val="001B24C1"/>
    <w:rsid w:val="001B4E71"/>
    <w:rsid w:val="001B52DA"/>
    <w:rsid w:val="001B554E"/>
    <w:rsid w:val="001B5B9E"/>
    <w:rsid w:val="001B670F"/>
    <w:rsid w:val="001C0E38"/>
    <w:rsid w:val="001C364E"/>
    <w:rsid w:val="001C50E6"/>
    <w:rsid w:val="001D42C3"/>
    <w:rsid w:val="001D70B3"/>
    <w:rsid w:val="001E13D9"/>
    <w:rsid w:val="001E419A"/>
    <w:rsid w:val="001E4D96"/>
    <w:rsid w:val="001F2DE2"/>
    <w:rsid w:val="001F4410"/>
    <w:rsid w:val="002025BA"/>
    <w:rsid w:val="0020724D"/>
    <w:rsid w:val="002216D1"/>
    <w:rsid w:val="00225090"/>
    <w:rsid w:val="002261C7"/>
    <w:rsid w:val="00230440"/>
    <w:rsid w:val="00233B4E"/>
    <w:rsid w:val="00233DC7"/>
    <w:rsid w:val="002367B1"/>
    <w:rsid w:val="00242D9C"/>
    <w:rsid w:val="00245CE4"/>
    <w:rsid w:val="00247779"/>
    <w:rsid w:val="002534FE"/>
    <w:rsid w:val="002544EF"/>
    <w:rsid w:val="0025564F"/>
    <w:rsid w:val="00255DD1"/>
    <w:rsid w:val="0025605E"/>
    <w:rsid w:val="00262DE4"/>
    <w:rsid w:val="00266416"/>
    <w:rsid w:val="00266A31"/>
    <w:rsid w:val="0026769B"/>
    <w:rsid w:val="002704B3"/>
    <w:rsid w:val="00276157"/>
    <w:rsid w:val="002771EC"/>
    <w:rsid w:val="00281E9B"/>
    <w:rsid w:val="0028461F"/>
    <w:rsid w:val="00285BEE"/>
    <w:rsid w:val="00285BFA"/>
    <w:rsid w:val="00291582"/>
    <w:rsid w:val="00293921"/>
    <w:rsid w:val="0029533F"/>
    <w:rsid w:val="002A07D4"/>
    <w:rsid w:val="002A2AEE"/>
    <w:rsid w:val="002A4E59"/>
    <w:rsid w:val="002B05F9"/>
    <w:rsid w:val="002B08CA"/>
    <w:rsid w:val="002B27E8"/>
    <w:rsid w:val="002B30AF"/>
    <w:rsid w:val="002B4CD1"/>
    <w:rsid w:val="002B5A22"/>
    <w:rsid w:val="002B6402"/>
    <w:rsid w:val="002D330D"/>
    <w:rsid w:val="002D3924"/>
    <w:rsid w:val="002E041B"/>
    <w:rsid w:val="002F191D"/>
    <w:rsid w:val="002F30A5"/>
    <w:rsid w:val="002F3216"/>
    <w:rsid w:val="002F47C0"/>
    <w:rsid w:val="002F57D9"/>
    <w:rsid w:val="002F6C2F"/>
    <w:rsid w:val="002F7485"/>
    <w:rsid w:val="003030AD"/>
    <w:rsid w:val="00305AC6"/>
    <w:rsid w:val="003102BA"/>
    <w:rsid w:val="003158F5"/>
    <w:rsid w:val="00323F43"/>
    <w:rsid w:val="003248ED"/>
    <w:rsid w:val="00330763"/>
    <w:rsid w:val="003307B3"/>
    <w:rsid w:val="00331DD1"/>
    <w:rsid w:val="003324E5"/>
    <w:rsid w:val="0033344A"/>
    <w:rsid w:val="00346595"/>
    <w:rsid w:val="0035086D"/>
    <w:rsid w:val="00352764"/>
    <w:rsid w:val="003553AE"/>
    <w:rsid w:val="003575FD"/>
    <w:rsid w:val="003612E9"/>
    <w:rsid w:val="003627F7"/>
    <w:rsid w:val="00362B75"/>
    <w:rsid w:val="00363ACB"/>
    <w:rsid w:val="0037096B"/>
    <w:rsid w:val="00372C99"/>
    <w:rsid w:val="00373AFC"/>
    <w:rsid w:val="00382143"/>
    <w:rsid w:val="00385BAD"/>
    <w:rsid w:val="00385DE1"/>
    <w:rsid w:val="00393BF2"/>
    <w:rsid w:val="0039582A"/>
    <w:rsid w:val="00397057"/>
    <w:rsid w:val="003A1645"/>
    <w:rsid w:val="003A2CD4"/>
    <w:rsid w:val="003B2693"/>
    <w:rsid w:val="003B6B52"/>
    <w:rsid w:val="003C3014"/>
    <w:rsid w:val="003C3724"/>
    <w:rsid w:val="003C3F13"/>
    <w:rsid w:val="003C58F6"/>
    <w:rsid w:val="003D004D"/>
    <w:rsid w:val="003D5826"/>
    <w:rsid w:val="003D6419"/>
    <w:rsid w:val="003D736C"/>
    <w:rsid w:val="003E6418"/>
    <w:rsid w:val="003F10C4"/>
    <w:rsid w:val="003F25AF"/>
    <w:rsid w:val="003F57C4"/>
    <w:rsid w:val="00400079"/>
    <w:rsid w:val="00401DC3"/>
    <w:rsid w:val="0040227D"/>
    <w:rsid w:val="00411EA6"/>
    <w:rsid w:val="0042648E"/>
    <w:rsid w:val="00427B3D"/>
    <w:rsid w:val="00430710"/>
    <w:rsid w:val="004329AA"/>
    <w:rsid w:val="00433140"/>
    <w:rsid w:val="004336AC"/>
    <w:rsid w:val="00456E37"/>
    <w:rsid w:val="004578CC"/>
    <w:rsid w:val="00461042"/>
    <w:rsid w:val="00467D64"/>
    <w:rsid w:val="00470FB0"/>
    <w:rsid w:val="00480353"/>
    <w:rsid w:val="004816F6"/>
    <w:rsid w:val="00485DF2"/>
    <w:rsid w:val="004911A3"/>
    <w:rsid w:val="00493036"/>
    <w:rsid w:val="004936D2"/>
    <w:rsid w:val="00494179"/>
    <w:rsid w:val="00494C6E"/>
    <w:rsid w:val="0049597F"/>
    <w:rsid w:val="004A46D5"/>
    <w:rsid w:val="004A5776"/>
    <w:rsid w:val="004B2967"/>
    <w:rsid w:val="004C1824"/>
    <w:rsid w:val="004C3B22"/>
    <w:rsid w:val="004C6C51"/>
    <w:rsid w:val="004D3AA9"/>
    <w:rsid w:val="004D6A17"/>
    <w:rsid w:val="004F26DB"/>
    <w:rsid w:val="004F6420"/>
    <w:rsid w:val="005113D8"/>
    <w:rsid w:val="005115D0"/>
    <w:rsid w:val="00517542"/>
    <w:rsid w:val="005208EF"/>
    <w:rsid w:val="00520A2D"/>
    <w:rsid w:val="00523448"/>
    <w:rsid w:val="005256C2"/>
    <w:rsid w:val="0052730C"/>
    <w:rsid w:val="00533CC3"/>
    <w:rsid w:val="00534C59"/>
    <w:rsid w:val="005364F8"/>
    <w:rsid w:val="00536C98"/>
    <w:rsid w:val="0054069D"/>
    <w:rsid w:val="0054299A"/>
    <w:rsid w:val="00542D3A"/>
    <w:rsid w:val="005437AF"/>
    <w:rsid w:val="005460BB"/>
    <w:rsid w:val="005473CD"/>
    <w:rsid w:val="00556DC7"/>
    <w:rsid w:val="00560D3A"/>
    <w:rsid w:val="00570E42"/>
    <w:rsid w:val="00572182"/>
    <w:rsid w:val="00572718"/>
    <w:rsid w:val="0057578E"/>
    <w:rsid w:val="00586826"/>
    <w:rsid w:val="005914EE"/>
    <w:rsid w:val="00593C09"/>
    <w:rsid w:val="005955D9"/>
    <w:rsid w:val="00596342"/>
    <w:rsid w:val="005A55A6"/>
    <w:rsid w:val="005A6CA6"/>
    <w:rsid w:val="005A74EC"/>
    <w:rsid w:val="005B1EB6"/>
    <w:rsid w:val="005B4817"/>
    <w:rsid w:val="005C30BB"/>
    <w:rsid w:val="005C357A"/>
    <w:rsid w:val="005C59A7"/>
    <w:rsid w:val="005D0878"/>
    <w:rsid w:val="005D0910"/>
    <w:rsid w:val="005E1E6F"/>
    <w:rsid w:val="005E305F"/>
    <w:rsid w:val="005E7FFB"/>
    <w:rsid w:val="005F74AB"/>
    <w:rsid w:val="00603398"/>
    <w:rsid w:val="00604D0D"/>
    <w:rsid w:val="0060637D"/>
    <w:rsid w:val="00606B71"/>
    <w:rsid w:val="00606E93"/>
    <w:rsid w:val="00612585"/>
    <w:rsid w:val="00620768"/>
    <w:rsid w:val="00621E94"/>
    <w:rsid w:val="00622B2B"/>
    <w:rsid w:val="006264EA"/>
    <w:rsid w:val="00631978"/>
    <w:rsid w:val="00635B94"/>
    <w:rsid w:val="006363EB"/>
    <w:rsid w:val="00641322"/>
    <w:rsid w:val="00641B33"/>
    <w:rsid w:val="006452D4"/>
    <w:rsid w:val="006467B6"/>
    <w:rsid w:val="00651CFE"/>
    <w:rsid w:val="0065225F"/>
    <w:rsid w:val="00652FB9"/>
    <w:rsid w:val="006533A3"/>
    <w:rsid w:val="0065350C"/>
    <w:rsid w:val="00654447"/>
    <w:rsid w:val="00662111"/>
    <w:rsid w:val="006634F4"/>
    <w:rsid w:val="00670DCF"/>
    <w:rsid w:val="006747DE"/>
    <w:rsid w:val="0067785B"/>
    <w:rsid w:val="00681674"/>
    <w:rsid w:val="00683FFC"/>
    <w:rsid w:val="006850B7"/>
    <w:rsid w:val="006970BC"/>
    <w:rsid w:val="006A0C7E"/>
    <w:rsid w:val="006A0E8B"/>
    <w:rsid w:val="006A63E2"/>
    <w:rsid w:val="006B1444"/>
    <w:rsid w:val="006B36E7"/>
    <w:rsid w:val="006B6B8F"/>
    <w:rsid w:val="006B7A8A"/>
    <w:rsid w:val="006D5AB2"/>
    <w:rsid w:val="006D7745"/>
    <w:rsid w:val="006E12A8"/>
    <w:rsid w:val="006E43DF"/>
    <w:rsid w:val="006E4CB2"/>
    <w:rsid w:val="006E5269"/>
    <w:rsid w:val="006F14A9"/>
    <w:rsid w:val="006F670F"/>
    <w:rsid w:val="0070183E"/>
    <w:rsid w:val="00703566"/>
    <w:rsid w:val="00713E73"/>
    <w:rsid w:val="00716C83"/>
    <w:rsid w:val="00717D52"/>
    <w:rsid w:val="00720012"/>
    <w:rsid w:val="007210BC"/>
    <w:rsid w:val="00727E5D"/>
    <w:rsid w:val="0073092D"/>
    <w:rsid w:val="00731063"/>
    <w:rsid w:val="007313ED"/>
    <w:rsid w:val="00734BA4"/>
    <w:rsid w:val="007368AB"/>
    <w:rsid w:val="00737F66"/>
    <w:rsid w:val="00746353"/>
    <w:rsid w:val="00751487"/>
    <w:rsid w:val="00756009"/>
    <w:rsid w:val="00761754"/>
    <w:rsid w:val="007633E9"/>
    <w:rsid w:val="00764682"/>
    <w:rsid w:val="00770638"/>
    <w:rsid w:val="00773331"/>
    <w:rsid w:val="00777D19"/>
    <w:rsid w:val="00783F7B"/>
    <w:rsid w:val="00786B4F"/>
    <w:rsid w:val="007932EF"/>
    <w:rsid w:val="007A0011"/>
    <w:rsid w:val="007A0ECB"/>
    <w:rsid w:val="007A44B8"/>
    <w:rsid w:val="007A5E92"/>
    <w:rsid w:val="007B0F3E"/>
    <w:rsid w:val="007B1BCB"/>
    <w:rsid w:val="007C4226"/>
    <w:rsid w:val="007C4923"/>
    <w:rsid w:val="007C4FB4"/>
    <w:rsid w:val="007C527E"/>
    <w:rsid w:val="007C568A"/>
    <w:rsid w:val="007C5967"/>
    <w:rsid w:val="007C7926"/>
    <w:rsid w:val="007D01FD"/>
    <w:rsid w:val="007D55CA"/>
    <w:rsid w:val="007D6940"/>
    <w:rsid w:val="007D7E72"/>
    <w:rsid w:val="007E05B0"/>
    <w:rsid w:val="007F5057"/>
    <w:rsid w:val="007F64A3"/>
    <w:rsid w:val="007F73C4"/>
    <w:rsid w:val="0080249C"/>
    <w:rsid w:val="00806671"/>
    <w:rsid w:val="00815A99"/>
    <w:rsid w:val="00821D16"/>
    <w:rsid w:val="008243B2"/>
    <w:rsid w:val="0082740E"/>
    <w:rsid w:val="00830A5F"/>
    <w:rsid w:val="00833FA4"/>
    <w:rsid w:val="008343A5"/>
    <w:rsid w:val="00835B28"/>
    <w:rsid w:val="0085607F"/>
    <w:rsid w:val="00871BFD"/>
    <w:rsid w:val="00874D22"/>
    <w:rsid w:val="00877109"/>
    <w:rsid w:val="00881B71"/>
    <w:rsid w:val="0088290B"/>
    <w:rsid w:val="008910BF"/>
    <w:rsid w:val="00891AC1"/>
    <w:rsid w:val="00893C65"/>
    <w:rsid w:val="0089584E"/>
    <w:rsid w:val="008A079B"/>
    <w:rsid w:val="008A2914"/>
    <w:rsid w:val="008A7272"/>
    <w:rsid w:val="008B57FE"/>
    <w:rsid w:val="008B59DF"/>
    <w:rsid w:val="008B5FB1"/>
    <w:rsid w:val="008B6F5A"/>
    <w:rsid w:val="008C28C1"/>
    <w:rsid w:val="008C7049"/>
    <w:rsid w:val="008D205D"/>
    <w:rsid w:val="008D262D"/>
    <w:rsid w:val="008E1D41"/>
    <w:rsid w:val="008E37EC"/>
    <w:rsid w:val="008E4D8E"/>
    <w:rsid w:val="008E603C"/>
    <w:rsid w:val="008F0759"/>
    <w:rsid w:val="008F2DAD"/>
    <w:rsid w:val="008F308D"/>
    <w:rsid w:val="0090349B"/>
    <w:rsid w:val="0090380A"/>
    <w:rsid w:val="009064A7"/>
    <w:rsid w:val="00907B35"/>
    <w:rsid w:val="00910CA7"/>
    <w:rsid w:val="00912E02"/>
    <w:rsid w:val="00912F6A"/>
    <w:rsid w:val="009130F7"/>
    <w:rsid w:val="00915728"/>
    <w:rsid w:val="009200F9"/>
    <w:rsid w:val="00920BC0"/>
    <w:rsid w:val="0092638E"/>
    <w:rsid w:val="00927BE6"/>
    <w:rsid w:val="0093187F"/>
    <w:rsid w:val="00941CDC"/>
    <w:rsid w:val="009444F8"/>
    <w:rsid w:val="00946805"/>
    <w:rsid w:val="00947A26"/>
    <w:rsid w:val="00947C4F"/>
    <w:rsid w:val="009522D9"/>
    <w:rsid w:val="00960CCD"/>
    <w:rsid w:val="00960EAF"/>
    <w:rsid w:val="0096194F"/>
    <w:rsid w:val="0096523B"/>
    <w:rsid w:val="009677D3"/>
    <w:rsid w:val="00967D45"/>
    <w:rsid w:val="00970187"/>
    <w:rsid w:val="009731E0"/>
    <w:rsid w:val="00974DFA"/>
    <w:rsid w:val="00975891"/>
    <w:rsid w:val="00976F77"/>
    <w:rsid w:val="00977300"/>
    <w:rsid w:val="00983A11"/>
    <w:rsid w:val="00984504"/>
    <w:rsid w:val="00984A9E"/>
    <w:rsid w:val="009853F7"/>
    <w:rsid w:val="00987556"/>
    <w:rsid w:val="009A0066"/>
    <w:rsid w:val="009A4D70"/>
    <w:rsid w:val="009A4FA9"/>
    <w:rsid w:val="009A5090"/>
    <w:rsid w:val="009A7070"/>
    <w:rsid w:val="009A7167"/>
    <w:rsid w:val="009A7DAC"/>
    <w:rsid w:val="009B0385"/>
    <w:rsid w:val="009B063C"/>
    <w:rsid w:val="009B1D87"/>
    <w:rsid w:val="009B4373"/>
    <w:rsid w:val="009C26F9"/>
    <w:rsid w:val="009C495F"/>
    <w:rsid w:val="009C4BD2"/>
    <w:rsid w:val="009D22FC"/>
    <w:rsid w:val="009D6937"/>
    <w:rsid w:val="009E0E4A"/>
    <w:rsid w:val="009E1B70"/>
    <w:rsid w:val="009E22DB"/>
    <w:rsid w:val="009E2E22"/>
    <w:rsid w:val="009E56FC"/>
    <w:rsid w:val="009E5730"/>
    <w:rsid w:val="009E6027"/>
    <w:rsid w:val="009E73E1"/>
    <w:rsid w:val="009E7C72"/>
    <w:rsid w:val="00A03B5A"/>
    <w:rsid w:val="00A12543"/>
    <w:rsid w:val="00A1283A"/>
    <w:rsid w:val="00A202DF"/>
    <w:rsid w:val="00A2276B"/>
    <w:rsid w:val="00A23FA0"/>
    <w:rsid w:val="00A26520"/>
    <w:rsid w:val="00A33398"/>
    <w:rsid w:val="00A34960"/>
    <w:rsid w:val="00A34AE8"/>
    <w:rsid w:val="00A34D5A"/>
    <w:rsid w:val="00A35B8E"/>
    <w:rsid w:val="00A36D3E"/>
    <w:rsid w:val="00A44EDF"/>
    <w:rsid w:val="00A47290"/>
    <w:rsid w:val="00A473E8"/>
    <w:rsid w:val="00A47C93"/>
    <w:rsid w:val="00A52DE1"/>
    <w:rsid w:val="00A53B90"/>
    <w:rsid w:val="00A551A1"/>
    <w:rsid w:val="00A57059"/>
    <w:rsid w:val="00A57397"/>
    <w:rsid w:val="00A67F4C"/>
    <w:rsid w:val="00A71C36"/>
    <w:rsid w:val="00A730BF"/>
    <w:rsid w:val="00A764B7"/>
    <w:rsid w:val="00A91F9C"/>
    <w:rsid w:val="00A92E71"/>
    <w:rsid w:val="00A948BF"/>
    <w:rsid w:val="00A9562F"/>
    <w:rsid w:val="00A97773"/>
    <w:rsid w:val="00AA0F0D"/>
    <w:rsid w:val="00AA2ABD"/>
    <w:rsid w:val="00AA437C"/>
    <w:rsid w:val="00AA5382"/>
    <w:rsid w:val="00AA623E"/>
    <w:rsid w:val="00AB0BA1"/>
    <w:rsid w:val="00AB150F"/>
    <w:rsid w:val="00AB2B80"/>
    <w:rsid w:val="00AB303E"/>
    <w:rsid w:val="00AB44A2"/>
    <w:rsid w:val="00AB6664"/>
    <w:rsid w:val="00AC414A"/>
    <w:rsid w:val="00AC471B"/>
    <w:rsid w:val="00AC646F"/>
    <w:rsid w:val="00AC7101"/>
    <w:rsid w:val="00AD01F3"/>
    <w:rsid w:val="00AD03A1"/>
    <w:rsid w:val="00AD2888"/>
    <w:rsid w:val="00AD48E0"/>
    <w:rsid w:val="00AD6425"/>
    <w:rsid w:val="00AD7A63"/>
    <w:rsid w:val="00AE33F6"/>
    <w:rsid w:val="00AE55E3"/>
    <w:rsid w:val="00AE57F7"/>
    <w:rsid w:val="00AE7D56"/>
    <w:rsid w:val="00AF21B6"/>
    <w:rsid w:val="00AF6482"/>
    <w:rsid w:val="00B02F5F"/>
    <w:rsid w:val="00B04D72"/>
    <w:rsid w:val="00B157E6"/>
    <w:rsid w:val="00B169FD"/>
    <w:rsid w:val="00B16E54"/>
    <w:rsid w:val="00B20BA7"/>
    <w:rsid w:val="00B2205E"/>
    <w:rsid w:val="00B27CD7"/>
    <w:rsid w:val="00B3287E"/>
    <w:rsid w:val="00B3362D"/>
    <w:rsid w:val="00B33D35"/>
    <w:rsid w:val="00B33E3C"/>
    <w:rsid w:val="00B35323"/>
    <w:rsid w:val="00B3579B"/>
    <w:rsid w:val="00B42C34"/>
    <w:rsid w:val="00B449B9"/>
    <w:rsid w:val="00B454EE"/>
    <w:rsid w:val="00B46198"/>
    <w:rsid w:val="00B4759A"/>
    <w:rsid w:val="00B53FAE"/>
    <w:rsid w:val="00B54843"/>
    <w:rsid w:val="00B57665"/>
    <w:rsid w:val="00B578BA"/>
    <w:rsid w:val="00B578EA"/>
    <w:rsid w:val="00B63CAF"/>
    <w:rsid w:val="00B66256"/>
    <w:rsid w:val="00B766AE"/>
    <w:rsid w:val="00B76EE4"/>
    <w:rsid w:val="00B805F8"/>
    <w:rsid w:val="00B80696"/>
    <w:rsid w:val="00B8319A"/>
    <w:rsid w:val="00B836A0"/>
    <w:rsid w:val="00B90B71"/>
    <w:rsid w:val="00B930D5"/>
    <w:rsid w:val="00B935A1"/>
    <w:rsid w:val="00B93831"/>
    <w:rsid w:val="00B9678C"/>
    <w:rsid w:val="00BB1EEF"/>
    <w:rsid w:val="00BB45D8"/>
    <w:rsid w:val="00BB5F0B"/>
    <w:rsid w:val="00BC116C"/>
    <w:rsid w:val="00BC1521"/>
    <w:rsid w:val="00BC1522"/>
    <w:rsid w:val="00BC1DCD"/>
    <w:rsid w:val="00BC5AC0"/>
    <w:rsid w:val="00BD0BD6"/>
    <w:rsid w:val="00BD3BC5"/>
    <w:rsid w:val="00BE177B"/>
    <w:rsid w:val="00BE3EF3"/>
    <w:rsid w:val="00BE7CBB"/>
    <w:rsid w:val="00BF0EF9"/>
    <w:rsid w:val="00BF33BA"/>
    <w:rsid w:val="00BF37DA"/>
    <w:rsid w:val="00BF4498"/>
    <w:rsid w:val="00BF5C6F"/>
    <w:rsid w:val="00BF7452"/>
    <w:rsid w:val="00BF7F24"/>
    <w:rsid w:val="00C12301"/>
    <w:rsid w:val="00C15307"/>
    <w:rsid w:val="00C15EC6"/>
    <w:rsid w:val="00C1656A"/>
    <w:rsid w:val="00C171FF"/>
    <w:rsid w:val="00C23F8B"/>
    <w:rsid w:val="00C245D1"/>
    <w:rsid w:val="00C25B1B"/>
    <w:rsid w:val="00C279BE"/>
    <w:rsid w:val="00C30D0A"/>
    <w:rsid w:val="00C43982"/>
    <w:rsid w:val="00C4771A"/>
    <w:rsid w:val="00C57908"/>
    <w:rsid w:val="00C57B59"/>
    <w:rsid w:val="00C605E2"/>
    <w:rsid w:val="00C65EC3"/>
    <w:rsid w:val="00C7524F"/>
    <w:rsid w:val="00C81B2F"/>
    <w:rsid w:val="00C81DEE"/>
    <w:rsid w:val="00C81E63"/>
    <w:rsid w:val="00C83F71"/>
    <w:rsid w:val="00C84728"/>
    <w:rsid w:val="00C8654E"/>
    <w:rsid w:val="00C876E6"/>
    <w:rsid w:val="00C87944"/>
    <w:rsid w:val="00C9040A"/>
    <w:rsid w:val="00C96576"/>
    <w:rsid w:val="00C970D4"/>
    <w:rsid w:val="00CA132C"/>
    <w:rsid w:val="00CA4178"/>
    <w:rsid w:val="00CA75BB"/>
    <w:rsid w:val="00CA7F3E"/>
    <w:rsid w:val="00CB05A8"/>
    <w:rsid w:val="00CB26E2"/>
    <w:rsid w:val="00CC3514"/>
    <w:rsid w:val="00CC4544"/>
    <w:rsid w:val="00CD1151"/>
    <w:rsid w:val="00CD48ED"/>
    <w:rsid w:val="00CE0574"/>
    <w:rsid w:val="00D01E51"/>
    <w:rsid w:val="00D046E0"/>
    <w:rsid w:val="00D119F1"/>
    <w:rsid w:val="00D1218B"/>
    <w:rsid w:val="00D12F39"/>
    <w:rsid w:val="00D20315"/>
    <w:rsid w:val="00D20381"/>
    <w:rsid w:val="00D2246D"/>
    <w:rsid w:val="00D23352"/>
    <w:rsid w:val="00D23B96"/>
    <w:rsid w:val="00D32D3E"/>
    <w:rsid w:val="00D32F93"/>
    <w:rsid w:val="00D41662"/>
    <w:rsid w:val="00D41967"/>
    <w:rsid w:val="00D42249"/>
    <w:rsid w:val="00D42672"/>
    <w:rsid w:val="00D44491"/>
    <w:rsid w:val="00D452D8"/>
    <w:rsid w:val="00D525F2"/>
    <w:rsid w:val="00D57595"/>
    <w:rsid w:val="00D61EBF"/>
    <w:rsid w:val="00D63199"/>
    <w:rsid w:val="00D6546E"/>
    <w:rsid w:val="00D66544"/>
    <w:rsid w:val="00D70024"/>
    <w:rsid w:val="00D73944"/>
    <w:rsid w:val="00D73EF7"/>
    <w:rsid w:val="00D76C13"/>
    <w:rsid w:val="00D8015B"/>
    <w:rsid w:val="00D8045C"/>
    <w:rsid w:val="00D851B2"/>
    <w:rsid w:val="00D86988"/>
    <w:rsid w:val="00D87E4C"/>
    <w:rsid w:val="00D93943"/>
    <w:rsid w:val="00DA0BEA"/>
    <w:rsid w:val="00DA4298"/>
    <w:rsid w:val="00DB1ED1"/>
    <w:rsid w:val="00DB2244"/>
    <w:rsid w:val="00DC08C0"/>
    <w:rsid w:val="00DC199E"/>
    <w:rsid w:val="00DD3237"/>
    <w:rsid w:val="00DD3291"/>
    <w:rsid w:val="00DD4C0D"/>
    <w:rsid w:val="00DD5BB9"/>
    <w:rsid w:val="00DD5C41"/>
    <w:rsid w:val="00DD650B"/>
    <w:rsid w:val="00DE5566"/>
    <w:rsid w:val="00DE6C90"/>
    <w:rsid w:val="00DE6D5D"/>
    <w:rsid w:val="00DE6D8E"/>
    <w:rsid w:val="00DF2732"/>
    <w:rsid w:val="00E00119"/>
    <w:rsid w:val="00E06834"/>
    <w:rsid w:val="00E077BD"/>
    <w:rsid w:val="00E154A6"/>
    <w:rsid w:val="00E236AD"/>
    <w:rsid w:val="00E34D6A"/>
    <w:rsid w:val="00E3534A"/>
    <w:rsid w:val="00E35974"/>
    <w:rsid w:val="00E36EAC"/>
    <w:rsid w:val="00E462EA"/>
    <w:rsid w:val="00E468B6"/>
    <w:rsid w:val="00E54824"/>
    <w:rsid w:val="00E620A9"/>
    <w:rsid w:val="00E70463"/>
    <w:rsid w:val="00E70B83"/>
    <w:rsid w:val="00E714EB"/>
    <w:rsid w:val="00E73A24"/>
    <w:rsid w:val="00E77F80"/>
    <w:rsid w:val="00E82C6D"/>
    <w:rsid w:val="00E848A0"/>
    <w:rsid w:val="00E911D3"/>
    <w:rsid w:val="00E918E3"/>
    <w:rsid w:val="00E95300"/>
    <w:rsid w:val="00E96831"/>
    <w:rsid w:val="00EA194B"/>
    <w:rsid w:val="00EA25D2"/>
    <w:rsid w:val="00EA4DB4"/>
    <w:rsid w:val="00EB113D"/>
    <w:rsid w:val="00EB2435"/>
    <w:rsid w:val="00EB6D95"/>
    <w:rsid w:val="00EC1120"/>
    <w:rsid w:val="00EC5E6A"/>
    <w:rsid w:val="00ED6B70"/>
    <w:rsid w:val="00ED6EA2"/>
    <w:rsid w:val="00EE168F"/>
    <w:rsid w:val="00EE18F2"/>
    <w:rsid w:val="00EE34B7"/>
    <w:rsid w:val="00EE424F"/>
    <w:rsid w:val="00EE4648"/>
    <w:rsid w:val="00EF2674"/>
    <w:rsid w:val="00EF4A83"/>
    <w:rsid w:val="00EF5619"/>
    <w:rsid w:val="00F02261"/>
    <w:rsid w:val="00F02262"/>
    <w:rsid w:val="00F127B9"/>
    <w:rsid w:val="00F12EA9"/>
    <w:rsid w:val="00F14F08"/>
    <w:rsid w:val="00F15D2E"/>
    <w:rsid w:val="00F20556"/>
    <w:rsid w:val="00F2140E"/>
    <w:rsid w:val="00F326FF"/>
    <w:rsid w:val="00F44758"/>
    <w:rsid w:val="00F53EEB"/>
    <w:rsid w:val="00F565DD"/>
    <w:rsid w:val="00F60EDD"/>
    <w:rsid w:val="00F627E8"/>
    <w:rsid w:val="00F6339E"/>
    <w:rsid w:val="00F633AB"/>
    <w:rsid w:val="00F63FB3"/>
    <w:rsid w:val="00F64376"/>
    <w:rsid w:val="00F70F35"/>
    <w:rsid w:val="00F74DD2"/>
    <w:rsid w:val="00F76E73"/>
    <w:rsid w:val="00F77437"/>
    <w:rsid w:val="00F77F62"/>
    <w:rsid w:val="00F868BE"/>
    <w:rsid w:val="00F90B73"/>
    <w:rsid w:val="00F92BA4"/>
    <w:rsid w:val="00F95623"/>
    <w:rsid w:val="00F9727F"/>
    <w:rsid w:val="00F976AE"/>
    <w:rsid w:val="00FB22DF"/>
    <w:rsid w:val="00FB7989"/>
    <w:rsid w:val="00FC10C3"/>
    <w:rsid w:val="00FC38F8"/>
    <w:rsid w:val="00FC4CB3"/>
    <w:rsid w:val="00FC61E5"/>
    <w:rsid w:val="00FD148C"/>
    <w:rsid w:val="00FD170F"/>
    <w:rsid w:val="00FD430B"/>
    <w:rsid w:val="00FD5FB1"/>
    <w:rsid w:val="00FE0F7D"/>
    <w:rsid w:val="00FF04E1"/>
    <w:rsid w:val="00FF0C5C"/>
    <w:rsid w:val="00FF101D"/>
    <w:rsid w:val="00FF10CA"/>
    <w:rsid w:val="00FF2450"/>
    <w:rsid w:val="00FF31B0"/>
    <w:rsid w:val="00FF3D5B"/>
    <w:rsid w:val="00FF7533"/>
    <w:rsid w:val="02313E70"/>
    <w:rsid w:val="062558BE"/>
    <w:rsid w:val="0A1FE983"/>
    <w:rsid w:val="0BF963D7"/>
    <w:rsid w:val="0C0F5410"/>
    <w:rsid w:val="134D5852"/>
    <w:rsid w:val="139252B6"/>
    <w:rsid w:val="1569359D"/>
    <w:rsid w:val="1584F6AE"/>
    <w:rsid w:val="1B576AD9"/>
    <w:rsid w:val="1BB1AF7B"/>
    <w:rsid w:val="1D1AA373"/>
    <w:rsid w:val="1E3639EE"/>
    <w:rsid w:val="1EB444D3"/>
    <w:rsid w:val="2953E1DC"/>
    <w:rsid w:val="3122E3FA"/>
    <w:rsid w:val="33D2D2C5"/>
    <w:rsid w:val="374CDBC6"/>
    <w:rsid w:val="3774B6A9"/>
    <w:rsid w:val="37C99070"/>
    <w:rsid w:val="39C16E35"/>
    <w:rsid w:val="3A8D77C9"/>
    <w:rsid w:val="3D8F2AAB"/>
    <w:rsid w:val="3E0A956D"/>
    <w:rsid w:val="480CAC51"/>
    <w:rsid w:val="49D56584"/>
    <w:rsid w:val="49D7A297"/>
    <w:rsid w:val="4ABD138B"/>
    <w:rsid w:val="500059A3"/>
    <w:rsid w:val="52CF5954"/>
    <w:rsid w:val="53F42687"/>
    <w:rsid w:val="54308E81"/>
    <w:rsid w:val="555C363E"/>
    <w:rsid w:val="5826777C"/>
    <w:rsid w:val="5C854FDE"/>
    <w:rsid w:val="60BC289E"/>
    <w:rsid w:val="631C10F9"/>
    <w:rsid w:val="6391D0CB"/>
    <w:rsid w:val="64E91888"/>
    <w:rsid w:val="64EF862E"/>
    <w:rsid w:val="6815C0ED"/>
    <w:rsid w:val="712C3B17"/>
    <w:rsid w:val="729A3A78"/>
    <w:rsid w:val="740E94B6"/>
    <w:rsid w:val="77B74102"/>
    <w:rsid w:val="7B7B88F4"/>
    <w:rsid w:val="7C5C1BA4"/>
    <w:rsid w:val="7C9882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B6A2CA"/>
  <w15:docId w15:val="{45CE9937-1FD0-44F7-85D4-F474F7FA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672"/>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42672"/>
    <w:pPr>
      <w:spacing w:after="160" w:line="240" w:lineRule="exact"/>
      <w:ind w:left="357"/>
    </w:pPr>
    <w:rPr>
      <w:rFonts w:asciiTheme="minorHAnsi" w:hAnsiTheme="minorHAnsi" w:cstheme="minorBidi"/>
      <w:sz w:val="22"/>
      <w:vertAlign w:val="superscript"/>
    </w:rPr>
  </w:style>
  <w:style w:type="paragraph" w:customStyle="1" w:styleId="pf0">
    <w:name w:val="pf0"/>
    <w:basedOn w:val="Normal"/>
    <w:rsid w:val="00D42672"/>
    <w:pPr>
      <w:spacing w:before="100" w:beforeAutospacing="1" w:after="100" w:afterAutospacing="1"/>
      <w:ind w:left="357"/>
    </w:pPr>
    <w:rPr>
      <w:rFonts w:eastAsia="Times New Roman"/>
      <w:szCs w:val="24"/>
      <w:lang w:eastAsia="en-IE"/>
    </w:rPr>
  </w:style>
  <w:style w:type="table" w:styleId="TableGrid">
    <w:name w:val="Table Grid"/>
    <w:basedOn w:val="TableNormal"/>
    <w:uiPriority w:val="39"/>
    <w:rsid w:val="00D42672"/>
    <w:pPr>
      <w:widowControl w:val="0"/>
      <w:spacing w:before="120" w:after="0" w:line="240" w:lineRule="auto"/>
      <w:ind w:left="357"/>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1E4D96"/>
    <w:pPr>
      <w:numPr>
        <w:numId w:val="1"/>
      </w:numPr>
      <w:contextualSpacing/>
    </w:pPr>
  </w:style>
  <w:style w:type="paragraph" w:styleId="ListBullet2">
    <w:name w:val="List Bullet 2"/>
    <w:basedOn w:val="Normal"/>
    <w:uiPriority w:val="99"/>
    <w:semiHidden/>
    <w:unhideWhenUsed/>
    <w:rsid w:val="001E4D96"/>
    <w:pPr>
      <w:numPr>
        <w:numId w:val="2"/>
      </w:numPr>
      <w:contextualSpacing/>
    </w:pPr>
  </w:style>
  <w:style w:type="paragraph" w:styleId="ListBullet3">
    <w:name w:val="List Bullet 3"/>
    <w:basedOn w:val="Normal"/>
    <w:uiPriority w:val="99"/>
    <w:semiHidden/>
    <w:unhideWhenUsed/>
    <w:rsid w:val="001E4D96"/>
    <w:pPr>
      <w:numPr>
        <w:numId w:val="3"/>
      </w:numPr>
      <w:contextualSpacing/>
    </w:pPr>
  </w:style>
  <w:style w:type="paragraph" w:styleId="ListBullet4">
    <w:name w:val="List Bullet 4"/>
    <w:basedOn w:val="Normal"/>
    <w:uiPriority w:val="99"/>
    <w:semiHidden/>
    <w:unhideWhenUsed/>
    <w:rsid w:val="001E4D96"/>
    <w:pPr>
      <w:numPr>
        <w:numId w:val="4"/>
      </w:numPr>
      <w:contextualSpacing/>
    </w:pPr>
  </w:style>
  <w:style w:type="paragraph" w:styleId="Revision">
    <w:name w:val="Revision"/>
    <w:hidden/>
    <w:uiPriority w:val="99"/>
    <w:semiHidden/>
    <w:rsid w:val="00CA4178"/>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CA4178"/>
    <w:rPr>
      <w:sz w:val="16"/>
      <w:szCs w:val="16"/>
    </w:rPr>
  </w:style>
  <w:style w:type="paragraph" w:styleId="CommentText">
    <w:name w:val="annotation text"/>
    <w:basedOn w:val="Normal"/>
    <w:link w:val="CommentTextChar"/>
    <w:uiPriority w:val="99"/>
    <w:unhideWhenUsed/>
    <w:rsid w:val="00CA4178"/>
    <w:rPr>
      <w:sz w:val="20"/>
      <w:szCs w:val="20"/>
    </w:rPr>
  </w:style>
  <w:style w:type="character" w:customStyle="1" w:styleId="CommentTextChar">
    <w:name w:val="Comment Text Char"/>
    <w:basedOn w:val="DefaultParagraphFont"/>
    <w:link w:val="CommentText"/>
    <w:uiPriority w:val="99"/>
    <w:rsid w:val="00CA4178"/>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CA4178"/>
    <w:rPr>
      <w:b/>
      <w:bCs/>
    </w:rPr>
  </w:style>
  <w:style w:type="character" w:customStyle="1" w:styleId="CommentSubjectChar">
    <w:name w:val="Comment Subject Char"/>
    <w:basedOn w:val="CommentTextChar"/>
    <w:link w:val="CommentSubject"/>
    <w:uiPriority w:val="99"/>
    <w:semiHidden/>
    <w:rsid w:val="00CA4178"/>
    <w:rPr>
      <w:rFonts w:ascii="Times New Roman" w:hAnsi="Times New Roman" w:cs="Times New Roman"/>
      <w:b/>
      <w:bCs/>
      <w:sz w:val="20"/>
      <w:szCs w:val="20"/>
      <w:lang w:val="hr-HR"/>
    </w:rPr>
  </w:style>
  <w:style w:type="character" w:customStyle="1" w:styleId="Mention">
    <w:name w:val="Mention"/>
    <w:basedOn w:val="DefaultParagraphFont"/>
    <w:uiPriority w:val="99"/>
    <w:unhideWhenUsed/>
    <w:rsid w:val="00927BE6"/>
    <w:rPr>
      <w:color w:val="2B579A"/>
      <w:shd w:val="clear" w:color="auto" w:fill="E1DFDD"/>
    </w:rPr>
  </w:style>
  <w:style w:type="character" w:styleId="FollowedHyperlink">
    <w:name w:val="FollowedHyperlink"/>
    <w:basedOn w:val="DefaultParagraphFont"/>
    <w:uiPriority w:val="99"/>
    <w:semiHidden/>
    <w:unhideWhenUsed/>
    <w:rsid w:val="00770638"/>
    <w:rPr>
      <w:color w:val="800080" w:themeColor="followedHyperlink"/>
      <w:u w:val="single"/>
    </w:rPr>
  </w:style>
  <w:style w:type="character" w:customStyle="1" w:styleId="ui-provider">
    <w:name w:val="ui-provider"/>
    <w:basedOn w:val="DefaultParagraphFont"/>
    <w:rsid w:val="00B4759A"/>
  </w:style>
  <w:style w:type="character" w:customStyle="1" w:styleId="HeaderChar">
    <w:name w:val="Header Char"/>
    <w:basedOn w:val="DefaultParagraphFont"/>
    <w:link w:val="Header"/>
    <w:uiPriority w:val="99"/>
    <w:rsid w:val="00E3534A"/>
    <w:rPr>
      <w:rFonts w:ascii="Times New Roman" w:hAnsi="Times New Roman" w:cs="Times New Roman"/>
      <w:sz w:val="24"/>
      <w:lang w:val="hr-HR"/>
    </w:rPr>
  </w:style>
  <w:style w:type="character" w:customStyle="1" w:styleId="FooterChar">
    <w:name w:val="Footer Char"/>
    <w:basedOn w:val="DefaultParagraphFont"/>
    <w:link w:val="Footer"/>
    <w:uiPriority w:val="99"/>
    <w:rsid w:val="00E3534A"/>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E3534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3534A"/>
    <w:pPr>
      <w:spacing w:before="0"/>
      <w:jc w:val="right"/>
    </w:pPr>
    <w:rPr>
      <w:sz w:val="28"/>
    </w:rPr>
  </w:style>
  <w:style w:type="paragraph" w:customStyle="1" w:styleId="FooterSensitivity">
    <w:name w:val="Footer Sensitivity"/>
    <w:basedOn w:val="Normal"/>
    <w:rsid w:val="00E3534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3534A"/>
    <w:pPr>
      <w:tabs>
        <w:tab w:val="center" w:pos="4535"/>
        <w:tab w:val="right" w:pos="9071"/>
      </w:tabs>
      <w:spacing w:before="0"/>
    </w:pPr>
  </w:style>
  <w:style w:type="paragraph" w:customStyle="1" w:styleId="HeaderLandscape">
    <w:name w:val="HeaderLandscape"/>
    <w:basedOn w:val="Normal"/>
    <w:rsid w:val="00E3534A"/>
    <w:pPr>
      <w:tabs>
        <w:tab w:val="center" w:pos="7285"/>
        <w:tab w:val="right" w:pos="14003"/>
      </w:tabs>
      <w:spacing w:before="0"/>
    </w:pPr>
  </w:style>
  <w:style w:type="paragraph" w:styleId="Footer">
    <w:name w:val="footer"/>
    <w:basedOn w:val="Normal"/>
    <w:link w:val="FooterChar"/>
    <w:uiPriority w:val="99"/>
    <w:unhideWhenUsed/>
    <w:rsid w:val="00E3534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3534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265/oj" TargetMode="External"/><Relationship Id="rId2" Type="http://schemas.openxmlformats.org/officeDocument/2006/relationships/hyperlink" Target="http://data.europa.eu/eli/reg/1997/1467/2024-04-30" TargetMode="External"/><Relationship Id="rId1" Type="http://schemas.openxmlformats.org/officeDocument/2006/relationships/hyperlink" Target="http://data.europa.eu/eli/reg/2024/1263/oj" TargetMode="External"/><Relationship Id="rId5" Type="http://schemas.openxmlformats.org/officeDocument/2006/relationships/hyperlink" Target="https://ec.europa.eu/eurostat/en/web/products-euro-indicators/w/2-22102024-AP" TargetMode="External"/><Relationship Id="rId4" Type="http://schemas.openxmlformats.org/officeDocument/2006/relationships/hyperlink" Target="https://eur-lex.europa.eu/eli/dec/2024/212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Doctype xmlns="248cd52f-b46b-4611-a611-1f804cc55b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56C83-B8C4-4501-B38E-61027D73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DC8D7-8185-48DC-8ED6-30047047BEA4}">
  <ds:schemaRefs>
    <ds:schemaRef ds:uri="http://purl.org/dc/elements/1.1/"/>
    <ds:schemaRef ds:uri="http://www.w3.org/XML/1998/namespace"/>
    <ds:schemaRef ds:uri="248cd52f-b46b-4611-a611-1f804cc55ba9"/>
    <ds:schemaRef ds:uri="http://schemas.openxmlformats.org/package/2006/metadata/core-properties"/>
    <ds:schemaRef ds:uri="http://schemas.microsoft.com/office/2006/metadata/properties"/>
    <ds:schemaRef ds:uri="ee00aed3-c832-4f67-975b-fd0d79c6c939"/>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333EB1F-DD2F-43B0-A2A0-6FCCA4F09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5</Pages>
  <Words>1225</Words>
  <Characters>6988</Characters>
  <Application>Microsoft Office Word</Application>
  <DocSecurity>0</DocSecurity>
  <Lines>58</Lines>
  <Paragraphs>16</Paragraphs>
  <ScaleCrop>false</ScaleCrop>
  <Manager/>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87</cp:revision>
  <dcterms:created xsi:type="dcterms:W3CDTF">2024-11-18T16:36:00Z</dcterms:created>
  <dcterms:modified xsi:type="dcterms:W3CDTF">2024-12-12T08:00:00Z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2024-10-18T10:24:56Z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1824fa96-7198-4822-96de-0386b16f4502</vt:lpwstr>
  </property>
  <property fmtid="{D5CDD505-2E9C-101B-9397-08002B2CF9AE}" pid="16" name="MSIP_Label_6bd9ddd1-4d20-43f6-abfa-fc3c07406f94_ContentBits">
    <vt:lpwstr>0</vt:lpwstr>
  </property>
  <property fmtid="{D5CDD505-2E9C-101B-9397-08002B2CF9AE}" pid="17" name="ContentTypeId">
    <vt:lpwstr>0x010100756BF9CE7B864144AB9135903AF2016F</vt:lpwstr>
  </property>
  <property fmtid="{D5CDD505-2E9C-101B-9397-08002B2CF9AE}" pid="18" name="DQCStatus">
    <vt:lpwstr>Green (DQC version 03)</vt:lpwstr>
  </property>
</Properties>
</file>