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406EAC" w14:textId="70B55148" w:rsidR="00AF3F52" w:rsidRPr="006B012D" w:rsidRDefault="00DA4A2F" w:rsidP="00DA4A2F">
      <w:pPr>
        <w:pStyle w:val="Pagedecouverture"/>
        <w:rPr>
          <w:noProof/>
        </w:rPr>
      </w:pPr>
      <w:r>
        <w:rPr>
          <w:noProof/>
        </w:rPr>
        <w:pict w14:anchorId="2FA17E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AE13B0D6-D057-4C18-B412-6574499D8B22" style="width:455.25pt;height:341.25pt">
            <v:imagedata r:id="rId11" o:title=""/>
          </v:shape>
        </w:pict>
      </w:r>
    </w:p>
    <w:p w14:paraId="38E2A2EA" w14:textId="77777777" w:rsidR="00973945" w:rsidRPr="006B012D" w:rsidRDefault="00973945" w:rsidP="00973945">
      <w:pPr>
        <w:pStyle w:val="Pagedecouverture"/>
        <w:rPr>
          <w:noProof/>
        </w:rPr>
        <w:sectPr w:rsidR="00973945" w:rsidRPr="006B012D" w:rsidSect="00DA4A2F">
          <w:footerReference w:type="even" r:id="rId12"/>
          <w:footerReference w:type="default" r:id="rId13"/>
          <w:pgSz w:w="11907" w:h="16839"/>
          <w:pgMar w:top="1134" w:right="1417" w:bottom="1134" w:left="1417" w:header="709" w:footer="709" w:gutter="0"/>
          <w:pgNumType w:start="0"/>
          <w:cols w:space="720"/>
          <w:docGrid w:linePitch="360"/>
        </w:sectPr>
      </w:pPr>
    </w:p>
    <w:p w14:paraId="6990AA2C" w14:textId="1995A192" w:rsidR="005342ED" w:rsidRPr="006B012D" w:rsidRDefault="006B012D" w:rsidP="006B012D">
      <w:pPr>
        <w:pStyle w:val="Statut"/>
        <w:rPr>
          <w:noProof/>
        </w:rPr>
      </w:pPr>
      <w:bookmarkStart w:id="0" w:name="_GoBack"/>
      <w:bookmarkEnd w:id="0"/>
      <w:r w:rsidRPr="006B012D">
        <w:rPr>
          <w:noProof/>
        </w:rPr>
        <w:lastRenderedPageBreak/>
        <w:t>Suositus</w:t>
      </w:r>
    </w:p>
    <w:p w14:paraId="6DDD388B" w14:textId="492E4207" w:rsidR="00AF3F52" w:rsidRPr="006B012D" w:rsidRDefault="006B012D" w:rsidP="006B012D">
      <w:pPr>
        <w:pStyle w:val="Typedudocument"/>
        <w:rPr>
          <w:noProof/>
        </w:rPr>
      </w:pPr>
      <w:r w:rsidRPr="006B012D">
        <w:rPr>
          <w:noProof/>
        </w:rPr>
        <w:t>NEUVOSTON SUOSITUS</w:t>
      </w:r>
    </w:p>
    <w:p w14:paraId="5ACF0F2D" w14:textId="56F95C8F" w:rsidR="00973945" w:rsidRPr="006B012D" w:rsidRDefault="006B012D" w:rsidP="006B012D">
      <w:pPr>
        <w:pStyle w:val="Titreobjet"/>
        <w:rPr>
          <w:noProof/>
        </w:rPr>
      </w:pPr>
      <w:r w:rsidRPr="006B012D">
        <w:rPr>
          <w:noProof/>
        </w:rPr>
        <w:t>Irlannin kansallisen keskipitkän aikavälin finanssipoliittis-rakenteellisen suunnitelman hyväksymisestä</w:t>
      </w:r>
    </w:p>
    <w:p w14:paraId="548613BA" w14:textId="77777777" w:rsidR="00FF1D5A" w:rsidRPr="006B012D" w:rsidRDefault="00FF1D5A" w:rsidP="00155649">
      <w:pPr>
        <w:pStyle w:val="Institutionquiagit"/>
        <w:spacing w:before="120"/>
        <w:rPr>
          <w:noProof/>
        </w:rPr>
      </w:pPr>
      <w:r w:rsidRPr="006B012D">
        <w:rPr>
          <w:noProof/>
        </w:rPr>
        <w:t>EUROOPAN UNIONIN NEUVOSTO, joka</w:t>
      </w:r>
    </w:p>
    <w:p w14:paraId="36AFB35E" w14:textId="70328785" w:rsidR="00FF1D5A" w:rsidRPr="006B012D" w:rsidRDefault="00FF1D5A" w:rsidP="00155649">
      <w:pPr>
        <w:rPr>
          <w:noProof/>
        </w:rPr>
      </w:pPr>
      <w:r w:rsidRPr="006B012D">
        <w:rPr>
          <w:noProof/>
        </w:rPr>
        <w:t>ottaa huomioon Euroopan unionin toiminnasta tehdyn sopimuksen ja erityisesti sen 121</w:t>
      </w:r>
      <w:r w:rsidR="000D249F">
        <w:rPr>
          <w:noProof/>
        </w:rPr>
        <w:t> </w:t>
      </w:r>
      <w:r w:rsidRPr="006B012D">
        <w:rPr>
          <w:noProof/>
        </w:rPr>
        <w:t>artiklan,</w:t>
      </w:r>
    </w:p>
    <w:p w14:paraId="0D80ED1A" w14:textId="77777777" w:rsidR="00FF1D5A" w:rsidRPr="006B012D" w:rsidRDefault="00FF1D5A" w:rsidP="00155649">
      <w:pPr>
        <w:rPr>
          <w:noProof/>
        </w:rPr>
      </w:pPr>
      <w:r w:rsidRPr="006B012D">
        <w:rPr>
          <w:noProof/>
        </w:rPr>
        <w:t>ottaa huomioon asetuksen (EU) 2024/1263 ja erityisesti sen 17 artiklan,</w:t>
      </w:r>
    </w:p>
    <w:p w14:paraId="2614AAA8" w14:textId="77777777" w:rsidR="00FF1D5A" w:rsidRPr="006B012D" w:rsidRDefault="00FF1D5A" w:rsidP="00155649">
      <w:pPr>
        <w:rPr>
          <w:noProof/>
        </w:rPr>
      </w:pPr>
      <w:r w:rsidRPr="006B012D">
        <w:rPr>
          <w:noProof/>
        </w:rPr>
        <w:t>ottaa huomioon komission suosituksen,</w:t>
      </w:r>
    </w:p>
    <w:p w14:paraId="01E3A8F4" w14:textId="77777777" w:rsidR="005E2D75" w:rsidRPr="006B012D" w:rsidRDefault="00FF1D5A" w:rsidP="00155649">
      <w:pPr>
        <w:rPr>
          <w:noProof/>
        </w:rPr>
      </w:pPr>
      <w:r w:rsidRPr="006B012D">
        <w:rPr>
          <w:noProof/>
        </w:rPr>
        <w:t>sekä katsoo seuraavaa:</w:t>
      </w:r>
    </w:p>
    <w:p w14:paraId="15D55BC7" w14:textId="77777777" w:rsidR="00184058" w:rsidRPr="006B012D" w:rsidRDefault="00184058" w:rsidP="00155649">
      <w:pPr>
        <w:rPr>
          <w:noProof/>
        </w:rPr>
      </w:pPr>
      <w:r w:rsidRPr="006B012D">
        <w:rPr>
          <w:b/>
          <w:noProof/>
        </w:rPr>
        <w:t>YLEISIÄ NÄKÖKOHTIA</w:t>
      </w:r>
    </w:p>
    <w:p w14:paraId="352EB18B" w14:textId="5E359A78" w:rsidR="00FF1D5A" w:rsidRPr="006B012D" w:rsidRDefault="00242CEE" w:rsidP="00242CEE">
      <w:pPr>
        <w:pStyle w:val="ManualConsidrant"/>
        <w:rPr>
          <w:noProof/>
        </w:rPr>
      </w:pPr>
      <w:r w:rsidRPr="00242CEE">
        <w:rPr>
          <w:noProof/>
        </w:rPr>
        <w:t>(1)</w:t>
      </w:r>
      <w:r w:rsidRPr="00242CEE">
        <w:rPr>
          <w:noProof/>
        </w:rPr>
        <w:tab/>
      </w:r>
      <w:r w:rsidR="00FF1D5A" w:rsidRPr="006B012D">
        <w:rPr>
          <w:noProof/>
        </w:rPr>
        <w:t>Uudistettu EU:n talouden ohjausjärjestelmä tuli voimaan 30 päivänä huhtikuuta 2024. EU:n talouden uudistetun ohjausjärjestelmän keskeiset osatekijät ovat talouspolitiikan tuloksellisesta yhteensovittamisesta ja monenvälisestä julkisen talouden valvonnasta annettu Euroopan parlamentin ja neuvoston asetus (EU) 2024/1263</w:t>
      </w:r>
      <w:r w:rsidR="00FF1D5A" w:rsidRPr="006B012D">
        <w:rPr>
          <w:rStyle w:val="FootnoteReference"/>
          <w:noProof/>
        </w:rPr>
        <w:footnoteReference w:id="2"/>
      </w:r>
      <w:r w:rsidR="00FF1D5A" w:rsidRPr="006B012D">
        <w:rPr>
          <w:noProof/>
        </w:rPr>
        <w:t xml:space="preserve"> yhdessä liiallisia alijäämiä koskevan menettelyn täytäntöönpanosta annetun muutetun asetuksen (EY) N:o 1467/97</w:t>
      </w:r>
      <w:r w:rsidR="00FF1D5A" w:rsidRPr="006B012D">
        <w:rPr>
          <w:rStyle w:val="FootnoteReference"/>
          <w:noProof/>
        </w:rPr>
        <w:footnoteReference w:id="3"/>
      </w:r>
      <w:r w:rsidR="00FF1D5A" w:rsidRPr="006B012D">
        <w:rPr>
          <w:noProof/>
        </w:rPr>
        <w:t xml:space="preserve"> ja jäsenvaltioiden julkisen talouden kehyksistä annetun muutetun neuvoston direktiivin 2011/85/EU</w:t>
      </w:r>
      <w:r w:rsidR="00FF1D5A" w:rsidRPr="006B012D">
        <w:rPr>
          <w:rStyle w:val="FootnoteReference"/>
          <w:noProof/>
        </w:rPr>
        <w:footnoteReference w:id="4"/>
      </w:r>
      <w:r w:rsidR="00FF1D5A" w:rsidRPr="006B012D">
        <w:rPr>
          <w:noProof/>
        </w:rPr>
        <w:t xml:space="preserve"> kanssa. Ohjausjärjestelmällä pyritään varmistamaan julkisen velan kestävyys sekä kestävä ja osallistava kasvu uudistusten ja investointien avulla. Sillä edistetään jäsenvaltioiden sitoutumista ja painotetaan keskipitkää aikaväliä, mihin yhdistyy vaikuttava ja johdonmukainen sääntöjen noudattamisen valvonta.</w:t>
      </w:r>
    </w:p>
    <w:p w14:paraId="5B5E0094" w14:textId="27540AF8" w:rsidR="00FF1D5A" w:rsidRPr="006B012D" w:rsidRDefault="00242CEE" w:rsidP="00242CEE">
      <w:pPr>
        <w:pStyle w:val="ManualConsidrant"/>
        <w:rPr>
          <w:noProof/>
        </w:rPr>
      </w:pPr>
      <w:r w:rsidRPr="00242CEE">
        <w:rPr>
          <w:noProof/>
        </w:rPr>
        <w:t>(2)</w:t>
      </w:r>
      <w:r w:rsidRPr="00242CEE">
        <w:rPr>
          <w:noProof/>
        </w:rPr>
        <w:tab/>
      </w:r>
      <w:r w:rsidR="00FF1D5A" w:rsidRPr="006B012D">
        <w:rPr>
          <w:noProof/>
        </w:rPr>
        <w:t>Kansalliset keskipitkän aikavälin finanssipoliittis-rakenteelliset suunnitelmat, jotka jäsenvaltiot toimittavat neuvostolle ja komissiolle, ovat uuden talouden ohjausjärjestelmän keskiössä. Suunnitelmilla on määrä saavuttaa seuraavat kaksi tavoitetta: i) on varmistettava, että julkinen velka on sopeutuskauden loppuun mennessä uskottavasti lasku-uralla tai pysyy maltillisella tasolla ja että julkisen talouden alijäämä saadaan laskettua alle 3 prosentin viitearvon suhteessa BKT:hen ja pidettyä sen alapuolella keskipitkällä aikavälillä, ja ii) varmistettava sellaisten uudistusten ja investointien toteuttaminen, joilla vastataan talouspolitiikan eurooppalaisen ohjausjakson yhteydessä yksilöityihin keskeisiin haasteisiin ja edistetään EU:n yhteisiä painopisteitä. Tätä varten kussakin suunnitelmassa on määrä esittää nettomenopolkua</w:t>
      </w:r>
      <w:r w:rsidR="00FF1D5A" w:rsidRPr="006B012D">
        <w:rPr>
          <w:rStyle w:val="FootnoteReference"/>
          <w:noProof/>
        </w:rPr>
        <w:footnoteReference w:id="5"/>
      </w:r>
      <w:r w:rsidR="00FF1D5A" w:rsidRPr="006B012D">
        <w:rPr>
          <w:noProof/>
        </w:rPr>
        <w:t xml:space="preserve"> koskeva keskipitkän aikavälin sitoumus, joka käytännössä asettaa budjettirajoitteen neljän tai viiden vuoden pituiseksi suunnitelman voimassaoloajaksi (jäsenvaltion vaalikauden säännönmukaisesta kestosta riippuen). Lisäksi suunnitelmassa olisi selostettava, miten jäsenvaltio varmistaa sellaisten uudistusten ja investointien toteuttamisen, joilla vastataan eurooppalaisen ohjausjakson ja erityisesti maakohtaisten suositusten yhteydessä (mahdolliseen makrotalouden epätasapainomenettelyyn liittyvät suositukset mukaan lukien) yksilöityihin keskeisiin haasteisiin, ja miten kyseinen jäsenvaltio aikoo edistää unionin yhteisiä painopisteitä. Julkisen talouden sopeutuskausi kestää neljä vuotta, ja sitä voidaan pidentää enintään kolmella vuodella, jos jäsenvaltio sitoutuu toteuttamaan asianmukaisen uudistusten ja investointien kokonaisuuden, joka täyttää asetuksessa (EU) 2024/1263 säädetyt kriteerit.</w:t>
      </w:r>
    </w:p>
    <w:p w14:paraId="40491ADD" w14:textId="0B571883" w:rsidR="00FF1D5A" w:rsidRPr="006B012D" w:rsidRDefault="00242CEE" w:rsidP="00242CEE">
      <w:pPr>
        <w:pStyle w:val="ManualConsidrant"/>
        <w:rPr>
          <w:noProof/>
        </w:rPr>
      </w:pPr>
      <w:r w:rsidRPr="00242CEE">
        <w:rPr>
          <w:noProof/>
        </w:rPr>
        <w:t>(3)</w:t>
      </w:r>
      <w:r w:rsidRPr="00242CEE">
        <w:rPr>
          <w:noProof/>
        </w:rPr>
        <w:tab/>
      </w:r>
      <w:r w:rsidR="00FF1D5A" w:rsidRPr="006B012D">
        <w:rPr>
          <w:noProof/>
        </w:rPr>
        <w:t xml:space="preserve">Suunnitelman toimittamisen jälkeen komission on määrä arvioida, täyttääkö se asetuksen (EU) 2024/1263 vaatimukset. </w:t>
      </w:r>
    </w:p>
    <w:p w14:paraId="4F9855BE" w14:textId="34B7D445" w:rsidR="005E2D75" w:rsidRPr="006B012D" w:rsidRDefault="00242CEE" w:rsidP="00242CEE">
      <w:pPr>
        <w:pStyle w:val="ManualConsidrant"/>
        <w:rPr>
          <w:noProof/>
        </w:rPr>
      </w:pPr>
      <w:r w:rsidRPr="00242CEE">
        <w:rPr>
          <w:noProof/>
        </w:rPr>
        <w:t>(4)</w:t>
      </w:r>
      <w:r w:rsidRPr="00242CEE">
        <w:rPr>
          <w:noProof/>
        </w:rPr>
        <w:tab/>
      </w:r>
      <w:r w:rsidR="00FF1D5A" w:rsidRPr="006B012D">
        <w:rPr>
          <w:noProof/>
        </w:rPr>
        <w:t>Neuvoston on määrä antaa komission suosituksesta suositus, jolla asetetaan kyseisen jäsenvaltion nettomenopolku ja tarvittaessa hyväksytään julkisen talouden sopeutuskauden pidentämisen perustana oleva uudistus- ja investointisitoumusten kokonaisuus.</w:t>
      </w:r>
    </w:p>
    <w:p w14:paraId="221E427A" w14:textId="77777777" w:rsidR="001B6961" w:rsidRPr="006B012D" w:rsidRDefault="001B6961" w:rsidP="00155649">
      <w:pPr>
        <w:rPr>
          <w:b/>
          <w:bCs/>
          <w:noProof/>
        </w:rPr>
      </w:pPr>
      <w:r w:rsidRPr="006B012D">
        <w:rPr>
          <w:b/>
          <w:noProof/>
        </w:rPr>
        <w:t>IRLANNIN KANSALLISTA KESKIPITKÄN AIKAVÄLIN FINANSSIPOLIITTIS-RAKENTEELLISTA SUUNNITELMAA KOSKEVIA NÄKÖKOHTIA</w:t>
      </w:r>
    </w:p>
    <w:p w14:paraId="7DE8FDBC" w14:textId="59448539" w:rsidR="00262F29" w:rsidRPr="006B012D" w:rsidRDefault="00242CEE" w:rsidP="00242CEE">
      <w:pPr>
        <w:pStyle w:val="ManualConsidrant"/>
        <w:rPr>
          <w:noProof/>
        </w:rPr>
      </w:pPr>
      <w:r w:rsidRPr="00242CEE">
        <w:rPr>
          <w:noProof/>
        </w:rPr>
        <w:t>(5)</w:t>
      </w:r>
      <w:r w:rsidRPr="00242CEE">
        <w:rPr>
          <w:noProof/>
        </w:rPr>
        <w:tab/>
      </w:r>
      <w:r w:rsidR="001B6961" w:rsidRPr="006B012D">
        <w:rPr>
          <w:noProof/>
        </w:rPr>
        <w:t>Irlanti toimitti kansallisen keskipitkän aikavälin finanssipoliittis-rakenteellisen suunnitelmansa neuvostolle ja komissiolle 15 päivänä lokakuuta 2024. Suunnitelma toimitettiin asetuksen (EU) 2024/1263 36 artiklassa säädetyn määräajan pidennystä noudattaen, kuten komission kanssa oli sovittu Irlannin esittämät perustelut huomioon ottaen.</w:t>
      </w:r>
    </w:p>
    <w:p w14:paraId="6E5B1712" w14:textId="77777777" w:rsidR="00262F29" w:rsidRPr="006B012D" w:rsidRDefault="00262F29" w:rsidP="00262F29">
      <w:pPr>
        <w:rPr>
          <w:b/>
          <w:bCs/>
          <w:noProof/>
        </w:rPr>
      </w:pPr>
      <w:r w:rsidRPr="006B012D">
        <w:rPr>
          <w:b/>
          <w:noProof/>
        </w:rPr>
        <w:t>Suunnitelman toimittamista edeltävä prosessi</w:t>
      </w:r>
    </w:p>
    <w:p w14:paraId="3790FE75" w14:textId="47531474" w:rsidR="001B6961" w:rsidRPr="006B012D" w:rsidRDefault="00242CEE" w:rsidP="00242CEE">
      <w:pPr>
        <w:pStyle w:val="ManualConsidrant"/>
        <w:rPr>
          <w:noProof/>
        </w:rPr>
      </w:pPr>
      <w:r w:rsidRPr="00242CEE">
        <w:rPr>
          <w:noProof/>
        </w:rPr>
        <w:t>(6)</w:t>
      </w:r>
      <w:r w:rsidRPr="00242CEE">
        <w:rPr>
          <w:noProof/>
        </w:rPr>
        <w:tab/>
      </w:r>
      <w:r w:rsidR="001B6961" w:rsidRPr="006B012D">
        <w:rPr>
          <w:noProof/>
        </w:rPr>
        <w:t>Irlanti oli oikeutettu saamaan teknisiä tietoja, mutta se ei pyytänyt niitä. Komissio toimitti Irlannille 21 päivänä kesäkuuta 2024 asetuksen (EU) 2024/1263 johdanto-osan 25 kappaleessa tarkoitetussa keskipitkän aikavälin julkista velkaa koskevassa komission ennustekehyksessä käytetyt tärkeimmät lähtöolosuhteet ja taustaoletukset</w:t>
      </w:r>
      <w:r w:rsidR="00EE3DE7" w:rsidRPr="006B012D">
        <w:rPr>
          <w:rStyle w:val="FootnoteReference"/>
          <w:noProof/>
          <w:lang w:eastAsia="ja-JP"/>
        </w:rPr>
        <w:footnoteReference w:id="6"/>
      </w:r>
      <w:r w:rsidR="001B6961" w:rsidRPr="006B012D">
        <w:rPr>
          <w:noProof/>
        </w:rPr>
        <w:t xml:space="preserve"> ja julkaisi ne 15 päivänä lokakuuta 2024</w:t>
      </w:r>
      <w:r w:rsidR="001B6961" w:rsidRPr="006B012D">
        <w:rPr>
          <w:rStyle w:val="FootnoteReference"/>
          <w:noProof/>
        </w:rPr>
        <w:footnoteReference w:id="7"/>
      </w:r>
      <w:r w:rsidR="001B6961" w:rsidRPr="006B012D">
        <w:rPr>
          <w:noProof/>
        </w:rPr>
        <w:t>.</w:t>
      </w:r>
    </w:p>
    <w:p w14:paraId="507E9E27" w14:textId="0120185B" w:rsidR="001B6961" w:rsidRPr="006B012D" w:rsidRDefault="00242CEE" w:rsidP="00242CEE">
      <w:pPr>
        <w:pStyle w:val="ManualConsidrant"/>
        <w:rPr>
          <w:noProof/>
        </w:rPr>
      </w:pPr>
      <w:r w:rsidRPr="00242CEE">
        <w:rPr>
          <w:noProof/>
        </w:rPr>
        <w:t>(7)</w:t>
      </w:r>
      <w:r w:rsidRPr="00242CEE">
        <w:rPr>
          <w:noProof/>
        </w:rPr>
        <w:tab/>
      </w:r>
      <w:r w:rsidR="001B6961" w:rsidRPr="006B012D">
        <w:rPr>
          <w:noProof/>
        </w:rPr>
        <w:t>Irlanti ja komissio kävivät syyskuussa 2024 teknisen vuoropuhelun asetuksen (EU) 2024/1263 12 artiklaa noudattaen. Vuoropuhelun keskiössä olivat Irlannin kaavailema nettomenopolku ja sen taustaoletukset (erityisesti potentiaalisen BKT:n kasvu ja virta-varanto-korjauserät) sekä sellaisten kaavailtujen uudistusten ja investointien toteuttaminen, joilla vastataan eurooppalaisen ohjausjakson yhteydessä yksilöityihin keskeisiin haasteisiin ja edistetään unionin yhteisiä painopisteitä eli oikeudenmukaista vihreää ja digitaalista siirtymää, yhteiskunnan ja talouden resilienssiä, energiaturvallisuutta ja puolustusvoimavarojen kehittämistä.</w:t>
      </w:r>
    </w:p>
    <w:p w14:paraId="24861B3B" w14:textId="0A51D9E0" w:rsidR="00DD3883" w:rsidRPr="006B012D" w:rsidRDefault="00242CEE" w:rsidP="00242CEE">
      <w:pPr>
        <w:pStyle w:val="ManualConsidrant"/>
        <w:rPr>
          <w:noProof/>
        </w:rPr>
      </w:pPr>
      <w:r w:rsidRPr="00242CEE">
        <w:rPr>
          <w:noProof/>
        </w:rPr>
        <w:t>(8)</w:t>
      </w:r>
      <w:r w:rsidRPr="00242CEE">
        <w:rPr>
          <w:noProof/>
        </w:rPr>
        <w:tab/>
      </w:r>
      <w:r w:rsidR="00DD3883" w:rsidRPr="006B012D">
        <w:rPr>
          <w:noProof/>
        </w:rPr>
        <w:t>Irlannin suunnitelmaan sisältyvien tietojen mukaan Irlanti toteutti toukokuussa 2024 asetuksen (EU) 2024/1263 11 artiklan 3 kohtaa ja 36 artiklan 1 kohdan c alakohtaa noudattaen kansalaisyhteiskunnan, työmarkkinaosapuolten, alueellisten viranomaisten ja muiden asiaankuuluvien sidosryhmien kuulemisen. Irlannin suunnitelmassaan toimittamien tietojen mukaan maan hallitus järjesti kansallisen taloudellisen vuoropuhelun (National Economic Dialogue, NED). Kyseessä on vuotuinen tapahtuma, jossa sidosryhmät voivat keskustella hallituksen kanssa taloudellisista ja sosiaalisista painopisteistä. Vuoden 2024 NED-tapahtumassa keskityttiin tarkistetun EU:n finanssipoliittisen kehyksen mukaisiin hallituksen velvoitteisiin keskipitkällä aikavälillä.</w:t>
      </w:r>
    </w:p>
    <w:p w14:paraId="47CF70D6" w14:textId="66ACB2BD" w:rsidR="00262F29" w:rsidRPr="006B012D" w:rsidRDefault="00242CEE" w:rsidP="00242CEE">
      <w:pPr>
        <w:pStyle w:val="ManualConsidrant"/>
        <w:rPr>
          <w:noProof/>
        </w:rPr>
      </w:pPr>
      <w:r w:rsidRPr="00242CEE">
        <w:rPr>
          <w:noProof/>
        </w:rPr>
        <w:t>(9)</w:t>
      </w:r>
      <w:r w:rsidRPr="00242CEE">
        <w:rPr>
          <w:noProof/>
        </w:rPr>
        <w:tab/>
      </w:r>
      <w:r w:rsidR="001B6961" w:rsidRPr="006B012D">
        <w:rPr>
          <w:noProof/>
        </w:rPr>
        <w:t>Irlannin finanssipoliittinen neuvoa-antava toimikunta (IFAC) on antanut lausuntonsa nettomenopolun perustana olevasta makrotalouden ennusteesta ja makrotaloudellisista oletuksista</w:t>
      </w:r>
      <w:r w:rsidR="001B6961" w:rsidRPr="006B012D">
        <w:rPr>
          <w:rStyle w:val="FootnoteReference"/>
          <w:noProof/>
        </w:rPr>
        <w:footnoteReference w:id="8"/>
      </w:r>
      <w:r w:rsidR="001B6961" w:rsidRPr="006B012D">
        <w:rPr>
          <w:noProof/>
        </w:rPr>
        <w:t>. IFAC hyväksyi vuoden 2025 kansallisen talousarvion perustana olevat makrotalouden ennusteet 23 päivänä syyskuuta 2024, koska se oli vakuuttunut siitä, että ennusteet ovat hyväksyttävällä vaihteluvälillä. IFAC katsoi hyväksynnän ajankohtana, että Irlannin talous toimii potentiaalisen tasonsa yläpuolella mutta kapasiteettirajoituksiin liittyy riskejä maan sisällä.</w:t>
      </w:r>
    </w:p>
    <w:p w14:paraId="7C28A9BD" w14:textId="77777777" w:rsidR="001B6961" w:rsidRPr="006B012D" w:rsidRDefault="001B6961" w:rsidP="00155649">
      <w:pPr>
        <w:rPr>
          <w:b/>
          <w:noProof/>
        </w:rPr>
      </w:pPr>
      <w:r w:rsidRPr="006B012D">
        <w:rPr>
          <w:b/>
          <w:noProof/>
        </w:rPr>
        <w:t>Muut asiaan liittyvät prosessit</w:t>
      </w:r>
    </w:p>
    <w:p w14:paraId="3F04BC5C" w14:textId="399A11E1" w:rsidR="001B6961" w:rsidRPr="006B012D" w:rsidRDefault="00242CEE" w:rsidP="00242CEE">
      <w:pPr>
        <w:pStyle w:val="ManualConsidrant"/>
        <w:rPr>
          <w:noProof/>
        </w:rPr>
      </w:pPr>
      <w:r w:rsidRPr="00242CEE">
        <w:rPr>
          <w:noProof/>
        </w:rPr>
        <w:t>(10)</w:t>
      </w:r>
      <w:r w:rsidRPr="00242CEE">
        <w:rPr>
          <w:noProof/>
        </w:rPr>
        <w:tab/>
      </w:r>
      <w:r w:rsidR="001B6961" w:rsidRPr="006B012D">
        <w:rPr>
          <w:noProof/>
        </w:rPr>
        <w:t>Irlanti toimitti vuotta 2025 koskevan alustavan talousarviosuunnitelmansa 15 päivänä lokakuuta 2024. Komissio antoi tästä alustavasta talousarviosuunnitelmasta lausunnon [26 päivänä marraskuuta 2024]</w:t>
      </w:r>
      <w:r w:rsidR="00C21536" w:rsidRPr="006B012D">
        <w:rPr>
          <w:rStyle w:val="FootnoteReference"/>
          <w:noProof/>
        </w:rPr>
        <w:footnoteReference w:id="9"/>
      </w:r>
      <w:r w:rsidR="001B6961" w:rsidRPr="006B012D">
        <w:rPr>
          <w:noProof/>
        </w:rPr>
        <w:t>.</w:t>
      </w:r>
    </w:p>
    <w:p w14:paraId="33BAE346" w14:textId="6A4A25D3" w:rsidR="00262F29" w:rsidRPr="006B012D" w:rsidRDefault="00242CEE" w:rsidP="00242CEE">
      <w:pPr>
        <w:pStyle w:val="ManualConsidrant"/>
        <w:rPr>
          <w:noProof/>
        </w:rPr>
      </w:pPr>
      <w:r w:rsidRPr="00242CEE">
        <w:rPr>
          <w:noProof/>
        </w:rPr>
        <w:t>(11)</w:t>
      </w:r>
      <w:r w:rsidRPr="00242CEE">
        <w:rPr>
          <w:noProof/>
        </w:rPr>
        <w:tab/>
      </w:r>
      <w:r w:rsidR="001B6961" w:rsidRPr="006B012D">
        <w:rPr>
          <w:noProof/>
        </w:rPr>
        <w:t>Neuvosto antoi 21 päivänä lokakuuta 2024 Irlannille talouspolitiikan eurooppalaisen ohjausjakson yhteydessä useita maakohtaisia suosituksia</w:t>
      </w:r>
      <w:r w:rsidR="00D27BA3" w:rsidRPr="006B012D">
        <w:rPr>
          <w:rStyle w:val="FootnoteReference"/>
          <w:noProof/>
          <w:lang w:eastAsia="ja-JP"/>
        </w:rPr>
        <w:footnoteReference w:id="10"/>
      </w:r>
      <w:r w:rsidR="001B6961" w:rsidRPr="006B012D">
        <w:rPr>
          <w:noProof/>
        </w:rPr>
        <w:t>.</w:t>
      </w:r>
    </w:p>
    <w:p w14:paraId="23ADC3B5" w14:textId="77777777" w:rsidR="001B6961" w:rsidRPr="006B012D" w:rsidRDefault="00545A8D" w:rsidP="00155649">
      <w:pPr>
        <w:rPr>
          <w:b/>
          <w:bCs/>
          <w:noProof/>
        </w:rPr>
      </w:pPr>
      <w:r w:rsidRPr="006B012D">
        <w:rPr>
          <w:b/>
          <w:noProof/>
        </w:rPr>
        <w:t>YHTEENVETO SUUNNITELMASTA JA KOMISSION ARVIO SIITÄ</w:t>
      </w:r>
    </w:p>
    <w:p w14:paraId="5C39B0F9" w14:textId="3EE82116" w:rsidR="00262F29" w:rsidRPr="006B012D" w:rsidRDefault="00242CEE" w:rsidP="00242CEE">
      <w:pPr>
        <w:pStyle w:val="ManualConsidrant"/>
        <w:rPr>
          <w:noProof/>
        </w:rPr>
      </w:pPr>
      <w:r w:rsidRPr="00242CEE">
        <w:rPr>
          <w:noProof/>
        </w:rPr>
        <w:t>(12)</w:t>
      </w:r>
      <w:r w:rsidRPr="00242CEE">
        <w:rPr>
          <w:noProof/>
        </w:rPr>
        <w:tab/>
      </w:r>
      <w:r w:rsidR="001B6961" w:rsidRPr="006B012D">
        <w:rPr>
          <w:noProof/>
        </w:rPr>
        <w:t>Komissio on arvioinut suunnitelman asetuksen (EU) 2024/1263 16 artiklaa noudattaen seuraavasti:</w:t>
      </w:r>
    </w:p>
    <w:p w14:paraId="2C471F78" w14:textId="77777777" w:rsidR="001B6961" w:rsidRPr="006B012D" w:rsidRDefault="00371954" w:rsidP="00155649">
      <w:pPr>
        <w:rPr>
          <w:b/>
          <w:noProof/>
        </w:rPr>
      </w:pPr>
      <w:r w:rsidRPr="006B012D">
        <w:rPr>
          <w:b/>
          <w:noProof/>
        </w:rPr>
        <w:t>Tausta: makrotalouden ja julkisen talouden tilanne ja näkymät</w:t>
      </w:r>
    </w:p>
    <w:p w14:paraId="3F8EFE5C" w14:textId="7CFADC73" w:rsidR="001B6961" w:rsidRPr="006B012D" w:rsidRDefault="00242CEE" w:rsidP="00242CEE">
      <w:pPr>
        <w:pStyle w:val="ManualConsidrant"/>
        <w:rPr>
          <w:noProof/>
        </w:rPr>
      </w:pPr>
      <w:r w:rsidRPr="00242CEE">
        <w:rPr>
          <w:noProof/>
        </w:rPr>
        <w:t>(13)</w:t>
      </w:r>
      <w:r w:rsidRPr="00242CEE">
        <w:rPr>
          <w:noProof/>
        </w:rPr>
        <w:tab/>
      </w:r>
      <w:r w:rsidR="001B6961" w:rsidRPr="006B012D">
        <w:rPr>
          <w:noProof/>
        </w:rPr>
        <w:t>Talouden toimeliaisuus väheni vuonna 2023 Irlannissa 5,5 prosenttia, mikä johtui nettoviennin vähenemisestä pääasiassa tietyillä monikansallisten yhtiöiden hallinnoimilla sektoreilla. Kotimaantalous pysyi kuitenkin vahvana. Euroopan komission syksyn 2024 talousennusteessa talouden odotetaan vuonna 2024 supistuvan 0,5 prosenttia monikansallisten yhtiöiden hallitsemilla aloilla jatkuvan epävakauden vuoksi. Reaalisen BKT:n on vuonna 2025 määrä kasvaa 4,0 prosenttia vahvan kotimaantalouden ja viennin kasvun jatkumisen tukemana. Vuonna 2026 reaalisen BKT:n odotetaan kasvavan 3,6 prosenttia, sillä kotimainen kysyntä ja vienti tukevat edelleen kasvua. Irlannin potentiaalisen BKT:n odotetaan ennustekaudella (2024–2026) kasvavan hieman 2,9 prosenttiin vuonna 2025, kun se vuonna 2024 oli 2,6 prosenttia, minkä jälkeen se supistuu hieman 2,7 prosenttiin vuonna 2026. Tämä johtuu työvoiman vaikutuksen asteittaisesta pienenemisestä ja pääoman karttumisesta vuonna 2024 tapahtuneen laskun jälkeen. Työttömyysaste oli 4,3 prosenttia vuonna 2023, ja komissio ennakoi sen olevan 4,4 prosenttia vuonna 2024, 4,4 prosenttia vuonna 2025 ja 4,5 prosenttia vuonna 2026. Inflaation (BKT-deflaattorin), joka vuonna 2023 oli 3,6 prosenttia, ennakoidaan hidastuvan 3,3 prosenttiin vuonna 2024, 2,1 prosenttiin vuonna 2025 ja 1,7 prosenttiin vuonna 2026.</w:t>
      </w:r>
    </w:p>
    <w:p w14:paraId="6BC0D900" w14:textId="737C2741" w:rsidR="00262F29" w:rsidRPr="006B012D" w:rsidRDefault="00242CEE" w:rsidP="00242CEE">
      <w:pPr>
        <w:pStyle w:val="ManualConsidrant"/>
        <w:rPr>
          <w:noProof/>
        </w:rPr>
      </w:pPr>
      <w:r w:rsidRPr="00242CEE">
        <w:rPr>
          <w:noProof/>
        </w:rPr>
        <w:t>(14)</w:t>
      </w:r>
      <w:r w:rsidRPr="00242CEE">
        <w:rPr>
          <w:noProof/>
        </w:rPr>
        <w:tab/>
      </w:r>
      <w:r w:rsidR="001B6961" w:rsidRPr="006B012D">
        <w:rPr>
          <w:noProof/>
        </w:rPr>
        <w:t>Julkisen talouden kehityksestä voidaan todeta, että vuonna 2023 Irlannin julkisen talouden ylijäämä oli 1,5 prosenttia suhteessa BKT:hen. Euroopan komission syksyn 2024 talousennusteen mukaan se kasvaa 4,4 prosenttiin suhteessa BKT:hen vuonna 2024, supistuu 1,4 prosenttiin vuonna 2025 ja politiikan säilyessä muuttumattomana supistuu 1,3 prosenttiin vuonna 2026. Euroopan komission syksyn 2024 talousennusteessa on otettu huomioon vuodeksi 2025 laadittu Irlannin talousarvioesitys, jonka hallitus esitti kansalliselle parlamentille lokakuussa. Julkinen velka oli vuoden 2023 lopussa 43,3 prosenttia suhteessa BKT:hen. Euroopan komission syksyn 2024 talousennusteen mukaan velkasuhde supistuu vuoden 2024 loppuun mennessä 41,6 prosenttiin. Sen ennakoidaan supistuvan vuoden 2025 loppuun mennessä 38,3 prosenttiin ja vuoden 2026 loppuun mennessä 36,8 prosenttiin suhteessa BKT:hen. Komission julkisen talouden ennusteessa ei sellaisenaan oteta huomioon keskipitkän aikavälin suunnitelmiin sisältyviä politiikkasitoumuksia ennen kuin niiden tukena on uskottavasti ilmoitettuja ja riittävän tarkasti määritettyjä konkreettisia politiikkatoimenpiteitä.</w:t>
      </w:r>
    </w:p>
    <w:p w14:paraId="6051BD13" w14:textId="77777777" w:rsidR="001B6961" w:rsidRPr="006B012D" w:rsidRDefault="001B6961" w:rsidP="00155649">
      <w:pPr>
        <w:rPr>
          <w:b/>
          <w:noProof/>
        </w:rPr>
      </w:pPr>
      <w:r w:rsidRPr="006B012D">
        <w:rPr>
          <w:b/>
          <w:noProof/>
        </w:rPr>
        <w:t>Nettomenopolku ja tärkeimmät Irlannin suunnitelmaan sisältyvät makrotaloudelliset oletukset</w:t>
      </w:r>
    </w:p>
    <w:p w14:paraId="3ACF6748" w14:textId="4338C220" w:rsidR="001B6961" w:rsidRPr="006B012D" w:rsidRDefault="00242CEE" w:rsidP="00242CEE">
      <w:pPr>
        <w:pStyle w:val="ManualConsidrant"/>
        <w:rPr>
          <w:noProof/>
        </w:rPr>
      </w:pPr>
      <w:r w:rsidRPr="00242CEE">
        <w:rPr>
          <w:noProof/>
        </w:rPr>
        <w:t>(15)</w:t>
      </w:r>
      <w:r w:rsidRPr="00242CEE">
        <w:rPr>
          <w:noProof/>
        </w:rPr>
        <w:tab/>
      </w:r>
      <w:r w:rsidR="00064F2B" w:rsidRPr="006B012D">
        <w:rPr>
          <w:noProof/>
        </w:rPr>
        <w:t>Irlannin kansallinen keskipitkän aikavälin finanssipoliittis-rakenteellinen suunnitelma kattaa vuodet 2025–2029, ja siinä esitetään julkisen talouden sopeutus neljäksi vuodeksi.</w:t>
      </w:r>
    </w:p>
    <w:p w14:paraId="41BA05C8" w14:textId="6E9AC9B3" w:rsidR="001B6961" w:rsidRPr="006B012D" w:rsidRDefault="00242CEE" w:rsidP="00242CEE">
      <w:pPr>
        <w:pStyle w:val="ManualConsidrant"/>
        <w:rPr>
          <w:noProof/>
        </w:rPr>
      </w:pPr>
      <w:r w:rsidRPr="00242CEE">
        <w:rPr>
          <w:noProof/>
        </w:rPr>
        <w:t>(16)</w:t>
      </w:r>
      <w:r w:rsidRPr="00242CEE">
        <w:rPr>
          <w:noProof/>
        </w:rPr>
        <w:tab/>
      </w:r>
      <w:r w:rsidR="001B6961" w:rsidRPr="006B012D">
        <w:rPr>
          <w:noProof/>
        </w:rPr>
        <w:t>Suunnitelma sisältää kaikki asetuksen (EU) 2024/1263 13 artiklassa edellytetyt tiedot.</w:t>
      </w:r>
    </w:p>
    <w:p w14:paraId="7D68B589" w14:textId="6AAC49DE" w:rsidR="00262F29" w:rsidRPr="006B012D" w:rsidRDefault="00242CEE" w:rsidP="00242CEE">
      <w:pPr>
        <w:pStyle w:val="ManualConsidrant"/>
        <w:rPr>
          <w:noProof/>
        </w:rPr>
      </w:pPr>
      <w:r w:rsidRPr="00242CEE">
        <w:rPr>
          <w:noProof/>
        </w:rPr>
        <w:t>(17)</w:t>
      </w:r>
      <w:r w:rsidRPr="00242CEE">
        <w:rPr>
          <w:noProof/>
        </w:rPr>
        <w:tab/>
      </w:r>
      <w:r w:rsidR="00064F2B" w:rsidRPr="006B012D">
        <w:rPr>
          <w:noProof/>
        </w:rPr>
        <w:t>Suunnitelmassa sitoudutaan taulukossa 1 esitettyyn nettomenopolkuun, joka vastaa 5,3</w:t>
      </w:r>
      <w:r w:rsidR="000D249F">
        <w:rPr>
          <w:noProof/>
        </w:rPr>
        <w:t> </w:t>
      </w:r>
      <w:r w:rsidR="00064F2B" w:rsidRPr="006B012D">
        <w:rPr>
          <w:noProof/>
        </w:rPr>
        <w:t>prosentin keskimääräistä nettomenojen kasvua vuosina 2025–2029. Nettomenopolun, johon suunnitelmassa sitoudutaan, ilmoitetaan sopeutuskauden loppuun mennessä (2028) johtavan 2,3 prosentin rakenteelliseen perusjäämään suhteessa BKT:hen. Suunnitelmassa oletetaan, että potentiaalisen BKT:n kasvu, joka vuonna 2024 oli 3,1 prosenttia, supistuu asteittain 2,8 prosenttiin vuonna 2027, kunnes se jälleen kasvaa 3,6 prosenttiin vuonna 2028. Lisäksi suunnitelmassa odotetaan, että BKT-deflaattori, joka vuonna 2024 oli 3,2 prosenttia, hidastuu 2,1 prosenttiin vuonna 2025 ja sen jälkeen pysyy tällä tasolla vuoteen 2028 asti.</w:t>
      </w:r>
    </w:p>
    <w:p w14:paraId="350935A4" w14:textId="77777777" w:rsidR="001B6961" w:rsidRPr="006B012D" w:rsidRDefault="001B6961" w:rsidP="00C367EE">
      <w:pPr>
        <w:keepNext/>
        <w:rPr>
          <w:b/>
          <w:noProof/>
        </w:rPr>
      </w:pPr>
      <w:r w:rsidRPr="006B012D">
        <w:rPr>
          <w:b/>
          <w:noProof/>
        </w:rPr>
        <w:t>Taulukko 1: Nettomenopolku ja tärkeimmät Irlannin suunnitelmaan sisältyvät oletukset</w:t>
      </w:r>
    </w:p>
    <w:tbl>
      <w:tblPr>
        <w:tblStyle w:val="TableGrid"/>
        <w:tblW w:w="9072" w:type="dxa"/>
        <w:jc w:val="center"/>
        <w:tblBorders>
          <w:left w:val="none" w:sz="0" w:space="0" w:color="auto"/>
          <w:right w:val="none" w:sz="0" w:space="0" w:color="auto"/>
        </w:tblBorders>
        <w:tblLayout w:type="fixed"/>
        <w:tblLook w:val="04A0" w:firstRow="1" w:lastRow="0" w:firstColumn="1" w:lastColumn="0" w:noHBand="0" w:noVBand="1"/>
      </w:tblPr>
      <w:tblGrid>
        <w:gridCol w:w="1400"/>
        <w:gridCol w:w="842"/>
        <w:gridCol w:w="842"/>
        <w:gridCol w:w="840"/>
        <w:gridCol w:w="840"/>
        <w:gridCol w:w="840"/>
        <w:gridCol w:w="1158"/>
        <w:gridCol w:w="1158"/>
        <w:gridCol w:w="1152"/>
      </w:tblGrid>
      <w:tr w:rsidR="001B6961" w:rsidRPr="006B012D" w14:paraId="55ED0E0C" w14:textId="77777777" w:rsidTr="00C74F87">
        <w:trPr>
          <w:jc w:val="center"/>
        </w:trPr>
        <w:tc>
          <w:tcPr>
            <w:tcW w:w="772" w:type="pct"/>
          </w:tcPr>
          <w:p w14:paraId="3D5BAB92" w14:textId="77777777" w:rsidR="001B6961" w:rsidRPr="006B012D" w:rsidRDefault="001B6961" w:rsidP="00C367EE">
            <w:pPr>
              <w:keepNext/>
              <w:jc w:val="center"/>
              <w:rPr>
                <w:b/>
                <w:noProof/>
                <w:sz w:val="20"/>
              </w:rPr>
            </w:pPr>
          </w:p>
        </w:tc>
        <w:tc>
          <w:tcPr>
            <w:tcW w:w="464" w:type="pct"/>
          </w:tcPr>
          <w:p w14:paraId="00D1D576" w14:textId="77777777" w:rsidR="001B6961" w:rsidRPr="006B012D" w:rsidRDefault="001B6961" w:rsidP="00C367EE">
            <w:pPr>
              <w:keepNext/>
              <w:jc w:val="center"/>
              <w:rPr>
                <w:noProof/>
                <w:sz w:val="20"/>
              </w:rPr>
            </w:pPr>
            <w:r w:rsidRPr="006B012D">
              <w:rPr>
                <w:noProof/>
                <w:sz w:val="20"/>
              </w:rPr>
              <w:t>2024</w:t>
            </w:r>
          </w:p>
        </w:tc>
        <w:tc>
          <w:tcPr>
            <w:tcW w:w="464" w:type="pct"/>
          </w:tcPr>
          <w:p w14:paraId="0CF6C60B" w14:textId="77777777" w:rsidR="001B6961" w:rsidRPr="006B012D" w:rsidRDefault="001B6961" w:rsidP="00C367EE">
            <w:pPr>
              <w:keepNext/>
              <w:jc w:val="center"/>
              <w:rPr>
                <w:noProof/>
                <w:sz w:val="20"/>
              </w:rPr>
            </w:pPr>
            <w:r w:rsidRPr="006B012D">
              <w:rPr>
                <w:noProof/>
                <w:sz w:val="20"/>
              </w:rPr>
              <w:t>2025</w:t>
            </w:r>
          </w:p>
        </w:tc>
        <w:tc>
          <w:tcPr>
            <w:tcW w:w="463" w:type="pct"/>
          </w:tcPr>
          <w:p w14:paraId="721853FC" w14:textId="77777777" w:rsidR="001B6961" w:rsidRPr="006B012D" w:rsidRDefault="001B6961" w:rsidP="00C367EE">
            <w:pPr>
              <w:keepNext/>
              <w:jc w:val="center"/>
              <w:rPr>
                <w:noProof/>
                <w:sz w:val="20"/>
              </w:rPr>
            </w:pPr>
            <w:r w:rsidRPr="006B012D">
              <w:rPr>
                <w:noProof/>
                <w:sz w:val="20"/>
              </w:rPr>
              <w:t>2026</w:t>
            </w:r>
          </w:p>
        </w:tc>
        <w:tc>
          <w:tcPr>
            <w:tcW w:w="463" w:type="pct"/>
          </w:tcPr>
          <w:p w14:paraId="2A5AD489" w14:textId="77777777" w:rsidR="001B6961" w:rsidRPr="006B012D" w:rsidRDefault="001B6961" w:rsidP="00C367EE">
            <w:pPr>
              <w:keepNext/>
              <w:jc w:val="center"/>
              <w:rPr>
                <w:noProof/>
                <w:sz w:val="20"/>
              </w:rPr>
            </w:pPr>
            <w:r w:rsidRPr="006B012D">
              <w:rPr>
                <w:noProof/>
                <w:sz w:val="20"/>
              </w:rPr>
              <w:t>2027</w:t>
            </w:r>
          </w:p>
        </w:tc>
        <w:tc>
          <w:tcPr>
            <w:tcW w:w="463" w:type="pct"/>
          </w:tcPr>
          <w:p w14:paraId="79984FE0" w14:textId="77777777" w:rsidR="001B6961" w:rsidRPr="006B012D" w:rsidRDefault="001B6961" w:rsidP="00C367EE">
            <w:pPr>
              <w:keepNext/>
              <w:jc w:val="center"/>
              <w:rPr>
                <w:noProof/>
                <w:sz w:val="20"/>
              </w:rPr>
            </w:pPr>
            <w:r w:rsidRPr="006B012D">
              <w:rPr>
                <w:noProof/>
                <w:sz w:val="20"/>
              </w:rPr>
              <w:t>2028</w:t>
            </w:r>
          </w:p>
        </w:tc>
        <w:tc>
          <w:tcPr>
            <w:tcW w:w="638" w:type="pct"/>
          </w:tcPr>
          <w:p w14:paraId="633D48D9" w14:textId="77777777" w:rsidR="00D25D10" w:rsidRPr="006B012D" w:rsidRDefault="00D25D10" w:rsidP="00C367EE">
            <w:pPr>
              <w:keepNext/>
              <w:jc w:val="center"/>
              <w:rPr>
                <w:noProof/>
                <w:sz w:val="20"/>
              </w:rPr>
            </w:pPr>
            <w:r w:rsidRPr="006B012D">
              <w:rPr>
                <w:noProof/>
                <w:sz w:val="20"/>
              </w:rPr>
              <w:t>2029</w:t>
            </w:r>
          </w:p>
        </w:tc>
        <w:tc>
          <w:tcPr>
            <w:tcW w:w="638" w:type="pct"/>
          </w:tcPr>
          <w:p w14:paraId="41208C11" w14:textId="77777777" w:rsidR="001B6961" w:rsidRPr="006B012D" w:rsidRDefault="001B6961" w:rsidP="00C367EE">
            <w:pPr>
              <w:keepNext/>
              <w:jc w:val="center"/>
              <w:rPr>
                <w:noProof/>
                <w:sz w:val="20"/>
              </w:rPr>
            </w:pPr>
            <w:r w:rsidRPr="006B012D">
              <w:rPr>
                <w:noProof/>
                <w:sz w:val="20"/>
              </w:rPr>
              <w:t>Keskiarvo suunnitelman voimassaoloaikana vuosina 2025–2029</w:t>
            </w:r>
          </w:p>
        </w:tc>
        <w:tc>
          <w:tcPr>
            <w:tcW w:w="635" w:type="pct"/>
          </w:tcPr>
          <w:p w14:paraId="18AA3CD9" w14:textId="77777777" w:rsidR="001B6961" w:rsidRPr="006B012D" w:rsidRDefault="001B6961" w:rsidP="00C367EE">
            <w:pPr>
              <w:keepNext/>
              <w:jc w:val="center"/>
              <w:rPr>
                <w:noProof/>
                <w:sz w:val="20"/>
              </w:rPr>
            </w:pPr>
            <w:r w:rsidRPr="006B012D">
              <w:rPr>
                <w:noProof/>
                <w:sz w:val="20"/>
              </w:rPr>
              <w:t>Keskiarvo sopeutuskaudella 2025–2028</w:t>
            </w:r>
          </w:p>
        </w:tc>
      </w:tr>
      <w:tr w:rsidR="001B6961" w:rsidRPr="006B012D" w14:paraId="3B1F06E7" w14:textId="77777777" w:rsidTr="00C74F87">
        <w:trPr>
          <w:jc w:val="center"/>
        </w:trPr>
        <w:tc>
          <w:tcPr>
            <w:tcW w:w="772" w:type="pct"/>
          </w:tcPr>
          <w:p w14:paraId="0240CB90" w14:textId="746AA74D" w:rsidR="001B6961" w:rsidRPr="006B012D" w:rsidRDefault="001B6961" w:rsidP="00C367EE">
            <w:pPr>
              <w:keepNext/>
              <w:jc w:val="center"/>
              <w:rPr>
                <w:b/>
                <w:noProof/>
                <w:sz w:val="20"/>
              </w:rPr>
            </w:pPr>
            <w:r w:rsidRPr="006B012D">
              <w:rPr>
                <w:noProof/>
                <w:sz w:val="20"/>
              </w:rPr>
              <w:t>Nettomenojen kasvu</w:t>
            </w:r>
            <w:r w:rsidR="00FB5C7B">
              <w:rPr>
                <w:noProof/>
                <w:sz w:val="20"/>
              </w:rPr>
              <w:t xml:space="preserve"> </w:t>
            </w:r>
            <w:r w:rsidRPr="006B012D">
              <w:rPr>
                <w:noProof/>
                <w:sz w:val="20"/>
              </w:rPr>
              <w:t>(vuotuinen, %)</w:t>
            </w:r>
          </w:p>
        </w:tc>
        <w:tc>
          <w:tcPr>
            <w:tcW w:w="464" w:type="pct"/>
          </w:tcPr>
          <w:p w14:paraId="0ACE07B1" w14:textId="77777777" w:rsidR="001B6961" w:rsidRPr="006B012D" w:rsidRDefault="001B6961" w:rsidP="00C367EE">
            <w:pPr>
              <w:keepNext/>
              <w:jc w:val="center"/>
              <w:rPr>
                <w:noProof/>
                <w:sz w:val="20"/>
              </w:rPr>
            </w:pPr>
            <w:r w:rsidRPr="006B012D">
              <w:rPr>
                <w:noProof/>
                <w:sz w:val="20"/>
              </w:rPr>
              <w:t>9,8</w:t>
            </w:r>
          </w:p>
        </w:tc>
        <w:tc>
          <w:tcPr>
            <w:tcW w:w="464" w:type="pct"/>
          </w:tcPr>
          <w:p w14:paraId="1D09C382" w14:textId="77777777" w:rsidR="001B6961" w:rsidRPr="006B012D" w:rsidRDefault="001B6961" w:rsidP="00C367EE">
            <w:pPr>
              <w:keepNext/>
              <w:jc w:val="center"/>
              <w:rPr>
                <w:noProof/>
                <w:sz w:val="20"/>
              </w:rPr>
            </w:pPr>
            <w:r w:rsidRPr="006B012D">
              <w:rPr>
                <w:noProof/>
                <w:sz w:val="20"/>
              </w:rPr>
              <w:t>5,1</w:t>
            </w:r>
          </w:p>
        </w:tc>
        <w:tc>
          <w:tcPr>
            <w:tcW w:w="463" w:type="pct"/>
          </w:tcPr>
          <w:p w14:paraId="1A9E1129" w14:textId="77777777" w:rsidR="001B6961" w:rsidRPr="006B012D" w:rsidRDefault="001B6961" w:rsidP="00C367EE">
            <w:pPr>
              <w:keepNext/>
              <w:jc w:val="center"/>
              <w:rPr>
                <w:noProof/>
                <w:sz w:val="20"/>
              </w:rPr>
            </w:pPr>
            <w:r w:rsidRPr="006B012D">
              <w:rPr>
                <w:noProof/>
                <w:sz w:val="20"/>
              </w:rPr>
              <w:t>6,5</w:t>
            </w:r>
          </w:p>
        </w:tc>
        <w:tc>
          <w:tcPr>
            <w:tcW w:w="463" w:type="pct"/>
          </w:tcPr>
          <w:p w14:paraId="3D050C4D" w14:textId="77777777" w:rsidR="001B6961" w:rsidRPr="006B012D" w:rsidRDefault="001B6961" w:rsidP="00C367EE">
            <w:pPr>
              <w:keepNext/>
              <w:jc w:val="center"/>
              <w:rPr>
                <w:noProof/>
                <w:sz w:val="20"/>
              </w:rPr>
            </w:pPr>
            <w:r w:rsidRPr="006B012D">
              <w:rPr>
                <w:noProof/>
                <w:sz w:val="20"/>
              </w:rPr>
              <w:t>4,9</w:t>
            </w:r>
          </w:p>
        </w:tc>
        <w:tc>
          <w:tcPr>
            <w:tcW w:w="463" w:type="pct"/>
          </w:tcPr>
          <w:p w14:paraId="05B5C33A" w14:textId="77777777" w:rsidR="001B6961" w:rsidRPr="006B012D" w:rsidRDefault="001B6961" w:rsidP="00C367EE">
            <w:pPr>
              <w:keepNext/>
              <w:jc w:val="center"/>
              <w:rPr>
                <w:noProof/>
                <w:sz w:val="20"/>
              </w:rPr>
            </w:pPr>
            <w:r w:rsidRPr="006B012D">
              <w:rPr>
                <w:noProof/>
                <w:sz w:val="20"/>
              </w:rPr>
              <w:t>5,4</w:t>
            </w:r>
          </w:p>
        </w:tc>
        <w:tc>
          <w:tcPr>
            <w:tcW w:w="638" w:type="pct"/>
          </w:tcPr>
          <w:p w14:paraId="290F2A64" w14:textId="77777777" w:rsidR="000E49EE" w:rsidRPr="006B012D" w:rsidRDefault="000E49EE" w:rsidP="00C367EE">
            <w:pPr>
              <w:keepNext/>
              <w:jc w:val="center"/>
              <w:rPr>
                <w:noProof/>
                <w:sz w:val="20"/>
              </w:rPr>
            </w:pPr>
            <w:r w:rsidRPr="006B012D">
              <w:rPr>
                <w:noProof/>
                <w:sz w:val="20"/>
              </w:rPr>
              <w:t>4,7</w:t>
            </w:r>
          </w:p>
        </w:tc>
        <w:tc>
          <w:tcPr>
            <w:tcW w:w="638" w:type="pct"/>
          </w:tcPr>
          <w:p w14:paraId="45D9F926" w14:textId="77777777" w:rsidR="001B6961" w:rsidRPr="006B012D" w:rsidRDefault="001B6961" w:rsidP="00C367EE">
            <w:pPr>
              <w:keepNext/>
              <w:jc w:val="center"/>
              <w:rPr>
                <w:b/>
                <w:noProof/>
                <w:sz w:val="20"/>
              </w:rPr>
            </w:pPr>
            <w:r w:rsidRPr="006B012D">
              <w:rPr>
                <w:noProof/>
                <w:sz w:val="20"/>
              </w:rPr>
              <w:t>5,3</w:t>
            </w:r>
          </w:p>
        </w:tc>
        <w:tc>
          <w:tcPr>
            <w:tcW w:w="635" w:type="pct"/>
          </w:tcPr>
          <w:p w14:paraId="5637F0D5" w14:textId="77777777" w:rsidR="001B6961" w:rsidRPr="006B012D" w:rsidRDefault="001B6961" w:rsidP="00C367EE">
            <w:pPr>
              <w:keepNext/>
              <w:jc w:val="center"/>
              <w:rPr>
                <w:noProof/>
                <w:sz w:val="20"/>
              </w:rPr>
            </w:pPr>
            <w:r w:rsidRPr="006B012D">
              <w:rPr>
                <w:noProof/>
                <w:sz w:val="20"/>
              </w:rPr>
              <w:t>5,5</w:t>
            </w:r>
          </w:p>
        </w:tc>
      </w:tr>
      <w:tr w:rsidR="001B6961" w:rsidRPr="006B012D" w14:paraId="16093E7A" w14:textId="77777777" w:rsidTr="00C74F87">
        <w:trPr>
          <w:jc w:val="center"/>
        </w:trPr>
        <w:tc>
          <w:tcPr>
            <w:tcW w:w="772" w:type="pct"/>
            <w:tcBorders>
              <w:bottom w:val="double" w:sz="4" w:space="0" w:color="auto"/>
            </w:tcBorders>
          </w:tcPr>
          <w:p w14:paraId="3058987F" w14:textId="3AA1327A" w:rsidR="001B6961" w:rsidRPr="006B012D" w:rsidRDefault="001B6961" w:rsidP="00C367EE">
            <w:pPr>
              <w:keepNext/>
              <w:jc w:val="center"/>
              <w:rPr>
                <w:b/>
                <w:noProof/>
                <w:sz w:val="20"/>
              </w:rPr>
            </w:pPr>
            <w:r w:rsidRPr="006B012D">
              <w:rPr>
                <w:noProof/>
                <w:sz w:val="20"/>
              </w:rPr>
              <w:t>Nettomenojen kasvu</w:t>
            </w:r>
            <w:r w:rsidR="00FB5C7B">
              <w:rPr>
                <w:noProof/>
                <w:sz w:val="20"/>
              </w:rPr>
              <w:t xml:space="preserve"> </w:t>
            </w:r>
            <w:r w:rsidRPr="006B012D">
              <w:rPr>
                <w:noProof/>
                <w:sz w:val="20"/>
              </w:rPr>
              <w:t>(kumulatiivinen, perusvuodesta 2023, %)</w:t>
            </w:r>
          </w:p>
        </w:tc>
        <w:tc>
          <w:tcPr>
            <w:tcW w:w="464" w:type="pct"/>
            <w:tcBorders>
              <w:bottom w:val="double" w:sz="4" w:space="0" w:color="auto"/>
            </w:tcBorders>
          </w:tcPr>
          <w:p w14:paraId="51DF0C0A" w14:textId="77777777" w:rsidR="001B6961" w:rsidRPr="006B012D" w:rsidRDefault="001B6961" w:rsidP="00C367EE">
            <w:pPr>
              <w:keepNext/>
              <w:jc w:val="center"/>
              <w:rPr>
                <w:noProof/>
                <w:sz w:val="20"/>
              </w:rPr>
            </w:pPr>
            <w:r w:rsidRPr="006B012D">
              <w:rPr>
                <w:noProof/>
                <w:sz w:val="20"/>
              </w:rPr>
              <w:t>9,8</w:t>
            </w:r>
          </w:p>
        </w:tc>
        <w:tc>
          <w:tcPr>
            <w:tcW w:w="464" w:type="pct"/>
            <w:tcBorders>
              <w:bottom w:val="double" w:sz="4" w:space="0" w:color="auto"/>
            </w:tcBorders>
          </w:tcPr>
          <w:p w14:paraId="74DDB58B" w14:textId="77777777" w:rsidR="001B6961" w:rsidRPr="006B012D" w:rsidRDefault="001B6961" w:rsidP="00C367EE">
            <w:pPr>
              <w:keepNext/>
              <w:jc w:val="center"/>
              <w:rPr>
                <w:noProof/>
                <w:sz w:val="20"/>
              </w:rPr>
            </w:pPr>
            <w:r w:rsidRPr="006B012D">
              <w:rPr>
                <w:noProof/>
                <w:sz w:val="20"/>
              </w:rPr>
              <w:t>15,4</w:t>
            </w:r>
          </w:p>
        </w:tc>
        <w:tc>
          <w:tcPr>
            <w:tcW w:w="463" w:type="pct"/>
            <w:tcBorders>
              <w:bottom w:val="double" w:sz="4" w:space="0" w:color="auto"/>
            </w:tcBorders>
          </w:tcPr>
          <w:p w14:paraId="788A947F" w14:textId="77777777" w:rsidR="001B6961" w:rsidRPr="006B012D" w:rsidRDefault="001B6961" w:rsidP="00C367EE">
            <w:pPr>
              <w:keepNext/>
              <w:jc w:val="center"/>
              <w:rPr>
                <w:noProof/>
                <w:sz w:val="20"/>
              </w:rPr>
            </w:pPr>
            <w:r w:rsidRPr="006B012D">
              <w:rPr>
                <w:noProof/>
                <w:sz w:val="20"/>
              </w:rPr>
              <w:t>22,8</w:t>
            </w:r>
          </w:p>
        </w:tc>
        <w:tc>
          <w:tcPr>
            <w:tcW w:w="463" w:type="pct"/>
            <w:tcBorders>
              <w:bottom w:val="double" w:sz="4" w:space="0" w:color="auto"/>
            </w:tcBorders>
          </w:tcPr>
          <w:p w14:paraId="776FC7D7" w14:textId="77777777" w:rsidR="001B6961" w:rsidRPr="006B012D" w:rsidRDefault="001B6961" w:rsidP="00C367EE">
            <w:pPr>
              <w:keepNext/>
              <w:jc w:val="center"/>
              <w:rPr>
                <w:noProof/>
                <w:sz w:val="20"/>
              </w:rPr>
            </w:pPr>
            <w:r w:rsidRPr="006B012D">
              <w:rPr>
                <w:noProof/>
                <w:sz w:val="20"/>
              </w:rPr>
              <w:t>28,9</w:t>
            </w:r>
          </w:p>
        </w:tc>
        <w:tc>
          <w:tcPr>
            <w:tcW w:w="463" w:type="pct"/>
            <w:tcBorders>
              <w:bottom w:val="double" w:sz="4" w:space="0" w:color="auto"/>
            </w:tcBorders>
          </w:tcPr>
          <w:p w14:paraId="16527F1D" w14:textId="77777777" w:rsidR="001B6961" w:rsidRPr="006B012D" w:rsidRDefault="001B6961" w:rsidP="00C367EE">
            <w:pPr>
              <w:keepNext/>
              <w:jc w:val="center"/>
              <w:rPr>
                <w:noProof/>
                <w:sz w:val="20"/>
              </w:rPr>
            </w:pPr>
            <w:r w:rsidRPr="006B012D">
              <w:rPr>
                <w:noProof/>
                <w:sz w:val="20"/>
              </w:rPr>
              <w:t>35,8</w:t>
            </w:r>
          </w:p>
        </w:tc>
        <w:tc>
          <w:tcPr>
            <w:tcW w:w="638" w:type="pct"/>
            <w:tcBorders>
              <w:bottom w:val="double" w:sz="4" w:space="0" w:color="auto"/>
            </w:tcBorders>
          </w:tcPr>
          <w:p w14:paraId="75E346AF" w14:textId="77777777" w:rsidR="001C7C2E" w:rsidRPr="006B012D" w:rsidRDefault="001C7C2E" w:rsidP="00C367EE">
            <w:pPr>
              <w:keepNext/>
              <w:jc w:val="center"/>
              <w:rPr>
                <w:noProof/>
                <w:sz w:val="20"/>
              </w:rPr>
            </w:pPr>
            <w:r w:rsidRPr="006B012D">
              <w:rPr>
                <w:noProof/>
                <w:sz w:val="20"/>
              </w:rPr>
              <w:t>42,2</w:t>
            </w:r>
          </w:p>
        </w:tc>
        <w:tc>
          <w:tcPr>
            <w:tcW w:w="638" w:type="pct"/>
            <w:tcBorders>
              <w:bottom w:val="double" w:sz="4" w:space="0" w:color="auto"/>
            </w:tcBorders>
          </w:tcPr>
          <w:p w14:paraId="2B1BAEE5" w14:textId="77777777" w:rsidR="001B6961" w:rsidRPr="006B012D" w:rsidRDefault="00DC2C79" w:rsidP="00C367EE">
            <w:pPr>
              <w:keepNext/>
              <w:jc w:val="center"/>
              <w:rPr>
                <w:noProof/>
                <w:sz w:val="20"/>
              </w:rPr>
            </w:pPr>
            <w:r w:rsidRPr="006B012D">
              <w:rPr>
                <w:noProof/>
                <w:sz w:val="20"/>
              </w:rPr>
              <w:t>–</w:t>
            </w:r>
          </w:p>
        </w:tc>
        <w:tc>
          <w:tcPr>
            <w:tcW w:w="635" w:type="pct"/>
            <w:tcBorders>
              <w:bottom w:val="double" w:sz="4" w:space="0" w:color="auto"/>
            </w:tcBorders>
          </w:tcPr>
          <w:p w14:paraId="601162D4" w14:textId="77777777" w:rsidR="001B6961" w:rsidRPr="006B012D" w:rsidRDefault="00DC2C79" w:rsidP="00C367EE">
            <w:pPr>
              <w:keepNext/>
              <w:jc w:val="center"/>
              <w:rPr>
                <w:noProof/>
                <w:sz w:val="20"/>
              </w:rPr>
            </w:pPr>
            <w:r w:rsidRPr="006B012D">
              <w:rPr>
                <w:noProof/>
                <w:sz w:val="20"/>
              </w:rPr>
              <w:t>–</w:t>
            </w:r>
          </w:p>
        </w:tc>
      </w:tr>
      <w:tr w:rsidR="001B6961" w:rsidRPr="006B012D" w14:paraId="70D7B878" w14:textId="77777777" w:rsidTr="00C74F87">
        <w:trPr>
          <w:jc w:val="center"/>
        </w:trPr>
        <w:tc>
          <w:tcPr>
            <w:tcW w:w="772" w:type="pct"/>
            <w:tcBorders>
              <w:top w:val="double" w:sz="4" w:space="0" w:color="auto"/>
            </w:tcBorders>
          </w:tcPr>
          <w:p w14:paraId="7BAE9187" w14:textId="77777777" w:rsidR="001B6961" w:rsidRPr="006B012D" w:rsidRDefault="001B6961" w:rsidP="00C367EE">
            <w:pPr>
              <w:keepNext/>
              <w:jc w:val="center"/>
              <w:rPr>
                <w:b/>
                <w:noProof/>
                <w:sz w:val="20"/>
              </w:rPr>
            </w:pPr>
            <w:r w:rsidRPr="006B012D">
              <w:rPr>
                <w:noProof/>
                <w:sz w:val="20"/>
              </w:rPr>
              <w:t>Potentiaalisen BKT:n kasvu (%)</w:t>
            </w:r>
          </w:p>
        </w:tc>
        <w:tc>
          <w:tcPr>
            <w:tcW w:w="464" w:type="pct"/>
            <w:tcBorders>
              <w:top w:val="double" w:sz="4" w:space="0" w:color="auto"/>
            </w:tcBorders>
          </w:tcPr>
          <w:p w14:paraId="7311E59F" w14:textId="77777777" w:rsidR="001B6961" w:rsidRPr="006B012D" w:rsidRDefault="001B6961" w:rsidP="00C367EE">
            <w:pPr>
              <w:keepNext/>
              <w:jc w:val="center"/>
              <w:rPr>
                <w:noProof/>
                <w:sz w:val="20"/>
              </w:rPr>
            </w:pPr>
            <w:r w:rsidRPr="006B012D">
              <w:rPr>
                <w:noProof/>
                <w:sz w:val="20"/>
              </w:rPr>
              <w:t>3,1</w:t>
            </w:r>
          </w:p>
        </w:tc>
        <w:tc>
          <w:tcPr>
            <w:tcW w:w="464" w:type="pct"/>
            <w:tcBorders>
              <w:top w:val="double" w:sz="4" w:space="0" w:color="auto"/>
            </w:tcBorders>
          </w:tcPr>
          <w:p w14:paraId="10A2EF17" w14:textId="77777777" w:rsidR="001B6961" w:rsidRPr="006B012D" w:rsidRDefault="001B6961" w:rsidP="00C367EE">
            <w:pPr>
              <w:keepNext/>
              <w:jc w:val="center"/>
              <w:rPr>
                <w:noProof/>
                <w:sz w:val="20"/>
              </w:rPr>
            </w:pPr>
            <w:r w:rsidRPr="006B012D">
              <w:rPr>
                <w:noProof/>
                <w:sz w:val="20"/>
              </w:rPr>
              <w:t>3,2</w:t>
            </w:r>
          </w:p>
        </w:tc>
        <w:tc>
          <w:tcPr>
            <w:tcW w:w="463" w:type="pct"/>
            <w:tcBorders>
              <w:top w:val="double" w:sz="4" w:space="0" w:color="auto"/>
            </w:tcBorders>
          </w:tcPr>
          <w:p w14:paraId="55BAEF3D" w14:textId="77777777" w:rsidR="001B6961" w:rsidRPr="006B012D" w:rsidRDefault="001B6961" w:rsidP="00C367EE">
            <w:pPr>
              <w:keepNext/>
              <w:jc w:val="center"/>
              <w:rPr>
                <w:noProof/>
                <w:sz w:val="20"/>
              </w:rPr>
            </w:pPr>
            <w:r w:rsidRPr="006B012D">
              <w:rPr>
                <w:noProof/>
                <w:sz w:val="20"/>
              </w:rPr>
              <w:t>2,9</w:t>
            </w:r>
          </w:p>
        </w:tc>
        <w:tc>
          <w:tcPr>
            <w:tcW w:w="463" w:type="pct"/>
            <w:tcBorders>
              <w:top w:val="double" w:sz="4" w:space="0" w:color="auto"/>
            </w:tcBorders>
          </w:tcPr>
          <w:p w14:paraId="7F78E59A" w14:textId="77777777" w:rsidR="001B6961" w:rsidRPr="006B012D" w:rsidRDefault="001B6961" w:rsidP="00C367EE">
            <w:pPr>
              <w:keepNext/>
              <w:jc w:val="center"/>
              <w:rPr>
                <w:noProof/>
                <w:sz w:val="20"/>
              </w:rPr>
            </w:pPr>
            <w:r w:rsidRPr="006B012D">
              <w:rPr>
                <w:noProof/>
                <w:sz w:val="20"/>
              </w:rPr>
              <w:t>2,8</w:t>
            </w:r>
          </w:p>
        </w:tc>
        <w:tc>
          <w:tcPr>
            <w:tcW w:w="463" w:type="pct"/>
            <w:tcBorders>
              <w:top w:val="double" w:sz="4" w:space="0" w:color="auto"/>
            </w:tcBorders>
          </w:tcPr>
          <w:p w14:paraId="5C0D3B1B" w14:textId="77777777" w:rsidR="001B6961" w:rsidRPr="006B012D" w:rsidRDefault="001B6961" w:rsidP="00C367EE">
            <w:pPr>
              <w:keepNext/>
              <w:jc w:val="center"/>
              <w:rPr>
                <w:noProof/>
                <w:sz w:val="20"/>
              </w:rPr>
            </w:pPr>
            <w:r w:rsidRPr="006B012D">
              <w:rPr>
                <w:noProof/>
                <w:sz w:val="20"/>
              </w:rPr>
              <w:t>3,6</w:t>
            </w:r>
          </w:p>
        </w:tc>
        <w:tc>
          <w:tcPr>
            <w:tcW w:w="638" w:type="pct"/>
            <w:tcBorders>
              <w:top w:val="double" w:sz="4" w:space="0" w:color="auto"/>
            </w:tcBorders>
          </w:tcPr>
          <w:p w14:paraId="02A165E3" w14:textId="77777777" w:rsidR="00BD4FCD" w:rsidRPr="006B012D" w:rsidRDefault="00BD4FCD" w:rsidP="00C367EE">
            <w:pPr>
              <w:keepNext/>
              <w:jc w:val="center"/>
              <w:rPr>
                <w:noProof/>
                <w:sz w:val="20"/>
              </w:rPr>
            </w:pPr>
            <w:r w:rsidRPr="006B012D">
              <w:rPr>
                <w:noProof/>
                <w:sz w:val="20"/>
              </w:rPr>
              <w:t>3,5</w:t>
            </w:r>
          </w:p>
        </w:tc>
        <w:tc>
          <w:tcPr>
            <w:tcW w:w="638" w:type="pct"/>
            <w:tcBorders>
              <w:top w:val="double" w:sz="4" w:space="0" w:color="auto"/>
            </w:tcBorders>
          </w:tcPr>
          <w:p w14:paraId="04CE583C" w14:textId="77777777" w:rsidR="001B6961" w:rsidRPr="006B012D" w:rsidRDefault="001B6961" w:rsidP="00C367EE">
            <w:pPr>
              <w:keepNext/>
              <w:jc w:val="center"/>
              <w:rPr>
                <w:noProof/>
                <w:sz w:val="20"/>
              </w:rPr>
            </w:pPr>
            <w:r w:rsidRPr="006B012D">
              <w:rPr>
                <w:noProof/>
                <w:sz w:val="20"/>
              </w:rPr>
              <w:t>3,2</w:t>
            </w:r>
          </w:p>
        </w:tc>
        <w:tc>
          <w:tcPr>
            <w:tcW w:w="635" w:type="pct"/>
            <w:tcBorders>
              <w:top w:val="double" w:sz="4" w:space="0" w:color="auto"/>
            </w:tcBorders>
          </w:tcPr>
          <w:p w14:paraId="7B1BB410" w14:textId="77777777" w:rsidR="001B6961" w:rsidRPr="006B012D" w:rsidRDefault="001B6961" w:rsidP="00C367EE">
            <w:pPr>
              <w:keepNext/>
              <w:jc w:val="center"/>
              <w:rPr>
                <w:noProof/>
                <w:sz w:val="20"/>
              </w:rPr>
            </w:pPr>
            <w:r w:rsidRPr="006B012D">
              <w:rPr>
                <w:noProof/>
                <w:sz w:val="20"/>
              </w:rPr>
              <w:t>3,1</w:t>
            </w:r>
          </w:p>
        </w:tc>
      </w:tr>
      <w:tr w:rsidR="001B6961" w:rsidRPr="006B012D" w14:paraId="2D377183" w14:textId="77777777" w:rsidTr="00C74F87">
        <w:trPr>
          <w:jc w:val="center"/>
        </w:trPr>
        <w:tc>
          <w:tcPr>
            <w:tcW w:w="772" w:type="pct"/>
          </w:tcPr>
          <w:p w14:paraId="1ECCCF74" w14:textId="77777777" w:rsidR="001B6961" w:rsidRPr="006B012D" w:rsidRDefault="001B6961" w:rsidP="00C367EE">
            <w:pPr>
              <w:keepNext/>
              <w:jc w:val="center"/>
              <w:rPr>
                <w:b/>
                <w:noProof/>
                <w:sz w:val="20"/>
              </w:rPr>
            </w:pPr>
            <w:r w:rsidRPr="006B012D">
              <w:rPr>
                <w:noProof/>
                <w:sz w:val="20"/>
              </w:rPr>
              <w:t>Inflaatio (BKT-deflaattorin kasvu) (%)</w:t>
            </w:r>
          </w:p>
        </w:tc>
        <w:tc>
          <w:tcPr>
            <w:tcW w:w="464" w:type="pct"/>
          </w:tcPr>
          <w:p w14:paraId="323F525C" w14:textId="77777777" w:rsidR="001B6961" w:rsidRPr="006B012D" w:rsidRDefault="001B6961" w:rsidP="00C367EE">
            <w:pPr>
              <w:keepNext/>
              <w:jc w:val="center"/>
              <w:rPr>
                <w:noProof/>
                <w:sz w:val="20"/>
              </w:rPr>
            </w:pPr>
            <w:r w:rsidRPr="006B012D">
              <w:rPr>
                <w:noProof/>
                <w:sz w:val="20"/>
              </w:rPr>
              <w:t>3,2</w:t>
            </w:r>
          </w:p>
        </w:tc>
        <w:tc>
          <w:tcPr>
            <w:tcW w:w="464" w:type="pct"/>
          </w:tcPr>
          <w:p w14:paraId="42475642" w14:textId="77777777" w:rsidR="001B6961" w:rsidRPr="006B012D" w:rsidRDefault="001B6961" w:rsidP="00C367EE">
            <w:pPr>
              <w:keepNext/>
              <w:jc w:val="center"/>
              <w:rPr>
                <w:noProof/>
                <w:sz w:val="20"/>
              </w:rPr>
            </w:pPr>
            <w:r w:rsidRPr="006B012D">
              <w:rPr>
                <w:noProof/>
                <w:sz w:val="20"/>
              </w:rPr>
              <w:t>2,1</w:t>
            </w:r>
          </w:p>
        </w:tc>
        <w:tc>
          <w:tcPr>
            <w:tcW w:w="463" w:type="pct"/>
          </w:tcPr>
          <w:p w14:paraId="45C4FCB7" w14:textId="77777777" w:rsidR="001B6961" w:rsidRPr="006B012D" w:rsidRDefault="001B6961" w:rsidP="00C367EE">
            <w:pPr>
              <w:keepNext/>
              <w:jc w:val="center"/>
              <w:rPr>
                <w:noProof/>
                <w:sz w:val="20"/>
              </w:rPr>
            </w:pPr>
            <w:r w:rsidRPr="006B012D">
              <w:rPr>
                <w:noProof/>
                <w:sz w:val="20"/>
              </w:rPr>
              <w:t>2,1</w:t>
            </w:r>
          </w:p>
        </w:tc>
        <w:tc>
          <w:tcPr>
            <w:tcW w:w="463" w:type="pct"/>
          </w:tcPr>
          <w:p w14:paraId="311FD10C" w14:textId="77777777" w:rsidR="001B6961" w:rsidRPr="006B012D" w:rsidRDefault="001B6961" w:rsidP="00C367EE">
            <w:pPr>
              <w:keepNext/>
              <w:jc w:val="center"/>
              <w:rPr>
                <w:noProof/>
                <w:sz w:val="20"/>
              </w:rPr>
            </w:pPr>
            <w:r w:rsidRPr="006B012D">
              <w:rPr>
                <w:noProof/>
                <w:sz w:val="20"/>
              </w:rPr>
              <w:t>2,1</w:t>
            </w:r>
          </w:p>
        </w:tc>
        <w:tc>
          <w:tcPr>
            <w:tcW w:w="463" w:type="pct"/>
          </w:tcPr>
          <w:p w14:paraId="2CA387A9" w14:textId="77777777" w:rsidR="001B6961" w:rsidRPr="006B012D" w:rsidRDefault="001B6961" w:rsidP="00C367EE">
            <w:pPr>
              <w:keepNext/>
              <w:jc w:val="center"/>
              <w:rPr>
                <w:noProof/>
                <w:sz w:val="20"/>
              </w:rPr>
            </w:pPr>
            <w:r w:rsidRPr="006B012D">
              <w:rPr>
                <w:noProof/>
                <w:sz w:val="20"/>
              </w:rPr>
              <w:t>2,1</w:t>
            </w:r>
          </w:p>
        </w:tc>
        <w:tc>
          <w:tcPr>
            <w:tcW w:w="638" w:type="pct"/>
          </w:tcPr>
          <w:p w14:paraId="1898311E" w14:textId="77777777" w:rsidR="009D45D5" w:rsidRPr="006B012D" w:rsidRDefault="009D45D5" w:rsidP="00C367EE">
            <w:pPr>
              <w:keepNext/>
              <w:jc w:val="center"/>
              <w:rPr>
                <w:noProof/>
                <w:sz w:val="20"/>
              </w:rPr>
            </w:pPr>
            <w:r w:rsidRPr="006B012D">
              <w:rPr>
                <w:noProof/>
                <w:sz w:val="20"/>
              </w:rPr>
              <w:t>2,1</w:t>
            </w:r>
          </w:p>
        </w:tc>
        <w:tc>
          <w:tcPr>
            <w:tcW w:w="638" w:type="pct"/>
          </w:tcPr>
          <w:p w14:paraId="21A113C2" w14:textId="77777777" w:rsidR="001B6961" w:rsidRPr="006B012D" w:rsidRDefault="001B6961" w:rsidP="00C367EE">
            <w:pPr>
              <w:keepNext/>
              <w:jc w:val="center"/>
              <w:rPr>
                <w:noProof/>
                <w:sz w:val="20"/>
              </w:rPr>
            </w:pPr>
            <w:r w:rsidRPr="006B012D">
              <w:rPr>
                <w:noProof/>
                <w:sz w:val="20"/>
              </w:rPr>
              <w:t>2,1</w:t>
            </w:r>
          </w:p>
        </w:tc>
        <w:tc>
          <w:tcPr>
            <w:tcW w:w="635" w:type="pct"/>
          </w:tcPr>
          <w:p w14:paraId="3B7FB45F" w14:textId="77777777" w:rsidR="001B6961" w:rsidRPr="006B012D" w:rsidRDefault="001B6961" w:rsidP="00C367EE">
            <w:pPr>
              <w:keepNext/>
              <w:jc w:val="center"/>
              <w:rPr>
                <w:noProof/>
                <w:sz w:val="20"/>
              </w:rPr>
            </w:pPr>
            <w:r w:rsidRPr="006B012D">
              <w:rPr>
                <w:noProof/>
                <w:sz w:val="20"/>
              </w:rPr>
              <w:t>2,1</w:t>
            </w:r>
          </w:p>
        </w:tc>
      </w:tr>
    </w:tbl>
    <w:p w14:paraId="430A6FA1" w14:textId="77777777" w:rsidR="00262F29" w:rsidRPr="006B012D" w:rsidRDefault="00094E30" w:rsidP="005342ED">
      <w:pPr>
        <w:keepNext/>
        <w:jc w:val="left"/>
        <w:rPr>
          <w:noProof/>
          <w:sz w:val="20"/>
          <w:szCs w:val="20"/>
        </w:rPr>
      </w:pPr>
      <w:r w:rsidRPr="006B012D">
        <w:rPr>
          <w:noProof/>
          <w:sz w:val="20"/>
        </w:rPr>
        <w:t>Lähde: Irlannin kansallinen keskipitkän aikavälin finanssipoliittis-rakenteellinen suunnitelma ja komission laskelmat.</w:t>
      </w:r>
    </w:p>
    <w:p w14:paraId="02694072" w14:textId="77777777" w:rsidR="001B6961" w:rsidRPr="006B012D" w:rsidRDefault="001B6961" w:rsidP="00155649">
      <w:pPr>
        <w:rPr>
          <w:noProof/>
        </w:rPr>
      </w:pPr>
      <w:r w:rsidRPr="006B012D">
        <w:rPr>
          <w:b/>
          <w:noProof/>
        </w:rPr>
        <w:t xml:space="preserve">Suunnitelmaan sisältyvien nettomenositoumusten vaikutukset julkiseen velkaan </w:t>
      </w:r>
    </w:p>
    <w:p w14:paraId="1AD9F76F" w14:textId="75B2E29B" w:rsidR="00155649" w:rsidRPr="006B012D" w:rsidRDefault="00242CEE" w:rsidP="00242CEE">
      <w:pPr>
        <w:pStyle w:val="ManualConsidrant"/>
        <w:rPr>
          <w:rFonts w:eastAsia="Times New Roman"/>
          <w:noProof/>
          <w:color w:val="000000" w:themeColor="text1"/>
        </w:rPr>
      </w:pPr>
      <w:r w:rsidRPr="00242CEE">
        <w:rPr>
          <w:noProof/>
        </w:rPr>
        <w:t>(18)</w:t>
      </w:r>
      <w:r w:rsidRPr="00242CEE">
        <w:rPr>
          <w:noProof/>
        </w:rPr>
        <w:tab/>
      </w:r>
      <w:r w:rsidR="001B6961" w:rsidRPr="006B012D">
        <w:rPr>
          <w:noProof/>
        </w:rPr>
        <w:t xml:space="preserve">Jos nettomenopolku, johon suunnitelmassa on sitouduttu, ja sen perustana olevat oletukset toteutuvat, julkinen velka, joka vuonna 2024 oli 41,4 prosenttia suhteessa BKT:hen, supistuisi suunnitelman mukaan asteittain niin, että se olisi vuonna 2028 sopeutuskauden päättyessä 34,0 prosenttia, kuten seuraavasta taulukosta ilmenee. </w:t>
      </w:r>
      <w:r w:rsidR="001B6961" w:rsidRPr="006B012D">
        <w:rPr>
          <w:noProof/>
          <w:color w:val="000000" w:themeColor="text1"/>
        </w:rPr>
        <w:t>Sopeutuksen jälkeen keskipitkällä aikavälillä (vuoteen 2038) velkasuhteen odotetaan supistuvan edelleen niin, että se laskee selvästi alle 60 prosenttiin suhteessa BKT:hen</w:t>
      </w:r>
      <w:r w:rsidR="001B6961" w:rsidRPr="006B012D">
        <w:rPr>
          <w:noProof/>
        </w:rPr>
        <w:t xml:space="preserve"> ja on 18,8 prosenttia vuonna 2038.</w:t>
      </w:r>
    </w:p>
    <w:p w14:paraId="36F622A3" w14:textId="77777777" w:rsidR="001B6961" w:rsidRPr="006B012D" w:rsidRDefault="001B6961" w:rsidP="00C367EE">
      <w:pPr>
        <w:keepNext/>
        <w:rPr>
          <w:b/>
          <w:bCs/>
          <w:noProof/>
        </w:rPr>
      </w:pPr>
      <w:r w:rsidRPr="006B012D">
        <w:rPr>
          <w:b/>
          <w:noProof/>
        </w:rPr>
        <w:t xml:space="preserve">Taulukko 2: Julkisen velan ja julkisen talouden rahoitusaseman kehittyminen Irlannin suunnitelmassa </w:t>
      </w:r>
    </w:p>
    <w:tbl>
      <w:tblPr>
        <w:tblStyle w:val="TableGrid"/>
        <w:tblW w:w="9072" w:type="dxa"/>
        <w:jc w:val="center"/>
        <w:tblBorders>
          <w:left w:val="none" w:sz="0" w:space="0" w:color="auto"/>
          <w:right w:val="none" w:sz="0" w:space="0" w:color="auto"/>
        </w:tblBorders>
        <w:tblLayout w:type="fixed"/>
        <w:tblLook w:val="04A0" w:firstRow="1" w:lastRow="0" w:firstColumn="1" w:lastColumn="0" w:noHBand="0" w:noVBand="1"/>
      </w:tblPr>
      <w:tblGrid>
        <w:gridCol w:w="2302"/>
        <w:gridCol w:w="847"/>
        <w:gridCol w:w="847"/>
        <w:gridCol w:w="847"/>
        <w:gridCol w:w="847"/>
        <w:gridCol w:w="847"/>
        <w:gridCol w:w="847"/>
        <w:gridCol w:w="844"/>
        <w:gridCol w:w="844"/>
      </w:tblGrid>
      <w:tr w:rsidR="001B6961" w:rsidRPr="006B012D" w14:paraId="708DBB67" w14:textId="77777777" w:rsidTr="00C74F87">
        <w:trPr>
          <w:jc w:val="center"/>
        </w:trPr>
        <w:tc>
          <w:tcPr>
            <w:tcW w:w="1268" w:type="pct"/>
          </w:tcPr>
          <w:p w14:paraId="1B9B925F" w14:textId="77777777" w:rsidR="001B6961" w:rsidRPr="006B012D" w:rsidRDefault="001B6961" w:rsidP="00C367EE">
            <w:pPr>
              <w:keepNext/>
              <w:jc w:val="center"/>
              <w:rPr>
                <w:b/>
                <w:bCs/>
                <w:noProof/>
                <w:sz w:val="20"/>
              </w:rPr>
            </w:pPr>
          </w:p>
        </w:tc>
        <w:tc>
          <w:tcPr>
            <w:tcW w:w="466" w:type="pct"/>
          </w:tcPr>
          <w:p w14:paraId="3A4B011B" w14:textId="77777777" w:rsidR="001B6961" w:rsidRPr="006B012D" w:rsidRDefault="001B6961" w:rsidP="00C367EE">
            <w:pPr>
              <w:keepNext/>
              <w:jc w:val="center"/>
              <w:rPr>
                <w:noProof/>
                <w:sz w:val="20"/>
              </w:rPr>
            </w:pPr>
            <w:r w:rsidRPr="006B012D">
              <w:rPr>
                <w:noProof/>
                <w:sz w:val="20"/>
              </w:rPr>
              <w:t>2023</w:t>
            </w:r>
          </w:p>
        </w:tc>
        <w:tc>
          <w:tcPr>
            <w:tcW w:w="467" w:type="pct"/>
          </w:tcPr>
          <w:p w14:paraId="6A76444B" w14:textId="77777777" w:rsidR="001B6961" w:rsidRPr="006B012D" w:rsidRDefault="001B6961" w:rsidP="00C367EE">
            <w:pPr>
              <w:keepNext/>
              <w:jc w:val="center"/>
              <w:rPr>
                <w:noProof/>
                <w:sz w:val="20"/>
              </w:rPr>
            </w:pPr>
            <w:r w:rsidRPr="006B012D">
              <w:rPr>
                <w:noProof/>
                <w:sz w:val="20"/>
              </w:rPr>
              <w:t>2024</w:t>
            </w:r>
          </w:p>
        </w:tc>
        <w:tc>
          <w:tcPr>
            <w:tcW w:w="467" w:type="pct"/>
          </w:tcPr>
          <w:p w14:paraId="5626E921" w14:textId="77777777" w:rsidR="001B6961" w:rsidRPr="006B012D" w:rsidRDefault="001B6961" w:rsidP="00C367EE">
            <w:pPr>
              <w:keepNext/>
              <w:jc w:val="center"/>
              <w:rPr>
                <w:noProof/>
                <w:sz w:val="20"/>
              </w:rPr>
            </w:pPr>
            <w:r w:rsidRPr="006B012D">
              <w:rPr>
                <w:noProof/>
                <w:sz w:val="20"/>
              </w:rPr>
              <w:t>2025</w:t>
            </w:r>
          </w:p>
        </w:tc>
        <w:tc>
          <w:tcPr>
            <w:tcW w:w="467" w:type="pct"/>
          </w:tcPr>
          <w:p w14:paraId="2DCA88CE" w14:textId="77777777" w:rsidR="001B6961" w:rsidRPr="006B012D" w:rsidRDefault="001B6961" w:rsidP="00C367EE">
            <w:pPr>
              <w:keepNext/>
              <w:jc w:val="center"/>
              <w:rPr>
                <w:noProof/>
                <w:sz w:val="20"/>
              </w:rPr>
            </w:pPr>
            <w:r w:rsidRPr="006B012D">
              <w:rPr>
                <w:noProof/>
                <w:sz w:val="20"/>
              </w:rPr>
              <w:t>2026</w:t>
            </w:r>
          </w:p>
        </w:tc>
        <w:tc>
          <w:tcPr>
            <w:tcW w:w="467" w:type="pct"/>
          </w:tcPr>
          <w:p w14:paraId="4DEF1D4D" w14:textId="77777777" w:rsidR="001B6961" w:rsidRPr="006B012D" w:rsidRDefault="001B6961" w:rsidP="00C367EE">
            <w:pPr>
              <w:keepNext/>
              <w:jc w:val="center"/>
              <w:rPr>
                <w:noProof/>
                <w:sz w:val="20"/>
              </w:rPr>
            </w:pPr>
            <w:r w:rsidRPr="006B012D">
              <w:rPr>
                <w:noProof/>
                <w:sz w:val="20"/>
              </w:rPr>
              <w:t>2027</w:t>
            </w:r>
          </w:p>
        </w:tc>
        <w:tc>
          <w:tcPr>
            <w:tcW w:w="467" w:type="pct"/>
          </w:tcPr>
          <w:p w14:paraId="69440456" w14:textId="77777777" w:rsidR="001B6961" w:rsidRPr="006B012D" w:rsidRDefault="001B6961" w:rsidP="00C367EE">
            <w:pPr>
              <w:keepNext/>
              <w:jc w:val="center"/>
              <w:rPr>
                <w:noProof/>
                <w:sz w:val="20"/>
              </w:rPr>
            </w:pPr>
            <w:r w:rsidRPr="006B012D">
              <w:rPr>
                <w:noProof/>
                <w:sz w:val="20"/>
              </w:rPr>
              <w:t>2028</w:t>
            </w:r>
          </w:p>
        </w:tc>
        <w:tc>
          <w:tcPr>
            <w:tcW w:w="465" w:type="pct"/>
          </w:tcPr>
          <w:p w14:paraId="716750A0" w14:textId="77777777" w:rsidR="009D45D5" w:rsidRPr="006B012D" w:rsidRDefault="009D45D5" w:rsidP="00C367EE">
            <w:pPr>
              <w:keepNext/>
              <w:jc w:val="center"/>
              <w:rPr>
                <w:noProof/>
                <w:sz w:val="20"/>
              </w:rPr>
            </w:pPr>
            <w:r w:rsidRPr="006B012D">
              <w:rPr>
                <w:noProof/>
                <w:sz w:val="20"/>
              </w:rPr>
              <w:t>2029</w:t>
            </w:r>
          </w:p>
        </w:tc>
        <w:tc>
          <w:tcPr>
            <w:tcW w:w="465" w:type="pct"/>
          </w:tcPr>
          <w:p w14:paraId="238CEDDB" w14:textId="77777777" w:rsidR="001B6961" w:rsidRPr="006B012D" w:rsidRDefault="001B6961" w:rsidP="00C367EE">
            <w:pPr>
              <w:keepNext/>
              <w:jc w:val="center"/>
              <w:rPr>
                <w:noProof/>
                <w:sz w:val="20"/>
              </w:rPr>
            </w:pPr>
            <w:r w:rsidRPr="006B012D">
              <w:rPr>
                <w:noProof/>
                <w:sz w:val="20"/>
              </w:rPr>
              <w:t>2038</w:t>
            </w:r>
          </w:p>
        </w:tc>
      </w:tr>
      <w:tr w:rsidR="001B6961" w:rsidRPr="006B012D" w14:paraId="600CEE79" w14:textId="77777777" w:rsidTr="00C74F87">
        <w:trPr>
          <w:jc w:val="center"/>
        </w:trPr>
        <w:tc>
          <w:tcPr>
            <w:tcW w:w="1268" w:type="pct"/>
          </w:tcPr>
          <w:p w14:paraId="085B5E40" w14:textId="77777777" w:rsidR="001B6961" w:rsidRPr="006B012D" w:rsidRDefault="001B6961" w:rsidP="00C367EE">
            <w:pPr>
              <w:keepNext/>
              <w:jc w:val="center"/>
              <w:rPr>
                <w:noProof/>
                <w:sz w:val="20"/>
              </w:rPr>
            </w:pPr>
            <w:r w:rsidRPr="006B012D">
              <w:rPr>
                <w:noProof/>
                <w:sz w:val="20"/>
              </w:rPr>
              <w:t>Julkinen velka</w:t>
            </w:r>
          </w:p>
          <w:p w14:paraId="343B6C3B" w14:textId="77777777" w:rsidR="001B6961" w:rsidRPr="006B012D" w:rsidRDefault="001B6961" w:rsidP="00C367EE">
            <w:pPr>
              <w:keepNext/>
              <w:jc w:val="center"/>
              <w:rPr>
                <w:b/>
                <w:bCs/>
                <w:noProof/>
                <w:sz w:val="20"/>
              </w:rPr>
            </w:pPr>
            <w:r w:rsidRPr="006B012D">
              <w:rPr>
                <w:noProof/>
                <w:sz w:val="20"/>
              </w:rPr>
              <w:t>(% suhteessa BKT:hen)</w:t>
            </w:r>
          </w:p>
        </w:tc>
        <w:tc>
          <w:tcPr>
            <w:tcW w:w="466" w:type="pct"/>
          </w:tcPr>
          <w:p w14:paraId="66B3E900" w14:textId="77777777" w:rsidR="001B6961" w:rsidRPr="006B012D" w:rsidRDefault="001B6961" w:rsidP="00C367EE">
            <w:pPr>
              <w:keepNext/>
              <w:jc w:val="center"/>
              <w:rPr>
                <w:noProof/>
                <w:sz w:val="20"/>
              </w:rPr>
            </w:pPr>
            <w:r w:rsidRPr="006B012D">
              <w:rPr>
                <w:noProof/>
                <w:sz w:val="20"/>
              </w:rPr>
              <w:t>43,4</w:t>
            </w:r>
          </w:p>
        </w:tc>
        <w:tc>
          <w:tcPr>
            <w:tcW w:w="467" w:type="pct"/>
          </w:tcPr>
          <w:p w14:paraId="1EFE8F7A" w14:textId="77777777" w:rsidR="001B6961" w:rsidRPr="006B012D" w:rsidRDefault="001B6961" w:rsidP="00C367EE">
            <w:pPr>
              <w:keepNext/>
              <w:jc w:val="center"/>
              <w:rPr>
                <w:noProof/>
                <w:sz w:val="20"/>
              </w:rPr>
            </w:pPr>
            <w:r w:rsidRPr="006B012D">
              <w:rPr>
                <w:noProof/>
                <w:sz w:val="20"/>
              </w:rPr>
              <w:t>41,4</w:t>
            </w:r>
          </w:p>
        </w:tc>
        <w:tc>
          <w:tcPr>
            <w:tcW w:w="467" w:type="pct"/>
          </w:tcPr>
          <w:p w14:paraId="26D2F312" w14:textId="77777777" w:rsidR="001B6961" w:rsidRPr="006B012D" w:rsidRDefault="001B6961" w:rsidP="00C367EE">
            <w:pPr>
              <w:keepNext/>
              <w:jc w:val="center"/>
              <w:rPr>
                <w:noProof/>
                <w:sz w:val="20"/>
              </w:rPr>
            </w:pPr>
            <w:r w:rsidRPr="006B012D">
              <w:rPr>
                <w:noProof/>
                <w:sz w:val="20"/>
              </w:rPr>
              <w:t>37,9</w:t>
            </w:r>
          </w:p>
        </w:tc>
        <w:tc>
          <w:tcPr>
            <w:tcW w:w="467" w:type="pct"/>
          </w:tcPr>
          <w:p w14:paraId="05C3B26A" w14:textId="77777777" w:rsidR="001B6961" w:rsidRPr="006B012D" w:rsidRDefault="001B6961" w:rsidP="00C367EE">
            <w:pPr>
              <w:keepNext/>
              <w:jc w:val="center"/>
              <w:rPr>
                <w:noProof/>
                <w:sz w:val="20"/>
              </w:rPr>
            </w:pPr>
            <w:r w:rsidRPr="006B012D">
              <w:rPr>
                <w:noProof/>
                <w:sz w:val="20"/>
              </w:rPr>
              <w:t>36</w:t>
            </w:r>
          </w:p>
        </w:tc>
        <w:tc>
          <w:tcPr>
            <w:tcW w:w="467" w:type="pct"/>
          </w:tcPr>
          <w:p w14:paraId="3FA03AD0" w14:textId="77777777" w:rsidR="001B6961" w:rsidRPr="006B012D" w:rsidRDefault="001B6961" w:rsidP="00C367EE">
            <w:pPr>
              <w:keepNext/>
              <w:jc w:val="center"/>
              <w:rPr>
                <w:noProof/>
                <w:sz w:val="20"/>
              </w:rPr>
            </w:pPr>
            <w:r w:rsidRPr="006B012D">
              <w:rPr>
                <w:noProof/>
                <w:sz w:val="20"/>
              </w:rPr>
              <w:t>34,8</w:t>
            </w:r>
          </w:p>
        </w:tc>
        <w:tc>
          <w:tcPr>
            <w:tcW w:w="467" w:type="pct"/>
          </w:tcPr>
          <w:p w14:paraId="00FD2125" w14:textId="77777777" w:rsidR="001B6961" w:rsidRPr="006B012D" w:rsidRDefault="001B6961" w:rsidP="00C367EE">
            <w:pPr>
              <w:keepNext/>
              <w:jc w:val="center"/>
              <w:rPr>
                <w:noProof/>
                <w:sz w:val="20"/>
              </w:rPr>
            </w:pPr>
            <w:r w:rsidRPr="006B012D">
              <w:rPr>
                <w:noProof/>
                <w:sz w:val="20"/>
              </w:rPr>
              <w:t>34</w:t>
            </w:r>
          </w:p>
        </w:tc>
        <w:tc>
          <w:tcPr>
            <w:tcW w:w="465" w:type="pct"/>
          </w:tcPr>
          <w:p w14:paraId="09ED4B48" w14:textId="77777777" w:rsidR="002857AC" w:rsidRPr="006B012D" w:rsidRDefault="002857AC" w:rsidP="00C367EE">
            <w:pPr>
              <w:keepNext/>
              <w:jc w:val="center"/>
              <w:rPr>
                <w:noProof/>
                <w:sz w:val="20"/>
              </w:rPr>
            </w:pPr>
            <w:r w:rsidRPr="006B012D">
              <w:rPr>
                <w:noProof/>
                <w:sz w:val="20"/>
              </w:rPr>
              <w:t>33,1</w:t>
            </w:r>
          </w:p>
        </w:tc>
        <w:tc>
          <w:tcPr>
            <w:tcW w:w="465" w:type="pct"/>
          </w:tcPr>
          <w:p w14:paraId="6F6DBD88" w14:textId="77777777" w:rsidR="001B6961" w:rsidRPr="006B012D" w:rsidRDefault="001B6961" w:rsidP="00C367EE">
            <w:pPr>
              <w:keepNext/>
              <w:jc w:val="center"/>
              <w:rPr>
                <w:noProof/>
                <w:sz w:val="20"/>
              </w:rPr>
            </w:pPr>
            <w:r w:rsidRPr="006B012D">
              <w:rPr>
                <w:noProof/>
                <w:sz w:val="20"/>
              </w:rPr>
              <w:t>18,8</w:t>
            </w:r>
          </w:p>
        </w:tc>
      </w:tr>
      <w:tr w:rsidR="001B6961" w:rsidRPr="006B012D" w14:paraId="1EF581D7" w14:textId="77777777" w:rsidTr="00C74F87">
        <w:trPr>
          <w:trHeight w:val="742"/>
          <w:jc w:val="center"/>
        </w:trPr>
        <w:tc>
          <w:tcPr>
            <w:tcW w:w="1268" w:type="pct"/>
          </w:tcPr>
          <w:p w14:paraId="6B2574F1" w14:textId="77777777" w:rsidR="001B6961" w:rsidRPr="006B012D" w:rsidRDefault="001B6961" w:rsidP="00C367EE">
            <w:pPr>
              <w:keepNext/>
              <w:jc w:val="center"/>
              <w:rPr>
                <w:noProof/>
                <w:sz w:val="20"/>
              </w:rPr>
            </w:pPr>
            <w:r w:rsidRPr="006B012D">
              <w:rPr>
                <w:noProof/>
                <w:sz w:val="20"/>
              </w:rPr>
              <w:t>Julkisen talouden rahoitusasema</w:t>
            </w:r>
          </w:p>
          <w:p w14:paraId="17042B5A" w14:textId="77777777" w:rsidR="001B6961" w:rsidRPr="006B012D" w:rsidRDefault="001B6961" w:rsidP="00C367EE">
            <w:pPr>
              <w:keepNext/>
              <w:jc w:val="center"/>
              <w:rPr>
                <w:noProof/>
                <w:sz w:val="20"/>
              </w:rPr>
            </w:pPr>
            <w:r w:rsidRPr="006B012D">
              <w:rPr>
                <w:noProof/>
                <w:sz w:val="20"/>
              </w:rPr>
              <w:t>(% suhteessa BKT:hen)</w:t>
            </w:r>
          </w:p>
        </w:tc>
        <w:tc>
          <w:tcPr>
            <w:tcW w:w="466" w:type="pct"/>
          </w:tcPr>
          <w:p w14:paraId="15FFE175" w14:textId="77777777" w:rsidR="001B6961" w:rsidRPr="006B012D" w:rsidRDefault="001B6961" w:rsidP="00C367EE">
            <w:pPr>
              <w:keepNext/>
              <w:jc w:val="center"/>
              <w:rPr>
                <w:noProof/>
                <w:sz w:val="20"/>
              </w:rPr>
            </w:pPr>
            <w:r w:rsidRPr="006B012D">
              <w:rPr>
                <w:noProof/>
                <w:sz w:val="20"/>
              </w:rPr>
              <w:t>1,6</w:t>
            </w:r>
          </w:p>
        </w:tc>
        <w:tc>
          <w:tcPr>
            <w:tcW w:w="467" w:type="pct"/>
          </w:tcPr>
          <w:p w14:paraId="1478FD1B" w14:textId="77777777" w:rsidR="001B6961" w:rsidRPr="006B012D" w:rsidRDefault="001B6961" w:rsidP="00C367EE">
            <w:pPr>
              <w:keepNext/>
              <w:jc w:val="center"/>
              <w:rPr>
                <w:noProof/>
                <w:sz w:val="20"/>
              </w:rPr>
            </w:pPr>
            <w:r w:rsidRPr="006B012D">
              <w:rPr>
                <w:noProof/>
                <w:sz w:val="20"/>
              </w:rPr>
              <w:t>4,5</w:t>
            </w:r>
          </w:p>
        </w:tc>
        <w:tc>
          <w:tcPr>
            <w:tcW w:w="467" w:type="pct"/>
          </w:tcPr>
          <w:p w14:paraId="00929FBF" w14:textId="77777777" w:rsidR="001B6961" w:rsidRPr="006B012D" w:rsidRDefault="001B6961" w:rsidP="00C367EE">
            <w:pPr>
              <w:keepNext/>
              <w:jc w:val="center"/>
              <w:rPr>
                <w:noProof/>
                <w:sz w:val="20"/>
              </w:rPr>
            </w:pPr>
            <w:r w:rsidRPr="006B012D">
              <w:rPr>
                <w:noProof/>
                <w:sz w:val="20"/>
              </w:rPr>
              <w:t>1,7</w:t>
            </w:r>
          </w:p>
        </w:tc>
        <w:tc>
          <w:tcPr>
            <w:tcW w:w="467" w:type="pct"/>
          </w:tcPr>
          <w:p w14:paraId="140718F0" w14:textId="77777777" w:rsidR="001B6961" w:rsidRPr="006B012D" w:rsidRDefault="001B6961" w:rsidP="00C367EE">
            <w:pPr>
              <w:keepNext/>
              <w:jc w:val="center"/>
              <w:rPr>
                <w:noProof/>
                <w:sz w:val="20"/>
              </w:rPr>
            </w:pPr>
            <w:r w:rsidRPr="006B012D">
              <w:rPr>
                <w:noProof/>
                <w:sz w:val="20"/>
              </w:rPr>
              <w:t>1,4</w:t>
            </w:r>
          </w:p>
        </w:tc>
        <w:tc>
          <w:tcPr>
            <w:tcW w:w="467" w:type="pct"/>
          </w:tcPr>
          <w:p w14:paraId="6F546BA7" w14:textId="77777777" w:rsidR="001B6961" w:rsidRPr="006B012D" w:rsidRDefault="001B6961" w:rsidP="00C367EE">
            <w:pPr>
              <w:keepNext/>
              <w:jc w:val="center"/>
              <w:rPr>
                <w:noProof/>
                <w:sz w:val="20"/>
              </w:rPr>
            </w:pPr>
            <w:r w:rsidRPr="006B012D">
              <w:rPr>
                <w:noProof/>
                <w:sz w:val="20"/>
              </w:rPr>
              <w:t>1,1</w:t>
            </w:r>
          </w:p>
        </w:tc>
        <w:tc>
          <w:tcPr>
            <w:tcW w:w="467" w:type="pct"/>
          </w:tcPr>
          <w:p w14:paraId="14B2E16A" w14:textId="77777777" w:rsidR="001B6961" w:rsidRPr="006B012D" w:rsidRDefault="001B6961" w:rsidP="00C367EE">
            <w:pPr>
              <w:keepNext/>
              <w:jc w:val="center"/>
              <w:rPr>
                <w:noProof/>
                <w:sz w:val="20"/>
              </w:rPr>
            </w:pPr>
            <w:r w:rsidRPr="006B012D">
              <w:rPr>
                <w:noProof/>
                <w:sz w:val="20"/>
              </w:rPr>
              <w:t>1,6</w:t>
            </w:r>
          </w:p>
        </w:tc>
        <w:tc>
          <w:tcPr>
            <w:tcW w:w="465" w:type="pct"/>
          </w:tcPr>
          <w:p w14:paraId="2D7E656B" w14:textId="77777777" w:rsidR="002857AC" w:rsidRPr="006B012D" w:rsidRDefault="002857AC" w:rsidP="00C367EE">
            <w:pPr>
              <w:keepNext/>
              <w:jc w:val="center"/>
              <w:rPr>
                <w:noProof/>
                <w:sz w:val="20"/>
              </w:rPr>
            </w:pPr>
            <w:r w:rsidRPr="006B012D">
              <w:rPr>
                <w:noProof/>
                <w:sz w:val="20"/>
              </w:rPr>
              <w:t>1,5</w:t>
            </w:r>
          </w:p>
        </w:tc>
        <w:tc>
          <w:tcPr>
            <w:tcW w:w="465" w:type="pct"/>
          </w:tcPr>
          <w:p w14:paraId="65057F67" w14:textId="77777777" w:rsidR="001B6961" w:rsidRPr="006B012D" w:rsidRDefault="001B6961" w:rsidP="00C367EE">
            <w:pPr>
              <w:keepNext/>
              <w:jc w:val="center"/>
              <w:rPr>
                <w:noProof/>
                <w:sz w:val="20"/>
              </w:rPr>
            </w:pPr>
            <w:r w:rsidRPr="006B012D">
              <w:rPr>
                <w:noProof/>
                <w:sz w:val="20"/>
              </w:rPr>
              <w:t>0,6</w:t>
            </w:r>
          </w:p>
        </w:tc>
      </w:tr>
    </w:tbl>
    <w:p w14:paraId="4B82CC67" w14:textId="77777777" w:rsidR="00155649" w:rsidRPr="006B012D" w:rsidRDefault="001B6961" w:rsidP="005342ED">
      <w:pPr>
        <w:keepNext/>
        <w:jc w:val="left"/>
        <w:rPr>
          <w:noProof/>
          <w:sz w:val="20"/>
          <w:szCs w:val="20"/>
        </w:rPr>
      </w:pPr>
      <w:r w:rsidRPr="006B012D">
        <w:rPr>
          <w:noProof/>
          <w:sz w:val="20"/>
        </w:rPr>
        <w:t>Lähde: Irlannin keskipitkän aikavälin finanssipoliittis-rakenteellinen suunnitelma</w:t>
      </w:r>
    </w:p>
    <w:p w14:paraId="73E86734" w14:textId="77777777" w:rsidR="00262F29" w:rsidRPr="006B012D" w:rsidRDefault="001B6961" w:rsidP="00B31662">
      <w:pPr>
        <w:rPr>
          <w:noProof/>
        </w:rPr>
      </w:pPr>
      <w:r w:rsidRPr="006B012D">
        <w:rPr>
          <w:noProof/>
        </w:rPr>
        <w:t>Näin ollen julkinen velka pysyisi suunnitelman mukaan keskipitkällä aikavälillä perussopimuksessa suhteessa BKT:hen asetetun 60 prosentin viitearvon alapuolella. Näin ollen suunnitelmassa esitetty nettomenopolku vastaa suunnitelmaan sisältyvien politiikkasitoumusten ja makrotaloudellisten oletusten perusteella asetuksen (EU) 2024/1263 16 artiklan 2 kohdassa säädettyä velkavaatimusta.</w:t>
      </w:r>
    </w:p>
    <w:p w14:paraId="35CC2349" w14:textId="77777777" w:rsidR="001B6961" w:rsidRPr="006B012D" w:rsidRDefault="003E4649" w:rsidP="005E2D75">
      <w:pPr>
        <w:rPr>
          <w:noProof/>
        </w:rPr>
      </w:pPr>
      <w:r w:rsidRPr="006B012D">
        <w:rPr>
          <w:b/>
          <w:noProof/>
        </w:rPr>
        <w:t>Suunnitelmaan sisältyvien nettomenositoumusten vaikutukset julkisen talouden rahoitusasemaan</w:t>
      </w:r>
    </w:p>
    <w:p w14:paraId="737288D9" w14:textId="223566BB" w:rsidR="00262F29" w:rsidRPr="006B012D" w:rsidRDefault="00242CEE" w:rsidP="00242CEE">
      <w:pPr>
        <w:pStyle w:val="ManualConsidrant"/>
        <w:rPr>
          <w:noProof/>
        </w:rPr>
      </w:pPr>
      <w:r w:rsidRPr="00242CEE">
        <w:rPr>
          <w:noProof/>
        </w:rPr>
        <w:t>(19)</w:t>
      </w:r>
      <w:r w:rsidRPr="00242CEE">
        <w:rPr>
          <w:noProof/>
        </w:rPr>
        <w:tab/>
      </w:r>
      <w:r w:rsidR="001B6961" w:rsidRPr="006B012D">
        <w:rPr>
          <w:noProof/>
        </w:rPr>
        <w:t>Suunnitelmaan sisältyvien nettomenopolun ja oletusten perusteella julkisen talouden ylijäämä olisi 1,7 prosenttia suhteessa BKT:hen vuonna 2025, minkä jälkeen se supistuisi 1,4 prosenttiin vuonna 2026 ja edelleen 1,1 prosenttiin vuonna 2027 ja jälleen kasvaisi 1,6 prosenttiin vuonna 2028. Näin ollen suunnitelman mukaan julkisen talouden alijäämä suhteessa BKT:hen ei ylittäisi sopeutuskauden lopussa (2028) 3</w:t>
      </w:r>
      <w:r w:rsidR="000D249F">
        <w:rPr>
          <w:noProof/>
        </w:rPr>
        <w:t> </w:t>
      </w:r>
      <w:r w:rsidR="001B6961" w:rsidRPr="006B012D">
        <w:rPr>
          <w:noProof/>
        </w:rPr>
        <w:t>prosentin viitearvoa. Myöskään sopeutuskautta seuraavien kymmenen vuoden aikana (eli vuoteen 2038) julkisen talouden alijäämä suhteessa BKT:hen ei ylittäisi 3</w:t>
      </w:r>
      <w:r w:rsidR="000D249F">
        <w:rPr>
          <w:noProof/>
        </w:rPr>
        <w:t> </w:t>
      </w:r>
      <w:r w:rsidR="001B6961" w:rsidRPr="006B012D">
        <w:rPr>
          <w:noProof/>
        </w:rPr>
        <w:t>prosentin viitearvoa. Näin ollen suunnitelmassa esitetty nettomenopolku vastaa suunnitelmaan sisältyvien politiikkasitoumusten ja makrotaloudellisten oletusten perusteella asetuksen (EU) 2024/1263 16 artiklan 2 kohdassa säädettyä alijäämävaatimusta.</w:t>
      </w:r>
    </w:p>
    <w:p w14:paraId="0BF8EB2A" w14:textId="77777777" w:rsidR="001B6961" w:rsidRPr="006B012D" w:rsidRDefault="007C2A0E" w:rsidP="005E2D75">
      <w:pPr>
        <w:rPr>
          <w:b/>
          <w:bCs/>
          <w:noProof/>
        </w:rPr>
      </w:pPr>
      <w:r w:rsidRPr="006B012D">
        <w:rPr>
          <w:b/>
          <w:noProof/>
        </w:rPr>
        <w:t>Suunnitelman makrotaloudelliset oletukset</w:t>
      </w:r>
    </w:p>
    <w:p w14:paraId="67626753" w14:textId="1D4604DD" w:rsidR="00262F29" w:rsidRPr="006B012D" w:rsidRDefault="00242CEE" w:rsidP="00242CEE">
      <w:pPr>
        <w:pStyle w:val="ManualConsidrant"/>
        <w:rPr>
          <w:noProof/>
        </w:rPr>
      </w:pPr>
      <w:r w:rsidRPr="00242CEE">
        <w:rPr>
          <w:noProof/>
        </w:rPr>
        <w:t>(20)</w:t>
      </w:r>
      <w:r w:rsidRPr="00242CEE">
        <w:rPr>
          <w:noProof/>
        </w:rPr>
        <w:tab/>
      </w:r>
      <w:r w:rsidR="001B6961" w:rsidRPr="006B012D">
        <w:rPr>
          <w:noProof/>
        </w:rPr>
        <w:t xml:space="preserve">Suunnitelma perustuu oletuksiin, jotka eroavat Irlannille 21 päivänä kesäkuuta 2024 toimitetuista komission oletuksista. </w:t>
      </w:r>
      <w:bookmarkStart w:id="1" w:name="_Hlk181186072"/>
      <w:r w:rsidR="001B6961" w:rsidRPr="006B012D">
        <w:rPr>
          <w:noProof/>
        </w:rPr>
        <w:t>Suunnitelmassa käytetään erilaisia oletuksia erityisesti seuraavien kahdeksan muuttujan osalta: lähtötaso (rakenteellinen perusjäämä vuonna 2024), potentiaalisen BKT:n kasvu, BKT-deflaattorin kasvu, reaalisen BKT:n kasvu, implisiittinen nimelliskorko, virta-varanto-korjauserät, kertaluonteiset toimenpiteet ja tuotantokuilun sulkeutuminen.</w:t>
      </w:r>
      <w:bookmarkEnd w:id="1"/>
      <w:r w:rsidR="001B6961" w:rsidRPr="006B012D">
        <w:rPr>
          <w:noProof/>
        </w:rPr>
        <w:t xml:space="preserve"> Lisäksi suunnitelmassa poiketaan oletuksesta, jonka mukaan finanssipolitiikka ei muutu sopeutuskauden jälkeen, ja sitä vastoin oletetaan, että julkisen talouden vakauttamistoimenpiteitä puretaan edelleen vuosina 2029 ja 2030. Seuraavassa esitetään arvio näistä oletuksia koskevista eroista. Oletuksiin liittyvät erot, joiden vaikutus keskimääräiseen nettomenojen kasvuun on merkittävin, luetellaan jäljempänä, ja kutakin eroa arvioidaan erikseen. </w:t>
      </w:r>
    </w:p>
    <w:p w14:paraId="4522B66A" w14:textId="52302D48" w:rsidR="001B6961" w:rsidRPr="006B012D" w:rsidRDefault="00242CEE" w:rsidP="00242CEE">
      <w:pPr>
        <w:pStyle w:val="ManualConsidrant"/>
        <w:rPr>
          <w:noProof/>
        </w:rPr>
      </w:pPr>
      <w:r w:rsidRPr="00242CEE">
        <w:rPr>
          <w:noProof/>
        </w:rPr>
        <w:t>(21)</w:t>
      </w:r>
      <w:r w:rsidRPr="00242CEE">
        <w:rPr>
          <w:noProof/>
        </w:rPr>
        <w:tab/>
      </w:r>
      <w:r w:rsidR="001B6961" w:rsidRPr="006B012D">
        <w:rPr>
          <w:noProof/>
        </w:rPr>
        <w:t xml:space="preserve">Suunnitelmassa oletetaan, että rakenteellinen perusjäämä on vuonna 2024 suurempi – 3,7 prosenttia ylijäämäinen suhteessa BKT:hen – kun komissio odotti keväällä 2024 ylijäämän olevan 2,5 prosenttia suhteessa BKT:hen. Suunnitelman mukainen tarkistettu rahoitusaseman lähtötaso ja siihen liittyvät vuotta 2024 koskevat </w:t>
      </w:r>
      <w:r w:rsidR="001B6961" w:rsidRPr="006B012D">
        <w:rPr>
          <w:noProof/>
          <w:color w:val="000000" w:themeColor="text1"/>
        </w:rPr>
        <w:t>päivitetyt makrotaloudelliset olosuhteet kuvastavat kevään jälkeen saatavilla olleita tuoreempia tietoja. Tämä vastaa komission syksyllä 2024 tekemää ennustetta. Näin ollen tätä</w:t>
      </w:r>
      <w:r w:rsidR="001B6961" w:rsidRPr="006B012D">
        <w:rPr>
          <w:noProof/>
        </w:rPr>
        <w:t xml:space="preserve"> eroa pidetään asianmukaisesti perusteltuna. Erikseen tarkasteltuna tämä lisää sopeutuskaudella keskimääräistä nettomenojen kasvua komission oletuksiin verrattuna. </w:t>
      </w:r>
    </w:p>
    <w:p w14:paraId="5FBCE37D" w14:textId="77777777" w:rsidR="001B6961" w:rsidRPr="006B012D" w:rsidRDefault="001B6961" w:rsidP="001219C2">
      <w:pPr>
        <w:pStyle w:val="Bullet0"/>
        <w:numPr>
          <w:ilvl w:val="0"/>
          <w:numId w:val="7"/>
        </w:numPr>
        <w:rPr>
          <w:noProof/>
        </w:rPr>
      </w:pPr>
      <w:r w:rsidRPr="006B012D">
        <w:rPr>
          <w:noProof/>
        </w:rPr>
        <w:t xml:space="preserve">Suunnitelmassa potentiaalisen BKT:n kasvu on suunnitelman kattamalla ajanjaksolla keskimäärin 0,3 prosenttiyksikköä hitaampaa kuin komission 21 päivänä kesäkuuta 2024 esittämissä oletuksissa. Tämä perustuu tuoreempiin toteutumatietoihin kuin keväällä 2024, ja se on laskettu EU:n yhteisesti sovittua menetelmää käyttäen. Lisäksi suunnitelmassa oletetaan reaalisen BKT:n kasvun olevan hitaampaa ja tuotantokuilun sulkeutuvan aiemmin kuin komission oletuksissa. Komission menetelmän mukaan laskettuna Irlannin suunnitelmassa oletettu julkisen talouden kasvu johtaisi suurempiin kerrannaisvaikutuksiin reaalisen BKT:n kasvun suhteen, ja tuotantokuilu sulkeutuisi vasta vuoteen 2033 mennessä, vaikka suunnitelman mukaan se sulkeutuu jo vuonna 2030. Näin ollen näitä oletuksia pidetään varovaisina ja asianmukaisesti perusteltuina. Yhdessä ne tekevät keskimääräisestä nettomenojen kasvusta sopeutuskaudella komission oletuksiin perustuvaa kasvua pienemmän. </w:t>
      </w:r>
    </w:p>
    <w:p w14:paraId="6C700A39" w14:textId="77777777" w:rsidR="001B6961" w:rsidRPr="006B012D" w:rsidRDefault="001B6961" w:rsidP="0050715B">
      <w:pPr>
        <w:pStyle w:val="Bullet0"/>
        <w:rPr>
          <w:noProof/>
        </w:rPr>
      </w:pPr>
      <w:r w:rsidRPr="006B012D">
        <w:rPr>
          <w:noProof/>
        </w:rPr>
        <w:t>Suunnitelmassa oletetaan, että BKT-deflaattorin kasvu on suunnitelman kattamalla ajanjaksolla keskimäärin 0,1 prosenttiyksikköä nopeampaa verrattuna komission oletuksiin. Tämä perustuu tuoreempiin toteutumatietoihin kuin keväällä 2024. Näin ollen tätä oletusta pidetään asianmukaisesti perusteltuna. Yksinään tämä tekee keskimääräisestä nettomenojen kasvusta sopeutuskaudella komission oletuksiin perustuvaa kasvua suuremman.</w:t>
      </w:r>
    </w:p>
    <w:p w14:paraId="2145286A" w14:textId="77777777" w:rsidR="001B6961" w:rsidRPr="006B012D" w:rsidRDefault="001B6961" w:rsidP="0050715B">
      <w:pPr>
        <w:pStyle w:val="Bullet0"/>
        <w:rPr>
          <w:noProof/>
        </w:rPr>
      </w:pPr>
      <w:r w:rsidRPr="006B012D">
        <w:rPr>
          <w:noProof/>
        </w:rPr>
        <w:t>Suunnitelmassa oletetaan virta-varanto-korjauserien olevan suuremmat kuin komission oletuksissa, mikä johtuu uusien säästörahastojen perustamisesta. Suunnitelmassa käytetty epäedullisempi oletus perustuu tuoreempiin tietoihin. Näin ollen tätä oletusta pidetään asianmukaisesti perusteltuna.</w:t>
      </w:r>
    </w:p>
    <w:p w14:paraId="752C4026" w14:textId="77777777" w:rsidR="00262F29" w:rsidRPr="006B012D" w:rsidRDefault="001B6961" w:rsidP="00B31662">
      <w:pPr>
        <w:pStyle w:val="Text1"/>
        <w:rPr>
          <w:noProof/>
        </w:rPr>
      </w:pPr>
      <w:r w:rsidRPr="006B012D">
        <w:rPr>
          <w:noProof/>
        </w:rPr>
        <w:t>Jäljelle jäävillä eroilla ei ole merkittävää vaikutusta keskimääräiseen nettomenojen kasvuun komission oletuksiin verrattuna. Kaikki oletuksiin liittyvät erot yhdessä tekevät suunnitelman mukaisesta keskimääräisestä nettomenojen kasvusta suuremman kuin komission kevään 2024 oletusten perusteella olisi tarpeen sovellettavien finanssipoliittisten sääntöjen noudattamiseksi. Irlanti sitoutuu kuitenkin suunnitelmassaan tätä teoreettista ylärajaa alhaisempaan nettomenopolkuun, joka on myös alhaisempi kuin mitä komission oletusten perusteella olisi tarpeen finanssipoliittisten sääntöjen noudattamiseksi. Komissio ottaa edellä esitetyn arvion suunnitelmaan liittyvistä oletuksista huomioon nettomenopolun noudattamista koskevissa tulevissa arvioissa.</w:t>
      </w:r>
    </w:p>
    <w:p w14:paraId="3DA5E33F" w14:textId="77777777" w:rsidR="001B6961" w:rsidRPr="006B012D" w:rsidRDefault="00F13B29" w:rsidP="005E2D75">
      <w:pPr>
        <w:rPr>
          <w:b/>
          <w:bCs/>
          <w:noProof/>
        </w:rPr>
      </w:pPr>
      <w:r w:rsidRPr="006B012D">
        <w:rPr>
          <w:b/>
          <w:noProof/>
        </w:rPr>
        <w:t xml:space="preserve">Suunnitelmaan sisältyvä finanssipoliittinen strategia </w:t>
      </w:r>
    </w:p>
    <w:p w14:paraId="200BC207" w14:textId="2237CFEB" w:rsidR="00262F29" w:rsidRPr="006B012D" w:rsidRDefault="00242CEE" w:rsidP="00242CEE">
      <w:pPr>
        <w:pStyle w:val="ManualConsidrant"/>
        <w:rPr>
          <w:noProof/>
        </w:rPr>
      </w:pPr>
      <w:r w:rsidRPr="00242CEE">
        <w:rPr>
          <w:noProof/>
        </w:rPr>
        <w:t>(22)</w:t>
      </w:r>
      <w:r w:rsidRPr="00242CEE">
        <w:rPr>
          <w:noProof/>
        </w:rPr>
        <w:tab/>
      </w:r>
      <w:r w:rsidR="001B6961" w:rsidRPr="006B012D">
        <w:rPr>
          <w:noProof/>
        </w:rPr>
        <w:t>Suunnitelman ohjeellisen finanssipoliittisen strategian mukaan nettomenoja koskevat sitoumukset toteutetaan pääasiassa tarjoamalla lisää julkisia palveluja nopeasti kasvavan väestön tarpeisiin. Lisäksi Irlanti rahoittaa julkisen pääoman lisäyksiä nostamalla julkisen sektorin investointiastetta. Irlanti on ottanut käyttöön kaksi pitkän aikavälin säästövälinettä, koska on arvioitu, että suuri osuus yhtiöverotuotoista on luonteeltaan heilahtelevaa. Vaikka julkisen talouden rahoitusasemaa koskevien ennusteiden mukaan julkinen talous pysyy jatkuvasti ylijäämäisenä, strategiassa keskitytään menopuoleen, koska heilahteleviksi arvioiduilla tuloilla on merkittävä vaikutus nimelliseen rahoitusasemaan. Käyttöön otettavien toimenpiteiden määrällisesti ilmaistu erittely on määrä vahvistaa tai mukauttaa vuotuisissa talousarvioissa. Lisäksi vuoden 2025 alustavassa talousarviosuunnitelmassa täsmennetään toimenpiteet, joilla vuoden 2025 nettomenoja koskeva sitoumus täytetään</w:t>
      </w:r>
      <w:r w:rsidR="001B6961" w:rsidRPr="006B012D">
        <w:rPr>
          <w:rStyle w:val="FootnoteReference"/>
          <w:noProof/>
        </w:rPr>
        <w:footnoteReference w:id="11"/>
      </w:r>
      <w:r w:rsidR="001B6961" w:rsidRPr="006B012D">
        <w:rPr>
          <w:noProof/>
        </w:rPr>
        <w:t>.</w:t>
      </w:r>
    </w:p>
    <w:p w14:paraId="7E1F4DB9" w14:textId="77777777" w:rsidR="001B6961" w:rsidRPr="006B012D" w:rsidRDefault="001B6961" w:rsidP="005E2D75">
      <w:pPr>
        <w:rPr>
          <w:noProof/>
        </w:rPr>
      </w:pPr>
      <w:r w:rsidRPr="006B012D">
        <w:rPr>
          <w:b/>
          <w:noProof/>
        </w:rPr>
        <w:t>Suunnitelmaan sisältyvät uudistus- ja investointiaikeet, joilla vastataan tärkeimpiin talouspolitiikan eurooppalaisen ohjausjakson yhteydessä määritettyihin haasteisiin ja edistetään EU:n yhteisiä painopisteitä</w:t>
      </w:r>
    </w:p>
    <w:p w14:paraId="11F5A17B" w14:textId="26DA5D3E" w:rsidR="001B6961" w:rsidRPr="006B012D" w:rsidRDefault="00242CEE" w:rsidP="00242CEE">
      <w:pPr>
        <w:pStyle w:val="ManualConsidrant"/>
        <w:rPr>
          <w:noProof/>
        </w:rPr>
      </w:pPr>
      <w:r w:rsidRPr="00242CEE">
        <w:rPr>
          <w:noProof/>
        </w:rPr>
        <w:t>(23)</w:t>
      </w:r>
      <w:r w:rsidRPr="00242CEE">
        <w:rPr>
          <w:noProof/>
        </w:rPr>
        <w:tab/>
      </w:r>
      <w:r w:rsidR="001B6961" w:rsidRPr="006B012D">
        <w:rPr>
          <w:noProof/>
        </w:rPr>
        <w:t>Suunnitelmassa kuvataan aikomuksia, jotka liittyvät uudistuksiin ja investointeihin, joilla vastataan talouspolitiikan eurooppalaisen ohjausjakson yhteydessä – erityisesti maakohtaisissa suosituksissa – yksilöityihin tärkeimpiin haasteisiin ja edistetään EU:n yhteisiä painopisteitä. Suunnitelma sisältää noin 40 toimenpidettä, joista 12 saa taloudellista tukea elpymis- ja palautumistukirahastosta.</w:t>
      </w:r>
    </w:p>
    <w:p w14:paraId="1740951F" w14:textId="161E6376" w:rsidR="001B6961" w:rsidRPr="006B012D" w:rsidRDefault="00242CEE" w:rsidP="00242CEE">
      <w:pPr>
        <w:pStyle w:val="ManualConsidrant"/>
        <w:rPr>
          <w:noProof/>
        </w:rPr>
      </w:pPr>
      <w:r w:rsidRPr="00242CEE">
        <w:rPr>
          <w:noProof/>
        </w:rPr>
        <w:t>(24)</w:t>
      </w:r>
      <w:r w:rsidRPr="00242CEE">
        <w:rPr>
          <w:noProof/>
        </w:rPr>
        <w:tab/>
      </w:r>
      <w:r w:rsidR="001B6961" w:rsidRPr="006B012D">
        <w:rPr>
          <w:noProof/>
        </w:rPr>
        <w:t>Oikeudenmukaiseen vihreään ja digitaaliseen siirtymään liittyvän yhteisen painopisteen ja asetuksessa (EU) 2021/1119 asetettujen ilmastotavoitteiden osalta suunnitelmassa esitetään johdonmukaisia uudistuksia ja investointeja. Ilmastonmuutoksen hillintää koskeviin toimenpiteisiin (vuosina 2019, 2020, 2022 ja 2023 annetut maakohtaiset suositukset) kuuluvat hiiliveron korottaminen sekä ilmastotoimia ja vähähiilistä kehitystä koskeva lakiehdotus (muutossäädös), jotka molemmat sisältyvät elpymis- ja palautumissuunnitelmaan ja kansalliseen energia- ja ilmastosuunnitelmaan. Lakiehdotuksessa vahvistetaan oikeudellisesti sitova kehys, jossa edellytetään lakisääteisen tavoitteen asettamista ilmastoneutraaliuden saavuttamiseksi vuoteen 2050 mennessä ja viiden vuoden välein laadittavien hiilibudjettien sekä ilmastotoimintasuunnitelmien hyväksymistä. Vettä ja jätevesiä koskevat toimenpiteet (vuosina 2019, 2020, 2022, 2023 ja 2024 annetut maakohtaiset suositukset) liittyvät Irlannin kolmanteen vesienhoitosuunnitelmaan. Suunnitelma ei sisällä toimenpiteitä jätehuollon parantamiseksi tai kiertotalouden vauhdittamiseksi (vuosina 2022 ja 2023 annetut maakohtaiset suositukset) eikä toimenpiteitä, jotka liittyisivät julkiseen liikenteeseen (vuosina 2019 ja 2020 annetut maakohtaiset suositukset) tai liikenteen sähköistämiseen (vuosina 2022 ja 2023 annetut maakohtaiset suositukset). Suunnitelmassa kaavaillaan toimenpiteitä, joilla mahdollistetaan digitaalinen siirtymä (vuosina 2019 ja 2020 annetut maakohtaiset suositukset) kansallisen digitaalistrategian (”Harnessing Digital”) mukaisesti sekä digitaalitavoitteiden saavuttaminen digitaalista vuosikymmentä koskevan strategisen etenemissuunnitelman mukaisesti. Näihin toimenpiteisiin kuuluvat investoinnit digitaalisiin taitoihin (sisältyy osin elpymis- ja palautumissuunnitelmaan) ja digitaalisten julkisten palvelujen saatavuuteen ja käyttöön (sisältyy osin elpymis- ja palautumissuunnitelmaan), erityisesti pk-yrityksille annettavien avustusten ja avun muodossa, sekä yritysten digitalisaation tukeminen (sisältyy osin elpymis- ja palautumissuunnitelmaan), kyberturvallisuuden varmistaminen lisäämällä kansallisen kyberturvallisuuskeskuksen resursseja sekä verkkoyhteyksien edistäminen panemalla täytäntöön kansallinen laajakaistasuunnitelma. Tämän suunnitelman tavoitteena on, että gigabittiverkko kattaa kaikki Irlannin kotitaloudet ja yritykset viimeistään vuonna 2028 ja 5G-verkko kattaa kaikki asutut alueet viimeistään vuonna 2030.</w:t>
      </w:r>
    </w:p>
    <w:p w14:paraId="23A58AE6" w14:textId="7080BEA3" w:rsidR="001B6961" w:rsidRPr="006B012D" w:rsidRDefault="00242CEE" w:rsidP="00242CEE">
      <w:pPr>
        <w:pStyle w:val="ManualConsidrant"/>
        <w:rPr>
          <w:noProof/>
        </w:rPr>
      </w:pPr>
      <w:r w:rsidRPr="00242CEE">
        <w:rPr>
          <w:noProof/>
        </w:rPr>
        <w:t>(25)</w:t>
      </w:r>
      <w:r w:rsidRPr="00242CEE">
        <w:rPr>
          <w:noProof/>
        </w:rPr>
        <w:tab/>
      </w:r>
      <w:r w:rsidR="001B6961" w:rsidRPr="006B012D">
        <w:rPr>
          <w:noProof/>
        </w:rPr>
        <w:t xml:space="preserve">Yhteiskunnan ja talouden resilienssiin liittyvän yhteisen painopisteen ja Euroopan sosiaalisten oikeuksien pilarin osalta suunnitelma sisältää toimenpiteitä, joilla pyritään lisäämään sosiaalista ja kohtuuhintaista asuntotarjontaa (vuosina 2019 ja 2020 annetut maakohtaiset suositukset) panemalla täytäntöön Housing for All </w:t>
      </w:r>
      <w:r w:rsidR="001B6961" w:rsidRPr="006B012D">
        <w:rPr>
          <w:noProof/>
        </w:rPr>
        <w:noBreakHyphen/>
        <w:t xml:space="preserve">suunnitelma (osa näistä toimista sisältyy elpymis- ja palautumissuunnitelmaan) ja uudistamalla kaavoitusta. Yritysten, erityisesti kotimaisten pk-yritysten, liiketoimintaympäristöä tukeviin toimenpiteisiin (vuosina 2019 ja 2020 annetut maakohtaiset suositukset) sisältyy muun muassa yritystoimintaa koskevassa valkoisessa kirjassa esitettyjä toimia. Tutkimusta ja innovointia tukeviin toimenpiteisiin (vuosina 2019 ja 2020 annetut maakohtaiset suositukset) kuuluvat uuden kilpailukykyisen tutkimuksen ja innovoinnin rahoituslaitoksen perustaminen, teknisten korkeakoulujen vahvistaminen (osa näistä toimista sisältyy elpymis- ja palautumissuunnitelmaan ja EAKR:n ohjelmiin) ja muut Impact 2030 </w:t>
      </w:r>
      <w:r w:rsidR="001B6961" w:rsidRPr="006B012D">
        <w:rPr>
          <w:noProof/>
        </w:rPr>
        <w:noBreakHyphen/>
        <w:t xml:space="preserve">strategiassa julkaistut investoinnit. Euroopan sosiaalisten oikeuksien pilarin mukaisesti suunnitelmassa esitetään myös useita aloitteita, jotka koskevat yhtäläisiä mahdollisuuksia ja pääsyä työmarkkinoille. Osaamista koskeviin toimenpiteisiin (vuosina 2020 ja 2023 annetut maakohtaiset suositukset) kuuluvat uuden kansallisen osaamisneuvoston perustaminen, varojen vapauttaminen kansallisesta osaamisrahastosta, lyhytaikaisten ja pääomainvestointien lisääminen (osa näistä toimista sisältyy elpymis- ja palautumissuunnitelmaan), yhtenäisen kansallisen oppisopimusmallin kehittäminen ja korkea-asteen koulutuksen uudistukset. Suunnitelma ei sisällä toimenpiteitä, joilla helpotettaisiin täydennyskoulutusta erityisesti haavoittuvassa asemassa olevien ryhmien ja alhaisen työssäkäyntiasteen kotitalouksissa asuvien henkilöiden osalta (vuonna 2019 annettu maakohtainen suositus). Suunnitelmassa kuitenkin esitetään useita oikeudenmukaisia työoloja koskevia aloitteita, kuten toimeentuloon riittävän kansallisen palkan käyttöönotto tammikuuhun 2026 mennessä. Tämän palkan määrä olisi 60 prosenttia tuntiperusteisesta mediaanipalkasta. Suunnitelmassa esitetään myös sosiaalista suojelua ja osallisuutta koskevia aloitteita, mukaan lukien investoinnit työmarkkinoiden aktivointiin (vuonna 2019 annettu maakohtainen suositus). Nämä toimet kohdistetaan haavoittuvassa asemassa oleviin ryhmiin työpolkuja koskevan Pathways to Work </w:t>
      </w:r>
      <w:r w:rsidR="001B6961" w:rsidRPr="006B012D">
        <w:rPr>
          <w:noProof/>
        </w:rPr>
        <w:noBreakHyphen/>
        <w:t>strategian mukaisesti. Tätä täydentävät lastenhoitoalan uudistukset (vuonna 2019 annettu maakohtainen suositus), jotka koskevat muun muassa kansallisen lastenhoitojärjestelmän (National Childcare Scheme) yleisiä ja tuloperusteisia tukia, sekä köyhyyden vähentämistä koskevat sitoumukset, jotka on vahvistettu sosiaalista osallisuutta koskevassa etenemissuunnitelmassa. EU-ohjausjakson yhteydessä mainittujen ensisijaisten kohderyhmien osalta suunnitelmassa viitataan kansalliseen vammaisstrategiaan ja Irlannin toiseen kansalliseen romani- ja traveller-väestön osallistamista koskevaan strategiaan.</w:t>
      </w:r>
    </w:p>
    <w:p w14:paraId="20CE5BB8" w14:textId="1A92101C" w:rsidR="001B6961" w:rsidRPr="006B012D" w:rsidRDefault="00242CEE" w:rsidP="00242CEE">
      <w:pPr>
        <w:pStyle w:val="ManualConsidrant"/>
        <w:rPr>
          <w:noProof/>
        </w:rPr>
      </w:pPr>
      <w:r w:rsidRPr="00242CEE">
        <w:rPr>
          <w:noProof/>
        </w:rPr>
        <w:t>(26)</w:t>
      </w:r>
      <w:r w:rsidRPr="00242CEE">
        <w:rPr>
          <w:noProof/>
        </w:rPr>
        <w:tab/>
      </w:r>
      <w:r w:rsidR="001B6961" w:rsidRPr="006B012D">
        <w:rPr>
          <w:noProof/>
        </w:rPr>
        <w:t>Energiaturvallisuuteen liittyvän yhteisen painopisteen osalta suunnitelma sisältää toimenpiteitä, joilla pyritään vähentämään yleistä riippuvuutta fossiilisista polttoaineista erityisesti investoimalla merellä tuotettavaan uusiutuvaan energiaan (vuosina 2022 ja 2023 annetut maakohtaiset suositukset) (osa näistä toimista sisältyy elpymis- ja palautumissuunnitelmaan) ja verkkoliitäntöihin yhdessä Pohjois-Irlannin ja Ranskan kanssa (vuosina 2022, 2023 ja 2024 annetut maakohtaiset suositukset). Energiajärjestelmän häiriönsietokykyä vahvistaviin toimenpiteisiin kuuluvat muun muassa köyhille kotitalouksille suunnattu rahoitus yksityisten rakennusten energiatehokkuuden parantamiseksi (vuosina 2022, 2023 ja 2024 annetut maakohtaiset suositukset) (osa näistä toimista sisältyy elpymis- ja palautumissuunnitelmaan ja EAKR:n ohjelmiin) sekä Irlannin energiaturvallisuusstrategiaan sisältyvät energian varastointia ja kysyntäjoustoa koskevat toimet (vuosina 2022, 2023 ja 2024 annetut maakohtaiset suositukset).</w:t>
      </w:r>
    </w:p>
    <w:p w14:paraId="27A1643B" w14:textId="764A46FB" w:rsidR="001B6961" w:rsidRPr="006B012D" w:rsidRDefault="00242CEE" w:rsidP="00242CEE">
      <w:pPr>
        <w:pStyle w:val="ManualConsidrant"/>
        <w:rPr>
          <w:noProof/>
        </w:rPr>
      </w:pPr>
      <w:r w:rsidRPr="00242CEE">
        <w:rPr>
          <w:noProof/>
        </w:rPr>
        <w:t>(27)</w:t>
      </w:r>
      <w:r w:rsidRPr="00242CEE">
        <w:rPr>
          <w:noProof/>
        </w:rPr>
        <w:tab/>
      </w:r>
      <w:r w:rsidR="001B6961" w:rsidRPr="006B012D">
        <w:rPr>
          <w:noProof/>
        </w:rPr>
        <w:t>Puolustusvoimavaroihin liittyvän yhteisen painopisteen osalta suunnitelma ei sisällä toimenpiteitä.</w:t>
      </w:r>
    </w:p>
    <w:p w14:paraId="758F02B9" w14:textId="65B545F9" w:rsidR="001B6961" w:rsidRPr="006B012D" w:rsidRDefault="00242CEE" w:rsidP="00242CEE">
      <w:pPr>
        <w:pStyle w:val="ManualConsidrant"/>
        <w:rPr>
          <w:noProof/>
        </w:rPr>
      </w:pPr>
      <w:r w:rsidRPr="00242CEE">
        <w:rPr>
          <w:noProof/>
        </w:rPr>
        <w:t>(28)</w:t>
      </w:r>
      <w:r w:rsidRPr="00242CEE">
        <w:rPr>
          <w:noProof/>
        </w:rPr>
        <w:tab/>
      </w:r>
      <w:r w:rsidR="001B6961" w:rsidRPr="006B012D">
        <w:rPr>
          <w:noProof/>
        </w:rPr>
        <w:t>Lisäksi suunnitelmassa esitetään politiikkatoimia julkisen talouden pitkän aikavälin kestävyyden varmistamiseksi. Digitaalisen terveydenhuollon strategiakehyksessä esitettyihin terveydenhuollon kustannustehokkuutta ja saatavuutta koskeviin toimenpiteisiin (vuosina 2019 ja 2024 annetut maakohtaiset suositukset) sisältyy 48 strategista aloitetta, jotka koskevat digitaalisia terveysratkaisuja, ikääntyneiden hoitoa käsittelevän riippumattoman toimikunnan (Commission on Care for Older People) perustamista sekä neljän uuden ei-päivystyksellisen sairaalan perustamista, perus- ja yhteisöterveydenhuollon parantamista sekä terveydenhuollon hallinnon rakenneuudistusta Sláintecare-uudistuksen yhteydessä (osa näistä toimista sisältyy elpymis- ja palautumissuunnitelmaan). Eläkejärjestelmän kestävyyttä parantavia toimenpiteitä (vuosina 2019, 2022 ja 2023 annetut maakohtaiset suositukset) ovat muun muassa palkkaan liittyvien sosiaalietuuksien käyttöönotto, valikoituja työntekijöitä koskeva automaattinen eläkejärjestelmä, kahden pitkän aikavälin säästövälineen käyttöönotto (tulevaisuusrahasto ”Future Ireland Fund” ja infrastruktuuri-, ilmasto- ja luontorahasto) sekä sovittu etenemissuunnitelma sosiaaliturvamaksujen korottamiseksi. Suunnitelmassa todetaan, että Irlanti jatkaa aggressiiviseen verosuunnitteluun puuttumista (vuosina 2019 ja 2020 annetut maakohtaiset suositukset) panemalla täytäntöön yhteisöverotusta koskevan etenemissuunnitelman (osa näistä toimista sisältyy elpymis- ja palautumissuunnitelmaan), mutta siihen ei sisälly veropohjaa laajentavia toimenpiteitä (vuosina 2019 ja 2020 annetut maakohtaiset suositukset). Suunnitelmassa ei esitetä rahanpesun torjuntaa koskevia toimenpiteitä (vuonna 2020 annettu maakohtainen suositus), mutta joitakin uudistuksia toteutetaan Irlannin elpymis- ja palautumissuunnitelman puitteissa.</w:t>
      </w:r>
    </w:p>
    <w:p w14:paraId="0A686481" w14:textId="4ED53DEB" w:rsidR="001B6961" w:rsidRPr="006B012D" w:rsidRDefault="00242CEE" w:rsidP="00242CEE">
      <w:pPr>
        <w:pStyle w:val="ManualConsidrant"/>
        <w:rPr>
          <w:noProof/>
        </w:rPr>
      </w:pPr>
      <w:r w:rsidRPr="00242CEE">
        <w:rPr>
          <w:noProof/>
        </w:rPr>
        <w:t>(29)</w:t>
      </w:r>
      <w:r w:rsidRPr="00242CEE">
        <w:rPr>
          <w:noProof/>
        </w:rPr>
        <w:tab/>
      </w:r>
      <w:r w:rsidR="001B6961" w:rsidRPr="006B012D">
        <w:rPr>
          <w:noProof/>
        </w:rPr>
        <w:t>Suunnitelmassa on tietoa johdonmukaisuudesta ja tarvittaessa täydentävyydestä koheesiopolitiikan rahastojen ja Irlannin elpymis- ja palautumissuunnitelman kanssa. Siinä esitetään myös tietoa koheesiopolitiikan eri rahastojen koosta ja tavoitteista. Lisäksi suunnitelma sisältää taulukon, jossa esitetään, mitä rakenneuudistuksia ja investointiprioriteetteja käsitellään osittain Irlannin elpymis- ja palautumissuunnitelmaan sisältyvillä ja/tai koheesiopolitiikan rahastoista tuetuilla toimenpiteillä.</w:t>
      </w:r>
    </w:p>
    <w:p w14:paraId="61E44E8D" w14:textId="08556375" w:rsidR="00262F29" w:rsidRPr="006B012D" w:rsidRDefault="00242CEE" w:rsidP="00242CEE">
      <w:pPr>
        <w:pStyle w:val="ManualConsidrant"/>
        <w:rPr>
          <w:noProof/>
        </w:rPr>
      </w:pPr>
      <w:r w:rsidRPr="00242CEE">
        <w:rPr>
          <w:noProof/>
        </w:rPr>
        <w:t>(30)</w:t>
      </w:r>
      <w:r w:rsidRPr="00242CEE">
        <w:rPr>
          <w:noProof/>
        </w:rPr>
        <w:tab/>
      </w:r>
      <w:r w:rsidR="001B6961" w:rsidRPr="006B012D">
        <w:rPr>
          <w:noProof/>
        </w:rPr>
        <w:t>Suunnitelmassa esitetään yleiskatsaus EU:n yhteisiin painopisteisiin liittyvistä julkisten investointien tarpeista Irlannissa. Oikeudenmukaiseen vihreään ja digitaaliseen siirtymään liittyvän yhteisen painopisteen osalta suunnitelmassa esitetään yleiskatsaus käynnissä olevista investoinneista, joilla vähennetään kasvihuonekaasupäästöjä, parannetaan vesi- ja jätevesihuoltoa ja tuetaan digitalisaatiota. Yhteiskunnan ja talouden resilienssiin liittyvän yhteisen painopisteen osalta suunnitelmassa esitetään yleiskatsaus käynnissä olevista investoinneista, jotka liittyvät yritysten, tutkimuksen ja innovoinnin, osaamisen, työmarkkinoiden aktivoinnin, lastenhoidon ja asumisen tukemiseen. Energiaturvallisuuteen liittyvän yhteisen painopisteen osalta suunnitelmassa esitetään yleiskatsaus investoinneista, jotka liittyvät jälkiasennuksiin, merellä tuotettavaan uusiutuvaan energiaan ja verkkoliitäntöihin.</w:t>
      </w:r>
    </w:p>
    <w:p w14:paraId="0EA65F14" w14:textId="77777777" w:rsidR="001B6961" w:rsidRPr="006B012D" w:rsidRDefault="001B6961" w:rsidP="005E2D75">
      <w:pPr>
        <w:rPr>
          <w:noProof/>
        </w:rPr>
      </w:pPr>
      <w:r w:rsidRPr="006B012D">
        <w:rPr>
          <w:b/>
          <w:noProof/>
        </w:rPr>
        <w:t>Komission arvion päätelmä</w:t>
      </w:r>
    </w:p>
    <w:p w14:paraId="1F9A2C4D" w14:textId="72D2495D" w:rsidR="00262F29" w:rsidRPr="006B012D" w:rsidRDefault="00242CEE" w:rsidP="00242CEE">
      <w:pPr>
        <w:pStyle w:val="ManualConsidrant"/>
        <w:rPr>
          <w:noProof/>
        </w:rPr>
      </w:pPr>
      <w:r w:rsidRPr="00242CEE">
        <w:rPr>
          <w:noProof/>
        </w:rPr>
        <w:t>(31)</w:t>
      </w:r>
      <w:r w:rsidRPr="00242CEE">
        <w:rPr>
          <w:noProof/>
        </w:rPr>
        <w:tab/>
      </w:r>
      <w:r w:rsidR="001B6961" w:rsidRPr="006B012D">
        <w:rPr>
          <w:noProof/>
        </w:rPr>
        <w:t>Kaiken kaikkiaan komission näkemys on, että Irlannin suunnitelma täyttää asetuksen (EU) 2024/1263 vaatimukset.</w:t>
      </w:r>
    </w:p>
    <w:p w14:paraId="78A25BFD" w14:textId="77777777" w:rsidR="001B6961" w:rsidRPr="006B012D" w:rsidRDefault="001B6961" w:rsidP="005E2D75">
      <w:pPr>
        <w:rPr>
          <w:b/>
          <w:noProof/>
        </w:rPr>
      </w:pPr>
      <w:r w:rsidRPr="006B012D">
        <w:rPr>
          <w:b/>
          <w:noProof/>
        </w:rPr>
        <w:t>KOKONAISPÄÄTELMÄ</w:t>
      </w:r>
    </w:p>
    <w:p w14:paraId="07AFE6D5" w14:textId="1067A284" w:rsidR="00262F29" w:rsidRPr="006B012D" w:rsidRDefault="00242CEE" w:rsidP="00242CEE">
      <w:pPr>
        <w:pStyle w:val="ManualConsidrant"/>
        <w:rPr>
          <w:noProof/>
        </w:rPr>
      </w:pPr>
      <w:r w:rsidRPr="00242CEE">
        <w:rPr>
          <w:noProof/>
        </w:rPr>
        <w:t>(32)</w:t>
      </w:r>
      <w:r w:rsidRPr="00242CEE">
        <w:rPr>
          <w:noProof/>
        </w:rPr>
        <w:tab/>
      </w:r>
      <w:r w:rsidR="002D1453" w:rsidRPr="006B012D">
        <w:rPr>
          <w:noProof/>
        </w:rPr>
        <w:t>Neuvoston olisi asetuksen (EU) 2024/1263 17 artiklan mukaisesti suositettava Irlannille suunnitelmassa esitettyä nettomenopolkua,</w:t>
      </w:r>
    </w:p>
    <w:p w14:paraId="02373ED7" w14:textId="77777777" w:rsidR="001B6961" w:rsidRPr="006B012D" w:rsidRDefault="001B6961" w:rsidP="005E2D75">
      <w:pPr>
        <w:pStyle w:val="Formuledadoption"/>
        <w:rPr>
          <w:i/>
          <w:iCs/>
          <w:noProof/>
        </w:rPr>
      </w:pPr>
      <w:r w:rsidRPr="006B012D">
        <w:rPr>
          <w:noProof/>
        </w:rPr>
        <w:t>SUOSITTAA, että Irlanti</w:t>
      </w:r>
    </w:p>
    <w:p w14:paraId="1C728032" w14:textId="2DC59811" w:rsidR="001B6961" w:rsidRPr="006B012D" w:rsidRDefault="00242CEE" w:rsidP="00242CEE">
      <w:pPr>
        <w:pStyle w:val="Point0"/>
        <w:rPr>
          <w:noProof/>
        </w:rPr>
      </w:pPr>
      <w:r w:rsidRPr="00242CEE">
        <w:rPr>
          <w:noProof/>
        </w:rPr>
        <w:t>(1)</w:t>
      </w:r>
      <w:r w:rsidRPr="00242CEE">
        <w:rPr>
          <w:noProof/>
        </w:rPr>
        <w:tab/>
      </w:r>
      <w:r w:rsidR="001B6961" w:rsidRPr="006B012D">
        <w:rPr>
          <w:noProof/>
        </w:rPr>
        <w:t>varmistaa, että nettomenojen kasvu ei ylitä tämän suosituksen liitteessä I vahvistettuja enimmäismääriä.</w:t>
      </w:r>
    </w:p>
    <w:p w14:paraId="6FACB995" w14:textId="77777777" w:rsidR="3A9474C2" w:rsidRPr="006B012D" w:rsidRDefault="01004EF8" w:rsidP="0050715B">
      <w:pPr>
        <w:pStyle w:val="Text1"/>
        <w:rPr>
          <w:noProof/>
        </w:rPr>
      </w:pPr>
      <w:r w:rsidRPr="006B012D">
        <w:rPr>
          <w:noProof/>
        </w:rPr>
        <w:t>Lisäksi neuvosto kehottaa Irlantia varmistamaan sellaisten uudistusten ja investointien toteuttamisen, joilla vastataan eurooppalaisen ohjausjakson ja erityisesti maakohtaisten suositusten yhteydessä yksilöityihin keskeisiin haasteisiin ja edistetään unionin yhteisiä painopisteitä.</w:t>
      </w:r>
    </w:p>
    <w:p w14:paraId="50587B8B" w14:textId="77777777" w:rsidR="001B6961" w:rsidRPr="006B012D" w:rsidRDefault="001B6961" w:rsidP="00B24899">
      <w:pPr>
        <w:jc w:val="center"/>
        <w:rPr>
          <w:b/>
          <w:bCs/>
          <w:noProof/>
        </w:rPr>
      </w:pPr>
      <w:r w:rsidRPr="006B012D">
        <w:rPr>
          <w:b/>
          <w:noProof/>
        </w:rPr>
        <w:t>LIITE I</w:t>
      </w:r>
    </w:p>
    <w:p w14:paraId="6D886B6B" w14:textId="5A10434D" w:rsidR="001B6961" w:rsidRPr="006B012D" w:rsidRDefault="001B6961" w:rsidP="002F21A5">
      <w:pPr>
        <w:jc w:val="center"/>
        <w:rPr>
          <w:noProof/>
        </w:rPr>
      </w:pPr>
      <w:r w:rsidRPr="006B012D">
        <w:rPr>
          <w:noProof/>
        </w:rPr>
        <w:t>Nettomenojen enimmäiskasvu</w:t>
      </w:r>
      <w:r w:rsidR="000D249F">
        <w:rPr>
          <w:noProof/>
        </w:rPr>
        <w:t xml:space="preserve"> </w:t>
      </w:r>
      <w:r w:rsidRPr="006B012D">
        <w:rPr>
          <w:noProof/>
        </w:rPr>
        <w:t>(vuotuinen ja kumulatiivinen kasvu, nimellisin luvuin)</w:t>
      </w:r>
    </w:p>
    <w:p w14:paraId="258DE59A" w14:textId="77777777" w:rsidR="006078F9" w:rsidRPr="006B012D" w:rsidRDefault="00B24899" w:rsidP="00BD2091">
      <w:pPr>
        <w:spacing w:after="360"/>
        <w:jc w:val="center"/>
        <w:rPr>
          <w:noProof/>
        </w:rPr>
      </w:pPr>
      <w:r w:rsidRPr="006B012D">
        <w:rPr>
          <w:noProof/>
        </w:rPr>
        <w:t>IRLANTI</w:t>
      </w:r>
    </w:p>
    <w:tbl>
      <w:tblPr>
        <w:tblStyle w:val="TableGrid"/>
        <w:tblW w:w="79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1780"/>
        <w:gridCol w:w="1836"/>
        <w:gridCol w:w="864"/>
        <w:gridCol w:w="864"/>
        <w:gridCol w:w="865"/>
        <w:gridCol w:w="864"/>
        <w:gridCol w:w="865"/>
      </w:tblGrid>
      <w:tr w:rsidR="73F6B678" w:rsidRPr="006B012D" w14:paraId="16D649D0" w14:textId="77777777" w:rsidTr="00C74F87">
        <w:trPr>
          <w:trHeight w:val="464"/>
          <w:jc w:val="center"/>
        </w:trPr>
        <w:tc>
          <w:tcPr>
            <w:tcW w:w="3139" w:type="dxa"/>
            <w:gridSpan w:val="2"/>
            <w:tcBorders>
              <w:top w:val="single" w:sz="4" w:space="0" w:color="auto"/>
              <w:bottom w:val="single" w:sz="4" w:space="0" w:color="auto"/>
              <w:right w:val="single" w:sz="4" w:space="0" w:color="auto"/>
            </w:tcBorders>
          </w:tcPr>
          <w:p w14:paraId="4FAE16FE" w14:textId="77777777" w:rsidR="008022DE" w:rsidRPr="006B012D" w:rsidRDefault="00852144" w:rsidP="60CF7E57">
            <w:pPr>
              <w:jc w:val="center"/>
              <w:rPr>
                <w:noProof/>
                <w:szCs w:val="24"/>
              </w:rPr>
            </w:pPr>
            <w:r w:rsidRPr="006B012D">
              <w:rPr>
                <w:noProof/>
              </w:rPr>
              <w:t>Vuosi</w:t>
            </w:r>
          </w:p>
        </w:tc>
        <w:tc>
          <w:tcPr>
            <w:tcW w:w="811" w:type="dxa"/>
            <w:tcBorders>
              <w:top w:val="single" w:sz="4" w:space="0" w:color="auto"/>
              <w:left w:val="single" w:sz="4" w:space="0" w:color="auto"/>
              <w:bottom w:val="single" w:sz="4" w:space="0" w:color="auto"/>
              <w:right w:val="single" w:sz="4" w:space="0" w:color="auto"/>
            </w:tcBorders>
          </w:tcPr>
          <w:p w14:paraId="64B4E424" w14:textId="77777777" w:rsidR="73F6B678" w:rsidRPr="006B012D" w:rsidRDefault="47E4C42F" w:rsidP="60CF7E57">
            <w:pPr>
              <w:jc w:val="center"/>
              <w:rPr>
                <w:noProof/>
                <w:szCs w:val="24"/>
              </w:rPr>
            </w:pPr>
            <w:r w:rsidRPr="006B012D">
              <w:rPr>
                <w:noProof/>
              </w:rPr>
              <w:t>2025</w:t>
            </w:r>
          </w:p>
        </w:tc>
        <w:tc>
          <w:tcPr>
            <w:tcW w:w="811" w:type="dxa"/>
            <w:tcBorders>
              <w:top w:val="single" w:sz="4" w:space="0" w:color="auto"/>
              <w:left w:val="single" w:sz="4" w:space="0" w:color="auto"/>
              <w:bottom w:val="single" w:sz="4" w:space="0" w:color="auto"/>
              <w:right w:val="single" w:sz="4" w:space="0" w:color="auto"/>
            </w:tcBorders>
          </w:tcPr>
          <w:p w14:paraId="0AA11911" w14:textId="77777777" w:rsidR="73F6B678" w:rsidRPr="006B012D" w:rsidRDefault="47E4C42F" w:rsidP="60CF7E57">
            <w:pPr>
              <w:jc w:val="center"/>
              <w:rPr>
                <w:noProof/>
                <w:szCs w:val="24"/>
              </w:rPr>
            </w:pPr>
            <w:r w:rsidRPr="006B012D">
              <w:rPr>
                <w:noProof/>
              </w:rPr>
              <w:t>2026</w:t>
            </w:r>
          </w:p>
        </w:tc>
        <w:tc>
          <w:tcPr>
            <w:tcW w:w="812" w:type="dxa"/>
            <w:tcBorders>
              <w:top w:val="single" w:sz="4" w:space="0" w:color="auto"/>
              <w:left w:val="single" w:sz="4" w:space="0" w:color="auto"/>
              <w:bottom w:val="single" w:sz="4" w:space="0" w:color="auto"/>
              <w:right w:val="single" w:sz="4" w:space="0" w:color="auto"/>
            </w:tcBorders>
          </w:tcPr>
          <w:p w14:paraId="614B4870" w14:textId="77777777" w:rsidR="73F6B678" w:rsidRPr="006B012D" w:rsidRDefault="47E4C42F" w:rsidP="60CF7E57">
            <w:pPr>
              <w:jc w:val="center"/>
              <w:rPr>
                <w:noProof/>
                <w:szCs w:val="24"/>
              </w:rPr>
            </w:pPr>
            <w:r w:rsidRPr="006B012D">
              <w:rPr>
                <w:noProof/>
              </w:rPr>
              <w:t>2027</w:t>
            </w:r>
          </w:p>
        </w:tc>
        <w:tc>
          <w:tcPr>
            <w:tcW w:w="811" w:type="dxa"/>
            <w:tcBorders>
              <w:top w:val="single" w:sz="4" w:space="0" w:color="auto"/>
              <w:left w:val="single" w:sz="4" w:space="0" w:color="auto"/>
              <w:bottom w:val="single" w:sz="4" w:space="0" w:color="auto"/>
              <w:right w:val="single" w:sz="4" w:space="0" w:color="auto"/>
            </w:tcBorders>
          </w:tcPr>
          <w:p w14:paraId="2026D16C" w14:textId="77777777" w:rsidR="73F6B678" w:rsidRPr="006B012D" w:rsidRDefault="47E4C42F" w:rsidP="60CF7E57">
            <w:pPr>
              <w:jc w:val="center"/>
              <w:rPr>
                <w:noProof/>
                <w:szCs w:val="24"/>
              </w:rPr>
            </w:pPr>
            <w:r w:rsidRPr="006B012D">
              <w:rPr>
                <w:noProof/>
              </w:rPr>
              <w:t>2028</w:t>
            </w:r>
          </w:p>
        </w:tc>
        <w:tc>
          <w:tcPr>
            <w:tcW w:w="812" w:type="dxa"/>
            <w:tcBorders>
              <w:top w:val="single" w:sz="4" w:space="0" w:color="auto"/>
              <w:left w:val="single" w:sz="4" w:space="0" w:color="auto"/>
              <w:bottom w:val="single" w:sz="4" w:space="0" w:color="auto"/>
            </w:tcBorders>
          </w:tcPr>
          <w:p w14:paraId="0C3CE2D2" w14:textId="77777777" w:rsidR="73F6B678" w:rsidRPr="006B012D" w:rsidRDefault="47E4C42F" w:rsidP="60CF7E57">
            <w:pPr>
              <w:jc w:val="center"/>
              <w:rPr>
                <w:noProof/>
                <w:szCs w:val="24"/>
              </w:rPr>
            </w:pPr>
            <w:r w:rsidRPr="006B012D">
              <w:rPr>
                <w:noProof/>
              </w:rPr>
              <w:t>2029</w:t>
            </w:r>
          </w:p>
        </w:tc>
      </w:tr>
      <w:tr w:rsidR="008F6ECC" w:rsidRPr="006B012D" w14:paraId="36667DC6" w14:textId="77777777" w:rsidTr="00C74F87">
        <w:trPr>
          <w:trHeight w:val="360"/>
          <w:jc w:val="center"/>
        </w:trPr>
        <w:tc>
          <w:tcPr>
            <w:tcW w:w="1463" w:type="dxa"/>
            <w:vMerge w:val="restart"/>
            <w:tcBorders>
              <w:top w:val="single" w:sz="4" w:space="0" w:color="auto"/>
              <w:right w:val="single" w:sz="4" w:space="0" w:color="auto"/>
            </w:tcBorders>
          </w:tcPr>
          <w:p w14:paraId="35DA7AE4" w14:textId="77777777" w:rsidR="73F6B678" w:rsidRPr="006B012D" w:rsidRDefault="47E4C42F" w:rsidP="00BD2091">
            <w:pPr>
              <w:jc w:val="center"/>
              <w:rPr>
                <w:noProof/>
                <w:szCs w:val="24"/>
              </w:rPr>
            </w:pPr>
            <w:r w:rsidRPr="006B012D">
              <w:rPr>
                <w:noProof/>
              </w:rPr>
              <w:t>Kasvuprosentti</w:t>
            </w:r>
          </w:p>
        </w:tc>
        <w:tc>
          <w:tcPr>
            <w:tcW w:w="1676" w:type="dxa"/>
            <w:tcBorders>
              <w:top w:val="single" w:sz="4" w:space="0" w:color="auto"/>
              <w:left w:val="single" w:sz="4" w:space="0" w:color="auto"/>
              <w:bottom w:val="single" w:sz="4" w:space="0" w:color="auto"/>
              <w:right w:val="single" w:sz="4" w:space="0" w:color="auto"/>
            </w:tcBorders>
          </w:tcPr>
          <w:p w14:paraId="19A95DDD" w14:textId="77777777" w:rsidR="73F6B678" w:rsidRPr="006B012D" w:rsidRDefault="00F41359" w:rsidP="00BD2091">
            <w:pPr>
              <w:jc w:val="center"/>
              <w:rPr>
                <w:noProof/>
                <w:szCs w:val="24"/>
              </w:rPr>
            </w:pPr>
            <w:r w:rsidRPr="006B012D">
              <w:rPr>
                <w:noProof/>
              </w:rPr>
              <w:t>Vuotuinen</w:t>
            </w:r>
          </w:p>
        </w:tc>
        <w:tc>
          <w:tcPr>
            <w:tcW w:w="811" w:type="dxa"/>
            <w:tcBorders>
              <w:top w:val="single" w:sz="4" w:space="0" w:color="auto"/>
              <w:left w:val="single" w:sz="4" w:space="0" w:color="auto"/>
              <w:bottom w:val="single" w:sz="4" w:space="0" w:color="auto"/>
              <w:right w:val="single" w:sz="4" w:space="0" w:color="auto"/>
            </w:tcBorders>
          </w:tcPr>
          <w:p w14:paraId="1182A361" w14:textId="77777777" w:rsidR="73F6B678" w:rsidRPr="006B012D" w:rsidRDefault="47E4C42F" w:rsidP="6B8235ED">
            <w:pPr>
              <w:jc w:val="center"/>
              <w:rPr>
                <w:noProof/>
                <w:szCs w:val="24"/>
              </w:rPr>
            </w:pPr>
            <w:r w:rsidRPr="006B012D">
              <w:rPr>
                <w:noProof/>
              </w:rPr>
              <w:t>5,1</w:t>
            </w:r>
          </w:p>
        </w:tc>
        <w:tc>
          <w:tcPr>
            <w:tcW w:w="811" w:type="dxa"/>
            <w:tcBorders>
              <w:top w:val="single" w:sz="4" w:space="0" w:color="auto"/>
              <w:left w:val="single" w:sz="4" w:space="0" w:color="auto"/>
              <w:bottom w:val="single" w:sz="4" w:space="0" w:color="auto"/>
              <w:right w:val="single" w:sz="4" w:space="0" w:color="auto"/>
            </w:tcBorders>
          </w:tcPr>
          <w:p w14:paraId="5BC28DA3" w14:textId="77777777" w:rsidR="73F6B678" w:rsidRPr="006B012D" w:rsidRDefault="47E4C42F" w:rsidP="6B8235ED">
            <w:pPr>
              <w:jc w:val="center"/>
              <w:rPr>
                <w:noProof/>
                <w:szCs w:val="24"/>
              </w:rPr>
            </w:pPr>
            <w:r w:rsidRPr="006B012D">
              <w:rPr>
                <w:noProof/>
              </w:rPr>
              <w:t>6,5</w:t>
            </w:r>
          </w:p>
        </w:tc>
        <w:tc>
          <w:tcPr>
            <w:tcW w:w="812" w:type="dxa"/>
            <w:tcBorders>
              <w:top w:val="single" w:sz="4" w:space="0" w:color="auto"/>
              <w:left w:val="single" w:sz="4" w:space="0" w:color="auto"/>
              <w:bottom w:val="single" w:sz="4" w:space="0" w:color="auto"/>
              <w:right w:val="single" w:sz="4" w:space="0" w:color="auto"/>
            </w:tcBorders>
          </w:tcPr>
          <w:p w14:paraId="51C09868" w14:textId="77777777" w:rsidR="73F6B678" w:rsidRPr="006B012D" w:rsidRDefault="47E4C42F" w:rsidP="6B8235ED">
            <w:pPr>
              <w:jc w:val="center"/>
              <w:rPr>
                <w:noProof/>
                <w:szCs w:val="24"/>
              </w:rPr>
            </w:pPr>
            <w:r w:rsidRPr="006B012D">
              <w:rPr>
                <w:noProof/>
              </w:rPr>
              <w:t>4,9</w:t>
            </w:r>
          </w:p>
        </w:tc>
        <w:tc>
          <w:tcPr>
            <w:tcW w:w="811" w:type="dxa"/>
            <w:tcBorders>
              <w:top w:val="single" w:sz="4" w:space="0" w:color="auto"/>
              <w:left w:val="single" w:sz="4" w:space="0" w:color="auto"/>
              <w:bottom w:val="single" w:sz="4" w:space="0" w:color="auto"/>
              <w:right w:val="single" w:sz="4" w:space="0" w:color="auto"/>
            </w:tcBorders>
          </w:tcPr>
          <w:p w14:paraId="64A3A0BA" w14:textId="77777777" w:rsidR="73F6B678" w:rsidRPr="006B012D" w:rsidRDefault="47E4C42F" w:rsidP="6B8235ED">
            <w:pPr>
              <w:jc w:val="center"/>
              <w:rPr>
                <w:noProof/>
                <w:szCs w:val="24"/>
              </w:rPr>
            </w:pPr>
            <w:r w:rsidRPr="006B012D">
              <w:rPr>
                <w:noProof/>
              </w:rPr>
              <w:t>5,4</w:t>
            </w:r>
          </w:p>
        </w:tc>
        <w:tc>
          <w:tcPr>
            <w:tcW w:w="812" w:type="dxa"/>
            <w:tcBorders>
              <w:top w:val="single" w:sz="4" w:space="0" w:color="auto"/>
              <w:left w:val="single" w:sz="4" w:space="0" w:color="auto"/>
              <w:bottom w:val="single" w:sz="4" w:space="0" w:color="auto"/>
            </w:tcBorders>
          </w:tcPr>
          <w:p w14:paraId="7459DC54" w14:textId="77777777" w:rsidR="73F6B678" w:rsidRPr="006B012D" w:rsidRDefault="47E4C42F" w:rsidP="6B8235ED">
            <w:pPr>
              <w:jc w:val="center"/>
              <w:rPr>
                <w:noProof/>
                <w:szCs w:val="24"/>
              </w:rPr>
            </w:pPr>
            <w:r w:rsidRPr="006B012D">
              <w:rPr>
                <w:noProof/>
              </w:rPr>
              <w:t>4,7</w:t>
            </w:r>
          </w:p>
        </w:tc>
      </w:tr>
      <w:tr w:rsidR="008F6ECC" w:rsidRPr="006B012D" w14:paraId="69D58FB8" w14:textId="77777777" w:rsidTr="00C74F87">
        <w:trPr>
          <w:trHeight w:val="360"/>
          <w:jc w:val="center"/>
        </w:trPr>
        <w:tc>
          <w:tcPr>
            <w:tcW w:w="1463" w:type="dxa"/>
            <w:vMerge/>
            <w:tcBorders>
              <w:bottom w:val="single" w:sz="4" w:space="0" w:color="auto"/>
              <w:right w:val="single" w:sz="4" w:space="0" w:color="auto"/>
            </w:tcBorders>
          </w:tcPr>
          <w:p w14:paraId="14F3E721" w14:textId="77777777" w:rsidR="00172FA8" w:rsidRPr="006B012D" w:rsidRDefault="00172FA8" w:rsidP="00BD2091">
            <w:pPr>
              <w:jc w:val="center"/>
              <w:rPr>
                <w:noProof/>
                <w:szCs w:val="24"/>
              </w:rPr>
            </w:pPr>
          </w:p>
        </w:tc>
        <w:tc>
          <w:tcPr>
            <w:tcW w:w="1676" w:type="dxa"/>
            <w:tcBorders>
              <w:top w:val="single" w:sz="4" w:space="0" w:color="auto"/>
              <w:left w:val="single" w:sz="4" w:space="0" w:color="auto"/>
              <w:bottom w:val="single" w:sz="4" w:space="0" w:color="auto"/>
              <w:right w:val="single" w:sz="4" w:space="0" w:color="auto"/>
            </w:tcBorders>
          </w:tcPr>
          <w:p w14:paraId="6BF69A6D" w14:textId="77777777" w:rsidR="00172FA8" w:rsidRPr="006B012D" w:rsidRDefault="00172FA8" w:rsidP="00BD2091">
            <w:pPr>
              <w:jc w:val="center"/>
              <w:rPr>
                <w:noProof/>
                <w:szCs w:val="24"/>
              </w:rPr>
            </w:pPr>
            <w:r w:rsidRPr="006B012D">
              <w:rPr>
                <w:noProof/>
              </w:rPr>
              <w:t>Kumulatiivinen (*)</w:t>
            </w:r>
          </w:p>
        </w:tc>
        <w:tc>
          <w:tcPr>
            <w:tcW w:w="811" w:type="dxa"/>
            <w:tcBorders>
              <w:top w:val="single" w:sz="4" w:space="0" w:color="auto"/>
              <w:left w:val="single" w:sz="4" w:space="0" w:color="auto"/>
              <w:bottom w:val="single" w:sz="4" w:space="0" w:color="auto"/>
              <w:right w:val="single" w:sz="4" w:space="0" w:color="auto"/>
            </w:tcBorders>
          </w:tcPr>
          <w:p w14:paraId="6E8F45B3" w14:textId="77777777" w:rsidR="00172FA8" w:rsidRPr="006B012D" w:rsidRDefault="00172FA8" w:rsidP="00172FA8">
            <w:pPr>
              <w:jc w:val="center"/>
              <w:rPr>
                <w:noProof/>
                <w:szCs w:val="24"/>
              </w:rPr>
            </w:pPr>
            <w:r w:rsidRPr="006B012D">
              <w:rPr>
                <w:noProof/>
              </w:rPr>
              <w:t>15,4</w:t>
            </w:r>
          </w:p>
        </w:tc>
        <w:tc>
          <w:tcPr>
            <w:tcW w:w="811" w:type="dxa"/>
            <w:tcBorders>
              <w:top w:val="single" w:sz="4" w:space="0" w:color="auto"/>
              <w:left w:val="single" w:sz="4" w:space="0" w:color="auto"/>
              <w:bottom w:val="single" w:sz="4" w:space="0" w:color="auto"/>
              <w:right w:val="single" w:sz="4" w:space="0" w:color="auto"/>
            </w:tcBorders>
          </w:tcPr>
          <w:p w14:paraId="0971D8D8" w14:textId="77777777" w:rsidR="00172FA8" w:rsidRPr="006B012D" w:rsidRDefault="00172FA8" w:rsidP="00172FA8">
            <w:pPr>
              <w:jc w:val="center"/>
              <w:rPr>
                <w:noProof/>
                <w:szCs w:val="24"/>
              </w:rPr>
            </w:pPr>
            <w:r w:rsidRPr="006B012D">
              <w:rPr>
                <w:noProof/>
              </w:rPr>
              <w:t>22,8</w:t>
            </w:r>
          </w:p>
        </w:tc>
        <w:tc>
          <w:tcPr>
            <w:tcW w:w="812" w:type="dxa"/>
            <w:tcBorders>
              <w:top w:val="single" w:sz="4" w:space="0" w:color="auto"/>
              <w:left w:val="single" w:sz="4" w:space="0" w:color="auto"/>
              <w:bottom w:val="single" w:sz="4" w:space="0" w:color="auto"/>
              <w:right w:val="single" w:sz="4" w:space="0" w:color="auto"/>
            </w:tcBorders>
          </w:tcPr>
          <w:p w14:paraId="6F9890D6" w14:textId="77777777" w:rsidR="00172FA8" w:rsidRPr="006B012D" w:rsidRDefault="00172FA8" w:rsidP="00172FA8">
            <w:pPr>
              <w:jc w:val="center"/>
              <w:rPr>
                <w:noProof/>
                <w:szCs w:val="24"/>
              </w:rPr>
            </w:pPr>
            <w:r w:rsidRPr="006B012D">
              <w:rPr>
                <w:noProof/>
              </w:rPr>
              <w:t>28,9</w:t>
            </w:r>
          </w:p>
        </w:tc>
        <w:tc>
          <w:tcPr>
            <w:tcW w:w="811" w:type="dxa"/>
            <w:tcBorders>
              <w:top w:val="single" w:sz="4" w:space="0" w:color="auto"/>
              <w:left w:val="single" w:sz="4" w:space="0" w:color="auto"/>
              <w:bottom w:val="single" w:sz="4" w:space="0" w:color="auto"/>
              <w:right w:val="single" w:sz="4" w:space="0" w:color="auto"/>
            </w:tcBorders>
          </w:tcPr>
          <w:p w14:paraId="4AF94EB0" w14:textId="77777777" w:rsidR="00172FA8" w:rsidRPr="006B012D" w:rsidRDefault="00172FA8" w:rsidP="00172FA8">
            <w:pPr>
              <w:jc w:val="center"/>
              <w:rPr>
                <w:noProof/>
                <w:szCs w:val="24"/>
              </w:rPr>
            </w:pPr>
            <w:r w:rsidRPr="006B012D">
              <w:rPr>
                <w:noProof/>
              </w:rPr>
              <w:t>35,8</w:t>
            </w:r>
          </w:p>
        </w:tc>
        <w:tc>
          <w:tcPr>
            <w:tcW w:w="812" w:type="dxa"/>
            <w:tcBorders>
              <w:top w:val="single" w:sz="4" w:space="0" w:color="auto"/>
              <w:left w:val="single" w:sz="4" w:space="0" w:color="auto"/>
              <w:bottom w:val="single" w:sz="4" w:space="0" w:color="auto"/>
            </w:tcBorders>
          </w:tcPr>
          <w:p w14:paraId="594C93F9" w14:textId="77777777" w:rsidR="00172FA8" w:rsidRPr="006B012D" w:rsidRDefault="00172FA8" w:rsidP="00172FA8">
            <w:pPr>
              <w:jc w:val="center"/>
              <w:rPr>
                <w:noProof/>
                <w:szCs w:val="24"/>
              </w:rPr>
            </w:pPr>
            <w:r w:rsidRPr="006B012D">
              <w:rPr>
                <w:noProof/>
              </w:rPr>
              <w:t>42,3</w:t>
            </w:r>
          </w:p>
        </w:tc>
      </w:tr>
    </w:tbl>
    <w:p w14:paraId="40F784FF" w14:textId="77777777" w:rsidR="001B6961" w:rsidRPr="006B012D" w:rsidRDefault="001B6961" w:rsidP="00BD2091">
      <w:pPr>
        <w:jc w:val="center"/>
        <w:rPr>
          <w:noProof/>
          <w:sz w:val="20"/>
          <w:szCs w:val="20"/>
        </w:rPr>
      </w:pPr>
      <w:r w:rsidRPr="006B012D">
        <w:rPr>
          <w:noProof/>
          <w:sz w:val="20"/>
        </w:rPr>
        <w:t>(*) Kumulatiiviset kasvuluvut lasketaan perusvuoden 2023 perusteella.</w:t>
      </w:r>
    </w:p>
    <w:p w14:paraId="72B60DD7" w14:textId="1992CBC8" w:rsidR="00262F29" w:rsidRPr="006B012D" w:rsidRDefault="006B012D" w:rsidP="004961CB">
      <w:pPr>
        <w:pStyle w:val="Fait"/>
        <w:rPr>
          <w:noProof/>
        </w:rPr>
      </w:pPr>
      <w:r>
        <w:rPr>
          <w:noProof/>
        </w:rPr>
        <w:t>Tehty Strasbourgissa</w:t>
      </w:r>
    </w:p>
    <w:p w14:paraId="4D3DDDD3" w14:textId="77777777" w:rsidR="00634577" w:rsidRPr="006B012D" w:rsidRDefault="00634577" w:rsidP="004961CB">
      <w:pPr>
        <w:pStyle w:val="Institutionquisigne"/>
        <w:outlineLvl w:val="0"/>
        <w:rPr>
          <w:noProof/>
        </w:rPr>
      </w:pPr>
      <w:r w:rsidRPr="006B012D">
        <w:rPr>
          <w:noProof/>
        </w:rPr>
        <w:tab/>
        <w:t>Neuvoston puolesta</w:t>
      </w:r>
    </w:p>
    <w:p w14:paraId="5973D712" w14:textId="77777777" w:rsidR="00634577" w:rsidRPr="006B012D" w:rsidRDefault="00634577" w:rsidP="00634577">
      <w:pPr>
        <w:pStyle w:val="Personnequisigne"/>
        <w:rPr>
          <w:noProof/>
        </w:rPr>
      </w:pPr>
      <w:r w:rsidRPr="006B012D">
        <w:rPr>
          <w:noProof/>
        </w:rPr>
        <w:tab/>
        <w:t>Puheenjohtaja</w:t>
      </w:r>
    </w:p>
    <w:sectPr w:rsidR="00634577" w:rsidRPr="006B012D" w:rsidSect="00DA4A2F">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1ACB1" w14:textId="77777777" w:rsidR="00734A8A" w:rsidRDefault="00734A8A" w:rsidP="00AF3F52">
      <w:pPr>
        <w:spacing w:before="0" w:after="0"/>
      </w:pPr>
      <w:r>
        <w:separator/>
      </w:r>
    </w:p>
  </w:endnote>
  <w:endnote w:type="continuationSeparator" w:id="0">
    <w:p w14:paraId="15ECC47E" w14:textId="77777777" w:rsidR="00734A8A" w:rsidRDefault="00734A8A" w:rsidP="00AF3F52">
      <w:pPr>
        <w:spacing w:before="0" w:after="0"/>
      </w:pPr>
      <w:r>
        <w:continuationSeparator/>
      </w:r>
    </w:p>
  </w:endnote>
  <w:endnote w:type="continuationNotice" w:id="1">
    <w:p w14:paraId="646CF7C0" w14:textId="77777777" w:rsidR="00734A8A" w:rsidRDefault="00734A8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9D0BB" w14:textId="71CBD9C7" w:rsidR="00DA4A2F" w:rsidRPr="00DA4A2F" w:rsidRDefault="00DA4A2F" w:rsidP="00DA4A2F">
    <w:pPr>
      <w:pStyle w:val="Footer"/>
      <w:rPr>
        <w:rFonts w:ascii="Arial" w:hAnsi="Arial" w:cs="Arial"/>
        <w:b/>
        <w:sz w:val="48"/>
      </w:rPr>
    </w:pPr>
    <w:r w:rsidRPr="00DA4A2F">
      <w:rPr>
        <w:rFonts w:ascii="Arial" w:hAnsi="Arial" w:cs="Arial"/>
        <w:b/>
        <w:sz w:val="48"/>
      </w:rPr>
      <w:t>FI</w:t>
    </w:r>
    <w:r w:rsidRPr="00DA4A2F">
      <w:rPr>
        <w:rFonts w:ascii="Arial" w:hAnsi="Arial" w:cs="Arial"/>
        <w:b/>
        <w:sz w:val="48"/>
      </w:rPr>
      <w:tab/>
    </w:r>
    <w:r w:rsidRPr="00DA4A2F">
      <w:rPr>
        <w:rFonts w:ascii="Arial" w:hAnsi="Arial" w:cs="Arial"/>
        <w:b/>
        <w:sz w:val="48"/>
      </w:rPr>
      <w:tab/>
    </w:r>
    <w:r w:rsidRPr="00DA4A2F">
      <w:tab/>
    </w:r>
    <w:r w:rsidRPr="00DA4A2F">
      <w:rPr>
        <w:rFonts w:ascii="Arial" w:hAnsi="Arial" w:cs="Arial"/>
        <w:b/>
        <w:sz w:val="48"/>
      </w:rPr>
      <w:t>FI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4E050" w14:textId="48659BB6" w:rsidR="00DA4A2F" w:rsidRPr="00DA4A2F" w:rsidRDefault="00DA4A2F" w:rsidP="00DA4A2F">
    <w:pPr>
      <w:pStyle w:val="Footer"/>
      <w:rPr>
        <w:rFonts w:ascii="Arial" w:hAnsi="Arial" w:cs="Arial"/>
        <w:b/>
        <w:sz w:val="48"/>
      </w:rPr>
    </w:pPr>
    <w:r w:rsidRPr="00DA4A2F">
      <w:rPr>
        <w:rFonts w:ascii="Arial" w:hAnsi="Arial" w:cs="Arial"/>
        <w:b/>
        <w:sz w:val="48"/>
      </w:rPr>
      <w:t>FI</w:t>
    </w:r>
    <w:r w:rsidRPr="00DA4A2F">
      <w:rPr>
        <w:rFonts w:ascii="Arial" w:hAnsi="Arial" w:cs="Arial"/>
        <w:b/>
        <w:sz w:val="48"/>
      </w:rPr>
      <w:tab/>
    </w:r>
    <w:r w:rsidRPr="00DA4A2F">
      <w:rPr>
        <w:rFonts w:ascii="Arial" w:hAnsi="Arial" w:cs="Arial"/>
        <w:b/>
        <w:sz w:val="48"/>
      </w:rPr>
      <w:tab/>
    </w:r>
    <w:r w:rsidRPr="00DA4A2F">
      <w:tab/>
    </w:r>
    <w:r w:rsidRPr="00DA4A2F">
      <w:rPr>
        <w:rFonts w:ascii="Arial" w:hAnsi="Arial" w:cs="Arial"/>
        <w:b/>
        <w:sz w:val="48"/>
      </w:rPr>
      <w:t>FI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D54CC" w14:textId="77777777" w:rsidR="00DA4A2F" w:rsidRDefault="00DA4A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1A620" w14:textId="3B732E10" w:rsidR="00DA4A2F" w:rsidRPr="00DA4A2F" w:rsidRDefault="00DA4A2F" w:rsidP="00DA4A2F">
    <w:pPr>
      <w:pStyle w:val="Footer"/>
      <w:rPr>
        <w:rFonts w:ascii="Arial" w:hAnsi="Arial" w:cs="Arial"/>
        <w:b/>
        <w:sz w:val="48"/>
      </w:rPr>
    </w:pPr>
    <w:r w:rsidRPr="00DA4A2F">
      <w:rPr>
        <w:rFonts w:ascii="Arial" w:hAnsi="Arial" w:cs="Arial"/>
        <w:b/>
        <w:sz w:val="48"/>
      </w:rPr>
      <w:t>FI</w:t>
    </w:r>
    <w:r w:rsidRPr="00DA4A2F">
      <w:rPr>
        <w:rFonts w:ascii="Arial" w:hAnsi="Arial" w:cs="Arial"/>
        <w:b/>
        <w:sz w:val="48"/>
      </w:rPr>
      <w:tab/>
    </w:r>
    <w:r>
      <w:fldChar w:fldCharType="begin"/>
    </w:r>
    <w:r>
      <w:instrText xml:space="preserve"> PAGE  \* MERGEFORMAT </w:instrText>
    </w:r>
    <w:r>
      <w:fldChar w:fldCharType="separate"/>
    </w:r>
    <w:r w:rsidR="004961CB">
      <w:rPr>
        <w:noProof/>
      </w:rPr>
      <w:t>11</w:t>
    </w:r>
    <w:r>
      <w:fldChar w:fldCharType="end"/>
    </w:r>
    <w:r>
      <w:tab/>
    </w:r>
    <w:r w:rsidRPr="00DA4A2F">
      <w:tab/>
    </w:r>
    <w:r w:rsidRPr="00DA4A2F">
      <w:rPr>
        <w:rFonts w:ascii="Arial" w:hAnsi="Arial" w:cs="Arial"/>
        <w:b/>
        <w:sz w:val="48"/>
      </w:rPr>
      <w:t>FI</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F2BC8" w14:textId="77777777" w:rsidR="00DA4A2F" w:rsidRDefault="00DA4A2F" w:rsidP="00DA4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69692" w14:textId="77777777" w:rsidR="00734A8A" w:rsidRDefault="00734A8A" w:rsidP="00AF3F52">
      <w:pPr>
        <w:spacing w:before="0" w:after="0"/>
      </w:pPr>
      <w:r>
        <w:separator/>
      </w:r>
    </w:p>
  </w:footnote>
  <w:footnote w:type="continuationSeparator" w:id="0">
    <w:p w14:paraId="0237EDC6" w14:textId="77777777" w:rsidR="00734A8A" w:rsidRDefault="00734A8A" w:rsidP="00AF3F52">
      <w:pPr>
        <w:spacing w:before="0" w:after="0"/>
      </w:pPr>
      <w:r>
        <w:continuationSeparator/>
      </w:r>
    </w:p>
  </w:footnote>
  <w:footnote w:type="continuationNotice" w:id="1">
    <w:p w14:paraId="1D88AA73" w14:textId="77777777" w:rsidR="00734A8A" w:rsidRDefault="00734A8A">
      <w:pPr>
        <w:spacing w:before="0" w:after="0"/>
      </w:pPr>
    </w:p>
  </w:footnote>
  <w:footnote w:id="2">
    <w:p w14:paraId="3023E640" w14:textId="77777777" w:rsidR="00FF1D5A" w:rsidRPr="006B012D" w:rsidRDefault="00FF1D5A" w:rsidP="006C6212">
      <w:pPr>
        <w:pStyle w:val="FootnoteText"/>
      </w:pPr>
      <w:r>
        <w:rPr>
          <w:rStyle w:val="FootnoteReference"/>
        </w:rPr>
        <w:footnoteRef/>
      </w:r>
      <w:r w:rsidRPr="006B012D">
        <w:tab/>
        <w:t xml:space="preserve">Euroopan parlamentin ja neuvoston asetus (EU) 2024/1263, annettu 29 päivänä huhtikuuta 2024, talouspolitiikan tuloksellisesta yhteensovittamisesta ja monenvälisestä julkisen talouden valvonnasta sekä neuvoston asetuksen (EY) N:o 1466/97 kumoamisesta (EUVL L, 2024/1263, 30.4.2024, ELI: </w:t>
      </w:r>
      <w:hyperlink r:id="rId1" w:history="1">
        <w:r w:rsidRPr="006B012D">
          <w:rPr>
            <w:rStyle w:val="Hyperlink"/>
          </w:rPr>
          <w:t>http://data.europa.eu/eli/reg/2024/1263/oj</w:t>
        </w:r>
      </w:hyperlink>
      <w:r w:rsidRPr="006B012D">
        <w:t>).</w:t>
      </w:r>
    </w:p>
  </w:footnote>
  <w:footnote w:id="3">
    <w:p w14:paraId="6C44F6EB" w14:textId="77777777" w:rsidR="00FF1D5A" w:rsidRPr="006B012D" w:rsidRDefault="00FF1D5A" w:rsidP="006C6212">
      <w:pPr>
        <w:pStyle w:val="FootnoteText"/>
      </w:pPr>
      <w:r>
        <w:rPr>
          <w:rStyle w:val="FootnoteReference"/>
        </w:rPr>
        <w:footnoteRef/>
      </w:r>
      <w:r w:rsidRPr="006B012D">
        <w:tab/>
        <w:t xml:space="preserve">Neuvoston asetus (EU) 2024/1264, annettu 29 päivänä huhtikuuta 2024, liiallisia alijäämiä koskevan menettelyn täytäntöönpanon nopeuttamisesta ja selkeyttämisestä annetun asetuksen (EY) N:o 1467/97 muuttamisesta (EUVL L, 2024/1264, 30.4.2024, ELI: </w:t>
      </w:r>
      <w:hyperlink r:id="rId2" w:history="1">
        <w:r w:rsidRPr="006B012D">
          <w:rPr>
            <w:rStyle w:val="Hyperlink"/>
          </w:rPr>
          <w:t>http://data.europa.eu/eli/reg/2024/1264/oj</w:t>
        </w:r>
      </w:hyperlink>
      <w:r w:rsidRPr="006B012D">
        <w:t>).</w:t>
      </w:r>
    </w:p>
  </w:footnote>
  <w:footnote w:id="4">
    <w:p w14:paraId="2CC19520" w14:textId="77777777" w:rsidR="00FF1D5A" w:rsidRPr="006B012D" w:rsidRDefault="00FF1D5A" w:rsidP="006C6212">
      <w:pPr>
        <w:pStyle w:val="FootnoteText"/>
      </w:pPr>
      <w:r>
        <w:rPr>
          <w:rStyle w:val="FootnoteReference"/>
        </w:rPr>
        <w:footnoteRef/>
      </w:r>
      <w:r w:rsidRPr="006B012D">
        <w:tab/>
        <w:t xml:space="preserve">Neuvoston direktiivi (EU) 2024/1265, annettu 29 päivänä huhtikuuta 2024, jäsenvaltioiden julkisen talouden kehyksiä koskevista vaatimuksista annetun direktiivin 2011/85/EU muuttamisesta (EUVL L, 2024/1265, 30.4.2024, ELI: </w:t>
      </w:r>
      <w:hyperlink r:id="rId3" w:history="1">
        <w:r w:rsidRPr="006B012D">
          <w:rPr>
            <w:rStyle w:val="Hyperlink"/>
          </w:rPr>
          <w:t>http://data.europa.eu/eli/dir/2024/1265/oj</w:t>
        </w:r>
      </w:hyperlink>
      <w:r w:rsidRPr="006B012D">
        <w:t>).</w:t>
      </w:r>
    </w:p>
  </w:footnote>
  <w:footnote w:id="5">
    <w:p w14:paraId="1982BAEE" w14:textId="77777777" w:rsidR="00FF1D5A" w:rsidRPr="006B012D" w:rsidRDefault="00FF1D5A" w:rsidP="006C6212">
      <w:pPr>
        <w:pStyle w:val="FootnoteText"/>
      </w:pPr>
      <w:r>
        <w:rPr>
          <w:rStyle w:val="FootnoteReference"/>
        </w:rPr>
        <w:footnoteRef/>
      </w:r>
      <w:r w:rsidRPr="006B012D">
        <w:tab/>
        <w:t>Asetuksen (EU) 2024/1263 2 artiklassa määritellyt nettomenot eli julkiset menot ilman i) korkomenoja, ii) harkinnanvaraisia tulopuolen toimenpiteitä, iii) unionin ohjelmista aiheutuvia menoja, jotka katetaan täysin unionin rahastoista saatavilla tuloilla, iv) unionin rahoituksen piiriin kuuluvien ohjelmien yhteisrahoituksesta johtuvia kansallisia menoja, v) työttömyysetuusmenojen suhdanteesta johtuvia osatekijöitä sekä vi) kertaluontoisia ja muita väliaikaisia toimenpiteitä.</w:t>
      </w:r>
    </w:p>
  </w:footnote>
  <w:footnote w:id="6">
    <w:p w14:paraId="4749E8D2" w14:textId="77777777" w:rsidR="00EE3DE7" w:rsidRPr="006B012D" w:rsidRDefault="00EE3DE7" w:rsidP="006C6212">
      <w:pPr>
        <w:pStyle w:val="FootnoteText"/>
      </w:pPr>
      <w:r>
        <w:rPr>
          <w:rStyle w:val="FootnoteReference"/>
        </w:rPr>
        <w:footnoteRef/>
      </w:r>
      <w:r w:rsidRPr="006B012D">
        <w:tab/>
        <w:t>Tärkeimmät lähtöolosuhteet ja taustaoletukset ovat komission velkakestävyysraportissa (</w:t>
      </w:r>
      <w:r w:rsidRPr="006B012D">
        <w:rPr>
          <w:i/>
        </w:rPr>
        <w:t>Debt Sustainability Monitor 2023</w:t>
      </w:r>
      <w:r w:rsidRPr="006B012D">
        <w:t>) (</w:t>
      </w:r>
      <w:hyperlink r:id="rId4" w:history="1">
        <w:r w:rsidRPr="006B012D">
          <w:rPr>
            <w:rStyle w:val="Hyperlink"/>
          </w:rPr>
          <w:t>https://economy-finance.ec.europa.eu/publications/debt-sustainability-monitor-2023_en</w:t>
        </w:r>
      </w:hyperlink>
      <w:r w:rsidRPr="006B012D">
        <w:t>) kuvatun menetelmän mukaisia. Niiden perustana on Euroopan komission kevään 2024 talousennuste ja sen vuoteen 2033 asti ulottuva keskipitkän aikavälin pidennys. Pitkän aikavälin BKT:n kasvu ja ikääntymisestä aiheutuvat kustannukset ovat komission ja neuvoston yhteisen ikääntymisraportin (</w:t>
      </w:r>
      <w:r w:rsidRPr="006B012D">
        <w:rPr>
          <w:i/>
        </w:rPr>
        <w:t>2024 Ageing Report</w:t>
      </w:r>
      <w:r w:rsidRPr="006B012D">
        <w:t>) (</w:t>
      </w:r>
      <w:hyperlink r:id="rId5" w:history="1">
        <w:r w:rsidRPr="006B012D">
          <w:rPr>
            <w:rStyle w:val="Hyperlink"/>
          </w:rPr>
          <w:t>https://economy-finance.ec.europa.eu/publications/2024-ageing-report-economic-and-budgetary-projections-eu-member-states-2022-2070_en</w:t>
        </w:r>
      </w:hyperlink>
      <w:r w:rsidRPr="006B012D">
        <w:t>) mukaisia.</w:t>
      </w:r>
    </w:p>
  </w:footnote>
  <w:footnote w:id="7">
    <w:p w14:paraId="79758824" w14:textId="77777777" w:rsidR="001B6961" w:rsidRPr="006B012D" w:rsidRDefault="001B6961" w:rsidP="006C6212">
      <w:pPr>
        <w:pStyle w:val="FootnoteText"/>
      </w:pPr>
      <w:r>
        <w:rPr>
          <w:rStyle w:val="FootnoteReference"/>
        </w:rPr>
        <w:footnoteRef/>
      </w:r>
      <w:r w:rsidRPr="006B012D">
        <w:tab/>
      </w:r>
      <w:hyperlink r:id="rId6" w:anchor="ireland" w:history="1">
        <w:r w:rsidRPr="006B012D">
          <w:rPr>
            <w:rStyle w:val="Hyperlink"/>
          </w:rPr>
          <w:t>https://economy-finance.ec.europa.eu/economic-and-fiscal-governance/national-medium-term-fiscal-structural-plans_en#ireland</w:t>
        </w:r>
      </w:hyperlink>
    </w:p>
  </w:footnote>
  <w:footnote w:id="8">
    <w:p w14:paraId="2CF4D4B3" w14:textId="77777777" w:rsidR="001B6961" w:rsidRPr="006B012D" w:rsidRDefault="001B6961" w:rsidP="006C6212">
      <w:pPr>
        <w:pStyle w:val="FootnoteText"/>
      </w:pPr>
      <w:r>
        <w:rPr>
          <w:rStyle w:val="FootnoteReference"/>
        </w:rPr>
        <w:footnoteRef/>
      </w:r>
      <w:r w:rsidRPr="006B012D">
        <w:tab/>
        <w:t>Vuoden 2025 talousarviossa esitetyt makrotalouden ennusteet kattavat vuodet 2024–2030.</w:t>
      </w:r>
    </w:p>
  </w:footnote>
  <w:footnote w:id="9">
    <w:p w14:paraId="4790A82D" w14:textId="77777777" w:rsidR="00C21536" w:rsidRPr="006B012D" w:rsidRDefault="00C21536">
      <w:pPr>
        <w:pStyle w:val="FootnoteText"/>
      </w:pPr>
      <w:r>
        <w:rPr>
          <w:rStyle w:val="FootnoteReference"/>
        </w:rPr>
        <w:footnoteRef/>
      </w:r>
      <w:r w:rsidRPr="006B012D">
        <w:tab/>
        <w:t>Komission lausunto Irlannin alustavasta talousarviosuunnitelmasta, 26.11.2024, C(2024)9056 final.</w:t>
      </w:r>
    </w:p>
  </w:footnote>
  <w:footnote w:id="10">
    <w:p w14:paraId="13909553" w14:textId="6CFAFABD" w:rsidR="00D27BA3" w:rsidRPr="006B012D" w:rsidRDefault="00D27BA3" w:rsidP="00D27BA3">
      <w:pPr>
        <w:pStyle w:val="FootnoteText"/>
      </w:pPr>
      <w:r>
        <w:rPr>
          <w:rStyle w:val="FootnoteReference"/>
        </w:rPr>
        <w:footnoteRef/>
      </w:r>
      <w:r w:rsidRPr="006B012D">
        <w:tab/>
        <w:t>Neuvoston suositus Irlannin talous-, finanssi-, työllisyys- ja rakennepolitiikasta, ei vielä julkaistu.</w:t>
      </w:r>
    </w:p>
  </w:footnote>
  <w:footnote w:id="11">
    <w:p w14:paraId="2CBD55DD" w14:textId="77777777" w:rsidR="001B6961" w:rsidRPr="006B012D" w:rsidRDefault="001B6961" w:rsidP="001B6961">
      <w:pPr>
        <w:pStyle w:val="FootnoteText"/>
      </w:pPr>
      <w:r>
        <w:rPr>
          <w:rStyle w:val="FootnoteReference"/>
        </w:rPr>
        <w:footnoteRef/>
      </w:r>
      <w:r w:rsidRPr="006B012D">
        <w:tab/>
        <w:t>Ks. komission lausunto Irlannin alustavasta talousarviosuunnitelmasta, 26.11.2024, C(2024)9056 final.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2DB70" w14:textId="77777777" w:rsidR="00DA4A2F" w:rsidRDefault="00DA4A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64F3B" w14:textId="77777777" w:rsidR="00DA4A2F" w:rsidRDefault="00DA4A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0A28BD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2DA7B8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F3A22E3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BC455DA"/>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8"/>
    <w:lvlOverride w:ilvl="0">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num>
  <w:num w:numId="8">
    <w:abstractNumId w:val="15"/>
  </w:num>
  <w:num w:numId="9">
    <w:abstractNumId w:val="8"/>
  </w:num>
  <w:num w:numId="10">
    <w:abstractNumId w:val="17"/>
  </w:num>
  <w:num w:numId="11">
    <w:abstractNumId w:val="7"/>
  </w:num>
  <w:num w:numId="12">
    <w:abstractNumId w:val="9"/>
  </w:num>
  <w:num w:numId="13">
    <w:abstractNumId w:val="10"/>
  </w:num>
  <w:num w:numId="14">
    <w:abstractNumId w:val="5"/>
  </w:num>
  <w:num w:numId="15">
    <w:abstractNumId w:val="16"/>
  </w:num>
  <w:num w:numId="16">
    <w:abstractNumId w:val="4"/>
  </w:num>
  <w:num w:numId="17">
    <w:abstractNumId w:val="11"/>
  </w:num>
  <w:num w:numId="18">
    <w:abstractNumId w:val="13"/>
  </w:num>
  <w:num w:numId="19">
    <w:abstractNumId w:val="14"/>
  </w:num>
  <w:num w:numId="20">
    <w:abstractNumId w:val="6"/>
  </w:num>
  <w:num w:numId="21">
    <w:abstractNumId w:val="12"/>
  </w:num>
  <w:num w:numId="22">
    <w:abstractNumId w:val="18"/>
  </w:num>
  <w:num w:numId="23">
    <w:abstractNumId w:val="15"/>
  </w:num>
  <w:num w:numId="24">
    <w:abstractNumId w:val="8"/>
  </w:num>
  <w:num w:numId="25">
    <w:abstractNumId w:val="17"/>
  </w:num>
  <w:num w:numId="26">
    <w:abstractNumId w:val="7"/>
  </w:num>
  <w:num w:numId="27">
    <w:abstractNumId w:val="9"/>
  </w:num>
  <w:num w:numId="28">
    <w:abstractNumId w:val="10"/>
  </w:num>
  <w:num w:numId="29">
    <w:abstractNumId w:val="5"/>
  </w:num>
  <w:num w:numId="30">
    <w:abstractNumId w:val="16"/>
  </w:num>
  <w:num w:numId="31">
    <w:abstractNumId w:val="4"/>
  </w:num>
  <w:num w:numId="32">
    <w:abstractNumId w:val="11"/>
  </w:num>
  <w:num w:numId="33">
    <w:abstractNumId w:val="13"/>
  </w:num>
  <w:num w:numId="34">
    <w:abstractNumId w:val="14"/>
  </w:num>
  <w:num w:numId="35">
    <w:abstractNumId w:val="6"/>
  </w:num>
  <w:num w:numId="36">
    <w:abstractNumId w:val="12"/>
  </w:num>
  <w:num w:numId="37">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1-07 15:27:2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EPKit_DocumentHasBeenSaved" w:val="true"/>
    <w:docVar w:name="LW_CORRIGENDUM" w:val="&lt;UNUSED&gt;"/>
    <w:docVar w:name="LW_COVERPAGE_EXISTS" w:val="True"/>
    <w:docVar w:name="LW_COVERPAGE_GUID" w:val="AE13B0D6-D057-4C18-B412-6574499D8B22"/>
    <w:docVar w:name="LW_COVERPAGE_TYPE" w:val="1"/>
    <w:docVar w:name="LW_CROSSREFERENCE" w:val="&lt;UNUSED&gt;"/>
    <w:docVar w:name="LW_DocType" w:val="COM"/>
    <w:docVar w:name="LW_EMISSION" w:val="26.11.2024"/>
    <w:docVar w:name="LW_EMISSION_ISODATE" w:val="2024-11-26"/>
    <w:docVar w:name="LW_EMISSION_LOCATION" w:val="STR"/>
    <w:docVar w:name="LW_EMISSION_PREFIX" w:val="Strasbourg "/>
    <w:docVar w:name="LW_EMISSION_SUFFIX" w:val=" "/>
    <w:docVar w:name="LW_ID_DOCMODEL" w:val="SG-002"/>
    <w:docVar w:name="LW_ID_DOCSIGNATURE" w:val="SG-002"/>
    <w:docVar w:name="LW_ID_DOCSTRUCTURE" w:val="COM/PL/ORG/NOEEA"/>
    <w:docVar w:name="LW_ID_DOCTYPE" w:val="SG-002"/>
    <w:docVar w:name="LW_ID_STATUT" w:val="SG-002"/>
    <w:docVar w:name="LW_INSERT_EXP.MOTIFS.NEW" w:val="1"/>
    <w:docVar w:name="LW_LANGUE" w:val="FI"/>
    <w:docVar w:name="LW_LEVEL_OF_SENSITIVITY" w:val="Standard treatment"/>
    <w:docVar w:name="LW_NOM.INST" w:val="EUROOPAN KOMISSIO"/>
    <w:docVar w:name="LW_NOM.INST_JOINTDOC" w:val="&lt;EMPTY&gt;"/>
    <w:docVar w:name="LW_PART_NBR" w:val="1"/>
    <w:docVar w:name="LW_PART_NBR_TOTAL" w:val="1"/>
    <w:docVar w:name="LW_REF.II.NEW.CP" w:val="&lt;UNUSED&gt;"/>
    <w:docVar w:name="LW_REF.II.NEW.CP_NUMBER" w:val="&lt;UNUSED&gt;"/>
    <w:docVar w:name="LW_REF.II.NEW.CP_YEAR" w:val="2024"/>
    <w:docVar w:name="LW_REF.INST.NEW" w:val="COM"/>
    <w:docVar w:name="LW_REF.INST.NEW_ADOPTED" w:val="final"/>
    <w:docVar w:name="LW_REF.INST.NEW_TEXT" w:val="(2024) 71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Suositus"/>
    <w:docVar w:name="LW_SUPERTITRE" w:val="&lt;UNUSED&gt;"/>
    <w:docVar w:name="LW_TITRE.OBJ.CP" w:val="Irlannin kansallisen keskipitkän aikavälin finanssipoliittis-rakenteellisen suunnitelman hyväksymisestä"/>
    <w:docVar w:name="LW_TYPE.DOC.CP" w:val="NEUVOSTON SUOSITUS"/>
    <w:docVar w:name="LwApiVersions" w:val="LW4CoDe 1.24.5.0; LW 9.0, Build 20240221"/>
  </w:docVars>
  <w:rsids>
    <w:rsidRoot w:val="00AF3F52"/>
    <w:rsid w:val="00000002"/>
    <w:rsid w:val="00000544"/>
    <w:rsid w:val="00000EBF"/>
    <w:rsid w:val="0000227F"/>
    <w:rsid w:val="00002A6D"/>
    <w:rsid w:val="00003087"/>
    <w:rsid w:val="00003D18"/>
    <w:rsid w:val="00003D72"/>
    <w:rsid w:val="00005008"/>
    <w:rsid w:val="000059DB"/>
    <w:rsid w:val="0000617D"/>
    <w:rsid w:val="00006298"/>
    <w:rsid w:val="00006699"/>
    <w:rsid w:val="000069E7"/>
    <w:rsid w:val="00006B08"/>
    <w:rsid w:val="00006CE6"/>
    <w:rsid w:val="00006DA1"/>
    <w:rsid w:val="00006ED3"/>
    <w:rsid w:val="00007250"/>
    <w:rsid w:val="0000774B"/>
    <w:rsid w:val="00007896"/>
    <w:rsid w:val="0000793F"/>
    <w:rsid w:val="000079BD"/>
    <w:rsid w:val="00007B9A"/>
    <w:rsid w:val="00007D44"/>
    <w:rsid w:val="000100D7"/>
    <w:rsid w:val="00010B20"/>
    <w:rsid w:val="00010CE5"/>
    <w:rsid w:val="00011565"/>
    <w:rsid w:val="00011655"/>
    <w:rsid w:val="00011662"/>
    <w:rsid w:val="0001256A"/>
    <w:rsid w:val="00013233"/>
    <w:rsid w:val="000137D4"/>
    <w:rsid w:val="0001397D"/>
    <w:rsid w:val="00013C5E"/>
    <w:rsid w:val="00014490"/>
    <w:rsid w:val="00014C25"/>
    <w:rsid w:val="00014F00"/>
    <w:rsid w:val="00015235"/>
    <w:rsid w:val="00015301"/>
    <w:rsid w:val="00015B39"/>
    <w:rsid w:val="00016EAD"/>
    <w:rsid w:val="00016F8F"/>
    <w:rsid w:val="000171F4"/>
    <w:rsid w:val="000174CA"/>
    <w:rsid w:val="00020144"/>
    <w:rsid w:val="000208E8"/>
    <w:rsid w:val="00020BDB"/>
    <w:rsid w:val="000214A4"/>
    <w:rsid w:val="00021F10"/>
    <w:rsid w:val="00022279"/>
    <w:rsid w:val="000223B3"/>
    <w:rsid w:val="0002270C"/>
    <w:rsid w:val="00022890"/>
    <w:rsid w:val="00022AE5"/>
    <w:rsid w:val="00022E42"/>
    <w:rsid w:val="00023712"/>
    <w:rsid w:val="00023AA0"/>
    <w:rsid w:val="00024264"/>
    <w:rsid w:val="00024437"/>
    <w:rsid w:val="000245DA"/>
    <w:rsid w:val="00024712"/>
    <w:rsid w:val="000250D3"/>
    <w:rsid w:val="00025780"/>
    <w:rsid w:val="000260B6"/>
    <w:rsid w:val="00026332"/>
    <w:rsid w:val="000263B5"/>
    <w:rsid w:val="000268B4"/>
    <w:rsid w:val="000269B1"/>
    <w:rsid w:val="00026D0C"/>
    <w:rsid w:val="0002701D"/>
    <w:rsid w:val="00027042"/>
    <w:rsid w:val="000272C2"/>
    <w:rsid w:val="000303AC"/>
    <w:rsid w:val="00030512"/>
    <w:rsid w:val="0003063C"/>
    <w:rsid w:val="000309A7"/>
    <w:rsid w:val="00030ADA"/>
    <w:rsid w:val="000311A8"/>
    <w:rsid w:val="000312B3"/>
    <w:rsid w:val="0003227C"/>
    <w:rsid w:val="00032659"/>
    <w:rsid w:val="00032D56"/>
    <w:rsid w:val="000332E3"/>
    <w:rsid w:val="00033462"/>
    <w:rsid w:val="0003359F"/>
    <w:rsid w:val="000336C5"/>
    <w:rsid w:val="000338B1"/>
    <w:rsid w:val="00033E81"/>
    <w:rsid w:val="00034C11"/>
    <w:rsid w:val="00034C9B"/>
    <w:rsid w:val="000352A8"/>
    <w:rsid w:val="000352FC"/>
    <w:rsid w:val="0003585E"/>
    <w:rsid w:val="00035C8F"/>
    <w:rsid w:val="0003609C"/>
    <w:rsid w:val="00036282"/>
    <w:rsid w:val="00036403"/>
    <w:rsid w:val="00036AEA"/>
    <w:rsid w:val="0004007D"/>
    <w:rsid w:val="00040172"/>
    <w:rsid w:val="00042065"/>
    <w:rsid w:val="0004262A"/>
    <w:rsid w:val="000428A6"/>
    <w:rsid w:val="00042BBD"/>
    <w:rsid w:val="00042DFA"/>
    <w:rsid w:val="000437D0"/>
    <w:rsid w:val="0004396E"/>
    <w:rsid w:val="00043B21"/>
    <w:rsid w:val="000441D2"/>
    <w:rsid w:val="00045377"/>
    <w:rsid w:val="000456D7"/>
    <w:rsid w:val="00045708"/>
    <w:rsid w:val="00045712"/>
    <w:rsid w:val="00046089"/>
    <w:rsid w:val="0004656D"/>
    <w:rsid w:val="0004669E"/>
    <w:rsid w:val="00046701"/>
    <w:rsid w:val="000467F7"/>
    <w:rsid w:val="00046D7A"/>
    <w:rsid w:val="0004705C"/>
    <w:rsid w:val="000470C4"/>
    <w:rsid w:val="00047999"/>
    <w:rsid w:val="00050D07"/>
    <w:rsid w:val="000515E3"/>
    <w:rsid w:val="000517E0"/>
    <w:rsid w:val="0005182C"/>
    <w:rsid w:val="00051B56"/>
    <w:rsid w:val="00051B93"/>
    <w:rsid w:val="00051F38"/>
    <w:rsid w:val="00052242"/>
    <w:rsid w:val="000540E9"/>
    <w:rsid w:val="00054819"/>
    <w:rsid w:val="00054AAD"/>
    <w:rsid w:val="00054AB4"/>
    <w:rsid w:val="00054BC1"/>
    <w:rsid w:val="000555C0"/>
    <w:rsid w:val="00055D70"/>
    <w:rsid w:val="00056097"/>
    <w:rsid w:val="00056A52"/>
    <w:rsid w:val="00057B7D"/>
    <w:rsid w:val="00057F36"/>
    <w:rsid w:val="0006009D"/>
    <w:rsid w:val="000600BF"/>
    <w:rsid w:val="000600EA"/>
    <w:rsid w:val="0006013E"/>
    <w:rsid w:val="000604DC"/>
    <w:rsid w:val="00060DDB"/>
    <w:rsid w:val="00060E45"/>
    <w:rsid w:val="00060F8B"/>
    <w:rsid w:val="00061191"/>
    <w:rsid w:val="00061F34"/>
    <w:rsid w:val="00062430"/>
    <w:rsid w:val="00062443"/>
    <w:rsid w:val="0006369F"/>
    <w:rsid w:val="000637C6"/>
    <w:rsid w:val="00064126"/>
    <w:rsid w:val="000643EA"/>
    <w:rsid w:val="00064452"/>
    <w:rsid w:val="00064F2B"/>
    <w:rsid w:val="0006504C"/>
    <w:rsid w:val="0006521C"/>
    <w:rsid w:val="000655FF"/>
    <w:rsid w:val="00065920"/>
    <w:rsid w:val="00065BBC"/>
    <w:rsid w:val="00065CC1"/>
    <w:rsid w:val="00065DCE"/>
    <w:rsid w:val="000661B9"/>
    <w:rsid w:val="000666E2"/>
    <w:rsid w:val="00066988"/>
    <w:rsid w:val="00066A6B"/>
    <w:rsid w:val="00067381"/>
    <w:rsid w:val="00067A3E"/>
    <w:rsid w:val="000703BB"/>
    <w:rsid w:val="000707D4"/>
    <w:rsid w:val="00070FA9"/>
    <w:rsid w:val="00071117"/>
    <w:rsid w:val="000715B5"/>
    <w:rsid w:val="000716B7"/>
    <w:rsid w:val="0007217C"/>
    <w:rsid w:val="0007218B"/>
    <w:rsid w:val="00072328"/>
    <w:rsid w:val="0007251D"/>
    <w:rsid w:val="00072880"/>
    <w:rsid w:val="00072A24"/>
    <w:rsid w:val="000734EE"/>
    <w:rsid w:val="00073E59"/>
    <w:rsid w:val="000742AC"/>
    <w:rsid w:val="000744AD"/>
    <w:rsid w:val="000747E0"/>
    <w:rsid w:val="00074A0A"/>
    <w:rsid w:val="00074D7F"/>
    <w:rsid w:val="00074E5B"/>
    <w:rsid w:val="00075201"/>
    <w:rsid w:val="00075F67"/>
    <w:rsid w:val="00076995"/>
    <w:rsid w:val="00076A20"/>
    <w:rsid w:val="00076D2A"/>
    <w:rsid w:val="0007707C"/>
    <w:rsid w:val="0007715D"/>
    <w:rsid w:val="000772EF"/>
    <w:rsid w:val="0008061C"/>
    <w:rsid w:val="00080B22"/>
    <w:rsid w:val="00081C27"/>
    <w:rsid w:val="000828BD"/>
    <w:rsid w:val="00082A80"/>
    <w:rsid w:val="00084091"/>
    <w:rsid w:val="000841E1"/>
    <w:rsid w:val="000851F5"/>
    <w:rsid w:val="00085273"/>
    <w:rsid w:val="00085ABC"/>
    <w:rsid w:val="00085BAE"/>
    <w:rsid w:val="00085C69"/>
    <w:rsid w:val="00086013"/>
    <w:rsid w:val="000865C6"/>
    <w:rsid w:val="00086A3A"/>
    <w:rsid w:val="00086B3E"/>
    <w:rsid w:val="00087677"/>
    <w:rsid w:val="000876AD"/>
    <w:rsid w:val="00087CF3"/>
    <w:rsid w:val="00087D93"/>
    <w:rsid w:val="000901B8"/>
    <w:rsid w:val="00090788"/>
    <w:rsid w:val="00091D18"/>
    <w:rsid w:val="00091DF3"/>
    <w:rsid w:val="00092067"/>
    <w:rsid w:val="000920CB"/>
    <w:rsid w:val="0009236C"/>
    <w:rsid w:val="00092EEE"/>
    <w:rsid w:val="00092F3C"/>
    <w:rsid w:val="00093842"/>
    <w:rsid w:val="00093B8F"/>
    <w:rsid w:val="00094145"/>
    <w:rsid w:val="0009437B"/>
    <w:rsid w:val="00094446"/>
    <w:rsid w:val="00094E30"/>
    <w:rsid w:val="0009542D"/>
    <w:rsid w:val="000959B5"/>
    <w:rsid w:val="00095BB3"/>
    <w:rsid w:val="00095DAE"/>
    <w:rsid w:val="00095EE6"/>
    <w:rsid w:val="0009678A"/>
    <w:rsid w:val="00096AC8"/>
    <w:rsid w:val="000970DF"/>
    <w:rsid w:val="00097989"/>
    <w:rsid w:val="00097CCA"/>
    <w:rsid w:val="000A0883"/>
    <w:rsid w:val="000A0B6A"/>
    <w:rsid w:val="000A0BC3"/>
    <w:rsid w:val="000A1569"/>
    <w:rsid w:val="000A1ED6"/>
    <w:rsid w:val="000A2C36"/>
    <w:rsid w:val="000A2FE3"/>
    <w:rsid w:val="000A32B5"/>
    <w:rsid w:val="000A3640"/>
    <w:rsid w:val="000A3C2F"/>
    <w:rsid w:val="000A4343"/>
    <w:rsid w:val="000A4AC4"/>
    <w:rsid w:val="000A4EDF"/>
    <w:rsid w:val="000A504A"/>
    <w:rsid w:val="000A5460"/>
    <w:rsid w:val="000A55F9"/>
    <w:rsid w:val="000A5C21"/>
    <w:rsid w:val="000A5D82"/>
    <w:rsid w:val="000A6459"/>
    <w:rsid w:val="000A6A0B"/>
    <w:rsid w:val="000A6F7A"/>
    <w:rsid w:val="000A7106"/>
    <w:rsid w:val="000A7461"/>
    <w:rsid w:val="000A76B9"/>
    <w:rsid w:val="000A79D8"/>
    <w:rsid w:val="000A7ECF"/>
    <w:rsid w:val="000B01EC"/>
    <w:rsid w:val="000B03F7"/>
    <w:rsid w:val="000B08E1"/>
    <w:rsid w:val="000B0B51"/>
    <w:rsid w:val="000B0C0C"/>
    <w:rsid w:val="000B1200"/>
    <w:rsid w:val="000B1F32"/>
    <w:rsid w:val="000B20E2"/>
    <w:rsid w:val="000B2842"/>
    <w:rsid w:val="000B28D9"/>
    <w:rsid w:val="000B2BF2"/>
    <w:rsid w:val="000B3894"/>
    <w:rsid w:val="000B3CC6"/>
    <w:rsid w:val="000B3D8D"/>
    <w:rsid w:val="000B41E1"/>
    <w:rsid w:val="000B4D22"/>
    <w:rsid w:val="000B4D43"/>
    <w:rsid w:val="000B533F"/>
    <w:rsid w:val="000B5758"/>
    <w:rsid w:val="000B59CC"/>
    <w:rsid w:val="000B5E08"/>
    <w:rsid w:val="000B5F53"/>
    <w:rsid w:val="000B5FA3"/>
    <w:rsid w:val="000B636C"/>
    <w:rsid w:val="000B65D6"/>
    <w:rsid w:val="000B6A0F"/>
    <w:rsid w:val="000B6A58"/>
    <w:rsid w:val="000B6F26"/>
    <w:rsid w:val="000B73A6"/>
    <w:rsid w:val="000B77B4"/>
    <w:rsid w:val="000B794C"/>
    <w:rsid w:val="000C04A0"/>
    <w:rsid w:val="000C0613"/>
    <w:rsid w:val="000C15EB"/>
    <w:rsid w:val="000C162E"/>
    <w:rsid w:val="000C192E"/>
    <w:rsid w:val="000C1FC8"/>
    <w:rsid w:val="000C1FD1"/>
    <w:rsid w:val="000C2135"/>
    <w:rsid w:val="000C2916"/>
    <w:rsid w:val="000C2AAD"/>
    <w:rsid w:val="000C3455"/>
    <w:rsid w:val="000C347C"/>
    <w:rsid w:val="000C38EC"/>
    <w:rsid w:val="000C3A31"/>
    <w:rsid w:val="000C3CEC"/>
    <w:rsid w:val="000C3E82"/>
    <w:rsid w:val="000C46B7"/>
    <w:rsid w:val="000C4936"/>
    <w:rsid w:val="000C49E8"/>
    <w:rsid w:val="000C4BEC"/>
    <w:rsid w:val="000C4F4A"/>
    <w:rsid w:val="000C5929"/>
    <w:rsid w:val="000C5DE0"/>
    <w:rsid w:val="000C5FF6"/>
    <w:rsid w:val="000C66CE"/>
    <w:rsid w:val="000C676C"/>
    <w:rsid w:val="000C6A7B"/>
    <w:rsid w:val="000C6F96"/>
    <w:rsid w:val="000C7165"/>
    <w:rsid w:val="000C7421"/>
    <w:rsid w:val="000C7A75"/>
    <w:rsid w:val="000C7AE8"/>
    <w:rsid w:val="000C7BAA"/>
    <w:rsid w:val="000D020B"/>
    <w:rsid w:val="000D0212"/>
    <w:rsid w:val="000D05BF"/>
    <w:rsid w:val="000D0AAC"/>
    <w:rsid w:val="000D1C91"/>
    <w:rsid w:val="000D1CE2"/>
    <w:rsid w:val="000D2183"/>
    <w:rsid w:val="000D249F"/>
    <w:rsid w:val="000D266A"/>
    <w:rsid w:val="000D2FE0"/>
    <w:rsid w:val="000D35B3"/>
    <w:rsid w:val="000D39EE"/>
    <w:rsid w:val="000D3BB9"/>
    <w:rsid w:val="000D3FCA"/>
    <w:rsid w:val="000D4012"/>
    <w:rsid w:val="000D413A"/>
    <w:rsid w:val="000D4BF3"/>
    <w:rsid w:val="000D4E5A"/>
    <w:rsid w:val="000D5625"/>
    <w:rsid w:val="000D5B14"/>
    <w:rsid w:val="000D5BA5"/>
    <w:rsid w:val="000D60B9"/>
    <w:rsid w:val="000D61E5"/>
    <w:rsid w:val="000D63A5"/>
    <w:rsid w:val="000D660A"/>
    <w:rsid w:val="000D6698"/>
    <w:rsid w:val="000D66EF"/>
    <w:rsid w:val="000D6884"/>
    <w:rsid w:val="000D7137"/>
    <w:rsid w:val="000D7260"/>
    <w:rsid w:val="000D72FB"/>
    <w:rsid w:val="000D74D7"/>
    <w:rsid w:val="000D782B"/>
    <w:rsid w:val="000D7BC9"/>
    <w:rsid w:val="000D7FA1"/>
    <w:rsid w:val="000E026F"/>
    <w:rsid w:val="000E02EE"/>
    <w:rsid w:val="000E1D10"/>
    <w:rsid w:val="000E1E12"/>
    <w:rsid w:val="000E22BE"/>
    <w:rsid w:val="000E26D9"/>
    <w:rsid w:val="000E281E"/>
    <w:rsid w:val="000E2C75"/>
    <w:rsid w:val="000E2E3C"/>
    <w:rsid w:val="000E3117"/>
    <w:rsid w:val="000E3311"/>
    <w:rsid w:val="000E356B"/>
    <w:rsid w:val="000E3ECE"/>
    <w:rsid w:val="000E4464"/>
    <w:rsid w:val="000E49EE"/>
    <w:rsid w:val="000E4E74"/>
    <w:rsid w:val="000E5117"/>
    <w:rsid w:val="000E5196"/>
    <w:rsid w:val="000E51AF"/>
    <w:rsid w:val="000E53B2"/>
    <w:rsid w:val="000E54AE"/>
    <w:rsid w:val="000E5788"/>
    <w:rsid w:val="000E5821"/>
    <w:rsid w:val="000E631B"/>
    <w:rsid w:val="000E66BE"/>
    <w:rsid w:val="000E74FA"/>
    <w:rsid w:val="000E7EB0"/>
    <w:rsid w:val="000E7FA0"/>
    <w:rsid w:val="000F059D"/>
    <w:rsid w:val="000F1038"/>
    <w:rsid w:val="000F1A4B"/>
    <w:rsid w:val="000F2095"/>
    <w:rsid w:val="000F2968"/>
    <w:rsid w:val="000F2DF3"/>
    <w:rsid w:val="000F3321"/>
    <w:rsid w:val="000F33D4"/>
    <w:rsid w:val="000F3473"/>
    <w:rsid w:val="000F3516"/>
    <w:rsid w:val="000F3A23"/>
    <w:rsid w:val="000F415A"/>
    <w:rsid w:val="000F442F"/>
    <w:rsid w:val="000F53E6"/>
    <w:rsid w:val="000F57B8"/>
    <w:rsid w:val="000F5D6B"/>
    <w:rsid w:val="000F602F"/>
    <w:rsid w:val="000F649B"/>
    <w:rsid w:val="000F65CA"/>
    <w:rsid w:val="000F6792"/>
    <w:rsid w:val="000F6918"/>
    <w:rsid w:val="000F763A"/>
    <w:rsid w:val="000F7737"/>
    <w:rsid w:val="00100067"/>
    <w:rsid w:val="001006E0"/>
    <w:rsid w:val="0010082B"/>
    <w:rsid w:val="0010098C"/>
    <w:rsid w:val="00101485"/>
    <w:rsid w:val="0010165D"/>
    <w:rsid w:val="0010226A"/>
    <w:rsid w:val="001028BA"/>
    <w:rsid w:val="001046F5"/>
    <w:rsid w:val="00104F72"/>
    <w:rsid w:val="00105165"/>
    <w:rsid w:val="0010523E"/>
    <w:rsid w:val="00105478"/>
    <w:rsid w:val="0010585D"/>
    <w:rsid w:val="001065F5"/>
    <w:rsid w:val="00106953"/>
    <w:rsid w:val="00106B10"/>
    <w:rsid w:val="00107A4B"/>
    <w:rsid w:val="00107EE9"/>
    <w:rsid w:val="00107FB5"/>
    <w:rsid w:val="001107E8"/>
    <w:rsid w:val="001108B9"/>
    <w:rsid w:val="00110A04"/>
    <w:rsid w:val="00111115"/>
    <w:rsid w:val="00111707"/>
    <w:rsid w:val="0011188D"/>
    <w:rsid w:val="0011194E"/>
    <w:rsid w:val="00111FA7"/>
    <w:rsid w:val="001122C0"/>
    <w:rsid w:val="00112491"/>
    <w:rsid w:val="00112E96"/>
    <w:rsid w:val="00113418"/>
    <w:rsid w:val="00113854"/>
    <w:rsid w:val="00113BEB"/>
    <w:rsid w:val="00114EA4"/>
    <w:rsid w:val="001152E7"/>
    <w:rsid w:val="00115DA1"/>
    <w:rsid w:val="001165D8"/>
    <w:rsid w:val="001166EE"/>
    <w:rsid w:val="00116C1C"/>
    <w:rsid w:val="001171B7"/>
    <w:rsid w:val="00117650"/>
    <w:rsid w:val="00117820"/>
    <w:rsid w:val="00120295"/>
    <w:rsid w:val="00120622"/>
    <w:rsid w:val="001219C2"/>
    <w:rsid w:val="00121AFE"/>
    <w:rsid w:val="00121C25"/>
    <w:rsid w:val="00121DA9"/>
    <w:rsid w:val="00121E03"/>
    <w:rsid w:val="00122015"/>
    <w:rsid w:val="001221A3"/>
    <w:rsid w:val="001224C4"/>
    <w:rsid w:val="00123026"/>
    <w:rsid w:val="001231B4"/>
    <w:rsid w:val="001231C5"/>
    <w:rsid w:val="001238EF"/>
    <w:rsid w:val="00123E8D"/>
    <w:rsid w:val="00124AAB"/>
    <w:rsid w:val="00124AF8"/>
    <w:rsid w:val="00124B89"/>
    <w:rsid w:val="001254CA"/>
    <w:rsid w:val="00125B6C"/>
    <w:rsid w:val="00125C62"/>
    <w:rsid w:val="00126A44"/>
    <w:rsid w:val="00126E99"/>
    <w:rsid w:val="0012703C"/>
    <w:rsid w:val="00130A7C"/>
    <w:rsid w:val="00130D46"/>
    <w:rsid w:val="001317BC"/>
    <w:rsid w:val="001322AD"/>
    <w:rsid w:val="0013336F"/>
    <w:rsid w:val="00133701"/>
    <w:rsid w:val="001341E5"/>
    <w:rsid w:val="00134374"/>
    <w:rsid w:val="00134418"/>
    <w:rsid w:val="00135336"/>
    <w:rsid w:val="00135C23"/>
    <w:rsid w:val="00135DF9"/>
    <w:rsid w:val="0013602A"/>
    <w:rsid w:val="001361F7"/>
    <w:rsid w:val="001368C0"/>
    <w:rsid w:val="00136AF4"/>
    <w:rsid w:val="0013705A"/>
    <w:rsid w:val="00137D31"/>
    <w:rsid w:val="001409CD"/>
    <w:rsid w:val="0014103E"/>
    <w:rsid w:val="0014109F"/>
    <w:rsid w:val="001415BD"/>
    <w:rsid w:val="0014179A"/>
    <w:rsid w:val="00141BB4"/>
    <w:rsid w:val="00141FEE"/>
    <w:rsid w:val="001421B9"/>
    <w:rsid w:val="001423D1"/>
    <w:rsid w:val="00142821"/>
    <w:rsid w:val="00142969"/>
    <w:rsid w:val="00143243"/>
    <w:rsid w:val="0014355E"/>
    <w:rsid w:val="00143783"/>
    <w:rsid w:val="00144365"/>
    <w:rsid w:val="00144474"/>
    <w:rsid w:val="00144626"/>
    <w:rsid w:val="00144D8E"/>
    <w:rsid w:val="00144E06"/>
    <w:rsid w:val="00145594"/>
    <w:rsid w:val="00146A67"/>
    <w:rsid w:val="00146EFE"/>
    <w:rsid w:val="00147909"/>
    <w:rsid w:val="001501C3"/>
    <w:rsid w:val="00150262"/>
    <w:rsid w:val="00150336"/>
    <w:rsid w:val="00150D58"/>
    <w:rsid w:val="0015129A"/>
    <w:rsid w:val="0015161D"/>
    <w:rsid w:val="00151EB5"/>
    <w:rsid w:val="00153872"/>
    <w:rsid w:val="00153F2C"/>
    <w:rsid w:val="0015406B"/>
    <w:rsid w:val="0015434E"/>
    <w:rsid w:val="0015482D"/>
    <w:rsid w:val="00154B24"/>
    <w:rsid w:val="0015504E"/>
    <w:rsid w:val="00155649"/>
    <w:rsid w:val="00155E98"/>
    <w:rsid w:val="00156565"/>
    <w:rsid w:val="00156A96"/>
    <w:rsid w:val="00156C8F"/>
    <w:rsid w:val="00157500"/>
    <w:rsid w:val="00157547"/>
    <w:rsid w:val="00157B7F"/>
    <w:rsid w:val="001602F0"/>
    <w:rsid w:val="0016067A"/>
    <w:rsid w:val="00160994"/>
    <w:rsid w:val="001609EB"/>
    <w:rsid w:val="00161C92"/>
    <w:rsid w:val="00161D39"/>
    <w:rsid w:val="00162244"/>
    <w:rsid w:val="00162606"/>
    <w:rsid w:val="001629F8"/>
    <w:rsid w:val="00162B9C"/>
    <w:rsid w:val="00163244"/>
    <w:rsid w:val="001632C9"/>
    <w:rsid w:val="00163B86"/>
    <w:rsid w:val="001642BF"/>
    <w:rsid w:val="001643F4"/>
    <w:rsid w:val="001645B3"/>
    <w:rsid w:val="00164729"/>
    <w:rsid w:val="00164B73"/>
    <w:rsid w:val="00164B97"/>
    <w:rsid w:val="00164BFF"/>
    <w:rsid w:val="00164FBE"/>
    <w:rsid w:val="00165589"/>
    <w:rsid w:val="0016576D"/>
    <w:rsid w:val="00165AE0"/>
    <w:rsid w:val="00167246"/>
    <w:rsid w:val="00167521"/>
    <w:rsid w:val="001678BA"/>
    <w:rsid w:val="00167A3B"/>
    <w:rsid w:val="00167C38"/>
    <w:rsid w:val="00167E29"/>
    <w:rsid w:val="00167FC1"/>
    <w:rsid w:val="00170FBD"/>
    <w:rsid w:val="00171E7C"/>
    <w:rsid w:val="00171FA2"/>
    <w:rsid w:val="00172326"/>
    <w:rsid w:val="0017265E"/>
    <w:rsid w:val="00172A42"/>
    <w:rsid w:val="00172FA8"/>
    <w:rsid w:val="001735A1"/>
    <w:rsid w:val="001736C2"/>
    <w:rsid w:val="00173717"/>
    <w:rsid w:val="00173AE3"/>
    <w:rsid w:val="00173CB6"/>
    <w:rsid w:val="00173EFE"/>
    <w:rsid w:val="00174BFA"/>
    <w:rsid w:val="00174FF5"/>
    <w:rsid w:val="001751A7"/>
    <w:rsid w:val="00175207"/>
    <w:rsid w:val="0017559D"/>
    <w:rsid w:val="00175940"/>
    <w:rsid w:val="00175C13"/>
    <w:rsid w:val="0017679F"/>
    <w:rsid w:val="0017690B"/>
    <w:rsid w:val="00176A0F"/>
    <w:rsid w:val="001777FA"/>
    <w:rsid w:val="0018048F"/>
    <w:rsid w:val="00180C27"/>
    <w:rsid w:val="00181716"/>
    <w:rsid w:val="0018207D"/>
    <w:rsid w:val="0018224C"/>
    <w:rsid w:val="00183691"/>
    <w:rsid w:val="00183962"/>
    <w:rsid w:val="0018402E"/>
    <w:rsid w:val="00184058"/>
    <w:rsid w:val="001846C6"/>
    <w:rsid w:val="0018481F"/>
    <w:rsid w:val="00184872"/>
    <w:rsid w:val="00184D95"/>
    <w:rsid w:val="001862F1"/>
    <w:rsid w:val="001866AC"/>
    <w:rsid w:val="00187265"/>
    <w:rsid w:val="0018732E"/>
    <w:rsid w:val="0018757E"/>
    <w:rsid w:val="001906EC"/>
    <w:rsid w:val="00190A9C"/>
    <w:rsid w:val="0019157F"/>
    <w:rsid w:val="00191BA3"/>
    <w:rsid w:val="00192246"/>
    <w:rsid w:val="00192405"/>
    <w:rsid w:val="001926F0"/>
    <w:rsid w:val="0019292E"/>
    <w:rsid w:val="00192BC3"/>
    <w:rsid w:val="0019390A"/>
    <w:rsid w:val="00194958"/>
    <w:rsid w:val="00194E6F"/>
    <w:rsid w:val="00195E79"/>
    <w:rsid w:val="0019619A"/>
    <w:rsid w:val="00197613"/>
    <w:rsid w:val="001977CD"/>
    <w:rsid w:val="00197A28"/>
    <w:rsid w:val="00197C9E"/>
    <w:rsid w:val="00197D00"/>
    <w:rsid w:val="001A0185"/>
    <w:rsid w:val="001A0B92"/>
    <w:rsid w:val="001A0BBC"/>
    <w:rsid w:val="001A0D90"/>
    <w:rsid w:val="001A0DBA"/>
    <w:rsid w:val="001A0FF0"/>
    <w:rsid w:val="001A1BEF"/>
    <w:rsid w:val="001A25BD"/>
    <w:rsid w:val="001A273E"/>
    <w:rsid w:val="001A30C7"/>
    <w:rsid w:val="001A31FD"/>
    <w:rsid w:val="001A3237"/>
    <w:rsid w:val="001A3D5E"/>
    <w:rsid w:val="001A3E7B"/>
    <w:rsid w:val="001A416E"/>
    <w:rsid w:val="001A429B"/>
    <w:rsid w:val="001A45CD"/>
    <w:rsid w:val="001A470F"/>
    <w:rsid w:val="001A5773"/>
    <w:rsid w:val="001A59A5"/>
    <w:rsid w:val="001A66B3"/>
    <w:rsid w:val="001A6A0A"/>
    <w:rsid w:val="001A6A1F"/>
    <w:rsid w:val="001A6CA9"/>
    <w:rsid w:val="001A713C"/>
    <w:rsid w:val="001A7437"/>
    <w:rsid w:val="001A7ACB"/>
    <w:rsid w:val="001A7C50"/>
    <w:rsid w:val="001B0382"/>
    <w:rsid w:val="001B1829"/>
    <w:rsid w:val="001B185C"/>
    <w:rsid w:val="001B1CB3"/>
    <w:rsid w:val="001B22FD"/>
    <w:rsid w:val="001B230A"/>
    <w:rsid w:val="001B2AC1"/>
    <w:rsid w:val="001B3347"/>
    <w:rsid w:val="001B3362"/>
    <w:rsid w:val="001B3A89"/>
    <w:rsid w:val="001B3EFF"/>
    <w:rsid w:val="001B40C1"/>
    <w:rsid w:val="001B41B0"/>
    <w:rsid w:val="001B45BC"/>
    <w:rsid w:val="001B5B89"/>
    <w:rsid w:val="001B625C"/>
    <w:rsid w:val="001B6961"/>
    <w:rsid w:val="001B6D91"/>
    <w:rsid w:val="001B6EE8"/>
    <w:rsid w:val="001B756F"/>
    <w:rsid w:val="001B777F"/>
    <w:rsid w:val="001B7E98"/>
    <w:rsid w:val="001C09CF"/>
    <w:rsid w:val="001C0E9F"/>
    <w:rsid w:val="001C1552"/>
    <w:rsid w:val="001C17ED"/>
    <w:rsid w:val="001C1A05"/>
    <w:rsid w:val="001C1A72"/>
    <w:rsid w:val="001C1ADF"/>
    <w:rsid w:val="001C1C92"/>
    <w:rsid w:val="001C1EEC"/>
    <w:rsid w:val="001C2057"/>
    <w:rsid w:val="001C250C"/>
    <w:rsid w:val="001C292A"/>
    <w:rsid w:val="001C315D"/>
    <w:rsid w:val="001C3632"/>
    <w:rsid w:val="001C4511"/>
    <w:rsid w:val="001C4598"/>
    <w:rsid w:val="001C5B20"/>
    <w:rsid w:val="001C5D2A"/>
    <w:rsid w:val="001C5ECA"/>
    <w:rsid w:val="001C5EF4"/>
    <w:rsid w:val="001C6354"/>
    <w:rsid w:val="001C656C"/>
    <w:rsid w:val="001C77A8"/>
    <w:rsid w:val="001C7C2E"/>
    <w:rsid w:val="001C7C6C"/>
    <w:rsid w:val="001D0C34"/>
    <w:rsid w:val="001D0D37"/>
    <w:rsid w:val="001D1207"/>
    <w:rsid w:val="001D14FD"/>
    <w:rsid w:val="001D1664"/>
    <w:rsid w:val="001D1698"/>
    <w:rsid w:val="001D20A7"/>
    <w:rsid w:val="001D2F7E"/>
    <w:rsid w:val="001D2FF7"/>
    <w:rsid w:val="001D37A7"/>
    <w:rsid w:val="001D3A12"/>
    <w:rsid w:val="001D3C9F"/>
    <w:rsid w:val="001D446A"/>
    <w:rsid w:val="001D503B"/>
    <w:rsid w:val="001D5622"/>
    <w:rsid w:val="001D5812"/>
    <w:rsid w:val="001D58AF"/>
    <w:rsid w:val="001D5A2D"/>
    <w:rsid w:val="001D5D0D"/>
    <w:rsid w:val="001D66CE"/>
    <w:rsid w:val="001D68DC"/>
    <w:rsid w:val="001D6A7B"/>
    <w:rsid w:val="001D73A7"/>
    <w:rsid w:val="001D762A"/>
    <w:rsid w:val="001D7B18"/>
    <w:rsid w:val="001E02E3"/>
    <w:rsid w:val="001E055C"/>
    <w:rsid w:val="001E1193"/>
    <w:rsid w:val="001E12CE"/>
    <w:rsid w:val="001E132F"/>
    <w:rsid w:val="001E150E"/>
    <w:rsid w:val="001E15E3"/>
    <w:rsid w:val="001E16C4"/>
    <w:rsid w:val="001E1741"/>
    <w:rsid w:val="001E1ACA"/>
    <w:rsid w:val="001E1B63"/>
    <w:rsid w:val="001E1FEE"/>
    <w:rsid w:val="001E25BF"/>
    <w:rsid w:val="001E2B00"/>
    <w:rsid w:val="001E3422"/>
    <w:rsid w:val="001E34C9"/>
    <w:rsid w:val="001E3DD1"/>
    <w:rsid w:val="001E40F8"/>
    <w:rsid w:val="001E4D8D"/>
    <w:rsid w:val="001E5161"/>
    <w:rsid w:val="001E6DA8"/>
    <w:rsid w:val="001E74CD"/>
    <w:rsid w:val="001F08EA"/>
    <w:rsid w:val="001F0D13"/>
    <w:rsid w:val="001F116E"/>
    <w:rsid w:val="001F11F8"/>
    <w:rsid w:val="001F18E1"/>
    <w:rsid w:val="001F2ED0"/>
    <w:rsid w:val="001F32CA"/>
    <w:rsid w:val="001F36BE"/>
    <w:rsid w:val="001F36BF"/>
    <w:rsid w:val="001F3CAD"/>
    <w:rsid w:val="001F3D90"/>
    <w:rsid w:val="001F493B"/>
    <w:rsid w:val="001F4A76"/>
    <w:rsid w:val="001F567D"/>
    <w:rsid w:val="001F5EF1"/>
    <w:rsid w:val="001F5F45"/>
    <w:rsid w:val="001F6472"/>
    <w:rsid w:val="001F647A"/>
    <w:rsid w:val="001F64B2"/>
    <w:rsid w:val="001F6960"/>
    <w:rsid w:val="001F6C69"/>
    <w:rsid w:val="001F6D0E"/>
    <w:rsid w:val="001F6EEC"/>
    <w:rsid w:val="001F70C1"/>
    <w:rsid w:val="001F70D2"/>
    <w:rsid w:val="001F742D"/>
    <w:rsid w:val="001F7560"/>
    <w:rsid w:val="001F7C7A"/>
    <w:rsid w:val="002000A6"/>
    <w:rsid w:val="00200307"/>
    <w:rsid w:val="00200471"/>
    <w:rsid w:val="00200D16"/>
    <w:rsid w:val="0020102C"/>
    <w:rsid w:val="00201982"/>
    <w:rsid w:val="00201F9F"/>
    <w:rsid w:val="00202A52"/>
    <w:rsid w:val="00202B08"/>
    <w:rsid w:val="00202E20"/>
    <w:rsid w:val="0020319F"/>
    <w:rsid w:val="002037D5"/>
    <w:rsid w:val="002039D0"/>
    <w:rsid w:val="002039EF"/>
    <w:rsid w:val="00203DC8"/>
    <w:rsid w:val="00203E21"/>
    <w:rsid w:val="00203ED0"/>
    <w:rsid w:val="0020446F"/>
    <w:rsid w:val="00204D6A"/>
    <w:rsid w:val="00204E91"/>
    <w:rsid w:val="00204EC5"/>
    <w:rsid w:val="00205001"/>
    <w:rsid w:val="00205251"/>
    <w:rsid w:val="00205273"/>
    <w:rsid w:val="00205A4D"/>
    <w:rsid w:val="00205C2C"/>
    <w:rsid w:val="00205FA2"/>
    <w:rsid w:val="002060C3"/>
    <w:rsid w:val="00206154"/>
    <w:rsid w:val="00206246"/>
    <w:rsid w:val="0020707D"/>
    <w:rsid w:val="002071D9"/>
    <w:rsid w:val="00207576"/>
    <w:rsid w:val="00207CF4"/>
    <w:rsid w:val="00207E97"/>
    <w:rsid w:val="002107C6"/>
    <w:rsid w:val="00210A86"/>
    <w:rsid w:val="00210F51"/>
    <w:rsid w:val="0021108A"/>
    <w:rsid w:val="00211169"/>
    <w:rsid w:val="0021141A"/>
    <w:rsid w:val="00211596"/>
    <w:rsid w:val="00211D18"/>
    <w:rsid w:val="00211EFC"/>
    <w:rsid w:val="00212354"/>
    <w:rsid w:val="00212908"/>
    <w:rsid w:val="0021292D"/>
    <w:rsid w:val="00213101"/>
    <w:rsid w:val="002134AD"/>
    <w:rsid w:val="00214192"/>
    <w:rsid w:val="00214595"/>
    <w:rsid w:val="002148A5"/>
    <w:rsid w:val="00214C51"/>
    <w:rsid w:val="00214C52"/>
    <w:rsid w:val="00215382"/>
    <w:rsid w:val="00215413"/>
    <w:rsid w:val="002157D7"/>
    <w:rsid w:val="002159CB"/>
    <w:rsid w:val="00215C83"/>
    <w:rsid w:val="00215E58"/>
    <w:rsid w:val="00215E81"/>
    <w:rsid w:val="00215E8A"/>
    <w:rsid w:val="00215F60"/>
    <w:rsid w:val="00215FA0"/>
    <w:rsid w:val="0021612B"/>
    <w:rsid w:val="002167B9"/>
    <w:rsid w:val="00216D73"/>
    <w:rsid w:val="00217214"/>
    <w:rsid w:val="002176CF"/>
    <w:rsid w:val="0022042F"/>
    <w:rsid w:val="00220743"/>
    <w:rsid w:val="002209CF"/>
    <w:rsid w:val="00220D80"/>
    <w:rsid w:val="00221D65"/>
    <w:rsid w:val="002220E5"/>
    <w:rsid w:val="0022257E"/>
    <w:rsid w:val="002226EB"/>
    <w:rsid w:val="00222756"/>
    <w:rsid w:val="002227EE"/>
    <w:rsid w:val="00222BAD"/>
    <w:rsid w:val="00222C55"/>
    <w:rsid w:val="00222F41"/>
    <w:rsid w:val="00222F5A"/>
    <w:rsid w:val="002234FB"/>
    <w:rsid w:val="00223509"/>
    <w:rsid w:val="0022370B"/>
    <w:rsid w:val="00223AC0"/>
    <w:rsid w:val="00223F6F"/>
    <w:rsid w:val="002245B3"/>
    <w:rsid w:val="00224AAF"/>
    <w:rsid w:val="00224B03"/>
    <w:rsid w:val="0022534D"/>
    <w:rsid w:val="002259F8"/>
    <w:rsid w:val="00225EC7"/>
    <w:rsid w:val="002264D5"/>
    <w:rsid w:val="00226760"/>
    <w:rsid w:val="00226D4E"/>
    <w:rsid w:val="00227937"/>
    <w:rsid w:val="00227D80"/>
    <w:rsid w:val="00230273"/>
    <w:rsid w:val="002304C7"/>
    <w:rsid w:val="0023079F"/>
    <w:rsid w:val="002307A5"/>
    <w:rsid w:val="00230B26"/>
    <w:rsid w:val="00230B51"/>
    <w:rsid w:val="00230CA6"/>
    <w:rsid w:val="00230D9B"/>
    <w:rsid w:val="0023269F"/>
    <w:rsid w:val="00232FAF"/>
    <w:rsid w:val="002330C0"/>
    <w:rsid w:val="00233A11"/>
    <w:rsid w:val="00233CAD"/>
    <w:rsid w:val="00233DC7"/>
    <w:rsid w:val="002343B2"/>
    <w:rsid w:val="00234724"/>
    <w:rsid w:val="00234A5C"/>
    <w:rsid w:val="00234F36"/>
    <w:rsid w:val="00234F9F"/>
    <w:rsid w:val="00235161"/>
    <w:rsid w:val="002351E2"/>
    <w:rsid w:val="002358D5"/>
    <w:rsid w:val="002359C2"/>
    <w:rsid w:val="00236C7F"/>
    <w:rsid w:val="002373F9"/>
    <w:rsid w:val="0023745B"/>
    <w:rsid w:val="002375F2"/>
    <w:rsid w:val="00237BD6"/>
    <w:rsid w:val="00240097"/>
    <w:rsid w:val="002400AD"/>
    <w:rsid w:val="002400F6"/>
    <w:rsid w:val="002410EC"/>
    <w:rsid w:val="0024159D"/>
    <w:rsid w:val="00241C7F"/>
    <w:rsid w:val="00241D85"/>
    <w:rsid w:val="00241F75"/>
    <w:rsid w:val="00242075"/>
    <w:rsid w:val="0024241D"/>
    <w:rsid w:val="00242714"/>
    <w:rsid w:val="00242CEE"/>
    <w:rsid w:val="00242F4C"/>
    <w:rsid w:val="00243BE2"/>
    <w:rsid w:val="0024419A"/>
    <w:rsid w:val="002444A7"/>
    <w:rsid w:val="002448BB"/>
    <w:rsid w:val="002453BC"/>
    <w:rsid w:val="00245548"/>
    <w:rsid w:val="002455F7"/>
    <w:rsid w:val="00245723"/>
    <w:rsid w:val="002459C5"/>
    <w:rsid w:val="00245BF3"/>
    <w:rsid w:val="00246282"/>
    <w:rsid w:val="00246871"/>
    <w:rsid w:val="00246A9A"/>
    <w:rsid w:val="002476FC"/>
    <w:rsid w:val="00247779"/>
    <w:rsid w:val="002478BD"/>
    <w:rsid w:val="0025015D"/>
    <w:rsid w:val="0025034A"/>
    <w:rsid w:val="002504DF"/>
    <w:rsid w:val="002507BB"/>
    <w:rsid w:val="00250859"/>
    <w:rsid w:val="00251147"/>
    <w:rsid w:val="00251AD3"/>
    <w:rsid w:val="002524F9"/>
    <w:rsid w:val="0025256D"/>
    <w:rsid w:val="002532C8"/>
    <w:rsid w:val="0025331A"/>
    <w:rsid w:val="002536C2"/>
    <w:rsid w:val="002548B2"/>
    <w:rsid w:val="00254930"/>
    <w:rsid w:val="00254AE1"/>
    <w:rsid w:val="00254BFD"/>
    <w:rsid w:val="00255210"/>
    <w:rsid w:val="002552EF"/>
    <w:rsid w:val="002555F6"/>
    <w:rsid w:val="0025669B"/>
    <w:rsid w:val="002569FF"/>
    <w:rsid w:val="0025763D"/>
    <w:rsid w:val="00257D79"/>
    <w:rsid w:val="00257FFE"/>
    <w:rsid w:val="002603CF"/>
    <w:rsid w:val="002608F5"/>
    <w:rsid w:val="0026103F"/>
    <w:rsid w:val="00261856"/>
    <w:rsid w:val="00262726"/>
    <w:rsid w:val="00262BCF"/>
    <w:rsid w:val="00262D8B"/>
    <w:rsid w:val="00262F29"/>
    <w:rsid w:val="0026386C"/>
    <w:rsid w:val="00263D32"/>
    <w:rsid w:val="00263EAE"/>
    <w:rsid w:val="00263EE8"/>
    <w:rsid w:val="00263F4F"/>
    <w:rsid w:val="002647A7"/>
    <w:rsid w:val="00264B7E"/>
    <w:rsid w:val="0026533B"/>
    <w:rsid w:val="0026544F"/>
    <w:rsid w:val="002659F4"/>
    <w:rsid w:val="00265B9D"/>
    <w:rsid w:val="00265CEF"/>
    <w:rsid w:val="0026617C"/>
    <w:rsid w:val="00266E34"/>
    <w:rsid w:val="00266F65"/>
    <w:rsid w:val="002672CD"/>
    <w:rsid w:val="0026772E"/>
    <w:rsid w:val="00267DBF"/>
    <w:rsid w:val="00267F20"/>
    <w:rsid w:val="00267FBE"/>
    <w:rsid w:val="002704D9"/>
    <w:rsid w:val="00270D69"/>
    <w:rsid w:val="00270E60"/>
    <w:rsid w:val="00270F7C"/>
    <w:rsid w:val="00271F6B"/>
    <w:rsid w:val="002721A4"/>
    <w:rsid w:val="00273138"/>
    <w:rsid w:val="0027318C"/>
    <w:rsid w:val="0027321A"/>
    <w:rsid w:val="00273E79"/>
    <w:rsid w:val="00274194"/>
    <w:rsid w:val="00274225"/>
    <w:rsid w:val="00274669"/>
    <w:rsid w:val="00274725"/>
    <w:rsid w:val="00275068"/>
    <w:rsid w:val="00275C33"/>
    <w:rsid w:val="002767C3"/>
    <w:rsid w:val="0027695A"/>
    <w:rsid w:val="00276E85"/>
    <w:rsid w:val="002772B5"/>
    <w:rsid w:val="002775B1"/>
    <w:rsid w:val="002777DF"/>
    <w:rsid w:val="00277A35"/>
    <w:rsid w:val="00280350"/>
    <w:rsid w:val="002808DE"/>
    <w:rsid w:val="00280A6A"/>
    <w:rsid w:val="0028126F"/>
    <w:rsid w:val="002818EF"/>
    <w:rsid w:val="00281983"/>
    <w:rsid w:val="00281E5D"/>
    <w:rsid w:val="00281F33"/>
    <w:rsid w:val="002826E1"/>
    <w:rsid w:val="00282F4B"/>
    <w:rsid w:val="0028365E"/>
    <w:rsid w:val="00283F48"/>
    <w:rsid w:val="00283FF9"/>
    <w:rsid w:val="002843CB"/>
    <w:rsid w:val="002846ED"/>
    <w:rsid w:val="0028474F"/>
    <w:rsid w:val="00284ACE"/>
    <w:rsid w:val="00284B0D"/>
    <w:rsid w:val="00284CEE"/>
    <w:rsid w:val="00284D66"/>
    <w:rsid w:val="002855E3"/>
    <w:rsid w:val="002856A3"/>
    <w:rsid w:val="002857AC"/>
    <w:rsid w:val="00285A50"/>
    <w:rsid w:val="00285BEE"/>
    <w:rsid w:val="00285DE4"/>
    <w:rsid w:val="00285EBD"/>
    <w:rsid w:val="00286108"/>
    <w:rsid w:val="002863A9"/>
    <w:rsid w:val="00286478"/>
    <w:rsid w:val="0028657A"/>
    <w:rsid w:val="00286E8A"/>
    <w:rsid w:val="00286FCB"/>
    <w:rsid w:val="00287051"/>
    <w:rsid w:val="00287311"/>
    <w:rsid w:val="00287885"/>
    <w:rsid w:val="002879A4"/>
    <w:rsid w:val="00287A45"/>
    <w:rsid w:val="00287C9B"/>
    <w:rsid w:val="00290281"/>
    <w:rsid w:val="002903A3"/>
    <w:rsid w:val="002904AB"/>
    <w:rsid w:val="00290A70"/>
    <w:rsid w:val="002915EB"/>
    <w:rsid w:val="002917F4"/>
    <w:rsid w:val="002925BF"/>
    <w:rsid w:val="0029264C"/>
    <w:rsid w:val="00292A3B"/>
    <w:rsid w:val="00293F01"/>
    <w:rsid w:val="00294052"/>
    <w:rsid w:val="0029427B"/>
    <w:rsid w:val="002942C5"/>
    <w:rsid w:val="00295207"/>
    <w:rsid w:val="0029533F"/>
    <w:rsid w:val="002954B9"/>
    <w:rsid w:val="0029588E"/>
    <w:rsid w:val="002959EF"/>
    <w:rsid w:val="00295A39"/>
    <w:rsid w:val="00295C44"/>
    <w:rsid w:val="00296056"/>
    <w:rsid w:val="0029618F"/>
    <w:rsid w:val="002963C6"/>
    <w:rsid w:val="002965A9"/>
    <w:rsid w:val="00296705"/>
    <w:rsid w:val="00296B40"/>
    <w:rsid w:val="00296C35"/>
    <w:rsid w:val="00296E0F"/>
    <w:rsid w:val="0029799B"/>
    <w:rsid w:val="00297ABA"/>
    <w:rsid w:val="002A0D19"/>
    <w:rsid w:val="002A0D44"/>
    <w:rsid w:val="002A0D5C"/>
    <w:rsid w:val="002A0F97"/>
    <w:rsid w:val="002A1278"/>
    <w:rsid w:val="002A1338"/>
    <w:rsid w:val="002A14BA"/>
    <w:rsid w:val="002A1C37"/>
    <w:rsid w:val="002A1CF9"/>
    <w:rsid w:val="002A26EE"/>
    <w:rsid w:val="002A2AE0"/>
    <w:rsid w:val="002A2B0D"/>
    <w:rsid w:val="002A3195"/>
    <w:rsid w:val="002A3372"/>
    <w:rsid w:val="002A3BD2"/>
    <w:rsid w:val="002A3BF9"/>
    <w:rsid w:val="002A3C0B"/>
    <w:rsid w:val="002A3FDA"/>
    <w:rsid w:val="002A4158"/>
    <w:rsid w:val="002A45EE"/>
    <w:rsid w:val="002A4727"/>
    <w:rsid w:val="002A4A99"/>
    <w:rsid w:val="002A4E15"/>
    <w:rsid w:val="002A5112"/>
    <w:rsid w:val="002A553A"/>
    <w:rsid w:val="002A5942"/>
    <w:rsid w:val="002A61C7"/>
    <w:rsid w:val="002A64EB"/>
    <w:rsid w:val="002A6510"/>
    <w:rsid w:val="002A69D5"/>
    <w:rsid w:val="002A6A03"/>
    <w:rsid w:val="002A6BE8"/>
    <w:rsid w:val="002A6D5A"/>
    <w:rsid w:val="002A7858"/>
    <w:rsid w:val="002A78BD"/>
    <w:rsid w:val="002B00A5"/>
    <w:rsid w:val="002B0124"/>
    <w:rsid w:val="002B0530"/>
    <w:rsid w:val="002B083F"/>
    <w:rsid w:val="002B0A54"/>
    <w:rsid w:val="002B0BD2"/>
    <w:rsid w:val="002B0F3C"/>
    <w:rsid w:val="002B13AB"/>
    <w:rsid w:val="002B14A0"/>
    <w:rsid w:val="002B15E2"/>
    <w:rsid w:val="002B16F5"/>
    <w:rsid w:val="002B1BD8"/>
    <w:rsid w:val="002B22EF"/>
    <w:rsid w:val="002B24E9"/>
    <w:rsid w:val="002B2894"/>
    <w:rsid w:val="002B2B30"/>
    <w:rsid w:val="002B2E29"/>
    <w:rsid w:val="002B30AF"/>
    <w:rsid w:val="002B34CA"/>
    <w:rsid w:val="002B34D6"/>
    <w:rsid w:val="002B3512"/>
    <w:rsid w:val="002B3A77"/>
    <w:rsid w:val="002B3BC3"/>
    <w:rsid w:val="002B3FFD"/>
    <w:rsid w:val="002B4E64"/>
    <w:rsid w:val="002B4F34"/>
    <w:rsid w:val="002B5727"/>
    <w:rsid w:val="002B5961"/>
    <w:rsid w:val="002B5A6B"/>
    <w:rsid w:val="002B60CC"/>
    <w:rsid w:val="002B637D"/>
    <w:rsid w:val="002B6587"/>
    <w:rsid w:val="002B6F8D"/>
    <w:rsid w:val="002B7438"/>
    <w:rsid w:val="002B79A3"/>
    <w:rsid w:val="002B7C02"/>
    <w:rsid w:val="002C0745"/>
    <w:rsid w:val="002C0972"/>
    <w:rsid w:val="002C1082"/>
    <w:rsid w:val="002C12C4"/>
    <w:rsid w:val="002C144C"/>
    <w:rsid w:val="002C1577"/>
    <w:rsid w:val="002C1BCF"/>
    <w:rsid w:val="002C21AD"/>
    <w:rsid w:val="002C315D"/>
    <w:rsid w:val="002C37B1"/>
    <w:rsid w:val="002C3CF5"/>
    <w:rsid w:val="002C49E8"/>
    <w:rsid w:val="002C4D11"/>
    <w:rsid w:val="002C4EF7"/>
    <w:rsid w:val="002C51E3"/>
    <w:rsid w:val="002C56B6"/>
    <w:rsid w:val="002C593A"/>
    <w:rsid w:val="002C59CB"/>
    <w:rsid w:val="002C5C3D"/>
    <w:rsid w:val="002C5DD3"/>
    <w:rsid w:val="002C6DA0"/>
    <w:rsid w:val="002C7065"/>
    <w:rsid w:val="002C7087"/>
    <w:rsid w:val="002C7366"/>
    <w:rsid w:val="002C7387"/>
    <w:rsid w:val="002C73C3"/>
    <w:rsid w:val="002C7B46"/>
    <w:rsid w:val="002D0155"/>
    <w:rsid w:val="002D0189"/>
    <w:rsid w:val="002D08CC"/>
    <w:rsid w:val="002D1287"/>
    <w:rsid w:val="002D1453"/>
    <w:rsid w:val="002D172E"/>
    <w:rsid w:val="002D1C6E"/>
    <w:rsid w:val="002D2157"/>
    <w:rsid w:val="002D230F"/>
    <w:rsid w:val="002D2692"/>
    <w:rsid w:val="002D293F"/>
    <w:rsid w:val="002D3296"/>
    <w:rsid w:val="002D367C"/>
    <w:rsid w:val="002D3981"/>
    <w:rsid w:val="002D3C9E"/>
    <w:rsid w:val="002D3CAB"/>
    <w:rsid w:val="002D4272"/>
    <w:rsid w:val="002D43E3"/>
    <w:rsid w:val="002D4734"/>
    <w:rsid w:val="002D4849"/>
    <w:rsid w:val="002D4AA2"/>
    <w:rsid w:val="002D54E5"/>
    <w:rsid w:val="002D5A8E"/>
    <w:rsid w:val="002D5B13"/>
    <w:rsid w:val="002D5C84"/>
    <w:rsid w:val="002D5F87"/>
    <w:rsid w:val="002D6BE5"/>
    <w:rsid w:val="002D6C60"/>
    <w:rsid w:val="002D7D32"/>
    <w:rsid w:val="002E00EB"/>
    <w:rsid w:val="002E0173"/>
    <w:rsid w:val="002E0663"/>
    <w:rsid w:val="002E0726"/>
    <w:rsid w:val="002E07F5"/>
    <w:rsid w:val="002E0CB7"/>
    <w:rsid w:val="002E1059"/>
    <w:rsid w:val="002E106B"/>
    <w:rsid w:val="002E10F0"/>
    <w:rsid w:val="002E148E"/>
    <w:rsid w:val="002E1513"/>
    <w:rsid w:val="002E167E"/>
    <w:rsid w:val="002E1CCF"/>
    <w:rsid w:val="002E1E9D"/>
    <w:rsid w:val="002E220C"/>
    <w:rsid w:val="002E2385"/>
    <w:rsid w:val="002E2D07"/>
    <w:rsid w:val="002E2ED8"/>
    <w:rsid w:val="002E3072"/>
    <w:rsid w:val="002E3694"/>
    <w:rsid w:val="002E371D"/>
    <w:rsid w:val="002E3CF5"/>
    <w:rsid w:val="002E4655"/>
    <w:rsid w:val="002E4866"/>
    <w:rsid w:val="002E4DD0"/>
    <w:rsid w:val="002E4F00"/>
    <w:rsid w:val="002E555B"/>
    <w:rsid w:val="002E561A"/>
    <w:rsid w:val="002E5B65"/>
    <w:rsid w:val="002E5C40"/>
    <w:rsid w:val="002E5C84"/>
    <w:rsid w:val="002E6B58"/>
    <w:rsid w:val="002E7069"/>
    <w:rsid w:val="002E70F8"/>
    <w:rsid w:val="002E756E"/>
    <w:rsid w:val="002E758B"/>
    <w:rsid w:val="002E75BA"/>
    <w:rsid w:val="002E7BA9"/>
    <w:rsid w:val="002F03A9"/>
    <w:rsid w:val="002F0BA5"/>
    <w:rsid w:val="002F18A5"/>
    <w:rsid w:val="002F1928"/>
    <w:rsid w:val="002F1A18"/>
    <w:rsid w:val="002F1C93"/>
    <w:rsid w:val="002F1D16"/>
    <w:rsid w:val="002F1EC3"/>
    <w:rsid w:val="002F20EF"/>
    <w:rsid w:val="002F21A5"/>
    <w:rsid w:val="002F2204"/>
    <w:rsid w:val="002F2385"/>
    <w:rsid w:val="002F28C8"/>
    <w:rsid w:val="002F29AE"/>
    <w:rsid w:val="002F2D37"/>
    <w:rsid w:val="002F37B2"/>
    <w:rsid w:val="002F3AE8"/>
    <w:rsid w:val="002F4780"/>
    <w:rsid w:val="002F4C6E"/>
    <w:rsid w:val="002F5C9E"/>
    <w:rsid w:val="002F5D6A"/>
    <w:rsid w:val="002F60A4"/>
    <w:rsid w:val="002F6456"/>
    <w:rsid w:val="002F6ADC"/>
    <w:rsid w:val="002F6AF7"/>
    <w:rsid w:val="002F6CF1"/>
    <w:rsid w:val="002F730C"/>
    <w:rsid w:val="002F77F1"/>
    <w:rsid w:val="002F7A58"/>
    <w:rsid w:val="003003A9"/>
    <w:rsid w:val="003006C9"/>
    <w:rsid w:val="0030074D"/>
    <w:rsid w:val="00300B99"/>
    <w:rsid w:val="0030126C"/>
    <w:rsid w:val="00301533"/>
    <w:rsid w:val="00302046"/>
    <w:rsid w:val="00302617"/>
    <w:rsid w:val="00302ADB"/>
    <w:rsid w:val="00302F4C"/>
    <w:rsid w:val="00304054"/>
    <w:rsid w:val="0030449E"/>
    <w:rsid w:val="0030475A"/>
    <w:rsid w:val="00304D35"/>
    <w:rsid w:val="00304F2A"/>
    <w:rsid w:val="00305CDE"/>
    <w:rsid w:val="0030600B"/>
    <w:rsid w:val="0030652B"/>
    <w:rsid w:val="0030656C"/>
    <w:rsid w:val="00306708"/>
    <w:rsid w:val="00306EA3"/>
    <w:rsid w:val="00306F33"/>
    <w:rsid w:val="00307E24"/>
    <w:rsid w:val="0031017D"/>
    <w:rsid w:val="003105BE"/>
    <w:rsid w:val="003105E6"/>
    <w:rsid w:val="00310A42"/>
    <w:rsid w:val="00310A76"/>
    <w:rsid w:val="00310F89"/>
    <w:rsid w:val="00311AC0"/>
    <w:rsid w:val="00311ADB"/>
    <w:rsid w:val="00311DC4"/>
    <w:rsid w:val="00311DDD"/>
    <w:rsid w:val="003129F6"/>
    <w:rsid w:val="00312CFB"/>
    <w:rsid w:val="0031318A"/>
    <w:rsid w:val="003135F1"/>
    <w:rsid w:val="00314773"/>
    <w:rsid w:val="00314F3E"/>
    <w:rsid w:val="00314F77"/>
    <w:rsid w:val="00314F9C"/>
    <w:rsid w:val="00315B62"/>
    <w:rsid w:val="003165D2"/>
    <w:rsid w:val="00316B05"/>
    <w:rsid w:val="00316EC0"/>
    <w:rsid w:val="003176B5"/>
    <w:rsid w:val="00317722"/>
    <w:rsid w:val="003206D3"/>
    <w:rsid w:val="00320ADA"/>
    <w:rsid w:val="00320D27"/>
    <w:rsid w:val="00320EAE"/>
    <w:rsid w:val="00321D6C"/>
    <w:rsid w:val="00321DAB"/>
    <w:rsid w:val="0032214F"/>
    <w:rsid w:val="0032219B"/>
    <w:rsid w:val="00322245"/>
    <w:rsid w:val="00322CE7"/>
    <w:rsid w:val="00322D41"/>
    <w:rsid w:val="00322E5B"/>
    <w:rsid w:val="0032305C"/>
    <w:rsid w:val="00323436"/>
    <w:rsid w:val="0032380D"/>
    <w:rsid w:val="00323C42"/>
    <w:rsid w:val="00323E1A"/>
    <w:rsid w:val="0032481F"/>
    <w:rsid w:val="003251DE"/>
    <w:rsid w:val="00325885"/>
    <w:rsid w:val="003259C5"/>
    <w:rsid w:val="0032601B"/>
    <w:rsid w:val="00326146"/>
    <w:rsid w:val="00326418"/>
    <w:rsid w:val="0032663F"/>
    <w:rsid w:val="00326DB3"/>
    <w:rsid w:val="003278F6"/>
    <w:rsid w:val="00330538"/>
    <w:rsid w:val="003309D3"/>
    <w:rsid w:val="00330B50"/>
    <w:rsid w:val="00330CB9"/>
    <w:rsid w:val="003318C4"/>
    <w:rsid w:val="00331A34"/>
    <w:rsid w:val="00332040"/>
    <w:rsid w:val="00332476"/>
    <w:rsid w:val="00332512"/>
    <w:rsid w:val="0033275E"/>
    <w:rsid w:val="00332DAC"/>
    <w:rsid w:val="003331E1"/>
    <w:rsid w:val="0033335A"/>
    <w:rsid w:val="0033344A"/>
    <w:rsid w:val="003339AC"/>
    <w:rsid w:val="00333D8B"/>
    <w:rsid w:val="00333E50"/>
    <w:rsid w:val="0033428C"/>
    <w:rsid w:val="0033430A"/>
    <w:rsid w:val="00334695"/>
    <w:rsid w:val="00334804"/>
    <w:rsid w:val="00334AE3"/>
    <w:rsid w:val="00334FA4"/>
    <w:rsid w:val="00335E9E"/>
    <w:rsid w:val="003361A3"/>
    <w:rsid w:val="0033663D"/>
    <w:rsid w:val="00337106"/>
    <w:rsid w:val="003374CE"/>
    <w:rsid w:val="00337504"/>
    <w:rsid w:val="0034004F"/>
    <w:rsid w:val="0034089A"/>
    <w:rsid w:val="0034092C"/>
    <w:rsid w:val="00340A2C"/>
    <w:rsid w:val="003411AE"/>
    <w:rsid w:val="00341666"/>
    <w:rsid w:val="003417FF"/>
    <w:rsid w:val="00341817"/>
    <w:rsid w:val="00341DAC"/>
    <w:rsid w:val="003421EC"/>
    <w:rsid w:val="003423FA"/>
    <w:rsid w:val="00342A49"/>
    <w:rsid w:val="00342DC8"/>
    <w:rsid w:val="0034347C"/>
    <w:rsid w:val="00343481"/>
    <w:rsid w:val="003435B8"/>
    <w:rsid w:val="003435DD"/>
    <w:rsid w:val="00343820"/>
    <w:rsid w:val="00343AEA"/>
    <w:rsid w:val="003440E3"/>
    <w:rsid w:val="003448C7"/>
    <w:rsid w:val="00344FFC"/>
    <w:rsid w:val="003456BF"/>
    <w:rsid w:val="003457AA"/>
    <w:rsid w:val="0034589F"/>
    <w:rsid w:val="00346759"/>
    <w:rsid w:val="003469CF"/>
    <w:rsid w:val="00346B71"/>
    <w:rsid w:val="003470CB"/>
    <w:rsid w:val="003473C9"/>
    <w:rsid w:val="00347BF3"/>
    <w:rsid w:val="00347C9F"/>
    <w:rsid w:val="00347D2C"/>
    <w:rsid w:val="00350077"/>
    <w:rsid w:val="00350414"/>
    <w:rsid w:val="00350B8B"/>
    <w:rsid w:val="00351ECD"/>
    <w:rsid w:val="0035209E"/>
    <w:rsid w:val="00352614"/>
    <w:rsid w:val="003531C0"/>
    <w:rsid w:val="00353452"/>
    <w:rsid w:val="00353461"/>
    <w:rsid w:val="003536EC"/>
    <w:rsid w:val="00353779"/>
    <w:rsid w:val="003538C2"/>
    <w:rsid w:val="00353BBF"/>
    <w:rsid w:val="00354823"/>
    <w:rsid w:val="00354E1E"/>
    <w:rsid w:val="003550D3"/>
    <w:rsid w:val="00355E4D"/>
    <w:rsid w:val="00356436"/>
    <w:rsid w:val="00356787"/>
    <w:rsid w:val="00356880"/>
    <w:rsid w:val="00356DD0"/>
    <w:rsid w:val="00356EE7"/>
    <w:rsid w:val="00357005"/>
    <w:rsid w:val="0035733C"/>
    <w:rsid w:val="003574C1"/>
    <w:rsid w:val="00357611"/>
    <w:rsid w:val="00357692"/>
    <w:rsid w:val="00357D09"/>
    <w:rsid w:val="00357DA6"/>
    <w:rsid w:val="00361053"/>
    <w:rsid w:val="003614BA"/>
    <w:rsid w:val="003614EA"/>
    <w:rsid w:val="00361966"/>
    <w:rsid w:val="00362562"/>
    <w:rsid w:val="003629EF"/>
    <w:rsid w:val="00363173"/>
    <w:rsid w:val="003632A2"/>
    <w:rsid w:val="00363303"/>
    <w:rsid w:val="0036352D"/>
    <w:rsid w:val="00363541"/>
    <w:rsid w:val="003635DD"/>
    <w:rsid w:val="00363D1D"/>
    <w:rsid w:val="00363D4E"/>
    <w:rsid w:val="00363FDC"/>
    <w:rsid w:val="003642DD"/>
    <w:rsid w:val="00364994"/>
    <w:rsid w:val="0036573C"/>
    <w:rsid w:val="00365A8C"/>
    <w:rsid w:val="00365B7E"/>
    <w:rsid w:val="00365F02"/>
    <w:rsid w:val="00366502"/>
    <w:rsid w:val="0036679D"/>
    <w:rsid w:val="00367408"/>
    <w:rsid w:val="00367727"/>
    <w:rsid w:val="003678A9"/>
    <w:rsid w:val="00367D82"/>
    <w:rsid w:val="003711E1"/>
    <w:rsid w:val="00371214"/>
    <w:rsid w:val="00371737"/>
    <w:rsid w:val="00371954"/>
    <w:rsid w:val="00372041"/>
    <w:rsid w:val="00372C79"/>
    <w:rsid w:val="003736AC"/>
    <w:rsid w:val="003741AF"/>
    <w:rsid w:val="003748FD"/>
    <w:rsid w:val="003749C6"/>
    <w:rsid w:val="00374BBE"/>
    <w:rsid w:val="0037630A"/>
    <w:rsid w:val="0037637A"/>
    <w:rsid w:val="0037651F"/>
    <w:rsid w:val="0037668C"/>
    <w:rsid w:val="003766D2"/>
    <w:rsid w:val="0037696E"/>
    <w:rsid w:val="0037726E"/>
    <w:rsid w:val="003774E5"/>
    <w:rsid w:val="00377D18"/>
    <w:rsid w:val="00380955"/>
    <w:rsid w:val="00380F27"/>
    <w:rsid w:val="00381100"/>
    <w:rsid w:val="0038157B"/>
    <w:rsid w:val="0038186C"/>
    <w:rsid w:val="00381A22"/>
    <w:rsid w:val="00381AAA"/>
    <w:rsid w:val="00381BA8"/>
    <w:rsid w:val="00381D77"/>
    <w:rsid w:val="003822BA"/>
    <w:rsid w:val="0038310E"/>
    <w:rsid w:val="00383830"/>
    <w:rsid w:val="00383BAA"/>
    <w:rsid w:val="00384542"/>
    <w:rsid w:val="00384607"/>
    <w:rsid w:val="003853FB"/>
    <w:rsid w:val="00385784"/>
    <w:rsid w:val="0038583F"/>
    <w:rsid w:val="003859C2"/>
    <w:rsid w:val="00385D61"/>
    <w:rsid w:val="0038649F"/>
    <w:rsid w:val="00386865"/>
    <w:rsid w:val="00386984"/>
    <w:rsid w:val="00386A2C"/>
    <w:rsid w:val="00386C6F"/>
    <w:rsid w:val="00386E74"/>
    <w:rsid w:val="00386F16"/>
    <w:rsid w:val="003874AE"/>
    <w:rsid w:val="003878B9"/>
    <w:rsid w:val="00387980"/>
    <w:rsid w:val="00387C45"/>
    <w:rsid w:val="00387F67"/>
    <w:rsid w:val="00390673"/>
    <w:rsid w:val="0039140A"/>
    <w:rsid w:val="003914DB"/>
    <w:rsid w:val="003917B9"/>
    <w:rsid w:val="00391860"/>
    <w:rsid w:val="00391FE9"/>
    <w:rsid w:val="00392131"/>
    <w:rsid w:val="00392420"/>
    <w:rsid w:val="00392699"/>
    <w:rsid w:val="00392A98"/>
    <w:rsid w:val="00392B1E"/>
    <w:rsid w:val="00392FB2"/>
    <w:rsid w:val="00393A32"/>
    <w:rsid w:val="00393AEA"/>
    <w:rsid w:val="00394069"/>
    <w:rsid w:val="00394200"/>
    <w:rsid w:val="003944B6"/>
    <w:rsid w:val="0039455F"/>
    <w:rsid w:val="00394642"/>
    <w:rsid w:val="0039488A"/>
    <w:rsid w:val="00394DF9"/>
    <w:rsid w:val="00395136"/>
    <w:rsid w:val="00395921"/>
    <w:rsid w:val="00395A52"/>
    <w:rsid w:val="00395B66"/>
    <w:rsid w:val="00395BAA"/>
    <w:rsid w:val="00395EC0"/>
    <w:rsid w:val="003961F2"/>
    <w:rsid w:val="003962CF"/>
    <w:rsid w:val="0039636A"/>
    <w:rsid w:val="00396469"/>
    <w:rsid w:val="00396AA3"/>
    <w:rsid w:val="00396E8D"/>
    <w:rsid w:val="003A0154"/>
    <w:rsid w:val="003A0347"/>
    <w:rsid w:val="003A041F"/>
    <w:rsid w:val="003A05BA"/>
    <w:rsid w:val="003A0E45"/>
    <w:rsid w:val="003A126C"/>
    <w:rsid w:val="003A1321"/>
    <w:rsid w:val="003A1752"/>
    <w:rsid w:val="003A1787"/>
    <w:rsid w:val="003A1DBD"/>
    <w:rsid w:val="003A1FF6"/>
    <w:rsid w:val="003A2241"/>
    <w:rsid w:val="003A23BC"/>
    <w:rsid w:val="003A27D4"/>
    <w:rsid w:val="003A323A"/>
    <w:rsid w:val="003A35A4"/>
    <w:rsid w:val="003A3F2C"/>
    <w:rsid w:val="003A4438"/>
    <w:rsid w:val="003A575E"/>
    <w:rsid w:val="003A58E5"/>
    <w:rsid w:val="003A59E5"/>
    <w:rsid w:val="003A5FC3"/>
    <w:rsid w:val="003A6161"/>
    <w:rsid w:val="003A620C"/>
    <w:rsid w:val="003A66E6"/>
    <w:rsid w:val="003A6E08"/>
    <w:rsid w:val="003A7BD5"/>
    <w:rsid w:val="003A7CE2"/>
    <w:rsid w:val="003B01FE"/>
    <w:rsid w:val="003B09FD"/>
    <w:rsid w:val="003B112F"/>
    <w:rsid w:val="003B198A"/>
    <w:rsid w:val="003B1E56"/>
    <w:rsid w:val="003B1F5B"/>
    <w:rsid w:val="003B2360"/>
    <w:rsid w:val="003B2367"/>
    <w:rsid w:val="003B2819"/>
    <w:rsid w:val="003B288B"/>
    <w:rsid w:val="003B2A70"/>
    <w:rsid w:val="003B2CAA"/>
    <w:rsid w:val="003B3A3F"/>
    <w:rsid w:val="003B3AAB"/>
    <w:rsid w:val="003B3B9F"/>
    <w:rsid w:val="003B3F74"/>
    <w:rsid w:val="003B4001"/>
    <w:rsid w:val="003B40BE"/>
    <w:rsid w:val="003B4158"/>
    <w:rsid w:val="003B4AD2"/>
    <w:rsid w:val="003B4DA2"/>
    <w:rsid w:val="003B5043"/>
    <w:rsid w:val="003B528E"/>
    <w:rsid w:val="003B52DE"/>
    <w:rsid w:val="003B536A"/>
    <w:rsid w:val="003B5A0F"/>
    <w:rsid w:val="003B5A53"/>
    <w:rsid w:val="003B5C81"/>
    <w:rsid w:val="003B5F85"/>
    <w:rsid w:val="003B6870"/>
    <w:rsid w:val="003B6A53"/>
    <w:rsid w:val="003B6F16"/>
    <w:rsid w:val="003B6F50"/>
    <w:rsid w:val="003B74F2"/>
    <w:rsid w:val="003B757C"/>
    <w:rsid w:val="003B76BC"/>
    <w:rsid w:val="003C029C"/>
    <w:rsid w:val="003C0852"/>
    <w:rsid w:val="003C0AA3"/>
    <w:rsid w:val="003C112B"/>
    <w:rsid w:val="003C112E"/>
    <w:rsid w:val="003C1440"/>
    <w:rsid w:val="003C17CC"/>
    <w:rsid w:val="003C1AF8"/>
    <w:rsid w:val="003C1FC0"/>
    <w:rsid w:val="003C2C6B"/>
    <w:rsid w:val="003C309E"/>
    <w:rsid w:val="003C3475"/>
    <w:rsid w:val="003C43F2"/>
    <w:rsid w:val="003C44AE"/>
    <w:rsid w:val="003C4F53"/>
    <w:rsid w:val="003C51AD"/>
    <w:rsid w:val="003C5942"/>
    <w:rsid w:val="003C5DDD"/>
    <w:rsid w:val="003C61C2"/>
    <w:rsid w:val="003C6529"/>
    <w:rsid w:val="003C68EE"/>
    <w:rsid w:val="003C69F2"/>
    <w:rsid w:val="003C76CA"/>
    <w:rsid w:val="003C7AC1"/>
    <w:rsid w:val="003C7CD7"/>
    <w:rsid w:val="003D0071"/>
    <w:rsid w:val="003D0386"/>
    <w:rsid w:val="003D03CF"/>
    <w:rsid w:val="003D0547"/>
    <w:rsid w:val="003D07D6"/>
    <w:rsid w:val="003D0A1E"/>
    <w:rsid w:val="003D1306"/>
    <w:rsid w:val="003D175C"/>
    <w:rsid w:val="003D180C"/>
    <w:rsid w:val="003D1CA5"/>
    <w:rsid w:val="003D2D50"/>
    <w:rsid w:val="003D2E52"/>
    <w:rsid w:val="003D31DA"/>
    <w:rsid w:val="003D3816"/>
    <w:rsid w:val="003D38CE"/>
    <w:rsid w:val="003D3902"/>
    <w:rsid w:val="003D41F5"/>
    <w:rsid w:val="003D45B7"/>
    <w:rsid w:val="003D4B14"/>
    <w:rsid w:val="003D4B85"/>
    <w:rsid w:val="003D50FB"/>
    <w:rsid w:val="003D550F"/>
    <w:rsid w:val="003D5761"/>
    <w:rsid w:val="003D582A"/>
    <w:rsid w:val="003D6919"/>
    <w:rsid w:val="003D6E39"/>
    <w:rsid w:val="003D7282"/>
    <w:rsid w:val="003D72B3"/>
    <w:rsid w:val="003D7E02"/>
    <w:rsid w:val="003E02AF"/>
    <w:rsid w:val="003E0D16"/>
    <w:rsid w:val="003E0E06"/>
    <w:rsid w:val="003E1782"/>
    <w:rsid w:val="003E195A"/>
    <w:rsid w:val="003E1B35"/>
    <w:rsid w:val="003E1CD8"/>
    <w:rsid w:val="003E2010"/>
    <w:rsid w:val="003E2288"/>
    <w:rsid w:val="003E2605"/>
    <w:rsid w:val="003E2762"/>
    <w:rsid w:val="003E2A0D"/>
    <w:rsid w:val="003E2D8F"/>
    <w:rsid w:val="003E3315"/>
    <w:rsid w:val="003E3990"/>
    <w:rsid w:val="003E4649"/>
    <w:rsid w:val="003E4E4F"/>
    <w:rsid w:val="003E52EF"/>
    <w:rsid w:val="003E55E8"/>
    <w:rsid w:val="003E6383"/>
    <w:rsid w:val="003E6FD0"/>
    <w:rsid w:val="003E7159"/>
    <w:rsid w:val="003E761A"/>
    <w:rsid w:val="003E76D4"/>
    <w:rsid w:val="003E771C"/>
    <w:rsid w:val="003E776A"/>
    <w:rsid w:val="003F06EA"/>
    <w:rsid w:val="003F08ED"/>
    <w:rsid w:val="003F0B55"/>
    <w:rsid w:val="003F0E9A"/>
    <w:rsid w:val="003F10EA"/>
    <w:rsid w:val="003F1BAA"/>
    <w:rsid w:val="003F211A"/>
    <w:rsid w:val="003F236E"/>
    <w:rsid w:val="003F24CF"/>
    <w:rsid w:val="003F2588"/>
    <w:rsid w:val="003F2739"/>
    <w:rsid w:val="003F2DFE"/>
    <w:rsid w:val="003F2E61"/>
    <w:rsid w:val="003F3313"/>
    <w:rsid w:val="003F364B"/>
    <w:rsid w:val="003F3660"/>
    <w:rsid w:val="003F3A5D"/>
    <w:rsid w:val="003F4573"/>
    <w:rsid w:val="003F5509"/>
    <w:rsid w:val="003F5656"/>
    <w:rsid w:val="003F5B1D"/>
    <w:rsid w:val="003F5BFF"/>
    <w:rsid w:val="003F5EEF"/>
    <w:rsid w:val="003F6098"/>
    <w:rsid w:val="003F6260"/>
    <w:rsid w:val="003F635A"/>
    <w:rsid w:val="003F66B2"/>
    <w:rsid w:val="003F715A"/>
    <w:rsid w:val="003F7582"/>
    <w:rsid w:val="003F786F"/>
    <w:rsid w:val="003F7876"/>
    <w:rsid w:val="003F7B10"/>
    <w:rsid w:val="003F7FDF"/>
    <w:rsid w:val="00400149"/>
    <w:rsid w:val="0040054A"/>
    <w:rsid w:val="00400B2A"/>
    <w:rsid w:val="00400C6B"/>
    <w:rsid w:val="00401387"/>
    <w:rsid w:val="00401807"/>
    <w:rsid w:val="00402AFF"/>
    <w:rsid w:val="00402B46"/>
    <w:rsid w:val="00402C2A"/>
    <w:rsid w:val="00403195"/>
    <w:rsid w:val="00403EDD"/>
    <w:rsid w:val="00404024"/>
    <w:rsid w:val="004040E7"/>
    <w:rsid w:val="00404F63"/>
    <w:rsid w:val="00404FC3"/>
    <w:rsid w:val="00405BC3"/>
    <w:rsid w:val="004060A7"/>
    <w:rsid w:val="0040659B"/>
    <w:rsid w:val="00406AE8"/>
    <w:rsid w:val="00406F4E"/>
    <w:rsid w:val="00407072"/>
    <w:rsid w:val="0040714A"/>
    <w:rsid w:val="00407763"/>
    <w:rsid w:val="0041059E"/>
    <w:rsid w:val="0041075D"/>
    <w:rsid w:val="004108B9"/>
    <w:rsid w:val="00410E25"/>
    <w:rsid w:val="00411A2C"/>
    <w:rsid w:val="00411BF5"/>
    <w:rsid w:val="0041240B"/>
    <w:rsid w:val="00412476"/>
    <w:rsid w:val="004124C5"/>
    <w:rsid w:val="004125FF"/>
    <w:rsid w:val="00413230"/>
    <w:rsid w:val="004134F0"/>
    <w:rsid w:val="00413AB2"/>
    <w:rsid w:val="00413DE3"/>
    <w:rsid w:val="00414A45"/>
    <w:rsid w:val="00414F4E"/>
    <w:rsid w:val="004157D5"/>
    <w:rsid w:val="004158B2"/>
    <w:rsid w:val="00415C0D"/>
    <w:rsid w:val="00415DFB"/>
    <w:rsid w:val="00415E0D"/>
    <w:rsid w:val="00415E49"/>
    <w:rsid w:val="0041618A"/>
    <w:rsid w:val="00416774"/>
    <w:rsid w:val="0041677B"/>
    <w:rsid w:val="00416960"/>
    <w:rsid w:val="00416ED4"/>
    <w:rsid w:val="004175A9"/>
    <w:rsid w:val="00420096"/>
    <w:rsid w:val="004200FA"/>
    <w:rsid w:val="00420715"/>
    <w:rsid w:val="00420A68"/>
    <w:rsid w:val="004213AA"/>
    <w:rsid w:val="00421B21"/>
    <w:rsid w:val="00421E4D"/>
    <w:rsid w:val="004225EE"/>
    <w:rsid w:val="00422B7E"/>
    <w:rsid w:val="004233DE"/>
    <w:rsid w:val="0042386A"/>
    <w:rsid w:val="004238A9"/>
    <w:rsid w:val="00423C4A"/>
    <w:rsid w:val="00424075"/>
    <w:rsid w:val="004244A4"/>
    <w:rsid w:val="004249D0"/>
    <w:rsid w:val="00424A2A"/>
    <w:rsid w:val="00424E71"/>
    <w:rsid w:val="00424F6B"/>
    <w:rsid w:val="00425254"/>
    <w:rsid w:val="00425444"/>
    <w:rsid w:val="00425458"/>
    <w:rsid w:val="004254D3"/>
    <w:rsid w:val="004259BF"/>
    <w:rsid w:val="00425CB2"/>
    <w:rsid w:val="00425D90"/>
    <w:rsid w:val="00426310"/>
    <w:rsid w:val="0042648E"/>
    <w:rsid w:val="00426AC4"/>
    <w:rsid w:val="00426BA7"/>
    <w:rsid w:val="00426C31"/>
    <w:rsid w:val="00427420"/>
    <w:rsid w:val="0042797A"/>
    <w:rsid w:val="00427F85"/>
    <w:rsid w:val="0043023C"/>
    <w:rsid w:val="0043024D"/>
    <w:rsid w:val="00430258"/>
    <w:rsid w:val="0043033F"/>
    <w:rsid w:val="00430371"/>
    <w:rsid w:val="00430AD8"/>
    <w:rsid w:val="00431085"/>
    <w:rsid w:val="004313B5"/>
    <w:rsid w:val="00431D1A"/>
    <w:rsid w:val="00431EE3"/>
    <w:rsid w:val="004325B1"/>
    <w:rsid w:val="00432BF7"/>
    <w:rsid w:val="00432FD4"/>
    <w:rsid w:val="00433377"/>
    <w:rsid w:val="00433809"/>
    <w:rsid w:val="00433AF8"/>
    <w:rsid w:val="00433C51"/>
    <w:rsid w:val="00434711"/>
    <w:rsid w:val="004350F4"/>
    <w:rsid w:val="00435262"/>
    <w:rsid w:val="00435339"/>
    <w:rsid w:val="004354EA"/>
    <w:rsid w:val="00435517"/>
    <w:rsid w:val="0043571B"/>
    <w:rsid w:val="00435824"/>
    <w:rsid w:val="00435C2D"/>
    <w:rsid w:val="00435E1D"/>
    <w:rsid w:val="00436128"/>
    <w:rsid w:val="00436339"/>
    <w:rsid w:val="00436371"/>
    <w:rsid w:val="00436A55"/>
    <w:rsid w:val="00436CF0"/>
    <w:rsid w:val="00437569"/>
    <w:rsid w:val="00437A76"/>
    <w:rsid w:val="0044042D"/>
    <w:rsid w:val="004408D2"/>
    <w:rsid w:val="00440AB7"/>
    <w:rsid w:val="00441687"/>
    <w:rsid w:val="00441699"/>
    <w:rsid w:val="004417F8"/>
    <w:rsid w:val="00441A6E"/>
    <w:rsid w:val="00441F1E"/>
    <w:rsid w:val="00442271"/>
    <w:rsid w:val="004425AE"/>
    <w:rsid w:val="004428AE"/>
    <w:rsid w:val="0044354D"/>
    <w:rsid w:val="004435AA"/>
    <w:rsid w:val="00443953"/>
    <w:rsid w:val="00443A9A"/>
    <w:rsid w:val="0044431B"/>
    <w:rsid w:val="0044441B"/>
    <w:rsid w:val="00444797"/>
    <w:rsid w:val="0044494F"/>
    <w:rsid w:val="0044497C"/>
    <w:rsid w:val="00444A66"/>
    <w:rsid w:val="00444A90"/>
    <w:rsid w:val="004458D8"/>
    <w:rsid w:val="00445FBF"/>
    <w:rsid w:val="004462EB"/>
    <w:rsid w:val="00446CCE"/>
    <w:rsid w:val="00447052"/>
    <w:rsid w:val="00447A4C"/>
    <w:rsid w:val="00447D4E"/>
    <w:rsid w:val="00447EA8"/>
    <w:rsid w:val="00450174"/>
    <w:rsid w:val="00450A69"/>
    <w:rsid w:val="00450CD8"/>
    <w:rsid w:val="00451033"/>
    <w:rsid w:val="004510EC"/>
    <w:rsid w:val="00451B8C"/>
    <w:rsid w:val="00451CEA"/>
    <w:rsid w:val="004525DD"/>
    <w:rsid w:val="004527B1"/>
    <w:rsid w:val="00452B1B"/>
    <w:rsid w:val="00452CA1"/>
    <w:rsid w:val="00452D7D"/>
    <w:rsid w:val="00452EF6"/>
    <w:rsid w:val="00452FC4"/>
    <w:rsid w:val="00453225"/>
    <w:rsid w:val="004534C9"/>
    <w:rsid w:val="004535F6"/>
    <w:rsid w:val="00453FC4"/>
    <w:rsid w:val="004540AF"/>
    <w:rsid w:val="0045434E"/>
    <w:rsid w:val="004548F0"/>
    <w:rsid w:val="00454A7E"/>
    <w:rsid w:val="00454A91"/>
    <w:rsid w:val="00454DB4"/>
    <w:rsid w:val="004552BF"/>
    <w:rsid w:val="00455B08"/>
    <w:rsid w:val="00455B64"/>
    <w:rsid w:val="00455F76"/>
    <w:rsid w:val="00456804"/>
    <w:rsid w:val="00456FD7"/>
    <w:rsid w:val="00457101"/>
    <w:rsid w:val="00457D0A"/>
    <w:rsid w:val="00457DF3"/>
    <w:rsid w:val="004600E0"/>
    <w:rsid w:val="00460106"/>
    <w:rsid w:val="00460113"/>
    <w:rsid w:val="004603CA"/>
    <w:rsid w:val="00460C0B"/>
    <w:rsid w:val="004613B7"/>
    <w:rsid w:val="00461446"/>
    <w:rsid w:val="0046170D"/>
    <w:rsid w:val="00461BD5"/>
    <w:rsid w:val="00462548"/>
    <w:rsid w:val="004627A2"/>
    <w:rsid w:val="00463094"/>
    <w:rsid w:val="00464108"/>
    <w:rsid w:val="00464662"/>
    <w:rsid w:val="00464EEC"/>
    <w:rsid w:val="00465C19"/>
    <w:rsid w:val="00465F4E"/>
    <w:rsid w:val="00466375"/>
    <w:rsid w:val="00466AD1"/>
    <w:rsid w:val="00466AE6"/>
    <w:rsid w:val="0046707E"/>
    <w:rsid w:val="00467330"/>
    <w:rsid w:val="00467561"/>
    <w:rsid w:val="00467EF3"/>
    <w:rsid w:val="00467EFF"/>
    <w:rsid w:val="00470A0B"/>
    <w:rsid w:val="00470AEE"/>
    <w:rsid w:val="004710C5"/>
    <w:rsid w:val="0047113B"/>
    <w:rsid w:val="004715A7"/>
    <w:rsid w:val="0047197B"/>
    <w:rsid w:val="00471AA0"/>
    <w:rsid w:val="0047257B"/>
    <w:rsid w:val="00473517"/>
    <w:rsid w:val="00473B24"/>
    <w:rsid w:val="00473D24"/>
    <w:rsid w:val="004751BF"/>
    <w:rsid w:val="0047535A"/>
    <w:rsid w:val="00475714"/>
    <w:rsid w:val="00476522"/>
    <w:rsid w:val="00476CFA"/>
    <w:rsid w:val="00476DB4"/>
    <w:rsid w:val="004773B9"/>
    <w:rsid w:val="00477A56"/>
    <w:rsid w:val="00477F81"/>
    <w:rsid w:val="00480276"/>
    <w:rsid w:val="0048028A"/>
    <w:rsid w:val="004802F8"/>
    <w:rsid w:val="004810B0"/>
    <w:rsid w:val="004814DB"/>
    <w:rsid w:val="00481674"/>
    <w:rsid w:val="004819FC"/>
    <w:rsid w:val="00482345"/>
    <w:rsid w:val="004828C8"/>
    <w:rsid w:val="00482BC6"/>
    <w:rsid w:val="00483242"/>
    <w:rsid w:val="0048333E"/>
    <w:rsid w:val="00483C3F"/>
    <w:rsid w:val="004842FD"/>
    <w:rsid w:val="004847B8"/>
    <w:rsid w:val="00484A39"/>
    <w:rsid w:val="00484C3B"/>
    <w:rsid w:val="0048574C"/>
    <w:rsid w:val="0048579B"/>
    <w:rsid w:val="00485A18"/>
    <w:rsid w:val="00485A41"/>
    <w:rsid w:val="00485C31"/>
    <w:rsid w:val="00485C59"/>
    <w:rsid w:val="00485E6F"/>
    <w:rsid w:val="00486AE1"/>
    <w:rsid w:val="00486B1F"/>
    <w:rsid w:val="0048759C"/>
    <w:rsid w:val="0048765C"/>
    <w:rsid w:val="00487683"/>
    <w:rsid w:val="00487C03"/>
    <w:rsid w:val="00490010"/>
    <w:rsid w:val="00491094"/>
    <w:rsid w:val="004910F5"/>
    <w:rsid w:val="00491D1D"/>
    <w:rsid w:val="00491E35"/>
    <w:rsid w:val="00491ED2"/>
    <w:rsid w:val="00491F03"/>
    <w:rsid w:val="00491F9F"/>
    <w:rsid w:val="0049212F"/>
    <w:rsid w:val="004921CE"/>
    <w:rsid w:val="00492FC9"/>
    <w:rsid w:val="004930C6"/>
    <w:rsid w:val="004936D2"/>
    <w:rsid w:val="004938F8"/>
    <w:rsid w:val="00493ADB"/>
    <w:rsid w:val="00493D63"/>
    <w:rsid w:val="00493F3E"/>
    <w:rsid w:val="004942BA"/>
    <w:rsid w:val="00494345"/>
    <w:rsid w:val="00494D92"/>
    <w:rsid w:val="0049554F"/>
    <w:rsid w:val="00495863"/>
    <w:rsid w:val="00495E05"/>
    <w:rsid w:val="00495EE2"/>
    <w:rsid w:val="004961A6"/>
    <w:rsid w:val="004961CB"/>
    <w:rsid w:val="00496361"/>
    <w:rsid w:val="004969CA"/>
    <w:rsid w:val="00496C85"/>
    <w:rsid w:val="00497253"/>
    <w:rsid w:val="00497900"/>
    <w:rsid w:val="004A017A"/>
    <w:rsid w:val="004A0410"/>
    <w:rsid w:val="004A09C3"/>
    <w:rsid w:val="004A0E49"/>
    <w:rsid w:val="004A0E9D"/>
    <w:rsid w:val="004A0FD0"/>
    <w:rsid w:val="004A1208"/>
    <w:rsid w:val="004A1D4B"/>
    <w:rsid w:val="004A2111"/>
    <w:rsid w:val="004A2399"/>
    <w:rsid w:val="004A270A"/>
    <w:rsid w:val="004A28F2"/>
    <w:rsid w:val="004A2C72"/>
    <w:rsid w:val="004A3281"/>
    <w:rsid w:val="004A3ADC"/>
    <w:rsid w:val="004A4356"/>
    <w:rsid w:val="004A4440"/>
    <w:rsid w:val="004A48CD"/>
    <w:rsid w:val="004A5151"/>
    <w:rsid w:val="004A53FB"/>
    <w:rsid w:val="004A55A2"/>
    <w:rsid w:val="004A56DB"/>
    <w:rsid w:val="004A5A5B"/>
    <w:rsid w:val="004A5C45"/>
    <w:rsid w:val="004A5D6B"/>
    <w:rsid w:val="004A5F62"/>
    <w:rsid w:val="004A646F"/>
    <w:rsid w:val="004A68B8"/>
    <w:rsid w:val="004A6C38"/>
    <w:rsid w:val="004A7090"/>
    <w:rsid w:val="004A77C8"/>
    <w:rsid w:val="004A7BA0"/>
    <w:rsid w:val="004A7BFF"/>
    <w:rsid w:val="004A7E79"/>
    <w:rsid w:val="004B0FB6"/>
    <w:rsid w:val="004B0FFF"/>
    <w:rsid w:val="004B1866"/>
    <w:rsid w:val="004B32F1"/>
    <w:rsid w:val="004B39EA"/>
    <w:rsid w:val="004B3C74"/>
    <w:rsid w:val="004B3E59"/>
    <w:rsid w:val="004B3F34"/>
    <w:rsid w:val="004B44E0"/>
    <w:rsid w:val="004B4671"/>
    <w:rsid w:val="004B4C02"/>
    <w:rsid w:val="004B4C5B"/>
    <w:rsid w:val="004B4F38"/>
    <w:rsid w:val="004B552E"/>
    <w:rsid w:val="004B5627"/>
    <w:rsid w:val="004B6878"/>
    <w:rsid w:val="004B6908"/>
    <w:rsid w:val="004B74DA"/>
    <w:rsid w:val="004B76EB"/>
    <w:rsid w:val="004B76EF"/>
    <w:rsid w:val="004B76F8"/>
    <w:rsid w:val="004B7E64"/>
    <w:rsid w:val="004C0456"/>
    <w:rsid w:val="004C0482"/>
    <w:rsid w:val="004C0DB5"/>
    <w:rsid w:val="004C10DD"/>
    <w:rsid w:val="004C1515"/>
    <w:rsid w:val="004C15C3"/>
    <w:rsid w:val="004C18CE"/>
    <w:rsid w:val="004C2B24"/>
    <w:rsid w:val="004C2B6D"/>
    <w:rsid w:val="004C2DA0"/>
    <w:rsid w:val="004C30BA"/>
    <w:rsid w:val="004C3108"/>
    <w:rsid w:val="004C329D"/>
    <w:rsid w:val="004C355D"/>
    <w:rsid w:val="004C35CC"/>
    <w:rsid w:val="004C375C"/>
    <w:rsid w:val="004C3DCF"/>
    <w:rsid w:val="004C437B"/>
    <w:rsid w:val="004C4999"/>
    <w:rsid w:val="004C4B21"/>
    <w:rsid w:val="004C4F2F"/>
    <w:rsid w:val="004C5022"/>
    <w:rsid w:val="004C5120"/>
    <w:rsid w:val="004C5566"/>
    <w:rsid w:val="004C60A4"/>
    <w:rsid w:val="004C642D"/>
    <w:rsid w:val="004C64AD"/>
    <w:rsid w:val="004C65C5"/>
    <w:rsid w:val="004C6951"/>
    <w:rsid w:val="004C6B3B"/>
    <w:rsid w:val="004C744B"/>
    <w:rsid w:val="004C75B1"/>
    <w:rsid w:val="004C7944"/>
    <w:rsid w:val="004C7AC9"/>
    <w:rsid w:val="004D0081"/>
    <w:rsid w:val="004D01CF"/>
    <w:rsid w:val="004D138E"/>
    <w:rsid w:val="004D163A"/>
    <w:rsid w:val="004D1936"/>
    <w:rsid w:val="004D19A3"/>
    <w:rsid w:val="004D1C18"/>
    <w:rsid w:val="004D1DC1"/>
    <w:rsid w:val="004D22A8"/>
    <w:rsid w:val="004D2656"/>
    <w:rsid w:val="004D2841"/>
    <w:rsid w:val="004D2C0E"/>
    <w:rsid w:val="004D2D68"/>
    <w:rsid w:val="004D2EA7"/>
    <w:rsid w:val="004D349A"/>
    <w:rsid w:val="004D401A"/>
    <w:rsid w:val="004D4536"/>
    <w:rsid w:val="004D47D1"/>
    <w:rsid w:val="004D4C32"/>
    <w:rsid w:val="004D4FDE"/>
    <w:rsid w:val="004D511D"/>
    <w:rsid w:val="004D67A8"/>
    <w:rsid w:val="004D69D0"/>
    <w:rsid w:val="004D69F3"/>
    <w:rsid w:val="004D7005"/>
    <w:rsid w:val="004D75E6"/>
    <w:rsid w:val="004D794F"/>
    <w:rsid w:val="004D7A0A"/>
    <w:rsid w:val="004D7B63"/>
    <w:rsid w:val="004D7C5D"/>
    <w:rsid w:val="004D7FE0"/>
    <w:rsid w:val="004E017D"/>
    <w:rsid w:val="004E0345"/>
    <w:rsid w:val="004E05B3"/>
    <w:rsid w:val="004E0626"/>
    <w:rsid w:val="004E07B8"/>
    <w:rsid w:val="004E0825"/>
    <w:rsid w:val="004E1345"/>
    <w:rsid w:val="004E1AFA"/>
    <w:rsid w:val="004E2D00"/>
    <w:rsid w:val="004E33D0"/>
    <w:rsid w:val="004E3598"/>
    <w:rsid w:val="004E39E9"/>
    <w:rsid w:val="004E3D4C"/>
    <w:rsid w:val="004E4807"/>
    <w:rsid w:val="004E4A71"/>
    <w:rsid w:val="004E4F5F"/>
    <w:rsid w:val="004E5005"/>
    <w:rsid w:val="004E5746"/>
    <w:rsid w:val="004E5FB3"/>
    <w:rsid w:val="004E6452"/>
    <w:rsid w:val="004E6539"/>
    <w:rsid w:val="004E6AD3"/>
    <w:rsid w:val="004E6DF4"/>
    <w:rsid w:val="004E6E94"/>
    <w:rsid w:val="004E73A5"/>
    <w:rsid w:val="004F00FB"/>
    <w:rsid w:val="004F025B"/>
    <w:rsid w:val="004F0607"/>
    <w:rsid w:val="004F0760"/>
    <w:rsid w:val="004F0865"/>
    <w:rsid w:val="004F0C45"/>
    <w:rsid w:val="004F0D56"/>
    <w:rsid w:val="004F1216"/>
    <w:rsid w:val="004F14AE"/>
    <w:rsid w:val="004F18B7"/>
    <w:rsid w:val="004F248D"/>
    <w:rsid w:val="004F2ADD"/>
    <w:rsid w:val="004F2EDB"/>
    <w:rsid w:val="004F30A9"/>
    <w:rsid w:val="004F32B8"/>
    <w:rsid w:val="004F34BD"/>
    <w:rsid w:val="004F36A4"/>
    <w:rsid w:val="004F39B4"/>
    <w:rsid w:val="004F3BBE"/>
    <w:rsid w:val="004F3D33"/>
    <w:rsid w:val="004F3DA8"/>
    <w:rsid w:val="004F3F8D"/>
    <w:rsid w:val="004F47CF"/>
    <w:rsid w:val="004F4C45"/>
    <w:rsid w:val="004F4EE0"/>
    <w:rsid w:val="004F53EA"/>
    <w:rsid w:val="004F57FE"/>
    <w:rsid w:val="004F5B45"/>
    <w:rsid w:val="004F5C8C"/>
    <w:rsid w:val="004F674C"/>
    <w:rsid w:val="004F6831"/>
    <w:rsid w:val="004F69E7"/>
    <w:rsid w:val="004F6DD2"/>
    <w:rsid w:val="004F6DF0"/>
    <w:rsid w:val="004F71D0"/>
    <w:rsid w:val="004F7768"/>
    <w:rsid w:val="004F7800"/>
    <w:rsid w:val="004F78FD"/>
    <w:rsid w:val="004F795D"/>
    <w:rsid w:val="004F7A1B"/>
    <w:rsid w:val="0050016A"/>
    <w:rsid w:val="005011E2"/>
    <w:rsid w:val="0050141C"/>
    <w:rsid w:val="005015D9"/>
    <w:rsid w:val="00501CD7"/>
    <w:rsid w:val="005020DE"/>
    <w:rsid w:val="00502105"/>
    <w:rsid w:val="00502548"/>
    <w:rsid w:val="00502C95"/>
    <w:rsid w:val="00502CC3"/>
    <w:rsid w:val="00502E50"/>
    <w:rsid w:val="005032E5"/>
    <w:rsid w:val="0050330B"/>
    <w:rsid w:val="00503A8E"/>
    <w:rsid w:val="00504163"/>
    <w:rsid w:val="005046C8"/>
    <w:rsid w:val="00504E3F"/>
    <w:rsid w:val="00505AA6"/>
    <w:rsid w:val="005065E3"/>
    <w:rsid w:val="00506E33"/>
    <w:rsid w:val="00506FCD"/>
    <w:rsid w:val="0050701F"/>
    <w:rsid w:val="0050715B"/>
    <w:rsid w:val="00507901"/>
    <w:rsid w:val="00507A84"/>
    <w:rsid w:val="00507E35"/>
    <w:rsid w:val="0051035D"/>
    <w:rsid w:val="005103C1"/>
    <w:rsid w:val="005105BC"/>
    <w:rsid w:val="005107D1"/>
    <w:rsid w:val="00510D94"/>
    <w:rsid w:val="0051116F"/>
    <w:rsid w:val="00511341"/>
    <w:rsid w:val="005114F6"/>
    <w:rsid w:val="00511A69"/>
    <w:rsid w:val="00511E30"/>
    <w:rsid w:val="005123A8"/>
    <w:rsid w:val="0051245C"/>
    <w:rsid w:val="00513A8F"/>
    <w:rsid w:val="00513C7C"/>
    <w:rsid w:val="00515002"/>
    <w:rsid w:val="0051517D"/>
    <w:rsid w:val="0051532B"/>
    <w:rsid w:val="005155C7"/>
    <w:rsid w:val="005155CD"/>
    <w:rsid w:val="00515F6E"/>
    <w:rsid w:val="0051651A"/>
    <w:rsid w:val="0051686D"/>
    <w:rsid w:val="005169D8"/>
    <w:rsid w:val="00516C15"/>
    <w:rsid w:val="00516C6F"/>
    <w:rsid w:val="00516DB2"/>
    <w:rsid w:val="00516E3E"/>
    <w:rsid w:val="00516EAF"/>
    <w:rsid w:val="005170DC"/>
    <w:rsid w:val="00517172"/>
    <w:rsid w:val="0051720A"/>
    <w:rsid w:val="0051755F"/>
    <w:rsid w:val="005176D7"/>
    <w:rsid w:val="00517D69"/>
    <w:rsid w:val="00517E13"/>
    <w:rsid w:val="00517EC9"/>
    <w:rsid w:val="005201E2"/>
    <w:rsid w:val="005204F8"/>
    <w:rsid w:val="00520836"/>
    <w:rsid w:val="00520B72"/>
    <w:rsid w:val="00520BFB"/>
    <w:rsid w:val="00520EED"/>
    <w:rsid w:val="0052169D"/>
    <w:rsid w:val="00521786"/>
    <w:rsid w:val="005217AE"/>
    <w:rsid w:val="00521E76"/>
    <w:rsid w:val="00521EDA"/>
    <w:rsid w:val="0052238D"/>
    <w:rsid w:val="00522535"/>
    <w:rsid w:val="005225B2"/>
    <w:rsid w:val="005225D9"/>
    <w:rsid w:val="00522AC5"/>
    <w:rsid w:val="0052352A"/>
    <w:rsid w:val="00524227"/>
    <w:rsid w:val="00525693"/>
    <w:rsid w:val="00525FC8"/>
    <w:rsid w:val="00526272"/>
    <w:rsid w:val="005262BF"/>
    <w:rsid w:val="005269C8"/>
    <w:rsid w:val="00526CB4"/>
    <w:rsid w:val="00526F6C"/>
    <w:rsid w:val="00527300"/>
    <w:rsid w:val="00527492"/>
    <w:rsid w:val="005274EC"/>
    <w:rsid w:val="00527E91"/>
    <w:rsid w:val="005300AF"/>
    <w:rsid w:val="005303CC"/>
    <w:rsid w:val="005304E5"/>
    <w:rsid w:val="005306B2"/>
    <w:rsid w:val="005307BA"/>
    <w:rsid w:val="00531280"/>
    <w:rsid w:val="005312C2"/>
    <w:rsid w:val="00531387"/>
    <w:rsid w:val="00531820"/>
    <w:rsid w:val="00531E82"/>
    <w:rsid w:val="0053275C"/>
    <w:rsid w:val="00532A6F"/>
    <w:rsid w:val="00532B0F"/>
    <w:rsid w:val="00532EA7"/>
    <w:rsid w:val="005331A3"/>
    <w:rsid w:val="00533680"/>
    <w:rsid w:val="005339A6"/>
    <w:rsid w:val="005339F5"/>
    <w:rsid w:val="00533AB2"/>
    <w:rsid w:val="005342ED"/>
    <w:rsid w:val="005342F7"/>
    <w:rsid w:val="00534375"/>
    <w:rsid w:val="005352AF"/>
    <w:rsid w:val="00535572"/>
    <w:rsid w:val="00535C19"/>
    <w:rsid w:val="00535C50"/>
    <w:rsid w:val="00535CA1"/>
    <w:rsid w:val="0053628B"/>
    <w:rsid w:val="005362A5"/>
    <w:rsid w:val="0053734B"/>
    <w:rsid w:val="00537499"/>
    <w:rsid w:val="0053798C"/>
    <w:rsid w:val="00537A54"/>
    <w:rsid w:val="00537E49"/>
    <w:rsid w:val="00537F85"/>
    <w:rsid w:val="00540097"/>
    <w:rsid w:val="005401E7"/>
    <w:rsid w:val="00540578"/>
    <w:rsid w:val="005412FC"/>
    <w:rsid w:val="00541318"/>
    <w:rsid w:val="005414B2"/>
    <w:rsid w:val="00541C82"/>
    <w:rsid w:val="00541DDC"/>
    <w:rsid w:val="0054204B"/>
    <w:rsid w:val="00542221"/>
    <w:rsid w:val="00542A02"/>
    <w:rsid w:val="00542D3C"/>
    <w:rsid w:val="00543100"/>
    <w:rsid w:val="0054366B"/>
    <w:rsid w:val="00543EF0"/>
    <w:rsid w:val="0054409D"/>
    <w:rsid w:val="00544D8B"/>
    <w:rsid w:val="00544F82"/>
    <w:rsid w:val="0054565B"/>
    <w:rsid w:val="00545A8D"/>
    <w:rsid w:val="00545BA9"/>
    <w:rsid w:val="00545E7F"/>
    <w:rsid w:val="005460DA"/>
    <w:rsid w:val="0054625D"/>
    <w:rsid w:val="00546365"/>
    <w:rsid w:val="00546378"/>
    <w:rsid w:val="0054691E"/>
    <w:rsid w:val="00546D9D"/>
    <w:rsid w:val="005475B5"/>
    <w:rsid w:val="005478FE"/>
    <w:rsid w:val="00547CCA"/>
    <w:rsid w:val="0055046D"/>
    <w:rsid w:val="00550A62"/>
    <w:rsid w:val="00550F00"/>
    <w:rsid w:val="00551555"/>
    <w:rsid w:val="00551F7A"/>
    <w:rsid w:val="005522D4"/>
    <w:rsid w:val="00552520"/>
    <w:rsid w:val="00552628"/>
    <w:rsid w:val="00552C81"/>
    <w:rsid w:val="00552D6B"/>
    <w:rsid w:val="005532A1"/>
    <w:rsid w:val="0055383C"/>
    <w:rsid w:val="00553DC5"/>
    <w:rsid w:val="00554267"/>
    <w:rsid w:val="005542AE"/>
    <w:rsid w:val="00554EAF"/>
    <w:rsid w:val="00555592"/>
    <w:rsid w:val="005559F6"/>
    <w:rsid w:val="00555B2A"/>
    <w:rsid w:val="00555F3C"/>
    <w:rsid w:val="00557038"/>
    <w:rsid w:val="005571D5"/>
    <w:rsid w:val="00557728"/>
    <w:rsid w:val="00557BA2"/>
    <w:rsid w:val="0056015E"/>
    <w:rsid w:val="00560241"/>
    <w:rsid w:val="005603B4"/>
    <w:rsid w:val="005607B5"/>
    <w:rsid w:val="00560C93"/>
    <w:rsid w:val="00560CA7"/>
    <w:rsid w:val="005610C3"/>
    <w:rsid w:val="005613FF"/>
    <w:rsid w:val="005618E0"/>
    <w:rsid w:val="005623EE"/>
    <w:rsid w:val="00562996"/>
    <w:rsid w:val="00562F52"/>
    <w:rsid w:val="005633C5"/>
    <w:rsid w:val="0056365F"/>
    <w:rsid w:val="005648F9"/>
    <w:rsid w:val="00564933"/>
    <w:rsid w:val="005663B2"/>
    <w:rsid w:val="00566A80"/>
    <w:rsid w:val="00566F18"/>
    <w:rsid w:val="00567612"/>
    <w:rsid w:val="005678F9"/>
    <w:rsid w:val="00570176"/>
    <w:rsid w:val="005706C3"/>
    <w:rsid w:val="00570E5D"/>
    <w:rsid w:val="00571117"/>
    <w:rsid w:val="00571215"/>
    <w:rsid w:val="0057198C"/>
    <w:rsid w:val="00571DE7"/>
    <w:rsid w:val="005728B4"/>
    <w:rsid w:val="00572931"/>
    <w:rsid w:val="00572D5B"/>
    <w:rsid w:val="0057332B"/>
    <w:rsid w:val="005734ED"/>
    <w:rsid w:val="0057379B"/>
    <w:rsid w:val="005739E7"/>
    <w:rsid w:val="00573CF5"/>
    <w:rsid w:val="00573FA2"/>
    <w:rsid w:val="0057410B"/>
    <w:rsid w:val="005741A5"/>
    <w:rsid w:val="005741D6"/>
    <w:rsid w:val="005749B0"/>
    <w:rsid w:val="00574F91"/>
    <w:rsid w:val="0057520E"/>
    <w:rsid w:val="005753C0"/>
    <w:rsid w:val="005753F3"/>
    <w:rsid w:val="00575626"/>
    <w:rsid w:val="005757A9"/>
    <w:rsid w:val="0057599B"/>
    <w:rsid w:val="00575AD3"/>
    <w:rsid w:val="00575B15"/>
    <w:rsid w:val="00575BD9"/>
    <w:rsid w:val="00575DB7"/>
    <w:rsid w:val="00575EA1"/>
    <w:rsid w:val="00576666"/>
    <w:rsid w:val="00576E09"/>
    <w:rsid w:val="00576EE6"/>
    <w:rsid w:val="00576F22"/>
    <w:rsid w:val="005778CF"/>
    <w:rsid w:val="00577AA4"/>
    <w:rsid w:val="00577EB0"/>
    <w:rsid w:val="0058022D"/>
    <w:rsid w:val="00580603"/>
    <w:rsid w:val="0058102C"/>
    <w:rsid w:val="0058106D"/>
    <w:rsid w:val="005818E2"/>
    <w:rsid w:val="0058206D"/>
    <w:rsid w:val="0058252C"/>
    <w:rsid w:val="005828FF"/>
    <w:rsid w:val="00582C83"/>
    <w:rsid w:val="00582CBE"/>
    <w:rsid w:val="00582D91"/>
    <w:rsid w:val="00583374"/>
    <w:rsid w:val="005834F2"/>
    <w:rsid w:val="0058365A"/>
    <w:rsid w:val="005837CD"/>
    <w:rsid w:val="005838A4"/>
    <w:rsid w:val="00583930"/>
    <w:rsid w:val="00583B4D"/>
    <w:rsid w:val="00583DC1"/>
    <w:rsid w:val="00583DF7"/>
    <w:rsid w:val="00583EBB"/>
    <w:rsid w:val="005844D7"/>
    <w:rsid w:val="00584A3D"/>
    <w:rsid w:val="00584E26"/>
    <w:rsid w:val="00585011"/>
    <w:rsid w:val="00585226"/>
    <w:rsid w:val="005855EB"/>
    <w:rsid w:val="005857BF"/>
    <w:rsid w:val="00585DB7"/>
    <w:rsid w:val="00585E9E"/>
    <w:rsid w:val="0058635E"/>
    <w:rsid w:val="00586BD4"/>
    <w:rsid w:val="00586C34"/>
    <w:rsid w:val="00590094"/>
    <w:rsid w:val="0059034F"/>
    <w:rsid w:val="00590911"/>
    <w:rsid w:val="00590926"/>
    <w:rsid w:val="00591532"/>
    <w:rsid w:val="005916F8"/>
    <w:rsid w:val="00591805"/>
    <w:rsid w:val="00591B82"/>
    <w:rsid w:val="00591D08"/>
    <w:rsid w:val="00591F4E"/>
    <w:rsid w:val="005920C3"/>
    <w:rsid w:val="00592FC3"/>
    <w:rsid w:val="00593357"/>
    <w:rsid w:val="00593482"/>
    <w:rsid w:val="005934EC"/>
    <w:rsid w:val="0059399F"/>
    <w:rsid w:val="00593C52"/>
    <w:rsid w:val="00593FC9"/>
    <w:rsid w:val="00594547"/>
    <w:rsid w:val="00594E9F"/>
    <w:rsid w:val="005952D1"/>
    <w:rsid w:val="00595AEA"/>
    <w:rsid w:val="0059649C"/>
    <w:rsid w:val="00596562"/>
    <w:rsid w:val="00596DFD"/>
    <w:rsid w:val="0059774A"/>
    <w:rsid w:val="00597CE1"/>
    <w:rsid w:val="00597F58"/>
    <w:rsid w:val="005A0062"/>
    <w:rsid w:val="005A096F"/>
    <w:rsid w:val="005A0ABE"/>
    <w:rsid w:val="005A0B18"/>
    <w:rsid w:val="005A0EEE"/>
    <w:rsid w:val="005A0FBA"/>
    <w:rsid w:val="005A1094"/>
    <w:rsid w:val="005A1626"/>
    <w:rsid w:val="005A1B30"/>
    <w:rsid w:val="005A2380"/>
    <w:rsid w:val="005A2EF2"/>
    <w:rsid w:val="005A3170"/>
    <w:rsid w:val="005A330D"/>
    <w:rsid w:val="005A39AE"/>
    <w:rsid w:val="005A3AD3"/>
    <w:rsid w:val="005A3B38"/>
    <w:rsid w:val="005A3C66"/>
    <w:rsid w:val="005A3D32"/>
    <w:rsid w:val="005A3D70"/>
    <w:rsid w:val="005A4323"/>
    <w:rsid w:val="005A47F5"/>
    <w:rsid w:val="005A54C2"/>
    <w:rsid w:val="005A5A3B"/>
    <w:rsid w:val="005A5D95"/>
    <w:rsid w:val="005A61D7"/>
    <w:rsid w:val="005A7323"/>
    <w:rsid w:val="005A7596"/>
    <w:rsid w:val="005A7B3E"/>
    <w:rsid w:val="005B03E1"/>
    <w:rsid w:val="005B0491"/>
    <w:rsid w:val="005B0B34"/>
    <w:rsid w:val="005B0E25"/>
    <w:rsid w:val="005B1005"/>
    <w:rsid w:val="005B15B4"/>
    <w:rsid w:val="005B1EB6"/>
    <w:rsid w:val="005B1F3C"/>
    <w:rsid w:val="005B2228"/>
    <w:rsid w:val="005B22DF"/>
    <w:rsid w:val="005B27B2"/>
    <w:rsid w:val="005B2FC2"/>
    <w:rsid w:val="005B3233"/>
    <w:rsid w:val="005B325A"/>
    <w:rsid w:val="005B33EE"/>
    <w:rsid w:val="005B34FD"/>
    <w:rsid w:val="005B3624"/>
    <w:rsid w:val="005B3675"/>
    <w:rsid w:val="005B3891"/>
    <w:rsid w:val="005B3DD3"/>
    <w:rsid w:val="005B426C"/>
    <w:rsid w:val="005B4408"/>
    <w:rsid w:val="005B4726"/>
    <w:rsid w:val="005B50B5"/>
    <w:rsid w:val="005B54A4"/>
    <w:rsid w:val="005B620E"/>
    <w:rsid w:val="005B63C2"/>
    <w:rsid w:val="005B66F4"/>
    <w:rsid w:val="005B75DE"/>
    <w:rsid w:val="005B7802"/>
    <w:rsid w:val="005B7A41"/>
    <w:rsid w:val="005B7CFA"/>
    <w:rsid w:val="005B7DDB"/>
    <w:rsid w:val="005C0489"/>
    <w:rsid w:val="005C0B3A"/>
    <w:rsid w:val="005C0DB9"/>
    <w:rsid w:val="005C15EE"/>
    <w:rsid w:val="005C1C2A"/>
    <w:rsid w:val="005C2514"/>
    <w:rsid w:val="005C2803"/>
    <w:rsid w:val="005C295D"/>
    <w:rsid w:val="005C35D9"/>
    <w:rsid w:val="005C36B2"/>
    <w:rsid w:val="005C4122"/>
    <w:rsid w:val="005C4AF6"/>
    <w:rsid w:val="005C52FC"/>
    <w:rsid w:val="005C55C0"/>
    <w:rsid w:val="005C5A65"/>
    <w:rsid w:val="005C5BCF"/>
    <w:rsid w:val="005C5F65"/>
    <w:rsid w:val="005C632F"/>
    <w:rsid w:val="005C6390"/>
    <w:rsid w:val="005C640C"/>
    <w:rsid w:val="005C69F3"/>
    <w:rsid w:val="005C6B1A"/>
    <w:rsid w:val="005C72D5"/>
    <w:rsid w:val="005C7767"/>
    <w:rsid w:val="005C77D3"/>
    <w:rsid w:val="005C77EF"/>
    <w:rsid w:val="005D035B"/>
    <w:rsid w:val="005D07C0"/>
    <w:rsid w:val="005D10EC"/>
    <w:rsid w:val="005D12BA"/>
    <w:rsid w:val="005D1733"/>
    <w:rsid w:val="005D19E0"/>
    <w:rsid w:val="005D2425"/>
    <w:rsid w:val="005D2722"/>
    <w:rsid w:val="005D2B79"/>
    <w:rsid w:val="005D2CB3"/>
    <w:rsid w:val="005D2F7D"/>
    <w:rsid w:val="005D307D"/>
    <w:rsid w:val="005D3795"/>
    <w:rsid w:val="005D3D2C"/>
    <w:rsid w:val="005D4575"/>
    <w:rsid w:val="005D46D2"/>
    <w:rsid w:val="005D4F93"/>
    <w:rsid w:val="005D51A3"/>
    <w:rsid w:val="005D532F"/>
    <w:rsid w:val="005D54E2"/>
    <w:rsid w:val="005D63FC"/>
    <w:rsid w:val="005D6730"/>
    <w:rsid w:val="005D7FF3"/>
    <w:rsid w:val="005E0146"/>
    <w:rsid w:val="005E01F4"/>
    <w:rsid w:val="005E051D"/>
    <w:rsid w:val="005E07CB"/>
    <w:rsid w:val="005E0DF3"/>
    <w:rsid w:val="005E12A7"/>
    <w:rsid w:val="005E169E"/>
    <w:rsid w:val="005E1B20"/>
    <w:rsid w:val="005E1B93"/>
    <w:rsid w:val="005E1E1E"/>
    <w:rsid w:val="005E1ED9"/>
    <w:rsid w:val="005E2BE5"/>
    <w:rsid w:val="005E2D75"/>
    <w:rsid w:val="005E40FC"/>
    <w:rsid w:val="005E4119"/>
    <w:rsid w:val="005E42F5"/>
    <w:rsid w:val="005E4BF1"/>
    <w:rsid w:val="005E5981"/>
    <w:rsid w:val="005E5ADF"/>
    <w:rsid w:val="005E5AF1"/>
    <w:rsid w:val="005E5C67"/>
    <w:rsid w:val="005E6450"/>
    <w:rsid w:val="005E6471"/>
    <w:rsid w:val="005E65A5"/>
    <w:rsid w:val="005E6863"/>
    <w:rsid w:val="005E6995"/>
    <w:rsid w:val="005E6C0B"/>
    <w:rsid w:val="005E6C37"/>
    <w:rsid w:val="005E6DE9"/>
    <w:rsid w:val="005E7170"/>
    <w:rsid w:val="005E72B4"/>
    <w:rsid w:val="005E7CD5"/>
    <w:rsid w:val="005E7DC0"/>
    <w:rsid w:val="005F0E25"/>
    <w:rsid w:val="005F15BE"/>
    <w:rsid w:val="005F1802"/>
    <w:rsid w:val="005F1CB5"/>
    <w:rsid w:val="005F1D37"/>
    <w:rsid w:val="005F224B"/>
    <w:rsid w:val="005F2289"/>
    <w:rsid w:val="005F22B2"/>
    <w:rsid w:val="005F240C"/>
    <w:rsid w:val="005F2937"/>
    <w:rsid w:val="005F2AC9"/>
    <w:rsid w:val="005F32D4"/>
    <w:rsid w:val="005F3A62"/>
    <w:rsid w:val="005F4D76"/>
    <w:rsid w:val="005F501E"/>
    <w:rsid w:val="005F5F94"/>
    <w:rsid w:val="005F6082"/>
    <w:rsid w:val="005F6695"/>
    <w:rsid w:val="005F66BA"/>
    <w:rsid w:val="005F680F"/>
    <w:rsid w:val="005F6C4A"/>
    <w:rsid w:val="006010E7"/>
    <w:rsid w:val="00601261"/>
    <w:rsid w:val="00601671"/>
    <w:rsid w:val="00601B3F"/>
    <w:rsid w:val="00601D89"/>
    <w:rsid w:val="00601D9A"/>
    <w:rsid w:val="00601E3A"/>
    <w:rsid w:val="00601F55"/>
    <w:rsid w:val="006021B0"/>
    <w:rsid w:val="00602908"/>
    <w:rsid w:val="00602E7C"/>
    <w:rsid w:val="00602F2C"/>
    <w:rsid w:val="0060342D"/>
    <w:rsid w:val="006035DA"/>
    <w:rsid w:val="006040D7"/>
    <w:rsid w:val="00605038"/>
    <w:rsid w:val="006053F5"/>
    <w:rsid w:val="00605402"/>
    <w:rsid w:val="00605850"/>
    <w:rsid w:val="00605ACD"/>
    <w:rsid w:val="00605F04"/>
    <w:rsid w:val="006064B7"/>
    <w:rsid w:val="00606FAC"/>
    <w:rsid w:val="0060701E"/>
    <w:rsid w:val="00607044"/>
    <w:rsid w:val="006078F9"/>
    <w:rsid w:val="006079FA"/>
    <w:rsid w:val="00607CC1"/>
    <w:rsid w:val="00607CC3"/>
    <w:rsid w:val="00607E8D"/>
    <w:rsid w:val="0061018B"/>
    <w:rsid w:val="006101FC"/>
    <w:rsid w:val="006104FE"/>
    <w:rsid w:val="00610857"/>
    <w:rsid w:val="006111B8"/>
    <w:rsid w:val="00611276"/>
    <w:rsid w:val="00611362"/>
    <w:rsid w:val="006113B2"/>
    <w:rsid w:val="00611A90"/>
    <w:rsid w:val="00611ABD"/>
    <w:rsid w:val="00611B07"/>
    <w:rsid w:val="00611DE7"/>
    <w:rsid w:val="00611E51"/>
    <w:rsid w:val="00611EAE"/>
    <w:rsid w:val="00612388"/>
    <w:rsid w:val="006128DE"/>
    <w:rsid w:val="00612909"/>
    <w:rsid w:val="00612CD6"/>
    <w:rsid w:val="00612D1D"/>
    <w:rsid w:val="00613ABD"/>
    <w:rsid w:val="00613B5A"/>
    <w:rsid w:val="0061494A"/>
    <w:rsid w:val="00614A4A"/>
    <w:rsid w:val="00614F72"/>
    <w:rsid w:val="00615BEC"/>
    <w:rsid w:val="0061657B"/>
    <w:rsid w:val="00616D23"/>
    <w:rsid w:val="00616EC1"/>
    <w:rsid w:val="0061750A"/>
    <w:rsid w:val="00617A25"/>
    <w:rsid w:val="00617EB7"/>
    <w:rsid w:val="0062177E"/>
    <w:rsid w:val="00621A54"/>
    <w:rsid w:val="00621CB9"/>
    <w:rsid w:val="0062243B"/>
    <w:rsid w:val="00623050"/>
    <w:rsid w:val="00623411"/>
    <w:rsid w:val="00623591"/>
    <w:rsid w:val="0062361A"/>
    <w:rsid w:val="0062393C"/>
    <w:rsid w:val="0062407D"/>
    <w:rsid w:val="006240E3"/>
    <w:rsid w:val="006243F7"/>
    <w:rsid w:val="0062472E"/>
    <w:rsid w:val="00625245"/>
    <w:rsid w:val="006253AC"/>
    <w:rsid w:val="00625BA9"/>
    <w:rsid w:val="00625F09"/>
    <w:rsid w:val="0062643D"/>
    <w:rsid w:val="00626510"/>
    <w:rsid w:val="0062654E"/>
    <w:rsid w:val="00626587"/>
    <w:rsid w:val="006267C6"/>
    <w:rsid w:val="00626FBE"/>
    <w:rsid w:val="0062708C"/>
    <w:rsid w:val="00627280"/>
    <w:rsid w:val="0063005F"/>
    <w:rsid w:val="00630221"/>
    <w:rsid w:val="00630625"/>
    <w:rsid w:val="00630ABC"/>
    <w:rsid w:val="00631086"/>
    <w:rsid w:val="006310EB"/>
    <w:rsid w:val="00631603"/>
    <w:rsid w:val="00631696"/>
    <w:rsid w:val="00631F7D"/>
    <w:rsid w:val="00631FD8"/>
    <w:rsid w:val="006321B6"/>
    <w:rsid w:val="0063242F"/>
    <w:rsid w:val="0063244E"/>
    <w:rsid w:val="006330BD"/>
    <w:rsid w:val="006335E8"/>
    <w:rsid w:val="00634577"/>
    <w:rsid w:val="006349E6"/>
    <w:rsid w:val="006350F1"/>
    <w:rsid w:val="006351E7"/>
    <w:rsid w:val="0063578B"/>
    <w:rsid w:val="00635D5B"/>
    <w:rsid w:val="006361AE"/>
    <w:rsid w:val="0063626B"/>
    <w:rsid w:val="006369C4"/>
    <w:rsid w:val="00636A56"/>
    <w:rsid w:val="00637971"/>
    <w:rsid w:val="006407BA"/>
    <w:rsid w:val="00641C9B"/>
    <w:rsid w:val="006422D9"/>
    <w:rsid w:val="00642B6C"/>
    <w:rsid w:val="00642D63"/>
    <w:rsid w:val="00642D85"/>
    <w:rsid w:val="00642F71"/>
    <w:rsid w:val="0064320A"/>
    <w:rsid w:val="006433C3"/>
    <w:rsid w:val="00643B30"/>
    <w:rsid w:val="00643C80"/>
    <w:rsid w:val="006440CB"/>
    <w:rsid w:val="006441E7"/>
    <w:rsid w:val="00644419"/>
    <w:rsid w:val="00644691"/>
    <w:rsid w:val="00644F4C"/>
    <w:rsid w:val="006455EA"/>
    <w:rsid w:val="0064587B"/>
    <w:rsid w:val="00645A35"/>
    <w:rsid w:val="00645C5D"/>
    <w:rsid w:val="006464C7"/>
    <w:rsid w:val="006464F3"/>
    <w:rsid w:val="00646523"/>
    <w:rsid w:val="00646937"/>
    <w:rsid w:val="0065102C"/>
    <w:rsid w:val="006516CC"/>
    <w:rsid w:val="00651A4B"/>
    <w:rsid w:val="00651C71"/>
    <w:rsid w:val="00652607"/>
    <w:rsid w:val="006526B6"/>
    <w:rsid w:val="00652999"/>
    <w:rsid w:val="00653275"/>
    <w:rsid w:val="0065501D"/>
    <w:rsid w:val="006550BD"/>
    <w:rsid w:val="006550C9"/>
    <w:rsid w:val="0065518B"/>
    <w:rsid w:val="006552F5"/>
    <w:rsid w:val="006556A1"/>
    <w:rsid w:val="00655A62"/>
    <w:rsid w:val="00655E51"/>
    <w:rsid w:val="0065641D"/>
    <w:rsid w:val="00656536"/>
    <w:rsid w:val="006568C9"/>
    <w:rsid w:val="0065699E"/>
    <w:rsid w:val="006571CE"/>
    <w:rsid w:val="00657690"/>
    <w:rsid w:val="00657CD7"/>
    <w:rsid w:val="00660638"/>
    <w:rsid w:val="006606B1"/>
    <w:rsid w:val="00660AE9"/>
    <w:rsid w:val="00660DE8"/>
    <w:rsid w:val="00660F23"/>
    <w:rsid w:val="00661284"/>
    <w:rsid w:val="00661547"/>
    <w:rsid w:val="0066192B"/>
    <w:rsid w:val="0066197D"/>
    <w:rsid w:val="006619E7"/>
    <w:rsid w:val="00661CBF"/>
    <w:rsid w:val="00662512"/>
    <w:rsid w:val="00662928"/>
    <w:rsid w:val="00662AF1"/>
    <w:rsid w:val="00662CB0"/>
    <w:rsid w:val="00662D83"/>
    <w:rsid w:val="00662E07"/>
    <w:rsid w:val="0066315B"/>
    <w:rsid w:val="00663231"/>
    <w:rsid w:val="00663385"/>
    <w:rsid w:val="00663614"/>
    <w:rsid w:val="00663947"/>
    <w:rsid w:val="006639C9"/>
    <w:rsid w:val="00663C6F"/>
    <w:rsid w:val="00664124"/>
    <w:rsid w:val="00664467"/>
    <w:rsid w:val="00664558"/>
    <w:rsid w:val="00664563"/>
    <w:rsid w:val="00664BC2"/>
    <w:rsid w:val="00664EB6"/>
    <w:rsid w:val="00664EBC"/>
    <w:rsid w:val="00665CFB"/>
    <w:rsid w:val="00665E4C"/>
    <w:rsid w:val="006663F6"/>
    <w:rsid w:val="0066696E"/>
    <w:rsid w:val="006673B8"/>
    <w:rsid w:val="006675D6"/>
    <w:rsid w:val="00667795"/>
    <w:rsid w:val="0067062E"/>
    <w:rsid w:val="0067088D"/>
    <w:rsid w:val="00670A0A"/>
    <w:rsid w:val="00670DA2"/>
    <w:rsid w:val="0067115F"/>
    <w:rsid w:val="0067179F"/>
    <w:rsid w:val="0067188C"/>
    <w:rsid w:val="00672135"/>
    <w:rsid w:val="0067239C"/>
    <w:rsid w:val="00672437"/>
    <w:rsid w:val="00672705"/>
    <w:rsid w:val="00673B5C"/>
    <w:rsid w:val="00674044"/>
    <w:rsid w:val="0067431B"/>
    <w:rsid w:val="006746E9"/>
    <w:rsid w:val="006749D6"/>
    <w:rsid w:val="00674BA7"/>
    <w:rsid w:val="00674D92"/>
    <w:rsid w:val="00674DB0"/>
    <w:rsid w:val="006755C9"/>
    <w:rsid w:val="00675C74"/>
    <w:rsid w:val="00675D33"/>
    <w:rsid w:val="00676B7A"/>
    <w:rsid w:val="00676F76"/>
    <w:rsid w:val="00677F91"/>
    <w:rsid w:val="00677FE2"/>
    <w:rsid w:val="006805D3"/>
    <w:rsid w:val="006805EB"/>
    <w:rsid w:val="0068099E"/>
    <w:rsid w:val="00680F8B"/>
    <w:rsid w:val="006812E7"/>
    <w:rsid w:val="006815CE"/>
    <w:rsid w:val="0068212D"/>
    <w:rsid w:val="006825B7"/>
    <w:rsid w:val="00682A56"/>
    <w:rsid w:val="00682B6B"/>
    <w:rsid w:val="006830FB"/>
    <w:rsid w:val="00683127"/>
    <w:rsid w:val="006831CD"/>
    <w:rsid w:val="00683530"/>
    <w:rsid w:val="00683E8E"/>
    <w:rsid w:val="006843E0"/>
    <w:rsid w:val="00684891"/>
    <w:rsid w:val="00684E7A"/>
    <w:rsid w:val="00685129"/>
    <w:rsid w:val="00685B74"/>
    <w:rsid w:val="00685BE8"/>
    <w:rsid w:val="00685D69"/>
    <w:rsid w:val="006866F6"/>
    <w:rsid w:val="00686D8A"/>
    <w:rsid w:val="0069099F"/>
    <w:rsid w:val="00691436"/>
    <w:rsid w:val="00691962"/>
    <w:rsid w:val="00691C88"/>
    <w:rsid w:val="00691C98"/>
    <w:rsid w:val="00692010"/>
    <w:rsid w:val="0069217A"/>
    <w:rsid w:val="006921F3"/>
    <w:rsid w:val="006925C5"/>
    <w:rsid w:val="006935AF"/>
    <w:rsid w:val="00693702"/>
    <w:rsid w:val="00693A9A"/>
    <w:rsid w:val="00693F03"/>
    <w:rsid w:val="0069418F"/>
    <w:rsid w:val="006943E4"/>
    <w:rsid w:val="00694A88"/>
    <w:rsid w:val="006950DB"/>
    <w:rsid w:val="006951B5"/>
    <w:rsid w:val="006953B7"/>
    <w:rsid w:val="00695447"/>
    <w:rsid w:val="0069585B"/>
    <w:rsid w:val="00695FF6"/>
    <w:rsid w:val="0069658D"/>
    <w:rsid w:val="00696722"/>
    <w:rsid w:val="00696847"/>
    <w:rsid w:val="00696AA3"/>
    <w:rsid w:val="00696ACE"/>
    <w:rsid w:val="00696FFD"/>
    <w:rsid w:val="00697522"/>
    <w:rsid w:val="006A0076"/>
    <w:rsid w:val="006A0A41"/>
    <w:rsid w:val="006A13B6"/>
    <w:rsid w:val="006A13FA"/>
    <w:rsid w:val="006A16F6"/>
    <w:rsid w:val="006A17EB"/>
    <w:rsid w:val="006A1888"/>
    <w:rsid w:val="006A1A87"/>
    <w:rsid w:val="006A1C64"/>
    <w:rsid w:val="006A2916"/>
    <w:rsid w:val="006A2F03"/>
    <w:rsid w:val="006A335A"/>
    <w:rsid w:val="006A39A5"/>
    <w:rsid w:val="006A4472"/>
    <w:rsid w:val="006A53E3"/>
    <w:rsid w:val="006A5B20"/>
    <w:rsid w:val="006A6306"/>
    <w:rsid w:val="006A66DB"/>
    <w:rsid w:val="006A7492"/>
    <w:rsid w:val="006A78F5"/>
    <w:rsid w:val="006B0022"/>
    <w:rsid w:val="006B012D"/>
    <w:rsid w:val="006B084B"/>
    <w:rsid w:val="006B0A0D"/>
    <w:rsid w:val="006B0CAA"/>
    <w:rsid w:val="006B1970"/>
    <w:rsid w:val="006B1D2A"/>
    <w:rsid w:val="006B1E33"/>
    <w:rsid w:val="006B1E3C"/>
    <w:rsid w:val="006B2B30"/>
    <w:rsid w:val="006B2D69"/>
    <w:rsid w:val="006B307C"/>
    <w:rsid w:val="006B3B5E"/>
    <w:rsid w:val="006B3EDB"/>
    <w:rsid w:val="006B411E"/>
    <w:rsid w:val="006B41CB"/>
    <w:rsid w:val="006B4274"/>
    <w:rsid w:val="006B4834"/>
    <w:rsid w:val="006B4AA4"/>
    <w:rsid w:val="006B50BB"/>
    <w:rsid w:val="006B5555"/>
    <w:rsid w:val="006B612F"/>
    <w:rsid w:val="006B692E"/>
    <w:rsid w:val="006B6A44"/>
    <w:rsid w:val="006B6AB2"/>
    <w:rsid w:val="006B6FCD"/>
    <w:rsid w:val="006B7276"/>
    <w:rsid w:val="006B745E"/>
    <w:rsid w:val="006B748A"/>
    <w:rsid w:val="006B7536"/>
    <w:rsid w:val="006C0235"/>
    <w:rsid w:val="006C055E"/>
    <w:rsid w:val="006C07C9"/>
    <w:rsid w:val="006C08B3"/>
    <w:rsid w:val="006C0C04"/>
    <w:rsid w:val="006C186F"/>
    <w:rsid w:val="006C2224"/>
    <w:rsid w:val="006C2C24"/>
    <w:rsid w:val="006C31C1"/>
    <w:rsid w:val="006C37BF"/>
    <w:rsid w:val="006C393A"/>
    <w:rsid w:val="006C3CBC"/>
    <w:rsid w:val="006C3D16"/>
    <w:rsid w:val="006C3F68"/>
    <w:rsid w:val="006C4767"/>
    <w:rsid w:val="006C4FCA"/>
    <w:rsid w:val="006C5357"/>
    <w:rsid w:val="006C5545"/>
    <w:rsid w:val="006C55B4"/>
    <w:rsid w:val="006C6212"/>
    <w:rsid w:val="006C6816"/>
    <w:rsid w:val="006C6B81"/>
    <w:rsid w:val="006C6E0F"/>
    <w:rsid w:val="006C734B"/>
    <w:rsid w:val="006C750D"/>
    <w:rsid w:val="006C7C91"/>
    <w:rsid w:val="006D02A3"/>
    <w:rsid w:val="006D065D"/>
    <w:rsid w:val="006D0743"/>
    <w:rsid w:val="006D1206"/>
    <w:rsid w:val="006D17D9"/>
    <w:rsid w:val="006D1D05"/>
    <w:rsid w:val="006D2978"/>
    <w:rsid w:val="006D2A24"/>
    <w:rsid w:val="006D2A2C"/>
    <w:rsid w:val="006D2B3F"/>
    <w:rsid w:val="006D2BEB"/>
    <w:rsid w:val="006D2C72"/>
    <w:rsid w:val="006D2D6F"/>
    <w:rsid w:val="006D2E80"/>
    <w:rsid w:val="006D3631"/>
    <w:rsid w:val="006D364E"/>
    <w:rsid w:val="006D4DAA"/>
    <w:rsid w:val="006D531E"/>
    <w:rsid w:val="006D5C00"/>
    <w:rsid w:val="006D607A"/>
    <w:rsid w:val="006D60E8"/>
    <w:rsid w:val="006D61AF"/>
    <w:rsid w:val="006D628E"/>
    <w:rsid w:val="006D645C"/>
    <w:rsid w:val="006D6C99"/>
    <w:rsid w:val="006D721D"/>
    <w:rsid w:val="006D7467"/>
    <w:rsid w:val="006D7A72"/>
    <w:rsid w:val="006D7D6D"/>
    <w:rsid w:val="006E097E"/>
    <w:rsid w:val="006E0D0F"/>
    <w:rsid w:val="006E0E85"/>
    <w:rsid w:val="006E12E8"/>
    <w:rsid w:val="006E1A6C"/>
    <w:rsid w:val="006E1BCE"/>
    <w:rsid w:val="006E1C6B"/>
    <w:rsid w:val="006E1DF3"/>
    <w:rsid w:val="006E2104"/>
    <w:rsid w:val="006E2514"/>
    <w:rsid w:val="006E2B6D"/>
    <w:rsid w:val="006E2E69"/>
    <w:rsid w:val="006E2F17"/>
    <w:rsid w:val="006E3310"/>
    <w:rsid w:val="006E3DC2"/>
    <w:rsid w:val="006E3F8E"/>
    <w:rsid w:val="006E4214"/>
    <w:rsid w:val="006E4466"/>
    <w:rsid w:val="006E4FD3"/>
    <w:rsid w:val="006E5249"/>
    <w:rsid w:val="006E5C6D"/>
    <w:rsid w:val="006E5FC5"/>
    <w:rsid w:val="006E60AA"/>
    <w:rsid w:val="006E70C5"/>
    <w:rsid w:val="006E7389"/>
    <w:rsid w:val="006E7463"/>
    <w:rsid w:val="006F003E"/>
    <w:rsid w:val="006F00C9"/>
    <w:rsid w:val="006F016A"/>
    <w:rsid w:val="006F0299"/>
    <w:rsid w:val="006F0462"/>
    <w:rsid w:val="006F08CE"/>
    <w:rsid w:val="006F094B"/>
    <w:rsid w:val="006F0D53"/>
    <w:rsid w:val="006F160B"/>
    <w:rsid w:val="006F1954"/>
    <w:rsid w:val="006F1E4D"/>
    <w:rsid w:val="006F24AD"/>
    <w:rsid w:val="006F289E"/>
    <w:rsid w:val="006F3538"/>
    <w:rsid w:val="006F37DB"/>
    <w:rsid w:val="006F3947"/>
    <w:rsid w:val="006F3ACE"/>
    <w:rsid w:val="006F431B"/>
    <w:rsid w:val="006F46D6"/>
    <w:rsid w:val="006F4DEE"/>
    <w:rsid w:val="006F4F44"/>
    <w:rsid w:val="006F5B84"/>
    <w:rsid w:val="006F6249"/>
    <w:rsid w:val="006F6EAE"/>
    <w:rsid w:val="006F7065"/>
    <w:rsid w:val="006F7C01"/>
    <w:rsid w:val="006F7CCF"/>
    <w:rsid w:val="006F7F5F"/>
    <w:rsid w:val="0070014E"/>
    <w:rsid w:val="00700301"/>
    <w:rsid w:val="007007B4"/>
    <w:rsid w:val="00701007"/>
    <w:rsid w:val="00701BFF"/>
    <w:rsid w:val="00701E27"/>
    <w:rsid w:val="00701E31"/>
    <w:rsid w:val="00702064"/>
    <w:rsid w:val="0070220B"/>
    <w:rsid w:val="00703405"/>
    <w:rsid w:val="007036B5"/>
    <w:rsid w:val="0070386E"/>
    <w:rsid w:val="00704081"/>
    <w:rsid w:val="007040B0"/>
    <w:rsid w:val="007050F1"/>
    <w:rsid w:val="0070584B"/>
    <w:rsid w:val="00705C25"/>
    <w:rsid w:val="00705C82"/>
    <w:rsid w:val="00706182"/>
    <w:rsid w:val="007062A4"/>
    <w:rsid w:val="007062D3"/>
    <w:rsid w:val="007063F1"/>
    <w:rsid w:val="00706B62"/>
    <w:rsid w:val="00706F19"/>
    <w:rsid w:val="00707E26"/>
    <w:rsid w:val="00710B35"/>
    <w:rsid w:val="00710D6D"/>
    <w:rsid w:val="00710E12"/>
    <w:rsid w:val="00711522"/>
    <w:rsid w:val="007116E8"/>
    <w:rsid w:val="0071177C"/>
    <w:rsid w:val="00711A5E"/>
    <w:rsid w:val="0071269B"/>
    <w:rsid w:val="00712A2E"/>
    <w:rsid w:val="00712B80"/>
    <w:rsid w:val="00712EFA"/>
    <w:rsid w:val="007137B5"/>
    <w:rsid w:val="0071398C"/>
    <w:rsid w:val="00713D3C"/>
    <w:rsid w:val="00713F6A"/>
    <w:rsid w:val="00714B04"/>
    <w:rsid w:val="00715031"/>
    <w:rsid w:val="007170B1"/>
    <w:rsid w:val="007170EE"/>
    <w:rsid w:val="00717184"/>
    <w:rsid w:val="00717740"/>
    <w:rsid w:val="00717D45"/>
    <w:rsid w:val="007202E5"/>
    <w:rsid w:val="0072071A"/>
    <w:rsid w:val="00720A56"/>
    <w:rsid w:val="00720F0D"/>
    <w:rsid w:val="00720FE5"/>
    <w:rsid w:val="0072102C"/>
    <w:rsid w:val="0072114D"/>
    <w:rsid w:val="0072127B"/>
    <w:rsid w:val="007220BF"/>
    <w:rsid w:val="007227AE"/>
    <w:rsid w:val="00722CBF"/>
    <w:rsid w:val="00723727"/>
    <w:rsid w:val="00723CE3"/>
    <w:rsid w:val="00723E88"/>
    <w:rsid w:val="00724247"/>
    <w:rsid w:val="007245EB"/>
    <w:rsid w:val="00724FED"/>
    <w:rsid w:val="00726320"/>
    <w:rsid w:val="007270C4"/>
    <w:rsid w:val="007272AD"/>
    <w:rsid w:val="0072758B"/>
    <w:rsid w:val="00727973"/>
    <w:rsid w:val="007300B5"/>
    <w:rsid w:val="007301CF"/>
    <w:rsid w:val="0073023A"/>
    <w:rsid w:val="007308A1"/>
    <w:rsid w:val="007312A2"/>
    <w:rsid w:val="00731319"/>
    <w:rsid w:val="00731722"/>
    <w:rsid w:val="007317B3"/>
    <w:rsid w:val="00731993"/>
    <w:rsid w:val="00731DF2"/>
    <w:rsid w:val="007324EF"/>
    <w:rsid w:val="00732C36"/>
    <w:rsid w:val="00732EED"/>
    <w:rsid w:val="00734463"/>
    <w:rsid w:val="00734640"/>
    <w:rsid w:val="00734644"/>
    <w:rsid w:val="00734699"/>
    <w:rsid w:val="007346D4"/>
    <w:rsid w:val="00734A8A"/>
    <w:rsid w:val="00735174"/>
    <w:rsid w:val="00735713"/>
    <w:rsid w:val="0073578F"/>
    <w:rsid w:val="0073598C"/>
    <w:rsid w:val="00735AF8"/>
    <w:rsid w:val="0073675E"/>
    <w:rsid w:val="00737322"/>
    <w:rsid w:val="00737ACB"/>
    <w:rsid w:val="00737FB5"/>
    <w:rsid w:val="007404FD"/>
    <w:rsid w:val="00740A0D"/>
    <w:rsid w:val="00740F40"/>
    <w:rsid w:val="00740FD7"/>
    <w:rsid w:val="007413C4"/>
    <w:rsid w:val="007415A3"/>
    <w:rsid w:val="007417FD"/>
    <w:rsid w:val="00741951"/>
    <w:rsid w:val="007421BB"/>
    <w:rsid w:val="007423F2"/>
    <w:rsid w:val="0074257A"/>
    <w:rsid w:val="00742D29"/>
    <w:rsid w:val="0074341C"/>
    <w:rsid w:val="007436AC"/>
    <w:rsid w:val="00743DBE"/>
    <w:rsid w:val="007442F3"/>
    <w:rsid w:val="00744879"/>
    <w:rsid w:val="007448DE"/>
    <w:rsid w:val="007455B8"/>
    <w:rsid w:val="007458C1"/>
    <w:rsid w:val="00745965"/>
    <w:rsid w:val="00745AA6"/>
    <w:rsid w:val="00746568"/>
    <w:rsid w:val="0074700C"/>
    <w:rsid w:val="00747231"/>
    <w:rsid w:val="007472D5"/>
    <w:rsid w:val="00747758"/>
    <w:rsid w:val="0074778B"/>
    <w:rsid w:val="007477A9"/>
    <w:rsid w:val="00747A9C"/>
    <w:rsid w:val="00750030"/>
    <w:rsid w:val="007501F4"/>
    <w:rsid w:val="007509AF"/>
    <w:rsid w:val="00750B34"/>
    <w:rsid w:val="00750BF0"/>
    <w:rsid w:val="007514B6"/>
    <w:rsid w:val="00751E3B"/>
    <w:rsid w:val="00752588"/>
    <w:rsid w:val="0075277D"/>
    <w:rsid w:val="007528D5"/>
    <w:rsid w:val="00752A53"/>
    <w:rsid w:val="00752F98"/>
    <w:rsid w:val="00753064"/>
    <w:rsid w:val="007530F8"/>
    <w:rsid w:val="007542E5"/>
    <w:rsid w:val="00754316"/>
    <w:rsid w:val="0075452B"/>
    <w:rsid w:val="00754934"/>
    <w:rsid w:val="007549E3"/>
    <w:rsid w:val="00754A16"/>
    <w:rsid w:val="00754CB2"/>
    <w:rsid w:val="00755DE9"/>
    <w:rsid w:val="00755F5F"/>
    <w:rsid w:val="0075609A"/>
    <w:rsid w:val="00756863"/>
    <w:rsid w:val="00756A43"/>
    <w:rsid w:val="00756D11"/>
    <w:rsid w:val="00756D74"/>
    <w:rsid w:val="00756F3D"/>
    <w:rsid w:val="007573D2"/>
    <w:rsid w:val="00757535"/>
    <w:rsid w:val="00757A18"/>
    <w:rsid w:val="00757BCF"/>
    <w:rsid w:val="00757FA5"/>
    <w:rsid w:val="007603A2"/>
    <w:rsid w:val="00760B1A"/>
    <w:rsid w:val="00760F20"/>
    <w:rsid w:val="0076174D"/>
    <w:rsid w:val="00761908"/>
    <w:rsid w:val="00761DD7"/>
    <w:rsid w:val="0076211A"/>
    <w:rsid w:val="0076232C"/>
    <w:rsid w:val="007623F1"/>
    <w:rsid w:val="00762733"/>
    <w:rsid w:val="007629FF"/>
    <w:rsid w:val="0076301C"/>
    <w:rsid w:val="0076326D"/>
    <w:rsid w:val="0076442F"/>
    <w:rsid w:val="007644CA"/>
    <w:rsid w:val="0076455A"/>
    <w:rsid w:val="007647F1"/>
    <w:rsid w:val="00764896"/>
    <w:rsid w:val="00764AC4"/>
    <w:rsid w:val="00764DA5"/>
    <w:rsid w:val="00764FE6"/>
    <w:rsid w:val="00765072"/>
    <w:rsid w:val="007659C1"/>
    <w:rsid w:val="007659D7"/>
    <w:rsid w:val="00765E8B"/>
    <w:rsid w:val="007662F3"/>
    <w:rsid w:val="00766725"/>
    <w:rsid w:val="00766EDB"/>
    <w:rsid w:val="00767060"/>
    <w:rsid w:val="00767C73"/>
    <w:rsid w:val="00767DBB"/>
    <w:rsid w:val="007701C2"/>
    <w:rsid w:val="007703BE"/>
    <w:rsid w:val="007708C7"/>
    <w:rsid w:val="00770920"/>
    <w:rsid w:val="00770D75"/>
    <w:rsid w:val="00770FE5"/>
    <w:rsid w:val="0077161C"/>
    <w:rsid w:val="0077198E"/>
    <w:rsid w:val="00771E3F"/>
    <w:rsid w:val="00772205"/>
    <w:rsid w:val="007724F8"/>
    <w:rsid w:val="00772584"/>
    <w:rsid w:val="00772718"/>
    <w:rsid w:val="007729B4"/>
    <w:rsid w:val="00772FFB"/>
    <w:rsid w:val="00773331"/>
    <w:rsid w:val="0077352E"/>
    <w:rsid w:val="0077383F"/>
    <w:rsid w:val="00773A26"/>
    <w:rsid w:val="00773A2A"/>
    <w:rsid w:val="00773BD5"/>
    <w:rsid w:val="00773BF7"/>
    <w:rsid w:val="00773CA1"/>
    <w:rsid w:val="00774431"/>
    <w:rsid w:val="00774438"/>
    <w:rsid w:val="007753C7"/>
    <w:rsid w:val="007757C5"/>
    <w:rsid w:val="0077592A"/>
    <w:rsid w:val="00775C77"/>
    <w:rsid w:val="00775CE8"/>
    <w:rsid w:val="007765C8"/>
    <w:rsid w:val="00776669"/>
    <w:rsid w:val="00776849"/>
    <w:rsid w:val="00776A62"/>
    <w:rsid w:val="00776F82"/>
    <w:rsid w:val="0077716C"/>
    <w:rsid w:val="00777570"/>
    <w:rsid w:val="0078002E"/>
    <w:rsid w:val="00780197"/>
    <w:rsid w:val="0078042D"/>
    <w:rsid w:val="007805BD"/>
    <w:rsid w:val="00780623"/>
    <w:rsid w:val="007806C7"/>
    <w:rsid w:val="00780B2D"/>
    <w:rsid w:val="007811E0"/>
    <w:rsid w:val="00781D38"/>
    <w:rsid w:val="00781EBC"/>
    <w:rsid w:val="007821FD"/>
    <w:rsid w:val="0078238C"/>
    <w:rsid w:val="0078259D"/>
    <w:rsid w:val="007825E8"/>
    <w:rsid w:val="00782722"/>
    <w:rsid w:val="00782B64"/>
    <w:rsid w:val="0078304F"/>
    <w:rsid w:val="00783A35"/>
    <w:rsid w:val="00783A45"/>
    <w:rsid w:val="00783DD5"/>
    <w:rsid w:val="0078414E"/>
    <w:rsid w:val="00784AB9"/>
    <w:rsid w:val="00784E59"/>
    <w:rsid w:val="00784ECA"/>
    <w:rsid w:val="00784FCC"/>
    <w:rsid w:val="00785B9D"/>
    <w:rsid w:val="00786B60"/>
    <w:rsid w:val="00786BDB"/>
    <w:rsid w:val="00786F00"/>
    <w:rsid w:val="00787081"/>
    <w:rsid w:val="007870E3"/>
    <w:rsid w:val="00787299"/>
    <w:rsid w:val="0078791B"/>
    <w:rsid w:val="00790071"/>
    <w:rsid w:val="00790098"/>
    <w:rsid w:val="00790223"/>
    <w:rsid w:val="0079027D"/>
    <w:rsid w:val="007902F4"/>
    <w:rsid w:val="00790A66"/>
    <w:rsid w:val="007910B2"/>
    <w:rsid w:val="007916D3"/>
    <w:rsid w:val="00791994"/>
    <w:rsid w:val="00791A5F"/>
    <w:rsid w:val="00791C92"/>
    <w:rsid w:val="00791E09"/>
    <w:rsid w:val="00792393"/>
    <w:rsid w:val="00793123"/>
    <w:rsid w:val="007932EF"/>
    <w:rsid w:val="00793D97"/>
    <w:rsid w:val="0079411E"/>
    <w:rsid w:val="00794233"/>
    <w:rsid w:val="007948A1"/>
    <w:rsid w:val="00794D83"/>
    <w:rsid w:val="007963B7"/>
    <w:rsid w:val="00796807"/>
    <w:rsid w:val="007971A6"/>
    <w:rsid w:val="00797E8B"/>
    <w:rsid w:val="00797FEA"/>
    <w:rsid w:val="007A0A13"/>
    <w:rsid w:val="007A0A5E"/>
    <w:rsid w:val="007A0E3E"/>
    <w:rsid w:val="007A106A"/>
    <w:rsid w:val="007A10C8"/>
    <w:rsid w:val="007A10DE"/>
    <w:rsid w:val="007A11B6"/>
    <w:rsid w:val="007A1817"/>
    <w:rsid w:val="007A25E2"/>
    <w:rsid w:val="007A26FE"/>
    <w:rsid w:val="007A2E97"/>
    <w:rsid w:val="007A3156"/>
    <w:rsid w:val="007A3187"/>
    <w:rsid w:val="007A35AB"/>
    <w:rsid w:val="007A400C"/>
    <w:rsid w:val="007A4D55"/>
    <w:rsid w:val="007A4FF6"/>
    <w:rsid w:val="007A50C2"/>
    <w:rsid w:val="007A50CC"/>
    <w:rsid w:val="007A55B4"/>
    <w:rsid w:val="007A607A"/>
    <w:rsid w:val="007A6E40"/>
    <w:rsid w:val="007A6E79"/>
    <w:rsid w:val="007A73F0"/>
    <w:rsid w:val="007A76D9"/>
    <w:rsid w:val="007A774B"/>
    <w:rsid w:val="007A77DA"/>
    <w:rsid w:val="007A7892"/>
    <w:rsid w:val="007A7E46"/>
    <w:rsid w:val="007A7EEB"/>
    <w:rsid w:val="007B0817"/>
    <w:rsid w:val="007B172C"/>
    <w:rsid w:val="007B1ADF"/>
    <w:rsid w:val="007B1C40"/>
    <w:rsid w:val="007B1D34"/>
    <w:rsid w:val="007B1F41"/>
    <w:rsid w:val="007B2436"/>
    <w:rsid w:val="007B3645"/>
    <w:rsid w:val="007B3761"/>
    <w:rsid w:val="007B49CB"/>
    <w:rsid w:val="007B4D04"/>
    <w:rsid w:val="007B5413"/>
    <w:rsid w:val="007B611E"/>
    <w:rsid w:val="007B6224"/>
    <w:rsid w:val="007B64F8"/>
    <w:rsid w:val="007B6544"/>
    <w:rsid w:val="007B6592"/>
    <w:rsid w:val="007B6673"/>
    <w:rsid w:val="007B6C07"/>
    <w:rsid w:val="007B6D42"/>
    <w:rsid w:val="007B6EE9"/>
    <w:rsid w:val="007B72EC"/>
    <w:rsid w:val="007B736C"/>
    <w:rsid w:val="007B7855"/>
    <w:rsid w:val="007B7FC3"/>
    <w:rsid w:val="007C168D"/>
    <w:rsid w:val="007C1A74"/>
    <w:rsid w:val="007C2A0E"/>
    <w:rsid w:val="007C2CA3"/>
    <w:rsid w:val="007C2D67"/>
    <w:rsid w:val="007C2F97"/>
    <w:rsid w:val="007C30DF"/>
    <w:rsid w:val="007C37BA"/>
    <w:rsid w:val="007C3CF0"/>
    <w:rsid w:val="007C410B"/>
    <w:rsid w:val="007C41B6"/>
    <w:rsid w:val="007C447D"/>
    <w:rsid w:val="007C47AF"/>
    <w:rsid w:val="007C4EA2"/>
    <w:rsid w:val="007C5343"/>
    <w:rsid w:val="007C55C1"/>
    <w:rsid w:val="007C5D85"/>
    <w:rsid w:val="007C60F9"/>
    <w:rsid w:val="007C6359"/>
    <w:rsid w:val="007C67AA"/>
    <w:rsid w:val="007C6F87"/>
    <w:rsid w:val="007C778E"/>
    <w:rsid w:val="007D0347"/>
    <w:rsid w:val="007D0568"/>
    <w:rsid w:val="007D08C6"/>
    <w:rsid w:val="007D09C0"/>
    <w:rsid w:val="007D0E74"/>
    <w:rsid w:val="007D1512"/>
    <w:rsid w:val="007D16E7"/>
    <w:rsid w:val="007D1DC9"/>
    <w:rsid w:val="007D1E62"/>
    <w:rsid w:val="007D1EC3"/>
    <w:rsid w:val="007D1F1C"/>
    <w:rsid w:val="007D21C3"/>
    <w:rsid w:val="007D22AF"/>
    <w:rsid w:val="007D29FE"/>
    <w:rsid w:val="007D2A50"/>
    <w:rsid w:val="007D2AEC"/>
    <w:rsid w:val="007D3570"/>
    <w:rsid w:val="007D3B4B"/>
    <w:rsid w:val="007D4825"/>
    <w:rsid w:val="007D4BD1"/>
    <w:rsid w:val="007D4E72"/>
    <w:rsid w:val="007D4F90"/>
    <w:rsid w:val="007D53DA"/>
    <w:rsid w:val="007D5461"/>
    <w:rsid w:val="007D5462"/>
    <w:rsid w:val="007D54F5"/>
    <w:rsid w:val="007D584D"/>
    <w:rsid w:val="007D5CC7"/>
    <w:rsid w:val="007D670F"/>
    <w:rsid w:val="007D6858"/>
    <w:rsid w:val="007D7451"/>
    <w:rsid w:val="007D75C8"/>
    <w:rsid w:val="007D77BC"/>
    <w:rsid w:val="007D7B62"/>
    <w:rsid w:val="007E01D9"/>
    <w:rsid w:val="007E0376"/>
    <w:rsid w:val="007E05B0"/>
    <w:rsid w:val="007E0A85"/>
    <w:rsid w:val="007E1275"/>
    <w:rsid w:val="007E1328"/>
    <w:rsid w:val="007E1348"/>
    <w:rsid w:val="007E156B"/>
    <w:rsid w:val="007E1708"/>
    <w:rsid w:val="007E2ED9"/>
    <w:rsid w:val="007E3CC2"/>
    <w:rsid w:val="007E3CD1"/>
    <w:rsid w:val="007E3ED7"/>
    <w:rsid w:val="007E43F8"/>
    <w:rsid w:val="007E4C23"/>
    <w:rsid w:val="007E4EC8"/>
    <w:rsid w:val="007E549E"/>
    <w:rsid w:val="007E563B"/>
    <w:rsid w:val="007E5C11"/>
    <w:rsid w:val="007E5F1C"/>
    <w:rsid w:val="007E60E2"/>
    <w:rsid w:val="007E69E5"/>
    <w:rsid w:val="007E78B2"/>
    <w:rsid w:val="007F0385"/>
    <w:rsid w:val="007F09EE"/>
    <w:rsid w:val="007F0D3E"/>
    <w:rsid w:val="007F1394"/>
    <w:rsid w:val="007F17C6"/>
    <w:rsid w:val="007F29B8"/>
    <w:rsid w:val="007F2BAD"/>
    <w:rsid w:val="007F2C58"/>
    <w:rsid w:val="007F2F17"/>
    <w:rsid w:val="007F31F7"/>
    <w:rsid w:val="007F322B"/>
    <w:rsid w:val="007F33AA"/>
    <w:rsid w:val="007F3BC0"/>
    <w:rsid w:val="007F3C77"/>
    <w:rsid w:val="007F4C8D"/>
    <w:rsid w:val="007F5074"/>
    <w:rsid w:val="007F5419"/>
    <w:rsid w:val="007F5AB9"/>
    <w:rsid w:val="007F5F73"/>
    <w:rsid w:val="007F6090"/>
    <w:rsid w:val="007F6323"/>
    <w:rsid w:val="007F6C8F"/>
    <w:rsid w:val="007F7243"/>
    <w:rsid w:val="007F74B5"/>
    <w:rsid w:val="007F7AD0"/>
    <w:rsid w:val="007F7B15"/>
    <w:rsid w:val="007F7B68"/>
    <w:rsid w:val="00800B33"/>
    <w:rsid w:val="0080121A"/>
    <w:rsid w:val="00802126"/>
    <w:rsid w:val="008022DE"/>
    <w:rsid w:val="00802473"/>
    <w:rsid w:val="00802E82"/>
    <w:rsid w:val="008034EE"/>
    <w:rsid w:val="00803C57"/>
    <w:rsid w:val="00803D16"/>
    <w:rsid w:val="00803EBB"/>
    <w:rsid w:val="008047EF"/>
    <w:rsid w:val="00804B90"/>
    <w:rsid w:val="00805103"/>
    <w:rsid w:val="0080559D"/>
    <w:rsid w:val="008055EA"/>
    <w:rsid w:val="00805828"/>
    <w:rsid w:val="00805ADB"/>
    <w:rsid w:val="00805E0C"/>
    <w:rsid w:val="00806096"/>
    <w:rsid w:val="00807003"/>
    <w:rsid w:val="00807120"/>
    <w:rsid w:val="008075A6"/>
    <w:rsid w:val="008077A0"/>
    <w:rsid w:val="00807C56"/>
    <w:rsid w:val="00807EA1"/>
    <w:rsid w:val="0081043C"/>
    <w:rsid w:val="00810FF9"/>
    <w:rsid w:val="00811064"/>
    <w:rsid w:val="00811562"/>
    <w:rsid w:val="00811BC8"/>
    <w:rsid w:val="00812196"/>
    <w:rsid w:val="008125AE"/>
    <w:rsid w:val="0081296E"/>
    <w:rsid w:val="00812D00"/>
    <w:rsid w:val="00812EE6"/>
    <w:rsid w:val="008138B3"/>
    <w:rsid w:val="00813FDE"/>
    <w:rsid w:val="008141F1"/>
    <w:rsid w:val="00815175"/>
    <w:rsid w:val="00815236"/>
    <w:rsid w:val="008152AF"/>
    <w:rsid w:val="0081667E"/>
    <w:rsid w:val="00816710"/>
    <w:rsid w:val="00816AFF"/>
    <w:rsid w:val="00816B0E"/>
    <w:rsid w:val="00816B39"/>
    <w:rsid w:val="00816CB0"/>
    <w:rsid w:val="008174BA"/>
    <w:rsid w:val="0081756C"/>
    <w:rsid w:val="00820015"/>
    <w:rsid w:val="0082024F"/>
    <w:rsid w:val="008205F5"/>
    <w:rsid w:val="00820C2E"/>
    <w:rsid w:val="0082165A"/>
    <w:rsid w:val="00821C1A"/>
    <w:rsid w:val="0082208F"/>
    <w:rsid w:val="0082218C"/>
    <w:rsid w:val="00822234"/>
    <w:rsid w:val="008222A3"/>
    <w:rsid w:val="0082231B"/>
    <w:rsid w:val="00822421"/>
    <w:rsid w:val="00822475"/>
    <w:rsid w:val="0082292F"/>
    <w:rsid w:val="00822B66"/>
    <w:rsid w:val="0082344A"/>
    <w:rsid w:val="008236F2"/>
    <w:rsid w:val="008237D7"/>
    <w:rsid w:val="00823A0E"/>
    <w:rsid w:val="00823A9F"/>
    <w:rsid w:val="00823EF2"/>
    <w:rsid w:val="00824083"/>
    <w:rsid w:val="0082408D"/>
    <w:rsid w:val="00824351"/>
    <w:rsid w:val="0082463D"/>
    <w:rsid w:val="00824BCD"/>
    <w:rsid w:val="00824D72"/>
    <w:rsid w:val="008251BC"/>
    <w:rsid w:val="008254ED"/>
    <w:rsid w:val="00825726"/>
    <w:rsid w:val="00825CB2"/>
    <w:rsid w:val="00825F9D"/>
    <w:rsid w:val="00826577"/>
    <w:rsid w:val="00826C22"/>
    <w:rsid w:val="0082740D"/>
    <w:rsid w:val="0082794C"/>
    <w:rsid w:val="00827DFF"/>
    <w:rsid w:val="0083057F"/>
    <w:rsid w:val="00830709"/>
    <w:rsid w:val="00830EB6"/>
    <w:rsid w:val="0083110A"/>
    <w:rsid w:val="008318DB"/>
    <w:rsid w:val="00831C12"/>
    <w:rsid w:val="00831E48"/>
    <w:rsid w:val="00832256"/>
    <w:rsid w:val="008327D5"/>
    <w:rsid w:val="00832F66"/>
    <w:rsid w:val="0083345F"/>
    <w:rsid w:val="00833AC2"/>
    <w:rsid w:val="00833EC0"/>
    <w:rsid w:val="00834275"/>
    <w:rsid w:val="00834546"/>
    <w:rsid w:val="008345B6"/>
    <w:rsid w:val="00834652"/>
    <w:rsid w:val="00834CDB"/>
    <w:rsid w:val="008351E9"/>
    <w:rsid w:val="0083523C"/>
    <w:rsid w:val="008358F7"/>
    <w:rsid w:val="0083609D"/>
    <w:rsid w:val="00836261"/>
    <w:rsid w:val="00836428"/>
    <w:rsid w:val="00836724"/>
    <w:rsid w:val="008378D6"/>
    <w:rsid w:val="00837939"/>
    <w:rsid w:val="00840051"/>
    <w:rsid w:val="008408D7"/>
    <w:rsid w:val="008409DC"/>
    <w:rsid w:val="0084109E"/>
    <w:rsid w:val="008414F4"/>
    <w:rsid w:val="0084170B"/>
    <w:rsid w:val="00841771"/>
    <w:rsid w:val="00841962"/>
    <w:rsid w:val="00841C5A"/>
    <w:rsid w:val="00841DC5"/>
    <w:rsid w:val="00842186"/>
    <w:rsid w:val="008422C0"/>
    <w:rsid w:val="00843172"/>
    <w:rsid w:val="0084352C"/>
    <w:rsid w:val="0084468C"/>
    <w:rsid w:val="008448BA"/>
    <w:rsid w:val="00844A4E"/>
    <w:rsid w:val="00844ED3"/>
    <w:rsid w:val="008450E5"/>
    <w:rsid w:val="0084536B"/>
    <w:rsid w:val="00845791"/>
    <w:rsid w:val="008459E2"/>
    <w:rsid w:val="00845B3A"/>
    <w:rsid w:val="00845D8F"/>
    <w:rsid w:val="008460B2"/>
    <w:rsid w:val="00846445"/>
    <w:rsid w:val="00846929"/>
    <w:rsid w:val="008474A8"/>
    <w:rsid w:val="00847A6B"/>
    <w:rsid w:val="00847DDA"/>
    <w:rsid w:val="00847F53"/>
    <w:rsid w:val="0085023A"/>
    <w:rsid w:val="00850334"/>
    <w:rsid w:val="008503BA"/>
    <w:rsid w:val="00850660"/>
    <w:rsid w:val="008509E1"/>
    <w:rsid w:val="00850CFC"/>
    <w:rsid w:val="0085129D"/>
    <w:rsid w:val="008515BA"/>
    <w:rsid w:val="00851A38"/>
    <w:rsid w:val="00851D24"/>
    <w:rsid w:val="00851F25"/>
    <w:rsid w:val="00852144"/>
    <w:rsid w:val="008526E3"/>
    <w:rsid w:val="00852E81"/>
    <w:rsid w:val="008546F0"/>
    <w:rsid w:val="0085483F"/>
    <w:rsid w:val="00854ABD"/>
    <w:rsid w:val="008552B7"/>
    <w:rsid w:val="00855C93"/>
    <w:rsid w:val="00857119"/>
    <w:rsid w:val="008571F4"/>
    <w:rsid w:val="00857698"/>
    <w:rsid w:val="0086033A"/>
    <w:rsid w:val="008606B4"/>
    <w:rsid w:val="00860883"/>
    <w:rsid w:val="00861116"/>
    <w:rsid w:val="00861A58"/>
    <w:rsid w:val="00862263"/>
    <w:rsid w:val="00862294"/>
    <w:rsid w:val="00862BFD"/>
    <w:rsid w:val="00862C9C"/>
    <w:rsid w:val="008632AB"/>
    <w:rsid w:val="00863D16"/>
    <w:rsid w:val="0086432F"/>
    <w:rsid w:val="008643F4"/>
    <w:rsid w:val="00864BAE"/>
    <w:rsid w:val="008658C3"/>
    <w:rsid w:val="00865A09"/>
    <w:rsid w:val="0086674F"/>
    <w:rsid w:val="00866B7E"/>
    <w:rsid w:val="00867587"/>
    <w:rsid w:val="00867B87"/>
    <w:rsid w:val="0087010C"/>
    <w:rsid w:val="008708F4"/>
    <w:rsid w:val="00870962"/>
    <w:rsid w:val="008709C8"/>
    <w:rsid w:val="00870A9E"/>
    <w:rsid w:val="00870EBD"/>
    <w:rsid w:val="00872208"/>
    <w:rsid w:val="00872436"/>
    <w:rsid w:val="008728A1"/>
    <w:rsid w:val="00873286"/>
    <w:rsid w:val="00873577"/>
    <w:rsid w:val="008739A1"/>
    <w:rsid w:val="00873ECC"/>
    <w:rsid w:val="00874083"/>
    <w:rsid w:val="008742B7"/>
    <w:rsid w:val="008744BB"/>
    <w:rsid w:val="008744F0"/>
    <w:rsid w:val="008747C4"/>
    <w:rsid w:val="00874D22"/>
    <w:rsid w:val="00874D56"/>
    <w:rsid w:val="008751DE"/>
    <w:rsid w:val="00875906"/>
    <w:rsid w:val="00875A18"/>
    <w:rsid w:val="00875CF4"/>
    <w:rsid w:val="00875E1F"/>
    <w:rsid w:val="0087631F"/>
    <w:rsid w:val="0087638D"/>
    <w:rsid w:val="0087656F"/>
    <w:rsid w:val="008768A8"/>
    <w:rsid w:val="00876963"/>
    <w:rsid w:val="00876B59"/>
    <w:rsid w:val="00876E7C"/>
    <w:rsid w:val="00877436"/>
    <w:rsid w:val="008775DD"/>
    <w:rsid w:val="00877996"/>
    <w:rsid w:val="00877C22"/>
    <w:rsid w:val="00877C66"/>
    <w:rsid w:val="00880693"/>
    <w:rsid w:val="00880935"/>
    <w:rsid w:val="0088118F"/>
    <w:rsid w:val="00881471"/>
    <w:rsid w:val="008814AE"/>
    <w:rsid w:val="00881AFE"/>
    <w:rsid w:val="0088213E"/>
    <w:rsid w:val="00882525"/>
    <w:rsid w:val="00882DDC"/>
    <w:rsid w:val="00883144"/>
    <w:rsid w:val="0088329F"/>
    <w:rsid w:val="00883579"/>
    <w:rsid w:val="00883F9F"/>
    <w:rsid w:val="008842BC"/>
    <w:rsid w:val="0088446B"/>
    <w:rsid w:val="00884552"/>
    <w:rsid w:val="00884BFB"/>
    <w:rsid w:val="00885F19"/>
    <w:rsid w:val="008860DB"/>
    <w:rsid w:val="0088617E"/>
    <w:rsid w:val="008869A1"/>
    <w:rsid w:val="00886EC5"/>
    <w:rsid w:val="00887E37"/>
    <w:rsid w:val="00887EE6"/>
    <w:rsid w:val="008910A8"/>
    <w:rsid w:val="00891573"/>
    <w:rsid w:val="0089160D"/>
    <w:rsid w:val="00891A0A"/>
    <w:rsid w:val="00891AD9"/>
    <w:rsid w:val="00891C09"/>
    <w:rsid w:val="00891DF4"/>
    <w:rsid w:val="00891E71"/>
    <w:rsid w:val="00892394"/>
    <w:rsid w:val="00892957"/>
    <w:rsid w:val="00892F41"/>
    <w:rsid w:val="008932FA"/>
    <w:rsid w:val="00893CE2"/>
    <w:rsid w:val="008940BD"/>
    <w:rsid w:val="00894871"/>
    <w:rsid w:val="00895042"/>
    <w:rsid w:val="008951CE"/>
    <w:rsid w:val="008955C3"/>
    <w:rsid w:val="00895A58"/>
    <w:rsid w:val="00895D03"/>
    <w:rsid w:val="00896AC1"/>
    <w:rsid w:val="00896B90"/>
    <w:rsid w:val="00896FDB"/>
    <w:rsid w:val="008977DD"/>
    <w:rsid w:val="008A06A0"/>
    <w:rsid w:val="008A070F"/>
    <w:rsid w:val="008A0810"/>
    <w:rsid w:val="008A0B90"/>
    <w:rsid w:val="008A0EB1"/>
    <w:rsid w:val="008A118C"/>
    <w:rsid w:val="008A126C"/>
    <w:rsid w:val="008A260B"/>
    <w:rsid w:val="008A2767"/>
    <w:rsid w:val="008A28C3"/>
    <w:rsid w:val="008A2914"/>
    <w:rsid w:val="008A2C8B"/>
    <w:rsid w:val="008A3252"/>
    <w:rsid w:val="008A37E9"/>
    <w:rsid w:val="008A3840"/>
    <w:rsid w:val="008A3A28"/>
    <w:rsid w:val="008A3E0B"/>
    <w:rsid w:val="008A4CA8"/>
    <w:rsid w:val="008A4E62"/>
    <w:rsid w:val="008A5005"/>
    <w:rsid w:val="008A5153"/>
    <w:rsid w:val="008A5406"/>
    <w:rsid w:val="008A61D9"/>
    <w:rsid w:val="008A63B0"/>
    <w:rsid w:val="008A6914"/>
    <w:rsid w:val="008A6D00"/>
    <w:rsid w:val="008A6FA6"/>
    <w:rsid w:val="008A71E4"/>
    <w:rsid w:val="008A7966"/>
    <w:rsid w:val="008A7ABE"/>
    <w:rsid w:val="008A7B77"/>
    <w:rsid w:val="008A7BE4"/>
    <w:rsid w:val="008A7CAA"/>
    <w:rsid w:val="008B01AD"/>
    <w:rsid w:val="008B07B5"/>
    <w:rsid w:val="008B0E34"/>
    <w:rsid w:val="008B0ECB"/>
    <w:rsid w:val="008B2373"/>
    <w:rsid w:val="008B23B3"/>
    <w:rsid w:val="008B241F"/>
    <w:rsid w:val="008B27AC"/>
    <w:rsid w:val="008B2FA4"/>
    <w:rsid w:val="008B301C"/>
    <w:rsid w:val="008B30B5"/>
    <w:rsid w:val="008B3292"/>
    <w:rsid w:val="008B35D0"/>
    <w:rsid w:val="008B3A84"/>
    <w:rsid w:val="008B3FE3"/>
    <w:rsid w:val="008B40CA"/>
    <w:rsid w:val="008B4451"/>
    <w:rsid w:val="008B4B43"/>
    <w:rsid w:val="008B4DB6"/>
    <w:rsid w:val="008B4DCE"/>
    <w:rsid w:val="008B529C"/>
    <w:rsid w:val="008B5699"/>
    <w:rsid w:val="008B58F2"/>
    <w:rsid w:val="008B5D6E"/>
    <w:rsid w:val="008B601B"/>
    <w:rsid w:val="008B64BA"/>
    <w:rsid w:val="008B67D5"/>
    <w:rsid w:val="008B6D56"/>
    <w:rsid w:val="008B6E12"/>
    <w:rsid w:val="008B6F79"/>
    <w:rsid w:val="008B7FD1"/>
    <w:rsid w:val="008C00B8"/>
    <w:rsid w:val="008C0672"/>
    <w:rsid w:val="008C09E9"/>
    <w:rsid w:val="008C0FB1"/>
    <w:rsid w:val="008C19D8"/>
    <w:rsid w:val="008C20EC"/>
    <w:rsid w:val="008C268C"/>
    <w:rsid w:val="008C299A"/>
    <w:rsid w:val="008C2B98"/>
    <w:rsid w:val="008C31F8"/>
    <w:rsid w:val="008C361A"/>
    <w:rsid w:val="008C3713"/>
    <w:rsid w:val="008C375B"/>
    <w:rsid w:val="008C3828"/>
    <w:rsid w:val="008C39AF"/>
    <w:rsid w:val="008C3A0F"/>
    <w:rsid w:val="008C3A8F"/>
    <w:rsid w:val="008C3FA7"/>
    <w:rsid w:val="008C4879"/>
    <w:rsid w:val="008C4A61"/>
    <w:rsid w:val="008C4DD9"/>
    <w:rsid w:val="008C50AD"/>
    <w:rsid w:val="008C5157"/>
    <w:rsid w:val="008C51FC"/>
    <w:rsid w:val="008C5D51"/>
    <w:rsid w:val="008C5E43"/>
    <w:rsid w:val="008C5FC5"/>
    <w:rsid w:val="008C62DB"/>
    <w:rsid w:val="008C653F"/>
    <w:rsid w:val="008C6F71"/>
    <w:rsid w:val="008C6FEB"/>
    <w:rsid w:val="008C70CE"/>
    <w:rsid w:val="008C7621"/>
    <w:rsid w:val="008C768C"/>
    <w:rsid w:val="008C7AFC"/>
    <w:rsid w:val="008D0121"/>
    <w:rsid w:val="008D037F"/>
    <w:rsid w:val="008D068C"/>
    <w:rsid w:val="008D07BC"/>
    <w:rsid w:val="008D11F1"/>
    <w:rsid w:val="008D1DFE"/>
    <w:rsid w:val="008D21E2"/>
    <w:rsid w:val="008D2545"/>
    <w:rsid w:val="008D2BB8"/>
    <w:rsid w:val="008D2DD5"/>
    <w:rsid w:val="008D2EC4"/>
    <w:rsid w:val="008D3932"/>
    <w:rsid w:val="008D3A91"/>
    <w:rsid w:val="008D3DBD"/>
    <w:rsid w:val="008D3FC3"/>
    <w:rsid w:val="008D45DD"/>
    <w:rsid w:val="008D498A"/>
    <w:rsid w:val="008D50CD"/>
    <w:rsid w:val="008D511E"/>
    <w:rsid w:val="008D544E"/>
    <w:rsid w:val="008D5A4B"/>
    <w:rsid w:val="008D5C4E"/>
    <w:rsid w:val="008D5CED"/>
    <w:rsid w:val="008D613B"/>
    <w:rsid w:val="008D6551"/>
    <w:rsid w:val="008D731C"/>
    <w:rsid w:val="008D7810"/>
    <w:rsid w:val="008D7B15"/>
    <w:rsid w:val="008D7E80"/>
    <w:rsid w:val="008E023D"/>
    <w:rsid w:val="008E050C"/>
    <w:rsid w:val="008E0B2E"/>
    <w:rsid w:val="008E0C1C"/>
    <w:rsid w:val="008E0C99"/>
    <w:rsid w:val="008E1000"/>
    <w:rsid w:val="008E1071"/>
    <w:rsid w:val="008E1A8A"/>
    <w:rsid w:val="008E24E1"/>
    <w:rsid w:val="008E2F20"/>
    <w:rsid w:val="008E3E82"/>
    <w:rsid w:val="008E44A7"/>
    <w:rsid w:val="008E44D6"/>
    <w:rsid w:val="008E464B"/>
    <w:rsid w:val="008E4D8E"/>
    <w:rsid w:val="008E5AC8"/>
    <w:rsid w:val="008E5EFD"/>
    <w:rsid w:val="008E62BD"/>
    <w:rsid w:val="008E67BE"/>
    <w:rsid w:val="008E6C22"/>
    <w:rsid w:val="008E6E74"/>
    <w:rsid w:val="008E6F0D"/>
    <w:rsid w:val="008E6FD5"/>
    <w:rsid w:val="008E70B3"/>
    <w:rsid w:val="008E70C1"/>
    <w:rsid w:val="008E7A4F"/>
    <w:rsid w:val="008E7B0A"/>
    <w:rsid w:val="008E7E22"/>
    <w:rsid w:val="008E7FD5"/>
    <w:rsid w:val="008F0802"/>
    <w:rsid w:val="008F0B8E"/>
    <w:rsid w:val="008F0FC0"/>
    <w:rsid w:val="008F112A"/>
    <w:rsid w:val="008F133A"/>
    <w:rsid w:val="008F14EC"/>
    <w:rsid w:val="008F2BE9"/>
    <w:rsid w:val="008F2C05"/>
    <w:rsid w:val="008F2C24"/>
    <w:rsid w:val="008F315C"/>
    <w:rsid w:val="008F3610"/>
    <w:rsid w:val="008F3AAE"/>
    <w:rsid w:val="008F4017"/>
    <w:rsid w:val="008F4505"/>
    <w:rsid w:val="008F4523"/>
    <w:rsid w:val="008F51C9"/>
    <w:rsid w:val="008F5277"/>
    <w:rsid w:val="008F5A07"/>
    <w:rsid w:val="008F6764"/>
    <w:rsid w:val="008F6C88"/>
    <w:rsid w:val="008F6ECC"/>
    <w:rsid w:val="008F7015"/>
    <w:rsid w:val="008F7065"/>
    <w:rsid w:val="008F7092"/>
    <w:rsid w:val="008F737D"/>
    <w:rsid w:val="008F7874"/>
    <w:rsid w:val="00900CA3"/>
    <w:rsid w:val="00900EED"/>
    <w:rsid w:val="009010B8"/>
    <w:rsid w:val="00901853"/>
    <w:rsid w:val="00902207"/>
    <w:rsid w:val="00902E6A"/>
    <w:rsid w:val="00903A4F"/>
    <w:rsid w:val="00903DF1"/>
    <w:rsid w:val="00903E1F"/>
    <w:rsid w:val="00903ED4"/>
    <w:rsid w:val="0090441F"/>
    <w:rsid w:val="009047C9"/>
    <w:rsid w:val="00904984"/>
    <w:rsid w:val="00904A76"/>
    <w:rsid w:val="009066E6"/>
    <w:rsid w:val="00906BB9"/>
    <w:rsid w:val="00906CA0"/>
    <w:rsid w:val="00907533"/>
    <w:rsid w:val="00907AAC"/>
    <w:rsid w:val="0091025D"/>
    <w:rsid w:val="00911CA1"/>
    <w:rsid w:val="00911DBB"/>
    <w:rsid w:val="009124B4"/>
    <w:rsid w:val="00912B20"/>
    <w:rsid w:val="00912CBA"/>
    <w:rsid w:val="00913573"/>
    <w:rsid w:val="00913C0B"/>
    <w:rsid w:val="00913EBB"/>
    <w:rsid w:val="0091417F"/>
    <w:rsid w:val="00914508"/>
    <w:rsid w:val="0091488A"/>
    <w:rsid w:val="009149E2"/>
    <w:rsid w:val="00914BE6"/>
    <w:rsid w:val="00914E81"/>
    <w:rsid w:val="0091560F"/>
    <w:rsid w:val="0091572D"/>
    <w:rsid w:val="00915C11"/>
    <w:rsid w:val="00915C54"/>
    <w:rsid w:val="00916B96"/>
    <w:rsid w:val="00916EBC"/>
    <w:rsid w:val="00917BD4"/>
    <w:rsid w:val="00917CC4"/>
    <w:rsid w:val="00917FB8"/>
    <w:rsid w:val="009216CB"/>
    <w:rsid w:val="009218D9"/>
    <w:rsid w:val="00922302"/>
    <w:rsid w:val="00922684"/>
    <w:rsid w:val="009233F4"/>
    <w:rsid w:val="0092417D"/>
    <w:rsid w:val="00924F41"/>
    <w:rsid w:val="009258BF"/>
    <w:rsid w:val="00925942"/>
    <w:rsid w:val="00925CA1"/>
    <w:rsid w:val="00925F35"/>
    <w:rsid w:val="00926064"/>
    <w:rsid w:val="009262F2"/>
    <w:rsid w:val="009263CE"/>
    <w:rsid w:val="00927794"/>
    <w:rsid w:val="00927919"/>
    <w:rsid w:val="00927F27"/>
    <w:rsid w:val="00930410"/>
    <w:rsid w:val="00930AAB"/>
    <w:rsid w:val="00930D38"/>
    <w:rsid w:val="00931099"/>
    <w:rsid w:val="0093123F"/>
    <w:rsid w:val="009317C3"/>
    <w:rsid w:val="00931A27"/>
    <w:rsid w:val="00931E14"/>
    <w:rsid w:val="00932441"/>
    <w:rsid w:val="00932753"/>
    <w:rsid w:val="00932B28"/>
    <w:rsid w:val="00933106"/>
    <w:rsid w:val="009332BC"/>
    <w:rsid w:val="00934588"/>
    <w:rsid w:val="00934A0C"/>
    <w:rsid w:val="009362CE"/>
    <w:rsid w:val="00936499"/>
    <w:rsid w:val="0093688A"/>
    <w:rsid w:val="0093730C"/>
    <w:rsid w:val="0094003F"/>
    <w:rsid w:val="00940105"/>
    <w:rsid w:val="009412A4"/>
    <w:rsid w:val="009413BE"/>
    <w:rsid w:val="0094152D"/>
    <w:rsid w:val="0094199A"/>
    <w:rsid w:val="00941AA8"/>
    <w:rsid w:val="00941B9F"/>
    <w:rsid w:val="00941DE6"/>
    <w:rsid w:val="00941F27"/>
    <w:rsid w:val="00941FA3"/>
    <w:rsid w:val="00942060"/>
    <w:rsid w:val="00942620"/>
    <w:rsid w:val="009426F4"/>
    <w:rsid w:val="009426F5"/>
    <w:rsid w:val="009430E3"/>
    <w:rsid w:val="009431CD"/>
    <w:rsid w:val="009433BC"/>
    <w:rsid w:val="009433F5"/>
    <w:rsid w:val="00943E30"/>
    <w:rsid w:val="0094447E"/>
    <w:rsid w:val="009444A4"/>
    <w:rsid w:val="00944A11"/>
    <w:rsid w:val="0094509D"/>
    <w:rsid w:val="00945264"/>
    <w:rsid w:val="00945E49"/>
    <w:rsid w:val="009467C3"/>
    <w:rsid w:val="009478CD"/>
    <w:rsid w:val="00947919"/>
    <w:rsid w:val="00950342"/>
    <w:rsid w:val="00950664"/>
    <w:rsid w:val="009509DF"/>
    <w:rsid w:val="00950CA3"/>
    <w:rsid w:val="00950D14"/>
    <w:rsid w:val="009510FE"/>
    <w:rsid w:val="0095126C"/>
    <w:rsid w:val="0095139A"/>
    <w:rsid w:val="009517D6"/>
    <w:rsid w:val="00951C6E"/>
    <w:rsid w:val="00951F69"/>
    <w:rsid w:val="00952147"/>
    <w:rsid w:val="00952397"/>
    <w:rsid w:val="00952528"/>
    <w:rsid w:val="009526B6"/>
    <w:rsid w:val="009526C0"/>
    <w:rsid w:val="00952ECD"/>
    <w:rsid w:val="0095354D"/>
    <w:rsid w:val="0095373A"/>
    <w:rsid w:val="0095389A"/>
    <w:rsid w:val="00953B94"/>
    <w:rsid w:val="0095428D"/>
    <w:rsid w:val="0095429E"/>
    <w:rsid w:val="00954760"/>
    <w:rsid w:val="00954901"/>
    <w:rsid w:val="00954D1A"/>
    <w:rsid w:val="00954FF8"/>
    <w:rsid w:val="0095500A"/>
    <w:rsid w:val="00955B12"/>
    <w:rsid w:val="0095707D"/>
    <w:rsid w:val="009571CF"/>
    <w:rsid w:val="00957801"/>
    <w:rsid w:val="00957A01"/>
    <w:rsid w:val="00957BD4"/>
    <w:rsid w:val="00957D74"/>
    <w:rsid w:val="0096001A"/>
    <w:rsid w:val="0096008F"/>
    <w:rsid w:val="009600CD"/>
    <w:rsid w:val="009603C1"/>
    <w:rsid w:val="00960503"/>
    <w:rsid w:val="00960534"/>
    <w:rsid w:val="00960543"/>
    <w:rsid w:val="00960702"/>
    <w:rsid w:val="009609E6"/>
    <w:rsid w:val="00960AAD"/>
    <w:rsid w:val="00960B21"/>
    <w:rsid w:val="00961048"/>
    <w:rsid w:val="00961512"/>
    <w:rsid w:val="00961DE9"/>
    <w:rsid w:val="00961EED"/>
    <w:rsid w:val="00961F95"/>
    <w:rsid w:val="0096209D"/>
    <w:rsid w:val="00962412"/>
    <w:rsid w:val="0096245D"/>
    <w:rsid w:val="009626A1"/>
    <w:rsid w:val="00962C9E"/>
    <w:rsid w:val="0096328C"/>
    <w:rsid w:val="0096334F"/>
    <w:rsid w:val="00963FBF"/>
    <w:rsid w:val="00964244"/>
    <w:rsid w:val="00964E0A"/>
    <w:rsid w:val="00965783"/>
    <w:rsid w:val="009657C6"/>
    <w:rsid w:val="00965BF3"/>
    <w:rsid w:val="00966580"/>
    <w:rsid w:val="00966C89"/>
    <w:rsid w:val="00966DC3"/>
    <w:rsid w:val="00966DE4"/>
    <w:rsid w:val="00967E15"/>
    <w:rsid w:val="00967EC4"/>
    <w:rsid w:val="00967EF0"/>
    <w:rsid w:val="0097015D"/>
    <w:rsid w:val="0097030F"/>
    <w:rsid w:val="0097039D"/>
    <w:rsid w:val="00970F0B"/>
    <w:rsid w:val="00971128"/>
    <w:rsid w:val="009717B7"/>
    <w:rsid w:val="009719BE"/>
    <w:rsid w:val="00971E12"/>
    <w:rsid w:val="00972691"/>
    <w:rsid w:val="0097283B"/>
    <w:rsid w:val="00972C0C"/>
    <w:rsid w:val="00973055"/>
    <w:rsid w:val="00973403"/>
    <w:rsid w:val="0097371A"/>
    <w:rsid w:val="00973945"/>
    <w:rsid w:val="00973EAC"/>
    <w:rsid w:val="00974200"/>
    <w:rsid w:val="00974209"/>
    <w:rsid w:val="0097496E"/>
    <w:rsid w:val="00974C5C"/>
    <w:rsid w:val="009753AB"/>
    <w:rsid w:val="00975FEF"/>
    <w:rsid w:val="0097668F"/>
    <w:rsid w:val="00976724"/>
    <w:rsid w:val="0097673E"/>
    <w:rsid w:val="00976D84"/>
    <w:rsid w:val="00976E24"/>
    <w:rsid w:val="00976F63"/>
    <w:rsid w:val="009771D9"/>
    <w:rsid w:val="00977C43"/>
    <w:rsid w:val="00980293"/>
    <w:rsid w:val="00980662"/>
    <w:rsid w:val="00981109"/>
    <w:rsid w:val="009820FD"/>
    <w:rsid w:val="00982404"/>
    <w:rsid w:val="00982C7E"/>
    <w:rsid w:val="00983A49"/>
    <w:rsid w:val="00983A6A"/>
    <w:rsid w:val="00983A76"/>
    <w:rsid w:val="00984183"/>
    <w:rsid w:val="00984DF9"/>
    <w:rsid w:val="009850B9"/>
    <w:rsid w:val="009857AB"/>
    <w:rsid w:val="00985885"/>
    <w:rsid w:val="0098656F"/>
    <w:rsid w:val="0098679F"/>
    <w:rsid w:val="00987E81"/>
    <w:rsid w:val="00987F66"/>
    <w:rsid w:val="0099028B"/>
    <w:rsid w:val="00990431"/>
    <w:rsid w:val="00990D8F"/>
    <w:rsid w:val="00990E76"/>
    <w:rsid w:val="009913F9"/>
    <w:rsid w:val="009914B2"/>
    <w:rsid w:val="00991780"/>
    <w:rsid w:val="0099180A"/>
    <w:rsid w:val="00991E29"/>
    <w:rsid w:val="00991EA4"/>
    <w:rsid w:val="00991F9D"/>
    <w:rsid w:val="009922B2"/>
    <w:rsid w:val="009923F5"/>
    <w:rsid w:val="0099247A"/>
    <w:rsid w:val="00992518"/>
    <w:rsid w:val="00994057"/>
    <w:rsid w:val="009941B9"/>
    <w:rsid w:val="009946FD"/>
    <w:rsid w:val="0099483B"/>
    <w:rsid w:val="00994851"/>
    <w:rsid w:val="00994942"/>
    <w:rsid w:val="00994C11"/>
    <w:rsid w:val="00994CFF"/>
    <w:rsid w:val="009952F4"/>
    <w:rsid w:val="00995715"/>
    <w:rsid w:val="00995987"/>
    <w:rsid w:val="009973C7"/>
    <w:rsid w:val="00997653"/>
    <w:rsid w:val="00997971"/>
    <w:rsid w:val="00997CA2"/>
    <w:rsid w:val="009A0187"/>
    <w:rsid w:val="009A0446"/>
    <w:rsid w:val="009A079F"/>
    <w:rsid w:val="009A0816"/>
    <w:rsid w:val="009A1015"/>
    <w:rsid w:val="009A1340"/>
    <w:rsid w:val="009A13AB"/>
    <w:rsid w:val="009A1CA8"/>
    <w:rsid w:val="009A1E7D"/>
    <w:rsid w:val="009A24A9"/>
    <w:rsid w:val="009A2523"/>
    <w:rsid w:val="009A2607"/>
    <w:rsid w:val="009A2B02"/>
    <w:rsid w:val="009A2E72"/>
    <w:rsid w:val="009A2F5C"/>
    <w:rsid w:val="009A368A"/>
    <w:rsid w:val="009A3746"/>
    <w:rsid w:val="009A3892"/>
    <w:rsid w:val="009A3A44"/>
    <w:rsid w:val="009A3C8E"/>
    <w:rsid w:val="009A3CB9"/>
    <w:rsid w:val="009A416E"/>
    <w:rsid w:val="009A4190"/>
    <w:rsid w:val="009A4251"/>
    <w:rsid w:val="009A44A3"/>
    <w:rsid w:val="009A4837"/>
    <w:rsid w:val="009A5431"/>
    <w:rsid w:val="009A547E"/>
    <w:rsid w:val="009A5581"/>
    <w:rsid w:val="009A57B6"/>
    <w:rsid w:val="009A5853"/>
    <w:rsid w:val="009A5A79"/>
    <w:rsid w:val="009A622A"/>
    <w:rsid w:val="009A6254"/>
    <w:rsid w:val="009A6A80"/>
    <w:rsid w:val="009A6B20"/>
    <w:rsid w:val="009A6F24"/>
    <w:rsid w:val="009A7876"/>
    <w:rsid w:val="009B0062"/>
    <w:rsid w:val="009B02A9"/>
    <w:rsid w:val="009B04DB"/>
    <w:rsid w:val="009B057C"/>
    <w:rsid w:val="009B0687"/>
    <w:rsid w:val="009B0CED"/>
    <w:rsid w:val="009B12F3"/>
    <w:rsid w:val="009B1505"/>
    <w:rsid w:val="009B1558"/>
    <w:rsid w:val="009B17D3"/>
    <w:rsid w:val="009B1C43"/>
    <w:rsid w:val="009B1C9E"/>
    <w:rsid w:val="009B2644"/>
    <w:rsid w:val="009B32A4"/>
    <w:rsid w:val="009B36CD"/>
    <w:rsid w:val="009B3896"/>
    <w:rsid w:val="009B3C5E"/>
    <w:rsid w:val="009B5242"/>
    <w:rsid w:val="009B5937"/>
    <w:rsid w:val="009B597E"/>
    <w:rsid w:val="009B63ED"/>
    <w:rsid w:val="009B6A24"/>
    <w:rsid w:val="009B6D64"/>
    <w:rsid w:val="009B6F26"/>
    <w:rsid w:val="009B7226"/>
    <w:rsid w:val="009B7784"/>
    <w:rsid w:val="009C03FE"/>
    <w:rsid w:val="009C041E"/>
    <w:rsid w:val="009C05A1"/>
    <w:rsid w:val="009C0D54"/>
    <w:rsid w:val="009C0EB0"/>
    <w:rsid w:val="009C0F40"/>
    <w:rsid w:val="009C186A"/>
    <w:rsid w:val="009C1877"/>
    <w:rsid w:val="009C188D"/>
    <w:rsid w:val="009C24F0"/>
    <w:rsid w:val="009C2861"/>
    <w:rsid w:val="009C2976"/>
    <w:rsid w:val="009C2A4B"/>
    <w:rsid w:val="009C2B53"/>
    <w:rsid w:val="009C2BE9"/>
    <w:rsid w:val="009C3BBB"/>
    <w:rsid w:val="009C48EE"/>
    <w:rsid w:val="009C54F3"/>
    <w:rsid w:val="009C57CA"/>
    <w:rsid w:val="009C59D3"/>
    <w:rsid w:val="009C5CAE"/>
    <w:rsid w:val="009C5E3E"/>
    <w:rsid w:val="009C718A"/>
    <w:rsid w:val="009C79B4"/>
    <w:rsid w:val="009C7A04"/>
    <w:rsid w:val="009D0575"/>
    <w:rsid w:val="009D0A9A"/>
    <w:rsid w:val="009D10E0"/>
    <w:rsid w:val="009D130B"/>
    <w:rsid w:val="009D148C"/>
    <w:rsid w:val="009D17F1"/>
    <w:rsid w:val="009D26B9"/>
    <w:rsid w:val="009D2EA8"/>
    <w:rsid w:val="009D2F5B"/>
    <w:rsid w:val="009D3158"/>
    <w:rsid w:val="009D3253"/>
    <w:rsid w:val="009D368F"/>
    <w:rsid w:val="009D373F"/>
    <w:rsid w:val="009D3A91"/>
    <w:rsid w:val="009D40A1"/>
    <w:rsid w:val="009D4202"/>
    <w:rsid w:val="009D45B6"/>
    <w:rsid w:val="009D45D5"/>
    <w:rsid w:val="009D46AC"/>
    <w:rsid w:val="009D46CE"/>
    <w:rsid w:val="009D476C"/>
    <w:rsid w:val="009D4CFA"/>
    <w:rsid w:val="009D4FB0"/>
    <w:rsid w:val="009D554C"/>
    <w:rsid w:val="009D5AFB"/>
    <w:rsid w:val="009D5F26"/>
    <w:rsid w:val="009D62CF"/>
    <w:rsid w:val="009D62DB"/>
    <w:rsid w:val="009D6717"/>
    <w:rsid w:val="009D6780"/>
    <w:rsid w:val="009D68A2"/>
    <w:rsid w:val="009D6E20"/>
    <w:rsid w:val="009D72B5"/>
    <w:rsid w:val="009D763C"/>
    <w:rsid w:val="009D79A7"/>
    <w:rsid w:val="009E0214"/>
    <w:rsid w:val="009E0412"/>
    <w:rsid w:val="009E06CE"/>
    <w:rsid w:val="009E1279"/>
    <w:rsid w:val="009E13B1"/>
    <w:rsid w:val="009E1615"/>
    <w:rsid w:val="009E16AD"/>
    <w:rsid w:val="009E20AA"/>
    <w:rsid w:val="009E275F"/>
    <w:rsid w:val="009E2EC4"/>
    <w:rsid w:val="009E312B"/>
    <w:rsid w:val="009E315A"/>
    <w:rsid w:val="009E32D7"/>
    <w:rsid w:val="009E35CA"/>
    <w:rsid w:val="009E3804"/>
    <w:rsid w:val="009E3939"/>
    <w:rsid w:val="009E39D9"/>
    <w:rsid w:val="009E40AF"/>
    <w:rsid w:val="009E4B7A"/>
    <w:rsid w:val="009E4EDF"/>
    <w:rsid w:val="009E526F"/>
    <w:rsid w:val="009E54FA"/>
    <w:rsid w:val="009E5592"/>
    <w:rsid w:val="009E5DF3"/>
    <w:rsid w:val="009E5E7C"/>
    <w:rsid w:val="009E5E8D"/>
    <w:rsid w:val="009E65E8"/>
    <w:rsid w:val="009E730E"/>
    <w:rsid w:val="009E7482"/>
    <w:rsid w:val="009E77FE"/>
    <w:rsid w:val="009F0682"/>
    <w:rsid w:val="009F0782"/>
    <w:rsid w:val="009F08FC"/>
    <w:rsid w:val="009F1209"/>
    <w:rsid w:val="009F1357"/>
    <w:rsid w:val="009F14CD"/>
    <w:rsid w:val="009F1A27"/>
    <w:rsid w:val="009F1B04"/>
    <w:rsid w:val="009F2A1D"/>
    <w:rsid w:val="009F2BC4"/>
    <w:rsid w:val="009F2C03"/>
    <w:rsid w:val="009F35AF"/>
    <w:rsid w:val="009F4AA7"/>
    <w:rsid w:val="009F4C6F"/>
    <w:rsid w:val="009F4C8D"/>
    <w:rsid w:val="009F4FB1"/>
    <w:rsid w:val="009F5C7A"/>
    <w:rsid w:val="009F5C91"/>
    <w:rsid w:val="009F6D32"/>
    <w:rsid w:val="009F7108"/>
    <w:rsid w:val="009F7268"/>
    <w:rsid w:val="009F74B2"/>
    <w:rsid w:val="009F763D"/>
    <w:rsid w:val="00A00193"/>
    <w:rsid w:val="00A001F0"/>
    <w:rsid w:val="00A0072F"/>
    <w:rsid w:val="00A00B9D"/>
    <w:rsid w:val="00A00C43"/>
    <w:rsid w:val="00A00DEC"/>
    <w:rsid w:val="00A014B2"/>
    <w:rsid w:val="00A016E5"/>
    <w:rsid w:val="00A017C0"/>
    <w:rsid w:val="00A018CA"/>
    <w:rsid w:val="00A01B59"/>
    <w:rsid w:val="00A01DDA"/>
    <w:rsid w:val="00A01E3F"/>
    <w:rsid w:val="00A01E4A"/>
    <w:rsid w:val="00A02016"/>
    <w:rsid w:val="00A0206B"/>
    <w:rsid w:val="00A0216E"/>
    <w:rsid w:val="00A026CB"/>
    <w:rsid w:val="00A02848"/>
    <w:rsid w:val="00A02989"/>
    <w:rsid w:val="00A032D6"/>
    <w:rsid w:val="00A033A5"/>
    <w:rsid w:val="00A044AE"/>
    <w:rsid w:val="00A04C51"/>
    <w:rsid w:val="00A04FED"/>
    <w:rsid w:val="00A0548E"/>
    <w:rsid w:val="00A055C6"/>
    <w:rsid w:val="00A05A3F"/>
    <w:rsid w:val="00A05AB0"/>
    <w:rsid w:val="00A05D5C"/>
    <w:rsid w:val="00A05E4E"/>
    <w:rsid w:val="00A060D3"/>
    <w:rsid w:val="00A0613B"/>
    <w:rsid w:val="00A064C6"/>
    <w:rsid w:val="00A06564"/>
    <w:rsid w:val="00A06B50"/>
    <w:rsid w:val="00A07406"/>
    <w:rsid w:val="00A077D1"/>
    <w:rsid w:val="00A077F0"/>
    <w:rsid w:val="00A07BF3"/>
    <w:rsid w:val="00A07F62"/>
    <w:rsid w:val="00A10139"/>
    <w:rsid w:val="00A106B0"/>
    <w:rsid w:val="00A1083A"/>
    <w:rsid w:val="00A10899"/>
    <w:rsid w:val="00A108CE"/>
    <w:rsid w:val="00A10C60"/>
    <w:rsid w:val="00A10D0D"/>
    <w:rsid w:val="00A10D44"/>
    <w:rsid w:val="00A10D54"/>
    <w:rsid w:val="00A1142C"/>
    <w:rsid w:val="00A11530"/>
    <w:rsid w:val="00A115F1"/>
    <w:rsid w:val="00A11CD7"/>
    <w:rsid w:val="00A11EF7"/>
    <w:rsid w:val="00A125E5"/>
    <w:rsid w:val="00A12BE9"/>
    <w:rsid w:val="00A13072"/>
    <w:rsid w:val="00A134E8"/>
    <w:rsid w:val="00A13693"/>
    <w:rsid w:val="00A138EA"/>
    <w:rsid w:val="00A13F9B"/>
    <w:rsid w:val="00A141A5"/>
    <w:rsid w:val="00A14AC7"/>
    <w:rsid w:val="00A14F0B"/>
    <w:rsid w:val="00A15436"/>
    <w:rsid w:val="00A1576A"/>
    <w:rsid w:val="00A15974"/>
    <w:rsid w:val="00A15AEE"/>
    <w:rsid w:val="00A15F01"/>
    <w:rsid w:val="00A166D4"/>
    <w:rsid w:val="00A16F18"/>
    <w:rsid w:val="00A1719D"/>
    <w:rsid w:val="00A171CE"/>
    <w:rsid w:val="00A1727E"/>
    <w:rsid w:val="00A17503"/>
    <w:rsid w:val="00A17ECA"/>
    <w:rsid w:val="00A209B4"/>
    <w:rsid w:val="00A20A6D"/>
    <w:rsid w:val="00A20D12"/>
    <w:rsid w:val="00A20E2B"/>
    <w:rsid w:val="00A20E61"/>
    <w:rsid w:val="00A212D7"/>
    <w:rsid w:val="00A21773"/>
    <w:rsid w:val="00A21C8C"/>
    <w:rsid w:val="00A21E8B"/>
    <w:rsid w:val="00A22021"/>
    <w:rsid w:val="00A22092"/>
    <w:rsid w:val="00A22230"/>
    <w:rsid w:val="00A232F2"/>
    <w:rsid w:val="00A237FE"/>
    <w:rsid w:val="00A238C1"/>
    <w:rsid w:val="00A23B48"/>
    <w:rsid w:val="00A23F97"/>
    <w:rsid w:val="00A243CE"/>
    <w:rsid w:val="00A2488B"/>
    <w:rsid w:val="00A25C62"/>
    <w:rsid w:val="00A25F89"/>
    <w:rsid w:val="00A26285"/>
    <w:rsid w:val="00A262D1"/>
    <w:rsid w:val="00A2637B"/>
    <w:rsid w:val="00A2643A"/>
    <w:rsid w:val="00A264BC"/>
    <w:rsid w:val="00A26639"/>
    <w:rsid w:val="00A27013"/>
    <w:rsid w:val="00A27073"/>
    <w:rsid w:val="00A271E7"/>
    <w:rsid w:val="00A2726E"/>
    <w:rsid w:val="00A2726F"/>
    <w:rsid w:val="00A27442"/>
    <w:rsid w:val="00A278D1"/>
    <w:rsid w:val="00A27A54"/>
    <w:rsid w:val="00A27C7F"/>
    <w:rsid w:val="00A27EE4"/>
    <w:rsid w:val="00A30302"/>
    <w:rsid w:val="00A303E9"/>
    <w:rsid w:val="00A30649"/>
    <w:rsid w:val="00A30AD7"/>
    <w:rsid w:val="00A30D69"/>
    <w:rsid w:val="00A30E18"/>
    <w:rsid w:val="00A31592"/>
    <w:rsid w:val="00A31646"/>
    <w:rsid w:val="00A3172B"/>
    <w:rsid w:val="00A31969"/>
    <w:rsid w:val="00A3246C"/>
    <w:rsid w:val="00A32531"/>
    <w:rsid w:val="00A32888"/>
    <w:rsid w:val="00A32C3F"/>
    <w:rsid w:val="00A32FA0"/>
    <w:rsid w:val="00A33054"/>
    <w:rsid w:val="00A3323F"/>
    <w:rsid w:val="00A33DB0"/>
    <w:rsid w:val="00A34387"/>
    <w:rsid w:val="00A348E4"/>
    <w:rsid w:val="00A34965"/>
    <w:rsid w:val="00A34C94"/>
    <w:rsid w:val="00A3551A"/>
    <w:rsid w:val="00A35695"/>
    <w:rsid w:val="00A35BD0"/>
    <w:rsid w:val="00A36058"/>
    <w:rsid w:val="00A36293"/>
    <w:rsid w:val="00A362B0"/>
    <w:rsid w:val="00A36383"/>
    <w:rsid w:val="00A366CD"/>
    <w:rsid w:val="00A36D6F"/>
    <w:rsid w:val="00A36DD0"/>
    <w:rsid w:val="00A37219"/>
    <w:rsid w:val="00A37329"/>
    <w:rsid w:val="00A37C7A"/>
    <w:rsid w:val="00A37F0F"/>
    <w:rsid w:val="00A4032B"/>
    <w:rsid w:val="00A403B4"/>
    <w:rsid w:val="00A406AE"/>
    <w:rsid w:val="00A409DA"/>
    <w:rsid w:val="00A40A5A"/>
    <w:rsid w:val="00A40B0C"/>
    <w:rsid w:val="00A40F01"/>
    <w:rsid w:val="00A41127"/>
    <w:rsid w:val="00A41304"/>
    <w:rsid w:val="00A41ABF"/>
    <w:rsid w:val="00A4269B"/>
    <w:rsid w:val="00A42776"/>
    <w:rsid w:val="00A42B7A"/>
    <w:rsid w:val="00A42C0F"/>
    <w:rsid w:val="00A42D01"/>
    <w:rsid w:val="00A4352B"/>
    <w:rsid w:val="00A4371A"/>
    <w:rsid w:val="00A445F0"/>
    <w:rsid w:val="00A44634"/>
    <w:rsid w:val="00A44E9E"/>
    <w:rsid w:val="00A44F65"/>
    <w:rsid w:val="00A45568"/>
    <w:rsid w:val="00A45823"/>
    <w:rsid w:val="00A45BE1"/>
    <w:rsid w:val="00A46286"/>
    <w:rsid w:val="00A4695D"/>
    <w:rsid w:val="00A46D42"/>
    <w:rsid w:val="00A46E1B"/>
    <w:rsid w:val="00A4704C"/>
    <w:rsid w:val="00A4761A"/>
    <w:rsid w:val="00A47B44"/>
    <w:rsid w:val="00A47BB7"/>
    <w:rsid w:val="00A47FC9"/>
    <w:rsid w:val="00A5042D"/>
    <w:rsid w:val="00A504CD"/>
    <w:rsid w:val="00A50CBD"/>
    <w:rsid w:val="00A50FBC"/>
    <w:rsid w:val="00A52504"/>
    <w:rsid w:val="00A52BD6"/>
    <w:rsid w:val="00A52EA3"/>
    <w:rsid w:val="00A530CE"/>
    <w:rsid w:val="00A531CC"/>
    <w:rsid w:val="00A53438"/>
    <w:rsid w:val="00A53812"/>
    <w:rsid w:val="00A53898"/>
    <w:rsid w:val="00A538EC"/>
    <w:rsid w:val="00A539DE"/>
    <w:rsid w:val="00A53EC9"/>
    <w:rsid w:val="00A53EE6"/>
    <w:rsid w:val="00A543E9"/>
    <w:rsid w:val="00A54A78"/>
    <w:rsid w:val="00A54B15"/>
    <w:rsid w:val="00A54DC9"/>
    <w:rsid w:val="00A54DEE"/>
    <w:rsid w:val="00A55E50"/>
    <w:rsid w:val="00A55EAF"/>
    <w:rsid w:val="00A56427"/>
    <w:rsid w:val="00A5645F"/>
    <w:rsid w:val="00A565C0"/>
    <w:rsid w:val="00A56A8F"/>
    <w:rsid w:val="00A57B05"/>
    <w:rsid w:val="00A57B95"/>
    <w:rsid w:val="00A57EBF"/>
    <w:rsid w:val="00A6030D"/>
    <w:rsid w:val="00A60358"/>
    <w:rsid w:val="00A614E4"/>
    <w:rsid w:val="00A615A8"/>
    <w:rsid w:val="00A61666"/>
    <w:rsid w:val="00A62264"/>
    <w:rsid w:val="00A623B3"/>
    <w:rsid w:val="00A62C66"/>
    <w:rsid w:val="00A62DCA"/>
    <w:rsid w:val="00A62ECF"/>
    <w:rsid w:val="00A63894"/>
    <w:rsid w:val="00A63B39"/>
    <w:rsid w:val="00A63E6E"/>
    <w:rsid w:val="00A64CAB"/>
    <w:rsid w:val="00A650FC"/>
    <w:rsid w:val="00A656BA"/>
    <w:rsid w:val="00A65ACB"/>
    <w:rsid w:val="00A66237"/>
    <w:rsid w:val="00A66655"/>
    <w:rsid w:val="00A6708D"/>
    <w:rsid w:val="00A67368"/>
    <w:rsid w:val="00A6786B"/>
    <w:rsid w:val="00A67DFE"/>
    <w:rsid w:val="00A67EA0"/>
    <w:rsid w:val="00A705EC"/>
    <w:rsid w:val="00A72E2B"/>
    <w:rsid w:val="00A73109"/>
    <w:rsid w:val="00A73162"/>
    <w:rsid w:val="00A74139"/>
    <w:rsid w:val="00A7484F"/>
    <w:rsid w:val="00A74C2B"/>
    <w:rsid w:val="00A74D42"/>
    <w:rsid w:val="00A74D9C"/>
    <w:rsid w:val="00A74ED5"/>
    <w:rsid w:val="00A74EDB"/>
    <w:rsid w:val="00A754F2"/>
    <w:rsid w:val="00A757D7"/>
    <w:rsid w:val="00A75FE0"/>
    <w:rsid w:val="00A761C7"/>
    <w:rsid w:val="00A764B0"/>
    <w:rsid w:val="00A764EB"/>
    <w:rsid w:val="00A76984"/>
    <w:rsid w:val="00A76A01"/>
    <w:rsid w:val="00A76ADB"/>
    <w:rsid w:val="00A7732B"/>
    <w:rsid w:val="00A77469"/>
    <w:rsid w:val="00A777DD"/>
    <w:rsid w:val="00A779E8"/>
    <w:rsid w:val="00A77A2C"/>
    <w:rsid w:val="00A77BEB"/>
    <w:rsid w:val="00A800E3"/>
    <w:rsid w:val="00A80C7E"/>
    <w:rsid w:val="00A80FF4"/>
    <w:rsid w:val="00A81306"/>
    <w:rsid w:val="00A816D6"/>
    <w:rsid w:val="00A81767"/>
    <w:rsid w:val="00A81784"/>
    <w:rsid w:val="00A81AD5"/>
    <w:rsid w:val="00A81EEC"/>
    <w:rsid w:val="00A8219F"/>
    <w:rsid w:val="00A826AD"/>
    <w:rsid w:val="00A82796"/>
    <w:rsid w:val="00A83400"/>
    <w:rsid w:val="00A83BC8"/>
    <w:rsid w:val="00A848FB"/>
    <w:rsid w:val="00A84D7A"/>
    <w:rsid w:val="00A858D6"/>
    <w:rsid w:val="00A862F0"/>
    <w:rsid w:val="00A86435"/>
    <w:rsid w:val="00A8686C"/>
    <w:rsid w:val="00A86FF3"/>
    <w:rsid w:val="00A872D0"/>
    <w:rsid w:val="00A8730B"/>
    <w:rsid w:val="00A87612"/>
    <w:rsid w:val="00A87759"/>
    <w:rsid w:val="00A87A9A"/>
    <w:rsid w:val="00A87E23"/>
    <w:rsid w:val="00A902E5"/>
    <w:rsid w:val="00A90C60"/>
    <w:rsid w:val="00A90D6B"/>
    <w:rsid w:val="00A911B7"/>
    <w:rsid w:val="00A91E98"/>
    <w:rsid w:val="00A91F12"/>
    <w:rsid w:val="00A92167"/>
    <w:rsid w:val="00A933E5"/>
    <w:rsid w:val="00A93777"/>
    <w:rsid w:val="00A93812"/>
    <w:rsid w:val="00A93910"/>
    <w:rsid w:val="00A93AAE"/>
    <w:rsid w:val="00A94003"/>
    <w:rsid w:val="00A944B7"/>
    <w:rsid w:val="00A9495F"/>
    <w:rsid w:val="00A94C64"/>
    <w:rsid w:val="00A94CB6"/>
    <w:rsid w:val="00A94E03"/>
    <w:rsid w:val="00A9596F"/>
    <w:rsid w:val="00A95CED"/>
    <w:rsid w:val="00A9660C"/>
    <w:rsid w:val="00A96807"/>
    <w:rsid w:val="00A96B64"/>
    <w:rsid w:val="00A96E49"/>
    <w:rsid w:val="00A97241"/>
    <w:rsid w:val="00A9791A"/>
    <w:rsid w:val="00A97A27"/>
    <w:rsid w:val="00A97E03"/>
    <w:rsid w:val="00AA02B0"/>
    <w:rsid w:val="00AA02F8"/>
    <w:rsid w:val="00AA05D8"/>
    <w:rsid w:val="00AA0780"/>
    <w:rsid w:val="00AA0BA0"/>
    <w:rsid w:val="00AA0C28"/>
    <w:rsid w:val="00AA1471"/>
    <w:rsid w:val="00AA186A"/>
    <w:rsid w:val="00AA1E45"/>
    <w:rsid w:val="00AA1E8A"/>
    <w:rsid w:val="00AA1F91"/>
    <w:rsid w:val="00AA27FE"/>
    <w:rsid w:val="00AA28E1"/>
    <w:rsid w:val="00AA33D7"/>
    <w:rsid w:val="00AA3411"/>
    <w:rsid w:val="00AA345A"/>
    <w:rsid w:val="00AA37B0"/>
    <w:rsid w:val="00AA39D7"/>
    <w:rsid w:val="00AA3AFA"/>
    <w:rsid w:val="00AA3CC7"/>
    <w:rsid w:val="00AA3CDB"/>
    <w:rsid w:val="00AA3FF2"/>
    <w:rsid w:val="00AA4509"/>
    <w:rsid w:val="00AA4675"/>
    <w:rsid w:val="00AA4A4E"/>
    <w:rsid w:val="00AA5181"/>
    <w:rsid w:val="00AA55D8"/>
    <w:rsid w:val="00AA57D1"/>
    <w:rsid w:val="00AA5E31"/>
    <w:rsid w:val="00AA5F5B"/>
    <w:rsid w:val="00AA60A1"/>
    <w:rsid w:val="00AA629C"/>
    <w:rsid w:val="00AA6349"/>
    <w:rsid w:val="00AA69DA"/>
    <w:rsid w:val="00AA6A9A"/>
    <w:rsid w:val="00AA747B"/>
    <w:rsid w:val="00AA7C31"/>
    <w:rsid w:val="00AA7E17"/>
    <w:rsid w:val="00AA7EF8"/>
    <w:rsid w:val="00AA7FE6"/>
    <w:rsid w:val="00AB0250"/>
    <w:rsid w:val="00AB06A6"/>
    <w:rsid w:val="00AB1034"/>
    <w:rsid w:val="00AB1317"/>
    <w:rsid w:val="00AB2006"/>
    <w:rsid w:val="00AB20D2"/>
    <w:rsid w:val="00AB25DA"/>
    <w:rsid w:val="00AB2B0B"/>
    <w:rsid w:val="00AB2EA6"/>
    <w:rsid w:val="00AB38B2"/>
    <w:rsid w:val="00AB43E0"/>
    <w:rsid w:val="00AB476F"/>
    <w:rsid w:val="00AB4890"/>
    <w:rsid w:val="00AB5534"/>
    <w:rsid w:val="00AB61F4"/>
    <w:rsid w:val="00AB6229"/>
    <w:rsid w:val="00AB6418"/>
    <w:rsid w:val="00AB66F6"/>
    <w:rsid w:val="00AB6B82"/>
    <w:rsid w:val="00AB6CC2"/>
    <w:rsid w:val="00AB6E2C"/>
    <w:rsid w:val="00AB7A02"/>
    <w:rsid w:val="00AC03E7"/>
    <w:rsid w:val="00AC0833"/>
    <w:rsid w:val="00AC0845"/>
    <w:rsid w:val="00AC09D7"/>
    <w:rsid w:val="00AC0EF2"/>
    <w:rsid w:val="00AC0FCB"/>
    <w:rsid w:val="00AC16F7"/>
    <w:rsid w:val="00AC1D20"/>
    <w:rsid w:val="00AC21FB"/>
    <w:rsid w:val="00AC235B"/>
    <w:rsid w:val="00AC26B4"/>
    <w:rsid w:val="00AC2E2D"/>
    <w:rsid w:val="00AC3B96"/>
    <w:rsid w:val="00AC4076"/>
    <w:rsid w:val="00AC43D2"/>
    <w:rsid w:val="00AC4750"/>
    <w:rsid w:val="00AC4779"/>
    <w:rsid w:val="00AC52F1"/>
    <w:rsid w:val="00AC54A1"/>
    <w:rsid w:val="00AC5B1B"/>
    <w:rsid w:val="00AC63E2"/>
    <w:rsid w:val="00AC64B5"/>
    <w:rsid w:val="00AC6704"/>
    <w:rsid w:val="00AC7804"/>
    <w:rsid w:val="00AC7E9B"/>
    <w:rsid w:val="00AC7F52"/>
    <w:rsid w:val="00AD0639"/>
    <w:rsid w:val="00AD0654"/>
    <w:rsid w:val="00AD102A"/>
    <w:rsid w:val="00AD1266"/>
    <w:rsid w:val="00AD14F1"/>
    <w:rsid w:val="00AD1544"/>
    <w:rsid w:val="00AD1E8F"/>
    <w:rsid w:val="00AD1FD7"/>
    <w:rsid w:val="00AD208C"/>
    <w:rsid w:val="00AD220E"/>
    <w:rsid w:val="00AD3216"/>
    <w:rsid w:val="00AD384A"/>
    <w:rsid w:val="00AD3EB9"/>
    <w:rsid w:val="00AD46F1"/>
    <w:rsid w:val="00AD5364"/>
    <w:rsid w:val="00AD538E"/>
    <w:rsid w:val="00AD565E"/>
    <w:rsid w:val="00AD5B43"/>
    <w:rsid w:val="00AD5C48"/>
    <w:rsid w:val="00AD64A4"/>
    <w:rsid w:val="00AD6EE1"/>
    <w:rsid w:val="00AD703B"/>
    <w:rsid w:val="00AD7048"/>
    <w:rsid w:val="00AD7E9A"/>
    <w:rsid w:val="00AE01BA"/>
    <w:rsid w:val="00AE0706"/>
    <w:rsid w:val="00AE1300"/>
    <w:rsid w:val="00AE13D4"/>
    <w:rsid w:val="00AE1742"/>
    <w:rsid w:val="00AE1945"/>
    <w:rsid w:val="00AE198C"/>
    <w:rsid w:val="00AE1F33"/>
    <w:rsid w:val="00AE218A"/>
    <w:rsid w:val="00AE22F8"/>
    <w:rsid w:val="00AE2862"/>
    <w:rsid w:val="00AE2B1D"/>
    <w:rsid w:val="00AE33C2"/>
    <w:rsid w:val="00AE3621"/>
    <w:rsid w:val="00AE3C81"/>
    <w:rsid w:val="00AE4537"/>
    <w:rsid w:val="00AE4F61"/>
    <w:rsid w:val="00AE58B2"/>
    <w:rsid w:val="00AE5CC0"/>
    <w:rsid w:val="00AE5FF6"/>
    <w:rsid w:val="00AE60B6"/>
    <w:rsid w:val="00AE6882"/>
    <w:rsid w:val="00AE6F09"/>
    <w:rsid w:val="00AE7057"/>
    <w:rsid w:val="00AE707D"/>
    <w:rsid w:val="00AE7298"/>
    <w:rsid w:val="00AE729B"/>
    <w:rsid w:val="00AE7876"/>
    <w:rsid w:val="00AE7A53"/>
    <w:rsid w:val="00AE7C46"/>
    <w:rsid w:val="00AF03B3"/>
    <w:rsid w:val="00AF07FF"/>
    <w:rsid w:val="00AF08F3"/>
    <w:rsid w:val="00AF0F62"/>
    <w:rsid w:val="00AF1468"/>
    <w:rsid w:val="00AF1A4C"/>
    <w:rsid w:val="00AF1AD1"/>
    <w:rsid w:val="00AF1D52"/>
    <w:rsid w:val="00AF1DC5"/>
    <w:rsid w:val="00AF1DD0"/>
    <w:rsid w:val="00AF1E41"/>
    <w:rsid w:val="00AF236F"/>
    <w:rsid w:val="00AF24FE"/>
    <w:rsid w:val="00AF31D3"/>
    <w:rsid w:val="00AF325B"/>
    <w:rsid w:val="00AF3303"/>
    <w:rsid w:val="00AF35E6"/>
    <w:rsid w:val="00AF364B"/>
    <w:rsid w:val="00AF3717"/>
    <w:rsid w:val="00AF3807"/>
    <w:rsid w:val="00AF396A"/>
    <w:rsid w:val="00AF3A97"/>
    <w:rsid w:val="00AF3B39"/>
    <w:rsid w:val="00AF3CF5"/>
    <w:rsid w:val="00AF3F52"/>
    <w:rsid w:val="00AF427D"/>
    <w:rsid w:val="00AF49B9"/>
    <w:rsid w:val="00AF62B3"/>
    <w:rsid w:val="00AF6371"/>
    <w:rsid w:val="00AF70DF"/>
    <w:rsid w:val="00AF7371"/>
    <w:rsid w:val="00AF75F0"/>
    <w:rsid w:val="00B009BC"/>
    <w:rsid w:val="00B00D9D"/>
    <w:rsid w:val="00B01037"/>
    <w:rsid w:val="00B014F2"/>
    <w:rsid w:val="00B01C71"/>
    <w:rsid w:val="00B02279"/>
    <w:rsid w:val="00B025BA"/>
    <w:rsid w:val="00B0378C"/>
    <w:rsid w:val="00B0381A"/>
    <w:rsid w:val="00B03A7F"/>
    <w:rsid w:val="00B03B9C"/>
    <w:rsid w:val="00B03DEB"/>
    <w:rsid w:val="00B04565"/>
    <w:rsid w:val="00B054B1"/>
    <w:rsid w:val="00B054BE"/>
    <w:rsid w:val="00B055D2"/>
    <w:rsid w:val="00B05D3C"/>
    <w:rsid w:val="00B05E53"/>
    <w:rsid w:val="00B06008"/>
    <w:rsid w:val="00B060F8"/>
    <w:rsid w:val="00B06450"/>
    <w:rsid w:val="00B065CD"/>
    <w:rsid w:val="00B07350"/>
    <w:rsid w:val="00B075EB"/>
    <w:rsid w:val="00B07980"/>
    <w:rsid w:val="00B07DCD"/>
    <w:rsid w:val="00B1036B"/>
    <w:rsid w:val="00B105E2"/>
    <w:rsid w:val="00B10784"/>
    <w:rsid w:val="00B10EC0"/>
    <w:rsid w:val="00B10EC4"/>
    <w:rsid w:val="00B10FA0"/>
    <w:rsid w:val="00B1175D"/>
    <w:rsid w:val="00B118B1"/>
    <w:rsid w:val="00B118D9"/>
    <w:rsid w:val="00B11A45"/>
    <w:rsid w:val="00B11C3D"/>
    <w:rsid w:val="00B11D62"/>
    <w:rsid w:val="00B11D79"/>
    <w:rsid w:val="00B11E5A"/>
    <w:rsid w:val="00B12712"/>
    <w:rsid w:val="00B12805"/>
    <w:rsid w:val="00B12A3F"/>
    <w:rsid w:val="00B12AC0"/>
    <w:rsid w:val="00B12BBC"/>
    <w:rsid w:val="00B12C23"/>
    <w:rsid w:val="00B12D12"/>
    <w:rsid w:val="00B137DC"/>
    <w:rsid w:val="00B1398B"/>
    <w:rsid w:val="00B13A66"/>
    <w:rsid w:val="00B1407E"/>
    <w:rsid w:val="00B142D1"/>
    <w:rsid w:val="00B1483B"/>
    <w:rsid w:val="00B14AB2"/>
    <w:rsid w:val="00B1648E"/>
    <w:rsid w:val="00B169B3"/>
    <w:rsid w:val="00B16DE7"/>
    <w:rsid w:val="00B170EC"/>
    <w:rsid w:val="00B171F3"/>
    <w:rsid w:val="00B17270"/>
    <w:rsid w:val="00B179B6"/>
    <w:rsid w:val="00B17F50"/>
    <w:rsid w:val="00B200DB"/>
    <w:rsid w:val="00B205AF"/>
    <w:rsid w:val="00B2066C"/>
    <w:rsid w:val="00B20D6C"/>
    <w:rsid w:val="00B20F41"/>
    <w:rsid w:val="00B21A0F"/>
    <w:rsid w:val="00B21AEB"/>
    <w:rsid w:val="00B220B5"/>
    <w:rsid w:val="00B228F3"/>
    <w:rsid w:val="00B22B1E"/>
    <w:rsid w:val="00B22FD9"/>
    <w:rsid w:val="00B236F1"/>
    <w:rsid w:val="00B23C39"/>
    <w:rsid w:val="00B2402B"/>
    <w:rsid w:val="00B245F8"/>
    <w:rsid w:val="00B24729"/>
    <w:rsid w:val="00B24899"/>
    <w:rsid w:val="00B24EF9"/>
    <w:rsid w:val="00B25299"/>
    <w:rsid w:val="00B252E9"/>
    <w:rsid w:val="00B25D64"/>
    <w:rsid w:val="00B26212"/>
    <w:rsid w:val="00B26710"/>
    <w:rsid w:val="00B2727B"/>
    <w:rsid w:val="00B27701"/>
    <w:rsid w:val="00B27DBA"/>
    <w:rsid w:val="00B301E0"/>
    <w:rsid w:val="00B30212"/>
    <w:rsid w:val="00B30266"/>
    <w:rsid w:val="00B30396"/>
    <w:rsid w:val="00B30542"/>
    <w:rsid w:val="00B30A16"/>
    <w:rsid w:val="00B30D87"/>
    <w:rsid w:val="00B310C4"/>
    <w:rsid w:val="00B311BE"/>
    <w:rsid w:val="00B31468"/>
    <w:rsid w:val="00B31662"/>
    <w:rsid w:val="00B3170F"/>
    <w:rsid w:val="00B31CAA"/>
    <w:rsid w:val="00B31FCE"/>
    <w:rsid w:val="00B31FF8"/>
    <w:rsid w:val="00B32397"/>
    <w:rsid w:val="00B32413"/>
    <w:rsid w:val="00B3248D"/>
    <w:rsid w:val="00B32A46"/>
    <w:rsid w:val="00B32AB8"/>
    <w:rsid w:val="00B32B43"/>
    <w:rsid w:val="00B32B64"/>
    <w:rsid w:val="00B32F34"/>
    <w:rsid w:val="00B338D6"/>
    <w:rsid w:val="00B33DA2"/>
    <w:rsid w:val="00B33E0B"/>
    <w:rsid w:val="00B33E2D"/>
    <w:rsid w:val="00B34542"/>
    <w:rsid w:val="00B34E31"/>
    <w:rsid w:val="00B35379"/>
    <w:rsid w:val="00B353B0"/>
    <w:rsid w:val="00B353B4"/>
    <w:rsid w:val="00B3641C"/>
    <w:rsid w:val="00B36560"/>
    <w:rsid w:val="00B3688A"/>
    <w:rsid w:val="00B369A1"/>
    <w:rsid w:val="00B36A3E"/>
    <w:rsid w:val="00B36EB8"/>
    <w:rsid w:val="00B37075"/>
    <w:rsid w:val="00B3725E"/>
    <w:rsid w:val="00B37A45"/>
    <w:rsid w:val="00B37FF1"/>
    <w:rsid w:val="00B40E89"/>
    <w:rsid w:val="00B41862"/>
    <w:rsid w:val="00B41AE9"/>
    <w:rsid w:val="00B42141"/>
    <w:rsid w:val="00B425AC"/>
    <w:rsid w:val="00B42A5C"/>
    <w:rsid w:val="00B42ACB"/>
    <w:rsid w:val="00B42D48"/>
    <w:rsid w:val="00B42DEC"/>
    <w:rsid w:val="00B432A6"/>
    <w:rsid w:val="00B433DE"/>
    <w:rsid w:val="00B435BB"/>
    <w:rsid w:val="00B43AAD"/>
    <w:rsid w:val="00B440A5"/>
    <w:rsid w:val="00B44131"/>
    <w:rsid w:val="00B447D3"/>
    <w:rsid w:val="00B44A14"/>
    <w:rsid w:val="00B44A92"/>
    <w:rsid w:val="00B44AB4"/>
    <w:rsid w:val="00B44BFE"/>
    <w:rsid w:val="00B4518C"/>
    <w:rsid w:val="00B45452"/>
    <w:rsid w:val="00B455F9"/>
    <w:rsid w:val="00B45608"/>
    <w:rsid w:val="00B46407"/>
    <w:rsid w:val="00B466CE"/>
    <w:rsid w:val="00B468A6"/>
    <w:rsid w:val="00B469CF"/>
    <w:rsid w:val="00B46A1E"/>
    <w:rsid w:val="00B46DA7"/>
    <w:rsid w:val="00B46F49"/>
    <w:rsid w:val="00B47386"/>
    <w:rsid w:val="00B473E2"/>
    <w:rsid w:val="00B47E20"/>
    <w:rsid w:val="00B47FBB"/>
    <w:rsid w:val="00B50106"/>
    <w:rsid w:val="00B50B12"/>
    <w:rsid w:val="00B50E50"/>
    <w:rsid w:val="00B510D7"/>
    <w:rsid w:val="00B51254"/>
    <w:rsid w:val="00B5196F"/>
    <w:rsid w:val="00B51BE3"/>
    <w:rsid w:val="00B51F8C"/>
    <w:rsid w:val="00B52885"/>
    <w:rsid w:val="00B52A45"/>
    <w:rsid w:val="00B52D52"/>
    <w:rsid w:val="00B53D9F"/>
    <w:rsid w:val="00B53EEE"/>
    <w:rsid w:val="00B54011"/>
    <w:rsid w:val="00B5435D"/>
    <w:rsid w:val="00B54429"/>
    <w:rsid w:val="00B5484E"/>
    <w:rsid w:val="00B548CD"/>
    <w:rsid w:val="00B54921"/>
    <w:rsid w:val="00B54E6D"/>
    <w:rsid w:val="00B55516"/>
    <w:rsid w:val="00B556CF"/>
    <w:rsid w:val="00B55841"/>
    <w:rsid w:val="00B55BA9"/>
    <w:rsid w:val="00B55D5E"/>
    <w:rsid w:val="00B5632A"/>
    <w:rsid w:val="00B56CBD"/>
    <w:rsid w:val="00B56E3D"/>
    <w:rsid w:val="00B56E4A"/>
    <w:rsid w:val="00B5731C"/>
    <w:rsid w:val="00B57E72"/>
    <w:rsid w:val="00B60296"/>
    <w:rsid w:val="00B60484"/>
    <w:rsid w:val="00B60737"/>
    <w:rsid w:val="00B60F3E"/>
    <w:rsid w:val="00B61137"/>
    <w:rsid w:val="00B61246"/>
    <w:rsid w:val="00B61AA2"/>
    <w:rsid w:val="00B61D4B"/>
    <w:rsid w:val="00B62075"/>
    <w:rsid w:val="00B62653"/>
    <w:rsid w:val="00B62C42"/>
    <w:rsid w:val="00B62F12"/>
    <w:rsid w:val="00B635B7"/>
    <w:rsid w:val="00B63AA8"/>
    <w:rsid w:val="00B63B5B"/>
    <w:rsid w:val="00B63BDA"/>
    <w:rsid w:val="00B63F9C"/>
    <w:rsid w:val="00B6455B"/>
    <w:rsid w:val="00B647B0"/>
    <w:rsid w:val="00B65078"/>
    <w:rsid w:val="00B653F2"/>
    <w:rsid w:val="00B655E5"/>
    <w:rsid w:val="00B6582D"/>
    <w:rsid w:val="00B65C7A"/>
    <w:rsid w:val="00B664A3"/>
    <w:rsid w:val="00B664E7"/>
    <w:rsid w:val="00B66638"/>
    <w:rsid w:val="00B667A8"/>
    <w:rsid w:val="00B66C4B"/>
    <w:rsid w:val="00B66DAE"/>
    <w:rsid w:val="00B6731A"/>
    <w:rsid w:val="00B674E5"/>
    <w:rsid w:val="00B67CB9"/>
    <w:rsid w:val="00B67E3A"/>
    <w:rsid w:val="00B70179"/>
    <w:rsid w:val="00B705E9"/>
    <w:rsid w:val="00B7143A"/>
    <w:rsid w:val="00B71C6B"/>
    <w:rsid w:val="00B7204D"/>
    <w:rsid w:val="00B7208C"/>
    <w:rsid w:val="00B723F5"/>
    <w:rsid w:val="00B727D2"/>
    <w:rsid w:val="00B7379C"/>
    <w:rsid w:val="00B73897"/>
    <w:rsid w:val="00B73B1E"/>
    <w:rsid w:val="00B73B24"/>
    <w:rsid w:val="00B73F44"/>
    <w:rsid w:val="00B740AE"/>
    <w:rsid w:val="00B744A4"/>
    <w:rsid w:val="00B74987"/>
    <w:rsid w:val="00B74A40"/>
    <w:rsid w:val="00B759D9"/>
    <w:rsid w:val="00B759F9"/>
    <w:rsid w:val="00B75E96"/>
    <w:rsid w:val="00B76104"/>
    <w:rsid w:val="00B76180"/>
    <w:rsid w:val="00B765CD"/>
    <w:rsid w:val="00B76ACF"/>
    <w:rsid w:val="00B77352"/>
    <w:rsid w:val="00B806A4"/>
    <w:rsid w:val="00B80A11"/>
    <w:rsid w:val="00B81203"/>
    <w:rsid w:val="00B820A6"/>
    <w:rsid w:val="00B83051"/>
    <w:rsid w:val="00B83E41"/>
    <w:rsid w:val="00B83EDB"/>
    <w:rsid w:val="00B840F4"/>
    <w:rsid w:val="00B848C4"/>
    <w:rsid w:val="00B84E36"/>
    <w:rsid w:val="00B85002"/>
    <w:rsid w:val="00B85268"/>
    <w:rsid w:val="00B85363"/>
    <w:rsid w:val="00B85412"/>
    <w:rsid w:val="00B85684"/>
    <w:rsid w:val="00B85B16"/>
    <w:rsid w:val="00B85FEB"/>
    <w:rsid w:val="00B8603D"/>
    <w:rsid w:val="00B8625D"/>
    <w:rsid w:val="00B86A50"/>
    <w:rsid w:val="00B86D62"/>
    <w:rsid w:val="00B86F79"/>
    <w:rsid w:val="00B8752A"/>
    <w:rsid w:val="00B87EE4"/>
    <w:rsid w:val="00B9010F"/>
    <w:rsid w:val="00B90490"/>
    <w:rsid w:val="00B904AE"/>
    <w:rsid w:val="00B90FAE"/>
    <w:rsid w:val="00B91051"/>
    <w:rsid w:val="00B91381"/>
    <w:rsid w:val="00B91468"/>
    <w:rsid w:val="00B918E7"/>
    <w:rsid w:val="00B91A99"/>
    <w:rsid w:val="00B91D96"/>
    <w:rsid w:val="00B91F6A"/>
    <w:rsid w:val="00B9201A"/>
    <w:rsid w:val="00B92561"/>
    <w:rsid w:val="00B92870"/>
    <w:rsid w:val="00B92E64"/>
    <w:rsid w:val="00B93052"/>
    <w:rsid w:val="00B932DF"/>
    <w:rsid w:val="00B93370"/>
    <w:rsid w:val="00B93C0E"/>
    <w:rsid w:val="00B94AE3"/>
    <w:rsid w:val="00B94DA7"/>
    <w:rsid w:val="00B950AE"/>
    <w:rsid w:val="00B956B6"/>
    <w:rsid w:val="00B956DC"/>
    <w:rsid w:val="00B95A00"/>
    <w:rsid w:val="00B96062"/>
    <w:rsid w:val="00B961A8"/>
    <w:rsid w:val="00B965DC"/>
    <w:rsid w:val="00B966A3"/>
    <w:rsid w:val="00B96A35"/>
    <w:rsid w:val="00B9714E"/>
    <w:rsid w:val="00B972D1"/>
    <w:rsid w:val="00B97308"/>
    <w:rsid w:val="00B97677"/>
    <w:rsid w:val="00B97CF5"/>
    <w:rsid w:val="00B97CFD"/>
    <w:rsid w:val="00BA00C8"/>
    <w:rsid w:val="00BA0570"/>
    <w:rsid w:val="00BA07AA"/>
    <w:rsid w:val="00BA1216"/>
    <w:rsid w:val="00BA19B7"/>
    <w:rsid w:val="00BA1E08"/>
    <w:rsid w:val="00BA1F59"/>
    <w:rsid w:val="00BA2B2A"/>
    <w:rsid w:val="00BA2C5D"/>
    <w:rsid w:val="00BA2CA3"/>
    <w:rsid w:val="00BA2E91"/>
    <w:rsid w:val="00BA42AC"/>
    <w:rsid w:val="00BA46B0"/>
    <w:rsid w:val="00BA47BC"/>
    <w:rsid w:val="00BA4A16"/>
    <w:rsid w:val="00BA4CAC"/>
    <w:rsid w:val="00BA4EC5"/>
    <w:rsid w:val="00BA50DA"/>
    <w:rsid w:val="00BA5812"/>
    <w:rsid w:val="00BA5989"/>
    <w:rsid w:val="00BA5A16"/>
    <w:rsid w:val="00BA5BCC"/>
    <w:rsid w:val="00BA5EF5"/>
    <w:rsid w:val="00BA5FEA"/>
    <w:rsid w:val="00BA64B0"/>
    <w:rsid w:val="00BA7501"/>
    <w:rsid w:val="00BA7794"/>
    <w:rsid w:val="00BA7923"/>
    <w:rsid w:val="00BA79E1"/>
    <w:rsid w:val="00BA7B56"/>
    <w:rsid w:val="00BA7EC1"/>
    <w:rsid w:val="00BB0B81"/>
    <w:rsid w:val="00BB0C0F"/>
    <w:rsid w:val="00BB0F35"/>
    <w:rsid w:val="00BB0F49"/>
    <w:rsid w:val="00BB111A"/>
    <w:rsid w:val="00BB11A8"/>
    <w:rsid w:val="00BB12CB"/>
    <w:rsid w:val="00BB14CC"/>
    <w:rsid w:val="00BB14DA"/>
    <w:rsid w:val="00BB1912"/>
    <w:rsid w:val="00BB19A4"/>
    <w:rsid w:val="00BB1B7E"/>
    <w:rsid w:val="00BB1C06"/>
    <w:rsid w:val="00BB263B"/>
    <w:rsid w:val="00BB3838"/>
    <w:rsid w:val="00BB3ADF"/>
    <w:rsid w:val="00BB47F2"/>
    <w:rsid w:val="00BB4E0E"/>
    <w:rsid w:val="00BB4E77"/>
    <w:rsid w:val="00BB534D"/>
    <w:rsid w:val="00BB5440"/>
    <w:rsid w:val="00BB603E"/>
    <w:rsid w:val="00BB66EE"/>
    <w:rsid w:val="00BB6B30"/>
    <w:rsid w:val="00BB6EF6"/>
    <w:rsid w:val="00BB75BA"/>
    <w:rsid w:val="00BB75C8"/>
    <w:rsid w:val="00BB784C"/>
    <w:rsid w:val="00BB78C8"/>
    <w:rsid w:val="00BB7D0B"/>
    <w:rsid w:val="00BC058F"/>
    <w:rsid w:val="00BC0888"/>
    <w:rsid w:val="00BC0BBF"/>
    <w:rsid w:val="00BC0DFB"/>
    <w:rsid w:val="00BC0E5B"/>
    <w:rsid w:val="00BC11EC"/>
    <w:rsid w:val="00BC13DE"/>
    <w:rsid w:val="00BC1543"/>
    <w:rsid w:val="00BC15C3"/>
    <w:rsid w:val="00BC1B70"/>
    <w:rsid w:val="00BC2B17"/>
    <w:rsid w:val="00BC371F"/>
    <w:rsid w:val="00BC3B18"/>
    <w:rsid w:val="00BC3FF6"/>
    <w:rsid w:val="00BC471E"/>
    <w:rsid w:val="00BC4D2F"/>
    <w:rsid w:val="00BC4D7B"/>
    <w:rsid w:val="00BC5221"/>
    <w:rsid w:val="00BC5BCC"/>
    <w:rsid w:val="00BC5DEC"/>
    <w:rsid w:val="00BC5F32"/>
    <w:rsid w:val="00BC623A"/>
    <w:rsid w:val="00BC6383"/>
    <w:rsid w:val="00BC6C49"/>
    <w:rsid w:val="00BC787F"/>
    <w:rsid w:val="00BC7D24"/>
    <w:rsid w:val="00BD0198"/>
    <w:rsid w:val="00BD0431"/>
    <w:rsid w:val="00BD0ABB"/>
    <w:rsid w:val="00BD18E4"/>
    <w:rsid w:val="00BD1C5D"/>
    <w:rsid w:val="00BD1C69"/>
    <w:rsid w:val="00BD1CA1"/>
    <w:rsid w:val="00BD1E5D"/>
    <w:rsid w:val="00BD1FAA"/>
    <w:rsid w:val="00BD1FE5"/>
    <w:rsid w:val="00BD2091"/>
    <w:rsid w:val="00BD21E7"/>
    <w:rsid w:val="00BD27D8"/>
    <w:rsid w:val="00BD2DE7"/>
    <w:rsid w:val="00BD372E"/>
    <w:rsid w:val="00BD3852"/>
    <w:rsid w:val="00BD3BE2"/>
    <w:rsid w:val="00BD40FA"/>
    <w:rsid w:val="00BD4544"/>
    <w:rsid w:val="00BD4823"/>
    <w:rsid w:val="00BD4FCD"/>
    <w:rsid w:val="00BD50FB"/>
    <w:rsid w:val="00BD5242"/>
    <w:rsid w:val="00BD52A5"/>
    <w:rsid w:val="00BD5437"/>
    <w:rsid w:val="00BD57EB"/>
    <w:rsid w:val="00BD5901"/>
    <w:rsid w:val="00BD5C88"/>
    <w:rsid w:val="00BD5F77"/>
    <w:rsid w:val="00BD60FA"/>
    <w:rsid w:val="00BD6540"/>
    <w:rsid w:val="00BD65A1"/>
    <w:rsid w:val="00BD6C94"/>
    <w:rsid w:val="00BD7259"/>
    <w:rsid w:val="00BD78EA"/>
    <w:rsid w:val="00BD79B8"/>
    <w:rsid w:val="00BD7B32"/>
    <w:rsid w:val="00BE0328"/>
    <w:rsid w:val="00BE0AED"/>
    <w:rsid w:val="00BE0C03"/>
    <w:rsid w:val="00BE0FDF"/>
    <w:rsid w:val="00BE11B1"/>
    <w:rsid w:val="00BE1E06"/>
    <w:rsid w:val="00BE27C9"/>
    <w:rsid w:val="00BE2A6A"/>
    <w:rsid w:val="00BE30C9"/>
    <w:rsid w:val="00BE3247"/>
    <w:rsid w:val="00BE3656"/>
    <w:rsid w:val="00BE368D"/>
    <w:rsid w:val="00BE37CF"/>
    <w:rsid w:val="00BE3AE0"/>
    <w:rsid w:val="00BE4246"/>
    <w:rsid w:val="00BE4369"/>
    <w:rsid w:val="00BE4643"/>
    <w:rsid w:val="00BE5F7F"/>
    <w:rsid w:val="00BE6097"/>
    <w:rsid w:val="00BE6231"/>
    <w:rsid w:val="00BE64DD"/>
    <w:rsid w:val="00BE698A"/>
    <w:rsid w:val="00BE6AD0"/>
    <w:rsid w:val="00BE718E"/>
    <w:rsid w:val="00BE7947"/>
    <w:rsid w:val="00BE7994"/>
    <w:rsid w:val="00BE7BD2"/>
    <w:rsid w:val="00BF1112"/>
    <w:rsid w:val="00BF1437"/>
    <w:rsid w:val="00BF154F"/>
    <w:rsid w:val="00BF1D99"/>
    <w:rsid w:val="00BF2692"/>
    <w:rsid w:val="00BF26CB"/>
    <w:rsid w:val="00BF280D"/>
    <w:rsid w:val="00BF28DF"/>
    <w:rsid w:val="00BF3378"/>
    <w:rsid w:val="00BF3462"/>
    <w:rsid w:val="00BF35F4"/>
    <w:rsid w:val="00BF36B0"/>
    <w:rsid w:val="00BF3848"/>
    <w:rsid w:val="00BF3BA7"/>
    <w:rsid w:val="00BF3C02"/>
    <w:rsid w:val="00BF4568"/>
    <w:rsid w:val="00BF46BD"/>
    <w:rsid w:val="00BF5328"/>
    <w:rsid w:val="00BF545E"/>
    <w:rsid w:val="00BF5460"/>
    <w:rsid w:val="00BF5A0E"/>
    <w:rsid w:val="00BF5AD0"/>
    <w:rsid w:val="00BF5D9C"/>
    <w:rsid w:val="00BF60D4"/>
    <w:rsid w:val="00BF6517"/>
    <w:rsid w:val="00BF65DA"/>
    <w:rsid w:val="00BF67E7"/>
    <w:rsid w:val="00BF6A35"/>
    <w:rsid w:val="00BF6CDB"/>
    <w:rsid w:val="00BF71DD"/>
    <w:rsid w:val="00BF742A"/>
    <w:rsid w:val="00BF7553"/>
    <w:rsid w:val="00BF759D"/>
    <w:rsid w:val="00BF7F04"/>
    <w:rsid w:val="00C001B1"/>
    <w:rsid w:val="00C001C3"/>
    <w:rsid w:val="00C00949"/>
    <w:rsid w:val="00C01263"/>
    <w:rsid w:val="00C013E3"/>
    <w:rsid w:val="00C01A7C"/>
    <w:rsid w:val="00C023E1"/>
    <w:rsid w:val="00C02567"/>
    <w:rsid w:val="00C027D1"/>
    <w:rsid w:val="00C02CAA"/>
    <w:rsid w:val="00C031A4"/>
    <w:rsid w:val="00C033E8"/>
    <w:rsid w:val="00C034B1"/>
    <w:rsid w:val="00C03642"/>
    <w:rsid w:val="00C038DC"/>
    <w:rsid w:val="00C03AD2"/>
    <w:rsid w:val="00C03C98"/>
    <w:rsid w:val="00C04249"/>
    <w:rsid w:val="00C04694"/>
    <w:rsid w:val="00C04A90"/>
    <w:rsid w:val="00C051FD"/>
    <w:rsid w:val="00C054D3"/>
    <w:rsid w:val="00C0573A"/>
    <w:rsid w:val="00C057FD"/>
    <w:rsid w:val="00C058CA"/>
    <w:rsid w:val="00C0663A"/>
    <w:rsid w:val="00C066C1"/>
    <w:rsid w:val="00C067B2"/>
    <w:rsid w:val="00C06AFB"/>
    <w:rsid w:val="00C06CA9"/>
    <w:rsid w:val="00C06FF8"/>
    <w:rsid w:val="00C070A7"/>
    <w:rsid w:val="00C076CE"/>
    <w:rsid w:val="00C07D8E"/>
    <w:rsid w:val="00C07DEB"/>
    <w:rsid w:val="00C07F6A"/>
    <w:rsid w:val="00C109F8"/>
    <w:rsid w:val="00C10BFE"/>
    <w:rsid w:val="00C1126A"/>
    <w:rsid w:val="00C1155B"/>
    <w:rsid w:val="00C11EB2"/>
    <w:rsid w:val="00C12130"/>
    <w:rsid w:val="00C121D3"/>
    <w:rsid w:val="00C12301"/>
    <w:rsid w:val="00C12482"/>
    <w:rsid w:val="00C12BBD"/>
    <w:rsid w:val="00C12C68"/>
    <w:rsid w:val="00C12EFF"/>
    <w:rsid w:val="00C13260"/>
    <w:rsid w:val="00C133EA"/>
    <w:rsid w:val="00C13A60"/>
    <w:rsid w:val="00C14357"/>
    <w:rsid w:val="00C14657"/>
    <w:rsid w:val="00C14C46"/>
    <w:rsid w:val="00C14D46"/>
    <w:rsid w:val="00C1516A"/>
    <w:rsid w:val="00C1525F"/>
    <w:rsid w:val="00C15835"/>
    <w:rsid w:val="00C15885"/>
    <w:rsid w:val="00C15F26"/>
    <w:rsid w:val="00C164CC"/>
    <w:rsid w:val="00C165B3"/>
    <w:rsid w:val="00C168D0"/>
    <w:rsid w:val="00C17604"/>
    <w:rsid w:val="00C2033A"/>
    <w:rsid w:val="00C20BF0"/>
    <w:rsid w:val="00C21536"/>
    <w:rsid w:val="00C21AEB"/>
    <w:rsid w:val="00C21B44"/>
    <w:rsid w:val="00C22D62"/>
    <w:rsid w:val="00C22D9A"/>
    <w:rsid w:val="00C23033"/>
    <w:rsid w:val="00C2344A"/>
    <w:rsid w:val="00C235B2"/>
    <w:rsid w:val="00C23656"/>
    <w:rsid w:val="00C23FF9"/>
    <w:rsid w:val="00C241D9"/>
    <w:rsid w:val="00C24CC0"/>
    <w:rsid w:val="00C2586C"/>
    <w:rsid w:val="00C25A1D"/>
    <w:rsid w:val="00C25B97"/>
    <w:rsid w:val="00C25DFD"/>
    <w:rsid w:val="00C25E43"/>
    <w:rsid w:val="00C26090"/>
    <w:rsid w:val="00C266E0"/>
    <w:rsid w:val="00C26F92"/>
    <w:rsid w:val="00C27450"/>
    <w:rsid w:val="00C276E3"/>
    <w:rsid w:val="00C278C1"/>
    <w:rsid w:val="00C279D7"/>
    <w:rsid w:val="00C27DAC"/>
    <w:rsid w:val="00C27F73"/>
    <w:rsid w:val="00C30E2C"/>
    <w:rsid w:val="00C313EA"/>
    <w:rsid w:val="00C31787"/>
    <w:rsid w:val="00C3194A"/>
    <w:rsid w:val="00C31EEB"/>
    <w:rsid w:val="00C31FCD"/>
    <w:rsid w:val="00C31FF3"/>
    <w:rsid w:val="00C33261"/>
    <w:rsid w:val="00C332FC"/>
    <w:rsid w:val="00C337CB"/>
    <w:rsid w:val="00C3381D"/>
    <w:rsid w:val="00C34590"/>
    <w:rsid w:val="00C34679"/>
    <w:rsid w:val="00C34764"/>
    <w:rsid w:val="00C34D07"/>
    <w:rsid w:val="00C34D74"/>
    <w:rsid w:val="00C35235"/>
    <w:rsid w:val="00C35244"/>
    <w:rsid w:val="00C353FF"/>
    <w:rsid w:val="00C356D2"/>
    <w:rsid w:val="00C357B0"/>
    <w:rsid w:val="00C358D9"/>
    <w:rsid w:val="00C3592B"/>
    <w:rsid w:val="00C35A39"/>
    <w:rsid w:val="00C35ADA"/>
    <w:rsid w:val="00C3615B"/>
    <w:rsid w:val="00C367EE"/>
    <w:rsid w:val="00C36DBA"/>
    <w:rsid w:val="00C36DDE"/>
    <w:rsid w:val="00C36FF7"/>
    <w:rsid w:val="00C374D3"/>
    <w:rsid w:val="00C374FA"/>
    <w:rsid w:val="00C37676"/>
    <w:rsid w:val="00C37798"/>
    <w:rsid w:val="00C377F0"/>
    <w:rsid w:val="00C37B4B"/>
    <w:rsid w:val="00C37FC9"/>
    <w:rsid w:val="00C406FE"/>
    <w:rsid w:val="00C41304"/>
    <w:rsid w:val="00C41602"/>
    <w:rsid w:val="00C41A05"/>
    <w:rsid w:val="00C41BA4"/>
    <w:rsid w:val="00C41FDA"/>
    <w:rsid w:val="00C421CE"/>
    <w:rsid w:val="00C428DB"/>
    <w:rsid w:val="00C42A8E"/>
    <w:rsid w:val="00C42D2B"/>
    <w:rsid w:val="00C42E7B"/>
    <w:rsid w:val="00C4375D"/>
    <w:rsid w:val="00C43F94"/>
    <w:rsid w:val="00C44813"/>
    <w:rsid w:val="00C44982"/>
    <w:rsid w:val="00C450BA"/>
    <w:rsid w:val="00C45266"/>
    <w:rsid w:val="00C453F3"/>
    <w:rsid w:val="00C45AD5"/>
    <w:rsid w:val="00C45AF9"/>
    <w:rsid w:val="00C46579"/>
    <w:rsid w:val="00C469EB"/>
    <w:rsid w:val="00C46C84"/>
    <w:rsid w:val="00C47042"/>
    <w:rsid w:val="00C47353"/>
    <w:rsid w:val="00C47734"/>
    <w:rsid w:val="00C4773E"/>
    <w:rsid w:val="00C4781D"/>
    <w:rsid w:val="00C47DA9"/>
    <w:rsid w:val="00C50590"/>
    <w:rsid w:val="00C5075E"/>
    <w:rsid w:val="00C508FD"/>
    <w:rsid w:val="00C50AFD"/>
    <w:rsid w:val="00C50C65"/>
    <w:rsid w:val="00C50E5C"/>
    <w:rsid w:val="00C51ACA"/>
    <w:rsid w:val="00C521C4"/>
    <w:rsid w:val="00C5239A"/>
    <w:rsid w:val="00C52891"/>
    <w:rsid w:val="00C52A56"/>
    <w:rsid w:val="00C54280"/>
    <w:rsid w:val="00C54293"/>
    <w:rsid w:val="00C547FA"/>
    <w:rsid w:val="00C549D0"/>
    <w:rsid w:val="00C54AA1"/>
    <w:rsid w:val="00C550D6"/>
    <w:rsid w:val="00C55640"/>
    <w:rsid w:val="00C559A9"/>
    <w:rsid w:val="00C55C51"/>
    <w:rsid w:val="00C561FB"/>
    <w:rsid w:val="00C5633D"/>
    <w:rsid w:val="00C5636F"/>
    <w:rsid w:val="00C5647B"/>
    <w:rsid w:val="00C5749F"/>
    <w:rsid w:val="00C579CC"/>
    <w:rsid w:val="00C579E8"/>
    <w:rsid w:val="00C60102"/>
    <w:rsid w:val="00C60D4F"/>
    <w:rsid w:val="00C610A8"/>
    <w:rsid w:val="00C6113E"/>
    <w:rsid w:val="00C6275A"/>
    <w:rsid w:val="00C62D26"/>
    <w:rsid w:val="00C63819"/>
    <w:rsid w:val="00C63A4D"/>
    <w:rsid w:val="00C63C90"/>
    <w:rsid w:val="00C63F81"/>
    <w:rsid w:val="00C6490E"/>
    <w:rsid w:val="00C64A38"/>
    <w:rsid w:val="00C64B5C"/>
    <w:rsid w:val="00C64CAD"/>
    <w:rsid w:val="00C64D37"/>
    <w:rsid w:val="00C650A6"/>
    <w:rsid w:val="00C66019"/>
    <w:rsid w:val="00C66336"/>
    <w:rsid w:val="00C664D1"/>
    <w:rsid w:val="00C664F4"/>
    <w:rsid w:val="00C66688"/>
    <w:rsid w:val="00C66714"/>
    <w:rsid w:val="00C66776"/>
    <w:rsid w:val="00C668BE"/>
    <w:rsid w:val="00C66E45"/>
    <w:rsid w:val="00C66F81"/>
    <w:rsid w:val="00C678AE"/>
    <w:rsid w:val="00C67BD2"/>
    <w:rsid w:val="00C70618"/>
    <w:rsid w:val="00C70910"/>
    <w:rsid w:val="00C70C2D"/>
    <w:rsid w:val="00C70C5F"/>
    <w:rsid w:val="00C70C6C"/>
    <w:rsid w:val="00C70F8A"/>
    <w:rsid w:val="00C7139A"/>
    <w:rsid w:val="00C7165C"/>
    <w:rsid w:val="00C71CEE"/>
    <w:rsid w:val="00C721AD"/>
    <w:rsid w:val="00C726C6"/>
    <w:rsid w:val="00C72F8F"/>
    <w:rsid w:val="00C7333C"/>
    <w:rsid w:val="00C73A60"/>
    <w:rsid w:val="00C74515"/>
    <w:rsid w:val="00C7483D"/>
    <w:rsid w:val="00C74F87"/>
    <w:rsid w:val="00C759FE"/>
    <w:rsid w:val="00C75F2F"/>
    <w:rsid w:val="00C7609A"/>
    <w:rsid w:val="00C760CB"/>
    <w:rsid w:val="00C76593"/>
    <w:rsid w:val="00C769DB"/>
    <w:rsid w:val="00C77135"/>
    <w:rsid w:val="00C77271"/>
    <w:rsid w:val="00C778F5"/>
    <w:rsid w:val="00C77ACE"/>
    <w:rsid w:val="00C77CC6"/>
    <w:rsid w:val="00C80103"/>
    <w:rsid w:val="00C80384"/>
    <w:rsid w:val="00C80A01"/>
    <w:rsid w:val="00C80A7C"/>
    <w:rsid w:val="00C8115A"/>
    <w:rsid w:val="00C81D6F"/>
    <w:rsid w:val="00C82726"/>
    <w:rsid w:val="00C82F11"/>
    <w:rsid w:val="00C836CC"/>
    <w:rsid w:val="00C83728"/>
    <w:rsid w:val="00C83B23"/>
    <w:rsid w:val="00C83E4D"/>
    <w:rsid w:val="00C83F7E"/>
    <w:rsid w:val="00C840C3"/>
    <w:rsid w:val="00C843E7"/>
    <w:rsid w:val="00C848CE"/>
    <w:rsid w:val="00C84C36"/>
    <w:rsid w:val="00C84F64"/>
    <w:rsid w:val="00C84F7C"/>
    <w:rsid w:val="00C85243"/>
    <w:rsid w:val="00C85255"/>
    <w:rsid w:val="00C855BA"/>
    <w:rsid w:val="00C85830"/>
    <w:rsid w:val="00C8598D"/>
    <w:rsid w:val="00C85CC0"/>
    <w:rsid w:val="00C8629E"/>
    <w:rsid w:val="00C86D93"/>
    <w:rsid w:val="00C871EE"/>
    <w:rsid w:val="00C8736A"/>
    <w:rsid w:val="00C87654"/>
    <w:rsid w:val="00C87675"/>
    <w:rsid w:val="00C87A5B"/>
    <w:rsid w:val="00C9012C"/>
    <w:rsid w:val="00C9122B"/>
    <w:rsid w:val="00C91361"/>
    <w:rsid w:val="00C91BD7"/>
    <w:rsid w:val="00C92165"/>
    <w:rsid w:val="00C92349"/>
    <w:rsid w:val="00C93335"/>
    <w:rsid w:val="00C93532"/>
    <w:rsid w:val="00C94357"/>
    <w:rsid w:val="00C9479A"/>
    <w:rsid w:val="00C94AA7"/>
    <w:rsid w:val="00C94D29"/>
    <w:rsid w:val="00C95112"/>
    <w:rsid w:val="00C95133"/>
    <w:rsid w:val="00C95254"/>
    <w:rsid w:val="00C95698"/>
    <w:rsid w:val="00C95740"/>
    <w:rsid w:val="00C958FF"/>
    <w:rsid w:val="00C9592C"/>
    <w:rsid w:val="00C9599B"/>
    <w:rsid w:val="00C960DB"/>
    <w:rsid w:val="00C96573"/>
    <w:rsid w:val="00C97579"/>
    <w:rsid w:val="00C97713"/>
    <w:rsid w:val="00C977D1"/>
    <w:rsid w:val="00CA06FF"/>
    <w:rsid w:val="00CA16F4"/>
    <w:rsid w:val="00CA1936"/>
    <w:rsid w:val="00CA1CB5"/>
    <w:rsid w:val="00CA1E7D"/>
    <w:rsid w:val="00CA31E8"/>
    <w:rsid w:val="00CA32C0"/>
    <w:rsid w:val="00CA37C5"/>
    <w:rsid w:val="00CA39C5"/>
    <w:rsid w:val="00CA41F2"/>
    <w:rsid w:val="00CA441C"/>
    <w:rsid w:val="00CA470A"/>
    <w:rsid w:val="00CA4A66"/>
    <w:rsid w:val="00CA4D5F"/>
    <w:rsid w:val="00CA518E"/>
    <w:rsid w:val="00CA61DD"/>
    <w:rsid w:val="00CA6627"/>
    <w:rsid w:val="00CA675D"/>
    <w:rsid w:val="00CA6B0A"/>
    <w:rsid w:val="00CA7A93"/>
    <w:rsid w:val="00CA7D72"/>
    <w:rsid w:val="00CA7EF4"/>
    <w:rsid w:val="00CA7F3D"/>
    <w:rsid w:val="00CB01AA"/>
    <w:rsid w:val="00CB04EB"/>
    <w:rsid w:val="00CB120D"/>
    <w:rsid w:val="00CB14E4"/>
    <w:rsid w:val="00CB299A"/>
    <w:rsid w:val="00CB2B17"/>
    <w:rsid w:val="00CB2C2C"/>
    <w:rsid w:val="00CB2C7C"/>
    <w:rsid w:val="00CB337B"/>
    <w:rsid w:val="00CB33D8"/>
    <w:rsid w:val="00CB3BE4"/>
    <w:rsid w:val="00CB4036"/>
    <w:rsid w:val="00CB46E6"/>
    <w:rsid w:val="00CB4A2D"/>
    <w:rsid w:val="00CB4C53"/>
    <w:rsid w:val="00CB5AB6"/>
    <w:rsid w:val="00CB5B77"/>
    <w:rsid w:val="00CB5C9C"/>
    <w:rsid w:val="00CB5E07"/>
    <w:rsid w:val="00CB6611"/>
    <w:rsid w:val="00CB6790"/>
    <w:rsid w:val="00CB6791"/>
    <w:rsid w:val="00CB68DF"/>
    <w:rsid w:val="00CB6D2E"/>
    <w:rsid w:val="00CB6EB1"/>
    <w:rsid w:val="00CB7457"/>
    <w:rsid w:val="00CB7500"/>
    <w:rsid w:val="00CB7AF8"/>
    <w:rsid w:val="00CC014A"/>
    <w:rsid w:val="00CC03BC"/>
    <w:rsid w:val="00CC03C7"/>
    <w:rsid w:val="00CC0478"/>
    <w:rsid w:val="00CC0D2F"/>
    <w:rsid w:val="00CC1913"/>
    <w:rsid w:val="00CC1B71"/>
    <w:rsid w:val="00CC269B"/>
    <w:rsid w:val="00CC318F"/>
    <w:rsid w:val="00CC3665"/>
    <w:rsid w:val="00CC3959"/>
    <w:rsid w:val="00CC3A76"/>
    <w:rsid w:val="00CC415C"/>
    <w:rsid w:val="00CC48DD"/>
    <w:rsid w:val="00CC4AFE"/>
    <w:rsid w:val="00CC4C93"/>
    <w:rsid w:val="00CC4CEF"/>
    <w:rsid w:val="00CC4D05"/>
    <w:rsid w:val="00CC4D7B"/>
    <w:rsid w:val="00CC4DF2"/>
    <w:rsid w:val="00CC534D"/>
    <w:rsid w:val="00CC53C1"/>
    <w:rsid w:val="00CC5501"/>
    <w:rsid w:val="00CC5589"/>
    <w:rsid w:val="00CC5A70"/>
    <w:rsid w:val="00CC5AE6"/>
    <w:rsid w:val="00CC6FFA"/>
    <w:rsid w:val="00CC74D4"/>
    <w:rsid w:val="00CC74D9"/>
    <w:rsid w:val="00CC799E"/>
    <w:rsid w:val="00CC7B42"/>
    <w:rsid w:val="00CC7C1E"/>
    <w:rsid w:val="00CC7CD9"/>
    <w:rsid w:val="00CD0070"/>
    <w:rsid w:val="00CD01EB"/>
    <w:rsid w:val="00CD0240"/>
    <w:rsid w:val="00CD19BE"/>
    <w:rsid w:val="00CD228C"/>
    <w:rsid w:val="00CD247F"/>
    <w:rsid w:val="00CD28B9"/>
    <w:rsid w:val="00CD292A"/>
    <w:rsid w:val="00CD3040"/>
    <w:rsid w:val="00CD3203"/>
    <w:rsid w:val="00CD4017"/>
    <w:rsid w:val="00CD42B0"/>
    <w:rsid w:val="00CD45FE"/>
    <w:rsid w:val="00CD468D"/>
    <w:rsid w:val="00CD46E6"/>
    <w:rsid w:val="00CD4946"/>
    <w:rsid w:val="00CD4E05"/>
    <w:rsid w:val="00CD536C"/>
    <w:rsid w:val="00CD5466"/>
    <w:rsid w:val="00CD577B"/>
    <w:rsid w:val="00CD57A5"/>
    <w:rsid w:val="00CD69C2"/>
    <w:rsid w:val="00CD6E21"/>
    <w:rsid w:val="00CD7279"/>
    <w:rsid w:val="00CD7C00"/>
    <w:rsid w:val="00CD7C45"/>
    <w:rsid w:val="00CE0049"/>
    <w:rsid w:val="00CE08BD"/>
    <w:rsid w:val="00CE0960"/>
    <w:rsid w:val="00CE0C3C"/>
    <w:rsid w:val="00CE1294"/>
    <w:rsid w:val="00CE146E"/>
    <w:rsid w:val="00CE156D"/>
    <w:rsid w:val="00CE2245"/>
    <w:rsid w:val="00CE231C"/>
    <w:rsid w:val="00CE25B0"/>
    <w:rsid w:val="00CE320B"/>
    <w:rsid w:val="00CE345B"/>
    <w:rsid w:val="00CE3627"/>
    <w:rsid w:val="00CE3B99"/>
    <w:rsid w:val="00CE3FD0"/>
    <w:rsid w:val="00CE4869"/>
    <w:rsid w:val="00CE4A7A"/>
    <w:rsid w:val="00CE4B61"/>
    <w:rsid w:val="00CE4F36"/>
    <w:rsid w:val="00CE5554"/>
    <w:rsid w:val="00CE6314"/>
    <w:rsid w:val="00CE6F14"/>
    <w:rsid w:val="00CE7D8D"/>
    <w:rsid w:val="00CE7E75"/>
    <w:rsid w:val="00CF017E"/>
    <w:rsid w:val="00CF01FF"/>
    <w:rsid w:val="00CF0450"/>
    <w:rsid w:val="00CF0529"/>
    <w:rsid w:val="00CF06EC"/>
    <w:rsid w:val="00CF0945"/>
    <w:rsid w:val="00CF0EA2"/>
    <w:rsid w:val="00CF0FFF"/>
    <w:rsid w:val="00CF117F"/>
    <w:rsid w:val="00CF1398"/>
    <w:rsid w:val="00CF16D0"/>
    <w:rsid w:val="00CF1CE7"/>
    <w:rsid w:val="00CF203A"/>
    <w:rsid w:val="00CF2041"/>
    <w:rsid w:val="00CF2253"/>
    <w:rsid w:val="00CF246F"/>
    <w:rsid w:val="00CF26DA"/>
    <w:rsid w:val="00CF2A38"/>
    <w:rsid w:val="00CF3676"/>
    <w:rsid w:val="00CF384E"/>
    <w:rsid w:val="00CF3C60"/>
    <w:rsid w:val="00CF4294"/>
    <w:rsid w:val="00CF48B5"/>
    <w:rsid w:val="00CF493C"/>
    <w:rsid w:val="00CF4A3B"/>
    <w:rsid w:val="00CF4BDB"/>
    <w:rsid w:val="00CF4DB3"/>
    <w:rsid w:val="00CF4DCB"/>
    <w:rsid w:val="00CF4F5D"/>
    <w:rsid w:val="00CF55E4"/>
    <w:rsid w:val="00CF58B5"/>
    <w:rsid w:val="00CF5A81"/>
    <w:rsid w:val="00CF5BB3"/>
    <w:rsid w:val="00CF5C23"/>
    <w:rsid w:val="00CF5DB6"/>
    <w:rsid w:val="00CF6825"/>
    <w:rsid w:val="00CF6F90"/>
    <w:rsid w:val="00CF7239"/>
    <w:rsid w:val="00CF7D87"/>
    <w:rsid w:val="00CF7FA3"/>
    <w:rsid w:val="00D000FA"/>
    <w:rsid w:val="00D00135"/>
    <w:rsid w:val="00D011A0"/>
    <w:rsid w:val="00D01535"/>
    <w:rsid w:val="00D01798"/>
    <w:rsid w:val="00D01CD2"/>
    <w:rsid w:val="00D01E19"/>
    <w:rsid w:val="00D02B44"/>
    <w:rsid w:val="00D02FD1"/>
    <w:rsid w:val="00D03221"/>
    <w:rsid w:val="00D03B7F"/>
    <w:rsid w:val="00D043AF"/>
    <w:rsid w:val="00D04638"/>
    <w:rsid w:val="00D04739"/>
    <w:rsid w:val="00D052EB"/>
    <w:rsid w:val="00D054EA"/>
    <w:rsid w:val="00D05584"/>
    <w:rsid w:val="00D055E4"/>
    <w:rsid w:val="00D06124"/>
    <w:rsid w:val="00D06AF6"/>
    <w:rsid w:val="00D07308"/>
    <w:rsid w:val="00D07C2E"/>
    <w:rsid w:val="00D101EE"/>
    <w:rsid w:val="00D104C4"/>
    <w:rsid w:val="00D10723"/>
    <w:rsid w:val="00D10A2D"/>
    <w:rsid w:val="00D10C86"/>
    <w:rsid w:val="00D10DF0"/>
    <w:rsid w:val="00D11034"/>
    <w:rsid w:val="00D11AFF"/>
    <w:rsid w:val="00D12931"/>
    <w:rsid w:val="00D12A0A"/>
    <w:rsid w:val="00D13CC5"/>
    <w:rsid w:val="00D13DF1"/>
    <w:rsid w:val="00D13E3E"/>
    <w:rsid w:val="00D13EF8"/>
    <w:rsid w:val="00D14183"/>
    <w:rsid w:val="00D142FD"/>
    <w:rsid w:val="00D146BA"/>
    <w:rsid w:val="00D14EF7"/>
    <w:rsid w:val="00D15092"/>
    <w:rsid w:val="00D15335"/>
    <w:rsid w:val="00D15459"/>
    <w:rsid w:val="00D15DDB"/>
    <w:rsid w:val="00D1606D"/>
    <w:rsid w:val="00D163EF"/>
    <w:rsid w:val="00D16742"/>
    <w:rsid w:val="00D1693B"/>
    <w:rsid w:val="00D17425"/>
    <w:rsid w:val="00D1743F"/>
    <w:rsid w:val="00D176DB"/>
    <w:rsid w:val="00D20011"/>
    <w:rsid w:val="00D20115"/>
    <w:rsid w:val="00D202C1"/>
    <w:rsid w:val="00D20381"/>
    <w:rsid w:val="00D2114C"/>
    <w:rsid w:val="00D21779"/>
    <w:rsid w:val="00D21995"/>
    <w:rsid w:val="00D21FDD"/>
    <w:rsid w:val="00D2203B"/>
    <w:rsid w:val="00D221C5"/>
    <w:rsid w:val="00D222A5"/>
    <w:rsid w:val="00D2233A"/>
    <w:rsid w:val="00D22C70"/>
    <w:rsid w:val="00D23483"/>
    <w:rsid w:val="00D239D5"/>
    <w:rsid w:val="00D23BC2"/>
    <w:rsid w:val="00D24595"/>
    <w:rsid w:val="00D2490C"/>
    <w:rsid w:val="00D24995"/>
    <w:rsid w:val="00D24AAB"/>
    <w:rsid w:val="00D24B8B"/>
    <w:rsid w:val="00D24BD4"/>
    <w:rsid w:val="00D2506B"/>
    <w:rsid w:val="00D25D10"/>
    <w:rsid w:val="00D25F50"/>
    <w:rsid w:val="00D26163"/>
    <w:rsid w:val="00D2677B"/>
    <w:rsid w:val="00D26CFE"/>
    <w:rsid w:val="00D26E23"/>
    <w:rsid w:val="00D2737E"/>
    <w:rsid w:val="00D2748F"/>
    <w:rsid w:val="00D27A5B"/>
    <w:rsid w:val="00D27B11"/>
    <w:rsid w:val="00D27BA3"/>
    <w:rsid w:val="00D27DFF"/>
    <w:rsid w:val="00D300C0"/>
    <w:rsid w:val="00D30119"/>
    <w:rsid w:val="00D30172"/>
    <w:rsid w:val="00D30579"/>
    <w:rsid w:val="00D305E3"/>
    <w:rsid w:val="00D309FD"/>
    <w:rsid w:val="00D30CFA"/>
    <w:rsid w:val="00D30F27"/>
    <w:rsid w:val="00D30F6D"/>
    <w:rsid w:val="00D3107C"/>
    <w:rsid w:val="00D3157D"/>
    <w:rsid w:val="00D3216A"/>
    <w:rsid w:val="00D3285B"/>
    <w:rsid w:val="00D32872"/>
    <w:rsid w:val="00D32E8A"/>
    <w:rsid w:val="00D33503"/>
    <w:rsid w:val="00D33554"/>
    <w:rsid w:val="00D33B57"/>
    <w:rsid w:val="00D345C0"/>
    <w:rsid w:val="00D347BB"/>
    <w:rsid w:val="00D34A76"/>
    <w:rsid w:val="00D355B2"/>
    <w:rsid w:val="00D35E80"/>
    <w:rsid w:val="00D3620F"/>
    <w:rsid w:val="00D3631C"/>
    <w:rsid w:val="00D3641D"/>
    <w:rsid w:val="00D36CFB"/>
    <w:rsid w:val="00D36D2A"/>
    <w:rsid w:val="00D3703A"/>
    <w:rsid w:val="00D376DD"/>
    <w:rsid w:val="00D37F13"/>
    <w:rsid w:val="00D402F3"/>
    <w:rsid w:val="00D40B17"/>
    <w:rsid w:val="00D40F17"/>
    <w:rsid w:val="00D4172F"/>
    <w:rsid w:val="00D4185F"/>
    <w:rsid w:val="00D41A63"/>
    <w:rsid w:val="00D41E32"/>
    <w:rsid w:val="00D41E9E"/>
    <w:rsid w:val="00D4225B"/>
    <w:rsid w:val="00D424F8"/>
    <w:rsid w:val="00D42513"/>
    <w:rsid w:val="00D42621"/>
    <w:rsid w:val="00D42AB1"/>
    <w:rsid w:val="00D437F8"/>
    <w:rsid w:val="00D4422A"/>
    <w:rsid w:val="00D4442E"/>
    <w:rsid w:val="00D4500B"/>
    <w:rsid w:val="00D457DA"/>
    <w:rsid w:val="00D462CA"/>
    <w:rsid w:val="00D4642B"/>
    <w:rsid w:val="00D46856"/>
    <w:rsid w:val="00D46A28"/>
    <w:rsid w:val="00D47988"/>
    <w:rsid w:val="00D47AE1"/>
    <w:rsid w:val="00D47D28"/>
    <w:rsid w:val="00D50315"/>
    <w:rsid w:val="00D5058C"/>
    <w:rsid w:val="00D506F7"/>
    <w:rsid w:val="00D50B85"/>
    <w:rsid w:val="00D51246"/>
    <w:rsid w:val="00D513EE"/>
    <w:rsid w:val="00D51541"/>
    <w:rsid w:val="00D5177B"/>
    <w:rsid w:val="00D51B93"/>
    <w:rsid w:val="00D51E87"/>
    <w:rsid w:val="00D52706"/>
    <w:rsid w:val="00D5287B"/>
    <w:rsid w:val="00D52987"/>
    <w:rsid w:val="00D53C72"/>
    <w:rsid w:val="00D53DAD"/>
    <w:rsid w:val="00D5400E"/>
    <w:rsid w:val="00D54299"/>
    <w:rsid w:val="00D543CD"/>
    <w:rsid w:val="00D546BF"/>
    <w:rsid w:val="00D548E5"/>
    <w:rsid w:val="00D55133"/>
    <w:rsid w:val="00D556E0"/>
    <w:rsid w:val="00D5583E"/>
    <w:rsid w:val="00D55D6C"/>
    <w:rsid w:val="00D563D8"/>
    <w:rsid w:val="00D563ED"/>
    <w:rsid w:val="00D56A81"/>
    <w:rsid w:val="00D57411"/>
    <w:rsid w:val="00D574DF"/>
    <w:rsid w:val="00D57666"/>
    <w:rsid w:val="00D60015"/>
    <w:rsid w:val="00D60383"/>
    <w:rsid w:val="00D603AF"/>
    <w:rsid w:val="00D6047D"/>
    <w:rsid w:val="00D607A4"/>
    <w:rsid w:val="00D60850"/>
    <w:rsid w:val="00D609BF"/>
    <w:rsid w:val="00D61215"/>
    <w:rsid w:val="00D618D8"/>
    <w:rsid w:val="00D6197B"/>
    <w:rsid w:val="00D61E76"/>
    <w:rsid w:val="00D62B68"/>
    <w:rsid w:val="00D62D1D"/>
    <w:rsid w:val="00D63158"/>
    <w:rsid w:val="00D6353A"/>
    <w:rsid w:val="00D6374A"/>
    <w:rsid w:val="00D6521A"/>
    <w:rsid w:val="00D65886"/>
    <w:rsid w:val="00D65944"/>
    <w:rsid w:val="00D66756"/>
    <w:rsid w:val="00D6686E"/>
    <w:rsid w:val="00D67006"/>
    <w:rsid w:val="00D67470"/>
    <w:rsid w:val="00D703FE"/>
    <w:rsid w:val="00D70AE1"/>
    <w:rsid w:val="00D70B57"/>
    <w:rsid w:val="00D72227"/>
    <w:rsid w:val="00D723E6"/>
    <w:rsid w:val="00D72E08"/>
    <w:rsid w:val="00D72E3C"/>
    <w:rsid w:val="00D72EFD"/>
    <w:rsid w:val="00D7309F"/>
    <w:rsid w:val="00D73191"/>
    <w:rsid w:val="00D73D47"/>
    <w:rsid w:val="00D7417B"/>
    <w:rsid w:val="00D74DDC"/>
    <w:rsid w:val="00D74F63"/>
    <w:rsid w:val="00D75185"/>
    <w:rsid w:val="00D75615"/>
    <w:rsid w:val="00D757C0"/>
    <w:rsid w:val="00D75C22"/>
    <w:rsid w:val="00D76115"/>
    <w:rsid w:val="00D7632D"/>
    <w:rsid w:val="00D76CBA"/>
    <w:rsid w:val="00D76E59"/>
    <w:rsid w:val="00D7701E"/>
    <w:rsid w:val="00D77167"/>
    <w:rsid w:val="00D77BBB"/>
    <w:rsid w:val="00D80D8E"/>
    <w:rsid w:val="00D81288"/>
    <w:rsid w:val="00D812AE"/>
    <w:rsid w:val="00D81981"/>
    <w:rsid w:val="00D81C6A"/>
    <w:rsid w:val="00D82140"/>
    <w:rsid w:val="00D82A0A"/>
    <w:rsid w:val="00D82BCF"/>
    <w:rsid w:val="00D8338E"/>
    <w:rsid w:val="00D834A9"/>
    <w:rsid w:val="00D837D9"/>
    <w:rsid w:val="00D84050"/>
    <w:rsid w:val="00D84122"/>
    <w:rsid w:val="00D845F4"/>
    <w:rsid w:val="00D84992"/>
    <w:rsid w:val="00D84CCE"/>
    <w:rsid w:val="00D84EE3"/>
    <w:rsid w:val="00D85497"/>
    <w:rsid w:val="00D858EC"/>
    <w:rsid w:val="00D85AAD"/>
    <w:rsid w:val="00D85BE2"/>
    <w:rsid w:val="00D85F5A"/>
    <w:rsid w:val="00D863DF"/>
    <w:rsid w:val="00D865CF"/>
    <w:rsid w:val="00D868D0"/>
    <w:rsid w:val="00D86FB0"/>
    <w:rsid w:val="00D87B7B"/>
    <w:rsid w:val="00D87FC2"/>
    <w:rsid w:val="00D912E7"/>
    <w:rsid w:val="00D91C11"/>
    <w:rsid w:val="00D91DCF"/>
    <w:rsid w:val="00D91FD1"/>
    <w:rsid w:val="00D9282A"/>
    <w:rsid w:val="00D92D18"/>
    <w:rsid w:val="00D92F02"/>
    <w:rsid w:val="00D9302D"/>
    <w:rsid w:val="00D9303A"/>
    <w:rsid w:val="00D931A9"/>
    <w:rsid w:val="00D93529"/>
    <w:rsid w:val="00D9379C"/>
    <w:rsid w:val="00D93938"/>
    <w:rsid w:val="00D9399B"/>
    <w:rsid w:val="00D93A4E"/>
    <w:rsid w:val="00D93D22"/>
    <w:rsid w:val="00D941B0"/>
    <w:rsid w:val="00D9420F"/>
    <w:rsid w:val="00D94AD8"/>
    <w:rsid w:val="00D94E9A"/>
    <w:rsid w:val="00D94EB7"/>
    <w:rsid w:val="00D95006"/>
    <w:rsid w:val="00D95A33"/>
    <w:rsid w:val="00D95B88"/>
    <w:rsid w:val="00D9673E"/>
    <w:rsid w:val="00D969BB"/>
    <w:rsid w:val="00D97099"/>
    <w:rsid w:val="00D972E5"/>
    <w:rsid w:val="00D97F53"/>
    <w:rsid w:val="00DA12F2"/>
    <w:rsid w:val="00DA14A8"/>
    <w:rsid w:val="00DA1723"/>
    <w:rsid w:val="00DA188B"/>
    <w:rsid w:val="00DA1F3B"/>
    <w:rsid w:val="00DA2F72"/>
    <w:rsid w:val="00DA30EA"/>
    <w:rsid w:val="00DA3398"/>
    <w:rsid w:val="00DA33C5"/>
    <w:rsid w:val="00DA3A1D"/>
    <w:rsid w:val="00DA3C83"/>
    <w:rsid w:val="00DA3CD6"/>
    <w:rsid w:val="00DA405D"/>
    <w:rsid w:val="00DA43D5"/>
    <w:rsid w:val="00DA4A2F"/>
    <w:rsid w:val="00DA4BF3"/>
    <w:rsid w:val="00DA4BF5"/>
    <w:rsid w:val="00DA4C31"/>
    <w:rsid w:val="00DA4CB5"/>
    <w:rsid w:val="00DA4E07"/>
    <w:rsid w:val="00DA51D6"/>
    <w:rsid w:val="00DA55AA"/>
    <w:rsid w:val="00DA5EC9"/>
    <w:rsid w:val="00DA5FBD"/>
    <w:rsid w:val="00DA65BA"/>
    <w:rsid w:val="00DA6B11"/>
    <w:rsid w:val="00DA79DB"/>
    <w:rsid w:val="00DB0168"/>
    <w:rsid w:val="00DB051D"/>
    <w:rsid w:val="00DB08BF"/>
    <w:rsid w:val="00DB097F"/>
    <w:rsid w:val="00DB1245"/>
    <w:rsid w:val="00DB1392"/>
    <w:rsid w:val="00DB1868"/>
    <w:rsid w:val="00DB2548"/>
    <w:rsid w:val="00DB2640"/>
    <w:rsid w:val="00DB29EE"/>
    <w:rsid w:val="00DB2E8F"/>
    <w:rsid w:val="00DB31F4"/>
    <w:rsid w:val="00DB37CC"/>
    <w:rsid w:val="00DB3A75"/>
    <w:rsid w:val="00DB4742"/>
    <w:rsid w:val="00DB4D3C"/>
    <w:rsid w:val="00DB5968"/>
    <w:rsid w:val="00DB6109"/>
    <w:rsid w:val="00DB616F"/>
    <w:rsid w:val="00DB632E"/>
    <w:rsid w:val="00DB675B"/>
    <w:rsid w:val="00DB6775"/>
    <w:rsid w:val="00DB6C56"/>
    <w:rsid w:val="00DB71E5"/>
    <w:rsid w:val="00DB759C"/>
    <w:rsid w:val="00DB7AF1"/>
    <w:rsid w:val="00DB7CEB"/>
    <w:rsid w:val="00DB7D24"/>
    <w:rsid w:val="00DC01DC"/>
    <w:rsid w:val="00DC059F"/>
    <w:rsid w:val="00DC0A6B"/>
    <w:rsid w:val="00DC0E61"/>
    <w:rsid w:val="00DC1DC6"/>
    <w:rsid w:val="00DC220C"/>
    <w:rsid w:val="00DC22A5"/>
    <w:rsid w:val="00DC2532"/>
    <w:rsid w:val="00DC2955"/>
    <w:rsid w:val="00DC29FC"/>
    <w:rsid w:val="00DC2A7E"/>
    <w:rsid w:val="00DC2C79"/>
    <w:rsid w:val="00DC346A"/>
    <w:rsid w:val="00DC3BCA"/>
    <w:rsid w:val="00DC3CD9"/>
    <w:rsid w:val="00DC3CFC"/>
    <w:rsid w:val="00DC41DD"/>
    <w:rsid w:val="00DC4496"/>
    <w:rsid w:val="00DC4AA8"/>
    <w:rsid w:val="00DC55F4"/>
    <w:rsid w:val="00DC5CA3"/>
    <w:rsid w:val="00DC6604"/>
    <w:rsid w:val="00DC66F3"/>
    <w:rsid w:val="00DC68B3"/>
    <w:rsid w:val="00DC6C73"/>
    <w:rsid w:val="00DC704B"/>
    <w:rsid w:val="00DC7232"/>
    <w:rsid w:val="00DC796D"/>
    <w:rsid w:val="00DC7A87"/>
    <w:rsid w:val="00DC7D5F"/>
    <w:rsid w:val="00DD08E1"/>
    <w:rsid w:val="00DD0F40"/>
    <w:rsid w:val="00DD1B8A"/>
    <w:rsid w:val="00DD2551"/>
    <w:rsid w:val="00DD268D"/>
    <w:rsid w:val="00DD270F"/>
    <w:rsid w:val="00DD2727"/>
    <w:rsid w:val="00DD2B80"/>
    <w:rsid w:val="00DD2CD6"/>
    <w:rsid w:val="00DD2D8A"/>
    <w:rsid w:val="00DD2E75"/>
    <w:rsid w:val="00DD2F8E"/>
    <w:rsid w:val="00DD359E"/>
    <w:rsid w:val="00DD3883"/>
    <w:rsid w:val="00DD3E3C"/>
    <w:rsid w:val="00DD436D"/>
    <w:rsid w:val="00DD4679"/>
    <w:rsid w:val="00DD4CB0"/>
    <w:rsid w:val="00DD505C"/>
    <w:rsid w:val="00DD5443"/>
    <w:rsid w:val="00DD54FB"/>
    <w:rsid w:val="00DD551C"/>
    <w:rsid w:val="00DD58DD"/>
    <w:rsid w:val="00DD5F93"/>
    <w:rsid w:val="00DD6083"/>
    <w:rsid w:val="00DD60CE"/>
    <w:rsid w:val="00DD60FE"/>
    <w:rsid w:val="00DD6508"/>
    <w:rsid w:val="00DD683D"/>
    <w:rsid w:val="00DD71D9"/>
    <w:rsid w:val="00DD7456"/>
    <w:rsid w:val="00DD77E8"/>
    <w:rsid w:val="00DE0020"/>
    <w:rsid w:val="00DE01FF"/>
    <w:rsid w:val="00DE0209"/>
    <w:rsid w:val="00DE0617"/>
    <w:rsid w:val="00DE07FF"/>
    <w:rsid w:val="00DE0E8C"/>
    <w:rsid w:val="00DE14C1"/>
    <w:rsid w:val="00DE1B67"/>
    <w:rsid w:val="00DE251E"/>
    <w:rsid w:val="00DE2A9D"/>
    <w:rsid w:val="00DE2D7E"/>
    <w:rsid w:val="00DE30CF"/>
    <w:rsid w:val="00DE3B77"/>
    <w:rsid w:val="00DE3C6B"/>
    <w:rsid w:val="00DE45E6"/>
    <w:rsid w:val="00DE46B8"/>
    <w:rsid w:val="00DE4A07"/>
    <w:rsid w:val="00DE4D88"/>
    <w:rsid w:val="00DE5378"/>
    <w:rsid w:val="00DE5A77"/>
    <w:rsid w:val="00DE5BBE"/>
    <w:rsid w:val="00DE6527"/>
    <w:rsid w:val="00DE65EC"/>
    <w:rsid w:val="00DE66C9"/>
    <w:rsid w:val="00DE6A66"/>
    <w:rsid w:val="00DE7525"/>
    <w:rsid w:val="00DF0095"/>
    <w:rsid w:val="00DF051C"/>
    <w:rsid w:val="00DF0523"/>
    <w:rsid w:val="00DF0ABE"/>
    <w:rsid w:val="00DF0B70"/>
    <w:rsid w:val="00DF1287"/>
    <w:rsid w:val="00DF1524"/>
    <w:rsid w:val="00DF19EB"/>
    <w:rsid w:val="00DF1E6A"/>
    <w:rsid w:val="00DF37D9"/>
    <w:rsid w:val="00DF3CD0"/>
    <w:rsid w:val="00DF3DB7"/>
    <w:rsid w:val="00DF3E12"/>
    <w:rsid w:val="00DF46E6"/>
    <w:rsid w:val="00DF4800"/>
    <w:rsid w:val="00DF4BCF"/>
    <w:rsid w:val="00DF55CF"/>
    <w:rsid w:val="00DF5BDB"/>
    <w:rsid w:val="00DF5CEE"/>
    <w:rsid w:val="00DF5CFD"/>
    <w:rsid w:val="00DF6217"/>
    <w:rsid w:val="00DF655B"/>
    <w:rsid w:val="00DF6769"/>
    <w:rsid w:val="00DF7810"/>
    <w:rsid w:val="00DF7A54"/>
    <w:rsid w:val="00DF7D1F"/>
    <w:rsid w:val="00DF7EE1"/>
    <w:rsid w:val="00E00261"/>
    <w:rsid w:val="00E0053F"/>
    <w:rsid w:val="00E0060A"/>
    <w:rsid w:val="00E01239"/>
    <w:rsid w:val="00E01909"/>
    <w:rsid w:val="00E01E78"/>
    <w:rsid w:val="00E01F66"/>
    <w:rsid w:val="00E02169"/>
    <w:rsid w:val="00E0254E"/>
    <w:rsid w:val="00E0278A"/>
    <w:rsid w:val="00E03135"/>
    <w:rsid w:val="00E0317A"/>
    <w:rsid w:val="00E035E7"/>
    <w:rsid w:val="00E039CF"/>
    <w:rsid w:val="00E03BAF"/>
    <w:rsid w:val="00E04557"/>
    <w:rsid w:val="00E048F2"/>
    <w:rsid w:val="00E05299"/>
    <w:rsid w:val="00E05613"/>
    <w:rsid w:val="00E05EC2"/>
    <w:rsid w:val="00E05F09"/>
    <w:rsid w:val="00E06735"/>
    <w:rsid w:val="00E067B9"/>
    <w:rsid w:val="00E06943"/>
    <w:rsid w:val="00E06D9E"/>
    <w:rsid w:val="00E06E87"/>
    <w:rsid w:val="00E06EC1"/>
    <w:rsid w:val="00E0743E"/>
    <w:rsid w:val="00E0763E"/>
    <w:rsid w:val="00E078AC"/>
    <w:rsid w:val="00E07D2A"/>
    <w:rsid w:val="00E07EA4"/>
    <w:rsid w:val="00E10391"/>
    <w:rsid w:val="00E10550"/>
    <w:rsid w:val="00E10BD7"/>
    <w:rsid w:val="00E10E1D"/>
    <w:rsid w:val="00E10E9C"/>
    <w:rsid w:val="00E10FC0"/>
    <w:rsid w:val="00E1110D"/>
    <w:rsid w:val="00E124A0"/>
    <w:rsid w:val="00E131BE"/>
    <w:rsid w:val="00E135DC"/>
    <w:rsid w:val="00E13713"/>
    <w:rsid w:val="00E13886"/>
    <w:rsid w:val="00E141C9"/>
    <w:rsid w:val="00E14979"/>
    <w:rsid w:val="00E1523D"/>
    <w:rsid w:val="00E1543A"/>
    <w:rsid w:val="00E15601"/>
    <w:rsid w:val="00E157EA"/>
    <w:rsid w:val="00E15FCB"/>
    <w:rsid w:val="00E1673B"/>
    <w:rsid w:val="00E16830"/>
    <w:rsid w:val="00E16965"/>
    <w:rsid w:val="00E16A11"/>
    <w:rsid w:val="00E16B36"/>
    <w:rsid w:val="00E16EF1"/>
    <w:rsid w:val="00E170CC"/>
    <w:rsid w:val="00E176E4"/>
    <w:rsid w:val="00E178E5"/>
    <w:rsid w:val="00E17BEC"/>
    <w:rsid w:val="00E17D67"/>
    <w:rsid w:val="00E17E43"/>
    <w:rsid w:val="00E201C6"/>
    <w:rsid w:val="00E209C1"/>
    <w:rsid w:val="00E20BEA"/>
    <w:rsid w:val="00E2153F"/>
    <w:rsid w:val="00E21702"/>
    <w:rsid w:val="00E217EA"/>
    <w:rsid w:val="00E2198B"/>
    <w:rsid w:val="00E21A42"/>
    <w:rsid w:val="00E21DEB"/>
    <w:rsid w:val="00E224CE"/>
    <w:rsid w:val="00E234C6"/>
    <w:rsid w:val="00E235D6"/>
    <w:rsid w:val="00E236F8"/>
    <w:rsid w:val="00E23CE7"/>
    <w:rsid w:val="00E23DBF"/>
    <w:rsid w:val="00E24078"/>
    <w:rsid w:val="00E244F4"/>
    <w:rsid w:val="00E24628"/>
    <w:rsid w:val="00E24A7B"/>
    <w:rsid w:val="00E24DB5"/>
    <w:rsid w:val="00E24FFB"/>
    <w:rsid w:val="00E25AFB"/>
    <w:rsid w:val="00E26004"/>
    <w:rsid w:val="00E260D7"/>
    <w:rsid w:val="00E2751A"/>
    <w:rsid w:val="00E27947"/>
    <w:rsid w:val="00E27A1F"/>
    <w:rsid w:val="00E27B3E"/>
    <w:rsid w:val="00E301BF"/>
    <w:rsid w:val="00E30365"/>
    <w:rsid w:val="00E304AC"/>
    <w:rsid w:val="00E30C0B"/>
    <w:rsid w:val="00E31273"/>
    <w:rsid w:val="00E31843"/>
    <w:rsid w:val="00E318E9"/>
    <w:rsid w:val="00E31919"/>
    <w:rsid w:val="00E31994"/>
    <w:rsid w:val="00E31C33"/>
    <w:rsid w:val="00E3257C"/>
    <w:rsid w:val="00E3264F"/>
    <w:rsid w:val="00E326A4"/>
    <w:rsid w:val="00E328C5"/>
    <w:rsid w:val="00E328CC"/>
    <w:rsid w:val="00E32D7D"/>
    <w:rsid w:val="00E32FAA"/>
    <w:rsid w:val="00E3338C"/>
    <w:rsid w:val="00E336CA"/>
    <w:rsid w:val="00E337BF"/>
    <w:rsid w:val="00E33C67"/>
    <w:rsid w:val="00E33D77"/>
    <w:rsid w:val="00E33F32"/>
    <w:rsid w:val="00E3426D"/>
    <w:rsid w:val="00E34866"/>
    <w:rsid w:val="00E3551C"/>
    <w:rsid w:val="00E35708"/>
    <w:rsid w:val="00E359C0"/>
    <w:rsid w:val="00E35BC1"/>
    <w:rsid w:val="00E365C8"/>
    <w:rsid w:val="00E369BE"/>
    <w:rsid w:val="00E36EA6"/>
    <w:rsid w:val="00E36FD5"/>
    <w:rsid w:val="00E3714F"/>
    <w:rsid w:val="00E371E7"/>
    <w:rsid w:val="00E3794E"/>
    <w:rsid w:val="00E37E77"/>
    <w:rsid w:val="00E4003C"/>
    <w:rsid w:val="00E405AF"/>
    <w:rsid w:val="00E40736"/>
    <w:rsid w:val="00E40767"/>
    <w:rsid w:val="00E40A16"/>
    <w:rsid w:val="00E40CFD"/>
    <w:rsid w:val="00E41211"/>
    <w:rsid w:val="00E4165B"/>
    <w:rsid w:val="00E41A0A"/>
    <w:rsid w:val="00E41F65"/>
    <w:rsid w:val="00E422A7"/>
    <w:rsid w:val="00E4254E"/>
    <w:rsid w:val="00E425D8"/>
    <w:rsid w:val="00E4272F"/>
    <w:rsid w:val="00E42DF7"/>
    <w:rsid w:val="00E42E8E"/>
    <w:rsid w:val="00E432AE"/>
    <w:rsid w:val="00E43737"/>
    <w:rsid w:val="00E4414A"/>
    <w:rsid w:val="00E44D25"/>
    <w:rsid w:val="00E44D29"/>
    <w:rsid w:val="00E44E61"/>
    <w:rsid w:val="00E4562A"/>
    <w:rsid w:val="00E45724"/>
    <w:rsid w:val="00E45C18"/>
    <w:rsid w:val="00E45E7A"/>
    <w:rsid w:val="00E46103"/>
    <w:rsid w:val="00E467DA"/>
    <w:rsid w:val="00E46F0B"/>
    <w:rsid w:val="00E46F5A"/>
    <w:rsid w:val="00E47A0B"/>
    <w:rsid w:val="00E47D77"/>
    <w:rsid w:val="00E47DA3"/>
    <w:rsid w:val="00E47FBE"/>
    <w:rsid w:val="00E50662"/>
    <w:rsid w:val="00E50931"/>
    <w:rsid w:val="00E509D3"/>
    <w:rsid w:val="00E50A4E"/>
    <w:rsid w:val="00E50B73"/>
    <w:rsid w:val="00E517FA"/>
    <w:rsid w:val="00E51D38"/>
    <w:rsid w:val="00E522D2"/>
    <w:rsid w:val="00E52328"/>
    <w:rsid w:val="00E52431"/>
    <w:rsid w:val="00E5296D"/>
    <w:rsid w:val="00E52AED"/>
    <w:rsid w:val="00E536E9"/>
    <w:rsid w:val="00E542F5"/>
    <w:rsid w:val="00E5452B"/>
    <w:rsid w:val="00E54763"/>
    <w:rsid w:val="00E547D9"/>
    <w:rsid w:val="00E549FE"/>
    <w:rsid w:val="00E554C5"/>
    <w:rsid w:val="00E5553F"/>
    <w:rsid w:val="00E560AA"/>
    <w:rsid w:val="00E56295"/>
    <w:rsid w:val="00E56658"/>
    <w:rsid w:val="00E569F2"/>
    <w:rsid w:val="00E5704A"/>
    <w:rsid w:val="00E572BB"/>
    <w:rsid w:val="00E57ABB"/>
    <w:rsid w:val="00E57CB2"/>
    <w:rsid w:val="00E605A6"/>
    <w:rsid w:val="00E60857"/>
    <w:rsid w:val="00E60A01"/>
    <w:rsid w:val="00E60BFC"/>
    <w:rsid w:val="00E610DC"/>
    <w:rsid w:val="00E61905"/>
    <w:rsid w:val="00E61C0B"/>
    <w:rsid w:val="00E61C84"/>
    <w:rsid w:val="00E620BE"/>
    <w:rsid w:val="00E6273B"/>
    <w:rsid w:val="00E628C8"/>
    <w:rsid w:val="00E62F8C"/>
    <w:rsid w:val="00E62FB6"/>
    <w:rsid w:val="00E633A4"/>
    <w:rsid w:val="00E6365C"/>
    <w:rsid w:val="00E637BB"/>
    <w:rsid w:val="00E638A6"/>
    <w:rsid w:val="00E63DCE"/>
    <w:rsid w:val="00E63F7E"/>
    <w:rsid w:val="00E64490"/>
    <w:rsid w:val="00E64EB1"/>
    <w:rsid w:val="00E64F61"/>
    <w:rsid w:val="00E654BE"/>
    <w:rsid w:val="00E655CB"/>
    <w:rsid w:val="00E65AA8"/>
    <w:rsid w:val="00E665FB"/>
    <w:rsid w:val="00E668AB"/>
    <w:rsid w:val="00E66BBB"/>
    <w:rsid w:val="00E66FEA"/>
    <w:rsid w:val="00E67332"/>
    <w:rsid w:val="00E674E1"/>
    <w:rsid w:val="00E6750A"/>
    <w:rsid w:val="00E67C50"/>
    <w:rsid w:val="00E67DEB"/>
    <w:rsid w:val="00E67E84"/>
    <w:rsid w:val="00E67EF5"/>
    <w:rsid w:val="00E7027F"/>
    <w:rsid w:val="00E70406"/>
    <w:rsid w:val="00E70979"/>
    <w:rsid w:val="00E70DE3"/>
    <w:rsid w:val="00E70F7B"/>
    <w:rsid w:val="00E711A0"/>
    <w:rsid w:val="00E71AE7"/>
    <w:rsid w:val="00E7212A"/>
    <w:rsid w:val="00E72BA4"/>
    <w:rsid w:val="00E73774"/>
    <w:rsid w:val="00E7392E"/>
    <w:rsid w:val="00E73E2B"/>
    <w:rsid w:val="00E74063"/>
    <w:rsid w:val="00E74D7A"/>
    <w:rsid w:val="00E74FD4"/>
    <w:rsid w:val="00E75016"/>
    <w:rsid w:val="00E75130"/>
    <w:rsid w:val="00E75C41"/>
    <w:rsid w:val="00E75F8B"/>
    <w:rsid w:val="00E76040"/>
    <w:rsid w:val="00E76F1B"/>
    <w:rsid w:val="00E77003"/>
    <w:rsid w:val="00E77E7B"/>
    <w:rsid w:val="00E77EC8"/>
    <w:rsid w:val="00E80201"/>
    <w:rsid w:val="00E8041A"/>
    <w:rsid w:val="00E80C72"/>
    <w:rsid w:val="00E8173F"/>
    <w:rsid w:val="00E8197C"/>
    <w:rsid w:val="00E81D19"/>
    <w:rsid w:val="00E81E41"/>
    <w:rsid w:val="00E82A07"/>
    <w:rsid w:val="00E82DF2"/>
    <w:rsid w:val="00E832F7"/>
    <w:rsid w:val="00E838E0"/>
    <w:rsid w:val="00E848D3"/>
    <w:rsid w:val="00E84A18"/>
    <w:rsid w:val="00E84DE9"/>
    <w:rsid w:val="00E850DC"/>
    <w:rsid w:val="00E852AA"/>
    <w:rsid w:val="00E857D7"/>
    <w:rsid w:val="00E86267"/>
    <w:rsid w:val="00E86AFC"/>
    <w:rsid w:val="00E874BC"/>
    <w:rsid w:val="00E876C0"/>
    <w:rsid w:val="00E87E1A"/>
    <w:rsid w:val="00E9070C"/>
    <w:rsid w:val="00E910C9"/>
    <w:rsid w:val="00E91410"/>
    <w:rsid w:val="00E91A62"/>
    <w:rsid w:val="00E92260"/>
    <w:rsid w:val="00E9227C"/>
    <w:rsid w:val="00E926A7"/>
    <w:rsid w:val="00E9274D"/>
    <w:rsid w:val="00E92D14"/>
    <w:rsid w:val="00E9339E"/>
    <w:rsid w:val="00E933B0"/>
    <w:rsid w:val="00E93685"/>
    <w:rsid w:val="00E93969"/>
    <w:rsid w:val="00E93BFA"/>
    <w:rsid w:val="00E941B1"/>
    <w:rsid w:val="00E944D2"/>
    <w:rsid w:val="00E945CA"/>
    <w:rsid w:val="00E951A9"/>
    <w:rsid w:val="00E956D4"/>
    <w:rsid w:val="00E96DC1"/>
    <w:rsid w:val="00E97EEA"/>
    <w:rsid w:val="00EA0962"/>
    <w:rsid w:val="00EA09C1"/>
    <w:rsid w:val="00EA0A98"/>
    <w:rsid w:val="00EA15E7"/>
    <w:rsid w:val="00EA2987"/>
    <w:rsid w:val="00EA2D10"/>
    <w:rsid w:val="00EA30B3"/>
    <w:rsid w:val="00EA3EFF"/>
    <w:rsid w:val="00EA47D5"/>
    <w:rsid w:val="00EA5065"/>
    <w:rsid w:val="00EA5770"/>
    <w:rsid w:val="00EA5D35"/>
    <w:rsid w:val="00EA6235"/>
    <w:rsid w:val="00EA65EB"/>
    <w:rsid w:val="00EA6B17"/>
    <w:rsid w:val="00EA6D48"/>
    <w:rsid w:val="00EA6DC5"/>
    <w:rsid w:val="00EB03FE"/>
    <w:rsid w:val="00EB089C"/>
    <w:rsid w:val="00EB0F57"/>
    <w:rsid w:val="00EB1521"/>
    <w:rsid w:val="00EB1787"/>
    <w:rsid w:val="00EB1AD8"/>
    <w:rsid w:val="00EB22B6"/>
    <w:rsid w:val="00EB2432"/>
    <w:rsid w:val="00EB2A06"/>
    <w:rsid w:val="00EB2ADA"/>
    <w:rsid w:val="00EB2E43"/>
    <w:rsid w:val="00EB32A6"/>
    <w:rsid w:val="00EB3789"/>
    <w:rsid w:val="00EB3DFD"/>
    <w:rsid w:val="00EB424B"/>
    <w:rsid w:val="00EB43B3"/>
    <w:rsid w:val="00EB4F22"/>
    <w:rsid w:val="00EB4FE6"/>
    <w:rsid w:val="00EB540A"/>
    <w:rsid w:val="00EB551C"/>
    <w:rsid w:val="00EB5894"/>
    <w:rsid w:val="00EB5B55"/>
    <w:rsid w:val="00EB6E1F"/>
    <w:rsid w:val="00EB7236"/>
    <w:rsid w:val="00EB7271"/>
    <w:rsid w:val="00EB74E8"/>
    <w:rsid w:val="00EB79DA"/>
    <w:rsid w:val="00EB7B2D"/>
    <w:rsid w:val="00EB7CCD"/>
    <w:rsid w:val="00EC035A"/>
    <w:rsid w:val="00EC0B1C"/>
    <w:rsid w:val="00EC0E34"/>
    <w:rsid w:val="00EC0EE7"/>
    <w:rsid w:val="00EC0F71"/>
    <w:rsid w:val="00EC0F9E"/>
    <w:rsid w:val="00EC12F7"/>
    <w:rsid w:val="00EC1A01"/>
    <w:rsid w:val="00EC1DEC"/>
    <w:rsid w:val="00EC2162"/>
    <w:rsid w:val="00EC220C"/>
    <w:rsid w:val="00EC23B2"/>
    <w:rsid w:val="00EC24CD"/>
    <w:rsid w:val="00EC2605"/>
    <w:rsid w:val="00EC271F"/>
    <w:rsid w:val="00EC2847"/>
    <w:rsid w:val="00EC2E47"/>
    <w:rsid w:val="00EC31CB"/>
    <w:rsid w:val="00EC35EF"/>
    <w:rsid w:val="00EC39A3"/>
    <w:rsid w:val="00EC3A52"/>
    <w:rsid w:val="00EC3A56"/>
    <w:rsid w:val="00EC3CF4"/>
    <w:rsid w:val="00EC43AF"/>
    <w:rsid w:val="00EC4AE6"/>
    <w:rsid w:val="00EC5378"/>
    <w:rsid w:val="00EC5A11"/>
    <w:rsid w:val="00EC5E14"/>
    <w:rsid w:val="00EC5F26"/>
    <w:rsid w:val="00EC6B98"/>
    <w:rsid w:val="00EC6C24"/>
    <w:rsid w:val="00EC6D7B"/>
    <w:rsid w:val="00EC6E13"/>
    <w:rsid w:val="00EC6EBF"/>
    <w:rsid w:val="00EC7442"/>
    <w:rsid w:val="00EC7A0B"/>
    <w:rsid w:val="00EC7FD4"/>
    <w:rsid w:val="00ED016D"/>
    <w:rsid w:val="00ED024B"/>
    <w:rsid w:val="00ED0714"/>
    <w:rsid w:val="00ED09CC"/>
    <w:rsid w:val="00ED0D52"/>
    <w:rsid w:val="00ED0DB7"/>
    <w:rsid w:val="00ED0FB4"/>
    <w:rsid w:val="00ED16E2"/>
    <w:rsid w:val="00ED18AB"/>
    <w:rsid w:val="00ED1962"/>
    <w:rsid w:val="00ED19DE"/>
    <w:rsid w:val="00ED2A23"/>
    <w:rsid w:val="00ED2C65"/>
    <w:rsid w:val="00ED2E3F"/>
    <w:rsid w:val="00ED2F1E"/>
    <w:rsid w:val="00ED2FD3"/>
    <w:rsid w:val="00ED3555"/>
    <w:rsid w:val="00ED378F"/>
    <w:rsid w:val="00ED3C37"/>
    <w:rsid w:val="00ED3FD9"/>
    <w:rsid w:val="00ED4012"/>
    <w:rsid w:val="00ED43A7"/>
    <w:rsid w:val="00ED4583"/>
    <w:rsid w:val="00ED4A13"/>
    <w:rsid w:val="00ED4B64"/>
    <w:rsid w:val="00ED6DFD"/>
    <w:rsid w:val="00ED71DF"/>
    <w:rsid w:val="00ED7736"/>
    <w:rsid w:val="00ED77B8"/>
    <w:rsid w:val="00ED7800"/>
    <w:rsid w:val="00ED7D72"/>
    <w:rsid w:val="00EE011C"/>
    <w:rsid w:val="00EE09AD"/>
    <w:rsid w:val="00EE0A35"/>
    <w:rsid w:val="00EE0BDC"/>
    <w:rsid w:val="00EE1269"/>
    <w:rsid w:val="00EE1426"/>
    <w:rsid w:val="00EE1477"/>
    <w:rsid w:val="00EE1650"/>
    <w:rsid w:val="00EE1861"/>
    <w:rsid w:val="00EE1B5B"/>
    <w:rsid w:val="00EE28FF"/>
    <w:rsid w:val="00EE35E7"/>
    <w:rsid w:val="00EE38A1"/>
    <w:rsid w:val="00EE3DE7"/>
    <w:rsid w:val="00EE3E06"/>
    <w:rsid w:val="00EE41C5"/>
    <w:rsid w:val="00EE4336"/>
    <w:rsid w:val="00EE4CE6"/>
    <w:rsid w:val="00EE4F7D"/>
    <w:rsid w:val="00EE5CA8"/>
    <w:rsid w:val="00EE5DAF"/>
    <w:rsid w:val="00EE60C1"/>
    <w:rsid w:val="00EE61FB"/>
    <w:rsid w:val="00EE65E3"/>
    <w:rsid w:val="00EE6A23"/>
    <w:rsid w:val="00EE6CC9"/>
    <w:rsid w:val="00EE731A"/>
    <w:rsid w:val="00EE74D1"/>
    <w:rsid w:val="00EE756B"/>
    <w:rsid w:val="00EE75B5"/>
    <w:rsid w:val="00EE7BCB"/>
    <w:rsid w:val="00EE7DE9"/>
    <w:rsid w:val="00EE7E80"/>
    <w:rsid w:val="00EF0231"/>
    <w:rsid w:val="00EF02BE"/>
    <w:rsid w:val="00EF1016"/>
    <w:rsid w:val="00EF19CE"/>
    <w:rsid w:val="00EF1A8B"/>
    <w:rsid w:val="00EF1C85"/>
    <w:rsid w:val="00EF1E98"/>
    <w:rsid w:val="00EF2470"/>
    <w:rsid w:val="00EF25A2"/>
    <w:rsid w:val="00EF2716"/>
    <w:rsid w:val="00EF2899"/>
    <w:rsid w:val="00EF2FE0"/>
    <w:rsid w:val="00EF37E9"/>
    <w:rsid w:val="00EF3933"/>
    <w:rsid w:val="00EF40A8"/>
    <w:rsid w:val="00EF4206"/>
    <w:rsid w:val="00EF5231"/>
    <w:rsid w:val="00EF540A"/>
    <w:rsid w:val="00EF5658"/>
    <w:rsid w:val="00EF5B18"/>
    <w:rsid w:val="00EF6223"/>
    <w:rsid w:val="00EF6291"/>
    <w:rsid w:val="00EF66A7"/>
    <w:rsid w:val="00EF6A1A"/>
    <w:rsid w:val="00EF6DCF"/>
    <w:rsid w:val="00EF6F43"/>
    <w:rsid w:val="00EF6F7B"/>
    <w:rsid w:val="00EF754F"/>
    <w:rsid w:val="00EF755E"/>
    <w:rsid w:val="00EF782B"/>
    <w:rsid w:val="00F003DD"/>
    <w:rsid w:val="00F005A3"/>
    <w:rsid w:val="00F008B3"/>
    <w:rsid w:val="00F00A16"/>
    <w:rsid w:val="00F00A94"/>
    <w:rsid w:val="00F00E63"/>
    <w:rsid w:val="00F0106B"/>
    <w:rsid w:val="00F01311"/>
    <w:rsid w:val="00F0142B"/>
    <w:rsid w:val="00F014DF"/>
    <w:rsid w:val="00F0161C"/>
    <w:rsid w:val="00F01B43"/>
    <w:rsid w:val="00F01E00"/>
    <w:rsid w:val="00F0268D"/>
    <w:rsid w:val="00F0337B"/>
    <w:rsid w:val="00F03719"/>
    <w:rsid w:val="00F03A28"/>
    <w:rsid w:val="00F03B42"/>
    <w:rsid w:val="00F03F75"/>
    <w:rsid w:val="00F0408D"/>
    <w:rsid w:val="00F04170"/>
    <w:rsid w:val="00F049C0"/>
    <w:rsid w:val="00F04C49"/>
    <w:rsid w:val="00F04DA1"/>
    <w:rsid w:val="00F056CE"/>
    <w:rsid w:val="00F059E3"/>
    <w:rsid w:val="00F05D5A"/>
    <w:rsid w:val="00F0695D"/>
    <w:rsid w:val="00F06D0D"/>
    <w:rsid w:val="00F07B1E"/>
    <w:rsid w:val="00F07BF2"/>
    <w:rsid w:val="00F1047C"/>
    <w:rsid w:val="00F1055E"/>
    <w:rsid w:val="00F10AD7"/>
    <w:rsid w:val="00F1198D"/>
    <w:rsid w:val="00F119DF"/>
    <w:rsid w:val="00F11B0A"/>
    <w:rsid w:val="00F11C75"/>
    <w:rsid w:val="00F11CC6"/>
    <w:rsid w:val="00F1221D"/>
    <w:rsid w:val="00F12636"/>
    <w:rsid w:val="00F1274F"/>
    <w:rsid w:val="00F12F94"/>
    <w:rsid w:val="00F13074"/>
    <w:rsid w:val="00F134B1"/>
    <w:rsid w:val="00F13686"/>
    <w:rsid w:val="00F137D4"/>
    <w:rsid w:val="00F139BD"/>
    <w:rsid w:val="00F13B29"/>
    <w:rsid w:val="00F13D2D"/>
    <w:rsid w:val="00F13F23"/>
    <w:rsid w:val="00F142E6"/>
    <w:rsid w:val="00F143BA"/>
    <w:rsid w:val="00F14791"/>
    <w:rsid w:val="00F14C23"/>
    <w:rsid w:val="00F15AEE"/>
    <w:rsid w:val="00F15C53"/>
    <w:rsid w:val="00F16983"/>
    <w:rsid w:val="00F16E92"/>
    <w:rsid w:val="00F17672"/>
    <w:rsid w:val="00F17C3E"/>
    <w:rsid w:val="00F17E2B"/>
    <w:rsid w:val="00F20CFE"/>
    <w:rsid w:val="00F210D8"/>
    <w:rsid w:val="00F2141D"/>
    <w:rsid w:val="00F2154C"/>
    <w:rsid w:val="00F2190C"/>
    <w:rsid w:val="00F23362"/>
    <w:rsid w:val="00F235E8"/>
    <w:rsid w:val="00F25248"/>
    <w:rsid w:val="00F257D2"/>
    <w:rsid w:val="00F259BC"/>
    <w:rsid w:val="00F25BCA"/>
    <w:rsid w:val="00F25E70"/>
    <w:rsid w:val="00F26240"/>
    <w:rsid w:val="00F2745F"/>
    <w:rsid w:val="00F2753D"/>
    <w:rsid w:val="00F27944"/>
    <w:rsid w:val="00F27972"/>
    <w:rsid w:val="00F27B65"/>
    <w:rsid w:val="00F27BB4"/>
    <w:rsid w:val="00F27FA7"/>
    <w:rsid w:val="00F30089"/>
    <w:rsid w:val="00F30098"/>
    <w:rsid w:val="00F30B32"/>
    <w:rsid w:val="00F31451"/>
    <w:rsid w:val="00F315B5"/>
    <w:rsid w:val="00F315FA"/>
    <w:rsid w:val="00F31B3F"/>
    <w:rsid w:val="00F31D50"/>
    <w:rsid w:val="00F31FEC"/>
    <w:rsid w:val="00F32049"/>
    <w:rsid w:val="00F32187"/>
    <w:rsid w:val="00F322C9"/>
    <w:rsid w:val="00F323D6"/>
    <w:rsid w:val="00F3254F"/>
    <w:rsid w:val="00F32621"/>
    <w:rsid w:val="00F330B1"/>
    <w:rsid w:val="00F332E4"/>
    <w:rsid w:val="00F33328"/>
    <w:rsid w:val="00F33878"/>
    <w:rsid w:val="00F339D8"/>
    <w:rsid w:val="00F33E01"/>
    <w:rsid w:val="00F340F0"/>
    <w:rsid w:val="00F343ED"/>
    <w:rsid w:val="00F347EA"/>
    <w:rsid w:val="00F34DFC"/>
    <w:rsid w:val="00F350B8"/>
    <w:rsid w:val="00F35B86"/>
    <w:rsid w:val="00F35B99"/>
    <w:rsid w:val="00F36123"/>
    <w:rsid w:val="00F3631C"/>
    <w:rsid w:val="00F36A37"/>
    <w:rsid w:val="00F371E9"/>
    <w:rsid w:val="00F3793C"/>
    <w:rsid w:val="00F37F78"/>
    <w:rsid w:val="00F40145"/>
    <w:rsid w:val="00F401F0"/>
    <w:rsid w:val="00F40230"/>
    <w:rsid w:val="00F406A4"/>
    <w:rsid w:val="00F41359"/>
    <w:rsid w:val="00F4146E"/>
    <w:rsid w:val="00F4226F"/>
    <w:rsid w:val="00F42792"/>
    <w:rsid w:val="00F428AE"/>
    <w:rsid w:val="00F42C79"/>
    <w:rsid w:val="00F4469B"/>
    <w:rsid w:val="00F44807"/>
    <w:rsid w:val="00F449ED"/>
    <w:rsid w:val="00F44D77"/>
    <w:rsid w:val="00F44F88"/>
    <w:rsid w:val="00F45075"/>
    <w:rsid w:val="00F452D3"/>
    <w:rsid w:val="00F45851"/>
    <w:rsid w:val="00F45895"/>
    <w:rsid w:val="00F45CEB"/>
    <w:rsid w:val="00F45CF6"/>
    <w:rsid w:val="00F4601D"/>
    <w:rsid w:val="00F4662F"/>
    <w:rsid w:val="00F4671C"/>
    <w:rsid w:val="00F46FF0"/>
    <w:rsid w:val="00F47281"/>
    <w:rsid w:val="00F47793"/>
    <w:rsid w:val="00F47AB0"/>
    <w:rsid w:val="00F47B41"/>
    <w:rsid w:val="00F47D4B"/>
    <w:rsid w:val="00F500FC"/>
    <w:rsid w:val="00F50D0C"/>
    <w:rsid w:val="00F5154D"/>
    <w:rsid w:val="00F51E2D"/>
    <w:rsid w:val="00F522BE"/>
    <w:rsid w:val="00F52361"/>
    <w:rsid w:val="00F5241E"/>
    <w:rsid w:val="00F54010"/>
    <w:rsid w:val="00F54264"/>
    <w:rsid w:val="00F5429A"/>
    <w:rsid w:val="00F54C02"/>
    <w:rsid w:val="00F54E3C"/>
    <w:rsid w:val="00F54E4C"/>
    <w:rsid w:val="00F54F0C"/>
    <w:rsid w:val="00F5508D"/>
    <w:rsid w:val="00F550FB"/>
    <w:rsid w:val="00F55174"/>
    <w:rsid w:val="00F566A3"/>
    <w:rsid w:val="00F56941"/>
    <w:rsid w:val="00F575A9"/>
    <w:rsid w:val="00F57625"/>
    <w:rsid w:val="00F57B3E"/>
    <w:rsid w:val="00F6006A"/>
    <w:rsid w:val="00F600A2"/>
    <w:rsid w:val="00F60196"/>
    <w:rsid w:val="00F6023D"/>
    <w:rsid w:val="00F6083F"/>
    <w:rsid w:val="00F60AA6"/>
    <w:rsid w:val="00F60B0E"/>
    <w:rsid w:val="00F60D11"/>
    <w:rsid w:val="00F62B9B"/>
    <w:rsid w:val="00F62F0A"/>
    <w:rsid w:val="00F6394B"/>
    <w:rsid w:val="00F63DD7"/>
    <w:rsid w:val="00F640FD"/>
    <w:rsid w:val="00F641FA"/>
    <w:rsid w:val="00F642B0"/>
    <w:rsid w:val="00F644FF"/>
    <w:rsid w:val="00F6497A"/>
    <w:rsid w:val="00F64EF4"/>
    <w:rsid w:val="00F65AD2"/>
    <w:rsid w:val="00F663F1"/>
    <w:rsid w:val="00F66627"/>
    <w:rsid w:val="00F6679E"/>
    <w:rsid w:val="00F675A7"/>
    <w:rsid w:val="00F6794A"/>
    <w:rsid w:val="00F70922"/>
    <w:rsid w:val="00F70DE6"/>
    <w:rsid w:val="00F71A0A"/>
    <w:rsid w:val="00F71B14"/>
    <w:rsid w:val="00F71D6F"/>
    <w:rsid w:val="00F71E1A"/>
    <w:rsid w:val="00F71E41"/>
    <w:rsid w:val="00F72C3B"/>
    <w:rsid w:val="00F73646"/>
    <w:rsid w:val="00F7383B"/>
    <w:rsid w:val="00F75474"/>
    <w:rsid w:val="00F75625"/>
    <w:rsid w:val="00F758D7"/>
    <w:rsid w:val="00F76106"/>
    <w:rsid w:val="00F76614"/>
    <w:rsid w:val="00F76A7D"/>
    <w:rsid w:val="00F76E2F"/>
    <w:rsid w:val="00F76FA4"/>
    <w:rsid w:val="00F77011"/>
    <w:rsid w:val="00F773D4"/>
    <w:rsid w:val="00F778D0"/>
    <w:rsid w:val="00F7796D"/>
    <w:rsid w:val="00F779E6"/>
    <w:rsid w:val="00F77B27"/>
    <w:rsid w:val="00F77BD0"/>
    <w:rsid w:val="00F77BF2"/>
    <w:rsid w:val="00F77F38"/>
    <w:rsid w:val="00F77FF9"/>
    <w:rsid w:val="00F800DC"/>
    <w:rsid w:val="00F80C10"/>
    <w:rsid w:val="00F81394"/>
    <w:rsid w:val="00F8150A"/>
    <w:rsid w:val="00F81CA4"/>
    <w:rsid w:val="00F82427"/>
    <w:rsid w:val="00F824CF"/>
    <w:rsid w:val="00F835CA"/>
    <w:rsid w:val="00F838D3"/>
    <w:rsid w:val="00F8399B"/>
    <w:rsid w:val="00F840E8"/>
    <w:rsid w:val="00F84288"/>
    <w:rsid w:val="00F84427"/>
    <w:rsid w:val="00F849A5"/>
    <w:rsid w:val="00F84A27"/>
    <w:rsid w:val="00F84D50"/>
    <w:rsid w:val="00F84F02"/>
    <w:rsid w:val="00F852CE"/>
    <w:rsid w:val="00F854EA"/>
    <w:rsid w:val="00F85E13"/>
    <w:rsid w:val="00F86380"/>
    <w:rsid w:val="00F86F33"/>
    <w:rsid w:val="00F86FCB"/>
    <w:rsid w:val="00F87887"/>
    <w:rsid w:val="00F87F26"/>
    <w:rsid w:val="00F87F5F"/>
    <w:rsid w:val="00F901A9"/>
    <w:rsid w:val="00F90334"/>
    <w:rsid w:val="00F90680"/>
    <w:rsid w:val="00F90836"/>
    <w:rsid w:val="00F90985"/>
    <w:rsid w:val="00F90F51"/>
    <w:rsid w:val="00F91ACD"/>
    <w:rsid w:val="00F927B7"/>
    <w:rsid w:val="00F9287D"/>
    <w:rsid w:val="00F92C44"/>
    <w:rsid w:val="00F92F73"/>
    <w:rsid w:val="00F9333C"/>
    <w:rsid w:val="00F93990"/>
    <w:rsid w:val="00F94281"/>
    <w:rsid w:val="00F94377"/>
    <w:rsid w:val="00F94761"/>
    <w:rsid w:val="00F94A9D"/>
    <w:rsid w:val="00F94D19"/>
    <w:rsid w:val="00F94DFA"/>
    <w:rsid w:val="00F95280"/>
    <w:rsid w:val="00F95306"/>
    <w:rsid w:val="00F960C9"/>
    <w:rsid w:val="00F962C2"/>
    <w:rsid w:val="00F9646D"/>
    <w:rsid w:val="00F966D5"/>
    <w:rsid w:val="00F96CB9"/>
    <w:rsid w:val="00F96D1C"/>
    <w:rsid w:val="00F97BD7"/>
    <w:rsid w:val="00FA032B"/>
    <w:rsid w:val="00FA04F5"/>
    <w:rsid w:val="00FA0519"/>
    <w:rsid w:val="00FA06EA"/>
    <w:rsid w:val="00FA09CE"/>
    <w:rsid w:val="00FA0A2E"/>
    <w:rsid w:val="00FA0BC8"/>
    <w:rsid w:val="00FA0EED"/>
    <w:rsid w:val="00FA12B0"/>
    <w:rsid w:val="00FA149F"/>
    <w:rsid w:val="00FA1BD0"/>
    <w:rsid w:val="00FA377D"/>
    <w:rsid w:val="00FA390F"/>
    <w:rsid w:val="00FA3CBB"/>
    <w:rsid w:val="00FA3DB2"/>
    <w:rsid w:val="00FA3F0A"/>
    <w:rsid w:val="00FA3FD4"/>
    <w:rsid w:val="00FA419D"/>
    <w:rsid w:val="00FA4366"/>
    <w:rsid w:val="00FA443D"/>
    <w:rsid w:val="00FA476A"/>
    <w:rsid w:val="00FA56C1"/>
    <w:rsid w:val="00FA593C"/>
    <w:rsid w:val="00FA5F7C"/>
    <w:rsid w:val="00FA6400"/>
    <w:rsid w:val="00FA6C8C"/>
    <w:rsid w:val="00FA73CA"/>
    <w:rsid w:val="00FA76A8"/>
    <w:rsid w:val="00FA7BB9"/>
    <w:rsid w:val="00FA7F0D"/>
    <w:rsid w:val="00FB0004"/>
    <w:rsid w:val="00FB00E9"/>
    <w:rsid w:val="00FB052E"/>
    <w:rsid w:val="00FB0C96"/>
    <w:rsid w:val="00FB106A"/>
    <w:rsid w:val="00FB119A"/>
    <w:rsid w:val="00FB1665"/>
    <w:rsid w:val="00FB177B"/>
    <w:rsid w:val="00FB1CB0"/>
    <w:rsid w:val="00FB1D78"/>
    <w:rsid w:val="00FB3432"/>
    <w:rsid w:val="00FB3599"/>
    <w:rsid w:val="00FB3C05"/>
    <w:rsid w:val="00FB5317"/>
    <w:rsid w:val="00FB5353"/>
    <w:rsid w:val="00FB562E"/>
    <w:rsid w:val="00FB59C6"/>
    <w:rsid w:val="00FB5B28"/>
    <w:rsid w:val="00FB5C1C"/>
    <w:rsid w:val="00FB5C7B"/>
    <w:rsid w:val="00FB61A6"/>
    <w:rsid w:val="00FB67D4"/>
    <w:rsid w:val="00FB68F8"/>
    <w:rsid w:val="00FB6907"/>
    <w:rsid w:val="00FB69AC"/>
    <w:rsid w:val="00FB6BFC"/>
    <w:rsid w:val="00FB745D"/>
    <w:rsid w:val="00FB74BB"/>
    <w:rsid w:val="00FB7B4F"/>
    <w:rsid w:val="00FB7C32"/>
    <w:rsid w:val="00FC00B7"/>
    <w:rsid w:val="00FC00FE"/>
    <w:rsid w:val="00FC062A"/>
    <w:rsid w:val="00FC0F29"/>
    <w:rsid w:val="00FC10B6"/>
    <w:rsid w:val="00FC1A8F"/>
    <w:rsid w:val="00FC1A9F"/>
    <w:rsid w:val="00FC24DC"/>
    <w:rsid w:val="00FC29D5"/>
    <w:rsid w:val="00FC2A1A"/>
    <w:rsid w:val="00FC2BD0"/>
    <w:rsid w:val="00FC2BFC"/>
    <w:rsid w:val="00FC2F0A"/>
    <w:rsid w:val="00FC31CE"/>
    <w:rsid w:val="00FC327D"/>
    <w:rsid w:val="00FC38A8"/>
    <w:rsid w:val="00FC38F8"/>
    <w:rsid w:val="00FC3B02"/>
    <w:rsid w:val="00FC3B64"/>
    <w:rsid w:val="00FC45DB"/>
    <w:rsid w:val="00FC46A5"/>
    <w:rsid w:val="00FC47C4"/>
    <w:rsid w:val="00FC4C12"/>
    <w:rsid w:val="00FC4D06"/>
    <w:rsid w:val="00FC6183"/>
    <w:rsid w:val="00FC68E0"/>
    <w:rsid w:val="00FC6C0B"/>
    <w:rsid w:val="00FC6F36"/>
    <w:rsid w:val="00FC7B6A"/>
    <w:rsid w:val="00FC7CEB"/>
    <w:rsid w:val="00FC7F04"/>
    <w:rsid w:val="00FD0ED7"/>
    <w:rsid w:val="00FD0FD3"/>
    <w:rsid w:val="00FD1385"/>
    <w:rsid w:val="00FD17E9"/>
    <w:rsid w:val="00FD1D84"/>
    <w:rsid w:val="00FD231E"/>
    <w:rsid w:val="00FD28AC"/>
    <w:rsid w:val="00FD2E37"/>
    <w:rsid w:val="00FD36AB"/>
    <w:rsid w:val="00FD393B"/>
    <w:rsid w:val="00FD3A6E"/>
    <w:rsid w:val="00FD3FED"/>
    <w:rsid w:val="00FD42A0"/>
    <w:rsid w:val="00FD477C"/>
    <w:rsid w:val="00FD4A44"/>
    <w:rsid w:val="00FD4E18"/>
    <w:rsid w:val="00FD557B"/>
    <w:rsid w:val="00FD5DB4"/>
    <w:rsid w:val="00FD5E42"/>
    <w:rsid w:val="00FD6576"/>
    <w:rsid w:val="00FD665C"/>
    <w:rsid w:val="00FD6EE9"/>
    <w:rsid w:val="00FD7CBB"/>
    <w:rsid w:val="00FD7D20"/>
    <w:rsid w:val="00FE0268"/>
    <w:rsid w:val="00FE0403"/>
    <w:rsid w:val="00FE08DC"/>
    <w:rsid w:val="00FE0C9D"/>
    <w:rsid w:val="00FE1091"/>
    <w:rsid w:val="00FE14FB"/>
    <w:rsid w:val="00FE150D"/>
    <w:rsid w:val="00FE1D1E"/>
    <w:rsid w:val="00FE1F0D"/>
    <w:rsid w:val="00FE2B9D"/>
    <w:rsid w:val="00FE2C9D"/>
    <w:rsid w:val="00FE2E1F"/>
    <w:rsid w:val="00FE34DF"/>
    <w:rsid w:val="00FE3731"/>
    <w:rsid w:val="00FE3842"/>
    <w:rsid w:val="00FE3A31"/>
    <w:rsid w:val="00FE3B86"/>
    <w:rsid w:val="00FE3BE2"/>
    <w:rsid w:val="00FE3D42"/>
    <w:rsid w:val="00FE3F5F"/>
    <w:rsid w:val="00FE4635"/>
    <w:rsid w:val="00FE484E"/>
    <w:rsid w:val="00FE4AF9"/>
    <w:rsid w:val="00FE4B11"/>
    <w:rsid w:val="00FE5257"/>
    <w:rsid w:val="00FE558C"/>
    <w:rsid w:val="00FE585F"/>
    <w:rsid w:val="00FE6D7A"/>
    <w:rsid w:val="00FE6E1D"/>
    <w:rsid w:val="00FE6F5C"/>
    <w:rsid w:val="00FE7848"/>
    <w:rsid w:val="00FE7C11"/>
    <w:rsid w:val="00FE7EAE"/>
    <w:rsid w:val="00FE7F3D"/>
    <w:rsid w:val="00FE7FAF"/>
    <w:rsid w:val="00FF00BA"/>
    <w:rsid w:val="00FF0A72"/>
    <w:rsid w:val="00FF153F"/>
    <w:rsid w:val="00FF1921"/>
    <w:rsid w:val="00FF1A94"/>
    <w:rsid w:val="00FF1D37"/>
    <w:rsid w:val="00FF1D5A"/>
    <w:rsid w:val="00FF1DDC"/>
    <w:rsid w:val="00FF2245"/>
    <w:rsid w:val="00FF2427"/>
    <w:rsid w:val="00FF282D"/>
    <w:rsid w:val="00FF2BD2"/>
    <w:rsid w:val="00FF2D4E"/>
    <w:rsid w:val="00FF30DE"/>
    <w:rsid w:val="00FF310A"/>
    <w:rsid w:val="00FF317A"/>
    <w:rsid w:val="00FF36DF"/>
    <w:rsid w:val="00FF376F"/>
    <w:rsid w:val="00FF39D0"/>
    <w:rsid w:val="00FF3AC6"/>
    <w:rsid w:val="00FF3EA3"/>
    <w:rsid w:val="00FF3F6A"/>
    <w:rsid w:val="00FF42E4"/>
    <w:rsid w:val="00FF497C"/>
    <w:rsid w:val="00FF5211"/>
    <w:rsid w:val="00FF5A1E"/>
    <w:rsid w:val="00FF5D5E"/>
    <w:rsid w:val="00FF6362"/>
    <w:rsid w:val="00FF65A9"/>
    <w:rsid w:val="00FF67F5"/>
    <w:rsid w:val="00FF6C44"/>
    <w:rsid w:val="00FF730B"/>
    <w:rsid w:val="00FF76B1"/>
    <w:rsid w:val="00FF7CDC"/>
    <w:rsid w:val="00FF7D5E"/>
    <w:rsid w:val="00FF7E7B"/>
    <w:rsid w:val="00FF7E9B"/>
    <w:rsid w:val="00FF7F3B"/>
    <w:rsid w:val="00FF7F5E"/>
    <w:rsid w:val="01004EF8"/>
    <w:rsid w:val="01032B5A"/>
    <w:rsid w:val="015E6069"/>
    <w:rsid w:val="01AB785F"/>
    <w:rsid w:val="023D5BE5"/>
    <w:rsid w:val="029EC88A"/>
    <w:rsid w:val="02B75CB5"/>
    <w:rsid w:val="03D70FD5"/>
    <w:rsid w:val="04CC758B"/>
    <w:rsid w:val="05D523E3"/>
    <w:rsid w:val="0644F766"/>
    <w:rsid w:val="067655CF"/>
    <w:rsid w:val="070812C4"/>
    <w:rsid w:val="07ADDF24"/>
    <w:rsid w:val="0841B323"/>
    <w:rsid w:val="0848191E"/>
    <w:rsid w:val="08903EF0"/>
    <w:rsid w:val="0900D4F7"/>
    <w:rsid w:val="0934A300"/>
    <w:rsid w:val="0A202792"/>
    <w:rsid w:val="0AD8DCDA"/>
    <w:rsid w:val="0BB1569D"/>
    <w:rsid w:val="0BDE21AC"/>
    <w:rsid w:val="0C71AF8F"/>
    <w:rsid w:val="0D23B950"/>
    <w:rsid w:val="0D251535"/>
    <w:rsid w:val="0D792FE7"/>
    <w:rsid w:val="0DA579E7"/>
    <w:rsid w:val="0DBA7DB4"/>
    <w:rsid w:val="0E3A626B"/>
    <w:rsid w:val="0E7696D6"/>
    <w:rsid w:val="0EB7FBFC"/>
    <w:rsid w:val="0F23A903"/>
    <w:rsid w:val="0F96D441"/>
    <w:rsid w:val="1072BAD4"/>
    <w:rsid w:val="107DF2E7"/>
    <w:rsid w:val="117DA953"/>
    <w:rsid w:val="12991080"/>
    <w:rsid w:val="12E9E126"/>
    <w:rsid w:val="13B380FF"/>
    <w:rsid w:val="13B90F85"/>
    <w:rsid w:val="13EF801F"/>
    <w:rsid w:val="14548A8A"/>
    <w:rsid w:val="14F9B82D"/>
    <w:rsid w:val="15837F89"/>
    <w:rsid w:val="174872AE"/>
    <w:rsid w:val="177968A4"/>
    <w:rsid w:val="17E95C55"/>
    <w:rsid w:val="18A8DD8E"/>
    <w:rsid w:val="18B517FC"/>
    <w:rsid w:val="18B52AC3"/>
    <w:rsid w:val="19523B84"/>
    <w:rsid w:val="196C4FE2"/>
    <w:rsid w:val="19CE18E4"/>
    <w:rsid w:val="19F3896B"/>
    <w:rsid w:val="1A39213C"/>
    <w:rsid w:val="1ABCA300"/>
    <w:rsid w:val="1AF6E73F"/>
    <w:rsid w:val="1B242CC1"/>
    <w:rsid w:val="1B7629C3"/>
    <w:rsid w:val="1B81C01C"/>
    <w:rsid w:val="1BA7EBD9"/>
    <w:rsid w:val="1C14890A"/>
    <w:rsid w:val="1C156B7A"/>
    <w:rsid w:val="1C414B60"/>
    <w:rsid w:val="1CFEFDCE"/>
    <w:rsid w:val="1DA2D314"/>
    <w:rsid w:val="1E2090A6"/>
    <w:rsid w:val="1E6D9F7B"/>
    <w:rsid w:val="1ED24591"/>
    <w:rsid w:val="1F6ACBAD"/>
    <w:rsid w:val="21BB1F06"/>
    <w:rsid w:val="231FD594"/>
    <w:rsid w:val="23C76163"/>
    <w:rsid w:val="253A25C0"/>
    <w:rsid w:val="2541A31B"/>
    <w:rsid w:val="25485734"/>
    <w:rsid w:val="25836532"/>
    <w:rsid w:val="2676CFD8"/>
    <w:rsid w:val="274DFD7F"/>
    <w:rsid w:val="27FB248A"/>
    <w:rsid w:val="28E5A90F"/>
    <w:rsid w:val="28EA54EC"/>
    <w:rsid w:val="293ED63B"/>
    <w:rsid w:val="2A9F4D2A"/>
    <w:rsid w:val="2B328DE7"/>
    <w:rsid w:val="2B86E222"/>
    <w:rsid w:val="2C993F3A"/>
    <w:rsid w:val="2D0A0B43"/>
    <w:rsid w:val="2D50EDC9"/>
    <w:rsid w:val="2E0E1AE1"/>
    <w:rsid w:val="2E24CD3D"/>
    <w:rsid w:val="2E6044C8"/>
    <w:rsid w:val="2E784483"/>
    <w:rsid w:val="2EF8FAFA"/>
    <w:rsid w:val="2F5325D2"/>
    <w:rsid w:val="304C86F9"/>
    <w:rsid w:val="308B0736"/>
    <w:rsid w:val="30BE0BB6"/>
    <w:rsid w:val="310E89E7"/>
    <w:rsid w:val="31219BA7"/>
    <w:rsid w:val="31D9EA90"/>
    <w:rsid w:val="31DCB806"/>
    <w:rsid w:val="31E71F71"/>
    <w:rsid w:val="320BE6F5"/>
    <w:rsid w:val="32252A30"/>
    <w:rsid w:val="3321AF87"/>
    <w:rsid w:val="333F4889"/>
    <w:rsid w:val="34D50769"/>
    <w:rsid w:val="35F63D70"/>
    <w:rsid w:val="3652107F"/>
    <w:rsid w:val="3685A1F7"/>
    <w:rsid w:val="36F72622"/>
    <w:rsid w:val="3797489E"/>
    <w:rsid w:val="37A0D564"/>
    <w:rsid w:val="38061E98"/>
    <w:rsid w:val="3835F9FF"/>
    <w:rsid w:val="38E328A2"/>
    <w:rsid w:val="396F319E"/>
    <w:rsid w:val="398D4AF2"/>
    <w:rsid w:val="3A606F5C"/>
    <w:rsid w:val="3A9474C2"/>
    <w:rsid w:val="3AA275E9"/>
    <w:rsid w:val="3AFD007A"/>
    <w:rsid w:val="3BBA7184"/>
    <w:rsid w:val="3BCE909E"/>
    <w:rsid w:val="3C4DF18C"/>
    <w:rsid w:val="3C71036D"/>
    <w:rsid w:val="3CE42A95"/>
    <w:rsid w:val="3D22FE03"/>
    <w:rsid w:val="3D6C909E"/>
    <w:rsid w:val="3D7129A6"/>
    <w:rsid w:val="3D7FADBA"/>
    <w:rsid w:val="3E063F04"/>
    <w:rsid w:val="3E213F18"/>
    <w:rsid w:val="3E5A6AF9"/>
    <w:rsid w:val="3EAEA357"/>
    <w:rsid w:val="3EFFFD81"/>
    <w:rsid w:val="4015A9C2"/>
    <w:rsid w:val="40BAAEE2"/>
    <w:rsid w:val="40D09967"/>
    <w:rsid w:val="4103CF46"/>
    <w:rsid w:val="414CFFBC"/>
    <w:rsid w:val="420E65C2"/>
    <w:rsid w:val="4259BD31"/>
    <w:rsid w:val="431672DE"/>
    <w:rsid w:val="433D8185"/>
    <w:rsid w:val="43903701"/>
    <w:rsid w:val="44D5F340"/>
    <w:rsid w:val="4505E104"/>
    <w:rsid w:val="451B43E9"/>
    <w:rsid w:val="452D9BEF"/>
    <w:rsid w:val="456D8FBF"/>
    <w:rsid w:val="45F1962B"/>
    <w:rsid w:val="4664C46C"/>
    <w:rsid w:val="46DAA3BB"/>
    <w:rsid w:val="47631E10"/>
    <w:rsid w:val="4785BCE0"/>
    <w:rsid w:val="47E4C42F"/>
    <w:rsid w:val="4839EEDA"/>
    <w:rsid w:val="494B8260"/>
    <w:rsid w:val="496DACC6"/>
    <w:rsid w:val="49B2E74E"/>
    <w:rsid w:val="49CDFF0E"/>
    <w:rsid w:val="4B61AA0D"/>
    <w:rsid w:val="4B6E3CD2"/>
    <w:rsid w:val="4BB9216F"/>
    <w:rsid w:val="4CB87040"/>
    <w:rsid w:val="4CD73010"/>
    <w:rsid w:val="4CEEEA87"/>
    <w:rsid w:val="4D62E236"/>
    <w:rsid w:val="4F1422D2"/>
    <w:rsid w:val="5012DA8B"/>
    <w:rsid w:val="502DCADE"/>
    <w:rsid w:val="509EB98C"/>
    <w:rsid w:val="51F08E95"/>
    <w:rsid w:val="52D86A5F"/>
    <w:rsid w:val="53324238"/>
    <w:rsid w:val="537AFD90"/>
    <w:rsid w:val="54014F26"/>
    <w:rsid w:val="54EC3270"/>
    <w:rsid w:val="55A393A6"/>
    <w:rsid w:val="5640F625"/>
    <w:rsid w:val="5794D0CF"/>
    <w:rsid w:val="57AEBDE2"/>
    <w:rsid w:val="582C5FDC"/>
    <w:rsid w:val="58C29D9F"/>
    <w:rsid w:val="58CF7C2B"/>
    <w:rsid w:val="5933A1FF"/>
    <w:rsid w:val="597E4DDD"/>
    <w:rsid w:val="59FF8FD4"/>
    <w:rsid w:val="5A66D020"/>
    <w:rsid w:val="5AEC143D"/>
    <w:rsid w:val="5AFF4397"/>
    <w:rsid w:val="5B06689A"/>
    <w:rsid w:val="5BA379B0"/>
    <w:rsid w:val="5BF6C1E6"/>
    <w:rsid w:val="5C4145E5"/>
    <w:rsid w:val="5C584506"/>
    <w:rsid w:val="5CD502ED"/>
    <w:rsid w:val="5D0A4FA4"/>
    <w:rsid w:val="5D2091B9"/>
    <w:rsid w:val="5D4D171D"/>
    <w:rsid w:val="5D6246CB"/>
    <w:rsid w:val="5E18EB9F"/>
    <w:rsid w:val="5E411800"/>
    <w:rsid w:val="5E60F821"/>
    <w:rsid w:val="5EE7A69A"/>
    <w:rsid w:val="5EF0B3EC"/>
    <w:rsid w:val="5F11EB0E"/>
    <w:rsid w:val="5FB2A0E0"/>
    <w:rsid w:val="601A9963"/>
    <w:rsid w:val="6074895B"/>
    <w:rsid w:val="607AA8EE"/>
    <w:rsid w:val="60CF7E57"/>
    <w:rsid w:val="611E1FB9"/>
    <w:rsid w:val="624634A3"/>
    <w:rsid w:val="626DE863"/>
    <w:rsid w:val="6272D3A2"/>
    <w:rsid w:val="628B63FA"/>
    <w:rsid w:val="62B0040D"/>
    <w:rsid w:val="63DF7775"/>
    <w:rsid w:val="6479220C"/>
    <w:rsid w:val="64BDEC1C"/>
    <w:rsid w:val="64DE6E86"/>
    <w:rsid w:val="65217EA0"/>
    <w:rsid w:val="65A787C2"/>
    <w:rsid w:val="65DEDC45"/>
    <w:rsid w:val="65FC4F79"/>
    <w:rsid w:val="66FECBDC"/>
    <w:rsid w:val="679489BB"/>
    <w:rsid w:val="67B874AE"/>
    <w:rsid w:val="683838BA"/>
    <w:rsid w:val="68D12F96"/>
    <w:rsid w:val="6937F584"/>
    <w:rsid w:val="69BB4095"/>
    <w:rsid w:val="69E44050"/>
    <w:rsid w:val="6A2CDE58"/>
    <w:rsid w:val="6A7C945C"/>
    <w:rsid w:val="6ADEEC0B"/>
    <w:rsid w:val="6B8235ED"/>
    <w:rsid w:val="6CAB1E3F"/>
    <w:rsid w:val="6CAD129B"/>
    <w:rsid w:val="6DAB27BA"/>
    <w:rsid w:val="6DE89A14"/>
    <w:rsid w:val="6E6BD338"/>
    <w:rsid w:val="6EC28BC5"/>
    <w:rsid w:val="6F460D55"/>
    <w:rsid w:val="6F5D2722"/>
    <w:rsid w:val="7000AD48"/>
    <w:rsid w:val="703A5E23"/>
    <w:rsid w:val="705BCC27"/>
    <w:rsid w:val="70C45B2E"/>
    <w:rsid w:val="70F92E7C"/>
    <w:rsid w:val="7145B1C4"/>
    <w:rsid w:val="723FEBB0"/>
    <w:rsid w:val="7253A0D5"/>
    <w:rsid w:val="730B6F15"/>
    <w:rsid w:val="73BB3580"/>
    <w:rsid w:val="73F6B678"/>
    <w:rsid w:val="7443075A"/>
    <w:rsid w:val="74760FB2"/>
    <w:rsid w:val="747B849F"/>
    <w:rsid w:val="74AC1219"/>
    <w:rsid w:val="74E9FFAB"/>
    <w:rsid w:val="750E99A1"/>
    <w:rsid w:val="75A9F7CB"/>
    <w:rsid w:val="7662426C"/>
    <w:rsid w:val="7752FA4F"/>
    <w:rsid w:val="776BFF2D"/>
    <w:rsid w:val="777E16E8"/>
    <w:rsid w:val="7848D38D"/>
    <w:rsid w:val="78B4E520"/>
    <w:rsid w:val="78B851E6"/>
    <w:rsid w:val="79098492"/>
    <w:rsid w:val="7918EB93"/>
    <w:rsid w:val="7930088B"/>
    <w:rsid w:val="79F0BA40"/>
    <w:rsid w:val="7A1B58B2"/>
    <w:rsid w:val="7AB9DA8A"/>
    <w:rsid w:val="7AFD25C4"/>
    <w:rsid w:val="7AFF7287"/>
    <w:rsid w:val="7C111391"/>
    <w:rsid w:val="7CA2D4DB"/>
    <w:rsid w:val="7D3E25F7"/>
    <w:rsid w:val="7DD79D1B"/>
    <w:rsid w:val="7ECD7C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8F406D"/>
  <w15:docId w15:val="{C5C4BBC9-6318-4937-A3CB-72D4632AA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fi-FI"/>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j-normal">
    <w:name w:val="oj-normal"/>
    <w:basedOn w:val="Normal"/>
    <w:rsid w:val="00A777DD"/>
    <w:pPr>
      <w:spacing w:before="100" w:beforeAutospacing="1" w:after="100" w:afterAutospacing="1"/>
      <w:jc w:val="left"/>
    </w:pPr>
    <w:rPr>
      <w:rFonts w:eastAsia="Times New Roman"/>
      <w:szCs w:val="24"/>
      <w:lang w:eastAsia="en-IE"/>
    </w:rPr>
  </w:style>
  <w:style w:type="paragraph" w:styleId="ListParagraph">
    <w:name w:val="List Paragraph"/>
    <w:aliases w:val="1st level - Bullet List Paragraph,List Paragraph1,Lettre d'introduction,Paragrafo elenco,Medium Grid 1 - Accent 21,Dot pt,F5 List Paragraph,No Spacing1,List Paragraph Char Char Char,Indicator Text,Colorful List - Accent 11,Numbered Para 1"/>
    <w:basedOn w:val="Normal"/>
    <w:link w:val="ListParagraphChar"/>
    <w:uiPriority w:val="34"/>
    <w:qFormat/>
    <w:rsid w:val="00A777DD"/>
    <w:pPr>
      <w:spacing w:before="0" w:after="200" w:line="276" w:lineRule="auto"/>
      <w:ind w:left="720"/>
      <w:contextualSpacing/>
      <w:jc w:val="left"/>
    </w:pPr>
    <w:rPr>
      <w:rFonts w:asciiTheme="minorHAnsi" w:hAnsiTheme="minorHAnsi" w:cstheme="minorBidi"/>
      <w:sz w:val="22"/>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A777DD"/>
    <w:pPr>
      <w:spacing w:before="0" w:after="160" w:line="240" w:lineRule="exact"/>
    </w:pPr>
    <w:rPr>
      <w:rFonts w:asciiTheme="minorHAnsi" w:hAnsiTheme="minorHAnsi" w:cstheme="minorBidi"/>
      <w:sz w:val="22"/>
      <w:vertAlign w:val="superscript"/>
    </w:rPr>
  </w:style>
  <w:style w:type="character" w:customStyle="1" w:styleId="ListParagraphChar">
    <w:name w:val="List Paragraph Char"/>
    <w:aliases w:val="1st level - Bullet List Paragraph Char,List Paragraph1 Char,Lettre d'introduction Char,Paragrafo elenco Char,Medium Grid 1 - Accent 21 Char,Dot pt Char,F5 List Paragraph Char,No Spacing1 Char,List Paragraph Char Char Char Char"/>
    <w:basedOn w:val="DefaultParagraphFont"/>
    <w:link w:val="ListParagraph"/>
    <w:uiPriority w:val="34"/>
    <w:qFormat/>
    <w:locked/>
    <w:rsid w:val="00A777DD"/>
    <w:rPr>
      <w:lang w:val="fi-FI"/>
    </w:rPr>
  </w:style>
  <w:style w:type="table" w:styleId="TableGrid">
    <w:name w:val="Table Grid"/>
    <w:basedOn w:val="TableNormal"/>
    <w:uiPriority w:val="39"/>
    <w:rsid w:val="00A777DD"/>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ide">
    <w:name w:val="Conside"/>
    <w:basedOn w:val="Normal"/>
    <w:rsid w:val="00816B0E"/>
    <w:pPr>
      <w:spacing w:line="276" w:lineRule="auto"/>
      <w:ind w:left="360"/>
      <w:contextualSpacing/>
    </w:pPr>
    <w:rPr>
      <w:szCs w:val="24"/>
      <w:lang w:eastAsia="ja-JP"/>
    </w:rPr>
  </w:style>
  <w:style w:type="character" w:styleId="Hyperlink">
    <w:name w:val="Hyperlink"/>
    <w:basedOn w:val="DefaultParagraphFont"/>
    <w:uiPriority w:val="99"/>
    <w:unhideWhenUsed/>
    <w:rsid w:val="001B6961"/>
    <w:rPr>
      <w:color w:val="0000FF" w:themeColor="hyperlink"/>
      <w:u w:val="single"/>
    </w:rPr>
  </w:style>
  <w:style w:type="character" w:styleId="CommentReference">
    <w:name w:val="annotation reference"/>
    <w:basedOn w:val="DefaultParagraphFont"/>
    <w:uiPriority w:val="99"/>
    <w:semiHidden/>
    <w:unhideWhenUsed/>
    <w:rsid w:val="001B6961"/>
    <w:rPr>
      <w:sz w:val="16"/>
      <w:szCs w:val="16"/>
    </w:rPr>
  </w:style>
  <w:style w:type="paragraph" w:styleId="CommentText">
    <w:name w:val="annotation text"/>
    <w:basedOn w:val="Normal"/>
    <w:link w:val="CommentTextChar"/>
    <w:uiPriority w:val="99"/>
    <w:unhideWhenUsed/>
    <w:rsid w:val="001B6961"/>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1B6961"/>
    <w:rPr>
      <w:sz w:val="20"/>
      <w:szCs w:val="20"/>
      <w:lang w:val="fi-FI"/>
    </w:rPr>
  </w:style>
  <w:style w:type="character" w:customStyle="1" w:styleId="Mention1">
    <w:name w:val="Mention1"/>
    <w:basedOn w:val="DefaultParagraphFont"/>
    <w:uiPriority w:val="99"/>
    <w:unhideWhenUsed/>
    <w:rsid w:val="001B6961"/>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510D94"/>
    <w:pPr>
      <w:spacing w:before="120" w:after="120"/>
      <w:jc w:val="both"/>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510D94"/>
    <w:rPr>
      <w:rFonts w:ascii="Times New Roman" w:hAnsi="Times New Roman" w:cs="Times New Roman"/>
      <w:b/>
      <w:bCs/>
      <w:sz w:val="20"/>
      <w:szCs w:val="20"/>
      <w:lang w:val="fi-FI"/>
    </w:rPr>
  </w:style>
  <w:style w:type="paragraph" w:styleId="Revision">
    <w:name w:val="Revision"/>
    <w:hidden/>
    <w:uiPriority w:val="99"/>
    <w:semiHidden/>
    <w:rsid w:val="00D4172F"/>
    <w:pPr>
      <w:spacing w:after="0" w:line="240" w:lineRule="auto"/>
    </w:pPr>
    <w:rPr>
      <w:rFonts w:ascii="Times New Roman" w:hAnsi="Times New Roman" w:cs="Times New Roman"/>
      <w:sz w:val="24"/>
    </w:rPr>
  </w:style>
  <w:style w:type="paragraph" w:styleId="ListBullet">
    <w:name w:val="List Bullet"/>
    <w:basedOn w:val="Normal"/>
    <w:uiPriority w:val="99"/>
    <w:semiHidden/>
    <w:unhideWhenUsed/>
    <w:rsid w:val="002D4734"/>
    <w:pPr>
      <w:numPr>
        <w:numId w:val="1"/>
      </w:numPr>
      <w:contextualSpacing/>
    </w:pPr>
  </w:style>
  <w:style w:type="paragraph" w:styleId="ListBullet2">
    <w:name w:val="List Bullet 2"/>
    <w:basedOn w:val="Normal"/>
    <w:uiPriority w:val="99"/>
    <w:semiHidden/>
    <w:unhideWhenUsed/>
    <w:rsid w:val="002D4734"/>
    <w:pPr>
      <w:numPr>
        <w:numId w:val="2"/>
      </w:numPr>
      <w:contextualSpacing/>
    </w:pPr>
  </w:style>
  <w:style w:type="paragraph" w:styleId="ListBullet3">
    <w:name w:val="List Bullet 3"/>
    <w:basedOn w:val="Normal"/>
    <w:uiPriority w:val="99"/>
    <w:semiHidden/>
    <w:unhideWhenUsed/>
    <w:rsid w:val="002D4734"/>
    <w:pPr>
      <w:numPr>
        <w:numId w:val="3"/>
      </w:numPr>
      <w:contextualSpacing/>
    </w:pPr>
  </w:style>
  <w:style w:type="paragraph" w:styleId="ListBullet4">
    <w:name w:val="List Bullet 4"/>
    <w:basedOn w:val="Normal"/>
    <w:uiPriority w:val="99"/>
    <w:semiHidden/>
    <w:unhideWhenUsed/>
    <w:rsid w:val="002D4734"/>
    <w:pPr>
      <w:numPr>
        <w:numId w:val="4"/>
      </w:numPr>
      <w:contextualSpacing/>
    </w:pPr>
  </w:style>
  <w:style w:type="character" w:customStyle="1" w:styleId="normaltextrun">
    <w:name w:val="normaltextrun"/>
    <w:basedOn w:val="DefaultParagraphFont"/>
    <w:rsid w:val="00B11E5A"/>
  </w:style>
  <w:style w:type="paragraph" w:customStyle="1" w:styleId="oj-doc-ti">
    <w:name w:val="oj-doc-ti"/>
    <w:basedOn w:val="Normal"/>
    <w:rsid w:val="009D5F26"/>
    <w:pPr>
      <w:spacing w:before="100" w:beforeAutospacing="1" w:after="100" w:afterAutospacing="1"/>
      <w:jc w:val="left"/>
    </w:pPr>
    <w:rPr>
      <w:rFonts w:eastAsia="Times New Roman"/>
      <w:szCs w:val="24"/>
      <w:lang w:eastAsia="en-IE"/>
    </w:rPr>
  </w:style>
  <w:style w:type="character" w:customStyle="1" w:styleId="UnresolvedMention1">
    <w:name w:val="Unresolved Mention1"/>
    <w:basedOn w:val="DefaultParagraphFont"/>
    <w:uiPriority w:val="99"/>
    <w:semiHidden/>
    <w:unhideWhenUsed/>
    <w:rsid w:val="004F32B8"/>
    <w:rPr>
      <w:color w:val="605E5C"/>
      <w:shd w:val="clear" w:color="auto" w:fill="E1DFDD"/>
    </w:rPr>
  </w:style>
  <w:style w:type="character" w:customStyle="1" w:styleId="UnresolvedMention">
    <w:name w:val="Unresolved Mention"/>
    <w:basedOn w:val="DefaultParagraphFont"/>
    <w:uiPriority w:val="99"/>
    <w:semiHidden/>
    <w:unhideWhenUsed/>
    <w:rsid w:val="00B31662"/>
    <w:rPr>
      <w:color w:val="605E5C"/>
      <w:shd w:val="clear" w:color="auto" w:fill="E1DFDD"/>
    </w:rPr>
  </w:style>
  <w:style w:type="character" w:customStyle="1" w:styleId="HeaderChar">
    <w:name w:val="Header Char"/>
    <w:basedOn w:val="DefaultParagraphFont"/>
    <w:link w:val="Header"/>
    <w:uiPriority w:val="99"/>
    <w:rsid w:val="00DA4A2F"/>
    <w:rPr>
      <w:rFonts w:ascii="Times New Roman" w:hAnsi="Times New Roman" w:cs="Times New Roman"/>
      <w:sz w:val="24"/>
      <w:lang w:val="fi-FI"/>
    </w:rPr>
  </w:style>
  <w:style w:type="character" w:customStyle="1" w:styleId="FooterChar">
    <w:name w:val="Footer Char"/>
    <w:basedOn w:val="DefaultParagraphFont"/>
    <w:link w:val="Footer"/>
    <w:uiPriority w:val="99"/>
    <w:rsid w:val="00DA4A2F"/>
    <w:rPr>
      <w:rFonts w:ascii="Times New Roman" w:hAnsi="Times New Roman" w:cs="Times New Roman"/>
      <w:sz w:val="24"/>
      <w:lang w:val="fi-F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FootnotesymbolCarZchn"/>
    <w:uiPriority w:val="99"/>
    <w:semiHidden/>
    <w:unhideWhenUsed/>
    <w:rPr>
      <w:shd w:val="clear" w:color="auto" w:fill="auto"/>
      <w:vertAlign w:val="superscript"/>
    </w:rPr>
  </w:style>
  <w:style w:type="paragraph" w:customStyle="1" w:styleId="HeaderSensitivity">
    <w:name w:val="Header Sensitivity"/>
    <w:basedOn w:val="Normal"/>
    <w:rsid w:val="00DA4A2F"/>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DA4A2F"/>
    <w:pPr>
      <w:spacing w:before="0"/>
      <w:jc w:val="right"/>
    </w:pPr>
    <w:rPr>
      <w:sz w:val="28"/>
    </w:rPr>
  </w:style>
  <w:style w:type="paragraph" w:customStyle="1" w:styleId="FooterSensitivity">
    <w:name w:val="Footer Sensitivity"/>
    <w:basedOn w:val="Normal"/>
    <w:rsid w:val="00DA4A2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Tiret5">
    <w:name w:val="Tiret 5"/>
    <w:basedOn w:val="Point5"/>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NumPar5">
    <w:name w:val="NumPar 5"/>
    <w:basedOn w:val="Normal"/>
    <w:next w:val="Text2"/>
    <w:pPr>
      <w:numPr>
        <w:ilvl w:val="4"/>
        <w:numId w:val="29"/>
      </w:numPr>
    </w:pPr>
  </w:style>
  <w:style w:type="paragraph" w:customStyle="1" w:styleId="NumPar6">
    <w:name w:val="NumPar 6"/>
    <w:basedOn w:val="Normal"/>
    <w:next w:val="Text2"/>
    <w:pPr>
      <w:numPr>
        <w:ilvl w:val="5"/>
        <w:numId w:val="29"/>
      </w:numPr>
    </w:pPr>
  </w:style>
  <w:style w:type="paragraph" w:customStyle="1" w:styleId="NumPar7">
    <w:name w:val="NumPar 7"/>
    <w:basedOn w:val="Normal"/>
    <w:next w:val="Text2"/>
    <w:pPr>
      <w:numPr>
        <w:ilvl w:val="6"/>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DA4A2F"/>
    <w:pPr>
      <w:tabs>
        <w:tab w:val="center" w:pos="4535"/>
        <w:tab w:val="right" w:pos="9071"/>
      </w:tabs>
      <w:spacing w:before="0"/>
    </w:pPr>
  </w:style>
  <w:style w:type="paragraph" w:customStyle="1" w:styleId="HeaderLandscape">
    <w:name w:val="HeaderLandscape"/>
    <w:basedOn w:val="Normal"/>
    <w:rsid w:val="00DA4A2F"/>
    <w:pPr>
      <w:tabs>
        <w:tab w:val="center" w:pos="7285"/>
        <w:tab w:val="right" w:pos="14003"/>
      </w:tabs>
      <w:spacing w:before="0"/>
    </w:pPr>
  </w:style>
  <w:style w:type="paragraph" w:styleId="Footer">
    <w:name w:val="footer"/>
    <w:basedOn w:val="Normal"/>
    <w:link w:val="FooterChar"/>
    <w:uiPriority w:val="99"/>
    <w:unhideWhenUsed/>
    <w:rsid w:val="00DA4A2F"/>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DA4A2F"/>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0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dir/2024/1265/oj" TargetMode="External"/><Relationship Id="rId2" Type="http://schemas.openxmlformats.org/officeDocument/2006/relationships/hyperlink" Target="http://data.europa.eu/eli/reg/2024/1264/oj" TargetMode="External"/><Relationship Id="rId1" Type="http://schemas.openxmlformats.org/officeDocument/2006/relationships/hyperlink" Target="http://data.europa.eu/eli/reg/2024/1263/oj" TargetMode="External"/><Relationship Id="rId6" Type="http://schemas.openxmlformats.org/officeDocument/2006/relationships/hyperlink" Target="https://economy-finance.ec.europa.eu/economic-and-fiscal-governance/national-medium-term-fiscal-structural-plans_en" TargetMode="External"/><Relationship Id="rId5" Type="http://schemas.openxmlformats.org/officeDocument/2006/relationships/hyperlink" Target="https://economy-finance.ec.europa.eu/publications/2024-ageing-report-economic-and-budgetary-projections-eu-member-states-2022-2070_en" TargetMode="External"/><Relationship Id="rId4" Type="http://schemas.openxmlformats.org/officeDocument/2006/relationships/hyperlink" Target="https://economy-finance.ec.europa.eu/publications/debt-sustainability-monitor-2023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248cd52f-b46b-4611-a611-1f804cc55ba9" xsi:nil="true"/>
    <Doctype xmlns="248cd52f-b46b-4611-a611-1f804cc55b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6BF9CE7B864144AB9135903AF2016F" ma:contentTypeVersion="8" ma:contentTypeDescription="Create a new document." ma:contentTypeScope="" ma:versionID="fa9a5521ca02e2a40499fd685cb0c97c">
  <xsd:schema xmlns:xsd="http://www.w3.org/2001/XMLSchema" xmlns:xs="http://www.w3.org/2001/XMLSchema" xmlns:p="http://schemas.microsoft.com/office/2006/metadata/properties" xmlns:ns2="248cd52f-b46b-4611-a611-1f804cc55ba9" xmlns:ns3="ee00aed3-c832-4f67-975b-fd0d79c6c939" targetNamespace="http://schemas.microsoft.com/office/2006/metadata/properties" ma:root="true" ma:fieldsID="4177f16b53c6add2b9c882363fa6a991" ns2:_="" ns3:_="">
    <xsd:import namespace="248cd52f-b46b-4611-a611-1f804cc55ba9"/>
    <xsd:import namespace="ee00aed3-c832-4f67-975b-fd0d79c6c9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tatus" minOccurs="0"/>
                <xsd:element ref="ns3:SharedWithUsers" minOccurs="0"/>
                <xsd:element ref="ns3:SharedWithDetail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cd52f-b46b-4611-a611-1f804cc55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2" nillable="true" ma:displayName="Status" ma:format="Dropdown" ma:internalName="Status">
      <xsd:simpleType>
        <xsd:restriction base="dms:Choice">
          <xsd:enumeration value="Draft"/>
          <xsd:enumeration value="Info"/>
          <xsd:enumeration value="Pending CAB approval"/>
          <xsd:enumeration value="Final"/>
        </xsd:restriction>
      </xsd:simpleType>
    </xsd:element>
    <xsd:element name="Doctype" ma:index="15" nillable="true" ma:displayName="Doc type" ma:format="Dropdown" ma:internalName="Doctype">
      <xsd:simpleType>
        <xsd:restriction base="dms:Choice">
          <xsd:enumeration value="Template"/>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ee00aed3-c832-4f67-975b-fd0d79c6c93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49D5C-9C27-4316-9985-EA1EEE678809}">
  <ds:schemaRefs>
    <ds:schemaRef ds:uri="ee00aed3-c832-4f67-975b-fd0d79c6c939"/>
    <ds:schemaRef ds:uri="http://schemas.microsoft.com/office/infopath/2007/PartnerControls"/>
    <ds:schemaRef ds:uri="http://purl.org/dc/terms/"/>
    <ds:schemaRef ds:uri="http://purl.org/dc/dcmitype/"/>
    <ds:schemaRef ds:uri="http://schemas.openxmlformats.org/package/2006/metadata/core-properties"/>
    <ds:schemaRef ds:uri="http://www.w3.org/XML/1998/namespace"/>
    <ds:schemaRef ds:uri="http://schemas.microsoft.com/office/2006/documentManagement/types"/>
    <ds:schemaRef ds:uri="http://purl.org/dc/elements/1.1/"/>
    <ds:schemaRef ds:uri="248cd52f-b46b-4611-a611-1f804cc55ba9"/>
    <ds:schemaRef ds:uri="http://schemas.microsoft.com/office/2006/metadata/properties"/>
  </ds:schemaRefs>
</ds:datastoreItem>
</file>

<file path=customXml/itemProps2.xml><?xml version="1.0" encoding="utf-8"?>
<ds:datastoreItem xmlns:ds="http://schemas.openxmlformats.org/officeDocument/2006/customXml" ds:itemID="{1A48BA55-A351-44FA-9BA5-BEC8F728D168}">
  <ds:schemaRefs>
    <ds:schemaRef ds:uri="http://schemas.microsoft.com/sharepoint/v3/contenttype/forms"/>
  </ds:schemaRefs>
</ds:datastoreItem>
</file>

<file path=customXml/itemProps3.xml><?xml version="1.0" encoding="utf-8"?>
<ds:datastoreItem xmlns:ds="http://schemas.openxmlformats.org/officeDocument/2006/customXml" ds:itemID="{177C708C-BCD0-4182-81EC-4F492D0C0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8cd52f-b46b-4611-a611-1f804cc55ba9"/>
    <ds:schemaRef ds:uri="ee00aed3-c832-4f67-975b-fd0d79c6c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C06950-1FB4-4D96-827C-896EFFC27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13</TotalTime>
  <Pages>12</Pages>
  <Words>4477</Words>
  <Characters>25523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29941</CharactersWithSpaces>
  <SharedDoc>false</SharedDoc>
  <HLinks>
    <vt:vector size="36" baseType="variant">
      <vt:variant>
        <vt:i4>1704043</vt:i4>
      </vt:variant>
      <vt:variant>
        <vt:i4>15</vt:i4>
      </vt:variant>
      <vt:variant>
        <vt:i4>0</vt:i4>
      </vt:variant>
      <vt:variant>
        <vt:i4>5</vt:i4>
      </vt:variant>
      <vt:variant>
        <vt:lpwstr>https://economy-finance.ec.europa.eu/economic-and-fiscal-governance/national-medium-term-fiscal-structural-plans_en</vt:lpwstr>
      </vt:variant>
      <vt:variant>
        <vt:lpwstr>ireland</vt:lpwstr>
      </vt:variant>
      <vt:variant>
        <vt:i4>4522110</vt:i4>
      </vt:variant>
      <vt:variant>
        <vt:i4>12</vt:i4>
      </vt:variant>
      <vt:variant>
        <vt:i4>0</vt:i4>
      </vt:variant>
      <vt:variant>
        <vt:i4>5</vt:i4>
      </vt:variant>
      <vt:variant>
        <vt:lpwstr>https://economy-finance.ec.europa.eu/publications/2024-ageing-report-economic-and-budgetary-projections-eu-member-states-2022-2070_en</vt:lpwstr>
      </vt:variant>
      <vt:variant>
        <vt:lpwstr/>
      </vt:variant>
      <vt:variant>
        <vt:i4>2031670</vt:i4>
      </vt:variant>
      <vt:variant>
        <vt:i4>9</vt:i4>
      </vt:variant>
      <vt:variant>
        <vt:i4>0</vt:i4>
      </vt:variant>
      <vt:variant>
        <vt:i4>5</vt:i4>
      </vt:variant>
      <vt:variant>
        <vt:lpwstr>https://economy-finance.ec.europa.eu/publications/debt-sustainability-monitor-2023_en</vt:lpwstr>
      </vt:variant>
      <vt:variant>
        <vt:lpwstr/>
      </vt:variant>
      <vt:variant>
        <vt:i4>6750312</vt:i4>
      </vt:variant>
      <vt:variant>
        <vt:i4>6</vt:i4>
      </vt:variant>
      <vt:variant>
        <vt:i4>0</vt:i4>
      </vt:variant>
      <vt:variant>
        <vt:i4>5</vt:i4>
      </vt:variant>
      <vt:variant>
        <vt:lpwstr>http://data.europa.eu/eli/dir/2024/1265/oj</vt:lpwstr>
      </vt:variant>
      <vt:variant>
        <vt:lpwstr/>
      </vt:variant>
      <vt:variant>
        <vt:i4>7012458</vt:i4>
      </vt:variant>
      <vt:variant>
        <vt:i4>3</vt:i4>
      </vt:variant>
      <vt:variant>
        <vt:i4>0</vt:i4>
      </vt:variant>
      <vt:variant>
        <vt:i4>5</vt:i4>
      </vt:variant>
      <vt:variant>
        <vt:lpwstr>http://data.europa.eu/eli/reg/2024/1264/oj</vt:lpwstr>
      </vt:variant>
      <vt:variant>
        <vt:lpwstr/>
      </vt:variant>
      <vt:variant>
        <vt:i4>7012461</vt:i4>
      </vt:variant>
      <vt:variant>
        <vt:i4>0</vt:i4>
      </vt:variant>
      <vt:variant>
        <vt:i4>0</vt:i4>
      </vt:variant>
      <vt:variant>
        <vt:i4>5</vt:i4>
      </vt:variant>
      <vt:variant>
        <vt:lpwstr>http://data.europa.eu/eli/reg/2024/1263/oj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419</cp:revision>
  <cp:lastPrinted>2024-11-19T03:53:00Z</cp:lastPrinted>
  <dcterms:created xsi:type="dcterms:W3CDTF">2024-11-21T15:10:00Z</dcterms:created>
  <dcterms:modified xsi:type="dcterms:W3CDTF">2025-01-07T14:27:00Z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COM/PL/ORG/NOEEA</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9.0, Build 20230317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SG-002</vt:lpwstr>
  </property>
  <property fmtid="{D5CDD505-2E9C-101B-9397-08002B2CF9AE}" pid="10" name="MSIP_Label_6bd9ddd1-4d20-43f6-abfa-fc3c07406f94_Enabled">
    <vt:lpwstr>true</vt:lpwstr>
  </property>
  <property fmtid="{D5CDD505-2E9C-101B-9397-08002B2CF9AE}" pid="11" name="MSIP_Label_6bd9ddd1-4d20-43f6-abfa-fc3c07406f94_SetDate">
    <vt:lpwstr>2024-10-18T13:39:54Z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aa8ba994-90a6-4b9e-8bb4-5d53fd416a54</vt:lpwstr>
  </property>
  <property fmtid="{D5CDD505-2E9C-101B-9397-08002B2CF9AE}" pid="16" name="MSIP_Label_6bd9ddd1-4d20-43f6-abfa-fc3c07406f94_ContentBits">
    <vt:lpwstr>0</vt:lpwstr>
  </property>
  <property fmtid="{D5CDD505-2E9C-101B-9397-08002B2CF9AE}" pid="17" name="ContentTypeId">
    <vt:lpwstr>0x010100756BF9CE7B864144AB9135903AF2016F</vt:lpwstr>
  </property>
  <property fmtid="{D5CDD505-2E9C-101B-9397-08002B2CF9AE}" pid="18" name="DQCStatus">
    <vt:lpwstr>Green (DQC version 03)</vt:lpwstr>
  </property>
</Properties>
</file>