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2AD23" w14:textId="387B2AAA" w:rsidR="00AF3F52" w:rsidRPr="00EB0C3B" w:rsidRDefault="00FB5EA5" w:rsidP="00FB5EA5">
      <w:pPr>
        <w:pStyle w:val="Pagedecouverture"/>
        <w:rPr>
          <w:noProof/>
        </w:rPr>
      </w:pPr>
      <w:r>
        <w:rPr>
          <w:noProof/>
        </w:rPr>
        <w:pict w14:anchorId="4FBB4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FE7EED1-561A-444A-8163-6A0BE1B74539" style="width:455.25pt;height:328.5pt">
            <v:imagedata r:id="rId11" o:title=""/>
          </v:shape>
        </w:pict>
      </w:r>
    </w:p>
    <w:p w14:paraId="3C58F719" w14:textId="77777777" w:rsidR="00D12304" w:rsidRPr="00EB0C3B" w:rsidRDefault="00D12304" w:rsidP="00D12304">
      <w:pPr>
        <w:pStyle w:val="Pagedecouverture"/>
        <w:rPr>
          <w:noProof/>
        </w:rPr>
        <w:sectPr w:rsidR="00D12304" w:rsidRPr="00EB0C3B" w:rsidSect="00FB5EA5">
          <w:footerReference w:type="even" r:id="rId12"/>
          <w:footerReference w:type="default" r:id="rId13"/>
          <w:pgSz w:w="11907" w:h="16839"/>
          <w:pgMar w:top="1134" w:right="1417" w:bottom="1134" w:left="1417" w:header="709" w:footer="709" w:gutter="0"/>
          <w:pgNumType w:start="0"/>
          <w:cols w:space="720"/>
          <w:docGrid w:linePitch="360"/>
        </w:sectPr>
      </w:pPr>
    </w:p>
    <w:p w14:paraId="3C0C5CB0" w14:textId="7681E11C" w:rsidR="00DF7960" w:rsidRPr="00EB0C3B" w:rsidRDefault="00EB0C3B" w:rsidP="00EB0C3B">
      <w:pPr>
        <w:pStyle w:val="Statut"/>
        <w:rPr>
          <w:noProof/>
        </w:rPr>
      </w:pPr>
      <w:bookmarkStart w:id="0" w:name="_GoBack"/>
      <w:bookmarkEnd w:id="0"/>
      <w:r w:rsidRPr="00EB0C3B">
        <w:rPr>
          <w:noProof/>
        </w:rPr>
        <w:lastRenderedPageBreak/>
        <w:t>Doporučení pro</w:t>
      </w:r>
    </w:p>
    <w:p w14:paraId="414CA746" w14:textId="4D58768D" w:rsidR="00AF3F52" w:rsidRPr="00EB0C3B" w:rsidRDefault="00EB0C3B" w:rsidP="00EB0C3B">
      <w:pPr>
        <w:pStyle w:val="Typedudocument"/>
        <w:rPr>
          <w:noProof/>
        </w:rPr>
      </w:pPr>
      <w:r w:rsidRPr="00EB0C3B">
        <w:rPr>
          <w:noProof/>
        </w:rPr>
        <w:t>DOPORUČENÍ RADY,</w:t>
      </w:r>
    </w:p>
    <w:p w14:paraId="34BA1261" w14:textId="15308D01" w:rsidR="00D12304" w:rsidRPr="00EB0C3B" w:rsidRDefault="00EB0C3B" w:rsidP="00EB0C3B">
      <w:pPr>
        <w:pStyle w:val="Titreobjet"/>
        <w:rPr>
          <w:rStyle w:val="normaltextrun"/>
          <w:b w:val="0"/>
          <w:bCs/>
          <w:noProof/>
          <w:color w:val="000000"/>
          <w:shd w:val="clear" w:color="auto" w:fill="FFFFFF"/>
        </w:rPr>
      </w:pPr>
      <w:r w:rsidRPr="00EB0C3B">
        <w:rPr>
          <w:noProof/>
        </w:rPr>
        <w:t>kterým se schvaluje národní střednědobý fiskálně-strukturální plán Slovenska</w:t>
      </w:r>
    </w:p>
    <w:p w14:paraId="615FE6EE" w14:textId="77777777" w:rsidR="00C27FEC" w:rsidRPr="00EB0C3B" w:rsidRDefault="00C27FEC" w:rsidP="00DD7610">
      <w:pPr>
        <w:rPr>
          <w:rFonts w:eastAsia="Times New Roman"/>
          <w:noProof/>
        </w:rPr>
      </w:pPr>
      <w:r w:rsidRPr="00EB0C3B">
        <w:rPr>
          <w:noProof/>
        </w:rPr>
        <w:t xml:space="preserve">RADA EVROPSKÉ UNIE, </w:t>
      </w:r>
    </w:p>
    <w:p w14:paraId="372B348B" w14:textId="77777777" w:rsidR="00C27FEC" w:rsidRPr="00EB0C3B" w:rsidRDefault="00C27FEC" w:rsidP="00DD7610">
      <w:pPr>
        <w:rPr>
          <w:rFonts w:eastAsia="Times New Roman"/>
          <w:noProof/>
        </w:rPr>
      </w:pPr>
      <w:r w:rsidRPr="00EB0C3B">
        <w:rPr>
          <w:noProof/>
        </w:rPr>
        <w:t xml:space="preserve">s ohledem na Smlouvu o fungování Evropské unie, a zejména na článek 121 této smlouvy, </w:t>
      </w:r>
    </w:p>
    <w:p w14:paraId="0F8B8A8C" w14:textId="77777777" w:rsidR="00C27FEC" w:rsidRPr="00EB0C3B" w:rsidRDefault="00C27FEC" w:rsidP="00DD7610">
      <w:pPr>
        <w:rPr>
          <w:rFonts w:eastAsia="Times New Roman"/>
          <w:noProof/>
        </w:rPr>
      </w:pPr>
      <w:r w:rsidRPr="00EB0C3B">
        <w:rPr>
          <w:noProof/>
        </w:rPr>
        <w:t xml:space="preserve">s ohledem na nařízení (EU) 2024/1263, a zejména na článek 17 uvedeného nařízení, </w:t>
      </w:r>
    </w:p>
    <w:p w14:paraId="774ECC5C" w14:textId="77777777" w:rsidR="00C27FEC" w:rsidRPr="00EB0C3B" w:rsidRDefault="00C27FEC" w:rsidP="00DD7610">
      <w:pPr>
        <w:rPr>
          <w:rFonts w:eastAsia="Times New Roman"/>
          <w:noProof/>
        </w:rPr>
      </w:pPr>
      <w:r w:rsidRPr="00EB0C3B">
        <w:rPr>
          <w:noProof/>
        </w:rPr>
        <w:t xml:space="preserve">s ohledem na nařízení (EU) č. 1176/2011, a zejména na čl. 8 odst. 1 uvedeného nařízení, </w:t>
      </w:r>
    </w:p>
    <w:p w14:paraId="2502EBC5" w14:textId="77777777" w:rsidR="00C27FEC" w:rsidRPr="00EB0C3B" w:rsidRDefault="00C27FEC" w:rsidP="00DD7610">
      <w:pPr>
        <w:rPr>
          <w:rFonts w:eastAsia="Times New Roman"/>
          <w:noProof/>
        </w:rPr>
      </w:pPr>
      <w:r w:rsidRPr="00EB0C3B">
        <w:rPr>
          <w:noProof/>
        </w:rPr>
        <w:t xml:space="preserve">s ohledem na doporučení Komise, </w:t>
      </w:r>
    </w:p>
    <w:p w14:paraId="7C1BB244" w14:textId="77777777" w:rsidR="00C27FEC" w:rsidRPr="00EB0C3B" w:rsidRDefault="00C27FEC" w:rsidP="00DD7610">
      <w:pPr>
        <w:rPr>
          <w:rFonts w:eastAsia="Times New Roman"/>
          <w:noProof/>
        </w:rPr>
      </w:pPr>
      <w:r w:rsidRPr="00EB0C3B">
        <w:rPr>
          <w:noProof/>
        </w:rPr>
        <w:t xml:space="preserve">vzhledem k těmto důvodům: </w:t>
      </w:r>
    </w:p>
    <w:p w14:paraId="4D92C267" w14:textId="77777777" w:rsidR="00DB0693" w:rsidRPr="00EB0C3B" w:rsidRDefault="00DB0693" w:rsidP="00DD7610">
      <w:pPr>
        <w:rPr>
          <w:rFonts w:eastAsia="Calibri"/>
          <w:b/>
          <w:bCs/>
          <w:noProof/>
          <w:szCs w:val="24"/>
        </w:rPr>
      </w:pPr>
      <w:r w:rsidRPr="00EB0C3B">
        <w:rPr>
          <w:b/>
          <w:noProof/>
        </w:rPr>
        <w:t>OBECNÉ POZNÁMKY</w:t>
      </w:r>
    </w:p>
    <w:p w14:paraId="1238D23F" w14:textId="77777777" w:rsidR="00F213E1" w:rsidRPr="00EB0C3B" w:rsidRDefault="00C25840" w:rsidP="00221142">
      <w:pPr>
        <w:pStyle w:val="Point0"/>
        <w:rPr>
          <w:noProof/>
        </w:rPr>
      </w:pPr>
      <w:r w:rsidRPr="00EB0C3B">
        <w:rPr>
          <w:noProof/>
        </w:rPr>
        <w:t>Dne 30. dubna 2024 vstoupila v platnost reforma rámce EU pro správu ekonomických záležitostí. Základními prvky reformovaného rámce EU pro správu ekonomických záležitostí jsou nařízení Evropského parlamentu a Rady (EU) 2024/1263 o účinné koordinaci hospodářských politik a mnohostranném rozpočtovém dohledu</w:t>
      </w:r>
      <w:r w:rsidR="005B2EFB" w:rsidRPr="00EB0C3B">
        <w:rPr>
          <w:rStyle w:val="FootnoteReference"/>
          <w:rFonts w:eastAsia="Times New Roman"/>
          <w:noProof/>
          <w:szCs w:val="24"/>
        </w:rPr>
        <w:footnoteReference w:id="2"/>
      </w:r>
      <w:r w:rsidRPr="00EB0C3B">
        <w:rPr>
          <w:noProof/>
        </w:rPr>
        <w:t xml:space="preserve"> spolu s pozměněným nařízením (ES) č. 1467/97 o postupu při nadměrném schodku</w:t>
      </w:r>
      <w:r w:rsidR="00C255E1" w:rsidRPr="00EB0C3B">
        <w:rPr>
          <w:rStyle w:val="FootnoteReference"/>
          <w:rFonts w:eastAsia="Times New Roman"/>
          <w:noProof/>
          <w:szCs w:val="24"/>
        </w:rPr>
        <w:footnoteReference w:id="3"/>
      </w:r>
      <w:r w:rsidRPr="00EB0C3B">
        <w:rPr>
          <w:noProof/>
        </w:rPr>
        <w:t xml:space="preserve"> a pozměněnou směrnicí Rady 2011/85/EU o rozpočtových rámcích členských států</w:t>
      </w:r>
      <w:r w:rsidR="00BE3EE8" w:rsidRPr="00EB0C3B">
        <w:rPr>
          <w:rStyle w:val="FootnoteReference"/>
          <w:rFonts w:eastAsia="Times New Roman"/>
          <w:noProof/>
          <w:szCs w:val="24"/>
        </w:rPr>
        <w:footnoteReference w:id="4"/>
      </w:r>
      <w:r w:rsidRPr="00EB0C3B">
        <w:rPr>
          <w:noProof/>
        </w:rPr>
        <w:t xml:space="preserve">. Cílem rámce je zajistit udržitelnost veřejného dluhu a udržitelný a inkluzivní růst prostřednictvím reforem a investic. Prosazuje odpovědnost členských států, zaměřuje se na střednědobý horizont a stanoví rovněž účinnější a soudržnější vymáhání pravidel. </w:t>
      </w:r>
    </w:p>
    <w:p w14:paraId="28E672C9" w14:textId="77777777" w:rsidR="00DB0693" w:rsidRPr="00EB0C3B" w:rsidRDefault="00C25840" w:rsidP="00221142">
      <w:pPr>
        <w:pStyle w:val="Point0"/>
        <w:rPr>
          <w:rFonts w:eastAsia="Times New Roman"/>
          <w:noProof/>
        </w:rPr>
      </w:pPr>
      <w:r w:rsidRPr="00EB0C3B">
        <w:rPr>
          <w:noProof/>
        </w:rPr>
        <w:t>Ústředním bodem nového rámce správy ekonomických záležitostí jsou národní střednědobé fiskálně-strukturální plány, které členské státy předkládají Radě a Komisi. Tyto plány mají plnit dva cíle: i) zajistit, aby byl do konce období korekce veřejný dluh uveden na věrohodně sestupnou trajektorii nebo zůstal na obezřetné úrovni a aby byl schodek veřejných financí snížen pod referenční hodnotu 3 % HDP a pod touto hodnotou ve střednědobém horizontu setrval, a ii) zajistit realizaci reforem a investic, které reagují na hlavní výzvy zjištěné v rámci evropského semestru a řeší společné priority EU. Za tímto účelem má každý plán obsahovat střednědobý závazek týkající se dráhy čistých výdajů</w:t>
      </w:r>
      <w:r w:rsidR="00CB3745" w:rsidRPr="00EB0C3B">
        <w:rPr>
          <w:rStyle w:val="FootnoteReference"/>
          <w:noProof/>
          <w:szCs w:val="24"/>
        </w:rPr>
        <w:footnoteReference w:id="5"/>
      </w:r>
      <w:r w:rsidRPr="00EB0C3B">
        <w:rPr>
          <w:noProof/>
        </w:rPr>
        <w:t>, jež účinně stanoví rozpočtové omezení po dobu trvání plánu, který se vztahuje na období čtyř nebo pěti let (v závislosti na řádné délce volebního období v členském státě). Kromě toho má plán vysvětlit, jakým způsobem členský stát zajistí realizaci reforem a investic reagujících na hlavní výzvy zjištěné v rámci evropského semestru, zejména v doporučeních pro jednotlivé země (včetně případných doporučení v souvislosti s postupem při makroekonomické nerovnováze (PMN)), a jakým způsobem bude členský stát řešit společné priority Unie. Období fiskální korekce představuje období čtyř let, které může být prodlouženo až o tři roky, pokud se členský stát zaváže provést soubor relevantních reforem a investic, který splňuje kritéria stanovená v nařízení (EU) 2024/1263.</w:t>
      </w:r>
    </w:p>
    <w:p w14:paraId="2BCE4FD4" w14:textId="77777777" w:rsidR="007952DA" w:rsidRPr="00EB0C3B" w:rsidRDefault="00011084" w:rsidP="00221142">
      <w:pPr>
        <w:pStyle w:val="Point0"/>
        <w:rPr>
          <w:noProof/>
        </w:rPr>
      </w:pPr>
      <w:r w:rsidRPr="00EB0C3B">
        <w:rPr>
          <w:noProof/>
        </w:rPr>
        <w:t>Po předložení plánu Komise posoudí, zda plán splňuje požadavky nařízení (EU) 2024/1263.</w:t>
      </w:r>
    </w:p>
    <w:p w14:paraId="24D94472" w14:textId="77777777" w:rsidR="00DB0693" w:rsidRPr="00EB0C3B" w:rsidRDefault="00011084" w:rsidP="00221142">
      <w:pPr>
        <w:pStyle w:val="Point0"/>
        <w:rPr>
          <w:noProof/>
        </w:rPr>
      </w:pPr>
      <w:r w:rsidRPr="00EB0C3B">
        <w:rPr>
          <w:noProof/>
        </w:rPr>
        <w:t>Na doporučení Komise má pak Rada přijmout doporučení, kterým stanoví dráhu čistých výdajů dotčeného členského státu a v příslušném případě schválí soubor reformních a investičních závazků, které jsou podkladem pro prodloužení období fiskální korekce. </w:t>
      </w:r>
    </w:p>
    <w:p w14:paraId="740D7664" w14:textId="77777777" w:rsidR="007952DA" w:rsidRPr="00EB0C3B" w:rsidRDefault="00011084" w:rsidP="00DD7610">
      <w:pPr>
        <w:textAlignment w:val="baseline"/>
        <w:rPr>
          <w:rFonts w:eastAsia="Times New Roman"/>
          <w:noProof/>
        </w:rPr>
      </w:pPr>
      <w:r w:rsidRPr="00EB0C3B">
        <w:rPr>
          <w:b/>
          <w:bCs/>
          <w:noProof/>
        </w:rPr>
        <w:t>PŘIPOMÍNKY K NÁRODNÍMU STŘEDNĚDOBÉMU FISKÁLNĚ-STRUKTURÁLNÍMU PLÁNU SLOVENSKA</w:t>
      </w:r>
    </w:p>
    <w:p w14:paraId="4383D895" w14:textId="77777777" w:rsidR="00F14048" w:rsidRPr="00EB0C3B" w:rsidRDefault="00011084" w:rsidP="00221142">
      <w:pPr>
        <w:pStyle w:val="Point0"/>
        <w:rPr>
          <w:noProof/>
        </w:rPr>
      </w:pPr>
      <w:r w:rsidRPr="00EB0C3B">
        <w:rPr>
          <w:noProof/>
        </w:rPr>
        <w:t>Dne 15. října 2024 předložilo Slovensko Radě a Komisi svůj národní střednědobý fiskálně-strukturální plán. Plán byl předložen po prodloužení lhůty stanovené v článku 36 nařízení (EU) 2024/1263, které bylo dohodnuto s Komisí s ohledem na důvody uvedené Slovenskem.</w:t>
      </w:r>
    </w:p>
    <w:p w14:paraId="3418A884" w14:textId="77777777" w:rsidR="007952DA" w:rsidRPr="00EB0C3B" w:rsidRDefault="00BC5DAD" w:rsidP="00DD7610">
      <w:pPr>
        <w:textAlignment w:val="baseline"/>
        <w:rPr>
          <w:rFonts w:eastAsia="Times New Roman"/>
          <w:noProof/>
        </w:rPr>
      </w:pPr>
      <w:r w:rsidRPr="00EB0C3B">
        <w:rPr>
          <w:b/>
          <w:noProof/>
        </w:rPr>
        <w:t>Proces před předložením plánu</w:t>
      </w:r>
    </w:p>
    <w:p w14:paraId="3105A85F" w14:textId="77777777" w:rsidR="00011084" w:rsidRPr="00EB0C3B" w:rsidRDefault="00011084" w:rsidP="00221142">
      <w:pPr>
        <w:pStyle w:val="Point0"/>
        <w:rPr>
          <w:noProof/>
        </w:rPr>
      </w:pPr>
      <w:r w:rsidRPr="00EB0C3B">
        <w:rPr>
          <w:noProof/>
        </w:rPr>
        <w:t>Dne 21. června 2024 zaslala Komise Slovensku v souladu s článkem 9 nařízení (EU) 2024/1263 referenční trajektorii</w:t>
      </w:r>
      <w:r w:rsidR="00586763" w:rsidRPr="00EB0C3B">
        <w:rPr>
          <w:rStyle w:val="FootnoteReference"/>
          <w:noProof/>
        </w:rPr>
        <w:footnoteReference w:id="6"/>
      </w:r>
      <w:r w:rsidRPr="00EB0C3B">
        <w:rPr>
          <w:noProof/>
        </w:rPr>
        <w:t>. Dne 15. října 2024 Komise tuto referenční trajektorii zveřejnila</w:t>
      </w:r>
      <w:r w:rsidR="00986BF6" w:rsidRPr="00EB0C3B">
        <w:rPr>
          <w:rStyle w:val="FootnoteReference"/>
          <w:noProof/>
        </w:rPr>
        <w:footnoteReference w:id="7"/>
      </w:r>
      <w:r w:rsidRPr="00EB0C3B">
        <w:rPr>
          <w:noProof/>
        </w:rPr>
        <w:t>. Referenční trajektorie je založena na posouzení rizik a zajišťuje, aby byl do konce období fiskální korekce za předpokladu, že nejsou po tomto období přijata žádná další rozpočtová opatření, veřejný dluh uveden na věrohodně sestupnou trajektorii nebo ve střednědobém horizontu zůstal na obezřetné úrovni a aby byl schodek veřejných financí během období korekce snížen pod 3 % HDP a ve střednědobém horizontu pod touto referenční hodnotou setrval. Střednědobý horizont je definován jako období deseti let po skončení období korekce. V souladu s čl. 6 písm. d) a články 7 a 8 nařízení (EU) 2024/1263 je referenční trajektorie rovněž v souladu s referenční hodnotou pro schodek, ochranným opatřením pro udržitelnost dluhu a ochranným opatřením pro odolnost schodku. Referenční trajektorie Slovenska stanoví, že na základě předpokladů Komise a za předpokladu čtyřletého období korekce by čisté výdaje neměly růst více, než o hodnoty uvedené v tabulce 1. To odpovídá průměrnému růstu čistých výdajů během období korekce (2025–2028) o 2,0 %. </w:t>
      </w:r>
    </w:p>
    <w:p w14:paraId="77DCE056" w14:textId="77777777" w:rsidR="00011084" w:rsidRPr="00EB0C3B" w:rsidRDefault="00011084" w:rsidP="00D66941">
      <w:pPr>
        <w:keepNext/>
        <w:spacing w:before="0" w:after="0"/>
        <w:textAlignment w:val="baseline"/>
        <w:rPr>
          <w:rFonts w:eastAsia="Times New Roman"/>
          <w:noProof/>
          <w:szCs w:val="24"/>
        </w:rPr>
      </w:pPr>
      <w:r w:rsidRPr="00EB0C3B">
        <w:rPr>
          <w:b/>
          <w:noProof/>
        </w:rPr>
        <w:t>Tabulka 1: Referenční trajektorie, kterou Komise poskytla Slovensku dne 21. června 2024</w:t>
      </w:r>
      <w:r w:rsidRPr="00EB0C3B">
        <w:rPr>
          <w:noProof/>
        </w:rPr>
        <w:t> </w:t>
      </w: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1399"/>
        <w:gridCol w:w="1399"/>
        <w:gridCol w:w="1399"/>
        <w:gridCol w:w="1399"/>
        <w:gridCol w:w="1436"/>
      </w:tblGrid>
      <w:tr w:rsidR="00011084" w:rsidRPr="00EB0C3B" w14:paraId="2055080B" w14:textId="77777777" w:rsidTr="00846B10">
        <w:trPr>
          <w:trHeight w:val="300"/>
          <w:jc w:val="center"/>
        </w:trPr>
        <w:tc>
          <w:tcPr>
            <w:tcW w:w="2460" w:type="dxa"/>
            <w:tcBorders>
              <w:top w:val="single" w:sz="6" w:space="0" w:color="auto"/>
              <w:left w:val="nil"/>
              <w:bottom w:val="single" w:sz="6" w:space="0" w:color="auto"/>
              <w:right w:val="single" w:sz="6" w:space="0" w:color="auto"/>
            </w:tcBorders>
            <w:shd w:val="clear" w:color="auto" w:fill="auto"/>
            <w:hideMark/>
          </w:tcPr>
          <w:p w14:paraId="16349E7F" w14:textId="77777777" w:rsidR="00011084" w:rsidRPr="00EB0C3B" w:rsidRDefault="00011084" w:rsidP="00D66941">
            <w:pPr>
              <w:keepNext/>
              <w:spacing w:before="0" w:after="0"/>
              <w:textAlignment w:val="baseline"/>
              <w:rPr>
                <w:rFonts w:eastAsia="Times New Roman"/>
                <w:noProof/>
                <w:sz w:val="20"/>
                <w:szCs w:val="20"/>
                <w:lang w:eastAsia="en-IE"/>
              </w:rPr>
            </w:pP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122A8"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2025</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B93E5"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2026</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5A49C"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2027</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78EE81"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2028</w:t>
            </w:r>
          </w:p>
        </w:tc>
        <w:tc>
          <w:tcPr>
            <w:tcW w:w="1740" w:type="dxa"/>
            <w:tcBorders>
              <w:top w:val="single" w:sz="6" w:space="0" w:color="auto"/>
              <w:left w:val="single" w:sz="6" w:space="0" w:color="auto"/>
              <w:bottom w:val="single" w:sz="6" w:space="0" w:color="auto"/>
              <w:right w:val="nil"/>
            </w:tcBorders>
            <w:shd w:val="clear" w:color="auto" w:fill="auto"/>
            <w:vAlign w:val="center"/>
            <w:hideMark/>
          </w:tcPr>
          <w:p w14:paraId="7762B209"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Průměr 2025–2028</w:t>
            </w:r>
          </w:p>
        </w:tc>
      </w:tr>
      <w:tr w:rsidR="00011084" w:rsidRPr="00EB0C3B" w14:paraId="4A79B061" w14:textId="77777777" w:rsidTr="00846B10">
        <w:trPr>
          <w:trHeight w:val="405"/>
          <w:jc w:val="center"/>
        </w:trPr>
        <w:tc>
          <w:tcPr>
            <w:tcW w:w="2460" w:type="dxa"/>
            <w:tcBorders>
              <w:top w:val="single" w:sz="6" w:space="0" w:color="auto"/>
              <w:left w:val="nil"/>
              <w:bottom w:val="single" w:sz="6" w:space="0" w:color="auto"/>
              <w:right w:val="single" w:sz="6" w:space="0" w:color="auto"/>
            </w:tcBorders>
            <w:shd w:val="clear" w:color="auto" w:fill="auto"/>
            <w:hideMark/>
          </w:tcPr>
          <w:p w14:paraId="792262BD"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Maximální růst čistých výdajů (roční, v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32D736"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2,8</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76F17C"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1AE4BB"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1,6</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C5CD19"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1,5</w:t>
            </w:r>
          </w:p>
        </w:tc>
        <w:tc>
          <w:tcPr>
            <w:tcW w:w="1740" w:type="dxa"/>
            <w:tcBorders>
              <w:top w:val="single" w:sz="6" w:space="0" w:color="auto"/>
              <w:left w:val="single" w:sz="6" w:space="0" w:color="auto"/>
              <w:bottom w:val="single" w:sz="6" w:space="0" w:color="auto"/>
              <w:right w:val="nil"/>
            </w:tcBorders>
            <w:shd w:val="clear" w:color="auto" w:fill="auto"/>
            <w:vAlign w:val="center"/>
            <w:hideMark/>
          </w:tcPr>
          <w:p w14:paraId="7B5A18E3"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w:t>
            </w:r>
          </w:p>
        </w:tc>
      </w:tr>
    </w:tbl>
    <w:p w14:paraId="39705314" w14:textId="77777777" w:rsidR="00E93773" w:rsidRPr="00EB0C3B" w:rsidRDefault="00E93773" w:rsidP="00221142">
      <w:pPr>
        <w:keepNext/>
        <w:spacing w:before="0" w:after="0"/>
        <w:textAlignment w:val="baseline"/>
        <w:rPr>
          <w:rFonts w:eastAsia="Times New Roman"/>
          <w:noProof/>
          <w:szCs w:val="24"/>
          <w:lang w:eastAsia="en-IE"/>
        </w:rPr>
      </w:pPr>
    </w:p>
    <w:p w14:paraId="252FF7F0" w14:textId="77777777" w:rsidR="00011084" w:rsidRPr="00EB0C3B" w:rsidRDefault="00011084" w:rsidP="00D66941">
      <w:pPr>
        <w:keepNext/>
        <w:spacing w:before="0" w:after="0"/>
        <w:textAlignment w:val="baseline"/>
        <w:rPr>
          <w:rFonts w:eastAsia="Times New Roman"/>
          <w:noProof/>
          <w:sz w:val="20"/>
          <w:szCs w:val="20"/>
        </w:rPr>
      </w:pPr>
      <w:r w:rsidRPr="00EB0C3B">
        <w:rPr>
          <w:noProof/>
          <w:sz w:val="20"/>
        </w:rPr>
        <w:t>Zdroj: výpočty Komise. </w:t>
      </w:r>
    </w:p>
    <w:p w14:paraId="1FC27AFE" w14:textId="77777777" w:rsidR="00E93773" w:rsidRPr="00EB0C3B" w:rsidRDefault="00011084" w:rsidP="00221142">
      <w:pPr>
        <w:pStyle w:val="Point0"/>
        <w:rPr>
          <w:noProof/>
        </w:rPr>
      </w:pPr>
      <w:r w:rsidRPr="00EB0C3B">
        <w:rPr>
          <w:noProof/>
        </w:rPr>
        <w:t>V souladu s článkem 12 nařízení (EU) 2024/1263 vedly Slovensko a Komise od června do září 2024 technický dialog. Dialog se zaměřoval na dráhu čistých výdajů, kterou Slovensko plánuje, a související předpoklady (zejména fiskální korekci zatíženou odkladem úsilí v roce 2026, což bylo vysvětleno investicemi do obrany a vnitrostátním spolufinancováním grantů financovaných z EU), jakož i na plánované provádění reforem a investic reagujících na hlavní výzvy zjištěné v rámci evropského semestru a řešících společné priority Unie v oblasti spravedlivé ekologické a digitální transformace, sociální a hospodářské odolnosti, energetické bezpečnosti a budování obranných kapacit. </w:t>
      </w:r>
    </w:p>
    <w:p w14:paraId="02F52E08" w14:textId="77777777" w:rsidR="00011084" w:rsidRPr="00EB0C3B" w:rsidRDefault="00011084" w:rsidP="00221142">
      <w:pPr>
        <w:pStyle w:val="Point0"/>
        <w:rPr>
          <w:noProof/>
        </w:rPr>
      </w:pPr>
      <w:r w:rsidRPr="00EB0C3B">
        <w:rPr>
          <w:noProof/>
        </w:rPr>
        <w:t>V září a říjnu 2024 Slovensko v souladu s čl. 11 odst. 3 a čl. 36 odst. 1 písm. c) nařízení (EU) 2024/1263 vedlo podle informací jím poskytnutých v jeho plánu konzultace s občanskou společností, sociálními partnery, regionálními orgány a dalšími příslušnými zúčastněnými stranami. Podle informací, které Slovensko ve svém plánu poskytlo, byl národní střednědobý fiskálně-strukturální plán projednán v Hospodářské a sociální radě, jejímiž členy jsou odbory, svaz zaměstnavatelů, sdružení zaměstnavatelů a slovenské obce.</w:t>
      </w:r>
    </w:p>
    <w:p w14:paraId="24AF6534" w14:textId="77777777" w:rsidR="00E93773" w:rsidRPr="00EB0C3B" w:rsidRDefault="00011084" w:rsidP="00DD7610">
      <w:pPr>
        <w:textAlignment w:val="baseline"/>
        <w:rPr>
          <w:rFonts w:eastAsia="Times New Roman"/>
          <w:noProof/>
          <w:szCs w:val="24"/>
        </w:rPr>
      </w:pPr>
      <w:r w:rsidRPr="00EB0C3B">
        <w:rPr>
          <w:b/>
          <w:noProof/>
        </w:rPr>
        <w:t>Další související procesy</w:t>
      </w:r>
    </w:p>
    <w:p w14:paraId="77CA410C" w14:textId="77777777" w:rsidR="00011084" w:rsidRPr="00EB0C3B" w:rsidRDefault="00011084" w:rsidP="00221142">
      <w:pPr>
        <w:pStyle w:val="Point0"/>
        <w:rPr>
          <w:noProof/>
        </w:rPr>
      </w:pPr>
      <w:r w:rsidRPr="00EB0C3B">
        <w:rPr>
          <w:noProof/>
        </w:rPr>
        <w:t>Dne 26. července 2024 Rada rozhodla, že na Slovensku existuje nadměrný schodek z důvodu nedodržení kritéria schodku</w:t>
      </w:r>
      <w:r w:rsidR="00FE1A20" w:rsidRPr="00EB0C3B">
        <w:rPr>
          <w:rStyle w:val="FootnoteReference"/>
          <w:noProof/>
        </w:rPr>
        <w:footnoteReference w:id="8"/>
      </w:r>
      <w:r w:rsidRPr="00EB0C3B">
        <w:rPr>
          <w:noProof/>
        </w:rPr>
        <w:t>. Toto doporučení se vydává současně s doporučením Rady podle čl. 126 odst. 7 Smlouvy o fungování EU s cílem odstranit nadměrný schodek veřejných financí na Slovensku</w:t>
      </w:r>
      <w:r w:rsidR="006020E2" w:rsidRPr="00EB0C3B">
        <w:rPr>
          <w:rStyle w:val="FootnoteReference"/>
          <w:noProof/>
        </w:rPr>
        <w:footnoteReference w:id="9"/>
      </w:r>
      <w:r w:rsidRPr="00EB0C3B">
        <w:rPr>
          <w:noProof/>
        </w:rPr>
        <w:t>. Souběžné přijetí uvedených doporučení, které je dáno a opodstatněno přechodem na nový rámec správy ekonomických záležitostí, zajišťuje soulad mezi doporučenými postupy korekce.</w:t>
      </w:r>
    </w:p>
    <w:p w14:paraId="252E5C4D" w14:textId="77777777" w:rsidR="00E93773" w:rsidRPr="00EB0C3B" w:rsidRDefault="00011084" w:rsidP="00221142">
      <w:pPr>
        <w:pStyle w:val="Point0"/>
        <w:rPr>
          <w:noProof/>
        </w:rPr>
      </w:pPr>
      <w:r w:rsidRPr="00EB0C3B">
        <w:rPr>
          <w:noProof/>
        </w:rPr>
        <w:t>Dne 15. října 2024 předložilo Slovensko svůj návrh rozpočtového plánu na rok 2025. Komise přijala stanovisko k tomuto návrhu rozpočtového plánu dne [26. listopadu 2024]</w:t>
      </w:r>
      <w:r w:rsidR="00BE13DA" w:rsidRPr="00EB0C3B">
        <w:rPr>
          <w:rStyle w:val="FootnoteReference"/>
          <w:noProof/>
        </w:rPr>
        <w:footnoteReference w:id="10"/>
      </w:r>
      <w:r w:rsidRPr="00EB0C3B">
        <w:rPr>
          <w:noProof/>
        </w:rPr>
        <w:t>.</w:t>
      </w:r>
    </w:p>
    <w:p w14:paraId="7E97C205" w14:textId="77777777" w:rsidR="00E93773" w:rsidRPr="00EB0C3B" w:rsidRDefault="00011084" w:rsidP="00221142">
      <w:pPr>
        <w:pStyle w:val="Point0"/>
        <w:rPr>
          <w:noProof/>
        </w:rPr>
      </w:pPr>
      <w:r w:rsidRPr="00EB0C3B">
        <w:rPr>
          <w:noProof/>
        </w:rPr>
        <w:t>Dne 19. června 2024 dospěla Komise k závěru, že se Slovensko potýká s makroekonomickými nerovnováhami. Slovensko konkrétně čelí zranitelnosti související s nákladovou konkurenceschopností, bilancí zahraničního obchodu, trhem s bydlením a zadlužením domácností</w:t>
      </w:r>
      <w:r w:rsidR="0037264D" w:rsidRPr="00EB0C3B">
        <w:rPr>
          <w:rStyle w:val="FootnoteReference"/>
          <w:noProof/>
        </w:rPr>
        <w:footnoteReference w:id="11"/>
      </w:r>
      <w:r w:rsidRPr="00EB0C3B">
        <w:rPr>
          <w:noProof/>
        </w:rPr>
        <w:t>. </w:t>
      </w:r>
    </w:p>
    <w:p w14:paraId="1EFB4808" w14:textId="77777777" w:rsidR="00011084" w:rsidRPr="00EB0C3B" w:rsidRDefault="00011084" w:rsidP="00221142">
      <w:pPr>
        <w:pStyle w:val="Point0"/>
        <w:rPr>
          <w:noProof/>
        </w:rPr>
      </w:pPr>
      <w:r w:rsidRPr="00EB0C3B">
        <w:rPr>
          <w:noProof/>
        </w:rPr>
        <w:t>Dne 21. října 2024 vydala Rada Slovensku v rámci evropského semestru řadu doporučení pro jednotlivé země</w:t>
      </w:r>
      <w:r w:rsidR="00512A68" w:rsidRPr="00EB0C3B">
        <w:rPr>
          <w:rStyle w:val="FootnoteReference"/>
          <w:noProof/>
        </w:rPr>
        <w:footnoteReference w:id="12"/>
      </w:r>
      <w:r w:rsidRPr="00EB0C3B">
        <w:rPr>
          <w:noProof/>
        </w:rPr>
        <w:t>.</w:t>
      </w:r>
    </w:p>
    <w:p w14:paraId="131AE519" w14:textId="77777777" w:rsidR="00E93773" w:rsidRPr="00EB0C3B" w:rsidRDefault="006613C4" w:rsidP="00DD7610">
      <w:pPr>
        <w:textAlignment w:val="baseline"/>
        <w:rPr>
          <w:rFonts w:eastAsia="Times New Roman"/>
          <w:noProof/>
        </w:rPr>
      </w:pPr>
      <w:r w:rsidRPr="00EB0C3B">
        <w:rPr>
          <w:b/>
          <w:noProof/>
        </w:rPr>
        <w:t>SHRNUTÍ PLÁNU A JEHO POSOUZENÍ KOMISÍ</w:t>
      </w:r>
      <w:r w:rsidRPr="00EB0C3B">
        <w:rPr>
          <w:noProof/>
        </w:rPr>
        <w:t> </w:t>
      </w:r>
    </w:p>
    <w:p w14:paraId="09D3AF66" w14:textId="77777777" w:rsidR="00011084" w:rsidRPr="00EB0C3B" w:rsidRDefault="00011084" w:rsidP="00221142">
      <w:pPr>
        <w:pStyle w:val="Point0"/>
        <w:rPr>
          <w:noProof/>
        </w:rPr>
      </w:pPr>
      <w:r w:rsidRPr="00EB0C3B">
        <w:rPr>
          <w:noProof/>
        </w:rPr>
        <w:t>V souladu s článkem 16 nařízení (EU) 2024/1263 posoudila Komise plán takto: </w:t>
      </w:r>
    </w:p>
    <w:p w14:paraId="18FCA231" w14:textId="77777777" w:rsidR="00E93773" w:rsidRPr="00EB0C3B" w:rsidRDefault="00AC1BC0" w:rsidP="00DD7610">
      <w:pPr>
        <w:textAlignment w:val="baseline"/>
        <w:rPr>
          <w:rFonts w:eastAsia="Times New Roman"/>
          <w:noProof/>
        </w:rPr>
      </w:pPr>
      <w:r w:rsidRPr="00EB0C3B">
        <w:rPr>
          <w:b/>
          <w:noProof/>
        </w:rPr>
        <w:t>Souvislosti: makroekonomická a fiskální situace a výhled</w:t>
      </w:r>
    </w:p>
    <w:p w14:paraId="2EE6E5E1" w14:textId="77777777" w:rsidR="00E93773" w:rsidRPr="00EB0C3B" w:rsidRDefault="00011084" w:rsidP="00221142">
      <w:pPr>
        <w:pStyle w:val="Point0"/>
        <w:rPr>
          <w:noProof/>
        </w:rPr>
      </w:pPr>
      <w:r w:rsidRPr="00EB0C3B">
        <w:rPr>
          <w:noProof/>
        </w:rPr>
        <w:t>Ekonomická aktivita na Slovensku v roce 2023 vzrostla o 1,4 %, což bylo zapříčiněno poklesem soukromé a veřejné spotřeby. Podle prognózy Evropské komise z podzimu 2024 se očekává, že v roce 2024 ekonomika poroste o 2,2 % vzhledem ke stabilní soukromé spotřebě, ale slabší poptávce po vývozu. V roce 2025 by měl reálný HDP vzrůst o 2,3 %, jelikož bude stimulován soukromou spotřebou a investicemi. V roce 2026 by měl reálný HDP vzrůst o 2,5 %, jelikož se očekává stabilní soukromá spotřeba a kladný čistý vývoz. V horizontu prognózy (tj. 2024–2026) se očekává mírný pokles růstu potenciálního HDP na Slovensku z 2,3 % v roce 2024 na 2,2 % v roce 2026. Míra nezaměstnanosti v roce 2023 činila 5,8 % a na základě prognózy Komise dosáhne v roce 2024 hodnoty 5,5 %, v roce 2025 hodnoty 5,3 % a v roce 2026 hodnoty 5,1 %. Předpokládá se, že inflace (deflátor HDP) klesne z 10,1 % v roce 2023 na 4,4 % v roce 2024 a podle prognózy dosáhne v roce 2025 hodnoty 3,8 % a v roce 2026 hodnoty 2,8 %. </w:t>
      </w:r>
    </w:p>
    <w:p w14:paraId="6B0DA56E" w14:textId="77777777" w:rsidR="00011084" w:rsidRPr="00EB0C3B" w:rsidRDefault="00011084" w:rsidP="00221142">
      <w:pPr>
        <w:pStyle w:val="Point0"/>
        <w:rPr>
          <w:noProof/>
        </w:rPr>
      </w:pPr>
      <w:r w:rsidRPr="00EB0C3B">
        <w:rPr>
          <w:noProof/>
        </w:rPr>
        <w:t>Pokud jde o fiskální vývoj, schodek veřejných financí Slovenska v roce 2023 činil 5,2 % HDP. Prognóza Komise z podzimu 2024 očekává, že v roce 2024 dosáhne 5,8 % HDP, načež v roce 2025 klesne na 4,7 % HDP a v roce 2026 za předpokladu nezměněné politiky na 4,1 % HDP. Prognózy Komise z podzimu 2024 zahrnují i návrh rozpočtu Slovenska na rok 2025, který vláda v říjnu předložila vnitrostátnímu parlamentu. Veřejný dluh na konci roku 2023 představoval 56,1 % HDP. Na základě prognózy Evropské komise z podzimu 2024 se předpokládá, že poměr dluhu k HDP se na konci roku 2024 zvýší na 58,9 % HDP. Na konci roku 2025 by měl stoupnout na 59,8 % HDP a na konci roku 2026 na 61,8 % HDP. Fiskální projekce Komise nezohledňují politické závazky ve střednědobých plánech jako takové, dokud nejsou podloženy důvěryhodně oznámenými a dostatečně specifikovanými konkrétními politickými opatřeními.</w:t>
      </w:r>
    </w:p>
    <w:p w14:paraId="0BB6AFB0" w14:textId="77777777" w:rsidR="00011084" w:rsidRPr="00EB0C3B" w:rsidRDefault="00011084" w:rsidP="007D2691">
      <w:pPr>
        <w:keepNext/>
        <w:textAlignment w:val="baseline"/>
        <w:rPr>
          <w:rFonts w:eastAsia="Times New Roman"/>
          <w:noProof/>
          <w:szCs w:val="24"/>
        </w:rPr>
      </w:pPr>
      <w:r w:rsidRPr="00EB0C3B">
        <w:rPr>
          <w:b/>
          <w:noProof/>
        </w:rPr>
        <w:t>Dráha čistých výdajů a hlavní makroekonomické předpoklady v plánu</w:t>
      </w:r>
      <w:r w:rsidRPr="00EB0C3B">
        <w:rPr>
          <w:noProof/>
        </w:rPr>
        <w:t> </w:t>
      </w:r>
    </w:p>
    <w:p w14:paraId="7A7EA97B" w14:textId="77777777" w:rsidR="00E93773" w:rsidRPr="00EB0C3B" w:rsidRDefault="00EA3FF5" w:rsidP="00221142">
      <w:pPr>
        <w:pStyle w:val="Point0"/>
        <w:rPr>
          <w:noProof/>
        </w:rPr>
      </w:pPr>
      <w:r w:rsidRPr="00EB0C3B">
        <w:rPr>
          <w:noProof/>
        </w:rPr>
        <w:t>Národní střednědobý fiskálně-strukturální plán Slovenska se vztahuje na období 2025–2028 a zahrnuje fiskální korekci v délce čtyř let. </w:t>
      </w:r>
    </w:p>
    <w:p w14:paraId="6838DCE0" w14:textId="77777777" w:rsidR="00E93773" w:rsidRPr="00EB0C3B" w:rsidRDefault="00011084" w:rsidP="00221142">
      <w:pPr>
        <w:pStyle w:val="Point0"/>
        <w:rPr>
          <w:noProof/>
        </w:rPr>
      </w:pPr>
      <w:r w:rsidRPr="00EB0C3B">
        <w:rPr>
          <w:noProof/>
        </w:rPr>
        <w:t>Plán obsahuje veškeré informace požadované v článku 13 nařízení (EU) 2024/1263.</w:t>
      </w:r>
    </w:p>
    <w:p w14:paraId="687E6DB1" w14:textId="77777777" w:rsidR="00324674" w:rsidRPr="00EB0C3B" w:rsidRDefault="00EA3FF5" w:rsidP="00221142">
      <w:pPr>
        <w:pStyle w:val="Point0"/>
        <w:rPr>
          <w:noProof/>
        </w:rPr>
      </w:pPr>
      <w:r w:rsidRPr="00EB0C3B">
        <w:rPr>
          <w:noProof/>
        </w:rPr>
        <w:t>Plán představuje závazek k dráze čistých výdajů uvedené v tabulce 2, která odpovídá průměrnému růstu čistých výdajů v období 2025–2028 ve výši 2,0 %. Průměrný růst čistých výdajů uvedený v plánu na období korekce (2025–2028) odpovídá</w:t>
      </w:r>
      <w:r w:rsidR="00F60623" w:rsidRPr="00EB0C3B">
        <w:rPr>
          <w:rStyle w:val="FootnoteReference"/>
          <w:noProof/>
        </w:rPr>
        <w:footnoteReference w:id="13"/>
      </w:r>
      <w:r w:rsidRPr="00EB0C3B">
        <w:rPr>
          <w:noProof/>
        </w:rPr>
        <w:t xml:space="preserve"> referenční trajektorii, kterou Komise předala dne 21. června 2024. Plán předpokládá postupné snižování růstu potenciálního HDP z 2,4 % v roce 2025 na 1,4 % v roce 2028. Dále se v plánu předpokládá, že míra růstu deflátoru HDP klesne z 4,6 % v roce 2024 na 3,2 % v roce 2025 a poté na 2,9 % v roce 2028.</w:t>
      </w:r>
    </w:p>
    <w:p w14:paraId="554303DB" w14:textId="77777777" w:rsidR="00011084" w:rsidRPr="00EB0C3B" w:rsidRDefault="00011084" w:rsidP="00D66941">
      <w:pPr>
        <w:keepNext/>
        <w:spacing w:before="0" w:after="0"/>
        <w:textAlignment w:val="baseline"/>
        <w:rPr>
          <w:rFonts w:eastAsia="Times New Roman"/>
          <w:noProof/>
          <w:szCs w:val="24"/>
        </w:rPr>
      </w:pPr>
      <w:r w:rsidRPr="00EB0C3B">
        <w:rPr>
          <w:b/>
          <w:noProof/>
        </w:rPr>
        <w:t>Tabulka 2: Dráha čistých výdajů a hlavní předpoklady v plánu Slovenska</w:t>
      </w: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6"/>
        <w:gridCol w:w="1112"/>
        <w:gridCol w:w="1112"/>
        <w:gridCol w:w="1112"/>
        <w:gridCol w:w="1112"/>
        <w:gridCol w:w="1172"/>
        <w:gridCol w:w="1586"/>
      </w:tblGrid>
      <w:tr w:rsidR="00ED11EB" w:rsidRPr="00EB0C3B" w14:paraId="130E9B0C" w14:textId="77777777" w:rsidTr="00846B10">
        <w:trPr>
          <w:trHeight w:val="300"/>
          <w:jc w:val="center"/>
        </w:trPr>
        <w:tc>
          <w:tcPr>
            <w:tcW w:w="1028" w:type="pct"/>
            <w:tcBorders>
              <w:top w:val="single" w:sz="6" w:space="0" w:color="auto"/>
              <w:left w:val="nil"/>
              <w:bottom w:val="single" w:sz="6" w:space="0" w:color="auto"/>
              <w:right w:val="single" w:sz="6" w:space="0" w:color="auto"/>
            </w:tcBorders>
            <w:shd w:val="clear" w:color="auto" w:fill="auto"/>
            <w:hideMark/>
          </w:tcPr>
          <w:p w14:paraId="06F7B943" w14:textId="77777777" w:rsidR="00ED11EB" w:rsidRPr="00EB0C3B" w:rsidRDefault="00ED11EB" w:rsidP="00D66941">
            <w:pPr>
              <w:keepNext/>
              <w:spacing w:before="0" w:after="0"/>
              <w:textAlignment w:val="baseline"/>
              <w:rPr>
                <w:rFonts w:eastAsia="Times New Roman"/>
                <w:noProof/>
                <w:sz w:val="20"/>
                <w:szCs w:val="20"/>
                <w:lang w:eastAsia="en-IE"/>
              </w:rPr>
            </w:pPr>
          </w:p>
        </w:tc>
        <w:tc>
          <w:tcPr>
            <w:tcW w:w="613" w:type="pct"/>
            <w:tcBorders>
              <w:top w:val="single" w:sz="6" w:space="0" w:color="auto"/>
              <w:left w:val="single" w:sz="6" w:space="0" w:color="auto"/>
              <w:bottom w:val="single" w:sz="6" w:space="0" w:color="auto"/>
              <w:right w:val="single" w:sz="6" w:space="0" w:color="auto"/>
            </w:tcBorders>
            <w:shd w:val="clear" w:color="auto" w:fill="auto"/>
            <w:hideMark/>
          </w:tcPr>
          <w:p w14:paraId="688AE481"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2024</w:t>
            </w:r>
          </w:p>
        </w:tc>
        <w:tc>
          <w:tcPr>
            <w:tcW w:w="613" w:type="pct"/>
            <w:tcBorders>
              <w:top w:val="single" w:sz="6" w:space="0" w:color="auto"/>
              <w:left w:val="single" w:sz="6" w:space="0" w:color="auto"/>
              <w:bottom w:val="single" w:sz="6" w:space="0" w:color="auto"/>
              <w:right w:val="single" w:sz="6" w:space="0" w:color="auto"/>
            </w:tcBorders>
            <w:shd w:val="clear" w:color="auto" w:fill="auto"/>
            <w:hideMark/>
          </w:tcPr>
          <w:p w14:paraId="336D064D"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2025</w:t>
            </w:r>
          </w:p>
        </w:tc>
        <w:tc>
          <w:tcPr>
            <w:tcW w:w="613" w:type="pct"/>
            <w:tcBorders>
              <w:top w:val="single" w:sz="6" w:space="0" w:color="auto"/>
              <w:left w:val="single" w:sz="6" w:space="0" w:color="auto"/>
              <w:bottom w:val="single" w:sz="6" w:space="0" w:color="auto"/>
              <w:right w:val="single" w:sz="6" w:space="0" w:color="auto"/>
            </w:tcBorders>
            <w:shd w:val="clear" w:color="auto" w:fill="auto"/>
            <w:hideMark/>
          </w:tcPr>
          <w:p w14:paraId="78977EDA"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2026</w:t>
            </w:r>
          </w:p>
        </w:tc>
        <w:tc>
          <w:tcPr>
            <w:tcW w:w="613" w:type="pct"/>
            <w:tcBorders>
              <w:top w:val="single" w:sz="6" w:space="0" w:color="auto"/>
              <w:left w:val="single" w:sz="6" w:space="0" w:color="auto"/>
              <w:bottom w:val="single" w:sz="6" w:space="0" w:color="auto"/>
              <w:right w:val="single" w:sz="6" w:space="0" w:color="auto"/>
            </w:tcBorders>
            <w:shd w:val="clear" w:color="auto" w:fill="auto"/>
            <w:hideMark/>
          </w:tcPr>
          <w:p w14:paraId="66EA6AF4"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2027</w:t>
            </w:r>
          </w:p>
        </w:tc>
        <w:tc>
          <w:tcPr>
            <w:tcW w:w="646" w:type="pct"/>
            <w:tcBorders>
              <w:top w:val="single" w:sz="6" w:space="0" w:color="auto"/>
              <w:left w:val="single" w:sz="6" w:space="0" w:color="auto"/>
              <w:bottom w:val="single" w:sz="6" w:space="0" w:color="auto"/>
              <w:right w:val="single" w:sz="6" w:space="0" w:color="auto"/>
            </w:tcBorders>
            <w:shd w:val="clear" w:color="auto" w:fill="auto"/>
            <w:hideMark/>
          </w:tcPr>
          <w:p w14:paraId="4A15F2EC"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2028</w:t>
            </w:r>
          </w:p>
        </w:tc>
        <w:tc>
          <w:tcPr>
            <w:tcW w:w="874" w:type="pct"/>
            <w:tcBorders>
              <w:top w:val="single" w:sz="6" w:space="0" w:color="auto"/>
              <w:left w:val="single" w:sz="6" w:space="0" w:color="auto"/>
              <w:bottom w:val="single" w:sz="6" w:space="0" w:color="auto"/>
              <w:right w:val="nil"/>
            </w:tcBorders>
            <w:shd w:val="clear" w:color="auto" w:fill="auto"/>
            <w:hideMark/>
          </w:tcPr>
          <w:p w14:paraId="4715313C"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Průměr za dobu platnosti plánu v období 2025–2028</w:t>
            </w:r>
          </w:p>
        </w:tc>
      </w:tr>
      <w:tr w:rsidR="00ED11EB" w:rsidRPr="00EB0C3B" w14:paraId="6CEEC498" w14:textId="77777777" w:rsidTr="00846B10">
        <w:trPr>
          <w:trHeight w:val="300"/>
          <w:jc w:val="center"/>
        </w:trPr>
        <w:tc>
          <w:tcPr>
            <w:tcW w:w="1028" w:type="pct"/>
            <w:tcBorders>
              <w:top w:val="single" w:sz="6" w:space="0" w:color="auto"/>
              <w:left w:val="nil"/>
              <w:bottom w:val="single" w:sz="6" w:space="0" w:color="auto"/>
              <w:right w:val="single" w:sz="6" w:space="0" w:color="auto"/>
            </w:tcBorders>
            <w:shd w:val="clear" w:color="auto" w:fill="auto"/>
            <w:hideMark/>
          </w:tcPr>
          <w:p w14:paraId="325EE371"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Růst čistých výdajů </w:t>
            </w:r>
            <w:r w:rsidRPr="00EB0C3B">
              <w:rPr>
                <w:noProof/>
                <w:sz w:val="20"/>
              </w:rPr>
              <w:br/>
              <w:t>(roční, v %)</w:t>
            </w:r>
          </w:p>
        </w:tc>
        <w:tc>
          <w:tcPr>
            <w:tcW w:w="613" w:type="pct"/>
            <w:tcBorders>
              <w:top w:val="single" w:sz="6" w:space="0" w:color="auto"/>
              <w:left w:val="single" w:sz="6" w:space="0" w:color="auto"/>
              <w:bottom w:val="single" w:sz="6" w:space="0" w:color="auto"/>
              <w:right w:val="single" w:sz="6" w:space="0" w:color="auto"/>
            </w:tcBorders>
            <w:shd w:val="clear" w:color="auto" w:fill="auto"/>
            <w:hideMark/>
          </w:tcPr>
          <w:p w14:paraId="7D4835D9"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6,2</w:t>
            </w:r>
          </w:p>
        </w:tc>
        <w:tc>
          <w:tcPr>
            <w:tcW w:w="613" w:type="pct"/>
            <w:tcBorders>
              <w:top w:val="single" w:sz="6" w:space="0" w:color="auto"/>
              <w:left w:val="single" w:sz="6" w:space="0" w:color="auto"/>
              <w:bottom w:val="single" w:sz="6" w:space="0" w:color="auto"/>
              <w:right w:val="single" w:sz="6" w:space="0" w:color="auto"/>
            </w:tcBorders>
            <w:shd w:val="clear" w:color="auto" w:fill="auto"/>
            <w:hideMark/>
          </w:tcPr>
          <w:p w14:paraId="5646B0D4"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3,8</w:t>
            </w:r>
          </w:p>
        </w:tc>
        <w:tc>
          <w:tcPr>
            <w:tcW w:w="613" w:type="pct"/>
            <w:tcBorders>
              <w:top w:val="single" w:sz="6" w:space="0" w:color="auto"/>
              <w:left w:val="single" w:sz="6" w:space="0" w:color="auto"/>
              <w:bottom w:val="single" w:sz="6" w:space="0" w:color="auto"/>
              <w:right w:val="single" w:sz="6" w:space="0" w:color="auto"/>
            </w:tcBorders>
            <w:shd w:val="clear" w:color="auto" w:fill="auto"/>
            <w:hideMark/>
          </w:tcPr>
          <w:p w14:paraId="70FA9D8A"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0,9</w:t>
            </w:r>
          </w:p>
        </w:tc>
        <w:tc>
          <w:tcPr>
            <w:tcW w:w="613" w:type="pct"/>
            <w:tcBorders>
              <w:top w:val="single" w:sz="6" w:space="0" w:color="auto"/>
              <w:left w:val="single" w:sz="6" w:space="0" w:color="auto"/>
              <w:bottom w:val="single" w:sz="6" w:space="0" w:color="auto"/>
              <w:right w:val="single" w:sz="6" w:space="0" w:color="auto"/>
            </w:tcBorders>
            <w:shd w:val="clear" w:color="auto" w:fill="auto"/>
            <w:hideMark/>
          </w:tcPr>
          <w:p w14:paraId="597A9FE2"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1,6</w:t>
            </w:r>
          </w:p>
        </w:tc>
        <w:tc>
          <w:tcPr>
            <w:tcW w:w="646" w:type="pct"/>
            <w:tcBorders>
              <w:top w:val="single" w:sz="6" w:space="0" w:color="auto"/>
              <w:left w:val="single" w:sz="6" w:space="0" w:color="auto"/>
              <w:bottom w:val="single" w:sz="6" w:space="0" w:color="auto"/>
              <w:right w:val="single" w:sz="6" w:space="0" w:color="auto"/>
            </w:tcBorders>
            <w:shd w:val="clear" w:color="auto" w:fill="auto"/>
            <w:hideMark/>
          </w:tcPr>
          <w:p w14:paraId="5054788B"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1,5</w:t>
            </w:r>
          </w:p>
        </w:tc>
        <w:tc>
          <w:tcPr>
            <w:tcW w:w="874" w:type="pct"/>
            <w:tcBorders>
              <w:top w:val="single" w:sz="6" w:space="0" w:color="auto"/>
              <w:left w:val="single" w:sz="6" w:space="0" w:color="auto"/>
              <w:bottom w:val="single" w:sz="6" w:space="0" w:color="auto"/>
              <w:right w:val="nil"/>
            </w:tcBorders>
            <w:shd w:val="clear" w:color="auto" w:fill="auto"/>
            <w:hideMark/>
          </w:tcPr>
          <w:p w14:paraId="53A1455C" w14:textId="77777777" w:rsidR="00ED11EB" w:rsidRPr="00EB0C3B" w:rsidRDefault="7E9F4DDF" w:rsidP="00D66941">
            <w:pPr>
              <w:keepNext/>
              <w:spacing w:before="0" w:after="0"/>
              <w:jc w:val="center"/>
              <w:textAlignment w:val="baseline"/>
              <w:rPr>
                <w:rFonts w:eastAsia="Times New Roman"/>
                <w:noProof/>
                <w:sz w:val="20"/>
                <w:szCs w:val="20"/>
              </w:rPr>
            </w:pPr>
            <w:r w:rsidRPr="00EB0C3B">
              <w:rPr>
                <w:noProof/>
                <w:sz w:val="20"/>
              </w:rPr>
              <w:t>2,0</w:t>
            </w:r>
          </w:p>
        </w:tc>
      </w:tr>
      <w:tr w:rsidR="00ED11EB" w:rsidRPr="00EB0C3B" w14:paraId="62F5AAB0" w14:textId="77777777" w:rsidTr="00846B10">
        <w:trPr>
          <w:trHeight w:val="300"/>
          <w:jc w:val="center"/>
        </w:trPr>
        <w:tc>
          <w:tcPr>
            <w:tcW w:w="1028" w:type="pct"/>
            <w:tcBorders>
              <w:top w:val="single" w:sz="6" w:space="0" w:color="auto"/>
              <w:left w:val="nil"/>
              <w:bottom w:val="double" w:sz="6" w:space="0" w:color="auto"/>
              <w:right w:val="single" w:sz="6" w:space="0" w:color="auto"/>
            </w:tcBorders>
            <w:shd w:val="clear" w:color="auto" w:fill="auto"/>
            <w:hideMark/>
          </w:tcPr>
          <w:p w14:paraId="1EF8E3D2"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Růst čistých výdajů </w:t>
            </w:r>
            <w:r w:rsidRPr="00EB0C3B">
              <w:rPr>
                <w:noProof/>
                <w:sz w:val="20"/>
              </w:rPr>
              <w:br/>
              <w:t>(kumulativní, %)</w:t>
            </w:r>
          </w:p>
        </w:tc>
        <w:tc>
          <w:tcPr>
            <w:tcW w:w="613" w:type="pct"/>
            <w:tcBorders>
              <w:top w:val="single" w:sz="6" w:space="0" w:color="auto"/>
              <w:left w:val="single" w:sz="6" w:space="0" w:color="auto"/>
              <w:bottom w:val="double" w:sz="6" w:space="0" w:color="auto"/>
              <w:right w:val="single" w:sz="6" w:space="0" w:color="auto"/>
            </w:tcBorders>
            <w:shd w:val="clear" w:color="auto" w:fill="auto"/>
            <w:hideMark/>
          </w:tcPr>
          <w:p w14:paraId="4D48B8A5"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6,2</w:t>
            </w:r>
          </w:p>
        </w:tc>
        <w:tc>
          <w:tcPr>
            <w:tcW w:w="613" w:type="pct"/>
            <w:tcBorders>
              <w:top w:val="single" w:sz="6" w:space="0" w:color="auto"/>
              <w:left w:val="single" w:sz="6" w:space="0" w:color="auto"/>
              <w:bottom w:val="double" w:sz="6" w:space="0" w:color="auto"/>
              <w:right w:val="single" w:sz="6" w:space="0" w:color="auto"/>
            </w:tcBorders>
            <w:shd w:val="clear" w:color="auto" w:fill="auto"/>
            <w:hideMark/>
          </w:tcPr>
          <w:p w14:paraId="79E0651C"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10,3</w:t>
            </w:r>
          </w:p>
        </w:tc>
        <w:tc>
          <w:tcPr>
            <w:tcW w:w="613" w:type="pct"/>
            <w:tcBorders>
              <w:top w:val="single" w:sz="6" w:space="0" w:color="auto"/>
              <w:left w:val="single" w:sz="6" w:space="0" w:color="auto"/>
              <w:bottom w:val="double" w:sz="6" w:space="0" w:color="auto"/>
              <w:right w:val="single" w:sz="6" w:space="0" w:color="auto"/>
            </w:tcBorders>
            <w:shd w:val="clear" w:color="auto" w:fill="auto"/>
            <w:hideMark/>
          </w:tcPr>
          <w:p w14:paraId="3093D4D7"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11,2</w:t>
            </w:r>
          </w:p>
        </w:tc>
        <w:tc>
          <w:tcPr>
            <w:tcW w:w="613" w:type="pct"/>
            <w:tcBorders>
              <w:top w:val="single" w:sz="6" w:space="0" w:color="auto"/>
              <w:left w:val="single" w:sz="6" w:space="0" w:color="auto"/>
              <w:bottom w:val="double" w:sz="6" w:space="0" w:color="auto"/>
              <w:right w:val="single" w:sz="6" w:space="0" w:color="auto"/>
            </w:tcBorders>
            <w:shd w:val="clear" w:color="auto" w:fill="auto"/>
            <w:hideMark/>
          </w:tcPr>
          <w:p w14:paraId="325904B6"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13,0</w:t>
            </w:r>
          </w:p>
        </w:tc>
        <w:tc>
          <w:tcPr>
            <w:tcW w:w="646" w:type="pct"/>
            <w:tcBorders>
              <w:top w:val="single" w:sz="6" w:space="0" w:color="auto"/>
              <w:left w:val="single" w:sz="6" w:space="0" w:color="auto"/>
              <w:bottom w:val="double" w:sz="6" w:space="0" w:color="auto"/>
              <w:right w:val="single" w:sz="6" w:space="0" w:color="auto"/>
            </w:tcBorders>
            <w:shd w:val="clear" w:color="auto" w:fill="auto"/>
            <w:hideMark/>
          </w:tcPr>
          <w:p w14:paraId="1C169455"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14,8</w:t>
            </w:r>
          </w:p>
        </w:tc>
        <w:tc>
          <w:tcPr>
            <w:tcW w:w="874" w:type="pct"/>
            <w:tcBorders>
              <w:top w:val="single" w:sz="6" w:space="0" w:color="auto"/>
              <w:left w:val="single" w:sz="6" w:space="0" w:color="auto"/>
              <w:bottom w:val="double" w:sz="6" w:space="0" w:color="auto"/>
              <w:right w:val="nil"/>
            </w:tcBorders>
            <w:shd w:val="clear" w:color="auto" w:fill="auto"/>
            <w:hideMark/>
          </w:tcPr>
          <w:p w14:paraId="29454F08" w14:textId="77777777" w:rsidR="00ED11EB" w:rsidRPr="00EB0C3B" w:rsidRDefault="008078D9" w:rsidP="00D66941">
            <w:pPr>
              <w:keepNext/>
              <w:spacing w:before="0" w:after="0"/>
              <w:jc w:val="center"/>
              <w:textAlignment w:val="baseline"/>
              <w:rPr>
                <w:rFonts w:eastAsia="Times New Roman"/>
                <w:noProof/>
                <w:sz w:val="20"/>
                <w:szCs w:val="20"/>
              </w:rPr>
            </w:pPr>
            <w:r w:rsidRPr="00EB0C3B">
              <w:rPr>
                <w:noProof/>
                <w:sz w:val="20"/>
              </w:rPr>
              <w:t>nepoužije se</w:t>
            </w:r>
          </w:p>
        </w:tc>
      </w:tr>
      <w:tr w:rsidR="00ED11EB" w:rsidRPr="00EB0C3B" w14:paraId="10D0465C" w14:textId="77777777" w:rsidTr="00846B10">
        <w:trPr>
          <w:trHeight w:val="300"/>
          <w:jc w:val="center"/>
        </w:trPr>
        <w:tc>
          <w:tcPr>
            <w:tcW w:w="1028" w:type="pct"/>
            <w:tcBorders>
              <w:top w:val="double" w:sz="6" w:space="0" w:color="auto"/>
              <w:left w:val="nil"/>
              <w:bottom w:val="single" w:sz="6" w:space="0" w:color="auto"/>
              <w:right w:val="single" w:sz="6" w:space="0" w:color="auto"/>
            </w:tcBorders>
            <w:shd w:val="clear" w:color="auto" w:fill="auto"/>
            <w:hideMark/>
          </w:tcPr>
          <w:p w14:paraId="05A21867"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Růst potenciálního HDP (v %)</w:t>
            </w:r>
          </w:p>
        </w:tc>
        <w:tc>
          <w:tcPr>
            <w:tcW w:w="613" w:type="pct"/>
            <w:tcBorders>
              <w:top w:val="double" w:sz="6" w:space="0" w:color="auto"/>
              <w:left w:val="single" w:sz="6" w:space="0" w:color="auto"/>
              <w:bottom w:val="single" w:sz="6" w:space="0" w:color="auto"/>
              <w:right w:val="single" w:sz="6" w:space="0" w:color="auto"/>
            </w:tcBorders>
            <w:shd w:val="clear" w:color="auto" w:fill="auto"/>
            <w:hideMark/>
          </w:tcPr>
          <w:p w14:paraId="368EE190"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2,3</w:t>
            </w:r>
          </w:p>
        </w:tc>
        <w:tc>
          <w:tcPr>
            <w:tcW w:w="613" w:type="pct"/>
            <w:tcBorders>
              <w:top w:val="double" w:sz="6" w:space="0" w:color="auto"/>
              <w:left w:val="single" w:sz="6" w:space="0" w:color="auto"/>
              <w:bottom w:val="single" w:sz="6" w:space="0" w:color="auto"/>
              <w:right w:val="single" w:sz="6" w:space="0" w:color="auto"/>
            </w:tcBorders>
            <w:shd w:val="clear" w:color="auto" w:fill="auto"/>
            <w:hideMark/>
          </w:tcPr>
          <w:p w14:paraId="2270295B"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2,4</w:t>
            </w:r>
          </w:p>
        </w:tc>
        <w:tc>
          <w:tcPr>
            <w:tcW w:w="613" w:type="pct"/>
            <w:tcBorders>
              <w:top w:val="double" w:sz="6" w:space="0" w:color="auto"/>
              <w:left w:val="single" w:sz="6" w:space="0" w:color="auto"/>
              <w:bottom w:val="single" w:sz="6" w:space="0" w:color="auto"/>
              <w:right w:val="single" w:sz="6" w:space="0" w:color="auto"/>
            </w:tcBorders>
            <w:shd w:val="clear" w:color="auto" w:fill="auto"/>
            <w:hideMark/>
          </w:tcPr>
          <w:p w14:paraId="43EF4BF2"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1,7</w:t>
            </w:r>
          </w:p>
        </w:tc>
        <w:tc>
          <w:tcPr>
            <w:tcW w:w="613" w:type="pct"/>
            <w:tcBorders>
              <w:top w:val="double" w:sz="6" w:space="0" w:color="auto"/>
              <w:left w:val="single" w:sz="6" w:space="0" w:color="auto"/>
              <w:bottom w:val="single" w:sz="6" w:space="0" w:color="auto"/>
              <w:right w:val="single" w:sz="6" w:space="0" w:color="auto"/>
            </w:tcBorders>
            <w:shd w:val="clear" w:color="auto" w:fill="auto"/>
            <w:hideMark/>
          </w:tcPr>
          <w:p w14:paraId="4E414C1E"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1,4</w:t>
            </w:r>
          </w:p>
        </w:tc>
        <w:tc>
          <w:tcPr>
            <w:tcW w:w="646" w:type="pct"/>
            <w:tcBorders>
              <w:top w:val="double" w:sz="6" w:space="0" w:color="auto"/>
              <w:left w:val="single" w:sz="6" w:space="0" w:color="auto"/>
              <w:bottom w:val="single" w:sz="6" w:space="0" w:color="auto"/>
              <w:right w:val="single" w:sz="6" w:space="0" w:color="auto"/>
            </w:tcBorders>
            <w:shd w:val="clear" w:color="auto" w:fill="auto"/>
            <w:hideMark/>
          </w:tcPr>
          <w:p w14:paraId="3A12067F"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1,4</w:t>
            </w:r>
          </w:p>
        </w:tc>
        <w:tc>
          <w:tcPr>
            <w:tcW w:w="874" w:type="pct"/>
            <w:tcBorders>
              <w:top w:val="double" w:sz="6" w:space="0" w:color="auto"/>
              <w:left w:val="single" w:sz="6" w:space="0" w:color="auto"/>
              <w:bottom w:val="single" w:sz="6" w:space="0" w:color="auto"/>
              <w:right w:val="nil"/>
            </w:tcBorders>
            <w:shd w:val="clear" w:color="auto" w:fill="auto"/>
            <w:hideMark/>
          </w:tcPr>
          <w:p w14:paraId="609009AE"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1,7</w:t>
            </w:r>
          </w:p>
        </w:tc>
      </w:tr>
      <w:tr w:rsidR="00ED11EB" w:rsidRPr="00EB0C3B" w14:paraId="6F1179CF" w14:textId="77777777" w:rsidTr="00846B10">
        <w:trPr>
          <w:trHeight w:val="300"/>
          <w:jc w:val="center"/>
        </w:trPr>
        <w:tc>
          <w:tcPr>
            <w:tcW w:w="1028" w:type="pct"/>
            <w:tcBorders>
              <w:top w:val="single" w:sz="6" w:space="0" w:color="auto"/>
              <w:left w:val="nil"/>
              <w:bottom w:val="single" w:sz="6" w:space="0" w:color="auto"/>
              <w:right w:val="single" w:sz="6" w:space="0" w:color="auto"/>
            </w:tcBorders>
            <w:shd w:val="clear" w:color="auto" w:fill="auto"/>
            <w:hideMark/>
          </w:tcPr>
          <w:p w14:paraId="2127EB59"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Inflace (růst deflátoru HDP) (v %)</w:t>
            </w:r>
          </w:p>
        </w:tc>
        <w:tc>
          <w:tcPr>
            <w:tcW w:w="613" w:type="pct"/>
            <w:tcBorders>
              <w:top w:val="single" w:sz="6" w:space="0" w:color="auto"/>
              <w:left w:val="single" w:sz="6" w:space="0" w:color="auto"/>
              <w:bottom w:val="single" w:sz="6" w:space="0" w:color="auto"/>
              <w:right w:val="single" w:sz="6" w:space="0" w:color="auto"/>
            </w:tcBorders>
            <w:shd w:val="clear" w:color="auto" w:fill="auto"/>
            <w:hideMark/>
          </w:tcPr>
          <w:p w14:paraId="137C8A74"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4,6</w:t>
            </w:r>
          </w:p>
        </w:tc>
        <w:tc>
          <w:tcPr>
            <w:tcW w:w="613" w:type="pct"/>
            <w:tcBorders>
              <w:top w:val="single" w:sz="6" w:space="0" w:color="auto"/>
              <w:left w:val="single" w:sz="6" w:space="0" w:color="auto"/>
              <w:bottom w:val="single" w:sz="6" w:space="0" w:color="auto"/>
              <w:right w:val="single" w:sz="6" w:space="0" w:color="auto"/>
            </w:tcBorders>
            <w:shd w:val="clear" w:color="auto" w:fill="auto"/>
            <w:hideMark/>
          </w:tcPr>
          <w:p w14:paraId="2BD844CE"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3,2</w:t>
            </w:r>
          </w:p>
        </w:tc>
        <w:tc>
          <w:tcPr>
            <w:tcW w:w="613" w:type="pct"/>
            <w:tcBorders>
              <w:top w:val="single" w:sz="6" w:space="0" w:color="auto"/>
              <w:left w:val="single" w:sz="6" w:space="0" w:color="auto"/>
              <w:bottom w:val="single" w:sz="6" w:space="0" w:color="auto"/>
              <w:right w:val="single" w:sz="6" w:space="0" w:color="auto"/>
            </w:tcBorders>
            <w:shd w:val="clear" w:color="auto" w:fill="auto"/>
            <w:hideMark/>
          </w:tcPr>
          <w:p w14:paraId="22D46350"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3,1</w:t>
            </w:r>
          </w:p>
        </w:tc>
        <w:tc>
          <w:tcPr>
            <w:tcW w:w="613" w:type="pct"/>
            <w:tcBorders>
              <w:top w:val="single" w:sz="6" w:space="0" w:color="auto"/>
              <w:left w:val="single" w:sz="6" w:space="0" w:color="auto"/>
              <w:bottom w:val="single" w:sz="6" w:space="0" w:color="auto"/>
              <w:right w:val="single" w:sz="6" w:space="0" w:color="auto"/>
            </w:tcBorders>
            <w:shd w:val="clear" w:color="auto" w:fill="auto"/>
            <w:hideMark/>
          </w:tcPr>
          <w:p w14:paraId="48F2AAAF"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3,0</w:t>
            </w:r>
          </w:p>
        </w:tc>
        <w:tc>
          <w:tcPr>
            <w:tcW w:w="646" w:type="pct"/>
            <w:tcBorders>
              <w:top w:val="single" w:sz="6" w:space="0" w:color="auto"/>
              <w:left w:val="single" w:sz="6" w:space="0" w:color="auto"/>
              <w:bottom w:val="single" w:sz="6" w:space="0" w:color="auto"/>
              <w:right w:val="single" w:sz="6" w:space="0" w:color="auto"/>
            </w:tcBorders>
            <w:shd w:val="clear" w:color="auto" w:fill="auto"/>
            <w:hideMark/>
          </w:tcPr>
          <w:p w14:paraId="208AE560"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2,9</w:t>
            </w:r>
          </w:p>
        </w:tc>
        <w:tc>
          <w:tcPr>
            <w:tcW w:w="874" w:type="pct"/>
            <w:tcBorders>
              <w:top w:val="single" w:sz="6" w:space="0" w:color="auto"/>
              <w:left w:val="single" w:sz="6" w:space="0" w:color="auto"/>
              <w:bottom w:val="single" w:sz="6" w:space="0" w:color="auto"/>
              <w:right w:val="nil"/>
            </w:tcBorders>
            <w:shd w:val="clear" w:color="auto" w:fill="auto"/>
            <w:hideMark/>
          </w:tcPr>
          <w:p w14:paraId="0B8E59A3" w14:textId="77777777" w:rsidR="00ED11EB" w:rsidRPr="00EB0C3B" w:rsidRDefault="00ED11EB" w:rsidP="00D66941">
            <w:pPr>
              <w:keepNext/>
              <w:spacing w:before="0" w:after="0"/>
              <w:jc w:val="center"/>
              <w:textAlignment w:val="baseline"/>
              <w:rPr>
                <w:rFonts w:eastAsia="Times New Roman"/>
                <w:noProof/>
                <w:sz w:val="20"/>
                <w:szCs w:val="20"/>
              </w:rPr>
            </w:pPr>
            <w:r w:rsidRPr="00EB0C3B">
              <w:rPr>
                <w:noProof/>
                <w:sz w:val="20"/>
              </w:rPr>
              <w:t>3,1</w:t>
            </w:r>
          </w:p>
        </w:tc>
      </w:tr>
    </w:tbl>
    <w:p w14:paraId="0C7AF1DD" w14:textId="77777777" w:rsidR="00011084" w:rsidRPr="00EB0C3B" w:rsidRDefault="00011084" w:rsidP="00D66941">
      <w:pPr>
        <w:keepNext/>
        <w:spacing w:before="0" w:after="0"/>
        <w:textAlignment w:val="baseline"/>
        <w:rPr>
          <w:rFonts w:eastAsia="Times New Roman"/>
          <w:noProof/>
          <w:sz w:val="20"/>
          <w:szCs w:val="20"/>
        </w:rPr>
      </w:pPr>
      <w:r w:rsidRPr="00EB0C3B">
        <w:rPr>
          <w:noProof/>
          <w:sz w:val="20"/>
        </w:rPr>
        <w:t>Zdroj: střednědobý fiskálně-strukturální plán Slovenska a výpočty Komise. </w:t>
      </w:r>
    </w:p>
    <w:p w14:paraId="55644A63" w14:textId="77777777" w:rsidR="00E93773" w:rsidRPr="00EB0C3B" w:rsidRDefault="00011084" w:rsidP="00DD7610">
      <w:pPr>
        <w:textAlignment w:val="baseline"/>
        <w:rPr>
          <w:rFonts w:eastAsia="Times New Roman"/>
          <w:noProof/>
        </w:rPr>
      </w:pPr>
      <w:r w:rsidRPr="00EB0C3B">
        <w:rPr>
          <w:b/>
          <w:noProof/>
        </w:rPr>
        <w:t>Dopady závazků plánu týkajících se čistých výdajů na veřejný dluh</w:t>
      </w:r>
    </w:p>
    <w:p w14:paraId="038695EE" w14:textId="77777777" w:rsidR="00011084" w:rsidRPr="00EB0C3B" w:rsidRDefault="00011084" w:rsidP="00221142">
      <w:pPr>
        <w:pStyle w:val="Point0"/>
        <w:rPr>
          <w:noProof/>
        </w:rPr>
      </w:pPr>
      <w:r w:rsidRPr="00EB0C3B">
        <w:rPr>
          <w:noProof/>
        </w:rPr>
        <w:t>Pokud se naplní dráha čistých výdajů stanovená v plánu a výchozí předpoklady, veřejný dluh by se podle plánu postupně zvyšoval z 58,5 % v roce 2024 na 62,1 % HDP v roce 2027 a poté by se začal snižovat až na 61,4 % na konci období korekce (2028), jak je uvedeno v následující tabulce. Očekává se, že referenční hodnota 60 % HDP uvedená ve Smlouvě bude poprvé překročena v roce 2026, a to na úrovni 61,6 % HDP, a nad referenční hodnotou zůstane i v dalších letech období korekce. Následně se ve střednědobém horizontu (tj. do roku 2038) bude poměr dluhu k HDP podle plánu postupně snižovat až na 54,8 % HDP do roku 2038.</w:t>
      </w:r>
    </w:p>
    <w:p w14:paraId="73F4DD9A" w14:textId="77777777" w:rsidR="00011084" w:rsidRPr="00EB0C3B" w:rsidRDefault="00011084" w:rsidP="00D66941">
      <w:pPr>
        <w:keepNext/>
        <w:spacing w:before="0" w:after="0"/>
        <w:textAlignment w:val="baseline"/>
        <w:rPr>
          <w:rFonts w:eastAsia="Times New Roman"/>
          <w:noProof/>
        </w:rPr>
      </w:pPr>
      <w:r w:rsidRPr="00EB0C3B">
        <w:rPr>
          <w:b/>
          <w:noProof/>
        </w:rPr>
        <w:t>Tabulka 3: Vývoj veřejného dluhu a salda veřejných financí v plánu Slovenska</w:t>
      </w: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8"/>
        <w:gridCol w:w="1022"/>
        <w:gridCol w:w="1044"/>
        <w:gridCol w:w="958"/>
        <w:gridCol w:w="958"/>
        <w:gridCol w:w="958"/>
        <w:gridCol w:w="958"/>
        <w:gridCol w:w="1376"/>
      </w:tblGrid>
      <w:tr w:rsidR="00011084" w:rsidRPr="00EB0C3B" w14:paraId="3C6B7BC7" w14:textId="77777777" w:rsidTr="00846B10">
        <w:trPr>
          <w:trHeight w:val="300"/>
          <w:jc w:val="center"/>
        </w:trPr>
        <w:tc>
          <w:tcPr>
            <w:tcW w:w="2190" w:type="dxa"/>
            <w:tcBorders>
              <w:top w:val="single" w:sz="6" w:space="0" w:color="auto"/>
              <w:left w:val="nil"/>
              <w:bottom w:val="single" w:sz="6" w:space="0" w:color="auto"/>
              <w:right w:val="single" w:sz="6" w:space="0" w:color="auto"/>
            </w:tcBorders>
            <w:shd w:val="clear" w:color="auto" w:fill="auto"/>
            <w:hideMark/>
          </w:tcPr>
          <w:p w14:paraId="13E63FC7" w14:textId="77777777" w:rsidR="00011084" w:rsidRPr="00EB0C3B" w:rsidRDefault="00011084" w:rsidP="00D66941">
            <w:pPr>
              <w:keepNext/>
              <w:spacing w:before="0" w:after="0"/>
              <w:textAlignment w:val="baseline"/>
              <w:rPr>
                <w:rFonts w:eastAsia="Times New Roman"/>
                <w:noProof/>
                <w:sz w:val="20"/>
                <w:szCs w:val="20"/>
                <w:lang w:eastAsia="en-IE"/>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97F40"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2023</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37870"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3057C1"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A34348"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8F587"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003C1"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2028</w:t>
            </w:r>
          </w:p>
        </w:tc>
        <w:tc>
          <w:tcPr>
            <w:tcW w:w="1755" w:type="dxa"/>
            <w:tcBorders>
              <w:top w:val="single" w:sz="6" w:space="0" w:color="auto"/>
              <w:left w:val="single" w:sz="6" w:space="0" w:color="auto"/>
              <w:bottom w:val="single" w:sz="6" w:space="0" w:color="auto"/>
              <w:right w:val="nil"/>
            </w:tcBorders>
            <w:shd w:val="clear" w:color="auto" w:fill="auto"/>
            <w:vAlign w:val="center"/>
            <w:hideMark/>
          </w:tcPr>
          <w:p w14:paraId="3B2CB012"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2038</w:t>
            </w:r>
          </w:p>
        </w:tc>
      </w:tr>
      <w:tr w:rsidR="00011084" w:rsidRPr="00EB0C3B" w14:paraId="4D758ECE" w14:textId="77777777" w:rsidTr="00846B10">
        <w:trPr>
          <w:trHeight w:val="300"/>
          <w:jc w:val="center"/>
        </w:trPr>
        <w:tc>
          <w:tcPr>
            <w:tcW w:w="2190" w:type="dxa"/>
            <w:tcBorders>
              <w:top w:val="single" w:sz="6" w:space="0" w:color="auto"/>
              <w:left w:val="nil"/>
              <w:bottom w:val="single" w:sz="6" w:space="0" w:color="auto"/>
              <w:right w:val="single" w:sz="6" w:space="0" w:color="auto"/>
            </w:tcBorders>
            <w:shd w:val="clear" w:color="auto" w:fill="auto"/>
            <w:hideMark/>
          </w:tcPr>
          <w:p w14:paraId="027867F3" w14:textId="77777777" w:rsidR="00011084" w:rsidRPr="00EB0C3B" w:rsidRDefault="00011084" w:rsidP="00D66941">
            <w:pPr>
              <w:keepNext/>
              <w:spacing w:before="0" w:after="0"/>
              <w:textAlignment w:val="baseline"/>
              <w:rPr>
                <w:rFonts w:eastAsia="Times New Roman"/>
                <w:noProof/>
                <w:sz w:val="20"/>
                <w:szCs w:val="20"/>
              </w:rPr>
            </w:pPr>
            <w:r w:rsidRPr="00EB0C3B">
              <w:rPr>
                <w:noProof/>
                <w:sz w:val="20"/>
              </w:rPr>
              <w:t>Veřejný dluh </w:t>
            </w:r>
          </w:p>
          <w:p w14:paraId="603882E8" w14:textId="77777777" w:rsidR="00011084" w:rsidRPr="00EB0C3B" w:rsidRDefault="00011084" w:rsidP="00D66941">
            <w:pPr>
              <w:keepNext/>
              <w:spacing w:before="0" w:after="0"/>
              <w:textAlignment w:val="baseline"/>
              <w:rPr>
                <w:rFonts w:eastAsia="Times New Roman"/>
                <w:noProof/>
                <w:sz w:val="20"/>
                <w:szCs w:val="20"/>
              </w:rPr>
            </w:pPr>
            <w:r w:rsidRPr="00EB0C3B">
              <w:rPr>
                <w:noProof/>
                <w:sz w:val="20"/>
              </w:rPr>
              <w:t>(v % HDP)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302EFDF"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56,0</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52B93CF0"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58,5</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763B801"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59,8</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3796B8A9"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61,6</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C36EB03"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62,1</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1E28DBB"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61,4</w:t>
            </w:r>
          </w:p>
        </w:tc>
        <w:tc>
          <w:tcPr>
            <w:tcW w:w="1755" w:type="dxa"/>
            <w:tcBorders>
              <w:top w:val="single" w:sz="6" w:space="0" w:color="auto"/>
              <w:left w:val="single" w:sz="6" w:space="0" w:color="auto"/>
              <w:bottom w:val="single" w:sz="6" w:space="0" w:color="auto"/>
              <w:right w:val="nil"/>
            </w:tcBorders>
            <w:shd w:val="clear" w:color="auto" w:fill="auto"/>
            <w:hideMark/>
          </w:tcPr>
          <w:p w14:paraId="7B642F3F"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54,8</w:t>
            </w:r>
          </w:p>
        </w:tc>
      </w:tr>
      <w:tr w:rsidR="00011084" w:rsidRPr="00EB0C3B" w14:paraId="125D11C0" w14:textId="77777777" w:rsidTr="00846B10">
        <w:trPr>
          <w:trHeight w:val="300"/>
          <w:jc w:val="center"/>
        </w:trPr>
        <w:tc>
          <w:tcPr>
            <w:tcW w:w="2190" w:type="dxa"/>
            <w:tcBorders>
              <w:top w:val="single" w:sz="6" w:space="0" w:color="auto"/>
              <w:left w:val="nil"/>
              <w:bottom w:val="single" w:sz="6" w:space="0" w:color="auto"/>
              <w:right w:val="single" w:sz="6" w:space="0" w:color="auto"/>
            </w:tcBorders>
            <w:shd w:val="clear" w:color="auto" w:fill="auto"/>
            <w:hideMark/>
          </w:tcPr>
          <w:p w14:paraId="31F445AF" w14:textId="77777777" w:rsidR="00011084" w:rsidRPr="00EB0C3B" w:rsidRDefault="00011084" w:rsidP="00D66941">
            <w:pPr>
              <w:keepNext/>
              <w:spacing w:before="0" w:after="0"/>
              <w:textAlignment w:val="baseline"/>
              <w:rPr>
                <w:rFonts w:eastAsia="Times New Roman"/>
                <w:noProof/>
                <w:sz w:val="20"/>
                <w:szCs w:val="20"/>
              </w:rPr>
            </w:pPr>
            <w:r w:rsidRPr="00EB0C3B">
              <w:rPr>
                <w:noProof/>
                <w:sz w:val="20"/>
              </w:rPr>
              <w:t>Saldo veřejných financí </w:t>
            </w:r>
          </w:p>
          <w:p w14:paraId="0322240B" w14:textId="77777777" w:rsidR="00011084" w:rsidRPr="00EB0C3B" w:rsidRDefault="00011084" w:rsidP="00D66941">
            <w:pPr>
              <w:keepNext/>
              <w:spacing w:before="0" w:after="0"/>
              <w:textAlignment w:val="baseline"/>
              <w:rPr>
                <w:rFonts w:eastAsia="Times New Roman"/>
                <w:noProof/>
                <w:sz w:val="20"/>
                <w:szCs w:val="20"/>
              </w:rPr>
            </w:pPr>
            <w:r w:rsidRPr="00EB0C3B">
              <w:rPr>
                <w:noProof/>
                <w:sz w:val="20"/>
              </w:rPr>
              <w:t>(v % HDP)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FCD68D3"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–4,9</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163B54A7"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–5,9</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D2B47A8"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 5,1</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068F2B1"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 3,9</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533311D"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 2,9</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7F003F3"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 1,8</w:t>
            </w:r>
          </w:p>
        </w:tc>
        <w:tc>
          <w:tcPr>
            <w:tcW w:w="1755" w:type="dxa"/>
            <w:tcBorders>
              <w:top w:val="single" w:sz="6" w:space="0" w:color="auto"/>
              <w:left w:val="single" w:sz="6" w:space="0" w:color="auto"/>
              <w:bottom w:val="single" w:sz="6" w:space="0" w:color="auto"/>
              <w:right w:val="nil"/>
            </w:tcBorders>
            <w:shd w:val="clear" w:color="auto" w:fill="auto"/>
            <w:hideMark/>
          </w:tcPr>
          <w:p w14:paraId="3DD43E0B"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 2,3</w:t>
            </w:r>
          </w:p>
        </w:tc>
      </w:tr>
    </w:tbl>
    <w:p w14:paraId="177EBFDB" w14:textId="77777777" w:rsidR="00011084" w:rsidRPr="00EB0C3B" w:rsidRDefault="00011084" w:rsidP="00D66941">
      <w:pPr>
        <w:keepNext/>
        <w:spacing w:before="0" w:after="0"/>
        <w:textAlignment w:val="baseline"/>
        <w:rPr>
          <w:rFonts w:eastAsia="Times New Roman"/>
          <w:noProof/>
          <w:sz w:val="20"/>
          <w:szCs w:val="20"/>
        </w:rPr>
      </w:pPr>
      <w:r w:rsidRPr="00EB0C3B">
        <w:rPr>
          <w:noProof/>
          <w:sz w:val="20"/>
        </w:rPr>
        <w:t>Zdroj: střednědobý fiskálně-strukturální plán Slovenska.</w:t>
      </w:r>
    </w:p>
    <w:p w14:paraId="42555905" w14:textId="77777777" w:rsidR="00E93773" w:rsidRPr="00EB0C3B" w:rsidRDefault="00011084" w:rsidP="00221142">
      <w:pPr>
        <w:textAlignment w:val="baseline"/>
        <w:rPr>
          <w:rFonts w:eastAsia="Times New Roman"/>
          <w:noProof/>
          <w:szCs w:val="24"/>
        </w:rPr>
      </w:pPr>
      <w:r w:rsidRPr="00EB0C3B">
        <w:rPr>
          <w:noProof/>
        </w:rPr>
        <w:t>Podle plánu se tedy veřejný dluh ve střednědobém horizontu sníží pod referenční hodnotu 60 % HDP uvedenou ve Smlouvě. To se na základě předpokladů plánu jeví jako věrohodné, neboť podle všech deterministických zátěžových testů v rámci analýzy udržitelnosti dluhu provedené Komisí by dluh měl být do roku 2038 nižší než 60 % HDP. Na základě politických závazků a makroekonomických předpokladů plánu tudíž dráha čistých výdajů uvedená v plánu je v souladu s požadavky na dluh stanovenými v čl. 6 písm. a) a čl. 16 odst. 2 nařízení (EU) 2024/1263.</w:t>
      </w:r>
    </w:p>
    <w:p w14:paraId="5F44F027" w14:textId="77777777" w:rsidR="50529DA8" w:rsidRPr="00EB0C3B" w:rsidRDefault="007D7062" w:rsidP="00DD7610">
      <w:pPr>
        <w:rPr>
          <w:rFonts w:eastAsia="Times New Roman"/>
          <w:noProof/>
        </w:rPr>
      </w:pPr>
      <w:r w:rsidRPr="00EB0C3B">
        <w:rPr>
          <w:b/>
          <w:noProof/>
        </w:rPr>
        <w:t>Dopady závazků plánu týkajících se čistých výdajů na saldo veřejných financí</w:t>
      </w:r>
    </w:p>
    <w:p w14:paraId="72BDF21D" w14:textId="77777777" w:rsidR="00011084" w:rsidRPr="00EB0C3B" w:rsidRDefault="00011084" w:rsidP="00221142">
      <w:pPr>
        <w:pStyle w:val="Point0"/>
        <w:rPr>
          <w:noProof/>
        </w:rPr>
      </w:pPr>
      <w:r w:rsidRPr="00EB0C3B">
        <w:rPr>
          <w:noProof/>
        </w:rPr>
        <w:t>Na základě dráhy čistých výdajů a předpokladů plánu by schodek veřejných financí měl v roce 2024 dosáhnout 5,9 % HDP a postupně se snížit na 1,8 % v roce 2028. Očekává se, že v roce 2027 se schodek vrátí pod úroveň 3 % HDP a bude činit 2,9 % HDP. Podle plánu tedy saldo veřejných financí na konci období korekce (2028) nepřekročí referenční hodnotu 3 % HDP. Schodek veřejných financí kromě toho v průběhu deseti let po období korekce (tj. do roku 2038) nepřekročí 3 % HDP. Na základě politických závazků a makroekonomických předpokladů plánu je tudíž dráha čistých výdajů uvedená v plánu v souladu s požadavky na schodek stanovenými v čl. 6 písm. b) a čl. 16 odst. 2 nařízení (EU) 2024/1263.</w:t>
      </w:r>
    </w:p>
    <w:p w14:paraId="63676903" w14:textId="77777777" w:rsidR="00011084" w:rsidRPr="00EB0C3B" w:rsidRDefault="009C2063" w:rsidP="00DD7610">
      <w:pPr>
        <w:rPr>
          <w:rFonts w:eastAsia="Times New Roman"/>
          <w:noProof/>
          <w:szCs w:val="24"/>
        </w:rPr>
      </w:pPr>
      <w:r w:rsidRPr="00EB0C3B">
        <w:rPr>
          <w:b/>
          <w:noProof/>
        </w:rPr>
        <w:t>Časový profil fiskální korekce</w:t>
      </w:r>
      <w:r w:rsidRPr="00EB0C3B">
        <w:rPr>
          <w:rFonts w:asciiTheme="minorHAnsi" w:hAnsiTheme="minorHAnsi"/>
          <w:noProof/>
        </w:rPr>
        <w:t xml:space="preserve"> </w:t>
      </w:r>
    </w:p>
    <w:p w14:paraId="1134712F" w14:textId="77777777" w:rsidR="00011084" w:rsidRPr="00EB0C3B" w:rsidRDefault="00011084" w:rsidP="00221142">
      <w:pPr>
        <w:pStyle w:val="Point0"/>
        <w:rPr>
          <w:noProof/>
        </w:rPr>
      </w:pPr>
      <w:r w:rsidRPr="00EB0C3B">
        <w:rPr>
          <w:noProof/>
        </w:rPr>
        <w:t>Časový profil fiskální korekce, měřený změnou primárního strukturálního salda, podle plánu na rozdíl od výchozí lineární dráhy, kterou požaduje čl. 6 písm. c) nařízení (EU) 2024/1263, odkládá největší úsilí na závěr období. V roce 2025 činí fiskální korekce primárního strukturálního salda 0,8 procentního bodu, což je o 0,5 procentního bodu méně než průměrná roční korekce v horizontu plánu. Méně ambiciózní fiskální korekce v roce 2025 je vysvětlena odloženou realizací vojenských investic z předchozích let, které v roce 2025 dosáhnou 0,4 % HDP. Korekce tak odkládá úsilí na rok 2026, kdy má plánovaná korekce primárního strukturálního salda být o 0,5 procentního bodu vyšší než průměrná roční korekce. V letech 2027 a 2028 je korekce primárního strukturálního salda lineární. Na základě politických závazků a makroekonomických předpokladů plánu tudíž dráha čistých výdajů uvedená v plánu je v souladu s ochranným opatřením proti odkladu úsilí stanoveným v čl. 6 písm. c) a přechodným ustanovením čl. 36 odst. 1 písm. e) nařízení (EU) 2024/1263.</w:t>
      </w:r>
    </w:p>
    <w:p w14:paraId="67F093D5" w14:textId="77777777" w:rsidR="00011084" w:rsidRPr="00EB0C3B" w:rsidRDefault="00011084" w:rsidP="00D66941">
      <w:pPr>
        <w:keepNext/>
        <w:spacing w:before="0" w:after="0"/>
        <w:textAlignment w:val="baseline"/>
        <w:rPr>
          <w:rFonts w:eastAsia="Times New Roman"/>
          <w:noProof/>
        </w:rPr>
      </w:pPr>
      <w:r w:rsidRPr="00EB0C3B">
        <w:rPr>
          <w:b/>
          <w:noProof/>
        </w:rPr>
        <w:t>Tabulka 4: Vývoj primárního strukturálního salda v plánu Slovenska</w:t>
      </w: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4"/>
        <w:gridCol w:w="1221"/>
        <w:gridCol w:w="1241"/>
        <w:gridCol w:w="1124"/>
        <w:gridCol w:w="1124"/>
        <w:gridCol w:w="1124"/>
        <w:gridCol w:w="1124"/>
      </w:tblGrid>
      <w:tr w:rsidR="00011084" w:rsidRPr="00EB0C3B" w14:paraId="74C0A4AF" w14:textId="77777777" w:rsidTr="00846B10">
        <w:trPr>
          <w:trHeight w:val="300"/>
          <w:jc w:val="center"/>
        </w:trPr>
        <w:tc>
          <w:tcPr>
            <w:tcW w:w="1635" w:type="dxa"/>
            <w:tcBorders>
              <w:top w:val="single" w:sz="6" w:space="0" w:color="auto"/>
              <w:left w:val="nil"/>
              <w:bottom w:val="single" w:sz="6" w:space="0" w:color="auto"/>
              <w:right w:val="single" w:sz="6" w:space="0" w:color="auto"/>
            </w:tcBorders>
            <w:shd w:val="clear" w:color="auto" w:fill="auto"/>
            <w:hideMark/>
          </w:tcPr>
          <w:p w14:paraId="13644339" w14:textId="77777777" w:rsidR="00011084" w:rsidRPr="00EB0C3B" w:rsidRDefault="00011084" w:rsidP="00D66941">
            <w:pPr>
              <w:keepNext/>
              <w:spacing w:before="0" w:after="0"/>
              <w:textAlignment w:val="baseline"/>
              <w:rPr>
                <w:rFonts w:eastAsia="Times New Roman"/>
                <w:noProof/>
                <w:sz w:val="20"/>
                <w:szCs w:val="20"/>
                <w:lang w:eastAsia="en-IE"/>
              </w:rPr>
            </w:pP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3AA51"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2023</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99946"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2024</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A06F3"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2025</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C936B3"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2026</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44120"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2027</w:t>
            </w:r>
          </w:p>
        </w:tc>
        <w:tc>
          <w:tcPr>
            <w:tcW w:w="870" w:type="dxa"/>
            <w:tcBorders>
              <w:top w:val="single" w:sz="6" w:space="0" w:color="auto"/>
              <w:left w:val="single" w:sz="6" w:space="0" w:color="auto"/>
              <w:bottom w:val="single" w:sz="6" w:space="0" w:color="auto"/>
              <w:right w:val="nil"/>
            </w:tcBorders>
            <w:shd w:val="clear" w:color="auto" w:fill="auto"/>
            <w:vAlign w:val="center"/>
            <w:hideMark/>
          </w:tcPr>
          <w:p w14:paraId="27835781"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2028</w:t>
            </w:r>
          </w:p>
        </w:tc>
      </w:tr>
      <w:tr w:rsidR="00011084" w:rsidRPr="00EB0C3B" w14:paraId="7BA0DE74" w14:textId="77777777" w:rsidTr="00846B10">
        <w:trPr>
          <w:trHeight w:val="300"/>
          <w:jc w:val="center"/>
        </w:trPr>
        <w:tc>
          <w:tcPr>
            <w:tcW w:w="1635" w:type="dxa"/>
            <w:tcBorders>
              <w:top w:val="single" w:sz="6" w:space="0" w:color="auto"/>
              <w:left w:val="nil"/>
              <w:bottom w:val="single" w:sz="6" w:space="0" w:color="auto"/>
              <w:right w:val="single" w:sz="6" w:space="0" w:color="auto"/>
            </w:tcBorders>
            <w:shd w:val="clear" w:color="auto" w:fill="auto"/>
            <w:hideMark/>
          </w:tcPr>
          <w:p w14:paraId="1D7ACFF4"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Primární strukturální saldo</w:t>
            </w:r>
          </w:p>
          <w:p w14:paraId="0B887938"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(v % HDP)</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D9F07F4"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–3,5</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2900CE5E"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–4,3</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EF9C4DE"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–3,5</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F022E85"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–1,7</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1BF9529"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–0,3</w:t>
            </w:r>
          </w:p>
        </w:tc>
        <w:tc>
          <w:tcPr>
            <w:tcW w:w="870" w:type="dxa"/>
            <w:tcBorders>
              <w:top w:val="single" w:sz="6" w:space="0" w:color="auto"/>
              <w:left w:val="single" w:sz="6" w:space="0" w:color="auto"/>
              <w:bottom w:val="single" w:sz="6" w:space="0" w:color="auto"/>
              <w:right w:val="nil"/>
            </w:tcBorders>
            <w:shd w:val="clear" w:color="auto" w:fill="auto"/>
            <w:hideMark/>
          </w:tcPr>
          <w:p w14:paraId="6DCA0EA6"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1,0</w:t>
            </w:r>
          </w:p>
        </w:tc>
      </w:tr>
      <w:tr w:rsidR="00011084" w:rsidRPr="00EB0C3B" w14:paraId="25C55340" w14:textId="77777777" w:rsidTr="00846B10">
        <w:trPr>
          <w:trHeight w:val="300"/>
          <w:jc w:val="center"/>
        </w:trPr>
        <w:tc>
          <w:tcPr>
            <w:tcW w:w="1635" w:type="dxa"/>
            <w:tcBorders>
              <w:top w:val="single" w:sz="6" w:space="0" w:color="auto"/>
              <w:left w:val="nil"/>
              <w:bottom w:val="single" w:sz="6" w:space="0" w:color="auto"/>
              <w:right w:val="single" w:sz="6" w:space="0" w:color="auto"/>
            </w:tcBorders>
            <w:shd w:val="clear" w:color="auto" w:fill="auto"/>
            <w:hideMark/>
          </w:tcPr>
          <w:p w14:paraId="6582F48F"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Změna primárního strukturálního salda</w:t>
            </w:r>
          </w:p>
          <w:p w14:paraId="6BED0BDB"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(p. b.)</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FECBEB3" w14:textId="77777777" w:rsidR="00011084" w:rsidRPr="00EB0C3B" w:rsidRDefault="005D390A" w:rsidP="00D66941">
            <w:pPr>
              <w:keepNext/>
              <w:spacing w:before="0" w:after="0"/>
              <w:jc w:val="center"/>
              <w:textAlignment w:val="baseline"/>
              <w:rPr>
                <w:rFonts w:eastAsia="Times New Roman"/>
                <w:noProof/>
                <w:sz w:val="20"/>
                <w:szCs w:val="20"/>
              </w:rPr>
            </w:pPr>
            <w:r w:rsidRPr="00EB0C3B">
              <w:rPr>
                <w:noProof/>
                <w:sz w:val="20"/>
              </w:rPr>
              <w:t>nepoužije se</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385CD9D4"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–0,8</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D1D7D25"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0,8</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F56DA32"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1,8</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1FD7D44"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1,3</w:t>
            </w:r>
          </w:p>
        </w:tc>
        <w:tc>
          <w:tcPr>
            <w:tcW w:w="870" w:type="dxa"/>
            <w:tcBorders>
              <w:top w:val="single" w:sz="6" w:space="0" w:color="auto"/>
              <w:left w:val="single" w:sz="6" w:space="0" w:color="auto"/>
              <w:bottom w:val="single" w:sz="6" w:space="0" w:color="auto"/>
              <w:right w:val="nil"/>
            </w:tcBorders>
            <w:shd w:val="clear" w:color="auto" w:fill="auto"/>
            <w:hideMark/>
          </w:tcPr>
          <w:p w14:paraId="04BB7006" w14:textId="77777777" w:rsidR="00011084" w:rsidRPr="00EB0C3B" w:rsidRDefault="00011084" w:rsidP="00D66941">
            <w:pPr>
              <w:keepNext/>
              <w:spacing w:before="0" w:after="0"/>
              <w:jc w:val="center"/>
              <w:textAlignment w:val="baseline"/>
              <w:rPr>
                <w:rFonts w:eastAsia="Times New Roman"/>
                <w:noProof/>
                <w:sz w:val="20"/>
                <w:szCs w:val="20"/>
              </w:rPr>
            </w:pPr>
            <w:r w:rsidRPr="00EB0C3B">
              <w:rPr>
                <w:noProof/>
                <w:sz w:val="20"/>
              </w:rPr>
              <w:t>1,3</w:t>
            </w:r>
          </w:p>
        </w:tc>
      </w:tr>
    </w:tbl>
    <w:p w14:paraId="1E177327" w14:textId="77777777" w:rsidR="00011084" w:rsidRPr="00EB0C3B" w:rsidRDefault="00011084" w:rsidP="00D66941">
      <w:pPr>
        <w:keepNext/>
        <w:spacing w:before="0" w:after="0"/>
        <w:textAlignment w:val="baseline"/>
        <w:rPr>
          <w:rFonts w:eastAsia="Times New Roman"/>
          <w:noProof/>
          <w:sz w:val="20"/>
          <w:szCs w:val="20"/>
        </w:rPr>
      </w:pPr>
      <w:r w:rsidRPr="00EB0C3B">
        <w:rPr>
          <w:noProof/>
          <w:sz w:val="20"/>
        </w:rPr>
        <w:t>Zdroj: střednědobý fiskálně-strukturální plán Slovenska. </w:t>
      </w:r>
    </w:p>
    <w:p w14:paraId="703305D5" w14:textId="77777777" w:rsidR="007B4FEB" w:rsidRPr="00EB0C3B" w:rsidRDefault="007B4FEB" w:rsidP="00DD7610">
      <w:pPr>
        <w:pStyle w:val="IntrtEEE"/>
        <w:spacing w:before="120" w:after="120"/>
        <w:jc w:val="both"/>
        <w:rPr>
          <w:rFonts w:eastAsia="Times New Roman"/>
          <w:noProof/>
          <w:szCs w:val="24"/>
        </w:rPr>
      </w:pPr>
      <w:r w:rsidRPr="00EB0C3B">
        <w:rPr>
          <w:b/>
          <w:noProof/>
        </w:rPr>
        <w:t>Soulad s postupem při nadměrném schodku</w:t>
      </w:r>
      <w:r w:rsidRPr="00EB0C3B">
        <w:rPr>
          <w:noProof/>
        </w:rPr>
        <w:t xml:space="preserve"> </w:t>
      </w:r>
    </w:p>
    <w:p w14:paraId="7073B815" w14:textId="77777777" w:rsidR="00B2561E" w:rsidRPr="00EB0C3B" w:rsidRDefault="00876314" w:rsidP="00221142">
      <w:pPr>
        <w:pStyle w:val="Point0"/>
        <w:rPr>
          <w:noProof/>
        </w:rPr>
      </w:pPr>
      <w:r w:rsidRPr="00EB0C3B">
        <w:rPr>
          <w:noProof/>
        </w:rPr>
        <w:t>Dráha čistých výdajů uvedená v plánu je v souladu s požadavky podle postupu při nadměrném schodku (zejména s minimální roční strukturální korekcí stanovenou v čl. 3 odst. 4 třetím pododstavci nařízení Rady (ES) č. 1467/97).</w:t>
      </w:r>
    </w:p>
    <w:p w14:paraId="2269F9A3" w14:textId="77777777" w:rsidR="00AE57E0" w:rsidRPr="00EB0C3B" w:rsidRDefault="00A2759B" w:rsidP="00DD7610">
      <w:pPr>
        <w:rPr>
          <w:b/>
          <w:bCs/>
          <w:noProof/>
        </w:rPr>
      </w:pPr>
      <w:r w:rsidRPr="00EB0C3B">
        <w:rPr>
          <w:b/>
          <w:noProof/>
        </w:rPr>
        <w:t>Soulad plánu s ochranným opatřením pro odolnost schodku</w:t>
      </w:r>
    </w:p>
    <w:p w14:paraId="569AAD5E" w14:textId="77777777" w:rsidR="00056A26" w:rsidRPr="00EB0C3B" w:rsidRDefault="00011084" w:rsidP="00221142">
      <w:pPr>
        <w:pStyle w:val="Point0"/>
        <w:rPr>
          <w:noProof/>
        </w:rPr>
      </w:pPr>
      <w:r w:rsidRPr="00EB0C3B">
        <w:rPr>
          <w:noProof/>
        </w:rPr>
        <w:t>Požadavek preventivní složky stanovený v článku 8 nařízení č. 2024/1263 týkající se ochranného opatření pro odolnost schodku, jehož cílem je zajistit společnou rezervu ve vztahu k referenční hodnotě schodku ve výši 3 %, se na Slovensko vztahuje od roku 2028, neboť se plánuje, že od roku 2027 bude schodek nižší než 3 % HDP. V roce 2028 by roční korekce primárního strukturálního salda s cílem dosáhnout společné rezervy pro odolnost ve strukturálním vyjádření ve výši 1,5 % HDP neměla být nižší než 0,4 % HDP, jestliže strukturální schodek v roce 2027 zůstane nad 1,5 % HDP. Fiskální korekce, která vyplývá z politických závazků a makroekonomických předpokladů plánu, činí v roce 2028 1,3 %. Na základě politických závazků a makroekonomických předpokladů plánu tudíž dráha čistých výdajů uvedená v plánu je v souladu s ochranným opatřením pro odolnost schodku. </w:t>
      </w:r>
    </w:p>
    <w:p w14:paraId="06F9D01C" w14:textId="77777777" w:rsidR="006C2088" w:rsidRPr="00EB0C3B" w:rsidRDefault="00A2759B" w:rsidP="00DD7610">
      <w:pPr>
        <w:rPr>
          <w:b/>
          <w:bCs/>
          <w:noProof/>
        </w:rPr>
      </w:pPr>
      <w:r w:rsidRPr="00EB0C3B">
        <w:rPr>
          <w:b/>
          <w:noProof/>
        </w:rPr>
        <w:t>Soulad plánu s ochranným opatřením pro udržitelnost dluhu</w:t>
      </w:r>
    </w:p>
    <w:p w14:paraId="38B1774C" w14:textId="77777777" w:rsidR="00011084" w:rsidRPr="00EB0C3B" w:rsidRDefault="00011084" w:rsidP="00221142">
      <w:pPr>
        <w:pStyle w:val="Point0"/>
        <w:rPr>
          <w:noProof/>
        </w:rPr>
      </w:pPr>
      <w:r w:rsidRPr="00EB0C3B">
        <w:rPr>
          <w:noProof/>
        </w:rPr>
        <w:t>Veřejný dluh bude podle plánu v letech 2026, 2027 a 2028 dosahovat úrovně mezi 60 % a 90 % HDP. Jelikož se však schodek veřejných financí podle plánu v roce 2027 sníží pod 3 % HDP, v důsledku čehož by v závěrečném roce období korekce došlo ke zrušení rozhodnutí o existenci nadměrného schodku, ochranné opatření pro udržitelnost dluhu se během období, na něž se vztahuje plán, nepoužije.</w:t>
      </w:r>
    </w:p>
    <w:p w14:paraId="5BEC93CE" w14:textId="77777777" w:rsidR="00E93773" w:rsidRPr="00EB0C3B" w:rsidRDefault="0010118B" w:rsidP="00DD7610">
      <w:pPr>
        <w:textAlignment w:val="baseline"/>
        <w:rPr>
          <w:rFonts w:eastAsia="Times New Roman"/>
          <w:noProof/>
        </w:rPr>
      </w:pPr>
      <w:r w:rsidRPr="00EB0C3B">
        <w:rPr>
          <w:b/>
          <w:noProof/>
        </w:rPr>
        <w:t>Makroekonomické předpoklady plánu</w:t>
      </w:r>
      <w:r w:rsidRPr="00EB0C3B">
        <w:rPr>
          <w:noProof/>
        </w:rPr>
        <w:t> </w:t>
      </w:r>
    </w:p>
    <w:p w14:paraId="1DEF1C4E" w14:textId="77777777" w:rsidR="00011084" w:rsidRPr="00EB0C3B" w:rsidRDefault="00011084" w:rsidP="00221142">
      <w:pPr>
        <w:pStyle w:val="Point0"/>
        <w:rPr>
          <w:noProof/>
        </w:rPr>
      </w:pPr>
      <w:r w:rsidRPr="00EB0C3B">
        <w:rPr>
          <w:noProof/>
        </w:rPr>
        <w:t>Plán vychází ze souboru makroekonomických a fiskálních předpokladů, který je v souladu s předpoklady Komise, jež byly Slovensku předány dne 21. června 2024. Zohledňuje další dostupné informace ve srovnání s referenční trajektorií a zahrnuje odpovídajícím způsobem aktualizované makroekonomické a fiskální ukazatele. Dopad této aktualizace nemá významný vliv na průměrný růst čistých výdajů uvedený v plánu ve srovnání s referenční trajektorií.</w:t>
      </w:r>
    </w:p>
    <w:p w14:paraId="01A987A1" w14:textId="77777777" w:rsidR="00E93773" w:rsidRPr="00EB0C3B" w:rsidRDefault="000F4B8F" w:rsidP="00DD7610">
      <w:pPr>
        <w:textAlignment w:val="baseline"/>
        <w:rPr>
          <w:rFonts w:eastAsia="Times New Roman"/>
          <w:noProof/>
        </w:rPr>
      </w:pPr>
      <w:r w:rsidRPr="00EB0C3B">
        <w:rPr>
          <w:b/>
          <w:noProof/>
        </w:rPr>
        <w:t>Fiskální strategie plánu</w:t>
      </w:r>
    </w:p>
    <w:p w14:paraId="5FC4E8DA" w14:textId="77777777" w:rsidR="00E93773" w:rsidRPr="00EB0C3B" w:rsidRDefault="00011084" w:rsidP="00221142">
      <w:pPr>
        <w:pStyle w:val="Point0"/>
        <w:rPr>
          <w:noProof/>
        </w:rPr>
      </w:pPr>
      <w:r w:rsidRPr="00EB0C3B">
        <w:rPr>
          <w:noProof/>
        </w:rPr>
        <w:t>Podle orientační fiskální strategie uvedené v plánu budou závazky týkající se čistých výdajů realizovány především prostřednictvím diskrečního zvyšování příjmů. Plán představuje opatření, která představují jednu třetinu cílové částky, zatímco zbývající dvě třetiny budou upřesněny v následujících ročních rozpočtech. Plánovaná fiskální konsolidace v roce 2025 vychází z plánovaných opatření ke zvýšení příjmů a snížení výdajů obsažených v návrhu rozpočtového plánu na rok 2025. Zahrnuje zvýšení daní z přidané hodnoty a daní z příjmů právnických osob, nové daně z finančních transakcí pro podniky a vyšší spotřební daně na slazené nápoje a tabákové a jiné než tabákové výrobky. Na straně výdajů tato opatření zahrnují postupné ukončení stávajících podpůrných opatření souvisejících s vysokými cenami energií a snížení mezd ve veřejném sektoru. Diskreční zvyšování příjmů činí 1,6 % HDP, zatímco snížení výdajů 0,6 % HDP. Slovensko však také plánuje zvýšit výdaje o 0,6 % HDP, což povede k čisté konsolidaci ve výši 1,6 % HDP. </w:t>
      </w:r>
    </w:p>
    <w:p w14:paraId="2025EA56" w14:textId="77777777" w:rsidR="00011084" w:rsidRPr="00EB0C3B" w:rsidRDefault="00011084" w:rsidP="00221142">
      <w:pPr>
        <w:pStyle w:val="Point0"/>
        <w:rPr>
          <w:noProof/>
        </w:rPr>
      </w:pPr>
      <w:r w:rsidRPr="00EB0C3B">
        <w:rPr>
          <w:noProof/>
        </w:rPr>
        <w:t>Přesná specifikace příslušných politických opatření bude potvrzena nebo korigována a vyčíslena v ročních rozpočtech. Provádění orientační fiskální strategie uvedené v plánu nadále ohrožují některá rizika. Tato rizika vyplývají z toho, že fiskální korekce je založena především na diskrečním zvyšování příjmů. Břemeno silného konsolidačního úsilí je přeneseno na domácnosti a podniky, nikoli na vládu. Taková konsolidační strategie může mít další makroekonomické dopady s možnými fiskálními důsledky. Daňová konsolidace s sebou nese zejména fiskální riziko nižšího výběru daňových příjmů, než se předpokládá v plánu. Návrh rozpočtového plánu na rok 2025 upřesňuje politická opatření, jejichž prostřednictvím bude splněn závazek týkající se čistých výdajů na rok 2025</w:t>
      </w:r>
      <w:r w:rsidR="00DA3F64" w:rsidRPr="00EB0C3B">
        <w:rPr>
          <w:rStyle w:val="FootnoteReference"/>
          <w:noProof/>
        </w:rPr>
        <w:footnoteReference w:id="14"/>
      </w:r>
      <w:r w:rsidRPr="00EB0C3B">
        <w:rPr>
          <w:noProof/>
        </w:rPr>
        <w:t>. </w:t>
      </w:r>
    </w:p>
    <w:p w14:paraId="699B9CD6" w14:textId="77777777" w:rsidR="00E93773" w:rsidRPr="00EB0C3B" w:rsidRDefault="6B491B55" w:rsidP="00DD7610">
      <w:pPr>
        <w:rPr>
          <w:rFonts w:eastAsia="Times New Roman"/>
          <w:noProof/>
        </w:rPr>
      </w:pPr>
      <w:r w:rsidRPr="00EB0C3B">
        <w:rPr>
          <w:b/>
          <w:noProof/>
        </w:rPr>
        <w:t>Reformní a investiční záměry v plánu reagující na hlavní výzvy zjištěné v rámci evropského semestru a zaměřené na společné priority Unie</w:t>
      </w:r>
    </w:p>
    <w:p w14:paraId="11DCB568" w14:textId="77777777" w:rsidR="00E93773" w:rsidRPr="00EB0C3B" w:rsidRDefault="00011084" w:rsidP="00221142">
      <w:pPr>
        <w:pStyle w:val="Point0"/>
        <w:rPr>
          <w:noProof/>
        </w:rPr>
      </w:pPr>
      <w:r w:rsidRPr="00EB0C3B">
        <w:rPr>
          <w:noProof/>
        </w:rPr>
        <w:t>Plán popisuje politické záměry týkající se reforem a investic, jejichž cílem je reagovat na hlavní výzvy zjištěné v rámci evropského semestru, zejména v doporučeních pro jednotlivé země, včetně doporučení v souvislosti s postupem při makroekonomické nerovnováze, a řešit společné priority EU. Konkrétně plán zahrnuje 18 reforem a 11 investic, z nichž 18 je finančně podporováno z Nástroje pro oživení a odolnost a 1 z fondů politiky soudržnosti.</w:t>
      </w:r>
    </w:p>
    <w:p w14:paraId="5B280D54" w14:textId="77777777" w:rsidR="009D22D0" w:rsidRPr="00EB0C3B" w:rsidRDefault="00011084" w:rsidP="00221142">
      <w:pPr>
        <w:pStyle w:val="Point0"/>
        <w:rPr>
          <w:noProof/>
        </w:rPr>
      </w:pPr>
      <w:r w:rsidRPr="00EB0C3B">
        <w:rPr>
          <w:noProof/>
        </w:rPr>
        <w:t>Pokud jde o společnou prioritu, jíž je spravedlivá ekologická transformace, včetně klimatických cílů stanovených v nařízení (EU) 2021/1119, plán představuje modernizaci nízkouhlíkové dopravní infrastruktury, která je zahrnuta v plánu pro oživení a odolnost, jenž má prodloužit délku rekonstruované nebo modernizované železniční infrastruktury využívající čisté technologie. Toto opatření má reagovat na doporučení v pro jednotlivé země na roky 2019, 2020, 2022 a 2023 týkající se udržitelné veřejné dopravy a snižování závislosti na fosilních palivech. Kromě toho plán zahrnuje (v rámci plánu pro oživení a odolnost) projekty zaměřené na řešení výzev související s ekologickou transformací vydáváním tematických výzev v souladu s prioritami programu Horizont Evropa. Tato investice reaguje na doporučení pro jednotlivé země určené pro Slovensko na roky 2019, 2020, 2022 a 2023, která se týkají snížení závislosti na fosilních palivech, podpory ekologické transformace a zaměření investic na výzkum a inovace. Plán představuje i další opatření ekologické transformace, na něž se vztahuje plán pro oživení a odolnost, jako je reforma trhu s elektřinou, změna zákona o odpadech, přičemž obojí již bylo provedeno, a zákon o ochraně přírody a zákon o vodách. Na podporu spravedlivé digitální transformace zahrnulo Slovensko opatření, jako je systém elektronické fakturace a lepší elektronické služby pro finanční správu. Cílem těchto opatření je řešit daňové úniky a podporovat přístup zaměřený na klienta. Přímo souvisejí s doporučeními pro jednotlivé země, která se zasazují o posílení dodržování daňových předpisů a digitalizaci daňové správy a která jsou určena Slovensku pro roky 2022, 2023 a 2024. Součástí plánu jsou také investice do výzkumu a inovací na podporu digitalizace hospodářství (v rámci plánu pro oživení a odolnost), které mají reagovat na doporučení pro jednotlivé země na roky 2019, 2020 a 2024 týkající se podpory výzkumu, inovací a konkurenceschopnosti. Kromě toho zahrnuje plán reformu, jejímž cílem je zřídit centralizovanou platformu pro zadávání veřejných zakázek na IT zdroje (v rámci plánu pro oživení a odolnost), což má přispět k reagování na doporučení pro jednotlivé země na roky 2019 a 2020 týkající se digitální infrastruktury a kvalitních veřejných služeb. </w:t>
      </w:r>
    </w:p>
    <w:p w14:paraId="2A943259" w14:textId="77777777" w:rsidR="00F213E1" w:rsidRPr="00EB0C3B" w:rsidRDefault="00011084" w:rsidP="00221142">
      <w:pPr>
        <w:pStyle w:val="Point0"/>
        <w:rPr>
          <w:noProof/>
        </w:rPr>
      </w:pPr>
      <w:r w:rsidRPr="00EB0C3B">
        <w:rPr>
          <w:noProof/>
        </w:rPr>
        <w:t>Pokud jde o společnou prioritu, jíž je sociální a hospodářská odolnost, včetně evropského pilíře sociálních práv, zahrnuje plán několik opatření. Zavádí se cílenější daňové zvýhodnění na podporu rodin s dětmi, které je zaměřeno zejména na domácnosti s nízkými příjmy, čímž se má přispět k sociální odolnosti. Cílem tohoto opatření je řešit doporučení pro jednotlivé země na roky 2022, 2023 a 2024 týkající se zlepšení efektivity veřejných výdajů a zajištění toho, aby struktura daní více podporovala udržitelný růst podporující začlenění. Sociální odolnost je spojena s energetickou transformací v investicích týkajících se renovace bydlení pro domácnosti trpící energetickou chudobou, jejichž cílem je zvýšit počet renovovaných domů pro osoby ohrožené energetickou chudobou a které mají reagovat na doporučení pro jednotlivé země na roky 2019, 2020, 2022 a 2023. Kromě toho Slovensko zahrnulo reformu, jež má posílit inkluzi a odstranění segregace ve vzdělávání coby součást nového legislativního balíčku školských zákonů a která má reagovat na doporučení pro jednotlivé země na roky 2019, 2020 a 2024 týkající se zlepšení kvality a inkluzivnosti vzdělávání, zejména pro děti ze znevýhodněného prostředí. Mezi další opatření, která mají zlepšit sociální odolnost, patří dobudování kapacit mateřských škol (v rámci plánu pro oživení a odolnost), vymezení speciálních vzdělávacích potřeb a příprava metodických materiálů (v rámci plánu pro oživení a odolnost), reforma učebních osnov v základním vzdělávání (v rámci plánu pro oživení a odolnost), přičemž všechna mají reagovat na doporučení pro jednotlivé země na roky 2019, 2020 a 2024 týkající se zlepšení kvality a inkluzivnosti vzdělávání, zlepšení přístupu k cenově dostupné péči o děti a podpory integrace znevýhodněných skupin. Opatření zaměřená na hospodářskou odolnost zahrnují vypracování Průmyslové politiky Slovenské republiky na období 2027–2035, která má řešit doporučení pro jednotlivé země na roky 2019 a 2024 týkající se potřeby zvýšit konkurenceschopnost. Kromě toho Slovensko zahrnulo do plánu reformu řízení, hodnocení a podpory vědy, výzkumu a inovací (v rámci plánu pro oživení a odolnost) a investice na podporu spolupráce mezi podniky, akademickou obcí a výzkumnými a vývojovými organizacemi, přičemž reforma i investice mají reagovat na obdobná doporučení pro jednotlivé země na roky 2019, 2020 a 2024 týkající se podpory výzkumu a inovací a zvyšování konkurenceschopnosti. V neposlední řadě má Slovensko v rámci plnění doporučení pro jednotlivé země na roky 2019, 2023 a 2024, která se týkají makroekonomických zranitelností, jež tato země zažívá na trhu s bydlením, v úmyslu změnit stavební zákon, zjednodušit stavební řízení a rozšířit dostupnost nájemního bydlení. Jeho cílem je rovněž provádění zákona o státní podpoře veřejného bydlení, aby se zlepšil přístup k cenově dostupným možnostem pronájmu. Plán neobsahuje opatření, která by se zabývala doporučeními pro jednotlivé země týkajícími se posílení výuky základních dovedností a zvýšení účasti dětí mladších tří let ve formální péči o děti (doporučeno pro rok 2024) a zajištění likvidity pro malé a střední podniky (doporučeno pro rok 2020). </w:t>
      </w:r>
    </w:p>
    <w:p w14:paraId="125C4A37" w14:textId="77777777" w:rsidR="00F213E1" w:rsidRPr="00EB0C3B" w:rsidRDefault="00011084" w:rsidP="00221142">
      <w:pPr>
        <w:pStyle w:val="Point0"/>
        <w:rPr>
          <w:noProof/>
        </w:rPr>
      </w:pPr>
      <w:r w:rsidRPr="00EB0C3B">
        <w:rPr>
          <w:noProof/>
        </w:rPr>
        <w:t>Pokud jde o společnou prioritu, jíž je energetická bezpečnost, plán zahrnuje reformu týkající se vypracování legislativních návrhů pro účinné zavádění vodíkových technologií v souladu s požadavky EU a vnitrostátními prioritami, přičemž se jedná o Akční plán pro národní vodíkovou strategii, který je součástí kapitoly REPowerEU v plánu pro oživení a odolnost. Cílem této reformy je řešit doporučení pro jednotlivé země, která Slovensko obdrželo v letech 2020, 2022 a 2023 v oblasti snižování celkové závislosti na fosilních palivech. Kromě toho chce Slovensko výstavbou nových obnovitelných zdrojů elektřiny (v rámci plánu pro oživení a odolnost) vyrobit 122,4 MW nové elektřiny. Cílem této investice je řešit doporučení pro jednotlivé země na roky 2020, 2022 a 2023, podle nichž je vhodné urychlit zavádění obnovitelných zdrojů energie. Kromě toho Slovensko do plánu zahrnulo investici (v rámci plánu pro oživení a odolnost) do modernizace distribučních energetických systémů s cílem usnadnit postupy pro připojení obnovitelných zdrojů k síti, čímž hodlá reagovat na doporučení pro jednotlivé země na roky 2020, 2022 a 2023. </w:t>
      </w:r>
    </w:p>
    <w:p w14:paraId="7997D733" w14:textId="77777777" w:rsidR="00011084" w:rsidRPr="00EB0C3B" w:rsidRDefault="00011084" w:rsidP="00221142">
      <w:pPr>
        <w:pStyle w:val="Point0"/>
        <w:rPr>
          <w:noProof/>
        </w:rPr>
      </w:pPr>
      <w:r w:rsidRPr="00EB0C3B">
        <w:rPr>
          <w:noProof/>
        </w:rPr>
        <w:t>Pokud jde o společnou prioritu, jíž jsou obranné kapacity, zahrnuje plán opatření k realizaci vybraných projektů, mezi něž patří zejména vývoj kolových obrněných vozidel 8x8 a systému protivzdušné obrany středního dosahu coby součást dlouhodobého plánu rozvoje ministerstva obrany do roku 2035.</w:t>
      </w:r>
    </w:p>
    <w:p w14:paraId="5127BAB5" w14:textId="77777777" w:rsidR="00F213E1" w:rsidRPr="00EB0C3B" w:rsidRDefault="00011084" w:rsidP="00221142">
      <w:pPr>
        <w:pStyle w:val="Point0"/>
        <w:rPr>
          <w:noProof/>
        </w:rPr>
      </w:pPr>
      <w:r w:rsidRPr="00EB0C3B">
        <w:rPr>
          <w:noProof/>
        </w:rPr>
        <w:t>Dále plán obsahuje politické opatření, které má nahradit stávající rodičovský důchod mechanismem umožňujícím vrácení části daně zaplacené rodičům a jehož cílem je reagovat na doporučení pro roky 2019 a 2024 týkající se potřeby zachovat udržitelnost veřejných financí a snížit nákladná výdajová opatření. K omezení veřejných výdajů navíc přispěje opatření ke snížení počtu úředníků a zaměstnanců veřejného sektoru o 5 000 v letech 2025–2027 (doporučení pro jednotlivé země na rok 2024). Kromě toho plán zahrnuje také reformu centrálního systému pro řízení nemocnic (v rámci plánu pro oživení a odolnost), která má reagovat na doporučení pro roky 2019 a 2020 týkající se udržitelnosti veřejných financí v odvětví zdravotnictví a potřebu posílit odolnost zdravotnictví; reformu spočívající v zavedení nové sítě soudů (v rámci plánu pro oživení a odolnost), která má reagovat na doporučení pro jednotlivé země na roky 2019 a 2020 týkající se efektivity soudního systému, a opatření týkající se zřízení center sdílených služeb (v rámci plánu pro oživení a odolnost) s cílem zlepšit účinnost základních veřejných služeb, které má reagovat na doporučení pro jednotlivé země na roky 2020 a 2024 týkající se zlepšení kvality veřejných služeb. Plán nezahrnuje opatření, která by se zabývala doporučeními pro jednotlivé země v oblasti nezávislosti a integrity soudního a protikorupčního systému (doporučeno v letech 2019 a 2024) a prosazováním rámce pro boj proti praní peněz (doporučeno v roce 2020). </w:t>
      </w:r>
    </w:p>
    <w:p w14:paraId="7C32A344" w14:textId="77777777" w:rsidR="00F702EA" w:rsidRPr="00EB0C3B" w:rsidRDefault="00011084" w:rsidP="00221142">
      <w:pPr>
        <w:pStyle w:val="Point0"/>
        <w:rPr>
          <w:noProof/>
        </w:rPr>
      </w:pPr>
      <w:r w:rsidRPr="00EB0C3B">
        <w:rPr>
          <w:noProof/>
        </w:rPr>
        <w:t>Plán obsahuje informace o soudržnosti a v příslušných případech též komplementaritě s fondy politiky soudržnosti a s plánem pro oživení a odolnost Slovenska. Konkrétně plán zahrnuje investici zahrnutou v plánu pro oživení a odolnost (investice 4 složky 16), která zřizuje centra sdílených služeb, jež mají zvýšit efektivitu a dostupnost základních veřejných služeb. Financování personálních kapacit center sdílených služeb bude zajištěno prostřednictvím výzvy financované z fondů politiky soudržnosti. </w:t>
      </w:r>
    </w:p>
    <w:p w14:paraId="3DAE6F06" w14:textId="77777777" w:rsidR="00011084" w:rsidRPr="00EB0C3B" w:rsidRDefault="00011084" w:rsidP="00221142">
      <w:pPr>
        <w:pStyle w:val="Point0"/>
        <w:rPr>
          <w:noProof/>
        </w:rPr>
      </w:pPr>
      <w:r w:rsidRPr="00EB0C3B">
        <w:rPr>
          <w:noProof/>
        </w:rPr>
        <w:t>Plán podává přehled potřeb Slovenska v oblasti veřejných investic souvisejících se společnými prioritami EU. Pokud jde o společnou prioritu, jíž je spravedlivá ekologická a digitální transformace, včetně souladu s evropským právním rámcem pro klima, opatření zahrnují zvýšení energetické účinnosti ve všech odvětvích a nahrazení fosilních paliv udržitelnějšími alternativami, směřování investic do jaderné, solární a větrné energie. Investiční potřeby se navíc zaměřují na zlepšení přístupu k digitálním službám veřejné správy a jejich využívání v souladu se slovenským národním strategickým plánem pro digitální dekádu. V zájmu zajištění sociální a hospodářské odolnosti plánuje Slovensko postupně zvyšovat veřejné výdaje na výzkum a vývoj do roku 2030. Pro zvýšení energetické bezpečnosti Slovensko uznává, že je třeba diverzifikovat dovozy různých druhů surovin coby střednědobé investiční řešení, a to budováním nových propojení, a dlouhodobě investovat do obnovitelných zdrojů energie a jaderné energie. V zájmu zajištění bezpečnosti, plnění závazků vůči NATO a EU a udržení regionální stability pokračují v zemi investice do projektů modernizace obrany, jejichž hlavním cílem je zajistit nové a moderní vojenské vybavení plně kompatibilní s vybavením členských zemí NATO. Plán zahrnuje zvýšení výdajů na obranu, aby bylo v souladu se závazky vůči NATO dosaženo cíle 2 % HDP.</w:t>
      </w:r>
    </w:p>
    <w:p w14:paraId="67E614D1" w14:textId="77777777" w:rsidR="00C25840" w:rsidRPr="00EB0C3B" w:rsidRDefault="00011084" w:rsidP="00DD7610">
      <w:pPr>
        <w:textAlignment w:val="baseline"/>
        <w:rPr>
          <w:rFonts w:eastAsia="Times New Roman"/>
          <w:noProof/>
        </w:rPr>
      </w:pPr>
      <w:r w:rsidRPr="00EB0C3B">
        <w:rPr>
          <w:b/>
          <w:noProof/>
        </w:rPr>
        <w:t>Závěr posouzení Komise</w:t>
      </w:r>
      <w:r w:rsidRPr="00EB0C3B">
        <w:rPr>
          <w:noProof/>
        </w:rPr>
        <w:t> </w:t>
      </w:r>
    </w:p>
    <w:p w14:paraId="00B97563" w14:textId="77777777" w:rsidR="00C25840" w:rsidRPr="00EB0C3B" w:rsidRDefault="267EB94E" w:rsidP="00221142">
      <w:pPr>
        <w:pStyle w:val="Point0"/>
        <w:rPr>
          <w:noProof/>
        </w:rPr>
      </w:pPr>
      <w:r w:rsidRPr="00EB0C3B">
        <w:rPr>
          <w:noProof/>
        </w:rPr>
        <w:t>Celkově Komise zastává názor, že plán Slovenska splňuje požadavky nařízení (EU) 2024/1263.</w:t>
      </w:r>
    </w:p>
    <w:p w14:paraId="65D91A2C" w14:textId="77777777" w:rsidR="50529DA8" w:rsidRPr="00EB0C3B" w:rsidRDefault="267EB94E" w:rsidP="00DD7610">
      <w:pPr>
        <w:rPr>
          <w:noProof/>
        </w:rPr>
      </w:pPr>
      <w:r w:rsidRPr="00EB0C3B">
        <w:rPr>
          <w:b/>
          <w:noProof/>
        </w:rPr>
        <w:t>CELKOVÝ ZÁVĚR</w:t>
      </w:r>
    </w:p>
    <w:p w14:paraId="54CE0790" w14:textId="77777777" w:rsidR="267EB94E" w:rsidRPr="00EB0C3B" w:rsidRDefault="00EB5D4E" w:rsidP="00221142">
      <w:pPr>
        <w:pStyle w:val="Point0"/>
        <w:rPr>
          <w:noProof/>
        </w:rPr>
      </w:pPr>
      <w:r w:rsidRPr="00EB0C3B">
        <w:rPr>
          <w:noProof/>
        </w:rPr>
        <w:t>V souladu s článkem 17 nařízení (EU) 2024/1263 by Rada měla doporučit Slovensku dráhu čistých výdajů stanovenou v plánu,</w:t>
      </w:r>
    </w:p>
    <w:p w14:paraId="7F051519" w14:textId="77777777" w:rsidR="267EB94E" w:rsidRPr="00EB0C3B" w:rsidRDefault="267EB94E" w:rsidP="00DD7610">
      <w:pPr>
        <w:rPr>
          <w:noProof/>
        </w:rPr>
      </w:pPr>
      <w:r w:rsidRPr="00EB0C3B">
        <w:rPr>
          <w:noProof/>
        </w:rPr>
        <w:t xml:space="preserve">DOPORUČUJE SLOVENSKU: </w:t>
      </w:r>
    </w:p>
    <w:p w14:paraId="01074E9B" w14:textId="77777777" w:rsidR="267EB94E" w:rsidRPr="00EB0C3B" w:rsidRDefault="00691555" w:rsidP="00221142">
      <w:pPr>
        <w:pStyle w:val="Point0"/>
        <w:rPr>
          <w:noProof/>
        </w:rPr>
      </w:pPr>
      <w:r w:rsidRPr="00EB0C3B">
        <w:rPr>
          <w:noProof/>
        </w:rPr>
        <w:t>(1)</w:t>
      </w:r>
      <w:r w:rsidRPr="00EB0C3B">
        <w:rPr>
          <w:noProof/>
        </w:rPr>
        <w:tab/>
        <w:t xml:space="preserve">Zajistit, aby růst čistých výdajů nepřekročil maximální hodnoty stanovené v příloze I tohoto doporučení. </w:t>
      </w:r>
    </w:p>
    <w:p w14:paraId="105F40CA" w14:textId="77777777" w:rsidR="267EB94E" w:rsidRPr="00EB0C3B" w:rsidRDefault="6E5315EE" w:rsidP="00221142">
      <w:pPr>
        <w:rPr>
          <w:noProof/>
        </w:rPr>
      </w:pPr>
      <w:r w:rsidRPr="00EB0C3B">
        <w:rPr>
          <w:noProof/>
        </w:rPr>
        <w:t>Rada dále vybízí Slovensko, aby zajistilo realizaci reforem a investic, jež reagují na hlavní výzvy zjištěné v rámci evropského semestru, zejména v doporučeních pro jednotlivé země, a přispívají k realizaci společných priorit Unie.</w:t>
      </w:r>
    </w:p>
    <w:p w14:paraId="4AA2AA91" w14:textId="77777777" w:rsidR="267EB94E" w:rsidRPr="00EB0C3B" w:rsidRDefault="267EB94E" w:rsidP="50529DA8">
      <w:pPr>
        <w:spacing w:before="0" w:after="0"/>
        <w:jc w:val="center"/>
        <w:rPr>
          <w:noProof/>
        </w:rPr>
      </w:pPr>
      <w:r w:rsidRPr="00EB0C3B">
        <w:rPr>
          <w:b/>
          <w:noProof/>
        </w:rPr>
        <w:t>PŘÍLOHA I</w:t>
      </w:r>
      <w:r w:rsidRPr="00EB0C3B">
        <w:rPr>
          <w:noProof/>
        </w:rPr>
        <w:t xml:space="preserve"> </w:t>
      </w:r>
    </w:p>
    <w:p w14:paraId="5D764A90" w14:textId="77777777" w:rsidR="267EB94E" w:rsidRPr="00EB0C3B" w:rsidRDefault="267EB94E" w:rsidP="50529DA8">
      <w:pPr>
        <w:spacing w:before="0" w:after="0"/>
        <w:jc w:val="center"/>
        <w:rPr>
          <w:noProof/>
        </w:rPr>
      </w:pPr>
      <w:r w:rsidRPr="00EB0C3B">
        <w:rPr>
          <w:noProof/>
        </w:rPr>
        <w:t xml:space="preserve">Maximální tempo růstu čistých výdajů </w:t>
      </w:r>
      <w:r w:rsidRPr="00EB0C3B">
        <w:rPr>
          <w:noProof/>
        </w:rPr>
        <w:br/>
        <w:t xml:space="preserve"> (roční a kumulativní tempo růstu v nominálním vyjádření)</w:t>
      </w:r>
    </w:p>
    <w:p w14:paraId="1E175C38" w14:textId="77777777" w:rsidR="267EB94E" w:rsidRPr="00EB0C3B" w:rsidRDefault="267EB94E" w:rsidP="50529DA8">
      <w:pPr>
        <w:spacing w:before="0" w:after="0"/>
        <w:jc w:val="center"/>
        <w:rPr>
          <w:noProof/>
        </w:rPr>
      </w:pPr>
      <w:r w:rsidRPr="00EB0C3B">
        <w:rPr>
          <w:noProof/>
        </w:rPr>
        <w:t>Slovensko</w:t>
      </w:r>
    </w:p>
    <w:tbl>
      <w:tblPr>
        <w:tblW w:w="7938"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08"/>
        <w:gridCol w:w="1798"/>
        <w:gridCol w:w="1033"/>
        <w:gridCol w:w="1033"/>
        <w:gridCol w:w="1033"/>
        <w:gridCol w:w="1033"/>
      </w:tblGrid>
      <w:tr w:rsidR="50529DA8" w:rsidRPr="00EB0C3B" w14:paraId="4537F128" w14:textId="77777777" w:rsidTr="00846B10">
        <w:trPr>
          <w:trHeight w:val="300"/>
          <w:jc w:val="center"/>
        </w:trPr>
        <w:tc>
          <w:tcPr>
            <w:tcW w:w="2985" w:type="dxa"/>
            <w:gridSpan w:val="2"/>
            <w:tcBorders>
              <w:top w:val="single" w:sz="8" w:space="0" w:color="auto"/>
              <w:left w:val="nil"/>
              <w:bottom w:val="single" w:sz="8" w:space="0" w:color="auto"/>
              <w:right w:val="single" w:sz="8" w:space="0" w:color="auto"/>
            </w:tcBorders>
          </w:tcPr>
          <w:p w14:paraId="16B0DEE5" w14:textId="77777777" w:rsidR="50529DA8" w:rsidRPr="00EB0C3B" w:rsidRDefault="7F3189C9" w:rsidP="50529DA8">
            <w:pPr>
              <w:spacing w:before="0" w:after="0"/>
              <w:rPr>
                <w:noProof/>
                <w:szCs w:val="24"/>
              </w:rPr>
            </w:pPr>
            <w:r w:rsidRPr="00EB0C3B">
              <w:rPr>
                <w:noProof/>
              </w:rPr>
              <w:t xml:space="preserve">Roky </w:t>
            </w:r>
          </w:p>
        </w:tc>
        <w:tc>
          <w:tcPr>
            <w:tcW w:w="810" w:type="dxa"/>
            <w:tcBorders>
              <w:top w:val="single" w:sz="8" w:space="0" w:color="auto"/>
              <w:left w:val="nil"/>
              <w:bottom w:val="single" w:sz="8" w:space="0" w:color="auto"/>
              <w:right w:val="single" w:sz="8" w:space="0" w:color="auto"/>
            </w:tcBorders>
            <w:vAlign w:val="center"/>
          </w:tcPr>
          <w:p w14:paraId="1A63B503" w14:textId="77777777" w:rsidR="50529DA8" w:rsidRPr="00EB0C3B" w:rsidRDefault="50529DA8" w:rsidP="50529DA8">
            <w:pPr>
              <w:spacing w:before="0" w:after="0"/>
              <w:jc w:val="center"/>
              <w:rPr>
                <w:noProof/>
                <w:szCs w:val="24"/>
              </w:rPr>
            </w:pPr>
            <w:r w:rsidRPr="00EB0C3B">
              <w:rPr>
                <w:noProof/>
              </w:rPr>
              <w:t>2025</w:t>
            </w:r>
          </w:p>
        </w:tc>
        <w:tc>
          <w:tcPr>
            <w:tcW w:w="810" w:type="dxa"/>
            <w:tcBorders>
              <w:top w:val="single" w:sz="8" w:space="0" w:color="auto"/>
              <w:left w:val="single" w:sz="8" w:space="0" w:color="auto"/>
              <w:bottom w:val="single" w:sz="8" w:space="0" w:color="auto"/>
              <w:right w:val="single" w:sz="8" w:space="0" w:color="auto"/>
            </w:tcBorders>
            <w:vAlign w:val="center"/>
          </w:tcPr>
          <w:p w14:paraId="7E23ED72" w14:textId="77777777" w:rsidR="50529DA8" w:rsidRPr="00EB0C3B" w:rsidRDefault="50529DA8" w:rsidP="50529DA8">
            <w:pPr>
              <w:spacing w:before="0" w:after="0"/>
              <w:jc w:val="center"/>
              <w:rPr>
                <w:noProof/>
                <w:szCs w:val="24"/>
              </w:rPr>
            </w:pPr>
            <w:r w:rsidRPr="00EB0C3B">
              <w:rPr>
                <w:noProof/>
              </w:rPr>
              <w:t>2026</w:t>
            </w:r>
          </w:p>
        </w:tc>
        <w:tc>
          <w:tcPr>
            <w:tcW w:w="810" w:type="dxa"/>
            <w:tcBorders>
              <w:top w:val="single" w:sz="8" w:space="0" w:color="auto"/>
              <w:left w:val="single" w:sz="8" w:space="0" w:color="auto"/>
              <w:bottom w:val="single" w:sz="8" w:space="0" w:color="auto"/>
              <w:right w:val="single" w:sz="8" w:space="0" w:color="auto"/>
            </w:tcBorders>
            <w:vAlign w:val="center"/>
          </w:tcPr>
          <w:p w14:paraId="43591D32" w14:textId="77777777" w:rsidR="50529DA8" w:rsidRPr="00EB0C3B" w:rsidRDefault="50529DA8" w:rsidP="50529DA8">
            <w:pPr>
              <w:spacing w:before="0" w:after="0"/>
              <w:jc w:val="center"/>
              <w:rPr>
                <w:noProof/>
                <w:szCs w:val="24"/>
              </w:rPr>
            </w:pPr>
            <w:r w:rsidRPr="00EB0C3B">
              <w:rPr>
                <w:noProof/>
              </w:rPr>
              <w:t>2027</w:t>
            </w:r>
          </w:p>
        </w:tc>
        <w:tc>
          <w:tcPr>
            <w:tcW w:w="810" w:type="dxa"/>
            <w:tcBorders>
              <w:top w:val="single" w:sz="8" w:space="0" w:color="auto"/>
              <w:left w:val="single" w:sz="8" w:space="0" w:color="auto"/>
              <w:bottom w:val="single" w:sz="8" w:space="0" w:color="auto"/>
              <w:right w:val="single" w:sz="4" w:space="0" w:color="FFFFFF" w:themeColor="background1"/>
            </w:tcBorders>
            <w:vAlign w:val="center"/>
          </w:tcPr>
          <w:p w14:paraId="4CC1E340" w14:textId="77777777" w:rsidR="50529DA8" w:rsidRPr="00EB0C3B" w:rsidRDefault="50529DA8" w:rsidP="50529DA8">
            <w:pPr>
              <w:spacing w:before="0" w:after="0"/>
              <w:jc w:val="center"/>
              <w:rPr>
                <w:noProof/>
                <w:szCs w:val="24"/>
              </w:rPr>
            </w:pPr>
            <w:r w:rsidRPr="00EB0C3B">
              <w:rPr>
                <w:noProof/>
              </w:rPr>
              <w:t>2028</w:t>
            </w:r>
          </w:p>
        </w:tc>
      </w:tr>
      <w:tr w:rsidR="50529DA8" w:rsidRPr="00EB0C3B" w14:paraId="7D10EBDB" w14:textId="77777777" w:rsidTr="00846B10">
        <w:trPr>
          <w:trHeight w:val="300"/>
          <w:jc w:val="center"/>
        </w:trPr>
        <w:tc>
          <w:tcPr>
            <w:tcW w:w="1575" w:type="dxa"/>
            <w:vMerge w:val="restart"/>
            <w:tcBorders>
              <w:top w:val="single" w:sz="8" w:space="0" w:color="auto"/>
              <w:left w:val="single" w:sz="4" w:space="0" w:color="FFFFFF" w:themeColor="background1"/>
              <w:bottom w:val="single" w:sz="8" w:space="0" w:color="auto"/>
              <w:right w:val="single" w:sz="4" w:space="0" w:color="auto"/>
            </w:tcBorders>
          </w:tcPr>
          <w:p w14:paraId="0E2B5C62" w14:textId="77777777" w:rsidR="50529DA8" w:rsidRPr="00EB0C3B" w:rsidRDefault="7F3189C9" w:rsidP="50529DA8">
            <w:pPr>
              <w:spacing w:before="0" w:after="0"/>
              <w:rPr>
                <w:noProof/>
                <w:szCs w:val="24"/>
              </w:rPr>
            </w:pPr>
            <w:r w:rsidRPr="00EB0C3B">
              <w:rPr>
                <w:noProof/>
              </w:rPr>
              <w:t xml:space="preserve">Tempo růstu (%) </w:t>
            </w:r>
          </w:p>
        </w:tc>
        <w:tc>
          <w:tcPr>
            <w:tcW w:w="1410" w:type="dxa"/>
            <w:tcBorders>
              <w:top w:val="nil"/>
              <w:left w:val="single" w:sz="4" w:space="0" w:color="auto"/>
              <w:bottom w:val="single" w:sz="8" w:space="0" w:color="auto"/>
              <w:right w:val="single" w:sz="8" w:space="0" w:color="auto"/>
            </w:tcBorders>
          </w:tcPr>
          <w:p w14:paraId="3083CEB4" w14:textId="77777777" w:rsidR="50529DA8" w:rsidRPr="00EB0C3B" w:rsidRDefault="5D515A31" w:rsidP="50529DA8">
            <w:pPr>
              <w:spacing w:before="0" w:after="0"/>
              <w:rPr>
                <w:noProof/>
                <w:szCs w:val="24"/>
              </w:rPr>
            </w:pPr>
            <w:r w:rsidRPr="00EB0C3B">
              <w:rPr>
                <w:noProof/>
              </w:rPr>
              <w:t xml:space="preserve">roční </w:t>
            </w:r>
          </w:p>
        </w:tc>
        <w:tc>
          <w:tcPr>
            <w:tcW w:w="810" w:type="dxa"/>
            <w:tcBorders>
              <w:top w:val="single" w:sz="8" w:space="0" w:color="auto"/>
              <w:left w:val="single" w:sz="8" w:space="0" w:color="auto"/>
              <w:bottom w:val="single" w:sz="8" w:space="0" w:color="auto"/>
              <w:right w:val="single" w:sz="8" w:space="0" w:color="auto"/>
            </w:tcBorders>
          </w:tcPr>
          <w:p w14:paraId="4B9DA495" w14:textId="77777777" w:rsidR="50529DA8" w:rsidRPr="00EB0C3B" w:rsidRDefault="50529DA8" w:rsidP="50529DA8">
            <w:pPr>
              <w:spacing w:before="0" w:after="0"/>
              <w:jc w:val="center"/>
              <w:rPr>
                <w:noProof/>
                <w:szCs w:val="24"/>
              </w:rPr>
            </w:pPr>
            <w:r w:rsidRPr="00EB0C3B">
              <w:rPr>
                <w:noProof/>
              </w:rPr>
              <w:t>3,8</w:t>
            </w:r>
          </w:p>
        </w:tc>
        <w:tc>
          <w:tcPr>
            <w:tcW w:w="810" w:type="dxa"/>
            <w:tcBorders>
              <w:top w:val="single" w:sz="8" w:space="0" w:color="auto"/>
              <w:left w:val="single" w:sz="8" w:space="0" w:color="auto"/>
              <w:bottom w:val="single" w:sz="8" w:space="0" w:color="auto"/>
              <w:right w:val="single" w:sz="8" w:space="0" w:color="auto"/>
            </w:tcBorders>
          </w:tcPr>
          <w:p w14:paraId="79BFD61F" w14:textId="77777777" w:rsidR="50529DA8" w:rsidRPr="00EB0C3B" w:rsidRDefault="50529DA8" w:rsidP="50529DA8">
            <w:pPr>
              <w:spacing w:before="0" w:after="0"/>
              <w:jc w:val="center"/>
              <w:rPr>
                <w:noProof/>
                <w:szCs w:val="24"/>
              </w:rPr>
            </w:pPr>
            <w:r w:rsidRPr="00EB0C3B">
              <w:rPr>
                <w:noProof/>
              </w:rPr>
              <w:t>0,9</w:t>
            </w:r>
          </w:p>
        </w:tc>
        <w:tc>
          <w:tcPr>
            <w:tcW w:w="810" w:type="dxa"/>
            <w:tcBorders>
              <w:top w:val="single" w:sz="8" w:space="0" w:color="auto"/>
              <w:left w:val="single" w:sz="8" w:space="0" w:color="auto"/>
              <w:bottom w:val="single" w:sz="8" w:space="0" w:color="auto"/>
              <w:right w:val="single" w:sz="8" w:space="0" w:color="auto"/>
            </w:tcBorders>
          </w:tcPr>
          <w:p w14:paraId="4F8655FA" w14:textId="77777777" w:rsidR="50529DA8" w:rsidRPr="00EB0C3B" w:rsidRDefault="50529DA8" w:rsidP="50529DA8">
            <w:pPr>
              <w:spacing w:before="0" w:after="0"/>
              <w:jc w:val="center"/>
              <w:rPr>
                <w:noProof/>
                <w:szCs w:val="24"/>
              </w:rPr>
            </w:pPr>
            <w:r w:rsidRPr="00EB0C3B">
              <w:rPr>
                <w:noProof/>
              </w:rPr>
              <w:t>1,6</w:t>
            </w:r>
          </w:p>
        </w:tc>
        <w:tc>
          <w:tcPr>
            <w:tcW w:w="810" w:type="dxa"/>
            <w:tcBorders>
              <w:top w:val="single" w:sz="8" w:space="0" w:color="auto"/>
              <w:left w:val="single" w:sz="8" w:space="0" w:color="auto"/>
              <w:bottom w:val="single" w:sz="8" w:space="0" w:color="auto"/>
              <w:right w:val="single" w:sz="4" w:space="0" w:color="FFFFFF" w:themeColor="background1"/>
            </w:tcBorders>
          </w:tcPr>
          <w:p w14:paraId="6F9D3541" w14:textId="77777777" w:rsidR="50529DA8" w:rsidRPr="00EB0C3B" w:rsidRDefault="50529DA8" w:rsidP="50529DA8">
            <w:pPr>
              <w:spacing w:before="0" w:after="0"/>
              <w:jc w:val="center"/>
              <w:rPr>
                <w:noProof/>
                <w:szCs w:val="24"/>
              </w:rPr>
            </w:pPr>
            <w:r w:rsidRPr="00EB0C3B">
              <w:rPr>
                <w:noProof/>
              </w:rPr>
              <w:t>1,5</w:t>
            </w:r>
          </w:p>
        </w:tc>
      </w:tr>
      <w:tr w:rsidR="50529DA8" w:rsidRPr="00EB0C3B" w14:paraId="3ACFDB1D" w14:textId="77777777" w:rsidTr="00846B10">
        <w:trPr>
          <w:trHeight w:val="300"/>
          <w:jc w:val="center"/>
        </w:trPr>
        <w:tc>
          <w:tcPr>
            <w:tcW w:w="1575" w:type="dxa"/>
            <w:vMerge/>
            <w:tcBorders>
              <w:left w:val="single" w:sz="4" w:space="0" w:color="FFFFFF" w:themeColor="background1"/>
              <w:right w:val="single" w:sz="4" w:space="0" w:color="auto"/>
            </w:tcBorders>
            <w:vAlign w:val="center"/>
          </w:tcPr>
          <w:p w14:paraId="0D352A78" w14:textId="77777777" w:rsidR="00F965B2" w:rsidRPr="00EB0C3B" w:rsidRDefault="00F965B2">
            <w:pPr>
              <w:rPr>
                <w:noProof/>
                <w:szCs w:val="24"/>
              </w:rPr>
            </w:pPr>
          </w:p>
        </w:tc>
        <w:tc>
          <w:tcPr>
            <w:tcW w:w="1410" w:type="dxa"/>
            <w:tcBorders>
              <w:top w:val="single" w:sz="8" w:space="0" w:color="auto"/>
              <w:left w:val="single" w:sz="4" w:space="0" w:color="auto"/>
              <w:bottom w:val="single" w:sz="8" w:space="0" w:color="auto"/>
              <w:right w:val="single" w:sz="8" w:space="0" w:color="auto"/>
            </w:tcBorders>
          </w:tcPr>
          <w:p w14:paraId="4BAB0573" w14:textId="77777777" w:rsidR="50529DA8" w:rsidRPr="00EB0C3B" w:rsidRDefault="50529DA8" w:rsidP="50529DA8">
            <w:pPr>
              <w:spacing w:before="0" w:after="0"/>
              <w:rPr>
                <w:noProof/>
                <w:szCs w:val="24"/>
              </w:rPr>
            </w:pPr>
            <w:r w:rsidRPr="00EB0C3B">
              <w:rPr>
                <w:noProof/>
              </w:rPr>
              <w:t xml:space="preserve">kumulativní </w:t>
            </w:r>
          </w:p>
        </w:tc>
        <w:tc>
          <w:tcPr>
            <w:tcW w:w="810" w:type="dxa"/>
            <w:tcBorders>
              <w:top w:val="single" w:sz="8" w:space="0" w:color="auto"/>
              <w:left w:val="single" w:sz="8" w:space="0" w:color="auto"/>
              <w:bottom w:val="single" w:sz="8" w:space="0" w:color="auto"/>
              <w:right w:val="single" w:sz="8" w:space="0" w:color="auto"/>
            </w:tcBorders>
          </w:tcPr>
          <w:p w14:paraId="7AFCEE08" w14:textId="77777777" w:rsidR="50529DA8" w:rsidRPr="00EB0C3B" w:rsidRDefault="50529DA8" w:rsidP="50529DA8">
            <w:pPr>
              <w:spacing w:before="0" w:after="0"/>
              <w:jc w:val="center"/>
              <w:rPr>
                <w:noProof/>
                <w:szCs w:val="24"/>
              </w:rPr>
            </w:pPr>
            <w:r w:rsidRPr="00EB0C3B">
              <w:rPr>
                <w:noProof/>
              </w:rPr>
              <w:t>10,3</w:t>
            </w:r>
          </w:p>
        </w:tc>
        <w:tc>
          <w:tcPr>
            <w:tcW w:w="810" w:type="dxa"/>
            <w:tcBorders>
              <w:top w:val="single" w:sz="8" w:space="0" w:color="auto"/>
              <w:left w:val="single" w:sz="8" w:space="0" w:color="auto"/>
              <w:bottom w:val="single" w:sz="8" w:space="0" w:color="auto"/>
              <w:right w:val="single" w:sz="8" w:space="0" w:color="auto"/>
            </w:tcBorders>
          </w:tcPr>
          <w:p w14:paraId="5444A044" w14:textId="77777777" w:rsidR="50529DA8" w:rsidRPr="00EB0C3B" w:rsidRDefault="50529DA8" w:rsidP="50529DA8">
            <w:pPr>
              <w:spacing w:before="0" w:after="0"/>
              <w:jc w:val="center"/>
              <w:rPr>
                <w:noProof/>
                <w:szCs w:val="24"/>
              </w:rPr>
            </w:pPr>
            <w:r w:rsidRPr="00EB0C3B">
              <w:rPr>
                <w:noProof/>
              </w:rPr>
              <w:t>11,2</w:t>
            </w:r>
          </w:p>
        </w:tc>
        <w:tc>
          <w:tcPr>
            <w:tcW w:w="810" w:type="dxa"/>
            <w:tcBorders>
              <w:top w:val="single" w:sz="8" w:space="0" w:color="auto"/>
              <w:left w:val="single" w:sz="8" w:space="0" w:color="auto"/>
              <w:bottom w:val="single" w:sz="8" w:space="0" w:color="auto"/>
              <w:right w:val="single" w:sz="8" w:space="0" w:color="auto"/>
            </w:tcBorders>
          </w:tcPr>
          <w:p w14:paraId="67C5382D" w14:textId="77777777" w:rsidR="50529DA8" w:rsidRPr="00EB0C3B" w:rsidRDefault="50529DA8" w:rsidP="50529DA8">
            <w:pPr>
              <w:spacing w:before="0" w:after="0"/>
              <w:jc w:val="center"/>
              <w:rPr>
                <w:noProof/>
                <w:szCs w:val="24"/>
              </w:rPr>
            </w:pPr>
            <w:r w:rsidRPr="00EB0C3B">
              <w:rPr>
                <w:noProof/>
              </w:rPr>
              <w:t>13,0</w:t>
            </w:r>
          </w:p>
        </w:tc>
        <w:tc>
          <w:tcPr>
            <w:tcW w:w="810" w:type="dxa"/>
            <w:tcBorders>
              <w:top w:val="single" w:sz="8" w:space="0" w:color="auto"/>
              <w:left w:val="single" w:sz="8" w:space="0" w:color="auto"/>
              <w:bottom w:val="single" w:sz="8" w:space="0" w:color="auto"/>
              <w:right w:val="single" w:sz="4" w:space="0" w:color="FFFFFF" w:themeColor="background1"/>
            </w:tcBorders>
          </w:tcPr>
          <w:p w14:paraId="140910A2" w14:textId="77777777" w:rsidR="50529DA8" w:rsidRPr="00EB0C3B" w:rsidRDefault="50529DA8" w:rsidP="50529DA8">
            <w:pPr>
              <w:spacing w:before="0" w:after="0"/>
              <w:jc w:val="center"/>
              <w:rPr>
                <w:noProof/>
                <w:szCs w:val="24"/>
              </w:rPr>
            </w:pPr>
            <w:r w:rsidRPr="00EB0C3B">
              <w:rPr>
                <w:noProof/>
              </w:rPr>
              <w:t>14,8</w:t>
            </w:r>
          </w:p>
        </w:tc>
      </w:tr>
    </w:tbl>
    <w:p w14:paraId="5315AD38" w14:textId="77777777" w:rsidR="145F82E8" w:rsidRPr="00EB0C3B" w:rsidRDefault="145F82E8" w:rsidP="50529DA8">
      <w:pPr>
        <w:spacing w:before="0" w:after="0"/>
        <w:rPr>
          <w:noProof/>
        </w:rPr>
      </w:pPr>
    </w:p>
    <w:p w14:paraId="01A31457" w14:textId="77777777" w:rsidR="50529DA8" w:rsidRPr="00EB0C3B" w:rsidRDefault="145F82E8" w:rsidP="00D850E2">
      <w:pPr>
        <w:keepNext/>
        <w:keepLines/>
        <w:spacing w:before="0" w:after="0" w:line="276" w:lineRule="auto"/>
        <w:jc w:val="center"/>
        <w:rPr>
          <w:rFonts w:eastAsia="Times New Roman"/>
          <w:noProof/>
          <w:sz w:val="20"/>
          <w:szCs w:val="20"/>
        </w:rPr>
      </w:pPr>
      <w:r w:rsidRPr="00EB0C3B">
        <w:rPr>
          <w:noProof/>
          <w:sz w:val="20"/>
        </w:rPr>
        <w:t>(*) Kumulativní tempo růstu je vypočteno vůči základnímu roku 2023.</w:t>
      </w:r>
    </w:p>
    <w:p w14:paraId="684FFCA9" w14:textId="2F9BE595" w:rsidR="00AA20E6" w:rsidRPr="00EB0C3B" w:rsidRDefault="00EB0C3B" w:rsidP="00D850E2">
      <w:pPr>
        <w:pStyle w:val="Fait"/>
        <w:rPr>
          <w:noProof/>
        </w:rPr>
      </w:pPr>
      <w:r>
        <w:rPr>
          <w:noProof/>
        </w:rPr>
        <w:t>Ve Štrasburku dne</w:t>
      </w:r>
    </w:p>
    <w:p w14:paraId="5F9CBBEE" w14:textId="77777777" w:rsidR="00AA20E6" w:rsidRPr="00EB0C3B" w:rsidRDefault="00AA20E6" w:rsidP="00D850E2">
      <w:pPr>
        <w:pStyle w:val="Institutionquisigne"/>
        <w:rPr>
          <w:noProof/>
        </w:rPr>
      </w:pPr>
      <w:r w:rsidRPr="00EB0C3B">
        <w:rPr>
          <w:noProof/>
        </w:rPr>
        <w:tab/>
        <w:t>Za Radu</w:t>
      </w:r>
    </w:p>
    <w:p w14:paraId="1AE28B48" w14:textId="77777777" w:rsidR="00AA20E6" w:rsidRPr="00EB0C3B" w:rsidRDefault="00AA20E6" w:rsidP="00AA20E6">
      <w:pPr>
        <w:pStyle w:val="Personnequisigne"/>
        <w:rPr>
          <w:noProof/>
        </w:rPr>
      </w:pPr>
      <w:r w:rsidRPr="00EB0C3B">
        <w:rPr>
          <w:noProof/>
        </w:rPr>
        <w:tab/>
        <w:t>předseda/předsedkyně</w:t>
      </w:r>
    </w:p>
    <w:sectPr w:rsidR="00AA20E6" w:rsidRPr="00EB0C3B" w:rsidSect="00FB5EA5">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8F75E" w14:textId="77777777" w:rsidR="00481E33" w:rsidRDefault="00481E33" w:rsidP="00AF3F52">
      <w:pPr>
        <w:spacing w:before="0" w:after="0"/>
      </w:pPr>
      <w:r>
        <w:separator/>
      </w:r>
    </w:p>
  </w:endnote>
  <w:endnote w:type="continuationSeparator" w:id="0">
    <w:p w14:paraId="795B5B61" w14:textId="77777777" w:rsidR="00481E33" w:rsidRDefault="00481E33" w:rsidP="00AF3F52">
      <w:pPr>
        <w:spacing w:before="0" w:after="0"/>
      </w:pPr>
      <w:r>
        <w:continuationSeparator/>
      </w:r>
    </w:p>
  </w:endnote>
  <w:endnote w:type="continuationNotice" w:id="1">
    <w:p w14:paraId="2B4C8E24" w14:textId="77777777" w:rsidR="00481E33" w:rsidRDefault="00481E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9B74" w14:textId="53741B10" w:rsidR="00FB5EA5" w:rsidRPr="00FB5EA5" w:rsidRDefault="00FB5EA5" w:rsidP="00FB5EA5">
    <w:pPr>
      <w:pStyle w:val="Footer"/>
      <w:rPr>
        <w:rFonts w:ascii="Arial" w:hAnsi="Arial" w:cs="Arial"/>
        <w:b/>
        <w:sz w:val="48"/>
      </w:rPr>
    </w:pPr>
    <w:r w:rsidRPr="00FB5EA5">
      <w:rPr>
        <w:rFonts w:ascii="Arial" w:hAnsi="Arial" w:cs="Arial"/>
        <w:b/>
        <w:sz w:val="48"/>
      </w:rPr>
      <w:t>CS</w:t>
    </w:r>
    <w:r w:rsidRPr="00FB5EA5">
      <w:rPr>
        <w:rFonts w:ascii="Arial" w:hAnsi="Arial" w:cs="Arial"/>
        <w:b/>
        <w:sz w:val="48"/>
      </w:rPr>
      <w:tab/>
    </w:r>
    <w:r w:rsidRPr="00FB5EA5">
      <w:rPr>
        <w:rFonts w:ascii="Arial" w:hAnsi="Arial" w:cs="Arial"/>
        <w:b/>
        <w:sz w:val="48"/>
      </w:rPr>
      <w:tab/>
    </w:r>
    <w:r w:rsidRPr="00FB5EA5">
      <w:tab/>
    </w:r>
    <w:r w:rsidRPr="00FB5EA5">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2AFE6" w14:textId="67FAB46F" w:rsidR="00FB5EA5" w:rsidRPr="00FB5EA5" w:rsidRDefault="00FB5EA5" w:rsidP="00FB5EA5">
    <w:pPr>
      <w:pStyle w:val="Footer"/>
      <w:rPr>
        <w:rFonts w:ascii="Arial" w:hAnsi="Arial" w:cs="Arial"/>
        <w:b/>
        <w:sz w:val="48"/>
      </w:rPr>
    </w:pPr>
    <w:r w:rsidRPr="00FB5EA5">
      <w:rPr>
        <w:rFonts w:ascii="Arial" w:hAnsi="Arial" w:cs="Arial"/>
        <w:b/>
        <w:sz w:val="48"/>
      </w:rPr>
      <w:t>CS</w:t>
    </w:r>
    <w:r w:rsidRPr="00FB5EA5">
      <w:rPr>
        <w:rFonts w:ascii="Arial" w:hAnsi="Arial" w:cs="Arial"/>
        <w:b/>
        <w:sz w:val="48"/>
      </w:rPr>
      <w:tab/>
    </w:r>
    <w:r w:rsidRPr="00FB5EA5">
      <w:rPr>
        <w:rFonts w:ascii="Arial" w:hAnsi="Arial" w:cs="Arial"/>
        <w:b/>
        <w:sz w:val="48"/>
      </w:rPr>
      <w:tab/>
    </w:r>
    <w:r w:rsidRPr="00FB5EA5">
      <w:tab/>
    </w:r>
    <w:r w:rsidRPr="00FB5EA5">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6A38" w14:textId="77777777" w:rsidR="00FB5EA5" w:rsidRDefault="00FB5E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C5D9F" w14:textId="71C87DEB" w:rsidR="00FB5EA5" w:rsidRPr="00FB5EA5" w:rsidRDefault="00FB5EA5" w:rsidP="00FB5EA5">
    <w:pPr>
      <w:pStyle w:val="Footer"/>
      <w:rPr>
        <w:rFonts w:ascii="Arial" w:hAnsi="Arial" w:cs="Arial"/>
        <w:b/>
        <w:sz w:val="48"/>
      </w:rPr>
    </w:pPr>
    <w:r w:rsidRPr="00FB5EA5">
      <w:rPr>
        <w:rFonts w:ascii="Arial" w:hAnsi="Arial" w:cs="Arial"/>
        <w:b/>
        <w:sz w:val="48"/>
      </w:rPr>
      <w:t>CS</w:t>
    </w:r>
    <w:r w:rsidRPr="00FB5EA5">
      <w:rPr>
        <w:rFonts w:ascii="Arial" w:hAnsi="Arial" w:cs="Arial"/>
        <w:b/>
        <w:sz w:val="48"/>
      </w:rPr>
      <w:tab/>
    </w:r>
    <w:r>
      <w:fldChar w:fldCharType="begin"/>
    </w:r>
    <w:r>
      <w:instrText xml:space="preserve"> PAGE  \* MERGEFORMAT </w:instrText>
    </w:r>
    <w:r>
      <w:fldChar w:fldCharType="separate"/>
    </w:r>
    <w:r w:rsidR="00D850E2">
      <w:rPr>
        <w:noProof/>
      </w:rPr>
      <w:t>11</w:t>
    </w:r>
    <w:r>
      <w:fldChar w:fldCharType="end"/>
    </w:r>
    <w:r>
      <w:tab/>
    </w:r>
    <w:r w:rsidRPr="00FB5EA5">
      <w:tab/>
    </w:r>
    <w:r w:rsidRPr="00FB5EA5">
      <w:rPr>
        <w:rFonts w:ascii="Arial" w:hAnsi="Arial" w:cs="Arial"/>
        <w:b/>
        <w:sz w:val="48"/>
      </w:rPr>
      <w:t>CS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3B6F7" w14:textId="77777777" w:rsidR="00FB5EA5" w:rsidRDefault="00FB5EA5" w:rsidP="00FB5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D4649" w14:textId="77777777" w:rsidR="00481E33" w:rsidRDefault="00481E33" w:rsidP="00AF3F52">
      <w:pPr>
        <w:spacing w:before="0" w:after="0"/>
      </w:pPr>
      <w:r>
        <w:separator/>
      </w:r>
    </w:p>
  </w:footnote>
  <w:footnote w:type="continuationSeparator" w:id="0">
    <w:p w14:paraId="72D5D0E4" w14:textId="77777777" w:rsidR="00481E33" w:rsidRDefault="00481E33" w:rsidP="00AF3F52">
      <w:pPr>
        <w:spacing w:before="0" w:after="0"/>
      </w:pPr>
      <w:r>
        <w:continuationSeparator/>
      </w:r>
    </w:p>
  </w:footnote>
  <w:footnote w:type="continuationNotice" w:id="1">
    <w:p w14:paraId="30F188FF" w14:textId="77777777" w:rsidR="00481E33" w:rsidRDefault="00481E33">
      <w:pPr>
        <w:spacing w:before="0" w:after="0"/>
      </w:pPr>
    </w:p>
  </w:footnote>
  <w:footnote w:id="2">
    <w:p w14:paraId="4C37D2F7" w14:textId="77777777" w:rsidR="005B2EFB" w:rsidRPr="005B2EFB" w:rsidRDefault="005B2EFB" w:rsidP="00566854">
      <w:pPr>
        <w:pStyle w:val="FootnoteText"/>
      </w:pPr>
      <w:r>
        <w:rPr>
          <w:rStyle w:val="FootnoteReference"/>
        </w:rPr>
        <w:footnoteRef/>
      </w:r>
      <w:r>
        <w:tab/>
        <w:t xml:space="preserve">Nařízení Evropského parlamentu a Rady (EU) 2024/1263 ze dne 29. dubna 2024 o účinné koordinaci hospodářských politik a mnohostranném rozpočtovém dohledu a o zrušení nařízení Rady (ES) č. 1466/97 (Úř. věst. L, 2024/1263, 30.4.2024, ELI: </w:t>
      </w:r>
      <w:hyperlink r:id="rId1" w:history="1">
        <w:r>
          <w:rPr>
            <w:rStyle w:val="Hyperlink"/>
          </w:rPr>
          <w:t>http://data.europa.eu/eli/reg/2024/1263/oj)</w:t>
        </w:r>
      </w:hyperlink>
      <w:r>
        <w:t>.</w:t>
      </w:r>
    </w:p>
  </w:footnote>
  <w:footnote w:id="3">
    <w:p w14:paraId="14A518F6" w14:textId="77777777" w:rsidR="00C255E1" w:rsidRPr="00C255E1" w:rsidRDefault="00C255E1" w:rsidP="00A71998">
      <w:pPr>
        <w:pStyle w:val="FootnoteText"/>
      </w:pPr>
      <w:r>
        <w:rPr>
          <w:rStyle w:val="FootnoteReference"/>
        </w:rPr>
        <w:footnoteRef/>
      </w:r>
      <w:r>
        <w:tab/>
        <w:t xml:space="preserve">Nařízení Rady (EU) 2024/1264 ze dne 29. dubna 2024, kterým se mění nařízení (ES) č. 1467/97 o urychlení a vyjasnění postupu při nadměrném schodku (Úř. věst. L, 2024/1264, 30.4.2024, ELI: </w:t>
      </w:r>
      <w:hyperlink r:id="rId2" w:history="1">
        <w:r>
          <w:rPr>
            <w:rStyle w:val="Hyperlink"/>
          </w:rPr>
          <w:t>http://data.europa.eu/eli/reg/2024/1264/oj</w:t>
        </w:r>
      </w:hyperlink>
      <w:r>
        <w:t>).</w:t>
      </w:r>
    </w:p>
  </w:footnote>
  <w:footnote w:id="4">
    <w:p w14:paraId="1CBB56EF" w14:textId="77777777" w:rsidR="00BE3EE8" w:rsidRPr="000C6DC5" w:rsidRDefault="00BE3EE8" w:rsidP="00A71998">
      <w:pPr>
        <w:pStyle w:val="FootnoteText"/>
      </w:pPr>
      <w:r>
        <w:rPr>
          <w:rStyle w:val="FootnoteReference"/>
        </w:rPr>
        <w:footnoteRef/>
      </w:r>
      <w:r>
        <w:tab/>
        <w:t xml:space="preserve">Směrnice Rady (EU) 2024/1265 ze dne 29. dubna 2024, kterou se mění směrnice 2011/85/EU o požadavcích na rozpočtové rámce členských států (Úř. věst. L, 2024/1265, 30.4.2024, ELI: </w:t>
      </w:r>
      <w:hyperlink r:id="rId3" w:history="1">
        <w:r>
          <w:rPr>
            <w:rStyle w:val="Hyperlink"/>
          </w:rPr>
          <w:t>http://data.europa.eu/eli/dir/2024/1265/oj</w:t>
        </w:r>
      </w:hyperlink>
      <w:r>
        <w:t>).</w:t>
      </w:r>
    </w:p>
  </w:footnote>
  <w:footnote w:id="5">
    <w:p w14:paraId="5A02BFD3" w14:textId="77777777" w:rsidR="00AF5B34" w:rsidRPr="00641F26" w:rsidRDefault="00CB3745" w:rsidP="00A71998">
      <w:pPr>
        <w:pStyle w:val="FootnoteText"/>
      </w:pPr>
      <w:r>
        <w:rPr>
          <w:rStyle w:val="FootnoteReference"/>
        </w:rPr>
        <w:footnoteRef/>
      </w:r>
      <w:r>
        <w:tab/>
        <w:t>Čisté výdaje ve smyslu článku 2 nařízení (EU) 2024/1263, tj. veřejné výdaje očištěné o i) úrokové výdaje, ii) diskreční opatření na straně příjmů, iii) výdaje na programy Unie, které jsou plně kompenzovány příjmy z fondů Unie, iv) vnitrostátní výdaje na spolufinancování programů financovaných Unií, v) cyklické prvky výdajů na dávky v nezaměstnanosti a vi) jednorázová a jiná dočasná opatření.</w:t>
      </w:r>
    </w:p>
  </w:footnote>
  <w:footnote w:id="6">
    <w:p w14:paraId="3685F9EA" w14:textId="77777777" w:rsidR="00586763" w:rsidRPr="00586763" w:rsidRDefault="00586763" w:rsidP="00A71998">
      <w:pPr>
        <w:pStyle w:val="FootnoteText"/>
      </w:pPr>
      <w:r>
        <w:rPr>
          <w:rStyle w:val="FootnoteReference"/>
        </w:rPr>
        <w:footnoteRef/>
      </w:r>
      <w:r>
        <w:tab/>
        <w:t xml:space="preserve">Předběžné pokyny předané členským státům a Hospodářskému a finančnímu výboru zahrnují trajektorie bez prodloužení období korekce i s ním (na čtyři roky a na sedm let). Zahrnuje rovněž hlavní výchozí podmínky a základní předpoklady použité v rámci Komise pro střednědobé projekce veřejného dluhu. Referenční trajektorie byla vypočtena na základě metodiky popsané v </w:t>
      </w:r>
      <w:r>
        <w:rPr>
          <w:i/>
          <w:iCs/>
        </w:rPr>
        <w:t>Monitoru udržitelnosti dluhu 2023</w:t>
      </w:r>
      <w:r>
        <w:t xml:space="preserve"> vypracovaném Komisí (</w:t>
      </w:r>
      <w:hyperlink r:id="rId4" w:history="1">
        <w:r>
          <w:rPr>
            <w:rStyle w:val="Hyperlink"/>
          </w:rPr>
          <w:t>https://economy-finance.ec.europa.eu/publications/debt-sustainability-monitor-2023_cs</w:t>
        </w:r>
      </w:hyperlink>
      <w:r>
        <w:t xml:space="preserve">). Vychází z prognózy Evropské komise z jara 2024 a jejího střednědobého prodloužení do roku 2033, přičemž dlouhodobý růst HDP a náklady na stárnutí obyvatelstva jsou v souladu se zprávou o stárnutí obyvatelstva za rok 2024 </w:t>
      </w:r>
      <w:hyperlink r:id="rId5" w:history="1">
        <w:r>
          <w:rPr>
            <w:rStyle w:val="Hyperlink"/>
          </w:rPr>
          <w:t>(https://economy-finance.ec.europa.eu/publications/2024-ageing-report-economic-and-budgetary-projections-eu-member-states-2022-2070_cs</w:t>
        </w:r>
      </w:hyperlink>
      <w:r>
        <w:t>) vypracovanou společně Komisí a Radou.</w:t>
      </w:r>
    </w:p>
  </w:footnote>
  <w:footnote w:id="7">
    <w:p w14:paraId="4CD14DF0" w14:textId="77777777" w:rsidR="00986BF6" w:rsidRPr="00586763" w:rsidRDefault="00986BF6" w:rsidP="00986BF6">
      <w:pPr>
        <w:pStyle w:val="FootnoteText"/>
      </w:pPr>
      <w:r>
        <w:rPr>
          <w:rStyle w:val="FootnoteReference"/>
        </w:rPr>
        <w:footnoteRef/>
      </w:r>
      <w:r>
        <w:tab/>
      </w:r>
      <w:hyperlink r:id="rId6" w:anchor="Slovensko" w:history="1">
        <w:r>
          <w:rPr>
            <w:rStyle w:val="Hyperlink"/>
          </w:rPr>
          <w:t>https://economy-finance.ec.europa.eu/economic-and-fiscal-governance/national-medium-term-fiscal-structural-plans_cs#slovakia</w:t>
        </w:r>
      </w:hyperlink>
    </w:p>
  </w:footnote>
  <w:footnote w:id="8">
    <w:p w14:paraId="14A7D86A" w14:textId="77777777" w:rsidR="00FE1A20" w:rsidRPr="00FE1A20" w:rsidRDefault="00FE1A20" w:rsidP="00A71998">
      <w:pPr>
        <w:pStyle w:val="FootnoteText"/>
      </w:pPr>
      <w:r>
        <w:rPr>
          <w:rStyle w:val="FootnoteReference"/>
        </w:rPr>
        <w:footnoteRef/>
      </w:r>
      <w:r>
        <w:tab/>
        <w:t xml:space="preserve">Úř. věst. L, 1.8.2024, ELI: </w:t>
      </w:r>
      <w:hyperlink r:id="rId7" w:history="1">
        <w:r>
          <w:rPr>
            <w:rStyle w:val="Hyperlink"/>
          </w:rPr>
          <w:t>https://eur-lex.europa.eu/eli/dec/2024/2129/oj</w:t>
        </w:r>
      </w:hyperlink>
      <w:r>
        <w:t xml:space="preserve"> </w:t>
      </w:r>
    </w:p>
  </w:footnote>
  <w:footnote w:id="9">
    <w:p w14:paraId="06262763" w14:textId="77777777" w:rsidR="006020E2" w:rsidRPr="007A47BE" w:rsidRDefault="006020E2" w:rsidP="006020E2">
      <w:pPr>
        <w:pStyle w:val="FootnoteText"/>
      </w:pPr>
      <w:r>
        <w:rPr>
          <w:rStyle w:val="FootnoteReference"/>
        </w:rPr>
        <w:footnoteRef/>
      </w:r>
      <w:r>
        <w:tab/>
        <w:t>Doporučení pro doporučení Rady k odstranění nadměrného schodku veřejných financí na Slovensku, 26.11.2024, COM(2024)958 final.</w:t>
      </w:r>
    </w:p>
  </w:footnote>
  <w:footnote w:id="10">
    <w:p w14:paraId="00C1C262" w14:textId="77777777" w:rsidR="00BE13DA" w:rsidRPr="000A29AA" w:rsidRDefault="00BE13DA" w:rsidP="00A71998">
      <w:pPr>
        <w:pStyle w:val="FootnoteText"/>
      </w:pPr>
      <w:r>
        <w:rPr>
          <w:rStyle w:val="FootnoteReference"/>
        </w:rPr>
        <w:footnoteRef/>
      </w:r>
      <w:r>
        <w:tab/>
        <w:t>Stanovisko Komise k návrhu rozpočtového plánu Slovenska, 26.11.2024, C(2024)9065 final.</w:t>
      </w:r>
    </w:p>
  </w:footnote>
  <w:footnote w:id="11">
    <w:p w14:paraId="244ACCAC" w14:textId="45FBC0AB" w:rsidR="0037264D" w:rsidRPr="004077B0" w:rsidRDefault="0037264D" w:rsidP="00A71998">
      <w:pPr>
        <w:pStyle w:val="FootnoteText"/>
      </w:pPr>
      <w:r w:rsidRPr="0014118C">
        <w:rPr>
          <w:rStyle w:val="FootnoteReference"/>
        </w:rPr>
        <w:footnoteRef/>
      </w:r>
      <w:r w:rsidR="0014118C">
        <w:tab/>
      </w:r>
      <w:r>
        <w:t>Sdělení Komise Evropskému parlamentu, Radě, Evropské centrální bance, Evropskému hospodářskému a sociálnímu výboru, Výboru regionů a Evropské investiční bance, COM (2024) 600 final, dodatek 4.</w:t>
      </w:r>
    </w:p>
  </w:footnote>
  <w:footnote w:id="12">
    <w:p w14:paraId="649A9642" w14:textId="77777777" w:rsidR="00512A68" w:rsidRPr="00673E31" w:rsidRDefault="00512A68" w:rsidP="00A71998">
      <w:pPr>
        <w:pStyle w:val="FootnoteText"/>
      </w:pPr>
      <w:r>
        <w:rPr>
          <w:rStyle w:val="FootnoteReference"/>
        </w:rPr>
        <w:footnoteRef/>
      </w:r>
      <w:r>
        <w:tab/>
        <w:t>Doporučení Rady k hospodářské a rozpočtové politice, politice zaměstnanosti a strukturální politice Slovenska, dosud nezveřejněno.</w:t>
      </w:r>
    </w:p>
  </w:footnote>
  <w:footnote w:id="13">
    <w:p w14:paraId="19835B07" w14:textId="77777777" w:rsidR="00F60623" w:rsidRPr="00F60623" w:rsidRDefault="00F60623" w:rsidP="00A71998">
      <w:pPr>
        <w:pStyle w:val="FootnoteText"/>
      </w:pPr>
      <w:r>
        <w:rPr>
          <w:rStyle w:val="FootnoteReference"/>
        </w:rPr>
        <w:footnoteRef/>
      </w:r>
      <w:r>
        <w:tab/>
        <w:t>Rozdíl není kvůli zaokrouhlování patrný.</w:t>
      </w:r>
    </w:p>
  </w:footnote>
  <w:footnote w:id="14">
    <w:p w14:paraId="5F47CCB2" w14:textId="77777777" w:rsidR="00DA3F64" w:rsidRPr="00DA3F64" w:rsidRDefault="00DA3F64" w:rsidP="00A71998">
      <w:pPr>
        <w:pStyle w:val="FootnoteText"/>
      </w:pPr>
      <w:r>
        <w:rPr>
          <w:rStyle w:val="FootnoteReference"/>
        </w:rPr>
        <w:footnoteRef/>
      </w:r>
      <w:r>
        <w:tab/>
        <w:t>Viz stanovisko Komise k návrhu rozpočtového plánu Slovenska, 26.11.2024, C(2024)9065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2B0D6" w14:textId="77777777" w:rsidR="00FB5EA5" w:rsidRDefault="00FB5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5817A" w14:textId="77777777" w:rsidR="00FB5EA5" w:rsidRDefault="00FB5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0C8B0B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D8EA25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7293B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7EA7ED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5"/>
  </w:num>
  <w:num w:numId="6">
    <w:abstractNumId w:val="8"/>
  </w:num>
  <w:num w:numId="7">
    <w:abstractNumId w:val="17"/>
  </w:num>
  <w:num w:numId="8">
    <w:abstractNumId w:val="7"/>
  </w:num>
  <w:num w:numId="9">
    <w:abstractNumId w:val="9"/>
  </w:num>
  <w:num w:numId="10">
    <w:abstractNumId w:val="10"/>
  </w:num>
  <w:num w:numId="11">
    <w:abstractNumId w:val="5"/>
  </w:num>
  <w:num w:numId="12">
    <w:abstractNumId w:val="16"/>
  </w:num>
  <w:num w:numId="13">
    <w:abstractNumId w:val="4"/>
  </w:num>
  <w:num w:numId="14">
    <w:abstractNumId w:val="11"/>
  </w:num>
  <w:num w:numId="15">
    <w:abstractNumId w:val="13"/>
  </w:num>
  <w:num w:numId="16">
    <w:abstractNumId w:val="14"/>
  </w:num>
  <w:num w:numId="17">
    <w:abstractNumId w:val="6"/>
  </w:num>
  <w:num w:numId="18">
    <w:abstractNumId w:val="12"/>
  </w:num>
  <w:num w:numId="19">
    <w:abstractNumId w:val="18"/>
  </w:num>
  <w:num w:numId="20">
    <w:abstractNumId w:val="15"/>
  </w:num>
  <w:num w:numId="21">
    <w:abstractNumId w:val="8"/>
  </w:num>
  <w:num w:numId="22">
    <w:abstractNumId w:val="17"/>
  </w:num>
  <w:num w:numId="23">
    <w:abstractNumId w:val="7"/>
  </w:num>
  <w:num w:numId="24">
    <w:abstractNumId w:val="9"/>
  </w:num>
  <w:num w:numId="25">
    <w:abstractNumId w:val="10"/>
  </w:num>
  <w:num w:numId="26">
    <w:abstractNumId w:val="5"/>
  </w:num>
  <w:num w:numId="27">
    <w:abstractNumId w:val="16"/>
  </w:num>
  <w:num w:numId="28">
    <w:abstractNumId w:val="4"/>
  </w:num>
  <w:num w:numId="29">
    <w:abstractNumId w:val="11"/>
  </w:num>
  <w:num w:numId="30">
    <w:abstractNumId w:val="13"/>
  </w:num>
  <w:num w:numId="31">
    <w:abstractNumId w:val="14"/>
  </w:num>
  <w:num w:numId="32">
    <w:abstractNumId w:val="6"/>
  </w:num>
  <w:num w:numId="33">
    <w:abstractNumId w:val="12"/>
  </w:num>
  <w:num w:numId="3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1-07 16:51:0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EPKit_DocumentHasBeenSaved" w:val="true"/>
    <w:docVar w:name="LW_CORRIGENDUM" w:val="&lt;UNUSED&gt;"/>
    <w:docVar w:name="LW_COVERPAGE_EXISTS" w:val="True"/>
    <w:docVar w:name="LW_COVERPAGE_GUID" w:val="1FE7EED1-561A-444A-8163-6A0BE1B74539"/>
    <w:docVar w:name="LW_COVERPAGE_TYPE" w:val="1"/>
    <w:docVar w:name="LW_CROSSREFERENCE" w:val="&lt;UNUSED&gt;"/>
    <w:docVar w:name="LW_DocType" w:val="COM"/>
    <w:docVar w:name="LW_EMISSION" w:val="26.11.2024"/>
    <w:docVar w:name="LW_EMISSION_ISODATE" w:val="2024-11-26"/>
    <w:docVar w:name="LW_EMISSION_LOCATION" w:val="STR"/>
    <w:docVar w:name="LW_EMISSION_PREFIX" w:val="Ve \u352?trasburku dne "/>
    <w:docVar w:name="LW_EMISSION_SUFFIX" w:val=" "/>
    <w:docVar w:name="LW_ID_DOCMODEL" w:val="SG-002"/>
    <w:docVar w:name="LW_ID_DOCSIGNATURE" w:val="SG-002"/>
    <w:docVar w:name="LW_ID_DOCSTRUCTURE" w:val="COM/PL/ORG/NOEEA"/>
    <w:docVar w:name="LW_ID_DOCTYPE" w:val="SG-002"/>
    <w:docVar w:name="LW_ID_STATUT" w:val="SG-002"/>
    <w:docVar w:name="LW_INSERT_EXP.MOTIFS.NEW" w:val="1"/>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Doporu\u269?ení pro"/>
    <w:docVar w:name="LW_SUPERTITRE" w:val="&lt;UNUSED&gt;"/>
    <w:docVar w:name="LW_TITRE.OBJ.CP" w:val="kterým se schvaluje národní st\u345?edn\u283?dobý fiskáln\u283?-strukturální plán Slovenska"/>
    <w:docVar w:name="LW_TYPE.DOC.CP" w:val="DOPORU\u268?ENÍ RADY,"/>
    <w:docVar w:name="LwApiVersions" w:val="LW4CoDe 1.24.5.0; LW 9.0, Build 20240221"/>
  </w:docVars>
  <w:rsids>
    <w:rsidRoot w:val="00AF3F52"/>
    <w:rsid w:val="0000012A"/>
    <w:rsid w:val="0000048B"/>
    <w:rsid w:val="00001917"/>
    <w:rsid w:val="0000191D"/>
    <w:rsid w:val="00001A9D"/>
    <w:rsid w:val="00001D5F"/>
    <w:rsid w:val="0000212C"/>
    <w:rsid w:val="00003A7A"/>
    <w:rsid w:val="00003B30"/>
    <w:rsid w:val="00003F4C"/>
    <w:rsid w:val="00004947"/>
    <w:rsid w:val="0000495B"/>
    <w:rsid w:val="00004C4B"/>
    <w:rsid w:val="00004F57"/>
    <w:rsid w:val="00004F7F"/>
    <w:rsid w:val="000051C6"/>
    <w:rsid w:val="000051EA"/>
    <w:rsid w:val="00005BD6"/>
    <w:rsid w:val="000065B8"/>
    <w:rsid w:val="000067D1"/>
    <w:rsid w:val="0000711E"/>
    <w:rsid w:val="00007231"/>
    <w:rsid w:val="00007C16"/>
    <w:rsid w:val="00007CDA"/>
    <w:rsid w:val="00007E35"/>
    <w:rsid w:val="000100F4"/>
    <w:rsid w:val="000107F7"/>
    <w:rsid w:val="00010B88"/>
    <w:rsid w:val="00010F32"/>
    <w:rsid w:val="00011084"/>
    <w:rsid w:val="000111FF"/>
    <w:rsid w:val="0001145F"/>
    <w:rsid w:val="00011793"/>
    <w:rsid w:val="000125D2"/>
    <w:rsid w:val="00013AFE"/>
    <w:rsid w:val="00013EFA"/>
    <w:rsid w:val="000140CA"/>
    <w:rsid w:val="0001444F"/>
    <w:rsid w:val="00014648"/>
    <w:rsid w:val="00014A97"/>
    <w:rsid w:val="0001521A"/>
    <w:rsid w:val="000155BF"/>
    <w:rsid w:val="00015A5D"/>
    <w:rsid w:val="00015C41"/>
    <w:rsid w:val="00017399"/>
    <w:rsid w:val="00017A03"/>
    <w:rsid w:val="0002089D"/>
    <w:rsid w:val="0002141F"/>
    <w:rsid w:val="000218C2"/>
    <w:rsid w:val="00021916"/>
    <w:rsid w:val="00021A2A"/>
    <w:rsid w:val="00021CF1"/>
    <w:rsid w:val="00021D9C"/>
    <w:rsid w:val="00022044"/>
    <w:rsid w:val="000222FC"/>
    <w:rsid w:val="0002265A"/>
    <w:rsid w:val="00022E31"/>
    <w:rsid w:val="00022E50"/>
    <w:rsid w:val="00023ACF"/>
    <w:rsid w:val="00023CD4"/>
    <w:rsid w:val="00023D68"/>
    <w:rsid w:val="0002419F"/>
    <w:rsid w:val="000248F6"/>
    <w:rsid w:val="00024978"/>
    <w:rsid w:val="0002499D"/>
    <w:rsid w:val="00024A6D"/>
    <w:rsid w:val="00024C4A"/>
    <w:rsid w:val="00024D86"/>
    <w:rsid w:val="0002520D"/>
    <w:rsid w:val="000256B0"/>
    <w:rsid w:val="00025931"/>
    <w:rsid w:val="00025AC9"/>
    <w:rsid w:val="00025BDA"/>
    <w:rsid w:val="00025EBB"/>
    <w:rsid w:val="00025F10"/>
    <w:rsid w:val="0002631E"/>
    <w:rsid w:val="000263A1"/>
    <w:rsid w:val="00026415"/>
    <w:rsid w:val="000267A5"/>
    <w:rsid w:val="00026956"/>
    <w:rsid w:val="00027452"/>
    <w:rsid w:val="0002753E"/>
    <w:rsid w:val="00027969"/>
    <w:rsid w:val="00027A4E"/>
    <w:rsid w:val="00027BFB"/>
    <w:rsid w:val="00030075"/>
    <w:rsid w:val="00030732"/>
    <w:rsid w:val="00032043"/>
    <w:rsid w:val="00032264"/>
    <w:rsid w:val="00032454"/>
    <w:rsid w:val="000328AB"/>
    <w:rsid w:val="00032D4B"/>
    <w:rsid w:val="000336A2"/>
    <w:rsid w:val="0003370F"/>
    <w:rsid w:val="00033BF5"/>
    <w:rsid w:val="000359D2"/>
    <w:rsid w:val="00035E2F"/>
    <w:rsid w:val="000362E4"/>
    <w:rsid w:val="00036438"/>
    <w:rsid w:val="0003678B"/>
    <w:rsid w:val="000369FE"/>
    <w:rsid w:val="00036AA5"/>
    <w:rsid w:val="00036B3C"/>
    <w:rsid w:val="00036DCA"/>
    <w:rsid w:val="000370E7"/>
    <w:rsid w:val="00037303"/>
    <w:rsid w:val="0003738C"/>
    <w:rsid w:val="00037715"/>
    <w:rsid w:val="0003783E"/>
    <w:rsid w:val="00037A5B"/>
    <w:rsid w:val="0004062A"/>
    <w:rsid w:val="000407BA"/>
    <w:rsid w:val="0004091C"/>
    <w:rsid w:val="0004096A"/>
    <w:rsid w:val="00040974"/>
    <w:rsid w:val="00040B38"/>
    <w:rsid w:val="00040BFC"/>
    <w:rsid w:val="0004117C"/>
    <w:rsid w:val="0004122B"/>
    <w:rsid w:val="00041671"/>
    <w:rsid w:val="00041803"/>
    <w:rsid w:val="00041ACD"/>
    <w:rsid w:val="00041B5A"/>
    <w:rsid w:val="00041EE5"/>
    <w:rsid w:val="0004224D"/>
    <w:rsid w:val="00042270"/>
    <w:rsid w:val="00042503"/>
    <w:rsid w:val="000426AD"/>
    <w:rsid w:val="000428DE"/>
    <w:rsid w:val="00042F0F"/>
    <w:rsid w:val="00042F50"/>
    <w:rsid w:val="000430DA"/>
    <w:rsid w:val="00043744"/>
    <w:rsid w:val="00043A74"/>
    <w:rsid w:val="00043DA7"/>
    <w:rsid w:val="000442B3"/>
    <w:rsid w:val="00044554"/>
    <w:rsid w:val="00044E14"/>
    <w:rsid w:val="000451DB"/>
    <w:rsid w:val="000452D8"/>
    <w:rsid w:val="000453F5"/>
    <w:rsid w:val="00045F17"/>
    <w:rsid w:val="00046C41"/>
    <w:rsid w:val="00046FE7"/>
    <w:rsid w:val="000471A5"/>
    <w:rsid w:val="0004759E"/>
    <w:rsid w:val="000476B1"/>
    <w:rsid w:val="000507AD"/>
    <w:rsid w:val="00050A69"/>
    <w:rsid w:val="00050BA0"/>
    <w:rsid w:val="00050CB5"/>
    <w:rsid w:val="00051099"/>
    <w:rsid w:val="0005112A"/>
    <w:rsid w:val="000511D1"/>
    <w:rsid w:val="000519B3"/>
    <w:rsid w:val="000520AE"/>
    <w:rsid w:val="000525BA"/>
    <w:rsid w:val="00052B22"/>
    <w:rsid w:val="0005311B"/>
    <w:rsid w:val="00053613"/>
    <w:rsid w:val="000547B1"/>
    <w:rsid w:val="00054CEE"/>
    <w:rsid w:val="00054E07"/>
    <w:rsid w:val="00055A60"/>
    <w:rsid w:val="00055FE1"/>
    <w:rsid w:val="0005619B"/>
    <w:rsid w:val="00056828"/>
    <w:rsid w:val="00056A26"/>
    <w:rsid w:val="00057228"/>
    <w:rsid w:val="000574A3"/>
    <w:rsid w:val="000576A6"/>
    <w:rsid w:val="0005785C"/>
    <w:rsid w:val="00060BED"/>
    <w:rsid w:val="0006192B"/>
    <w:rsid w:val="00061B19"/>
    <w:rsid w:val="00061EB3"/>
    <w:rsid w:val="0006202B"/>
    <w:rsid w:val="00062830"/>
    <w:rsid w:val="00062FCF"/>
    <w:rsid w:val="000635EC"/>
    <w:rsid w:val="00063DB8"/>
    <w:rsid w:val="00064246"/>
    <w:rsid w:val="00064253"/>
    <w:rsid w:val="000642D6"/>
    <w:rsid w:val="0006452D"/>
    <w:rsid w:val="00064767"/>
    <w:rsid w:val="0006546E"/>
    <w:rsid w:val="00065AEB"/>
    <w:rsid w:val="00065D6E"/>
    <w:rsid w:val="0006606C"/>
    <w:rsid w:val="00066BC9"/>
    <w:rsid w:val="00066C26"/>
    <w:rsid w:val="00066EFB"/>
    <w:rsid w:val="00067278"/>
    <w:rsid w:val="00067787"/>
    <w:rsid w:val="000703FD"/>
    <w:rsid w:val="0007057F"/>
    <w:rsid w:val="00070AAB"/>
    <w:rsid w:val="000711D8"/>
    <w:rsid w:val="00071458"/>
    <w:rsid w:val="00071612"/>
    <w:rsid w:val="00072148"/>
    <w:rsid w:val="00072856"/>
    <w:rsid w:val="00072DF2"/>
    <w:rsid w:val="00073603"/>
    <w:rsid w:val="00073683"/>
    <w:rsid w:val="00074422"/>
    <w:rsid w:val="0007452B"/>
    <w:rsid w:val="0007476E"/>
    <w:rsid w:val="00074AB7"/>
    <w:rsid w:val="00074E4E"/>
    <w:rsid w:val="00075168"/>
    <w:rsid w:val="0007568B"/>
    <w:rsid w:val="00076D37"/>
    <w:rsid w:val="00077079"/>
    <w:rsid w:val="000774FE"/>
    <w:rsid w:val="000778D7"/>
    <w:rsid w:val="00077942"/>
    <w:rsid w:val="00077A35"/>
    <w:rsid w:val="00077B2D"/>
    <w:rsid w:val="00077B4F"/>
    <w:rsid w:val="00077F0E"/>
    <w:rsid w:val="00080318"/>
    <w:rsid w:val="00081170"/>
    <w:rsid w:val="000811C9"/>
    <w:rsid w:val="00082A0B"/>
    <w:rsid w:val="00082C22"/>
    <w:rsid w:val="00083908"/>
    <w:rsid w:val="000840AC"/>
    <w:rsid w:val="000848AD"/>
    <w:rsid w:val="00085AD5"/>
    <w:rsid w:val="00086127"/>
    <w:rsid w:val="00086164"/>
    <w:rsid w:val="00086793"/>
    <w:rsid w:val="000867C7"/>
    <w:rsid w:val="00086AB8"/>
    <w:rsid w:val="0008706B"/>
    <w:rsid w:val="00087409"/>
    <w:rsid w:val="0008747E"/>
    <w:rsid w:val="00090553"/>
    <w:rsid w:val="000907AE"/>
    <w:rsid w:val="00090875"/>
    <w:rsid w:val="000916EC"/>
    <w:rsid w:val="00091B77"/>
    <w:rsid w:val="000922CF"/>
    <w:rsid w:val="00092D23"/>
    <w:rsid w:val="000956FC"/>
    <w:rsid w:val="0009587F"/>
    <w:rsid w:val="00095DAC"/>
    <w:rsid w:val="000961A2"/>
    <w:rsid w:val="0009654B"/>
    <w:rsid w:val="00096C09"/>
    <w:rsid w:val="00096D84"/>
    <w:rsid w:val="00097AE0"/>
    <w:rsid w:val="000A0691"/>
    <w:rsid w:val="000A0C05"/>
    <w:rsid w:val="000A14F9"/>
    <w:rsid w:val="000A1964"/>
    <w:rsid w:val="000A1D5C"/>
    <w:rsid w:val="000A247D"/>
    <w:rsid w:val="000A2534"/>
    <w:rsid w:val="000A26AE"/>
    <w:rsid w:val="000A2836"/>
    <w:rsid w:val="000A29AA"/>
    <w:rsid w:val="000A3057"/>
    <w:rsid w:val="000A359A"/>
    <w:rsid w:val="000A3834"/>
    <w:rsid w:val="000A4045"/>
    <w:rsid w:val="000A45C1"/>
    <w:rsid w:val="000A50C4"/>
    <w:rsid w:val="000A617F"/>
    <w:rsid w:val="000A6FD2"/>
    <w:rsid w:val="000A7A2B"/>
    <w:rsid w:val="000A7B57"/>
    <w:rsid w:val="000A7BC4"/>
    <w:rsid w:val="000B00F7"/>
    <w:rsid w:val="000B055A"/>
    <w:rsid w:val="000B0670"/>
    <w:rsid w:val="000B0958"/>
    <w:rsid w:val="000B0C72"/>
    <w:rsid w:val="000B0CE4"/>
    <w:rsid w:val="000B0FD9"/>
    <w:rsid w:val="000B13AF"/>
    <w:rsid w:val="000B1918"/>
    <w:rsid w:val="000B233C"/>
    <w:rsid w:val="000B2697"/>
    <w:rsid w:val="000B27B7"/>
    <w:rsid w:val="000B29A1"/>
    <w:rsid w:val="000B2CFE"/>
    <w:rsid w:val="000B3165"/>
    <w:rsid w:val="000B34DF"/>
    <w:rsid w:val="000B398C"/>
    <w:rsid w:val="000B39B5"/>
    <w:rsid w:val="000B484E"/>
    <w:rsid w:val="000B4C8C"/>
    <w:rsid w:val="000B4DC4"/>
    <w:rsid w:val="000B51DD"/>
    <w:rsid w:val="000B52D4"/>
    <w:rsid w:val="000B535B"/>
    <w:rsid w:val="000B583F"/>
    <w:rsid w:val="000B58F7"/>
    <w:rsid w:val="000B59F1"/>
    <w:rsid w:val="000B60E5"/>
    <w:rsid w:val="000B64FF"/>
    <w:rsid w:val="000B663F"/>
    <w:rsid w:val="000B6AE3"/>
    <w:rsid w:val="000B72D3"/>
    <w:rsid w:val="000B7B0D"/>
    <w:rsid w:val="000C0867"/>
    <w:rsid w:val="000C09A2"/>
    <w:rsid w:val="000C108D"/>
    <w:rsid w:val="000C1D05"/>
    <w:rsid w:val="000C2346"/>
    <w:rsid w:val="000C2576"/>
    <w:rsid w:val="000C27C0"/>
    <w:rsid w:val="000C2815"/>
    <w:rsid w:val="000C2FFC"/>
    <w:rsid w:val="000C37D2"/>
    <w:rsid w:val="000C405B"/>
    <w:rsid w:val="000C4AB3"/>
    <w:rsid w:val="000C4F61"/>
    <w:rsid w:val="000C539F"/>
    <w:rsid w:val="000C68D4"/>
    <w:rsid w:val="000C6DC5"/>
    <w:rsid w:val="000C7264"/>
    <w:rsid w:val="000C7368"/>
    <w:rsid w:val="000C73E2"/>
    <w:rsid w:val="000C75FC"/>
    <w:rsid w:val="000C774E"/>
    <w:rsid w:val="000C7B8D"/>
    <w:rsid w:val="000C7FB2"/>
    <w:rsid w:val="000D011D"/>
    <w:rsid w:val="000D032F"/>
    <w:rsid w:val="000D0545"/>
    <w:rsid w:val="000D07B2"/>
    <w:rsid w:val="000D09E8"/>
    <w:rsid w:val="000D0ABF"/>
    <w:rsid w:val="000D0D95"/>
    <w:rsid w:val="000D0EBA"/>
    <w:rsid w:val="000D0F56"/>
    <w:rsid w:val="000D135E"/>
    <w:rsid w:val="000D15C0"/>
    <w:rsid w:val="000D18DD"/>
    <w:rsid w:val="000D1AD1"/>
    <w:rsid w:val="000D2039"/>
    <w:rsid w:val="000D205B"/>
    <w:rsid w:val="000D25AB"/>
    <w:rsid w:val="000D281A"/>
    <w:rsid w:val="000D29C4"/>
    <w:rsid w:val="000D4257"/>
    <w:rsid w:val="000D52F9"/>
    <w:rsid w:val="000D5471"/>
    <w:rsid w:val="000D56CA"/>
    <w:rsid w:val="000D57B7"/>
    <w:rsid w:val="000D5803"/>
    <w:rsid w:val="000D593B"/>
    <w:rsid w:val="000D5B3B"/>
    <w:rsid w:val="000D5BB6"/>
    <w:rsid w:val="000D6131"/>
    <w:rsid w:val="000D63F6"/>
    <w:rsid w:val="000D705C"/>
    <w:rsid w:val="000D740E"/>
    <w:rsid w:val="000E00A1"/>
    <w:rsid w:val="000E019E"/>
    <w:rsid w:val="000E0815"/>
    <w:rsid w:val="000E0E83"/>
    <w:rsid w:val="000E0F79"/>
    <w:rsid w:val="000E1C3D"/>
    <w:rsid w:val="000E1FE1"/>
    <w:rsid w:val="000E221F"/>
    <w:rsid w:val="000E22B4"/>
    <w:rsid w:val="000E26C3"/>
    <w:rsid w:val="000E2740"/>
    <w:rsid w:val="000E2759"/>
    <w:rsid w:val="000E290E"/>
    <w:rsid w:val="000E2E33"/>
    <w:rsid w:val="000E2F54"/>
    <w:rsid w:val="000E2FE5"/>
    <w:rsid w:val="000E39D7"/>
    <w:rsid w:val="000E3C29"/>
    <w:rsid w:val="000E4200"/>
    <w:rsid w:val="000E449B"/>
    <w:rsid w:val="000E468A"/>
    <w:rsid w:val="000E4B02"/>
    <w:rsid w:val="000E4D1E"/>
    <w:rsid w:val="000E4D69"/>
    <w:rsid w:val="000E55CE"/>
    <w:rsid w:val="000E569D"/>
    <w:rsid w:val="000E5BAC"/>
    <w:rsid w:val="000E67D1"/>
    <w:rsid w:val="000E6C39"/>
    <w:rsid w:val="000E6F9B"/>
    <w:rsid w:val="000E7028"/>
    <w:rsid w:val="000E7232"/>
    <w:rsid w:val="000F00CC"/>
    <w:rsid w:val="000F0227"/>
    <w:rsid w:val="000F0838"/>
    <w:rsid w:val="000F115D"/>
    <w:rsid w:val="000F15FA"/>
    <w:rsid w:val="000F19B4"/>
    <w:rsid w:val="000F2193"/>
    <w:rsid w:val="000F2320"/>
    <w:rsid w:val="000F2F31"/>
    <w:rsid w:val="000F30D5"/>
    <w:rsid w:val="000F31E2"/>
    <w:rsid w:val="000F3E91"/>
    <w:rsid w:val="000F3F02"/>
    <w:rsid w:val="000F3F72"/>
    <w:rsid w:val="000F4198"/>
    <w:rsid w:val="000F4402"/>
    <w:rsid w:val="000F4484"/>
    <w:rsid w:val="000F474C"/>
    <w:rsid w:val="000F4B8F"/>
    <w:rsid w:val="000F4C36"/>
    <w:rsid w:val="000F4E8D"/>
    <w:rsid w:val="000F4F0B"/>
    <w:rsid w:val="000F500A"/>
    <w:rsid w:val="000F5028"/>
    <w:rsid w:val="000F5592"/>
    <w:rsid w:val="000F55DA"/>
    <w:rsid w:val="000F5BE9"/>
    <w:rsid w:val="000F6300"/>
    <w:rsid w:val="000F6619"/>
    <w:rsid w:val="000F6B7F"/>
    <w:rsid w:val="000F6F71"/>
    <w:rsid w:val="000F7797"/>
    <w:rsid w:val="000F7810"/>
    <w:rsid w:val="000F7C24"/>
    <w:rsid w:val="001005DC"/>
    <w:rsid w:val="00100650"/>
    <w:rsid w:val="00100F54"/>
    <w:rsid w:val="0010118B"/>
    <w:rsid w:val="0010127D"/>
    <w:rsid w:val="001014E1"/>
    <w:rsid w:val="0010163E"/>
    <w:rsid w:val="00101A47"/>
    <w:rsid w:val="0010287D"/>
    <w:rsid w:val="001028F6"/>
    <w:rsid w:val="00102E8A"/>
    <w:rsid w:val="00103145"/>
    <w:rsid w:val="001033CA"/>
    <w:rsid w:val="00103544"/>
    <w:rsid w:val="00103C20"/>
    <w:rsid w:val="00103C36"/>
    <w:rsid w:val="00103D50"/>
    <w:rsid w:val="00103F61"/>
    <w:rsid w:val="00104844"/>
    <w:rsid w:val="00104BD3"/>
    <w:rsid w:val="00104CA5"/>
    <w:rsid w:val="001052E0"/>
    <w:rsid w:val="001055B5"/>
    <w:rsid w:val="00105896"/>
    <w:rsid w:val="00105ADE"/>
    <w:rsid w:val="00105E4E"/>
    <w:rsid w:val="00105E55"/>
    <w:rsid w:val="0010652E"/>
    <w:rsid w:val="001065F5"/>
    <w:rsid w:val="001066DA"/>
    <w:rsid w:val="00106ED9"/>
    <w:rsid w:val="0010726F"/>
    <w:rsid w:val="0010765C"/>
    <w:rsid w:val="00107CC6"/>
    <w:rsid w:val="001107AD"/>
    <w:rsid w:val="00110861"/>
    <w:rsid w:val="00110C73"/>
    <w:rsid w:val="00110CE9"/>
    <w:rsid w:val="001118BF"/>
    <w:rsid w:val="00111B30"/>
    <w:rsid w:val="00111B88"/>
    <w:rsid w:val="00111C84"/>
    <w:rsid w:val="001125FF"/>
    <w:rsid w:val="0011270D"/>
    <w:rsid w:val="00112A90"/>
    <w:rsid w:val="00112C38"/>
    <w:rsid w:val="0011369D"/>
    <w:rsid w:val="001137C5"/>
    <w:rsid w:val="0011391A"/>
    <w:rsid w:val="0011457F"/>
    <w:rsid w:val="0011464E"/>
    <w:rsid w:val="00114B75"/>
    <w:rsid w:val="00114D46"/>
    <w:rsid w:val="00114E63"/>
    <w:rsid w:val="001154CE"/>
    <w:rsid w:val="00115E7B"/>
    <w:rsid w:val="0011651F"/>
    <w:rsid w:val="001168C6"/>
    <w:rsid w:val="001168D6"/>
    <w:rsid w:val="00116AEA"/>
    <w:rsid w:val="00116D14"/>
    <w:rsid w:val="00116D89"/>
    <w:rsid w:val="0011717D"/>
    <w:rsid w:val="0011743A"/>
    <w:rsid w:val="001205F3"/>
    <w:rsid w:val="00120C18"/>
    <w:rsid w:val="00120DA0"/>
    <w:rsid w:val="00121217"/>
    <w:rsid w:val="001218CD"/>
    <w:rsid w:val="0012199A"/>
    <w:rsid w:val="00123409"/>
    <w:rsid w:val="001236D1"/>
    <w:rsid w:val="00123741"/>
    <w:rsid w:val="001238EF"/>
    <w:rsid w:val="0012399F"/>
    <w:rsid w:val="00123ED1"/>
    <w:rsid w:val="00123ED3"/>
    <w:rsid w:val="00123F5B"/>
    <w:rsid w:val="0012411B"/>
    <w:rsid w:val="00124160"/>
    <w:rsid w:val="001260AA"/>
    <w:rsid w:val="0012612D"/>
    <w:rsid w:val="00126830"/>
    <w:rsid w:val="00126A1B"/>
    <w:rsid w:val="00126E2C"/>
    <w:rsid w:val="00126E3E"/>
    <w:rsid w:val="0012731E"/>
    <w:rsid w:val="00127843"/>
    <w:rsid w:val="0012786C"/>
    <w:rsid w:val="001279AB"/>
    <w:rsid w:val="00127ABC"/>
    <w:rsid w:val="00130559"/>
    <w:rsid w:val="001306CA"/>
    <w:rsid w:val="0013083E"/>
    <w:rsid w:val="001317B6"/>
    <w:rsid w:val="0013254F"/>
    <w:rsid w:val="001327CC"/>
    <w:rsid w:val="00132964"/>
    <w:rsid w:val="00132A1F"/>
    <w:rsid w:val="00132C0B"/>
    <w:rsid w:val="00132C0C"/>
    <w:rsid w:val="00133303"/>
    <w:rsid w:val="001336E1"/>
    <w:rsid w:val="001339A3"/>
    <w:rsid w:val="00133FBD"/>
    <w:rsid w:val="001342DE"/>
    <w:rsid w:val="001346E1"/>
    <w:rsid w:val="00134CDE"/>
    <w:rsid w:val="00135201"/>
    <w:rsid w:val="001356DB"/>
    <w:rsid w:val="00135F0A"/>
    <w:rsid w:val="00136297"/>
    <w:rsid w:val="00136597"/>
    <w:rsid w:val="00136810"/>
    <w:rsid w:val="00136B43"/>
    <w:rsid w:val="001374E4"/>
    <w:rsid w:val="0013772B"/>
    <w:rsid w:val="001404A2"/>
    <w:rsid w:val="00140548"/>
    <w:rsid w:val="00140EE6"/>
    <w:rsid w:val="0014118C"/>
    <w:rsid w:val="001413B3"/>
    <w:rsid w:val="00141ED0"/>
    <w:rsid w:val="00142370"/>
    <w:rsid w:val="001425C0"/>
    <w:rsid w:val="001426B0"/>
    <w:rsid w:val="00143A8E"/>
    <w:rsid w:val="00143C15"/>
    <w:rsid w:val="00143E19"/>
    <w:rsid w:val="00143E40"/>
    <w:rsid w:val="00144060"/>
    <w:rsid w:val="00144269"/>
    <w:rsid w:val="0014432E"/>
    <w:rsid w:val="00144419"/>
    <w:rsid w:val="00144FC5"/>
    <w:rsid w:val="00145007"/>
    <w:rsid w:val="0014515A"/>
    <w:rsid w:val="001455F0"/>
    <w:rsid w:val="001457E6"/>
    <w:rsid w:val="00145BDA"/>
    <w:rsid w:val="00145E3A"/>
    <w:rsid w:val="00145E42"/>
    <w:rsid w:val="00146331"/>
    <w:rsid w:val="001463D0"/>
    <w:rsid w:val="001471C5"/>
    <w:rsid w:val="001474B4"/>
    <w:rsid w:val="0014754B"/>
    <w:rsid w:val="00147609"/>
    <w:rsid w:val="001479F7"/>
    <w:rsid w:val="001479FA"/>
    <w:rsid w:val="00147AFC"/>
    <w:rsid w:val="00147F7F"/>
    <w:rsid w:val="00150436"/>
    <w:rsid w:val="00150760"/>
    <w:rsid w:val="00150FA2"/>
    <w:rsid w:val="001510A5"/>
    <w:rsid w:val="001513AE"/>
    <w:rsid w:val="0015152F"/>
    <w:rsid w:val="001518F0"/>
    <w:rsid w:val="0015214D"/>
    <w:rsid w:val="0015284D"/>
    <w:rsid w:val="001529EB"/>
    <w:rsid w:val="00152CB3"/>
    <w:rsid w:val="00152D30"/>
    <w:rsid w:val="001530FF"/>
    <w:rsid w:val="00153333"/>
    <w:rsid w:val="00153E21"/>
    <w:rsid w:val="00154194"/>
    <w:rsid w:val="00154C40"/>
    <w:rsid w:val="00154E4E"/>
    <w:rsid w:val="0015505B"/>
    <w:rsid w:val="00155721"/>
    <w:rsid w:val="00155CEC"/>
    <w:rsid w:val="00155F47"/>
    <w:rsid w:val="00155F56"/>
    <w:rsid w:val="001560B1"/>
    <w:rsid w:val="001560FA"/>
    <w:rsid w:val="0015656C"/>
    <w:rsid w:val="001566F8"/>
    <w:rsid w:val="0015691B"/>
    <w:rsid w:val="00156A73"/>
    <w:rsid w:val="00156D11"/>
    <w:rsid w:val="001571DC"/>
    <w:rsid w:val="001574FB"/>
    <w:rsid w:val="00157AF2"/>
    <w:rsid w:val="00157B2D"/>
    <w:rsid w:val="00157DC2"/>
    <w:rsid w:val="0016018D"/>
    <w:rsid w:val="001612AE"/>
    <w:rsid w:val="00161CDB"/>
    <w:rsid w:val="00161D27"/>
    <w:rsid w:val="00162290"/>
    <w:rsid w:val="00162293"/>
    <w:rsid w:val="001623A4"/>
    <w:rsid w:val="0016278F"/>
    <w:rsid w:val="00162ACB"/>
    <w:rsid w:val="00163246"/>
    <w:rsid w:val="00163E88"/>
    <w:rsid w:val="0016405C"/>
    <w:rsid w:val="00165655"/>
    <w:rsid w:val="00166366"/>
    <w:rsid w:val="00166480"/>
    <w:rsid w:val="00166835"/>
    <w:rsid w:val="00167500"/>
    <w:rsid w:val="00167C3E"/>
    <w:rsid w:val="00167C8F"/>
    <w:rsid w:val="00170577"/>
    <w:rsid w:val="00170579"/>
    <w:rsid w:val="001708A2"/>
    <w:rsid w:val="00170CF5"/>
    <w:rsid w:val="00170FB7"/>
    <w:rsid w:val="001710CF"/>
    <w:rsid w:val="00171168"/>
    <w:rsid w:val="00171189"/>
    <w:rsid w:val="00171360"/>
    <w:rsid w:val="00171D32"/>
    <w:rsid w:val="00172ED2"/>
    <w:rsid w:val="00173295"/>
    <w:rsid w:val="001732AD"/>
    <w:rsid w:val="001737E6"/>
    <w:rsid w:val="00173BA8"/>
    <w:rsid w:val="00173DB0"/>
    <w:rsid w:val="001742C0"/>
    <w:rsid w:val="0017439C"/>
    <w:rsid w:val="00174439"/>
    <w:rsid w:val="0017457A"/>
    <w:rsid w:val="001746A0"/>
    <w:rsid w:val="001755D5"/>
    <w:rsid w:val="00175D44"/>
    <w:rsid w:val="001762AB"/>
    <w:rsid w:val="00176428"/>
    <w:rsid w:val="001771C4"/>
    <w:rsid w:val="00177A79"/>
    <w:rsid w:val="00177D63"/>
    <w:rsid w:val="00181000"/>
    <w:rsid w:val="001813C5"/>
    <w:rsid w:val="001813F2"/>
    <w:rsid w:val="001817C6"/>
    <w:rsid w:val="00181D3F"/>
    <w:rsid w:val="00182035"/>
    <w:rsid w:val="00182776"/>
    <w:rsid w:val="00182981"/>
    <w:rsid w:val="00182DA6"/>
    <w:rsid w:val="00183ABF"/>
    <w:rsid w:val="00183C66"/>
    <w:rsid w:val="00183C9E"/>
    <w:rsid w:val="00183E28"/>
    <w:rsid w:val="00183E38"/>
    <w:rsid w:val="0018436A"/>
    <w:rsid w:val="0018452F"/>
    <w:rsid w:val="00184AC2"/>
    <w:rsid w:val="00184D70"/>
    <w:rsid w:val="00185565"/>
    <w:rsid w:val="001855ED"/>
    <w:rsid w:val="001859DC"/>
    <w:rsid w:val="00185AE0"/>
    <w:rsid w:val="0018622F"/>
    <w:rsid w:val="00186376"/>
    <w:rsid w:val="00186721"/>
    <w:rsid w:val="00186FE1"/>
    <w:rsid w:val="00187047"/>
    <w:rsid w:val="00187126"/>
    <w:rsid w:val="00187A28"/>
    <w:rsid w:val="00190112"/>
    <w:rsid w:val="00190164"/>
    <w:rsid w:val="001908DB"/>
    <w:rsid w:val="00190CC0"/>
    <w:rsid w:val="00190FBA"/>
    <w:rsid w:val="001923C3"/>
    <w:rsid w:val="001937CF"/>
    <w:rsid w:val="00194083"/>
    <w:rsid w:val="00194293"/>
    <w:rsid w:val="001943C3"/>
    <w:rsid w:val="001944A4"/>
    <w:rsid w:val="00195203"/>
    <w:rsid w:val="001953BB"/>
    <w:rsid w:val="00195462"/>
    <w:rsid w:val="00195B69"/>
    <w:rsid w:val="00195DD0"/>
    <w:rsid w:val="00195E49"/>
    <w:rsid w:val="00196118"/>
    <w:rsid w:val="00196748"/>
    <w:rsid w:val="00196817"/>
    <w:rsid w:val="00197057"/>
    <w:rsid w:val="00197350"/>
    <w:rsid w:val="00197613"/>
    <w:rsid w:val="00197BCF"/>
    <w:rsid w:val="00197D18"/>
    <w:rsid w:val="00197FDC"/>
    <w:rsid w:val="001A023E"/>
    <w:rsid w:val="001A03B7"/>
    <w:rsid w:val="001A04A9"/>
    <w:rsid w:val="001A058C"/>
    <w:rsid w:val="001A07FB"/>
    <w:rsid w:val="001A09A8"/>
    <w:rsid w:val="001A125B"/>
    <w:rsid w:val="001A127D"/>
    <w:rsid w:val="001A1344"/>
    <w:rsid w:val="001A1426"/>
    <w:rsid w:val="001A15BC"/>
    <w:rsid w:val="001A1CF4"/>
    <w:rsid w:val="001A26B0"/>
    <w:rsid w:val="001A346B"/>
    <w:rsid w:val="001A39DD"/>
    <w:rsid w:val="001A4699"/>
    <w:rsid w:val="001A4CB2"/>
    <w:rsid w:val="001A525F"/>
    <w:rsid w:val="001A5658"/>
    <w:rsid w:val="001A57F9"/>
    <w:rsid w:val="001A5AB6"/>
    <w:rsid w:val="001A5AF3"/>
    <w:rsid w:val="001A5C65"/>
    <w:rsid w:val="001A623C"/>
    <w:rsid w:val="001A67D7"/>
    <w:rsid w:val="001A7211"/>
    <w:rsid w:val="001A7809"/>
    <w:rsid w:val="001A7C47"/>
    <w:rsid w:val="001B0257"/>
    <w:rsid w:val="001B0BE1"/>
    <w:rsid w:val="001B0BFF"/>
    <w:rsid w:val="001B0E49"/>
    <w:rsid w:val="001B153C"/>
    <w:rsid w:val="001B1B9F"/>
    <w:rsid w:val="001B1F97"/>
    <w:rsid w:val="001B2365"/>
    <w:rsid w:val="001B24B7"/>
    <w:rsid w:val="001B2741"/>
    <w:rsid w:val="001B295D"/>
    <w:rsid w:val="001B29E9"/>
    <w:rsid w:val="001B3102"/>
    <w:rsid w:val="001B32AC"/>
    <w:rsid w:val="001B4263"/>
    <w:rsid w:val="001B47BC"/>
    <w:rsid w:val="001B48F1"/>
    <w:rsid w:val="001B4E31"/>
    <w:rsid w:val="001B525B"/>
    <w:rsid w:val="001B547F"/>
    <w:rsid w:val="001B567E"/>
    <w:rsid w:val="001B5778"/>
    <w:rsid w:val="001B59AC"/>
    <w:rsid w:val="001B6E64"/>
    <w:rsid w:val="001B6EA9"/>
    <w:rsid w:val="001B6ECC"/>
    <w:rsid w:val="001B7379"/>
    <w:rsid w:val="001B7ACE"/>
    <w:rsid w:val="001C05E4"/>
    <w:rsid w:val="001C074A"/>
    <w:rsid w:val="001C099B"/>
    <w:rsid w:val="001C0CDC"/>
    <w:rsid w:val="001C0CE4"/>
    <w:rsid w:val="001C1D05"/>
    <w:rsid w:val="001C28EA"/>
    <w:rsid w:val="001C2A4F"/>
    <w:rsid w:val="001C2E84"/>
    <w:rsid w:val="001C2FFD"/>
    <w:rsid w:val="001C301E"/>
    <w:rsid w:val="001C33CC"/>
    <w:rsid w:val="001C38A7"/>
    <w:rsid w:val="001C42ED"/>
    <w:rsid w:val="001C4321"/>
    <w:rsid w:val="001C4426"/>
    <w:rsid w:val="001C44C6"/>
    <w:rsid w:val="001C486D"/>
    <w:rsid w:val="001C4D6C"/>
    <w:rsid w:val="001C4EEB"/>
    <w:rsid w:val="001C50A0"/>
    <w:rsid w:val="001C5AC4"/>
    <w:rsid w:val="001C6377"/>
    <w:rsid w:val="001C6519"/>
    <w:rsid w:val="001C662C"/>
    <w:rsid w:val="001C66C3"/>
    <w:rsid w:val="001C66E1"/>
    <w:rsid w:val="001C6B1E"/>
    <w:rsid w:val="001C6D9B"/>
    <w:rsid w:val="001C7421"/>
    <w:rsid w:val="001C7885"/>
    <w:rsid w:val="001D05EC"/>
    <w:rsid w:val="001D0603"/>
    <w:rsid w:val="001D089A"/>
    <w:rsid w:val="001D13AB"/>
    <w:rsid w:val="001D18D1"/>
    <w:rsid w:val="001D1D0E"/>
    <w:rsid w:val="001D26FF"/>
    <w:rsid w:val="001D2860"/>
    <w:rsid w:val="001D34A1"/>
    <w:rsid w:val="001D37E1"/>
    <w:rsid w:val="001D3B7D"/>
    <w:rsid w:val="001D3BC6"/>
    <w:rsid w:val="001D4057"/>
    <w:rsid w:val="001D4ADC"/>
    <w:rsid w:val="001D4CA7"/>
    <w:rsid w:val="001D510D"/>
    <w:rsid w:val="001D5649"/>
    <w:rsid w:val="001D5718"/>
    <w:rsid w:val="001D5D4B"/>
    <w:rsid w:val="001D5FDD"/>
    <w:rsid w:val="001D63FC"/>
    <w:rsid w:val="001D664B"/>
    <w:rsid w:val="001D69C9"/>
    <w:rsid w:val="001D6D53"/>
    <w:rsid w:val="001D6EF7"/>
    <w:rsid w:val="001D734D"/>
    <w:rsid w:val="001D791B"/>
    <w:rsid w:val="001D7A4E"/>
    <w:rsid w:val="001D7B49"/>
    <w:rsid w:val="001D7E91"/>
    <w:rsid w:val="001E0295"/>
    <w:rsid w:val="001E04C6"/>
    <w:rsid w:val="001E05EB"/>
    <w:rsid w:val="001E06B2"/>
    <w:rsid w:val="001E132B"/>
    <w:rsid w:val="001E13F2"/>
    <w:rsid w:val="001E14FE"/>
    <w:rsid w:val="001E1792"/>
    <w:rsid w:val="001E18CF"/>
    <w:rsid w:val="001E20EE"/>
    <w:rsid w:val="001E25BF"/>
    <w:rsid w:val="001E31E0"/>
    <w:rsid w:val="001E36E8"/>
    <w:rsid w:val="001E3A88"/>
    <w:rsid w:val="001E3ECD"/>
    <w:rsid w:val="001E3F24"/>
    <w:rsid w:val="001E4396"/>
    <w:rsid w:val="001E44B0"/>
    <w:rsid w:val="001E48D9"/>
    <w:rsid w:val="001E525F"/>
    <w:rsid w:val="001E549A"/>
    <w:rsid w:val="001E55EA"/>
    <w:rsid w:val="001E5759"/>
    <w:rsid w:val="001E64EB"/>
    <w:rsid w:val="001E6515"/>
    <w:rsid w:val="001E66FE"/>
    <w:rsid w:val="001E671D"/>
    <w:rsid w:val="001E67A5"/>
    <w:rsid w:val="001E69B6"/>
    <w:rsid w:val="001E6D52"/>
    <w:rsid w:val="001E7385"/>
    <w:rsid w:val="001E7A9B"/>
    <w:rsid w:val="001E7C52"/>
    <w:rsid w:val="001E7D0F"/>
    <w:rsid w:val="001F04AC"/>
    <w:rsid w:val="001F0AC6"/>
    <w:rsid w:val="001F0AD3"/>
    <w:rsid w:val="001F0BC2"/>
    <w:rsid w:val="001F0F1D"/>
    <w:rsid w:val="001F1469"/>
    <w:rsid w:val="001F186F"/>
    <w:rsid w:val="001F209D"/>
    <w:rsid w:val="001F22A0"/>
    <w:rsid w:val="001F23B4"/>
    <w:rsid w:val="001F2A69"/>
    <w:rsid w:val="001F2AB8"/>
    <w:rsid w:val="001F2C08"/>
    <w:rsid w:val="001F32B3"/>
    <w:rsid w:val="001F3EA1"/>
    <w:rsid w:val="001F427E"/>
    <w:rsid w:val="001F42E9"/>
    <w:rsid w:val="001F444E"/>
    <w:rsid w:val="001F47C1"/>
    <w:rsid w:val="001F50BE"/>
    <w:rsid w:val="001F5512"/>
    <w:rsid w:val="001F56A8"/>
    <w:rsid w:val="001F582F"/>
    <w:rsid w:val="001F58D9"/>
    <w:rsid w:val="001F5B55"/>
    <w:rsid w:val="001F5FBF"/>
    <w:rsid w:val="001F6503"/>
    <w:rsid w:val="001F6761"/>
    <w:rsid w:val="001F6825"/>
    <w:rsid w:val="001F74BB"/>
    <w:rsid w:val="001F7724"/>
    <w:rsid w:val="001F772F"/>
    <w:rsid w:val="001F7840"/>
    <w:rsid w:val="001F7844"/>
    <w:rsid w:val="001F799A"/>
    <w:rsid w:val="001F7D9D"/>
    <w:rsid w:val="00200944"/>
    <w:rsid w:val="00200BC2"/>
    <w:rsid w:val="00200F14"/>
    <w:rsid w:val="002012C0"/>
    <w:rsid w:val="002014DB"/>
    <w:rsid w:val="0020184F"/>
    <w:rsid w:val="00202244"/>
    <w:rsid w:val="00202309"/>
    <w:rsid w:val="00202416"/>
    <w:rsid w:val="00202533"/>
    <w:rsid w:val="0020272E"/>
    <w:rsid w:val="00202B65"/>
    <w:rsid w:val="002038E3"/>
    <w:rsid w:val="00203965"/>
    <w:rsid w:val="00203AC8"/>
    <w:rsid w:val="00203B63"/>
    <w:rsid w:val="00204011"/>
    <w:rsid w:val="00204468"/>
    <w:rsid w:val="002046A1"/>
    <w:rsid w:val="002046F0"/>
    <w:rsid w:val="00204CBC"/>
    <w:rsid w:val="00204D90"/>
    <w:rsid w:val="00204E5F"/>
    <w:rsid w:val="00204F51"/>
    <w:rsid w:val="00206663"/>
    <w:rsid w:val="0020694D"/>
    <w:rsid w:val="00206D18"/>
    <w:rsid w:val="002073C2"/>
    <w:rsid w:val="002073DD"/>
    <w:rsid w:val="002077C1"/>
    <w:rsid w:val="0020794B"/>
    <w:rsid w:val="00207F33"/>
    <w:rsid w:val="0021005D"/>
    <w:rsid w:val="002101B1"/>
    <w:rsid w:val="002107F2"/>
    <w:rsid w:val="00211534"/>
    <w:rsid w:val="00211607"/>
    <w:rsid w:val="002118BB"/>
    <w:rsid w:val="00211C3F"/>
    <w:rsid w:val="00211C4C"/>
    <w:rsid w:val="00211D66"/>
    <w:rsid w:val="00211E02"/>
    <w:rsid w:val="00212323"/>
    <w:rsid w:val="002124CD"/>
    <w:rsid w:val="00212740"/>
    <w:rsid w:val="00212A4A"/>
    <w:rsid w:val="00212B39"/>
    <w:rsid w:val="0021313F"/>
    <w:rsid w:val="0021362C"/>
    <w:rsid w:val="0021435A"/>
    <w:rsid w:val="00214799"/>
    <w:rsid w:val="00214867"/>
    <w:rsid w:val="00214CFE"/>
    <w:rsid w:val="00214EEA"/>
    <w:rsid w:val="00215280"/>
    <w:rsid w:val="00215645"/>
    <w:rsid w:val="0021571F"/>
    <w:rsid w:val="00215ADE"/>
    <w:rsid w:val="00215BA4"/>
    <w:rsid w:val="00215E91"/>
    <w:rsid w:val="00215F7F"/>
    <w:rsid w:val="00216EC5"/>
    <w:rsid w:val="00216FEB"/>
    <w:rsid w:val="002173D6"/>
    <w:rsid w:val="00217821"/>
    <w:rsid w:val="002178FE"/>
    <w:rsid w:val="00220D50"/>
    <w:rsid w:val="00220ED3"/>
    <w:rsid w:val="00221141"/>
    <w:rsid w:val="00221142"/>
    <w:rsid w:val="00221C4F"/>
    <w:rsid w:val="00221DD0"/>
    <w:rsid w:val="00221F0B"/>
    <w:rsid w:val="0022205F"/>
    <w:rsid w:val="00222960"/>
    <w:rsid w:val="002232EB"/>
    <w:rsid w:val="00223345"/>
    <w:rsid w:val="002240FA"/>
    <w:rsid w:val="0022475C"/>
    <w:rsid w:val="002247BD"/>
    <w:rsid w:val="00224918"/>
    <w:rsid w:val="0022491C"/>
    <w:rsid w:val="00224C10"/>
    <w:rsid w:val="00224D57"/>
    <w:rsid w:val="0022511B"/>
    <w:rsid w:val="00225AE3"/>
    <w:rsid w:val="00226537"/>
    <w:rsid w:val="00226746"/>
    <w:rsid w:val="0022688D"/>
    <w:rsid w:val="0022695B"/>
    <w:rsid w:val="00226A61"/>
    <w:rsid w:val="00226DC7"/>
    <w:rsid w:val="00226F4A"/>
    <w:rsid w:val="00226FA4"/>
    <w:rsid w:val="0022712B"/>
    <w:rsid w:val="0022724B"/>
    <w:rsid w:val="002277E6"/>
    <w:rsid w:val="0022786C"/>
    <w:rsid w:val="00230154"/>
    <w:rsid w:val="002306AC"/>
    <w:rsid w:val="0023079C"/>
    <w:rsid w:val="00230C5E"/>
    <w:rsid w:val="00230EA6"/>
    <w:rsid w:val="00231067"/>
    <w:rsid w:val="00231D03"/>
    <w:rsid w:val="00231E75"/>
    <w:rsid w:val="002320C6"/>
    <w:rsid w:val="00232272"/>
    <w:rsid w:val="002328BA"/>
    <w:rsid w:val="00232B6F"/>
    <w:rsid w:val="00232F1A"/>
    <w:rsid w:val="00233B2A"/>
    <w:rsid w:val="00233DC7"/>
    <w:rsid w:val="00233DFA"/>
    <w:rsid w:val="00233F8F"/>
    <w:rsid w:val="00234570"/>
    <w:rsid w:val="00234B23"/>
    <w:rsid w:val="002353B9"/>
    <w:rsid w:val="00236021"/>
    <w:rsid w:val="00236AD1"/>
    <w:rsid w:val="00237628"/>
    <w:rsid w:val="00237804"/>
    <w:rsid w:val="00237854"/>
    <w:rsid w:val="00240A7B"/>
    <w:rsid w:val="00240ED9"/>
    <w:rsid w:val="00241511"/>
    <w:rsid w:val="00241F1A"/>
    <w:rsid w:val="002421E4"/>
    <w:rsid w:val="00242E07"/>
    <w:rsid w:val="00242FED"/>
    <w:rsid w:val="002436A4"/>
    <w:rsid w:val="00244180"/>
    <w:rsid w:val="00244834"/>
    <w:rsid w:val="00245409"/>
    <w:rsid w:val="0024598B"/>
    <w:rsid w:val="00245CBE"/>
    <w:rsid w:val="00246163"/>
    <w:rsid w:val="002465E0"/>
    <w:rsid w:val="00247252"/>
    <w:rsid w:val="00247779"/>
    <w:rsid w:val="00247AE3"/>
    <w:rsid w:val="00247B8F"/>
    <w:rsid w:val="00247F25"/>
    <w:rsid w:val="002501AD"/>
    <w:rsid w:val="002506BA"/>
    <w:rsid w:val="00250CB4"/>
    <w:rsid w:val="0025122D"/>
    <w:rsid w:val="0025127E"/>
    <w:rsid w:val="00251485"/>
    <w:rsid w:val="0025148D"/>
    <w:rsid w:val="00251B50"/>
    <w:rsid w:val="00251B8E"/>
    <w:rsid w:val="002526D4"/>
    <w:rsid w:val="00252995"/>
    <w:rsid w:val="00252B20"/>
    <w:rsid w:val="00252E18"/>
    <w:rsid w:val="002533FF"/>
    <w:rsid w:val="00253442"/>
    <w:rsid w:val="002534E8"/>
    <w:rsid w:val="00253DC6"/>
    <w:rsid w:val="00254955"/>
    <w:rsid w:val="00254E19"/>
    <w:rsid w:val="00255122"/>
    <w:rsid w:val="00255155"/>
    <w:rsid w:val="00255397"/>
    <w:rsid w:val="00255536"/>
    <w:rsid w:val="00255F1E"/>
    <w:rsid w:val="00256001"/>
    <w:rsid w:val="002568BF"/>
    <w:rsid w:val="00256BEA"/>
    <w:rsid w:val="00256C2F"/>
    <w:rsid w:val="00256D7C"/>
    <w:rsid w:val="00256DF1"/>
    <w:rsid w:val="0025733A"/>
    <w:rsid w:val="0025754F"/>
    <w:rsid w:val="00257C78"/>
    <w:rsid w:val="00260220"/>
    <w:rsid w:val="002602B0"/>
    <w:rsid w:val="00260DA4"/>
    <w:rsid w:val="00260E06"/>
    <w:rsid w:val="00261286"/>
    <w:rsid w:val="00261885"/>
    <w:rsid w:val="0026199C"/>
    <w:rsid w:val="002620EB"/>
    <w:rsid w:val="00262143"/>
    <w:rsid w:val="00262526"/>
    <w:rsid w:val="0026286D"/>
    <w:rsid w:val="00262AE1"/>
    <w:rsid w:val="00262BF5"/>
    <w:rsid w:val="002631DB"/>
    <w:rsid w:val="002631E9"/>
    <w:rsid w:val="002635DF"/>
    <w:rsid w:val="00263D43"/>
    <w:rsid w:val="002640B2"/>
    <w:rsid w:val="00264E01"/>
    <w:rsid w:val="002651AF"/>
    <w:rsid w:val="002665ED"/>
    <w:rsid w:val="00266D3B"/>
    <w:rsid w:val="002677F1"/>
    <w:rsid w:val="002678CF"/>
    <w:rsid w:val="00267FF7"/>
    <w:rsid w:val="002700BD"/>
    <w:rsid w:val="00270640"/>
    <w:rsid w:val="00270A37"/>
    <w:rsid w:val="002719E0"/>
    <w:rsid w:val="00271ABB"/>
    <w:rsid w:val="00271D01"/>
    <w:rsid w:val="00271F62"/>
    <w:rsid w:val="00272DBB"/>
    <w:rsid w:val="00272E47"/>
    <w:rsid w:val="0027379B"/>
    <w:rsid w:val="002739EE"/>
    <w:rsid w:val="00273DF7"/>
    <w:rsid w:val="00274A0E"/>
    <w:rsid w:val="00274DD5"/>
    <w:rsid w:val="00274FB9"/>
    <w:rsid w:val="0027532D"/>
    <w:rsid w:val="0027617D"/>
    <w:rsid w:val="002761E1"/>
    <w:rsid w:val="00276255"/>
    <w:rsid w:val="00276C1F"/>
    <w:rsid w:val="00276CB7"/>
    <w:rsid w:val="002771A8"/>
    <w:rsid w:val="00277466"/>
    <w:rsid w:val="00277D3C"/>
    <w:rsid w:val="00280388"/>
    <w:rsid w:val="00280518"/>
    <w:rsid w:val="0028054D"/>
    <w:rsid w:val="0028078D"/>
    <w:rsid w:val="002809AD"/>
    <w:rsid w:val="00280BDD"/>
    <w:rsid w:val="002816FE"/>
    <w:rsid w:val="00282156"/>
    <w:rsid w:val="0028259E"/>
    <w:rsid w:val="002826A3"/>
    <w:rsid w:val="00283100"/>
    <w:rsid w:val="002832C3"/>
    <w:rsid w:val="00283CA1"/>
    <w:rsid w:val="00283D1A"/>
    <w:rsid w:val="00284227"/>
    <w:rsid w:val="00284B33"/>
    <w:rsid w:val="0028554E"/>
    <w:rsid w:val="00285BEE"/>
    <w:rsid w:val="002866E4"/>
    <w:rsid w:val="002868F2"/>
    <w:rsid w:val="002873DE"/>
    <w:rsid w:val="0028755B"/>
    <w:rsid w:val="00287625"/>
    <w:rsid w:val="00287636"/>
    <w:rsid w:val="0028785B"/>
    <w:rsid w:val="002909F7"/>
    <w:rsid w:val="002909F8"/>
    <w:rsid w:val="00290B08"/>
    <w:rsid w:val="00291D2E"/>
    <w:rsid w:val="00292BCF"/>
    <w:rsid w:val="002935C3"/>
    <w:rsid w:val="0029375B"/>
    <w:rsid w:val="00293A46"/>
    <w:rsid w:val="00293CD4"/>
    <w:rsid w:val="00293F0F"/>
    <w:rsid w:val="00294256"/>
    <w:rsid w:val="0029533F"/>
    <w:rsid w:val="002953F0"/>
    <w:rsid w:val="00295492"/>
    <w:rsid w:val="002957BB"/>
    <w:rsid w:val="002958CD"/>
    <w:rsid w:val="00295E8B"/>
    <w:rsid w:val="0029669C"/>
    <w:rsid w:val="002968DB"/>
    <w:rsid w:val="0029713F"/>
    <w:rsid w:val="00297981"/>
    <w:rsid w:val="00297A1B"/>
    <w:rsid w:val="00297A60"/>
    <w:rsid w:val="00297E3C"/>
    <w:rsid w:val="002A105C"/>
    <w:rsid w:val="002A10D8"/>
    <w:rsid w:val="002A10E8"/>
    <w:rsid w:val="002A1EE5"/>
    <w:rsid w:val="002A2624"/>
    <w:rsid w:val="002A27B6"/>
    <w:rsid w:val="002A3235"/>
    <w:rsid w:val="002A365A"/>
    <w:rsid w:val="002A3FE7"/>
    <w:rsid w:val="002A46BC"/>
    <w:rsid w:val="002A4B49"/>
    <w:rsid w:val="002A5BC2"/>
    <w:rsid w:val="002A5D15"/>
    <w:rsid w:val="002A5FC7"/>
    <w:rsid w:val="002A6064"/>
    <w:rsid w:val="002A61F1"/>
    <w:rsid w:val="002A65D4"/>
    <w:rsid w:val="002A6845"/>
    <w:rsid w:val="002A6AC9"/>
    <w:rsid w:val="002A71B8"/>
    <w:rsid w:val="002A757E"/>
    <w:rsid w:val="002A76D6"/>
    <w:rsid w:val="002B02FA"/>
    <w:rsid w:val="002B05F5"/>
    <w:rsid w:val="002B067E"/>
    <w:rsid w:val="002B07F0"/>
    <w:rsid w:val="002B0886"/>
    <w:rsid w:val="002B08AF"/>
    <w:rsid w:val="002B0910"/>
    <w:rsid w:val="002B0D4E"/>
    <w:rsid w:val="002B14F3"/>
    <w:rsid w:val="002B18DC"/>
    <w:rsid w:val="002B19CA"/>
    <w:rsid w:val="002B2274"/>
    <w:rsid w:val="002B2B24"/>
    <w:rsid w:val="002B3062"/>
    <w:rsid w:val="002B30AF"/>
    <w:rsid w:val="002B323B"/>
    <w:rsid w:val="002B3313"/>
    <w:rsid w:val="002B358A"/>
    <w:rsid w:val="002B362D"/>
    <w:rsid w:val="002B36A0"/>
    <w:rsid w:val="002B3964"/>
    <w:rsid w:val="002B3FE9"/>
    <w:rsid w:val="002B4881"/>
    <w:rsid w:val="002B48FC"/>
    <w:rsid w:val="002B592C"/>
    <w:rsid w:val="002B5C8F"/>
    <w:rsid w:val="002B5F4E"/>
    <w:rsid w:val="002B627F"/>
    <w:rsid w:val="002B64B7"/>
    <w:rsid w:val="002B6C76"/>
    <w:rsid w:val="002B6D4D"/>
    <w:rsid w:val="002B6DC3"/>
    <w:rsid w:val="002B7B2F"/>
    <w:rsid w:val="002B7C4B"/>
    <w:rsid w:val="002C0418"/>
    <w:rsid w:val="002C0633"/>
    <w:rsid w:val="002C0AE8"/>
    <w:rsid w:val="002C0F28"/>
    <w:rsid w:val="002C1E21"/>
    <w:rsid w:val="002C2009"/>
    <w:rsid w:val="002C26C4"/>
    <w:rsid w:val="002C2AE5"/>
    <w:rsid w:val="002C345B"/>
    <w:rsid w:val="002C3561"/>
    <w:rsid w:val="002C39BA"/>
    <w:rsid w:val="002C417D"/>
    <w:rsid w:val="002C42CF"/>
    <w:rsid w:val="002C4626"/>
    <w:rsid w:val="002C46CB"/>
    <w:rsid w:val="002C4FC4"/>
    <w:rsid w:val="002C563D"/>
    <w:rsid w:val="002C578C"/>
    <w:rsid w:val="002C5B38"/>
    <w:rsid w:val="002C5EC5"/>
    <w:rsid w:val="002C6027"/>
    <w:rsid w:val="002C62EB"/>
    <w:rsid w:val="002C644F"/>
    <w:rsid w:val="002C719A"/>
    <w:rsid w:val="002C798B"/>
    <w:rsid w:val="002C7B8A"/>
    <w:rsid w:val="002C7BAD"/>
    <w:rsid w:val="002C7C51"/>
    <w:rsid w:val="002D0296"/>
    <w:rsid w:val="002D0959"/>
    <w:rsid w:val="002D0C7E"/>
    <w:rsid w:val="002D0DC9"/>
    <w:rsid w:val="002D14D7"/>
    <w:rsid w:val="002D192A"/>
    <w:rsid w:val="002D1B79"/>
    <w:rsid w:val="002D2056"/>
    <w:rsid w:val="002D209F"/>
    <w:rsid w:val="002D220D"/>
    <w:rsid w:val="002D2B3C"/>
    <w:rsid w:val="002D2CE3"/>
    <w:rsid w:val="002D33DC"/>
    <w:rsid w:val="002D37F6"/>
    <w:rsid w:val="002D3E69"/>
    <w:rsid w:val="002D4425"/>
    <w:rsid w:val="002D4788"/>
    <w:rsid w:val="002D4E06"/>
    <w:rsid w:val="002D50D3"/>
    <w:rsid w:val="002D510F"/>
    <w:rsid w:val="002D58F8"/>
    <w:rsid w:val="002D5E8E"/>
    <w:rsid w:val="002D60F4"/>
    <w:rsid w:val="002D668A"/>
    <w:rsid w:val="002D687C"/>
    <w:rsid w:val="002D6E7D"/>
    <w:rsid w:val="002D7871"/>
    <w:rsid w:val="002D7D21"/>
    <w:rsid w:val="002D7DA8"/>
    <w:rsid w:val="002E0174"/>
    <w:rsid w:val="002E048C"/>
    <w:rsid w:val="002E0753"/>
    <w:rsid w:val="002E1247"/>
    <w:rsid w:val="002E1F9D"/>
    <w:rsid w:val="002E2315"/>
    <w:rsid w:val="002E2B6B"/>
    <w:rsid w:val="002E2BD9"/>
    <w:rsid w:val="002E2CE6"/>
    <w:rsid w:val="002E2D72"/>
    <w:rsid w:val="002E3591"/>
    <w:rsid w:val="002E39C5"/>
    <w:rsid w:val="002E3FA1"/>
    <w:rsid w:val="002E4000"/>
    <w:rsid w:val="002E482C"/>
    <w:rsid w:val="002E4FBE"/>
    <w:rsid w:val="002E5005"/>
    <w:rsid w:val="002E552C"/>
    <w:rsid w:val="002E552E"/>
    <w:rsid w:val="002E55F1"/>
    <w:rsid w:val="002E59C0"/>
    <w:rsid w:val="002E5A6D"/>
    <w:rsid w:val="002E60F4"/>
    <w:rsid w:val="002E625D"/>
    <w:rsid w:val="002E696A"/>
    <w:rsid w:val="002E7087"/>
    <w:rsid w:val="002E72BE"/>
    <w:rsid w:val="002E72C1"/>
    <w:rsid w:val="002E7883"/>
    <w:rsid w:val="002F00B7"/>
    <w:rsid w:val="002F05A9"/>
    <w:rsid w:val="002F08D0"/>
    <w:rsid w:val="002F0EBF"/>
    <w:rsid w:val="002F10DB"/>
    <w:rsid w:val="002F1205"/>
    <w:rsid w:val="002F1490"/>
    <w:rsid w:val="002F16DD"/>
    <w:rsid w:val="002F17F5"/>
    <w:rsid w:val="002F1DA2"/>
    <w:rsid w:val="002F1F65"/>
    <w:rsid w:val="002F202F"/>
    <w:rsid w:val="002F2362"/>
    <w:rsid w:val="002F2851"/>
    <w:rsid w:val="002F2A46"/>
    <w:rsid w:val="002F2BE9"/>
    <w:rsid w:val="002F33A2"/>
    <w:rsid w:val="002F3653"/>
    <w:rsid w:val="002F396C"/>
    <w:rsid w:val="002F397C"/>
    <w:rsid w:val="002F39A2"/>
    <w:rsid w:val="002F3A3C"/>
    <w:rsid w:val="002F3E85"/>
    <w:rsid w:val="002F4544"/>
    <w:rsid w:val="002F4C3C"/>
    <w:rsid w:val="002F52C7"/>
    <w:rsid w:val="002F56AE"/>
    <w:rsid w:val="002F62B8"/>
    <w:rsid w:val="002F6398"/>
    <w:rsid w:val="002F6796"/>
    <w:rsid w:val="002F6B63"/>
    <w:rsid w:val="002F7F04"/>
    <w:rsid w:val="003003E4"/>
    <w:rsid w:val="003005BD"/>
    <w:rsid w:val="00300780"/>
    <w:rsid w:val="0030083B"/>
    <w:rsid w:val="00300E97"/>
    <w:rsid w:val="00300EBA"/>
    <w:rsid w:val="00301107"/>
    <w:rsid w:val="00301813"/>
    <w:rsid w:val="00301BFC"/>
    <w:rsid w:val="00302074"/>
    <w:rsid w:val="003021EB"/>
    <w:rsid w:val="00302412"/>
    <w:rsid w:val="00302A6C"/>
    <w:rsid w:val="00302EAA"/>
    <w:rsid w:val="0030301E"/>
    <w:rsid w:val="003033CB"/>
    <w:rsid w:val="003039B0"/>
    <w:rsid w:val="00303AF4"/>
    <w:rsid w:val="00303DA9"/>
    <w:rsid w:val="00304140"/>
    <w:rsid w:val="00304918"/>
    <w:rsid w:val="0030492B"/>
    <w:rsid w:val="00304A9E"/>
    <w:rsid w:val="00304AB8"/>
    <w:rsid w:val="00304BF7"/>
    <w:rsid w:val="00305956"/>
    <w:rsid w:val="00305B3C"/>
    <w:rsid w:val="00305B8D"/>
    <w:rsid w:val="003060A4"/>
    <w:rsid w:val="003063BC"/>
    <w:rsid w:val="00306B45"/>
    <w:rsid w:val="00306C0C"/>
    <w:rsid w:val="003071A9"/>
    <w:rsid w:val="0030743E"/>
    <w:rsid w:val="0030745F"/>
    <w:rsid w:val="003075A5"/>
    <w:rsid w:val="0030767C"/>
    <w:rsid w:val="00307AF9"/>
    <w:rsid w:val="00307E3E"/>
    <w:rsid w:val="00307FCC"/>
    <w:rsid w:val="00310254"/>
    <w:rsid w:val="00310AE2"/>
    <w:rsid w:val="00310CA2"/>
    <w:rsid w:val="00310E75"/>
    <w:rsid w:val="00310EC5"/>
    <w:rsid w:val="00310FFA"/>
    <w:rsid w:val="00312227"/>
    <w:rsid w:val="003127F2"/>
    <w:rsid w:val="00312F1C"/>
    <w:rsid w:val="0031334A"/>
    <w:rsid w:val="00313831"/>
    <w:rsid w:val="00313E65"/>
    <w:rsid w:val="00313FB8"/>
    <w:rsid w:val="00314036"/>
    <w:rsid w:val="00314667"/>
    <w:rsid w:val="00314EBD"/>
    <w:rsid w:val="00315E01"/>
    <w:rsid w:val="00316514"/>
    <w:rsid w:val="003167E1"/>
    <w:rsid w:val="00316E74"/>
    <w:rsid w:val="00317613"/>
    <w:rsid w:val="00317AE4"/>
    <w:rsid w:val="003204FF"/>
    <w:rsid w:val="00320CC9"/>
    <w:rsid w:val="00320E02"/>
    <w:rsid w:val="00320EBE"/>
    <w:rsid w:val="003216BD"/>
    <w:rsid w:val="003216F3"/>
    <w:rsid w:val="00321AFC"/>
    <w:rsid w:val="00321FD4"/>
    <w:rsid w:val="00322754"/>
    <w:rsid w:val="003229C4"/>
    <w:rsid w:val="00322AD1"/>
    <w:rsid w:val="00323ABE"/>
    <w:rsid w:val="00323B6D"/>
    <w:rsid w:val="00323CA0"/>
    <w:rsid w:val="00323D71"/>
    <w:rsid w:val="00324338"/>
    <w:rsid w:val="00324674"/>
    <w:rsid w:val="00324798"/>
    <w:rsid w:val="00324A8F"/>
    <w:rsid w:val="00324AF8"/>
    <w:rsid w:val="00324B87"/>
    <w:rsid w:val="00324D0E"/>
    <w:rsid w:val="00324DE1"/>
    <w:rsid w:val="003251CD"/>
    <w:rsid w:val="003253F8"/>
    <w:rsid w:val="00325B31"/>
    <w:rsid w:val="00325B48"/>
    <w:rsid w:val="00325F27"/>
    <w:rsid w:val="00325FBA"/>
    <w:rsid w:val="00325FD7"/>
    <w:rsid w:val="00326287"/>
    <w:rsid w:val="003263F8"/>
    <w:rsid w:val="0032657B"/>
    <w:rsid w:val="00326A9C"/>
    <w:rsid w:val="00326D63"/>
    <w:rsid w:val="00327019"/>
    <w:rsid w:val="003273D9"/>
    <w:rsid w:val="00327648"/>
    <w:rsid w:val="003303DF"/>
    <w:rsid w:val="00330BBF"/>
    <w:rsid w:val="00330CA8"/>
    <w:rsid w:val="0033150F"/>
    <w:rsid w:val="003315AF"/>
    <w:rsid w:val="003316FB"/>
    <w:rsid w:val="003317E6"/>
    <w:rsid w:val="003319C3"/>
    <w:rsid w:val="00331EF9"/>
    <w:rsid w:val="00332353"/>
    <w:rsid w:val="00332BE4"/>
    <w:rsid w:val="00332F93"/>
    <w:rsid w:val="0033344A"/>
    <w:rsid w:val="003339C1"/>
    <w:rsid w:val="003339FD"/>
    <w:rsid w:val="00333F09"/>
    <w:rsid w:val="0033444E"/>
    <w:rsid w:val="003347A6"/>
    <w:rsid w:val="00334ADB"/>
    <w:rsid w:val="00334D1C"/>
    <w:rsid w:val="0033511B"/>
    <w:rsid w:val="003359BA"/>
    <w:rsid w:val="00335F8B"/>
    <w:rsid w:val="003368D7"/>
    <w:rsid w:val="00336C1C"/>
    <w:rsid w:val="0033714C"/>
    <w:rsid w:val="00337233"/>
    <w:rsid w:val="003376AB"/>
    <w:rsid w:val="0034008E"/>
    <w:rsid w:val="003400A6"/>
    <w:rsid w:val="0034039C"/>
    <w:rsid w:val="003407E5"/>
    <w:rsid w:val="00340928"/>
    <w:rsid w:val="003409DD"/>
    <w:rsid w:val="00340C27"/>
    <w:rsid w:val="00341125"/>
    <w:rsid w:val="00341DD5"/>
    <w:rsid w:val="00341F25"/>
    <w:rsid w:val="0034235A"/>
    <w:rsid w:val="0034250F"/>
    <w:rsid w:val="00342801"/>
    <w:rsid w:val="0034307B"/>
    <w:rsid w:val="0034315A"/>
    <w:rsid w:val="003431A3"/>
    <w:rsid w:val="003435B4"/>
    <w:rsid w:val="003435BC"/>
    <w:rsid w:val="00343701"/>
    <w:rsid w:val="00343F00"/>
    <w:rsid w:val="0034411D"/>
    <w:rsid w:val="003441F6"/>
    <w:rsid w:val="003446D6"/>
    <w:rsid w:val="00344C19"/>
    <w:rsid w:val="00344E16"/>
    <w:rsid w:val="00344F78"/>
    <w:rsid w:val="0034540A"/>
    <w:rsid w:val="00345A27"/>
    <w:rsid w:val="00345A66"/>
    <w:rsid w:val="00345AC6"/>
    <w:rsid w:val="00345E7E"/>
    <w:rsid w:val="0034618D"/>
    <w:rsid w:val="003462E0"/>
    <w:rsid w:val="00346BCB"/>
    <w:rsid w:val="00347E22"/>
    <w:rsid w:val="00347E32"/>
    <w:rsid w:val="00350163"/>
    <w:rsid w:val="003503BC"/>
    <w:rsid w:val="00350646"/>
    <w:rsid w:val="00351731"/>
    <w:rsid w:val="003518DD"/>
    <w:rsid w:val="00351CDC"/>
    <w:rsid w:val="0035226B"/>
    <w:rsid w:val="003524FC"/>
    <w:rsid w:val="003530BC"/>
    <w:rsid w:val="0035321A"/>
    <w:rsid w:val="003535AF"/>
    <w:rsid w:val="003538E9"/>
    <w:rsid w:val="003540A4"/>
    <w:rsid w:val="00354ECA"/>
    <w:rsid w:val="00355447"/>
    <w:rsid w:val="003554BA"/>
    <w:rsid w:val="003558ED"/>
    <w:rsid w:val="003560D9"/>
    <w:rsid w:val="0035641D"/>
    <w:rsid w:val="00356749"/>
    <w:rsid w:val="00356BA5"/>
    <w:rsid w:val="00356C68"/>
    <w:rsid w:val="0035704D"/>
    <w:rsid w:val="003570CA"/>
    <w:rsid w:val="0036078A"/>
    <w:rsid w:val="00360962"/>
    <w:rsid w:val="00360963"/>
    <w:rsid w:val="00360BA7"/>
    <w:rsid w:val="00360BAB"/>
    <w:rsid w:val="00360C3C"/>
    <w:rsid w:val="00360D24"/>
    <w:rsid w:val="003620E8"/>
    <w:rsid w:val="003622C2"/>
    <w:rsid w:val="00362639"/>
    <w:rsid w:val="00362650"/>
    <w:rsid w:val="0036320D"/>
    <w:rsid w:val="00363A56"/>
    <w:rsid w:val="00363E33"/>
    <w:rsid w:val="00364797"/>
    <w:rsid w:val="00364946"/>
    <w:rsid w:val="00364BF2"/>
    <w:rsid w:val="00364FF8"/>
    <w:rsid w:val="0036515B"/>
    <w:rsid w:val="003654FD"/>
    <w:rsid w:val="00365A57"/>
    <w:rsid w:val="00365C0A"/>
    <w:rsid w:val="00365F14"/>
    <w:rsid w:val="003662FC"/>
    <w:rsid w:val="003669E5"/>
    <w:rsid w:val="00366A80"/>
    <w:rsid w:val="00366BF8"/>
    <w:rsid w:val="00367236"/>
    <w:rsid w:val="00367597"/>
    <w:rsid w:val="003675E6"/>
    <w:rsid w:val="00367771"/>
    <w:rsid w:val="00367A21"/>
    <w:rsid w:val="00367A7E"/>
    <w:rsid w:val="00367CD3"/>
    <w:rsid w:val="00367F8F"/>
    <w:rsid w:val="0037098E"/>
    <w:rsid w:val="00370D58"/>
    <w:rsid w:val="003712B8"/>
    <w:rsid w:val="003712E9"/>
    <w:rsid w:val="0037143E"/>
    <w:rsid w:val="0037190D"/>
    <w:rsid w:val="0037192D"/>
    <w:rsid w:val="00371B2B"/>
    <w:rsid w:val="00372158"/>
    <w:rsid w:val="003722A0"/>
    <w:rsid w:val="00372533"/>
    <w:rsid w:val="0037264D"/>
    <w:rsid w:val="00372726"/>
    <w:rsid w:val="00372996"/>
    <w:rsid w:val="00372A6D"/>
    <w:rsid w:val="00372AF6"/>
    <w:rsid w:val="00373363"/>
    <w:rsid w:val="0037356A"/>
    <w:rsid w:val="00373B1A"/>
    <w:rsid w:val="00373D27"/>
    <w:rsid w:val="0037412F"/>
    <w:rsid w:val="003745A3"/>
    <w:rsid w:val="003751CF"/>
    <w:rsid w:val="0037520D"/>
    <w:rsid w:val="003756E9"/>
    <w:rsid w:val="00375874"/>
    <w:rsid w:val="0037588C"/>
    <w:rsid w:val="00375FDA"/>
    <w:rsid w:val="0037673A"/>
    <w:rsid w:val="00376910"/>
    <w:rsid w:val="00376EB2"/>
    <w:rsid w:val="00377334"/>
    <w:rsid w:val="0037763D"/>
    <w:rsid w:val="00377CFA"/>
    <w:rsid w:val="00377D45"/>
    <w:rsid w:val="00380227"/>
    <w:rsid w:val="00380341"/>
    <w:rsid w:val="003806C3"/>
    <w:rsid w:val="0038094F"/>
    <w:rsid w:val="00380CEF"/>
    <w:rsid w:val="00380F97"/>
    <w:rsid w:val="003810BF"/>
    <w:rsid w:val="0038168D"/>
    <w:rsid w:val="00381CB3"/>
    <w:rsid w:val="0038245D"/>
    <w:rsid w:val="003824AE"/>
    <w:rsid w:val="003829BB"/>
    <w:rsid w:val="003829C0"/>
    <w:rsid w:val="00382BFF"/>
    <w:rsid w:val="00383382"/>
    <w:rsid w:val="003834CC"/>
    <w:rsid w:val="00383746"/>
    <w:rsid w:val="0038407B"/>
    <w:rsid w:val="003848CF"/>
    <w:rsid w:val="00385250"/>
    <w:rsid w:val="00386660"/>
    <w:rsid w:val="003866A2"/>
    <w:rsid w:val="00386AC1"/>
    <w:rsid w:val="00386B22"/>
    <w:rsid w:val="00386E6D"/>
    <w:rsid w:val="003871A9"/>
    <w:rsid w:val="003872E2"/>
    <w:rsid w:val="00387637"/>
    <w:rsid w:val="003879B4"/>
    <w:rsid w:val="00387C2F"/>
    <w:rsid w:val="00387E02"/>
    <w:rsid w:val="00390012"/>
    <w:rsid w:val="0039031D"/>
    <w:rsid w:val="003907DC"/>
    <w:rsid w:val="00390C40"/>
    <w:rsid w:val="003910CB"/>
    <w:rsid w:val="00391B8D"/>
    <w:rsid w:val="00392098"/>
    <w:rsid w:val="00392242"/>
    <w:rsid w:val="003925E1"/>
    <w:rsid w:val="003927B8"/>
    <w:rsid w:val="003928C2"/>
    <w:rsid w:val="00392B8F"/>
    <w:rsid w:val="00393006"/>
    <w:rsid w:val="003947A1"/>
    <w:rsid w:val="00394FC1"/>
    <w:rsid w:val="0039538C"/>
    <w:rsid w:val="003955D1"/>
    <w:rsid w:val="00395976"/>
    <w:rsid w:val="00395A76"/>
    <w:rsid w:val="00395AAF"/>
    <w:rsid w:val="00396C04"/>
    <w:rsid w:val="00396FE6"/>
    <w:rsid w:val="0039706A"/>
    <w:rsid w:val="003971FC"/>
    <w:rsid w:val="003975F8"/>
    <w:rsid w:val="0039774A"/>
    <w:rsid w:val="00397859"/>
    <w:rsid w:val="00397E8B"/>
    <w:rsid w:val="003A04AE"/>
    <w:rsid w:val="003A0576"/>
    <w:rsid w:val="003A0771"/>
    <w:rsid w:val="003A0A2E"/>
    <w:rsid w:val="003A0BA1"/>
    <w:rsid w:val="003A0E27"/>
    <w:rsid w:val="003A0E77"/>
    <w:rsid w:val="003A1204"/>
    <w:rsid w:val="003A164B"/>
    <w:rsid w:val="003A18E9"/>
    <w:rsid w:val="003A1BC4"/>
    <w:rsid w:val="003A2439"/>
    <w:rsid w:val="003A3D43"/>
    <w:rsid w:val="003A3FB1"/>
    <w:rsid w:val="003A46C3"/>
    <w:rsid w:val="003A4B8A"/>
    <w:rsid w:val="003A5013"/>
    <w:rsid w:val="003A512A"/>
    <w:rsid w:val="003A5CB2"/>
    <w:rsid w:val="003A5E04"/>
    <w:rsid w:val="003A6701"/>
    <w:rsid w:val="003A67ED"/>
    <w:rsid w:val="003A6B52"/>
    <w:rsid w:val="003A6F6E"/>
    <w:rsid w:val="003A7349"/>
    <w:rsid w:val="003A73BD"/>
    <w:rsid w:val="003A7C94"/>
    <w:rsid w:val="003A7DE6"/>
    <w:rsid w:val="003B02C5"/>
    <w:rsid w:val="003B0322"/>
    <w:rsid w:val="003B0B70"/>
    <w:rsid w:val="003B0D91"/>
    <w:rsid w:val="003B0E3E"/>
    <w:rsid w:val="003B117B"/>
    <w:rsid w:val="003B1457"/>
    <w:rsid w:val="003B16AF"/>
    <w:rsid w:val="003B180A"/>
    <w:rsid w:val="003B1D66"/>
    <w:rsid w:val="003B23FF"/>
    <w:rsid w:val="003B2526"/>
    <w:rsid w:val="003B2721"/>
    <w:rsid w:val="003B285A"/>
    <w:rsid w:val="003B3159"/>
    <w:rsid w:val="003B32EC"/>
    <w:rsid w:val="003B4671"/>
    <w:rsid w:val="003B4CB2"/>
    <w:rsid w:val="003B4DFC"/>
    <w:rsid w:val="003B4E03"/>
    <w:rsid w:val="003B5259"/>
    <w:rsid w:val="003B53AC"/>
    <w:rsid w:val="003B59D6"/>
    <w:rsid w:val="003B6A3C"/>
    <w:rsid w:val="003B6B38"/>
    <w:rsid w:val="003B6E79"/>
    <w:rsid w:val="003B72D1"/>
    <w:rsid w:val="003B7816"/>
    <w:rsid w:val="003C02B8"/>
    <w:rsid w:val="003C079B"/>
    <w:rsid w:val="003C0A62"/>
    <w:rsid w:val="003C0EC6"/>
    <w:rsid w:val="003C157A"/>
    <w:rsid w:val="003C1965"/>
    <w:rsid w:val="003C1CE7"/>
    <w:rsid w:val="003C1EAC"/>
    <w:rsid w:val="003C1ECF"/>
    <w:rsid w:val="003C2107"/>
    <w:rsid w:val="003C2888"/>
    <w:rsid w:val="003C28F5"/>
    <w:rsid w:val="003C2A0D"/>
    <w:rsid w:val="003C2D61"/>
    <w:rsid w:val="003C32FE"/>
    <w:rsid w:val="003C35EB"/>
    <w:rsid w:val="003C396D"/>
    <w:rsid w:val="003C3C26"/>
    <w:rsid w:val="003C3CD8"/>
    <w:rsid w:val="003C3DD8"/>
    <w:rsid w:val="003C4245"/>
    <w:rsid w:val="003C4EA0"/>
    <w:rsid w:val="003C5291"/>
    <w:rsid w:val="003C613C"/>
    <w:rsid w:val="003C6480"/>
    <w:rsid w:val="003C6AEB"/>
    <w:rsid w:val="003C6B19"/>
    <w:rsid w:val="003C6B8F"/>
    <w:rsid w:val="003C6C40"/>
    <w:rsid w:val="003C7784"/>
    <w:rsid w:val="003C77F9"/>
    <w:rsid w:val="003D0487"/>
    <w:rsid w:val="003D0708"/>
    <w:rsid w:val="003D09B0"/>
    <w:rsid w:val="003D0BAC"/>
    <w:rsid w:val="003D0F99"/>
    <w:rsid w:val="003D1605"/>
    <w:rsid w:val="003D2278"/>
    <w:rsid w:val="003D2D0F"/>
    <w:rsid w:val="003D331A"/>
    <w:rsid w:val="003D332B"/>
    <w:rsid w:val="003D3640"/>
    <w:rsid w:val="003D3AFA"/>
    <w:rsid w:val="003D3BB0"/>
    <w:rsid w:val="003D3C35"/>
    <w:rsid w:val="003D3C80"/>
    <w:rsid w:val="003D4015"/>
    <w:rsid w:val="003D4303"/>
    <w:rsid w:val="003D47BA"/>
    <w:rsid w:val="003D4986"/>
    <w:rsid w:val="003D508E"/>
    <w:rsid w:val="003D5486"/>
    <w:rsid w:val="003D559D"/>
    <w:rsid w:val="003D5B81"/>
    <w:rsid w:val="003D5EDF"/>
    <w:rsid w:val="003D6262"/>
    <w:rsid w:val="003D6442"/>
    <w:rsid w:val="003D67E8"/>
    <w:rsid w:val="003D6C16"/>
    <w:rsid w:val="003D6F6A"/>
    <w:rsid w:val="003E0075"/>
    <w:rsid w:val="003E0346"/>
    <w:rsid w:val="003E0430"/>
    <w:rsid w:val="003E06F1"/>
    <w:rsid w:val="003E0A3A"/>
    <w:rsid w:val="003E0A6F"/>
    <w:rsid w:val="003E0BD9"/>
    <w:rsid w:val="003E1383"/>
    <w:rsid w:val="003E174D"/>
    <w:rsid w:val="003E184F"/>
    <w:rsid w:val="003E18C3"/>
    <w:rsid w:val="003E2171"/>
    <w:rsid w:val="003E2B15"/>
    <w:rsid w:val="003E313B"/>
    <w:rsid w:val="003E3192"/>
    <w:rsid w:val="003E3219"/>
    <w:rsid w:val="003E37F0"/>
    <w:rsid w:val="003E3BFD"/>
    <w:rsid w:val="003E3C90"/>
    <w:rsid w:val="003E4000"/>
    <w:rsid w:val="003E424B"/>
    <w:rsid w:val="003E488B"/>
    <w:rsid w:val="003E5525"/>
    <w:rsid w:val="003E583F"/>
    <w:rsid w:val="003E5A75"/>
    <w:rsid w:val="003E5B88"/>
    <w:rsid w:val="003E5EA7"/>
    <w:rsid w:val="003E6679"/>
    <w:rsid w:val="003E6757"/>
    <w:rsid w:val="003E6B72"/>
    <w:rsid w:val="003E6BAB"/>
    <w:rsid w:val="003E6D99"/>
    <w:rsid w:val="003E6F32"/>
    <w:rsid w:val="003E7616"/>
    <w:rsid w:val="003E79E5"/>
    <w:rsid w:val="003E7D83"/>
    <w:rsid w:val="003F034E"/>
    <w:rsid w:val="003F06CD"/>
    <w:rsid w:val="003F07F7"/>
    <w:rsid w:val="003F09AC"/>
    <w:rsid w:val="003F1623"/>
    <w:rsid w:val="003F16F2"/>
    <w:rsid w:val="003F1C4D"/>
    <w:rsid w:val="003F1CA4"/>
    <w:rsid w:val="003F242B"/>
    <w:rsid w:val="003F2592"/>
    <w:rsid w:val="003F290A"/>
    <w:rsid w:val="003F2BBD"/>
    <w:rsid w:val="003F2F30"/>
    <w:rsid w:val="003F3132"/>
    <w:rsid w:val="003F4C24"/>
    <w:rsid w:val="003F4EEF"/>
    <w:rsid w:val="003F55FE"/>
    <w:rsid w:val="003F56B5"/>
    <w:rsid w:val="003F6147"/>
    <w:rsid w:val="003F709C"/>
    <w:rsid w:val="003F7494"/>
    <w:rsid w:val="003F7748"/>
    <w:rsid w:val="003F7D4C"/>
    <w:rsid w:val="00400819"/>
    <w:rsid w:val="0040084D"/>
    <w:rsid w:val="00400BC1"/>
    <w:rsid w:val="0040143D"/>
    <w:rsid w:val="004018D7"/>
    <w:rsid w:val="004018F0"/>
    <w:rsid w:val="004019F3"/>
    <w:rsid w:val="0040217D"/>
    <w:rsid w:val="00402222"/>
    <w:rsid w:val="00402471"/>
    <w:rsid w:val="0040341B"/>
    <w:rsid w:val="00404793"/>
    <w:rsid w:val="00404D12"/>
    <w:rsid w:val="00404F7B"/>
    <w:rsid w:val="0040564B"/>
    <w:rsid w:val="0040603A"/>
    <w:rsid w:val="004063FE"/>
    <w:rsid w:val="00406827"/>
    <w:rsid w:val="00406EFC"/>
    <w:rsid w:val="004072E5"/>
    <w:rsid w:val="00407867"/>
    <w:rsid w:val="00407B99"/>
    <w:rsid w:val="00407D15"/>
    <w:rsid w:val="00407D3D"/>
    <w:rsid w:val="004109BA"/>
    <w:rsid w:val="004110DB"/>
    <w:rsid w:val="00411F89"/>
    <w:rsid w:val="004122FF"/>
    <w:rsid w:val="0041270F"/>
    <w:rsid w:val="00412887"/>
    <w:rsid w:val="00412C2C"/>
    <w:rsid w:val="004133B4"/>
    <w:rsid w:val="0041380E"/>
    <w:rsid w:val="00413810"/>
    <w:rsid w:val="004138C7"/>
    <w:rsid w:val="0041398B"/>
    <w:rsid w:val="00413E85"/>
    <w:rsid w:val="00414131"/>
    <w:rsid w:val="004142C3"/>
    <w:rsid w:val="004143E2"/>
    <w:rsid w:val="00414469"/>
    <w:rsid w:val="004148B9"/>
    <w:rsid w:val="0041577A"/>
    <w:rsid w:val="00415A19"/>
    <w:rsid w:val="004163DF"/>
    <w:rsid w:val="004168CC"/>
    <w:rsid w:val="00416941"/>
    <w:rsid w:val="00416A81"/>
    <w:rsid w:val="0041754F"/>
    <w:rsid w:val="00417B7F"/>
    <w:rsid w:val="00417F81"/>
    <w:rsid w:val="00420098"/>
    <w:rsid w:val="0042021E"/>
    <w:rsid w:val="0042065D"/>
    <w:rsid w:val="00420B65"/>
    <w:rsid w:val="00420EB8"/>
    <w:rsid w:val="00420F2D"/>
    <w:rsid w:val="004211D1"/>
    <w:rsid w:val="004212D7"/>
    <w:rsid w:val="00421786"/>
    <w:rsid w:val="00422181"/>
    <w:rsid w:val="0042232D"/>
    <w:rsid w:val="004229ED"/>
    <w:rsid w:val="00422A18"/>
    <w:rsid w:val="00422C51"/>
    <w:rsid w:val="0042308A"/>
    <w:rsid w:val="00423474"/>
    <w:rsid w:val="00423AF3"/>
    <w:rsid w:val="00423DA6"/>
    <w:rsid w:val="004240B3"/>
    <w:rsid w:val="00424586"/>
    <w:rsid w:val="004246D3"/>
    <w:rsid w:val="004246FF"/>
    <w:rsid w:val="00424BD5"/>
    <w:rsid w:val="0042550F"/>
    <w:rsid w:val="00425AC2"/>
    <w:rsid w:val="00426126"/>
    <w:rsid w:val="0042648E"/>
    <w:rsid w:val="0042649D"/>
    <w:rsid w:val="0042659E"/>
    <w:rsid w:val="00426A4C"/>
    <w:rsid w:val="00426B75"/>
    <w:rsid w:val="00426C3A"/>
    <w:rsid w:val="00426C4F"/>
    <w:rsid w:val="00427115"/>
    <w:rsid w:val="00427189"/>
    <w:rsid w:val="00427698"/>
    <w:rsid w:val="004278E8"/>
    <w:rsid w:val="00427986"/>
    <w:rsid w:val="00427A08"/>
    <w:rsid w:val="00427C20"/>
    <w:rsid w:val="00427F5C"/>
    <w:rsid w:val="004301A5"/>
    <w:rsid w:val="00430935"/>
    <w:rsid w:val="00431800"/>
    <w:rsid w:val="00432699"/>
    <w:rsid w:val="0043277F"/>
    <w:rsid w:val="00432A90"/>
    <w:rsid w:val="00432DE4"/>
    <w:rsid w:val="00432E75"/>
    <w:rsid w:val="004333F9"/>
    <w:rsid w:val="00434061"/>
    <w:rsid w:val="004346A7"/>
    <w:rsid w:val="00434FC0"/>
    <w:rsid w:val="004357AA"/>
    <w:rsid w:val="0043591E"/>
    <w:rsid w:val="00435F72"/>
    <w:rsid w:val="004360CB"/>
    <w:rsid w:val="00436366"/>
    <w:rsid w:val="00436371"/>
    <w:rsid w:val="00436C04"/>
    <w:rsid w:val="00437146"/>
    <w:rsid w:val="00437B70"/>
    <w:rsid w:val="00437C33"/>
    <w:rsid w:val="004403BA"/>
    <w:rsid w:val="004404F9"/>
    <w:rsid w:val="00440793"/>
    <w:rsid w:val="0044087D"/>
    <w:rsid w:val="004413C3"/>
    <w:rsid w:val="0044160A"/>
    <w:rsid w:val="00441BA9"/>
    <w:rsid w:val="00441D99"/>
    <w:rsid w:val="00441ED6"/>
    <w:rsid w:val="00442117"/>
    <w:rsid w:val="004423AC"/>
    <w:rsid w:val="00442609"/>
    <w:rsid w:val="0044286B"/>
    <w:rsid w:val="00442A32"/>
    <w:rsid w:val="00442B83"/>
    <w:rsid w:val="004432AE"/>
    <w:rsid w:val="00443364"/>
    <w:rsid w:val="00443AFE"/>
    <w:rsid w:val="004440E6"/>
    <w:rsid w:val="004441B2"/>
    <w:rsid w:val="00444243"/>
    <w:rsid w:val="0044440A"/>
    <w:rsid w:val="004445FB"/>
    <w:rsid w:val="004446E7"/>
    <w:rsid w:val="00445015"/>
    <w:rsid w:val="00445022"/>
    <w:rsid w:val="004451CC"/>
    <w:rsid w:val="0044535F"/>
    <w:rsid w:val="00445388"/>
    <w:rsid w:val="00445C0A"/>
    <w:rsid w:val="004460F1"/>
    <w:rsid w:val="00446117"/>
    <w:rsid w:val="0044611D"/>
    <w:rsid w:val="004462CF"/>
    <w:rsid w:val="00446598"/>
    <w:rsid w:val="00446637"/>
    <w:rsid w:val="00446AAD"/>
    <w:rsid w:val="00446E32"/>
    <w:rsid w:val="0044700F"/>
    <w:rsid w:val="00447925"/>
    <w:rsid w:val="00450002"/>
    <w:rsid w:val="004500B8"/>
    <w:rsid w:val="00450106"/>
    <w:rsid w:val="00450513"/>
    <w:rsid w:val="00450C98"/>
    <w:rsid w:val="00450F76"/>
    <w:rsid w:val="004512F1"/>
    <w:rsid w:val="00451654"/>
    <w:rsid w:val="0045198C"/>
    <w:rsid w:val="00451A99"/>
    <w:rsid w:val="00452C9D"/>
    <w:rsid w:val="0045387A"/>
    <w:rsid w:val="00453A28"/>
    <w:rsid w:val="00453DDA"/>
    <w:rsid w:val="00454814"/>
    <w:rsid w:val="00454ACE"/>
    <w:rsid w:val="00454FC6"/>
    <w:rsid w:val="00455065"/>
    <w:rsid w:val="00455368"/>
    <w:rsid w:val="004555AC"/>
    <w:rsid w:val="0045591F"/>
    <w:rsid w:val="00455A23"/>
    <w:rsid w:val="00455F91"/>
    <w:rsid w:val="00456012"/>
    <w:rsid w:val="00456B6E"/>
    <w:rsid w:val="0045713D"/>
    <w:rsid w:val="00457148"/>
    <w:rsid w:val="0045715F"/>
    <w:rsid w:val="00457579"/>
    <w:rsid w:val="00457835"/>
    <w:rsid w:val="00457CCC"/>
    <w:rsid w:val="00460206"/>
    <w:rsid w:val="00460339"/>
    <w:rsid w:val="00460C3F"/>
    <w:rsid w:val="004610B9"/>
    <w:rsid w:val="004610FF"/>
    <w:rsid w:val="00461E1A"/>
    <w:rsid w:val="00462513"/>
    <w:rsid w:val="00463B96"/>
    <w:rsid w:val="00463C00"/>
    <w:rsid w:val="00463CE5"/>
    <w:rsid w:val="0046417E"/>
    <w:rsid w:val="004641F0"/>
    <w:rsid w:val="0046441D"/>
    <w:rsid w:val="00464554"/>
    <w:rsid w:val="00464983"/>
    <w:rsid w:val="00464AF7"/>
    <w:rsid w:val="00464DDF"/>
    <w:rsid w:val="004653A3"/>
    <w:rsid w:val="004662CA"/>
    <w:rsid w:val="004663D2"/>
    <w:rsid w:val="00466860"/>
    <w:rsid w:val="0046698C"/>
    <w:rsid w:val="004669E7"/>
    <w:rsid w:val="00467CE5"/>
    <w:rsid w:val="00467FC6"/>
    <w:rsid w:val="00470214"/>
    <w:rsid w:val="00470974"/>
    <w:rsid w:val="00470EE5"/>
    <w:rsid w:val="00471011"/>
    <w:rsid w:val="00471068"/>
    <w:rsid w:val="004710B6"/>
    <w:rsid w:val="0047158E"/>
    <w:rsid w:val="00471668"/>
    <w:rsid w:val="004717A5"/>
    <w:rsid w:val="004717BB"/>
    <w:rsid w:val="00471838"/>
    <w:rsid w:val="00471F51"/>
    <w:rsid w:val="0047257F"/>
    <w:rsid w:val="00472831"/>
    <w:rsid w:val="00472D05"/>
    <w:rsid w:val="00473091"/>
    <w:rsid w:val="004730C9"/>
    <w:rsid w:val="004734B2"/>
    <w:rsid w:val="00473DA9"/>
    <w:rsid w:val="00473E9E"/>
    <w:rsid w:val="00474A15"/>
    <w:rsid w:val="00474A6D"/>
    <w:rsid w:val="00474B92"/>
    <w:rsid w:val="00474BFA"/>
    <w:rsid w:val="00474FBD"/>
    <w:rsid w:val="0047584B"/>
    <w:rsid w:val="00475D20"/>
    <w:rsid w:val="00475EE2"/>
    <w:rsid w:val="004765D5"/>
    <w:rsid w:val="004767EC"/>
    <w:rsid w:val="0047681E"/>
    <w:rsid w:val="004769B0"/>
    <w:rsid w:val="00476DD7"/>
    <w:rsid w:val="00476F2B"/>
    <w:rsid w:val="0047702D"/>
    <w:rsid w:val="00477074"/>
    <w:rsid w:val="0047738C"/>
    <w:rsid w:val="0047769C"/>
    <w:rsid w:val="004778EA"/>
    <w:rsid w:val="004800DA"/>
    <w:rsid w:val="004804A3"/>
    <w:rsid w:val="004807E0"/>
    <w:rsid w:val="00480D21"/>
    <w:rsid w:val="00480E74"/>
    <w:rsid w:val="00481E33"/>
    <w:rsid w:val="00482027"/>
    <w:rsid w:val="00482761"/>
    <w:rsid w:val="0048280F"/>
    <w:rsid w:val="004828F6"/>
    <w:rsid w:val="004829B4"/>
    <w:rsid w:val="00482EE3"/>
    <w:rsid w:val="004832D1"/>
    <w:rsid w:val="0048386E"/>
    <w:rsid w:val="004838CE"/>
    <w:rsid w:val="00483AA7"/>
    <w:rsid w:val="00483AEF"/>
    <w:rsid w:val="00483F05"/>
    <w:rsid w:val="00484515"/>
    <w:rsid w:val="00484822"/>
    <w:rsid w:val="00484DA3"/>
    <w:rsid w:val="0048527A"/>
    <w:rsid w:val="0048528F"/>
    <w:rsid w:val="004859CA"/>
    <w:rsid w:val="00485D4E"/>
    <w:rsid w:val="00485F39"/>
    <w:rsid w:val="004862E7"/>
    <w:rsid w:val="004874E0"/>
    <w:rsid w:val="004877B2"/>
    <w:rsid w:val="00487D1A"/>
    <w:rsid w:val="00487F5B"/>
    <w:rsid w:val="004905EC"/>
    <w:rsid w:val="00490BDE"/>
    <w:rsid w:val="0049135F"/>
    <w:rsid w:val="004919B9"/>
    <w:rsid w:val="004919F1"/>
    <w:rsid w:val="00491C81"/>
    <w:rsid w:val="00491F41"/>
    <w:rsid w:val="004929A1"/>
    <w:rsid w:val="00492C59"/>
    <w:rsid w:val="00492C60"/>
    <w:rsid w:val="00493461"/>
    <w:rsid w:val="004936D2"/>
    <w:rsid w:val="00493CFF"/>
    <w:rsid w:val="00493D19"/>
    <w:rsid w:val="00494F65"/>
    <w:rsid w:val="0049506D"/>
    <w:rsid w:val="00495783"/>
    <w:rsid w:val="00495869"/>
    <w:rsid w:val="00495FC4"/>
    <w:rsid w:val="004961B4"/>
    <w:rsid w:val="004961E4"/>
    <w:rsid w:val="00496597"/>
    <w:rsid w:val="00496CBD"/>
    <w:rsid w:val="00496D26"/>
    <w:rsid w:val="0049753E"/>
    <w:rsid w:val="0049787C"/>
    <w:rsid w:val="00497CB5"/>
    <w:rsid w:val="00497D19"/>
    <w:rsid w:val="004A03F8"/>
    <w:rsid w:val="004A082D"/>
    <w:rsid w:val="004A094A"/>
    <w:rsid w:val="004A0B95"/>
    <w:rsid w:val="004A0FE2"/>
    <w:rsid w:val="004A127B"/>
    <w:rsid w:val="004A15AC"/>
    <w:rsid w:val="004A1839"/>
    <w:rsid w:val="004A1ED4"/>
    <w:rsid w:val="004A265C"/>
    <w:rsid w:val="004A27CE"/>
    <w:rsid w:val="004A2E9C"/>
    <w:rsid w:val="004A2FB7"/>
    <w:rsid w:val="004A3018"/>
    <w:rsid w:val="004A3029"/>
    <w:rsid w:val="004A353F"/>
    <w:rsid w:val="004A3907"/>
    <w:rsid w:val="004A3E03"/>
    <w:rsid w:val="004A3FD8"/>
    <w:rsid w:val="004A5444"/>
    <w:rsid w:val="004A5B69"/>
    <w:rsid w:val="004A6003"/>
    <w:rsid w:val="004A69DA"/>
    <w:rsid w:val="004A7068"/>
    <w:rsid w:val="004A754C"/>
    <w:rsid w:val="004A7B63"/>
    <w:rsid w:val="004B018D"/>
    <w:rsid w:val="004B0A87"/>
    <w:rsid w:val="004B0BC1"/>
    <w:rsid w:val="004B0C0B"/>
    <w:rsid w:val="004B1D95"/>
    <w:rsid w:val="004B2A2B"/>
    <w:rsid w:val="004B30FE"/>
    <w:rsid w:val="004B3188"/>
    <w:rsid w:val="004B38FD"/>
    <w:rsid w:val="004B3C24"/>
    <w:rsid w:val="004B3C8E"/>
    <w:rsid w:val="004B3EC5"/>
    <w:rsid w:val="004B3F0C"/>
    <w:rsid w:val="004B3F74"/>
    <w:rsid w:val="004B4018"/>
    <w:rsid w:val="004B4292"/>
    <w:rsid w:val="004B42FB"/>
    <w:rsid w:val="004B4565"/>
    <w:rsid w:val="004B46D3"/>
    <w:rsid w:val="004B47E5"/>
    <w:rsid w:val="004B4A86"/>
    <w:rsid w:val="004B4C84"/>
    <w:rsid w:val="004B511E"/>
    <w:rsid w:val="004B5724"/>
    <w:rsid w:val="004B5AA8"/>
    <w:rsid w:val="004B5E90"/>
    <w:rsid w:val="004B6236"/>
    <w:rsid w:val="004B62EB"/>
    <w:rsid w:val="004B6509"/>
    <w:rsid w:val="004B6702"/>
    <w:rsid w:val="004B705D"/>
    <w:rsid w:val="004B73E2"/>
    <w:rsid w:val="004B7C66"/>
    <w:rsid w:val="004B7E48"/>
    <w:rsid w:val="004B7EB0"/>
    <w:rsid w:val="004C0100"/>
    <w:rsid w:val="004C09A1"/>
    <w:rsid w:val="004C0DAD"/>
    <w:rsid w:val="004C0E6E"/>
    <w:rsid w:val="004C1073"/>
    <w:rsid w:val="004C154E"/>
    <w:rsid w:val="004C1693"/>
    <w:rsid w:val="004C189D"/>
    <w:rsid w:val="004C1A71"/>
    <w:rsid w:val="004C1D48"/>
    <w:rsid w:val="004C27B1"/>
    <w:rsid w:val="004C2CCD"/>
    <w:rsid w:val="004C2D5C"/>
    <w:rsid w:val="004C2E21"/>
    <w:rsid w:val="004C2E75"/>
    <w:rsid w:val="004C2F3C"/>
    <w:rsid w:val="004C3755"/>
    <w:rsid w:val="004C3F7E"/>
    <w:rsid w:val="004C4DE4"/>
    <w:rsid w:val="004C59CE"/>
    <w:rsid w:val="004C5B9E"/>
    <w:rsid w:val="004C5EA1"/>
    <w:rsid w:val="004C5EC0"/>
    <w:rsid w:val="004C68A8"/>
    <w:rsid w:val="004C73DC"/>
    <w:rsid w:val="004C7908"/>
    <w:rsid w:val="004C79D6"/>
    <w:rsid w:val="004C7E41"/>
    <w:rsid w:val="004D0356"/>
    <w:rsid w:val="004D038F"/>
    <w:rsid w:val="004D05E3"/>
    <w:rsid w:val="004D0A21"/>
    <w:rsid w:val="004D0B97"/>
    <w:rsid w:val="004D0D07"/>
    <w:rsid w:val="004D0DA4"/>
    <w:rsid w:val="004D0DF4"/>
    <w:rsid w:val="004D0FF3"/>
    <w:rsid w:val="004D13F5"/>
    <w:rsid w:val="004D1C6F"/>
    <w:rsid w:val="004D1D28"/>
    <w:rsid w:val="004D268A"/>
    <w:rsid w:val="004D282A"/>
    <w:rsid w:val="004D28D3"/>
    <w:rsid w:val="004D298F"/>
    <w:rsid w:val="004D29C6"/>
    <w:rsid w:val="004D33FE"/>
    <w:rsid w:val="004D3467"/>
    <w:rsid w:val="004D35DF"/>
    <w:rsid w:val="004D3644"/>
    <w:rsid w:val="004D36D4"/>
    <w:rsid w:val="004D3AF6"/>
    <w:rsid w:val="004D3C7E"/>
    <w:rsid w:val="004D3DF9"/>
    <w:rsid w:val="004D401B"/>
    <w:rsid w:val="004D402A"/>
    <w:rsid w:val="004D4539"/>
    <w:rsid w:val="004D4627"/>
    <w:rsid w:val="004D540C"/>
    <w:rsid w:val="004D5983"/>
    <w:rsid w:val="004D5BF2"/>
    <w:rsid w:val="004D5F9B"/>
    <w:rsid w:val="004D6080"/>
    <w:rsid w:val="004D6796"/>
    <w:rsid w:val="004D6C8F"/>
    <w:rsid w:val="004D6F21"/>
    <w:rsid w:val="004D7327"/>
    <w:rsid w:val="004D73A3"/>
    <w:rsid w:val="004D7BA1"/>
    <w:rsid w:val="004D7C2C"/>
    <w:rsid w:val="004E07BA"/>
    <w:rsid w:val="004E0E12"/>
    <w:rsid w:val="004E0E93"/>
    <w:rsid w:val="004E1292"/>
    <w:rsid w:val="004E13EC"/>
    <w:rsid w:val="004E1515"/>
    <w:rsid w:val="004E1518"/>
    <w:rsid w:val="004E1971"/>
    <w:rsid w:val="004E1AF6"/>
    <w:rsid w:val="004E1F1E"/>
    <w:rsid w:val="004E235B"/>
    <w:rsid w:val="004E237F"/>
    <w:rsid w:val="004E27DB"/>
    <w:rsid w:val="004E3477"/>
    <w:rsid w:val="004E3FB2"/>
    <w:rsid w:val="004E41F2"/>
    <w:rsid w:val="004E450C"/>
    <w:rsid w:val="004E46D3"/>
    <w:rsid w:val="004E4BB6"/>
    <w:rsid w:val="004E5247"/>
    <w:rsid w:val="004E55D2"/>
    <w:rsid w:val="004E58EF"/>
    <w:rsid w:val="004E5C28"/>
    <w:rsid w:val="004E5E49"/>
    <w:rsid w:val="004E5F03"/>
    <w:rsid w:val="004E6098"/>
    <w:rsid w:val="004E6235"/>
    <w:rsid w:val="004E6408"/>
    <w:rsid w:val="004E6486"/>
    <w:rsid w:val="004E6633"/>
    <w:rsid w:val="004E6B43"/>
    <w:rsid w:val="004E6E85"/>
    <w:rsid w:val="004E7AE4"/>
    <w:rsid w:val="004F039A"/>
    <w:rsid w:val="004F08A1"/>
    <w:rsid w:val="004F0B57"/>
    <w:rsid w:val="004F0FC8"/>
    <w:rsid w:val="004F1538"/>
    <w:rsid w:val="004F1820"/>
    <w:rsid w:val="004F1A15"/>
    <w:rsid w:val="004F1C19"/>
    <w:rsid w:val="004F2189"/>
    <w:rsid w:val="004F2EF4"/>
    <w:rsid w:val="004F3373"/>
    <w:rsid w:val="004F3F5E"/>
    <w:rsid w:val="004F4060"/>
    <w:rsid w:val="004F4FC7"/>
    <w:rsid w:val="004F550E"/>
    <w:rsid w:val="004F56C8"/>
    <w:rsid w:val="004F57A3"/>
    <w:rsid w:val="004F5CC6"/>
    <w:rsid w:val="004F627A"/>
    <w:rsid w:val="004F6C55"/>
    <w:rsid w:val="004F6F25"/>
    <w:rsid w:val="004F7075"/>
    <w:rsid w:val="004F713E"/>
    <w:rsid w:val="004F7659"/>
    <w:rsid w:val="004F7B3E"/>
    <w:rsid w:val="004F7C30"/>
    <w:rsid w:val="0050058A"/>
    <w:rsid w:val="0050070E"/>
    <w:rsid w:val="00500815"/>
    <w:rsid w:val="0050123E"/>
    <w:rsid w:val="005013DA"/>
    <w:rsid w:val="00501432"/>
    <w:rsid w:val="005014FE"/>
    <w:rsid w:val="00501682"/>
    <w:rsid w:val="00502657"/>
    <w:rsid w:val="00502A1C"/>
    <w:rsid w:val="0050348E"/>
    <w:rsid w:val="00503C57"/>
    <w:rsid w:val="00504086"/>
    <w:rsid w:val="0050451D"/>
    <w:rsid w:val="005045CC"/>
    <w:rsid w:val="00504A04"/>
    <w:rsid w:val="00504A4D"/>
    <w:rsid w:val="00504DD2"/>
    <w:rsid w:val="00504E8E"/>
    <w:rsid w:val="00505E02"/>
    <w:rsid w:val="0050605D"/>
    <w:rsid w:val="00506087"/>
    <w:rsid w:val="00506D8A"/>
    <w:rsid w:val="00506E0B"/>
    <w:rsid w:val="005071E5"/>
    <w:rsid w:val="0050737B"/>
    <w:rsid w:val="0050773E"/>
    <w:rsid w:val="0050775C"/>
    <w:rsid w:val="00507C20"/>
    <w:rsid w:val="005105EA"/>
    <w:rsid w:val="005108E2"/>
    <w:rsid w:val="00510BE8"/>
    <w:rsid w:val="005112BC"/>
    <w:rsid w:val="00511354"/>
    <w:rsid w:val="005113E0"/>
    <w:rsid w:val="005114D3"/>
    <w:rsid w:val="0051177A"/>
    <w:rsid w:val="00511906"/>
    <w:rsid w:val="00512066"/>
    <w:rsid w:val="005121EE"/>
    <w:rsid w:val="005126AF"/>
    <w:rsid w:val="00512A2D"/>
    <w:rsid w:val="00512A68"/>
    <w:rsid w:val="00512C4D"/>
    <w:rsid w:val="00512C5F"/>
    <w:rsid w:val="00512C6E"/>
    <w:rsid w:val="005133C5"/>
    <w:rsid w:val="00513566"/>
    <w:rsid w:val="005139E9"/>
    <w:rsid w:val="00513FD5"/>
    <w:rsid w:val="005145DF"/>
    <w:rsid w:val="00514645"/>
    <w:rsid w:val="005146DA"/>
    <w:rsid w:val="005147DE"/>
    <w:rsid w:val="00514D82"/>
    <w:rsid w:val="005164FC"/>
    <w:rsid w:val="005165A8"/>
    <w:rsid w:val="00516BEE"/>
    <w:rsid w:val="00516D2A"/>
    <w:rsid w:val="00516E4A"/>
    <w:rsid w:val="005173B2"/>
    <w:rsid w:val="00517544"/>
    <w:rsid w:val="0051789A"/>
    <w:rsid w:val="00517D75"/>
    <w:rsid w:val="0052002D"/>
    <w:rsid w:val="00520044"/>
    <w:rsid w:val="0052099E"/>
    <w:rsid w:val="00520D2A"/>
    <w:rsid w:val="005210BC"/>
    <w:rsid w:val="00521AE6"/>
    <w:rsid w:val="00521B92"/>
    <w:rsid w:val="00521C0D"/>
    <w:rsid w:val="00521DBE"/>
    <w:rsid w:val="00521F64"/>
    <w:rsid w:val="00522885"/>
    <w:rsid w:val="00522915"/>
    <w:rsid w:val="00522AFD"/>
    <w:rsid w:val="00522E80"/>
    <w:rsid w:val="00522FF6"/>
    <w:rsid w:val="00523ED3"/>
    <w:rsid w:val="00524032"/>
    <w:rsid w:val="005247CB"/>
    <w:rsid w:val="00524824"/>
    <w:rsid w:val="00524D3C"/>
    <w:rsid w:val="00525119"/>
    <w:rsid w:val="00525325"/>
    <w:rsid w:val="00525636"/>
    <w:rsid w:val="00525730"/>
    <w:rsid w:val="00526020"/>
    <w:rsid w:val="00526222"/>
    <w:rsid w:val="005266A7"/>
    <w:rsid w:val="00526B1E"/>
    <w:rsid w:val="00526C00"/>
    <w:rsid w:val="0052745F"/>
    <w:rsid w:val="00527817"/>
    <w:rsid w:val="00527A5E"/>
    <w:rsid w:val="00530289"/>
    <w:rsid w:val="00530CE6"/>
    <w:rsid w:val="00531036"/>
    <w:rsid w:val="005310AB"/>
    <w:rsid w:val="00531457"/>
    <w:rsid w:val="00531671"/>
    <w:rsid w:val="0053203C"/>
    <w:rsid w:val="005322AD"/>
    <w:rsid w:val="005327A8"/>
    <w:rsid w:val="00532A5F"/>
    <w:rsid w:val="00532BD4"/>
    <w:rsid w:val="005335FB"/>
    <w:rsid w:val="005336B5"/>
    <w:rsid w:val="0053391F"/>
    <w:rsid w:val="00533B65"/>
    <w:rsid w:val="00533EE0"/>
    <w:rsid w:val="00533F2B"/>
    <w:rsid w:val="00534648"/>
    <w:rsid w:val="00534B6E"/>
    <w:rsid w:val="00534ED7"/>
    <w:rsid w:val="00534FAC"/>
    <w:rsid w:val="0053574A"/>
    <w:rsid w:val="00536492"/>
    <w:rsid w:val="00536B05"/>
    <w:rsid w:val="00536B3F"/>
    <w:rsid w:val="00536B66"/>
    <w:rsid w:val="0054015F"/>
    <w:rsid w:val="00540469"/>
    <w:rsid w:val="00540678"/>
    <w:rsid w:val="00540763"/>
    <w:rsid w:val="0054078B"/>
    <w:rsid w:val="00540DE2"/>
    <w:rsid w:val="005411C0"/>
    <w:rsid w:val="00541B7B"/>
    <w:rsid w:val="00542961"/>
    <w:rsid w:val="00542DAA"/>
    <w:rsid w:val="00542E05"/>
    <w:rsid w:val="00542F76"/>
    <w:rsid w:val="00543317"/>
    <w:rsid w:val="00543403"/>
    <w:rsid w:val="0054439B"/>
    <w:rsid w:val="005444E3"/>
    <w:rsid w:val="005445BB"/>
    <w:rsid w:val="00544BB6"/>
    <w:rsid w:val="00544C8E"/>
    <w:rsid w:val="00544D21"/>
    <w:rsid w:val="005451AE"/>
    <w:rsid w:val="005452C0"/>
    <w:rsid w:val="00545784"/>
    <w:rsid w:val="005459E8"/>
    <w:rsid w:val="005461CE"/>
    <w:rsid w:val="00546C35"/>
    <w:rsid w:val="00546DAD"/>
    <w:rsid w:val="00546F9B"/>
    <w:rsid w:val="00547425"/>
    <w:rsid w:val="00547815"/>
    <w:rsid w:val="00547AC7"/>
    <w:rsid w:val="00550C99"/>
    <w:rsid w:val="00551036"/>
    <w:rsid w:val="00551198"/>
    <w:rsid w:val="00551327"/>
    <w:rsid w:val="005519B8"/>
    <w:rsid w:val="00551E1E"/>
    <w:rsid w:val="00551E63"/>
    <w:rsid w:val="00552031"/>
    <w:rsid w:val="0055208D"/>
    <w:rsid w:val="00552156"/>
    <w:rsid w:val="005526A2"/>
    <w:rsid w:val="005532B0"/>
    <w:rsid w:val="00553718"/>
    <w:rsid w:val="00553DB0"/>
    <w:rsid w:val="0055487F"/>
    <w:rsid w:val="0055507D"/>
    <w:rsid w:val="005551AE"/>
    <w:rsid w:val="0055545A"/>
    <w:rsid w:val="005554C8"/>
    <w:rsid w:val="005557E4"/>
    <w:rsid w:val="00555909"/>
    <w:rsid w:val="00556455"/>
    <w:rsid w:val="0055665E"/>
    <w:rsid w:val="00556FC9"/>
    <w:rsid w:val="005577F6"/>
    <w:rsid w:val="00557B7F"/>
    <w:rsid w:val="00557E87"/>
    <w:rsid w:val="0056037F"/>
    <w:rsid w:val="00560C45"/>
    <w:rsid w:val="00560D42"/>
    <w:rsid w:val="00560ECA"/>
    <w:rsid w:val="005619FA"/>
    <w:rsid w:val="00561E06"/>
    <w:rsid w:val="005620F4"/>
    <w:rsid w:val="005621EB"/>
    <w:rsid w:val="005622FC"/>
    <w:rsid w:val="00562334"/>
    <w:rsid w:val="00562A46"/>
    <w:rsid w:val="00562F36"/>
    <w:rsid w:val="00563127"/>
    <w:rsid w:val="005633BB"/>
    <w:rsid w:val="00563769"/>
    <w:rsid w:val="00564073"/>
    <w:rsid w:val="005645B1"/>
    <w:rsid w:val="0056484F"/>
    <w:rsid w:val="00564E39"/>
    <w:rsid w:val="00564F34"/>
    <w:rsid w:val="00565388"/>
    <w:rsid w:val="00565672"/>
    <w:rsid w:val="00565C83"/>
    <w:rsid w:val="005662E1"/>
    <w:rsid w:val="00566854"/>
    <w:rsid w:val="00566A99"/>
    <w:rsid w:val="00566D28"/>
    <w:rsid w:val="0056732B"/>
    <w:rsid w:val="00567542"/>
    <w:rsid w:val="005675C6"/>
    <w:rsid w:val="00567A1E"/>
    <w:rsid w:val="00567A9E"/>
    <w:rsid w:val="00570081"/>
    <w:rsid w:val="005700BD"/>
    <w:rsid w:val="0057055D"/>
    <w:rsid w:val="00570928"/>
    <w:rsid w:val="00570939"/>
    <w:rsid w:val="00570BF5"/>
    <w:rsid w:val="00570C37"/>
    <w:rsid w:val="00570E6E"/>
    <w:rsid w:val="00571100"/>
    <w:rsid w:val="0057110B"/>
    <w:rsid w:val="005712C2"/>
    <w:rsid w:val="005712DF"/>
    <w:rsid w:val="0057142B"/>
    <w:rsid w:val="00571B81"/>
    <w:rsid w:val="00571EA0"/>
    <w:rsid w:val="00572233"/>
    <w:rsid w:val="00572249"/>
    <w:rsid w:val="00572565"/>
    <w:rsid w:val="00572D54"/>
    <w:rsid w:val="00573134"/>
    <w:rsid w:val="0057460D"/>
    <w:rsid w:val="00574854"/>
    <w:rsid w:val="0057494D"/>
    <w:rsid w:val="00574BF1"/>
    <w:rsid w:val="0057537D"/>
    <w:rsid w:val="005757E2"/>
    <w:rsid w:val="005759DD"/>
    <w:rsid w:val="005759F1"/>
    <w:rsid w:val="00575FE7"/>
    <w:rsid w:val="0057619B"/>
    <w:rsid w:val="00576315"/>
    <w:rsid w:val="00576531"/>
    <w:rsid w:val="00576D56"/>
    <w:rsid w:val="00576DCE"/>
    <w:rsid w:val="00576E12"/>
    <w:rsid w:val="005772A9"/>
    <w:rsid w:val="005774FA"/>
    <w:rsid w:val="00580447"/>
    <w:rsid w:val="00580F26"/>
    <w:rsid w:val="00581034"/>
    <w:rsid w:val="005825AB"/>
    <w:rsid w:val="0058295F"/>
    <w:rsid w:val="005838FE"/>
    <w:rsid w:val="005839EA"/>
    <w:rsid w:val="00583CE7"/>
    <w:rsid w:val="005842D8"/>
    <w:rsid w:val="0058458E"/>
    <w:rsid w:val="00584739"/>
    <w:rsid w:val="005847A9"/>
    <w:rsid w:val="00584982"/>
    <w:rsid w:val="00584CE8"/>
    <w:rsid w:val="00585495"/>
    <w:rsid w:val="00585614"/>
    <w:rsid w:val="005857DC"/>
    <w:rsid w:val="0058581E"/>
    <w:rsid w:val="00585959"/>
    <w:rsid w:val="00585E9F"/>
    <w:rsid w:val="00586189"/>
    <w:rsid w:val="00586763"/>
    <w:rsid w:val="00586B95"/>
    <w:rsid w:val="00586BC8"/>
    <w:rsid w:val="00586F15"/>
    <w:rsid w:val="005873C3"/>
    <w:rsid w:val="005874FE"/>
    <w:rsid w:val="00587DFF"/>
    <w:rsid w:val="005900DE"/>
    <w:rsid w:val="00590388"/>
    <w:rsid w:val="005906EB"/>
    <w:rsid w:val="00590816"/>
    <w:rsid w:val="0059083B"/>
    <w:rsid w:val="00590A52"/>
    <w:rsid w:val="00590B14"/>
    <w:rsid w:val="00590CB0"/>
    <w:rsid w:val="00590E5A"/>
    <w:rsid w:val="0059102B"/>
    <w:rsid w:val="00591851"/>
    <w:rsid w:val="00591BA5"/>
    <w:rsid w:val="00591BD4"/>
    <w:rsid w:val="0059259E"/>
    <w:rsid w:val="005931C2"/>
    <w:rsid w:val="0059356E"/>
    <w:rsid w:val="00593A08"/>
    <w:rsid w:val="00593A9C"/>
    <w:rsid w:val="00593EF3"/>
    <w:rsid w:val="005940FC"/>
    <w:rsid w:val="00594705"/>
    <w:rsid w:val="0059495C"/>
    <w:rsid w:val="00594C28"/>
    <w:rsid w:val="00595335"/>
    <w:rsid w:val="00595AAE"/>
    <w:rsid w:val="00595C2D"/>
    <w:rsid w:val="00595ED8"/>
    <w:rsid w:val="00596A07"/>
    <w:rsid w:val="00596C75"/>
    <w:rsid w:val="00596DB4"/>
    <w:rsid w:val="0059741A"/>
    <w:rsid w:val="00597AB8"/>
    <w:rsid w:val="00597D21"/>
    <w:rsid w:val="005A0241"/>
    <w:rsid w:val="005A0307"/>
    <w:rsid w:val="005A0362"/>
    <w:rsid w:val="005A0545"/>
    <w:rsid w:val="005A0685"/>
    <w:rsid w:val="005A0953"/>
    <w:rsid w:val="005A0FD3"/>
    <w:rsid w:val="005A13FE"/>
    <w:rsid w:val="005A16F3"/>
    <w:rsid w:val="005A25E7"/>
    <w:rsid w:val="005A2FD8"/>
    <w:rsid w:val="005A30BE"/>
    <w:rsid w:val="005A3106"/>
    <w:rsid w:val="005A345F"/>
    <w:rsid w:val="005A3572"/>
    <w:rsid w:val="005A3D7A"/>
    <w:rsid w:val="005A41B7"/>
    <w:rsid w:val="005A4309"/>
    <w:rsid w:val="005A469E"/>
    <w:rsid w:val="005A4B84"/>
    <w:rsid w:val="005A5281"/>
    <w:rsid w:val="005A5301"/>
    <w:rsid w:val="005A5671"/>
    <w:rsid w:val="005A61E7"/>
    <w:rsid w:val="005A657C"/>
    <w:rsid w:val="005A740D"/>
    <w:rsid w:val="005A777E"/>
    <w:rsid w:val="005A79ED"/>
    <w:rsid w:val="005A7BE9"/>
    <w:rsid w:val="005A7F17"/>
    <w:rsid w:val="005A7FCF"/>
    <w:rsid w:val="005B06C9"/>
    <w:rsid w:val="005B0842"/>
    <w:rsid w:val="005B0C76"/>
    <w:rsid w:val="005B0D5A"/>
    <w:rsid w:val="005B0EE9"/>
    <w:rsid w:val="005B1376"/>
    <w:rsid w:val="005B1B39"/>
    <w:rsid w:val="005B1D73"/>
    <w:rsid w:val="005B1EB6"/>
    <w:rsid w:val="005B2B1A"/>
    <w:rsid w:val="005B2EFB"/>
    <w:rsid w:val="005B323A"/>
    <w:rsid w:val="005B3244"/>
    <w:rsid w:val="005B3332"/>
    <w:rsid w:val="005B3A46"/>
    <w:rsid w:val="005B3B46"/>
    <w:rsid w:val="005B3BF2"/>
    <w:rsid w:val="005B3C8A"/>
    <w:rsid w:val="005B3FF9"/>
    <w:rsid w:val="005B4003"/>
    <w:rsid w:val="005B4B2E"/>
    <w:rsid w:val="005B524A"/>
    <w:rsid w:val="005B5FE5"/>
    <w:rsid w:val="005B6031"/>
    <w:rsid w:val="005B6085"/>
    <w:rsid w:val="005B6595"/>
    <w:rsid w:val="005B69A5"/>
    <w:rsid w:val="005B6D71"/>
    <w:rsid w:val="005B6E12"/>
    <w:rsid w:val="005B719C"/>
    <w:rsid w:val="005B75DE"/>
    <w:rsid w:val="005B78D9"/>
    <w:rsid w:val="005B79FB"/>
    <w:rsid w:val="005B7CA9"/>
    <w:rsid w:val="005C0198"/>
    <w:rsid w:val="005C026D"/>
    <w:rsid w:val="005C1259"/>
    <w:rsid w:val="005C1577"/>
    <w:rsid w:val="005C157E"/>
    <w:rsid w:val="005C1905"/>
    <w:rsid w:val="005C1D1B"/>
    <w:rsid w:val="005C1FF6"/>
    <w:rsid w:val="005C2122"/>
    <w:rsid w:val="005C2640"/>
    <w:rsid w:val="005C267E"/>
    <w:rsid w:val="005C2DDF"/>
    <w:rsid w:val="005C2E0B"/>
    <w:rsid w:val="005C2EC0"/>
    <w:rsid w:val="005C3203"/>
    <w:rsid w:val="005C356D"/>
    <w:rsid w:val="005C375A"/>
    <w:rsid w:val="005C379A"/>
    <w:rsid w:val="005C3933"/>
    <w:rsid w:val="005C4446"/>
    <w:rsid w:val="005C4471"/>
    <w:rsid w:val="005C4B2B"/>
    <w:rsid w:val="005C4B2D"/>
    <w:rsid w:val="005C4B39"/>
    <w:rsid w:val="005C4FF7"/>
    <w:rsid w:val="005C573B"/>
    <w:rsid w:val="005C5992"/>
    <w:rsid w:val="005C5ECA"/>
    <w:rsid w:val="005C64D0"/>
    <w:rsid w:val="005C6EC8"/>
    <w:rsid w:val="005C78A4"/>
    <w:rsid w:val="005D046E"/>
    <w:rsid w:val="005D0D42"/>
    <w:rsid w:val="005D0E8F"/>
    <w:rsid w:val="005D11AE"/>
    <w:rsid w:val="005D13E1"/>
    <w:rsid w:val="005D16E3"/>
    <w:rsid w:val="005D1FD9"/>
    <w:rsid w:val="005D204D"/>
    <w:rsid w:val="005D2145"/>
    <w:rsid w:val="005D215C"/>
    <w:rsid w:val="005D221E"/>
    <w:rsid w:val="005D281B"/>
    <w:rsid w:val="005D2913"/>
    <w:rsid w:val="005D2C79"/>
    <w:rsid w:val="005D3073"/>
    <w:rsid w:val="005D3707"/>
    <w:rsid w:val="005D390A"/>
    <w:rsid w:val="005D4403"/>
    <w:rsid w:val="005D4558"/>
    <w:rsid w:val="005D467A"/>
    <w:rsid w:val="005D4801"/>
    <w:rsid w:val="005D49A2"/>
    <w:rsid w:val="005D54DD"/>
    <w:rsid w:val="005D5E3D"/>
    <w:rsid w:val="005D63D6"/>
    <w:rsid w:val="005D6651"/>
    <w:rsid w:val="005D6688"/>
    <w:rsid w:val="005D6812"/>
    <w:rsid w:val="005D690F"/>
    <w:rsid w:val="005D712A"/>
    <w:rsid w:val="005D74EA"/>
    <w:rsid w:val="005D7C32"/>
    <w:rsid w:val="005E04EE"/>
    <w:rsid w:val="005E0516"/>
    <w:rsid w:val="005E060C"/>
    <w:rsid w:val="005E0BBA"/>
    <w:rsid w:val="005E15AF"/>
    <w:rsid w:val="005E1F71"/>
    <w:rsid w:val="005E25AB"/>
    <w:rsid w:val="005E2ACB"/>
    <w:rsid w:val="005E2B7A"/>
    <w:rsid w:val="005E3065"/>
    <w:rsid w:val="005E30A8"/>
    <w:rsid w:val="005E3279"/>
    <w:rsid w:val="005E32F1"/>
    <w:rsid w:val="005E3831"/>
    <w:rsid w:val="005E390A"/>
    <w:rsid w:val="005E3956"/>
    <w:rsid w:val="005E4455"/>
    <w:rsid w:val="005E458D"/>
    <w:rsid w:val="005E468D"/>
    <w:rsid w:val="005E4A2C"/>
    <w:rsid w:val="005E5009"/>
    <w:rsid w:val="005E5631"/>
    <w:rsid w:val="005E6285"/>
    <w:rsid w:val="005E6B0F"/>
    <w:rsid w:val="005E6CAD"/>
    <w:rsid w:val="005F06B0"/>
    <w:rsid w:val="005F09CB"/>
    <w:rsid w:val="005F0E9F"/>
    <w:rsid w:val="005F1353"/>
    <w:rsid w:val="005F1520"/>
    <w:rsid w:val="005F24BD"/>
    <w:rsid w:val="005F2637"/>
    <w:rsid w:val="005F2B0A"/>
    <w:rsid w:val="005F3DC3"/>
    <w:rsid w:val="005F40A1"/>
    <w:rsid w:val="005F46C5"/>
    <w:rsid w:val="005F47B9"/>
    <w:rsid w:val="005F492F"/>
    <w:rsid w:val="005F532B"/>
    <w:rsid w:val="005F55D8"/>
    <w:rsid w:val="005F57FE"/>
    <w:rsid w:val="005F5943"/>
    <w:rsid w:val="005F5944"/>
    <w:rsid w:val="005F5C05"/>
    <w:rsid w:val="005F5C73"/>
    <w:rsid w:val="005F5D5D"/>
    <w:rsid w:val="005F5E17"/>
    <w:rsid w:val="005F7CED"/>
    <w:rsid w:val="005F7D2E"/>
    <w:rsid w:val="00600034"/>
    <w:rsid w:val="00600437"/>
    <w:rsid w:val="006006DD"/>
    <w:rsid w:val="006006ED"/>
    <w:rsid w:val="0060076B"/>
    <w:rsid w:val="006009E9"/>
    <w:rsid w:val="00600E9B"/>
    <w:rsid w:val="00601225"/>
    <w:rsid w:val="00601293"/>
    <w:rsid w:val="0060154E"/>
    <w:rsid w:val="00601735"/>
    <w:rsid w:val="00601AB7"/>
    <w:rsid w:val="006020E2"/>
    <w:rsid w:val="006024F3"/>
    <w:rsid w:val="00602792"/>
    <w:rsid w:val="00602935"/>
    <w:rsid w:val="00602C16"/>
    <w:rsid w:val="00602D85"/>
    <w:rsid w:val="00603371"/>
    <w:rsid w:val="00603785"/>
    <w:rsid w:val="00603C45"/>
    <w:rsid w:val="006041FE"/>
    <w:rsid w:val="006047A4"/>
    <w:rsid w:val="006051DF"/>
    <w:rsid w:val="00605279"/>
    <w:rsid w:val="00605FBB"/>
    <w:rsid w:val="0060684F"/>
    <w:rsid w:val="00606AA9"/>
    <w:rsid w:val="00606BE9"/>
    <w:rsid w:val="00606C59"/>
    <w:rsid w:val="0060740E"/>
    <w:rsid w:val="00607AB9"/>
    <w:rsid w:val="006101BD"/>
    <w:rsid w:val="0061028D"/>
    <w:rsid w:val="0061069A"/>
    <w:rsid w:val="00610C2D"/>
    <w:rsid w:val="00610CF7"/>
    <w:rsid w:val="00610E40"/>
    <w:rsid w:val="00611556"/>
    <w:rsid w:val="00611764"/>
    <w:rsid w:val="00612087"/>
    <w:rsid w:val="006120D0"/>
    <w:rsid w:val="00612516"/>
    <w:rsid w:val="00612BD7"/>
    <w:rsid w:val="00612E82"/>
    <w:rsid w:val="00613111"/>
    <w:rsid w:val="00613344"/>
    <w:rsid w:val="00613471"/>
    <w:rsid w:val="00613D14"/>
    <w:rsid w:val="00613F1B"/>
    <w:rsid w:val="00613F6C"/>
    <w:rsid w:val="00614329"/>
    <w:rsid w:val="006144A2"/>
    <w:rsid w:val="006153A2"/>
    <w:rsid w:val="00615585"/>
    <w:rsid w:val="00615A03"/>
    <w:rsid w:val="00615D0A"/>
    <w:rsid w:val="00616284"/>
    <w:rsid w:val="00616351"/>
    <w:rsid w:val="00616374"/>
    <w:rsid w:val="00616EC1"/>
    <w:rsid w:val="0061701E"/>
    <w:rsid w:val="0061748D"/>
    <w:rsid w:val="00617CA9"/>
    <w:rsid w:val="00617D17"/>
    <w:rsid w:val="0062015D"/>
    <w:rsid w:val="0062025B"/>
    <w:rsid w:val="006205F6"/>
    <w:rsid w:val="0062099E"/>
    <w:rsid w:val="00620FFE"/>
    <w:rsid w:val="006211DE"/>
    <w:rsid w:val="006212A0"/>
    <w:rsid w:val="006217CB"/>
    <w:rsid w:val="006238AB"/>
    <w:rsid w:val="00623A7E"/>
    <w:rsid w:val="006247AF"/>
    <w:rsid w:val="00624B12"/>
    <w:rsid w:val="00624E1B"/>
    <w:rsid w:val="00625763"/>
    <w:rsid w:val="00625C23"/>
    <w:rsid w:val="00625F0F"/>
    <w:rsid w:val="00626455"/>
    <w:rsid w:val="00626773"/>
    <w:rsid w:val="00626983"/>
    <w:rsid w:val="006270A1"/>
    <w:rsid w:val="00627F4D"/>
    <w:rsid w:val="00627FE1"/>
    <w:rsid w:val="006300D0"/>
    <w:rsid w:val="00630890"/>
    <w:rsid w:val="00631472"/>
    <w:rsid w:val="006318CF"/>
    <w:rsid w:val="00632208"/>
    <w:rsid w:val="00632F50"/>
    <w:rsid w:val="006330F2"/>
    <w:rsid w:val="006333B5"/>
    <w:rsid w:val="00633D8D"/>
    <w:rsid w:val="006342EE"/>
    <w:rsid w:val="006348A9"/>
    <w:rsid w:val="00634D01"/>
    <w:rsid w:val="00634DFB"/>
    <w:rsid w:val="00636179"/>
    <w:rsid w:val="00636206"/>
    <w:rsid w:val="006362AD"/>
    <w:rsid w:val="00636858"/>
    <w:rsid w:val="00636B75"/>
    <w:rsid w:val="00636DBA"/>
    <w:rsid w:val="00637046"/>
    <w:rsid w:val="00637412"/>
    <w:rsid w:val="0063773C"/>
    <w:rsid w:val="006377DB"/>
    <w:rsid w:val="00637909"/>
    <w:rsid w:val="00637AA2"/>
    <w:rsid w:val="00637BA2"/>
    <w:rsid w:val="0064047A"/>
    <w:rsid w:val="00640591"/>
    <w:rsid w:val="006406DF"/>
    <w:rsid w:val="00640AB5"/>
    <w:rsid w:val="00640E2E"/>
    <w:rsid w:val="006412E6"/>
    <w:rsid w:val="00641833"/>
    <w:rsid w:val="00641F26"/>
    <w:rsid w:val="00641F37"/>
    <w:rsid w:val="00642ABE"/>
    <w:rsid w:val="00643289"/>
    <w:rsid w:val="006435DF"/>
    <w:rsid w:val="00643A48"/>
    <w:rsid w:val="00643D70"/>
    <w:rsid w:val="00643E1D"/>
    <w:rsid w:val="00644210"/>
    <w:rsid w:val="00644284"/>
    <w:rsid w:val="006448CB"/>
    <w:rsid w:val="00644910"/>
    <w:rsid w:val="00644981"/>
    <w:rsid w:val="00644A00"/>
    <w:rsid w:val="00645407"/>
    <w:rsid w:val="00645543"/>
    <w:rsid w:val="006457EA"/>
    <w:rsid w:val="00645B3F"/>
    <w:rsid w:val="006463A0"/>
    <w:rsid w:val="00647271"/>
    <w:rsid w:val="006474EB"/>
    <w:rsid w:val="006477E1"/>
    <w:rsid w:val="006505DD"/>
    <w:rsid w:val="00650B72"/>
    <w:rsid w:val="00650F80"/>
    <w:rsid w:val="006512AC"/>
    <w:rsid w:val="00651F35"/>
    <w:rsid w:val="00652052"/>
    <w:rsid w:val="006522AF"/>
    <w:rsid w:val="006532CF"/>
    <w:rsid w:val="00653473"/>
    <w:rsid w:val="00653536"/>
    <w:rsid w:val="00653811"/>
    <w:rsid w:val="00653A61"/>
    <w:rsid w:val="00653B7D"/>
    <w:rsid w:val="00653E5E"/>
    <w:rsid w:val="00654C73"/>
    <w:rsid w:val="006557B0"/>
    <w:rsid w:val="00655E14"/>
    <w:rsid w:val="00655FD9"/>
    <w:rsid w:val="006561FB"/>
    <w:rsid w:val="00656AB4"/>
    <w:rsid w:val="00656D55"/>
    <w:rsid w:val="00656E31"/>
    <w:rsid w:val="00657640"/>
    <w:rsid w:val="00657876"/>
    <w:rsid w:val="006579AE"/>
    <w:rsid w:val="00657B8D"/>
    <w:rsid w:val="0066035F"/>
    <w:rsid w:val="00660B84"/>
    <w:rsid w:val="006613C4"/>
    <w:rsid w:val="006613F8"/>
    <w:rsid w:val="006614B0"/>
    <w:rsid w:val="00661525"/>
    <w:rsid w:val="0066162E"/>
    <w:rsid w:val="006617F9"/>
    <w:rsid w:val="00661924"/>
    <w:rsid w:val="006619E0"/>
    <w:rsid w:val="00661A0B"/>
    <w:rsid w:val="00662192"/>
    <w:rsid w:val="0066224E"/>
    <w:rsid w:val="0066240F"/>
    <w:rsid w:val="006629C8"/>
    <w:rsid w:val="0066372D"/>
    <w:rsid w:val="006639F2"/>
    <w:rsid w:val="00663C0E"/>
    <w:rsid w:val="00663DF7"/>
    <w:rsid w:val="0066441F"/>
    <w:rsid w:val="006646EE"/>
    <w:rsid w:val="00664F37"/>
    <w:rsid w:val="00664F3C"/>
    <w:rsid w:val="00665387"/>
    <w:rsid w:val="0066570D"/>
    <w:rsid w:val="00665C45"/>
    <w:rsid w:val="0066674F"/>
    <w:rsid w:val="00666F08"/>
    <w:rsid w:val="00667308"/>
    <w:rsid w:val="0067003A"/>
    <w:rsid w:val="0067047D"/>
    <w:rsid w:val="006704CE"/>
    <w:rsid w:val="00670568"/>
    <w:rsid w:val="0067078F"/>
    <w:rsid w:val="00670B4C"/>
    <w:rsid w:val="00670EB5"/>
    <w:rsid w:val="00671026"/>
    <w:rsid w:val="00671028"/>
    <w:rsid w:val="0067148F"/>
    <w:rsid w:val="0067182F"/>
    <w:rsid w:val="00671DE2"/>
    <w:rsid w:val="006726FF"/>
    <w:rsid w:val="00672A2A"/>
    <w:rsid w:val="00673169"/>
    <w:rsid w:val="00673A90"/>
    <w:rsid w:val="00673C87"/>
    <w:rsid w:val="00673DC4"/>
    <w:rsid w:val="00673E31"/>
    <w:rsid w:val="00674084"/>
    <w:rsid w:val="0067448B"/>
    <w:rsid w:val="00674622"/>
    <w:rsid w:val="00675407"/>
    <w:rsid w:val="0067595C"/>
    <w:rsid w:val="00675ACD"/>
    <w:rsid w:val="006760B3"/>
    <w:rsid w:val="006763F2"/>
    <w:rsid w:val="00676912"/>
    <w:rsid w:val="00676F60"/>
    <w:rsid w:val="0067792B"/>
    <w:rsid w:val="006808BE"/>
    <w:rsid w:val="00680FB0"/>
    <w:rsid w:val="006812FB"/>
    <w:rsid w:val="00681761"/>
    <w:rsid w:val="006819B6"/>
    <w:rsid w:val="00681D3E"/>
    <w:rsid w:val="006826FC"/>
    <w:rsid w:val="0068332F"/>
    <w:rsid w:val="00683561"/>
    <w:rsid w:val="006835D8"/>
    <w:rsid w:val="00683718"/>
    <w:rsid w:val="006837C6"/>
    <w:rsid w:val="00683A04"/>
    <w:rsid w:val="00683BAA"/>
    <w:rsid w:val="00683D40"/>
    <w:rsid w:val="00683E3C"/>
    <w:rsid w:val="006841C8"/>
    <w:rsid w:val="0068428C"/>
    <w:rsid w:val="006842D0"/>
    <w:rsid w:val="00684326"/>
    <w:rsid w:val="00684355"/>
    <w:rsid w:val="00684757"/>
    <w:rsid w:val="00684B57"/>
    <w:rsid w:val="00684D22"/>
    <w:rsid w:val="006851E7"/>
    <w:rsid w:val="00685213"/>
    <w:rsid w:val="006852A9"/>
    <w:rsid w:val="00685B47"/>
    <w:rsid w:val="006862F6"/>
    <w:rsid w:val="00686534"/>
    <w:rsid w:val="00686A04"/>
    <w:rsid w:val="00686EB3"/>
    <w:rsid w:val="006870D7"/>
    <w:rsid w:val="00687195"/>
    <w:rsid w:val="00687196"/>
    <w:rsid w:val="0068788B"/>
    <w:rsid w:val="00687A0D"/>
    <w:rsid w:val="00687D9A"/>
    <w:rsid w:val="00687E73"/>
    <w:rsid w:val="0069037D"/>
    <w:rsid w:val="006904E8"/>
    <w:rsid w:val="00690979"/>
    <w:rsid w:val="00690FCC"/>
    <w:rsid w:val="00691555"/>
    <w:rsid w:val="00692230"/>
    <w:rsid w:val="00692480"/>
    <w:rsid w:val="006924DE"/>
    <w:rsid w:val="00692B99"/>
    <w:rsid w:val="00692D20"/>
    <w:rsid w:val="00692DAE"/>
    <w:rsid w:val="00693442"/>
    <w:rsid w:val="00693D0C"/>
    <w:rsid w:val="006941AD"/>
    <w:rsid w:val="00694327"/>
    <w:rsid w:val="006943E6"/>
    <w:rsid w:val="00695477"/>
    <w:rsid w:val="006956BA"/>
    <w:rsid w:val="00695860"/>
    <w:rsid w:val="00695CBA"/>
    <w:rsid w:val="006961E0"/>
    <w:rsid w:val="00696897"/>
    <w:rsid w:val="00696F51"/>
    <w:rsid w:val="00697573"/>
    <w:rsid w:val="00697676"/>
    <w:rsid w:val="006A03C6"/>
    <w:rsid w:val="006A03FE"/>
    <w:rsid w:val="006A0701"/>
    <w:rsid w:val="006A0A05"/>
    <w:rsid w:val="006A0D22"/>
    <w:rsid w:val="006A178D"/>
    <w:rsid w:val="006A1DF5"/>
    <w:rsid w:val="006A25B6"/>
    <w:rsid w:val="006A298D"/>
    <w:rsid w:val="006A2F5A"/>
    <w:rsid w:val="006A3AAD"/>
    <w:rsid w:val="006A3B45"/>
    <w:rsid w:val="006A4201"/>
    <w:rsid w:val="006A43B7"/>
    <w:rsid w:val="006A450C"/>
    <w:rsid w:val="006A484A"/>
    <w:rsid w:val="006A4B44"/>
    <w:rsid w:val="006A503E"/>
    <w:rsid w:val="006A57A3"/>
    <w:rsid w:val="006A5C5B"/>
    <w:rsid w:val="006A5CA5"/>
    <w:rsid w:val="006A6033"/>
    <w:rsid w:val="006A6067"/>
    <w:rsid w:val="006A6277"/>
    <w:rsid w:val="006A6552"/>
    <w:rsid w:val="006A6CB8"/>
    <w:rsid w:val="006A6D6B"/>
    <w:rsid w:val="006A6F9D"/>
    <w:rsid w:val="006A714B"/>
    <w:rsid w:val="006A7953"/>
    <w:rsid w:val="006A7B65"/>
    <w:rsid w:val="006A7E24"/>
    <w:rsid w:val="006A7E6F"/>
    <w:rsid w:val="006B01C3"/>
    <w:rsid w:val="006B08B0"/>
    <w:rsid w:val="006B0935"/>
    <w:rsid w:val="006B0AA0"/>
    <w:rsid w:val="006B0DAF"/>
    <w:rsid w:val="006B182D"/>
    <w:rsid w:val="006B1AF0"/>
    <w:rsid w:val="006B232A"/>
    <w:rsid w:val="006B2988"/>
    <w:rsid w:val="006B32A8"/>
    <w:rsid w:val="006B33B1"/>
    <w:rsid w:val="006B4223"/>
    <w:rsid w:val="006B4381"/>
    <w:rsid w:val="006B5357"/>
    <w:rsid w:val="006B58A9"/>
    <w:rsid w:val="006B5E48"/>
    <w:rsid w:val="006B5E63"/>
    <w:rsid w:val="006B6723"/>
    <w:rsid w:val="006B6D24"/>
    <w:rsid w:val="006B7570"/>
    <w:rsid w:val="006B76A7"/>
    <w:rsid w:val="006B771D"/>
    <w:rsid w:val="006B793C"/>
    <w:rsid w:val="006C01BC"/>
    <w:rsid w:val="006C0212"/>
    <w:rsid w:val="006C07E2"/>
    <w:rsid w:val="006C087B"/>
    <w:rsid w:val="006C0AF6"/>
    <w:rsid w:val="006C0B29"/>
    <w:rsid w:val="006C0DCF"/>
    <w:rsid w:val="006C0DF3"/>
    <w:rsid w:val="006C1039"/>
    <w:rsid w:val="006C1248"/>
    <w:rsid w:val="006C135C"/>
    <w:rsid w:val="006C141B"/>
    <w:rsid w:val="006C1799"/>
    <w:rsid w:val="006C2088"/>
    <w:rsid w:val="006C2644"/>
    <w:rsid w:val="006C281D"/>
    <w:rsid w:val="006C3027"/>
    <w:rsid w:val="006C32DE"/>
    <w:rsid w:val="006C331B"/>
    <w:rsid w:val="006C375F"/>
    <w:rsid w:val="006C380C"/>
    <w:rsid w:val="006C3A25"/>
    <w:rsid w:val="006C411F"/>
    <w:rsid w:val="006C4228"/>
    <w:rsid w:val="006C4507"/>
    <w:rsid w:val="006C4808"/>
    <w:rsid w:val="006C48FF"/>
    <w:rsid w:val="006C4A2B"/>
    <w:rsid w:val="006C4D1C"/>
    <w:rsid w:val="006C4F3E"/>
    <w:rsid w:val="006C560F"/>
    <w:rsid w:val="006C566D"/>
    <w:rsid w:val="006C597D"/>
    <w:rsid w:val="006C5B61"/>
    <w:rsid w:val="006C5C39"/>
    <w:rsid w:val="006C63BB"/>
    <w:rsid w:val="006C644B"/>
    <w:rsid w:val="006C6869"/>
    <w:rsid w:val="006C6FA4"/>
    <w:rsid w:val="006C71B2"/>
    <w:rsid w:val="006C7A16"/>
    <w:rsid w:val="006D02E5"/>
    <w:rsid w:val="006D07D2"/>
    <w:rsid w:val="006D0D17"/>
    <w:rsid w:val="006D1563"/>
    <w:rsid w:val="006D1A14"/>
    <w:rsid w:val="006D1C8E"/>
    <w:rsid w:val="006D1D9B"/>
    <w:rsid w:val="006D1E5E"/>
    <w:rsid w:val="006D1F49"/>
    <w:rsid w:val="006D23D8"/>
    <w:rsid w:val="006D2C27"/>
    <w:rsid w:val="006D32E2"/>
    <w:rsid w:val="006D3346"/>
    <w:rsid w:val="006D33DB"/>
    <w:rsid w:val="006D3B4F"/>
    <w:rsid w:val="006D3DC7"/>
    <w:rsid w:val="006D46BA"/>
    <w:rsid w:val="006D47DB"/>
    <w:rsid w:val="006D583F"/>
    <w:rsid w:val="006D59D1"/>
    <w:rsid w:val="006D5B7D"/>
    <w:rsid w:val="006D61DC"/>
    <w:rsid w:val="006D643E"/>
    <w:rsid w:val="006D66A3"/>
    <w:rsid w:val="006D682A"/>
    <w:rsid w:val="006D76EE"/>
    <w:rsid w:val="006D79FC"/>
    <w:rsid w:val="006E0094"/>
    <w:rsid w:val="006E035B"/>
    <w:rsid w:val="006E0466"/>
    <w:rsid w:val="006E0AB9"/>
    <w:rsid w:val="006E0C31"/>
    <w:rsid w:val="006E0D51"/>
    <w:rsid w:val="006E125B"/>
    <w:rsid w:val="006E165F"/>
    <w:rsid w:val="006E192A"/>
    <w:rsid w:val="006E1CDC"/>
    <w:rsid w:val="006E1FFD"/>
    <w:rsid w:val="006E21A9"/>
    <w:rsid w:val="006E2873"/>
    <w:rsid w:val="006E2A0C"/>
    <w:rsid w:val="006E34DB"/>
    <w:rsid w:val="006E3BAB"/>
    <w:rsid w:val="006E3E2F"/>
    <w:rsid w:val="006E3EDF"/>
    <w:rsid w:val="006E42C1"/>
    <w:rsid w:val="006E43EC"/>
    <w:rsid w:val="006E4772"/>
    <w:rsid w:val="006E49C0"/>
    <w:rsid w:val="006E4AB4"/>
    <w:rsid w:val="006E544F"/>
    <w:rsid w:val="006E57A3"/>
    <w:rsid w:val="006E5C75"/>
    <w:rsid w:val="006E5D32"/>
    <w:rsid w:val="006E5FE8"/>
    <w:rsid w:val="006E639A"/>
    <w:rsid w:val="006E640B"/>
    <w:rsid w:val="006E6459"/>
    <w:rsid w:val="006E6753"/>
    <w:rsid w:val="006E6F2C"/>
    <w:rsid w:val="006E70E2"/>
    <w:rsid w:val="006E7BF3"/>
    <w:rsid w:val="006E7FFC"/>
    <w:rsid w:val="006F02FE"/>
    <w:rsid w:val="006F047C"/>
    <w:rsid w:val="006F0A7F"/>
    <w:rsid w:val="006F112B"/>
    <w:rsid w:val="006F13FD"/>
    <w:rsid w:val="006F15AC"/>
    <w:rsid w:val="006F1A3C"/>
    <w:rsid w:val="006F1CC2"/>
    <w:rsid w:val="006F1EC6"/>
    <w:rsid w:val="006F25E0"/>
    <w:rsid w:val="006F2748"/>
    <w:rsid w:val="006F279B"/>
    <w:rsid w:val="006F316D"/>
    <w:rsid w:val="006F3582"/>
    <w:rsid w:val="006F3709"/>
    <w:rsid w:val="006F402B"/>
    <w:rsid w:val="006F423E"/>
    <w:rsid w:val="006F55C4"/>
    <w:rsid w:val="006F5853"/>
    <w:rsid w:val="006F5D3C"/>
    <w:rsid w:val="006F6114"/>
    <w:rsid w:val="006F6377"/>
    <w:rsid w:val="006F6CBB"/>
    <w:rsid w:val="006F6E46"/>
    <w:rsid w:val="006F7602"/>
    <w:rsid w:val="007008EA"/>
    <w:rsid w:val="00701E4D"/>
    <w:rsid w:val="0070221F"/>
    <w:rsid w:val="00702290"/>
    <w:rsid w:val="007026F3"/>
    <w:rsid w:val="00702755"/>
    <w:rsid w:val="00702A0E"/>
    <w:rsid w:val="007037D6"/>
    <w:rsid w:val="00703C2F"/>
    <w:rsid w:val="00703DA2"/>
    <w:rsid w:val="007041A0"/>
    <w:rsid w:val="00704607"/>
    <w:rsid w:val="007053E1"/>
    <w:rsid w:val="00705C36"/>
    <w:rsid w:val="00705CC1"/>
    <w:rsid w:val="00706354"/>
    <w:rsid w:val="0070638D"/>
    <w:rsid w:val="00706918"/>
    <w:rsid w:val="00707094"/>
    <w:rsid w:val="007070E2"/>
    <w:rsid w:val="007075A0"/>
    <w:rsid w:val="00707DD1"/>
    <w:rsid w:val="007103F4"/>
    <w:rsid w:val="007108AF"/>
    <w:rsid w:val="007110B0"/>
    <w:rsid w:val="007110F4"/>
    <w:rsid w:val="00711245"/>
    <w:rsid w:val="00711550"/>
    <w:rsid w:val="007115C9"/>
    <w:rsid w:val="007119A8"/>
    <w:rsid w:val="0071291E"/>
    <w:rsid w:val="00712960"/>
    <w:rsid w:val="00712C10"/>
    <w:rsid w:val="0071353C"/>
    <w:rsid w:val="00713741"/>
    <w:rsid w:val="00713AD4"/>
    <w:rsid w:val="00713C41"/>
    <w:rsid w:val="00714694"/>
    <w:rsid w:val="00714A3F"/>
    <w:rsid w:val="007150E4"/>
    <w:rsid w:val="00715209"/>
    <w:rsid w:val="007153A9"/>
    <w:rsid w:val="007159F2"/>
    <w:rsid w:val="0071603C"/>
    <w:rsid w:val="007162D3"/>
    <w:rsid w:val="00716366"/>
    <w:rsid w:val="00716E90"/>
    <w:rsid w:val="00717370"/>
    <w:rsid w:val="0071738D"/>
    <w:rsid w:val="00717446"/>
    <w:rsid w:val="0071774A"/>
    <w:rsid w:val="00717C27"/>
    <w:rsid w:val="00717F9B"/>
    <w:rsid w:val="0072067A"/>
    <w:rsid w:val="007207AB"/>
    <w:rsid w:val="007207D6"/>
    <w:rsid w:val="00720965"/>
    <w:rsid w:val="00720CCE"/>
    <w:rsid w:val="0072124E"/>
    <w:rsid w:val="0072139D"/>
    <w:rsid w:val="00721A9E"/>
    <w:rsid w:val="00721DC1"/>
    <w:rsid w:val="0072222D"/>
    <w:rsid w:val="0072282F"/>
    <w:rsid w:val="0072285E"/>
    <w:rsid w:val="00723073"/>
    <w:rsid w:val="0072367A"/>
    <w:rsid w:val="00723D6B"/>
    <w:rsid w:val="007240EF"/>
    <w:rsid w:val="00724666"/>
    <w:rsid w:val="00725C8F"/>
    <w:rsid w:val="00726310"/>
    <w:rsid w:val="00726CFF"/>
    <w:rsid w:val="00726F79"/>
    <w:rsid w:val="007270A1"/>
    <w:rsid w:val="0072743A"/>
    <w:rsid w:val="00727E71"/>
    <w:rsid w:val="0073014C"/>
    <w:rsid w:val="007307FB"/>
    <w:rsid w:val="00730ADB"/>
    <w:rsid w:val="00730C37"/>
    <w:rsid w:val="00730F51"/>
    <w:rsid w:val="007314D0"/>
    <w:rsid w:val="00731DE2"/>
    <w:rsid w:val="00731F4E"/>
    <w:rsid w:val="00731F93"/>
    <w:rsid w:val="00732A27"/>
    <w:rsid w:val="00732FAA"/>
    <w:rsid w:val="0073390F"/>
    <w:rsid w:val="00734114"/>
    <w:rsid w:val="00734BAE"/>
    <w:rsid w:val="00734C37"/>
    <w:rsid w:val="007351ED"/>
    <w:rsid w:val="0073559F"/>
    <w:rsid w:val="00736016"/>
    <w:rsid w:val="0073649C"/>
    <w:rsid w:val="00736EB8"/>
    <w:rsid w:val="00736F91"/>
    <w:rsid w:val="00737178"/>
    <w:rsid w:val="007376D0"/>
    <w:rsid w:val="0073771E"/>
    <w:rsid w:val="007377AB"/>
    <w:rsid w:val="00737962"/>
    <w:rsid w:val="00740178"/>
    <w:rsid w:val="00740CD8"/>
    <w:rsid w:val="007419A7"/>
    <w:rsid w:val="00741EA7"/>
    <w:rsid w:val="0074340E"/>
    <w:rsid w:val="00743626"/>
    <w:rsid w:val="00743DF7"/>
    <w:rsid w:val="00744264"/>
    <w:rsid w:val="00744BEC"/>
    <w:rsid w:val="00744C61"/>
    <w:rsid w:val="0074515B"/>
    <w:rsid w:val="007451B4"/>
    <w:rsid w:val="0074559A"/>
    <w:rsid w:val="007455F1"/>
    <w:rsid w:val="007459C4"/>
    <w:rsid w:val="00746C20"/>
    <w:rsid w:val="00746CB8"/>
    <w:rsid w:val="00746DD8"/>
    <w:rsid w:val="00747181"/>
    <w:rsid w:val="00747219"/>
    <w:rsid w:val="00747FCC"/>
    <w:rsid w:val="007500B5"/>
    <w:rsid w:val="007502D4"/>
    <w:rsid w:val="00750A44"/>
    <w:rsid w:val="00751040"/>
    <w:rsid w:val="0075109A"/>
    <w:rsid w:val="00751122"/>
    <w:rsid w:val="007512A6"/>
    <w:rsid w:val="007513D8"/>
    <w:rsid w:val="0075170F"/>
    <w:rsid w:val="007518B3"/>
    <w:rsid w:val="007519E2"/>
    <w:rsid w:val="00752735"/>
    <w:rsid w:val="00752CD9"/>
    <w:rsid w:val="00752E3B"/>
    <w:rsid w:val="007535F9"/>
    <w:rsid w:val="00753607"/>
    <w:rsid w:val="007537C0"/>
    <w:rsid w:val="007538C9"/>
    <w:rsid w:val="007538D9"/>
    <w:rsid w:val="00753B2D"/>
    <w:rsid w:val="00753C3C"/>
    <w:rsid w:val="007546FE"/>
    <w:rsid w:val="00754A1D"/>
    <w:rsid w:val="00754AFF"/>
    <w:rsid w:val="00754DE6"/>
    <w:rsid w:val="00754EAF"/>
    <w:rsid w:val="00754F12"/>
    <w:rsid w:val="00755A29"/>
    <w:rsid w:val="00755BE9"/>
    <w:rsid w:val="00755EA0"/>
    <w:rsid w:val="00756630"/>
    <w:rsid w:val="00756A71"/>
    <w:rsid w:val="00756D04"/>
    <w:rsid w:val="007571BD"/>
    <w:rsid w:val="007578D0"/>
    <w:rsid w:val="0076018A"/>
    <w:rsid w:val="007601B5"/>
    <w:rsid w:val="007603D0"/>
    <w:rsid w:val="007606B2"/>
    <w:rsid w:val="00760921"/>
    <w:rsid w:val="00760EF5"/>
    <w:rsid w:val="0076150D"/>
    <w:rsid w:val="00761B82"/>
    <w:rsid w:val="00761CFE"/>
    <w:rsid w:val="00762236"/>
    <w:rsid w:val="0076268E"/>
    <w:rsid w:val="0076290A"/>
    <w:rsid w:val="0076293F"/>
    <w:rsid w:val="00762E64"/>
    <w:rsid w:val="00763DD7"/>
    <w:rsid w:val="00763F0E"/>
    <w:rsid w:val="00764B51"/>
    <w:rsid w:val="0076504A"/>
    <w:rsid w:val="00765166"/>
    <w:rsid w:val="007653B7"/>
    <w:rsid w:val="007654D4"/>
    <w:rsid w:val="007663B8"/>
    <w:rsid w:val="00766506"/>
    <w:rsid w:val="00766DF1"/>
    <w:rsid w:val="007670B8"/>
    <w:rsid w:val="00767169"/>
    <w:rsid w:val="00767325"/>
    <w:rsid w:val="00767BB9"/>
    <w:rsid w:val="0077110B"/>
    <w:rsid w:val="00771324"/>
    <w:rsid w:val="0077156E"/>
    <w:rsid w:val="0077165B"/>
    <w:rsid w:val="007718E0"/>
    <w:rsid w:val="007721A4"/>
    <w:rsid w:val="007726AF"/>
    <w:rsid w:val="007729BE"/>
    <w:rsid w:val="00773033"/>
    <w:rsid w:val="00773331"/>
    <w:rsid w:val="007734DE"/>
    <w:rsid w:val="007740E3"/>
    <w:rsid w:val="00774265"/>
    <w:rsid w:val="00774484"/>
    <w:rsid w:val="007744C9"/>
    <w:rsid w:val="00774C19"/>
    <w:rsid w:val="0077500A"/>
    <w:rsid w:val="00775EA3"/>
    <w:rsid w:val="00776807"/>
    <w:rsid w:val="007769E3"/>
    <w:rsid w:val="00776A84"/>
    <w:rsid w:val="00776D95"/>
    <w:rsid w:val="00776F96"/>
    <w:rsid w:val="007773BB"/>
    <w:rsid w:val="007805F6"/>
    <w:rsid w:val="0078082C"/>
    <w:rsid w:val="00780D23"/>
    <w:rsid w:val="00781B72"/>
    <w:rsid w:val="00781E2D"/>
    <w:rsid w:val="00781EC7"/>
    <w:rsid w:val="00781FDA"/>
    <w:rsid w:val="00781FE0"/>
    <w:rsid w:val="007821C3"/>
    <w:rsid w:val="00782831"/>
    <w:rsid w:val="00782837"/>
    <w:rsid w:val="007829B0"/>
    <w:rsid w:val="00782A7D"/>
    <w:rsid w:val="00782ABA"/>
    <w:rsid w:val="00782D87"/>
    <w:rsid w:val="00782FFD"/>
    <w:rsid w:val="00783903"/>
    <w:rsid w:val="007841F1"/>
    <w:rsid w:val="0078421E"/>
    <w:rsid w:val="00784326"/>
    <w:rsid w:val="007854C9"/>
    <w:rsid w:val="00785677"/>
    <w:rsid w:val="00785B03"/>
    <w:rsid w:val="00785CDB"/>
    <w:rsid w:val="00786188"/>
    <w:rsid w:val="00786228"/>
    <w:rsid w:val="00786270"/>
    <w:rsid w:val="0078685C"/>
    <w:rsid w:val="00786FDC"/>
    <w:rsid w:val="007872FD"/>
    <w:rsid w:val="007873C3"/>
    <w:rsid w:val="0078791E"/>
    <w:rsid w:val="00787B7F"/>
    <w:rsid w:val="00787B9D"/>
    <w:rsid w:val="00790215"/>
    <w:rsid w:val="007903CB"/>
    <w:rsid w:val="00790487"/>
    <w:rsid w:val="007905F6"/>
    <w:rsid w:val="00790938"/>
    <w:rsid w:val="0079166E"/>
    <w:rsid w:val="007917C3"/>
    <w:rsid w:val="00791C85"/>
    <w:rsid w:val="007921EA"/>
    <w:rsid w:val="007922F1"/>
    <w:rsid w:val="0079275F"/>
    <w:rsid w:val="00792B3E"/>
    <w:rsid w:val="00792FDD"/>
    <w:rsid w:val="007931F9"/>
    <w:rsid w:val="00793285"/>
    <w:rsid w:val="007932EF"/>
    <w:rsid w:val="0079343B"/>
    <w:rsid w:val="00793553"/>
    <w:rsid w:val="0079374C"/>
    <w:rsid w:val="00793859"/>
    <w:rsid w:val="00793885"/>
    <w:rsid w:val="0079393E"/>
    <w:rsid w:val="0079473F"/>
    <w:rsid w:val="007948A1"/>
    <w:rsid w:val="00794C52"/>
    <w:rsid w:val="00794CF1"/>
    <w:rsid w:val="00794F07"/>
    <w:rsid w:val="007952DA"/>
    <w:rsid w:val="007953A3"/>
    <w:rsid w:val="00795E6B"/>
    <w:rsid w:val="00796791"/>
    <w:rsid w:val="0079692C"/>
    <w:rsid w:val="007969D5"/>
    <w:rsid w:val="007969DF"/>
    <w:rsid w:val="00796CBD"/>
    <w:rsid w:val="00796E26"/>
    <w:rsid w:val="007970C3"/>
    <w:rsid w:val="007971BF"/>
    <w:rsid w:val="007976BC"/>
    <w:rsid w:val="00797F12"/>
    <w:rsid w:val="00797F38"/>
    <w:rsid w:val="007A041D"/>
    <w:rsid w:val="007A04DC"/>
    <w:rsid w:val="007A05D3"/>
    <w:rsid w:val="007A0689"/>
    <w:rsid w:val="007A13DA"/>
    <w:rsid w:val="007A19B4"/>
    <w:rsid w:val="007A1A68"/>
    <w:rsid w:val="007A22EB"/>
    <w:rsid w:val="007A296E"/>
    <w:rsid w:val="007A2B01"/>
    <w:rsid w:val="007A2C70"/>
    <w:rsid w:val="007A2F66"/>
    <w:rsid w:val="007A2FED"/>
    <w:rsid w:val="007A2FEF"/>
    <w:rsid w:val="007A33E1"/>
    <w:rsid w:val="007A36FB"/>
    <w:rsid w:val="007A38B9"/>
    <w:rsid w:val="007A3911"/>
    <w:rsid w:val="007A3C45"/>
    <w:rsid w:val="007A4120"/>
    <w:rsid w:val="007A41EB"/>
    <w:rsid w:val="007A482B"/>
    <w:rsid w:val="007A4D19"/>
    <w:rsid w:val="007A5257"/>
    <w:rsid w:val="007A6106"/>
    <w:rsid w:val="007A6177"/>
    <w:rsid w:val="007A634F"/>
    <w:rsid w:val="007A6367"/>
    <w:rsid w:val="007A6563"/>
    <w:rsid w:val="007A67D6"/>
    <w:rsid w:val="007A6AA4"/>
    <w:rsid w:val="007A6AE8"/>
    <w:rsid w:val="007A6C76"/>
    <w:rsid w:val="007A6E55"/>
    <w:rsid w:val="007A6F3D"/>
    <w:rsid w:val="007A7405"/>
    <w:rsid w:val="007A7818"/>
    <w:rsid w:val="007B01CE"/>
    <w:rsid w:val="007B0CC1"/>
    <w:rsid w:val="007B0CD5"/>
    <w:rsid w:val="007B0F08"/>
    <w:rsid w:val="007B10D6"/>
    <w:rsid w:val="007B11ED"/>
    <w:rsid w:val="007B11F9"/>
    <w:rsid w:val="007B166C"/>
    <w:rsid w:val="007B1801"/>
    <w:rsid w:val="007B1E35"/>
    <w:rsid w:val="007B2165"/>
    <w:rsid w:val="007B22DD"/>
    <w:rsid w:val="007B2602"/>
    <w:rsid w:val="007B28E2"/>
    <w:rsid w:val="007B32C8"/>
    <w:rsid w:val="007B3997"/>
    <w:rsid w:val="007B3AE1"/>
    <w:rsid w:val="007B3C37"/>
    <w:rsid w:val="007B3F7A"/>
    <w:rsid w:val="007B4352"/>
    <w:rsid w:val="007B47B2"/>
    <w:rsid w:val="007B4905"/>
    <w:rsid w:val="007B4D1D"/>
    <w:rsid w:val="007B4D9C"/>
    <w:rsid w:val="007B4FEB"/>
    <w:rsid w:val="007B531E"/>
    <w:rsid w:val="007B5D0C"/>
    <w:rsid w:val="007B5DF1"/>
    <w:rsid w:val="007B6191"/>
    <w:rsid w:val="007B62E9"/>
    <w:rsid w:val="007B6536"/>
    <w:rsid w:val="007B6735"/>
    <w:rsid w:val="007B696B"/>
    <w:rsid w:val="007B6A86"/>
    <w:rsid w:val="007B6ADC"/>
    <w:rsid w:val="007B72EF"/>
    <w:rsid w:val="007B778E"/>
    <w:rsid w:val="007B7A29"/>
    <w:rsid w:val="007B7D9E"/>
    <w:rsid w:val="007C01B2"/>
    <w:rsid w:val="007C0599"/>
    <w:rsid w:val="007C0A30"/>
    <w:rsid w:val="007C0ACB"/>
    <w:rsid w:val="007C0E4D"/>
    <w:rsid w:val="007C1064"/>
    <w:rsid w:val="007C1701"/>
    <w:rsid w:val="007C18FA"/>
    <w:rsid w:val="007C2262"/>
    <w:rsid w:val="007C29B5"/>
    <w:rsid w:val="007C2AE1"/>
    <w:rsid w:val="007C2C70"/>
    <w:rsid w:val="007C3236"/>
    <w:rsid w:val="007C3996"/>
    <w:rsid w:val="007C40A2"/>
    <w:rsid w:val="007C4953"/>
    <w:rsid w:val="007C4DD6"/>
    <w:rsid w:val="007C4FFB"/>
    <w:rsid w:val="007C53A2"/>
    <w:rsid w:val="007C57AA"/>
    <w:rsid w:val="007C6A65"/>
    <w:rsid w:val="007C716E"/>
    <w:rsid w:val="007C77A4"/>
    <w:rsid w:val="007C7BAA"/>
    <w:rsid w:val="007C7ECD"/>
    <w:rsid w:val="007D0152"/>
    <w:rsid w:val="007D0519"/>
    <w:rsid w:val="007D067A"/>
    <w:rsid w:val="007D0A59"/>
    <w:rsid w:val="007D0BDC"/>
    <w:rsid w:val="007D0E19"/>
    <w:rsid w:val="007D15D5"/>
    <w:rsid w:val="007D1AE7"/>
    <w:rsid w:val="007D215E"/>
    <w:rsid w:val="007D2691"/>
    <w:rsid w:val="007D279E"/>
    <w:rsid w:val="007D279F"/>
    <w:rsid w:val="007D29D0"/>
    <w:rsid w:val="007D31B9"/>
    <w:rsid w:val="007D3621"/>
    <w:rsid w:val="007D3AE7"/>
    <w:rsid w:val="007D3EC0"/>
    <w:rsid w:val="007D43AA"/>
    <w:rsid w:val="007D4699"/>
    <w:rsid w:val="007D47D3"/>
    <w:rsid w:val="007D491B"/>
    <w:rsid w:val="007D4F71"/>
    <w:rsid w:val="007D509F"/>
    <w:rsid w:val="007D514E"/>
    <w:rsid w:val="007D54F3"/>
    <w:rsid w:val="007D5D7A"/>
    <w:rsid w:val="007D5DAB"/>
    <w:rsid w:val="007D60EF"/>
    <w:rsid w:val="007D6270"/>
    <w:rsid w:val="007D66BB"/>
    <w:rsid w:val="007D66C1"/>
    <w:rsid w:val="007D6D0C"/>
    <w:rsid w:val="007D6F74"/>
    <w:rsid w:val="007D7062"/>
    <w:rsid w:val="007D7673"/>
    <w:rsid w:val="007D776A"/>
    <w:rsid w:val="007D7AA4"/>
    <w:rsid w:val="007E005F"/>
    <w:rsid w:val="007E009C"/>
    <w:rsid w:val="007E02DC"/>
    <w:rsid w:val="007E02EF"/>
    <w:rsid w:val="007E05B0"/>
    <w:rsid w:val="007E0607"/>
    <w:rsid w:val="007E08DD"/>
    <w:rsid w:val="007E111C"/>
    <w:rsid w:val="007E1AA1"/>
    <w:rsid w:val="007E1EE3"/>
    <w:rsid w:val="007E2145"/>
    <w:rsid w:val="007E21CC"/>
    <w:rsid w:val="007E2848"/>
    <w:rsid w:val="007E3275"/>
    <w:rsid w:val="007E3D6B"/>
    <w:rsid w:val="007E3DEC"/>
    <w:rsid w:val="007E403B"/>
    <w:rsid w:val="007E4702"/>
    <w:rsid w:val="007E5209"/>
    <w:rsid w:val="007E5A1F"/>
    <w:rsid w:val="007E5D2D"/>
    <w:rsid w:val="007E5D88"/>
    <w:rsid w:val="007E5DAA"/>
    <w:rsid w:val="007E5EB6"/>
    <w:rsid w:val="007E61F8"/>
    <w:rsid w:val="007E696F"/>
    <w:rsid w:val="007E6C3E"/>
    <w:rsid w:val="007E6E5C"/>
    <w:rsid w:val="007E7C71"/>
    <w:rsid w:val="007F0047"/>
    <w:rsid w:val="007F0341"/>
    <w:rsid w:val="007F0526"/>
    <w:rsid w:val="007F0BCA"/>
    <w:rsid w:val="007F0EE2"/>
    <w:rsid w:val="007F158C"/>
    <w:rsid w:val="007F1754"/>
    <w:rsid w:val="007F1A45"/>
    <w:rsid w:val="007F1CB1"/>
    <w:rsid w:val="007F1FC1"/>
    <w:rsid w:val="007F23E5"/>
    <w:rsid w:val="007F28AA"/>
    <w:rsid w:val="007F2A39"/>
    <w:rsid w:val="007F2DF4"/>
    <w:rsid w:val="007F3ABA"/>
    <w:rsid w:val="007F3F61"/>
    <w:rsid w:val="007F4015"/>
    <w:rsid w:val="007F46DE"/>
    <w:rsid w:val="007F4B74"/>
    <w:rsid w:val="007F4C7C"/>
    <w:rsid w:val="007F52CE"/>
    <w:rsid w:val="007F5568"/>
    <w:rsid w:val="007F614B"/>
    <w:rsid w:val="007F62E9"/>
    <w:rsid w:val="007F6388"/>
    <w:rsid w:val="007F63E2"/>
    <w:rsid w:val="007F741D"/>
    <w:rsid w:val="007F7588"/>
    <w:rsid w:val="007F7CC8"/>
    <w:rsid w:val="00800080"/>
    <w:rsid w:val="00800287"/>
    <w:rsid w:val="008005C7"/>
    <w:rsid w:val="008006B5"/>
    <w:rsid w:val="00800894"/>
    <w:rsid w:val="00800949"/>
    <w:rsid w:val="00800C6E"/>
    <w:rsid w:val="00800F6F"/>
    <w:rsid w:val="0080143D"/>
    <w:rsid w:val="00801995"/>
    <w:rsid w:val="00801DE3"/>
    <w:rsid w:val="00801EB0"/>
    <w:rsid w:val="0080221A"/>
    <w:rsid w:val="00802931"/>
    <w:rsid w:val="00802975"/>
    <w:rsid w:val="00802A25"/>
    <w:rsid w:val="00802F23"/>
    <w:rsid w:val="00803755"/>
    <w:rsid w:val="00803C90"/>
    <w:rsid w:val="00803F50"/>
    <w:rsid w:val="0080422C"/>
    <w:rsid w:val="00804A17"/>
    <w:rsid w:val="00804EC9"/>
    <w:rsid w:val="00805344"/>
    <w:rsid w:val="00805AB2"/>
    <w:rsid w:val="00805AF5"/>
    <w:rsid w:val="00805B4D"/>
    <w:rsid w:val="0080606A"/>
    <w:rsid w:val="0080616E"/>
    <w:rsid w:val="00806396"/>
    <w:rsid w:val="00806706"/>
    <w:rsid w:val="0080679A"/>
    <w:rsid w:val="00806867"/>
    <w:rsid w:val="008068D3"/>
    <w:rsid w:val="00807112"/>
    <w:rsid w:val="00807360"/>
    <w:rsid w:val="008075A9"/>
    <w:rsid w:val="008078D9"/>
    <w:rsid w:val="00807EDA"/>
    <w:rsid w:val="00807EFA"/>
    <w:rsid w:val="008101CF"/>
    <w:rsid w:val="00810581"/>
    <w:rsid w:val="0081091E"/>
    <w:rsid w:val="00810FE0"/>
    <w:rsid w:val="0081128B"/>
    <w:rsid w:val="00811333"/>
    <w:rsid w:val="008124D5"/>
    <w:rsid w:val="0081260B"/>
    <w:rsid w:val="008130E1"/>
    <w:rsid w:val="008136E5"/>
    <w:rsid w:val="00813CC5"/>
    <w:rsid w:val="0081410D"/>
    <w:rsid w:val="00814260"/>
    <w:rsid w:val="008142CA"/>
    <w:rsid w:val="0081433A"/>
    <w:rsid w:val="008146D9"/>
    <w:rsid w:val="00814979"/>
    <w:rsid w:val="00815384"/>
    <w:rsid w:val="00815C43"/>
    <w:rsid w:val="00815D86"/>
    <w:rsid w:val="00815E40"/>
    <w:rsid w:val="00816189"/>
    <w:rsid w:val="008164A5"/>
    <w:rsid w:val="00816578"/>
    <w:rsid w:val="00816B0E"/>
    <w:rsid w:val="008170C7"/>
    <w:rsid w:val="008171F7"/>
    <w:rsid w:val="0082018A"/>
    <w:rsid w:val="008204C3"/>
    <w:rsid w:val="00820537"/>
    <w:rsid w:val="008205D8"/>
    <w:rsid w:val="00820E9A"/>
    <w:rsid w:val="008215AB"/>
    <w:rsid w:val="0082194E"/>
    <w:rsid w:val="00822185"/>
    <w:rsid w:val="00823695"/>
    <w:rsid w:val="008236A6"/>
    <w:rsid w:val="008238FA"/>
    <w:rsid w:val="008240C3"/>
    <w:rsid w:val="00824994"/>
    <w:rsid w:val="00824BE3"/>
    <w:rsid w:val="00824D06"/>
    <w:rsid w:val="00824E60"/>
    <w:rsid w:val="00824F61"/>
    <w:rsid w:val="008260B3"/>
    <w:rsid w:val="008262DD"/>
    <w:rsid w:val="00826606"/>
    <w:rsid w:val="008266D5"/>
    <w:rsid w:val="008269E7"/>
    <w:rsid w:val="00826FDF"/>
    <w:rsid w:val="008275A5"/>
    <w:rsid w:val="00827670"/>
    <w:rsid w:val="00827727"/>
    <w:rsid w:val="00827B27"/>
    <w:rsid w:val="00827BEC"/>
    <w:rsid w:val="00827C14"/>
    <w:rsid w:val="00830341"/>
    <w:rsid w:val="008303BC"/>
    <w:rsid w:val="00830E26"/>
    <w:rsid w:val="00831194"/>
    <w:rsid w:val="00831401"/>
    <w:rsid w:val="0083150A"/>
    <w:rsid w:val="00831CBD"/>
    <w:rsid w:val="00831EF4"/>
    <w:rsid w:val="008325C9"/>
    <w:rsid w:val="00832ABC"/>
    <w:rsid w:val="00832CE4"/>
    <w:rsid w:val="00833340"/>
    <w:rsid w:val="00833C9E"/>
    <w:rsid w:val="00833EE9"/>
    <w:rsid w:val="00833F67"/>
    <w:rsid w:val="008341A8"/>
    <w:rsid w:val="0083462E"/>
    <w:rsid w:val="008349BD"/>
    <w:rsid w:val="00834B3F"/>
    <w:rsid w:val="008350EF"/>
    <w:rsid w:val="00835538"/>
    <w:rsid w:val="008355B2"/>
    <w:rsid w:val="00835A4C"/>
    <w:rsid w:val="00835B04"/>
    <w:rsid w:val="00835CCC"/>
    <w:rsid w:val="00836837"/>
    <w:rsid w:val="00836B4B"/>
    <w:rsid w:val="008371F3"/>
    <w:rsid w:val="00837285"/>
    <w:rsid w:val="00837605"/>
    <w:rsid w:val="0083763C"/>
    <w:rsid w:val="0083774F"/>
    <w:rsid w:val="00837C76"/>
    <w:rsid w:val="00837FB6"/>
    <w:rsid w:val="008405A4"/>
    <w:rsid w:val="008405BE"/>
    <w:rsid w:val="0084063E"/>
    <w:rsid w:val="00840837"/>
    <w:rsid w:val="0084143E"/>
    <w:rsid w:val="008415F2"/>
    <w:rsid w:val="00841E45"/>
    <w:rsid w:val="008420B1"/>
    <w:rsid w:val="0084238A"/>
    <w:rsid w:val="00842C65"/>
    <w:rsid w:val="00842E14"/>
    <w:rsid w:val="008431D1"/>
    <w:rsid w:val="00843345"/>
    <w:rsid w:val="0084365E"/>
    <w:rsid w:val="00844372"/>
    <w:rsid w:val="008443EA"/>
    <w:rsid w:val="00844828"/>
    <w:rsid w:val="00844D02"/>
    <w:rsid w:val="008453D1"/>
    <w:rsid w:val="008456EF"/>
    <w:rsid w:val="00845B07"/>
    <w:rsid w:val="00845E38"/>
    <w:rsid w:val="008461D6"/>
    <w:rsid w:val="008466B5"/>
    <w:rsid w:val="0084677F"/>
    <w:rsid w:val="00846B10"/>
    <w:rsid w:val="00846B71"/>
    <w:rsid w:val="00846BE1"/>
    <w:rsid w:val="00846D14"/>
    <w:rsid w:val="00847266"/>
    <w:rsid w:val="00847590"/>
    <w:rsid w:val="008477A5"/>
    <w:rsid w:val="0084796F"/>
    <w:rsid w:val="00847DC5"/>
    <w:rsid w:val="0085001D"/>
    <w:rsid w:val="00850026"/>
    <w:rsid w:val="00850072"/>
    <w:rsid w:val="00850211"/>
    <w:rsid w:val="00850B7B"/>
    <w:rsid w:val="00851296"/>
    <w:rsid w:val="00851376"/>
    <w:rsid w:val="00852007"/>
    <w:rsid w:val="00852251"/>
    <w:rsid w:val="00852270"/>
    <w:rsid w:val="0085231B"/>
    <w:rsid w:val="00852965"/>
    <w:rsid w:val="00852A6C"/>
    <w:rsid w:val="00852FDB"/>
    <w:rsid w:val="00853CCA"/>
    <w:rsid w:val="00853D47"/>
    <w:rsid w:val="008543A0"/>
    <w:rsid w:val="00854C55"/>
    <w:rsid w:val="00854D66"/>
    <w:rsid w:val="00854DDC"/>
    <w:rsid w:val="008554E1"/>
    <w:rsid w:val="00855570"/>
    <w:rsid w:val="00855756"/>
    <w:rsid w:val="00855936"/>
    <w:rsid w:val="00855A6C"/>
    <w:rsid w:val="00855BE8"/>
    <w:rsid w:val="00856182"/>
    <w:rsid w:val="008567DA"/>
    <w:rsid w:val="0085766C"/>
    <w:rsid w:val="008576EE"/>
    <w:rsid w:val="00857967"/>
    <w:rsid w:val="0085798E"/>
    <w:rsid w:val="00857AF9"/>
    <w:rsid w:val="00857BEB"/>
    <w:rsid w:val="00857FBF"/>
    <w:rsid w:val="00857FCC"/>
    <w:rsid w:val="00860250"/>
    <w:rsid w:val="00860335"/>
    <w:rsid w:val="008603BC"/>
    <w:rsid w:val="008606F2"/>
    <w:rsid w:val="00860912"/>
    <w:rsid w:val="00860FB3"/>
    <w:rsid w:val="00861069"/>
    <w:rsid w:val="008617BF"/>
    <w:rsid w:val="008617F7"/>
    <w:rsid w:val="008619C6"/>
    <w:rsid w:val="00861F7F"/>
    <w:rsid w:val="00861FD2"/>
    <w:rsid w:val="00862084"/>
    <w:rsid w:val="008632E3"/>
    <w:rsid w:val="00863FA0"/>
    <w:rsid w:val="00864304"/>
    <w:rsid w:val="0086440F"/>
    <w:rsid w:val="00864624"/>
    <w:rsid w:val="00864E12"/>
    <w:rsid w:val="00865346"/>
    <w:rsid w:val="008655EC"/>
    <w:rsid w:val="00866080"/>
    <w:rsid w:val="008660A8"/>
    <w:rsid w:val="008662D6"/>
    <w:rsid w:val="008667A7"/>
    <w:rsid w:val="00866829"/>
    <w:rsid w:val="0086697C"/>
    <w:rsid w:val="00866B3E"/>
    <w:rsid w:val="00866CAC"/>
    <w:rsid w:val="00866F9A"/>
    <w:rsid w:val="00867C35"/>
    <w:rsid w:val="00870CF0"/>
    <w:rsid w:val="00871088"/>
    <w:rsid w:val="00871551"/>
    <w:rsid w:val="008715D3"/>
    <w:rsid w:val="00871C2B"/>
    <w:rsid w:val="0087216D"/>
    <w:rsid w:val="008722DE"/>
    <w:rsid w:val="008724B8"/>
    <w:rsid w:val="00873259"/>
    <w:rsid w:val="008733B7"/>
    <w:rsid w:val="00873767"/>
    <w:rsid w:val="008738D5"/>
    <w:rsid w:val="00873DCA"/>
    <w:rsid w:val="00873F35"/>
    <w:rsid w:val="00873F7E"/>
    <w:rsid w:val="0087400F"/>
    <w:rsid w:val="00874167"/>
    <w:rsid w:val="00874241"/>
    <w:rsid w:val="0087436E"/>
    <w:rsid w:val="00874427"/>
    <w:rsid w:val="00874687"/>
    <w:rsid w:val="00874A08"/>
    <w:rsid w:val="00874D22"/>
    <w:rsid w:val="00874EAB"/>
    <w:rsid w:val="00874FBE"/>
    <w:rsid w:val="0087508D"/>
    <w:rsid w:val="00875594"/>
    <w:rsid w:val="008756F2"/>
    <w:rsid w:val="008758BF"/>
    <w:rsid w:val="00875D6E"/>
    <w:rsid w:val="00876008"/>
    <w:rsid w:val="00876314"/>
    <w:rsid w:val="00876377"/>
    <w:rsid w:val="008769C7"/>
    <w:rsid w:val="00876A2B"/>
    <w:rsid w:val="008800C2"/>
    <w:rsid w:val="0088178C"/>
    <w:rsid w:val="0088194E"/>
    <w:rsid w:val="008820AB"/>
    <w:rsid w:val="00882474"/>
    <w:rsid w:val="00882C62"/>
    <w:rsid w:val="00883008"/>
    <w:rsid w:val="00883DEE"/>
    <w:rsid w:val="00883F99"/>
    <w:rsid w:val="00884376"/>
    <w:rsid w:val="00884A2A"/>
    <w:rsid w:val="00884C00"/>
    <w:rsid w:val="00884FE7"/>
    <w:rsid w:val="00885B55"/>
    <w:rsid w:val="00885CA3"/>
    <w:rsid w:val="008864B7"/>
    <w:rsid w:val="0088656C"/>
    <w:rsid w:val="00886855"/>
    <w:rsid w:val="008869B1"/>
    <w:rsid w:val="00886A3A"/>
    <w:rsid w:val="00886B81"/>
    <w:rsid w:val="00886CF1"/>
    <w:rsid w:val="00886D60"/>
    <w:rsid w:val="00887B7C"/>
    <w:rsid w:val="00887E6C"/>
    <w:rsid w:val="008900A2"/>
    <w:rsid w:val="0089050E"/>
    <w:rsid w:val="00890A5D"/>
    <w:rsid w:val="00891678"/>
    <w:rsid w:val="00891743"/>
    <w:rsid w:val="00891B45"/>
    <w:rsid w:val="00891F18"/>
    <w:rsid w:val="00891F67"/>
    <w:rsid w:val="0089207E"/>
    <w:rsid w:val="00892DBA"/>
    <w:rsid w:val="0089355D"/>
    <w:rsid w:val="00893D5D"/>
    <w:rsid w:val="00893E17"/>
    <w:rsid w:val="008940CA"/>
    <w:rsid w:val="0089472E"/>
    <w:rsid w:val="008949B7"/>
    <w:rsid w:val="008954D2"/>
    <w:rsid w:val="00896193"/>
    <w:rsid w:val="00896B95"/>
    <w:rsid w:val="00897282"/>
    <w:rsid w:val="008975BA"/>
    <w:rsid w:val="008978E0"/>
    <w:rsid w:val="00897B77"/>
    <w:rsid w:val="008A1022"/>
    <w:rsid w:val="008A152B"/>
    <w:rsid w:val="008A15EE"/>
    <w:rsid w:val="008A1A46"/>
    <w:rsid w:val="008A1B61"/>
    <w:rsid w:val="008A289F"/>
    <w:rsid w:val="008A2914"/>
    <w:rsid w:val="008A29C2"/>
    <w:rsid w:val="008A2E04"/>
    <w:rsid w:val="008A2FB4"/>
    <w:rsid w:val="008A3088"/>
    <w:rsid w:val="008A3690"/>
    <w:rsid w:val="008A3C1C"/>
    <w:rsid w:val="008A3DEB"/>
    <w:rsid w:val="008A3E45"/>
    <w:rsid w:val="008A3F04"/>
    <w:rsid w:val="008A471F"/>
    <w:rsid w:val="008A4849"/>
    <w:rsid w:val="008A498B"/>
    <w:rsid w:val="008A4C3E"/>
    <w:rsid w:val="008A5212"/>
    <w:rsid w:val="008A5646"/>
    <w:rsid w:val="008A5900"/>
    <w:rsid w:val="008A5C30"/>
    <w:rsid w:val="008A60EC"/>
    <w:rsid w:val="008A6117"/>
    <w:rsid w:val="008A6867"/>
    <w:rsid w:val="008A69DC"/>
    <w:rsid w:val="008A6B5F"/>
    <w:rsid w:val="008A6BB4"/>
    <w:rsid w:val="008A6FEB"/>
    <w:rsid w:val="008A70AA"/>
    <w:rsid w:val="008A74C1"/>
    <w:rsid w:val="008A758E"/>
    <w:rsid w:val="008A75C5"/>
    <w:rsid w:val="008B06CD"/>
    <w:rsid w:val="008B0972"/>
    <w:rsid w:val="008B09C8"/>
    <w:rsid w:val="008B0F1C"/>
    <w:rsid w:val="008B26ED"/>
    <w:rsid w:val="008B27CE"/>
    <w:rsid w:val="008B27E0"/>
    <w:rsid w:val="008B285E"/>
    <w:rsid w:val="008B3886"/>
    <w:rsid w:val="008B397E"/>
    <w:rsid w:val="008B45EE"/>
    <w:rsid w:val="008B523D"/>
    <w:rsid w:val="008B5C80"/>
    <w:rsid w:val="008B618B"/>
    <w:rsid w:val="008B6640"/>
    <w:rsid w:val="008B66FC"/>
    <w:rsid w:val="008B6B7D"/>
    <w:rsid w:val="008B6CEA"/>
    <w:rsid w:val="008B738D"/>
    <w:rsid w:val="008B76AD"/>
    <w:rsid w:val="008B7772"/>
    <w:rsid w:val="008B79AF"/>
    <w:rsid w:val="008B7C6C"/>
    <w:rsid w:val="008B7F0F"/>
    <w:rsid w:val="008C00A3"/>
    <w:rsid w:val="008C0570"/>
    <w:rsid w:val="008C06B5"/>
    <w:rsid w:val="008C06E5"/>
    <w:rsid w:val="008C0767"/>
    <w:rsid w:val="008C0DC4"/>
    <w:rsid w:val="008C0E96"/>
    <w:rsid w:val="008C0FC6"/>
    <w:rsid w:val="008C1363"/>
    <w:rsid w:val="008C13D8"/>
    <w:rsid w:val="008C154B"/>
    <w:rsid w:val="008C20BF"/>
    <w:rsid w:val="008C2581"/>
    <w:rsid w:val="008C27E7"/>
    <w:rsid w:val="008C280E"/>
    <w:rsid w:val="008C296A"/>
    <w:rsid w:val="008C2FBE"/>
    <w:rsid w:val="008C304D"/>
    <w:rsid w:val="008C3BB0"/>
    <w:rsid w:val="008C3F0F"/>
    <w:rsid w:val="008C436C"/>
    <w:rsid w:val="008C4B2A"/>
    <w:rsid w:val="008C4CC1"/>
    <w:rsid w:val="008C5622"/>
    <w:rsid w:val="008C5AB8"/>
    <w:rsid w:val="008C5AF7"/>
    <w:rsid w:val="008C5B26"/>
    <w:rsid w:val="008C62A8"/>
    <w:rsid w:val="008C6306"/>
    <w:rsid w:val="008C639B"/>
    <w:rsid w:val="008C6568"/>
    <w:rsid w:val="008C67A9"/>
    <w:rsid w:val="008C6993"/>
    <w:rsid w:val="008C7126"/>
    <w:rsid w:val="008C7990"/>
    <w:rsid w:val="008C7B20"/>
    <w:rsid w:val="008C7BB1"/>
    <w:rsid w:val="008C7F9A"/>
    <w:rsid w:val="008D0749"/>
    <w:rsid w:val="008D07B4"/>
    <w:rsid w:val="008D095C"/>
    <w:rsid w:val="008D0EC0"/>
    <w:rsid w:val="008D0F08"/>
    <w:rsid w:val="008D11DB"/>
    <w:rsid w:val="008D12E3"/>
    <w:rsid w:val="008D13F1"/>
    <w:rsid w:val="008D1AE7"/>
    <w:rsid w:val="008D1C7F"/>
    <w:rsid w:val="008D1E70"/>
    <w:rsid w:val="008D20B7"/>
    <w:rsid w:val="008D294A"/>
    <w:rsid w:val="008D2B6B"/>
    <w:rsid w:val="008D2F94"/>
    <w:rsid w:val="008D42DF"/>
    <w:rsid w:val="008D449B"/>
    <w:rsid w:val="008D4A1B"/>
    <w:rsid w:val="008D4CAE"/>
    <w:rsid w:val="008D5BE8"/>
    <w:rsid w:val="008D6247"/>
    <w:rsid w:val="008D6284"/>
    <w:rsid w:val="008D637A"/>
    <w:rsid w:val="008D64B0"/>
    <w:rsid w:val="008D6A29"/>
    <w:rsid w:val="008D6DF4"/>
    <w:rsid w:val="008D715E"/>
    <w:rsid w:val="008D764D"/>
    <w:rsid w:val="008E045A"/>
    <w:rsid w:val="008E097E"/>
    <w:rsid w:val="008E1072"/>
    <w:rsid w:val="008E1522"/>
    <w:rsid w:val="008E1585"/>
    <w:rsid w:val="008E1C6A"/>
    <w:rsid w:val="008E26B7"/>
    <w:rsid w:val="008E2A6D"/>
    <w:rsid w:val="008E2E31"/>
    <w:rsid w:val="008E2F58"/>
    <w:rsid w:val="008E3962"/>
    <w:rsid w:val="008E3F68"/>
    <w:rsid w:val="008E3FA6"/>
    <w:rsid w:val="008E432B"/>
    <w:rsid w:val="008E45B6"/>
    <w:rsid w:val="008E4B2D"/>
    <w:rsid w:val="008E4D8E"/>
    <w:rsid w:val="008E54DC"/>
    <w:rsid w:val="008E5831"/>
    <w:rsid w:val="008E5851"/>
    <w:rsid w:val="008E5B4E"/>
    <w:rsid w:val="008E6133"/>
    <w:rsid w:val="008E613C"/>
    <w:rsid w:val="008E65C8"/>
    <w:rsid w:val="008E6840"/>
    <w:rsid w:val="008E6E69"/>
    <w:rsid w:val="008E70F7"/>
    <w:rsid w:val="008E7615"/>
    <w:rsid w:val="008E7B7A"/>
    <w:rsid w:val="008F012B"/>
    <w:rsid w:val="008F0A97"/>
    <w:rsid w:val="008F124B"/>
    <w:rsid w:val="008F171D"/>
    <w:rsid w:val="008F1800"/>
    <w:rsid w:val="008F2240"/>
    <w:rsid w:val="008F23C3"/>
    <w:rsid w:val="008F23EB"/>
    <w:rsid w:val="008F2630"/>
    <w:rsid w:val="008F2D7A"/>
    <w:rsid w:val="008F330E"/>
    <w:rsid w:val="008F3355"/>
    <w:rsid w:val="008F4407"/>
    <w:rsid w:val="008F443E"/>
    <w:rsid w:val="008F4857"/>
    <w:rsid w:val="008F4E4A"/>
    <w:rsid w:val="008F5363"/>
    <w:rsid w:val="008F5560"/>
    <w:rsid w:val="008F557E"/>
    <w:rsid w:val="008F5688"/>
    <w:rsid w:val="008F5AAF"/>
    <w:rsid w:val="008F5F91"/>
    <w:rsid w:val="008F68A7"/>
    <w:rsid w:val="008F69BF"/>
    <w:rsid w:val="008F6B2F"/>
    <w:rsid w:val="008F6F77"/>
    <w:rsid w:val="008F70BC"/>
    <w:rsid w:val="008F7653"/>
    <w:rsid w:val="008F7CD7"/>
    <w:rsid w:val="008F7E07"/>
    <w:rsid w:val="00900535"/>
    <w:rsid w:val="009005A2"/>
    <w:rsid w:val="00900757"/>
    <w:rsid w:val="00900936"/>
    <w:rsid w:val="00900B1F"/>
    <w:rsid w:val="00901009"/>
    <w:rsid w:val="009012F1"/>
    <w:rsid w:val="00901CD0"/>
    <w:rsid w:val="00901D37"/>
    <w:rsid w:val="00901F1C"/>
    <w:rsid w:val="009021F0"/>
    <w:rsid w:val="00902674"/>
    <w:rsid w:val="0090279D"/>
    <w:rsid w:val="00902970"/>
    <w:rsid w:val="00902D21"/>
    <w:rsid w:val="009030EB"/>
    <w:rsid w:val="009033B4"/>
    <w:rsid w:val="0090343D"/>
    <w:rsid w:val="00903467"/>
    <w:rsid w:val="0090348A"/>
    <w:rsid w:val="00903C0F"/>
    <w:rsid w:val="00903E1F"/>
    <w:rsid w:val="00905004"/>
    <w:rsid w:val="0090535C"/>
    <w:rsid w:val="00905AEE"/>
    <w:rsid w:val="00905BF4"/>
    <w:rsid w:val="00905CD4"/>
    <w:rsid w:val="00905D5C"/>
    <w:rsid w:val="00905F00"/>
    <w:rsid w:val="00906FC6"/>
    <w:rsid w:val="00907290"/>
    <w:rsid w:val="00907446"/>
    <w:rsid w:val="009077B5"/>
    <w:rsid w:val="00907E70"/>
    <w:rsid w:val="009100E8"/>
    <w:rsid w:val="0091037A"/>
    <w:rsid w:val="009103BF"/>
    <w:rsid w:val="009103CF"/>
    <w:rsid w:val="009104C5"/>
    <w:rsid w:val="00910836"/>
    <w:rsid w:val="00910B44"/>
    <w:rsid w:val="00910E39"/>
    <w:rsid w:val="00911667"/>
    <w:rsid w:val="00911CB6"/>
    <w:rsid w:val="00912558"/>
    <w:rsid w:val="00912679"/>
    <w:rsid w:val="00912811"/>
    <w:rsid w:val="009129E7"/>
    <w:rsid w:val="00912AB9"/>
    <w:rsid w:val="00912C58"/>
    <w:rsid w:val="00913021"/>
    <w:rsid w:val="00913305"/>
    <w:rsid w:val="009137D9"/>
    <w:rsid w:val="00913BB0"/>
    <w:rsid w:val="00913C36"/>
    <w:rsid w:val="00913FA4"/>
    <w:rsid w:val="009140A0"/>
    <w:rsid w:val="00914B4A"/>
    <w:rsid w:val="00914E9E"/>
    <w:rsid w:val="00914FAF"/>
    <w:rsid w:val="0091508B"/>
    <w:rsid w:val="00915B21"/>
    <w:rsid w:val="00915BA4"/>
    <w:rsid w:val="00916078"/>
    <w:rsid w:val="009160D8"/>
    <w:rsid w:val="009165D0"/>
    <w:rsid w:val="0091674F"/>
    <w:rsid w:val="00916836"/>
    <w:rsid w:val="00916940"/>
    <w:rsid w:val="00916BA9"/>
    <w:rsid w:val="009171BA"/>
    <w:rsid w:val="00917CDF"/>
    <w:rsid w:val="00917E6F"/>
    <w:rsid w:val="00917F8F"/>
    <w:rsid w:val="009201AE"/>
    <w:rsid w:val="00920205"/>
    <w:rsid w:val="00920415"/>
    <w:rsid w:val="00920B92"/>
    <w:rsid w:val="00920CE9"/>
    <w:rsid w:val="00920D8E"/>
    <w:rsid w:val="0092103E"/>
    <w:rsid w:val="00921C31"/>
    <w:rsid w:val="009222D2"/>
    <w:rsid w:val="009229D1"/>
    <w:rsid w:val="0092357A"/>
    <w:rsid w:val="00923A34"/>
    <w:rsid w:val="00923CB1"/>
    <w:rsid w:val="0092426C"/>
    <w:rsid w:val="009246D5"/>
    <w:rsid w:val="00925CDB"/>
    <w:rsid w:val="009260F1"/>
    <w:rsid w:val="009263EB"/>
    <w:rsid w:val="009266A4"/>
    <w:rsid w:val="00926D8C"/>
    <w:rsid w:val="00926E91"/>
    <w:rsid w:val="009270A2"/>
    <w:rsid w:val="00927A97"/>
    <w:rsid w:val="00927B6F"/>
    <w:rsid w:val="0093076A"/>
    <w:rsid w:val="00930855"/>
    <w:rsid w:val="00930B6B"/>
    <w:rsid w:val="00930DA8"/>
    <w:rsid w:val="0093131A"/>
    <w:rsid w:val="009315C8"/>
    <w:rsid w:val="0093183E"/>
    <w:rsid w:val="009323BF"/>
    <w:rsid w:val="009323FA"/>
    <w:rsid w:val="009325A5"/>
    <w:rsid w:val="00932D60"/>
    <w:rsid w:val="0093357B"/>
    <w:rsid w:val="009339F4"/>
    <w:rsid w:val="00934BA3"/>
    <w:rsid w:val="00934C0B"/>
    <w:rsid w:val="00934E8B"/>
    <w:rsid w:val="00935C9A"/>
    <w:rsid w:val="009360DE"/>
    <w:rsid w:val="00936143"/>
    <w:rsid w:val="00936F6C"/>
    <w:rsid w:val="0093758B"/>
    <w:rsid w:val="00937650"/>
    <w:rsid w:val="00940957"/>
    <w:rsid w:val="00940A67"/>
    <w:rsid w:val="00940FF2"/>
    <w:rsid w:val="00941193"/>
    <w:rsid w:val="009412DD"/>
    <w:rsid w:val="009414B9"/>
    <w:rsid w:val="00941943"/>
    <w:rsid w:val="00941AAA"/>
    <w:rsid w:val="00941B43"/>
    <w:rsid w:val="0094309E"/>
    <w:rsid w:val="0094341F"/>
    <w:rsid w:val="00943731"/>
    <w:rsid w:val="00943B28"/>
    <w:rsid w:val="0094407C"/>
    <w:rsid w:val="0094419C"/>
    <w:rsid w:val="00944227"/>
    <w:rsid w:val="00944473"/>
    <w:rsid w:val="00944492"/>
    <w:rsid w:val="00944A3C"/>
    <w:rsid w:val="00944CB1"/>
    <w:rsid w:val="00945665"/>
    <w:rsid w:val="0094570C"/>
    <w:rsid w:val="009459DA"/>
    <w:rsid w:val="00945A8C"/>
    <w:rsid w:val="00945C54"/>
    <w:rsid w:val="009464FC"/>
    <w:rsid w:val="009465A9"/>
    <w:rsid w:val="00946DA1"/>
    <w:rsid w:val="00946E78"/>
    <w:rsid w:val="0094780A"/>
    <w:rsid w:val="00947F78"/>
    <w:rsid w:val="00947F7D"/>
    <w:rsid w:val="00947FD4"/>
    <w:rsid w:val="0095001D"/>
    <w:rsid w:val="009500C6"/>
    <w:rsid w:val="00950133"/>
    <w:rsid w:val="00950A08"/>
    <w:rsid w:val="0095108D"/>
    <w:rsid w:val="009510A6"/>
    <w:rsid w:val="009510F9"/>
    <w:rsid w:val="00951348"/>
    <w:rsid w:val="009519DB"/>
    <w:rsid w:val="00951ACE"/>
    <w:rsid w:val="00951BE1"/>
    <w:rsid w:val="009521DD"/>
    <w:rsid w:val="0095244E"/>
    <w:rsid w:val="00952992"/>
    <w:rsid w:val="00953201"/>
    <w:rsid w:val="00953347"/>
    <w:rsid w:val="009539D6"/>
    <w:rsid w:val="00953F3E"/>
    <w:rsid w:val="009540A1"/>
    <w:rsid w:val="009541FC"/>
    <w:rsid w:val="00954411"/>
    <w:rsid w:val="00954448"/>
    <w:rsid w:val="0095453D"/>
    <w:rsid w:val="0095494B"/>
    <w:rsid w:val="00954C7F"/>
    <w:rsid w:val="00954E8F"/>
    <w:rsid w:val="00954F4B"/>
    <w:rsid w:val="00955890"/>
    <w:rsid w:val="00955D23"/>
    <w:rsid w:val="00955EAC"/>
    <w:rsid w:val="00955F0D"/>
    <w:rsid w:val="009561A5"/>
    <w:rsid w:val="00956491"/>
    <w:rsid w:val="00956825"/>
    <w:rsid w:val="00956BE8"/>
    <w:rsid w:val="00957446"/>
    <w:rsid w:val="009578AB"/>
    <w:rsid w:val="00957BD8"/>
    <w:rsid w:val="009605C1"/>
    <w:rsid w:val="00960871"/>
    <w:rsid w:val="00960A70"/>
    <w:rsid w:val="00960B15"/>
    <w:rsid w:val="00960D32"/>
    <w:rsid w:val="00961EFE"/>
    <w:rsid w:val="00961F34"/>
    <w:rsid w:val="00961F8B"/>
    <w:rsid w:val="00962043"/>
    <w:rsid w:val="00962981"/>
    <w:rsid w:val="00962D44"/>
    <w:rsid w:val="00963582"/>
    <w:rsid w:val="00963652"/>
    <w:rsid w:val="00963954"/>
    <w:rsid w:val="00963EA5"/>
    <w:rsid w:val="00964646"/>
    <w:rsid w:val="0096496F"/>
    <w:rsid w:val="00964981"/>
    <w:rsid w:val="00964E20"/>
    <w:rsid w:val="00964EBB"/>
    <w:rsid w:val="0096578E"/>
    <w:rsid w:val="009659C5"/>
    <w:rsid w:val="009659DC"/>
    <w:rsid w:val="00965E11"/>
    <w:rsid w:val="009660DD"/>
    <w:rsid w:val="009669A9"/>
    <w:rsid w:val="00966F07"/>
    <w:rsid w:val="0096703B"/>
    <w:rsid w:val="00967158"/>
    <w:rsid w:val="00967894"/>
    <w:rsid w:val="00970E71"/>
    <w:rsid w:val="00971413"/>
    <w:rsid w:val="0097175B"/>
    <w:rsid w:val="00971C32"/>
    <w:rsid w:val="00971EAF"/>
    <w:rsid w:val="0097211A"/>
    <w:rsid w:val="0097224E"/>
    <w:rsid w:val="009728CD"/>
    <w:rsid w:val="00972900"/>
    <w:rsid w:val="00972991"/>
    <w:rsid w:val="009729D7"/>
    <w:rsid w:val="00972E51"/>
    <w:rsid w:val="009730F7"/>
    <w:rsid w:val="00973783"/>
    <w:rsid w:val="0097386E"/>
    <w:rsid w:val="00973B18"/>
    <w:rsid w:val="009745D2"/>
    <w:rsid w:val="0097462E"/>
    <w:rsid w:val="00974913"/>
    <w:rsid w:val="00974B44"/>
    <w:rsid w:val="0097541D"/>
    <w:rsid w:val="00975816"/>
    <w:rsid w:val="00976F7E"/>
    <w:rsid w:val="00977283"/>
    <w:rsid w:val="00977523"/>
    <w:rsid w:val="009779E5"/>
    <w:rsid w:val="00977B52"/>
    <w:rsid w:val="00977BD4"/>
    <w:rsid w:val="00980438"/>
    <w:rsid w:val="00980B21"/>
    <w:rsid w:val="00981062"/>
    <w:rsid w:val="009810FA"/>
    <w:rsid w:val="00982838"/>
    <w:rsid w:val="00982B09"/>
    <w:rsid w:val="00982BB6"/>
    <w:rsid w:val="00982F57"/>
    <w:rsid w:val="00983759"/>
    <w:rsid w:val="00983D8E"/>
    <w:rsid w:val="00984396"/>
    <w:rsid w:val="00985173"/>
    <w:rsid w:val="0098518B"/>
    <w:rsid w:val="00985537"/>
    <w:rsid w:val="0098557E"/>
    <w:rsid w:val="00985B3E"/>
    <w:rsid w:val="00985E9A"/>
    <w:rsid w:val="0098643B"/>
    <w:rsid w:val="0098699C"/>
    <w:rsid w:val="00986BF6"/>
    <w:rsid w:val="00986C4E"/>
    <w:rsid w:val="009871A6"/>
    <w:rsid w:val="0098734A"/>
    <w:rsid w:val="00987414"/>
    <w:rsid w:val="0098761D"/>
    <w:rsid w:val="0099091E"/>
    <w:rsid w:val="0099097F"/>
    <w:rsid w:val="00990989"/>
    <w:rsid w:val="00990A94"/>
    <w:rsid w:val="00990B4B"/>
    <w:rsid w:val="00991257"/>
    <w:rsid w:val="00991258"/>
    <w:rsid w:val="00991478"/>
    <w:rsid w:val="00991756"/>
    <w:rsid w:val="00991B6E"/>
    <w:rsid w:val="00991CCA"/>
    <w:rsid w:val="009920FA"/>
    <w:rsid w:val="009927AC"/>
    <w:rsid w:val="00992968"/>
    <w:rsid w:val="009929D7"/>
    <w:rsid w:val="00992E9E"/>
    <w:rsid w:val="00992F50"/>
    <w:rsid w:val="009932AB"/>
    <w:rsid w:val="0099489A"/>
    <w:rsid w:val="00994933"/>
    <w:rsid w:val="00995A32"/>
    <w:rsid w:val="00995A55"/>
    <w:rsid w:val="00995B27"/>
    <w:rsid w:val="00995F7D"/>
    <w:rsid w:val="00996250"/>
    <w:rsid w:val="00996A7C"/>
    <w:rsid w:val="00996E23"/>
    <w:rsid w:val="00996F7D"/>
    <w:rsid w:val="009971AF"/>
    <w:rsid w:val="0099791B"/>
    <w:rsid w:val="00997D7E"/>
    <w:rsid w:val="009A06C0"/>
    <w:rsid w:val="009A0959"/>
    <w:rsid w:val="009A0FDF"/>
    <w:rsid w:val="009A11FA"/>
    <w:rsid w:val="009A1550"/>
    <w:rsid w:val="009A173F"/>
    <w:rsid w:val="009A2046"/>
    <w:rsid w:val="009A2209"/>
    <w:rsid w:val="009A2490"/>
    <w:rsid w:val="009A26BA"/>
    <w:rsid w:val="009A3062"/>
    <w:rsid w:val="009A335C"/>
    <w:rsid w:val="009A3485"/>
    <w:rsid w:val="009A3795"/>
    <w:rsid w:val="009A37F5"/>
    <w:rsid w:val="009A39BD"/>
    <w:rsid w:val="009A411A"/>
    <w:rsid w:val="009A45C5"/>
    <w:rsid w:val="009A49BD"/>
    <w:rsid w:val="009A4ADB"/>
    <w:rsid w:val="009A4ADD"/>
    <w:rsid w:val="009A4B2E"/>
    <w:rsid w:val="009A4BB5"/>
    <w:rsid w:val="009A4DEF"/>
    <w:rsid w:val="009A5A3F"/>
    <w:rsid w:val="009A5FB2"/>
    <w:rsid w:val="009A6761"/>
    <w:rsid w:val="009A689F"/>
    <w:rsid w:val="009A6B8F"/>
    <w:rsid w:val="009A7129"/>
    <w:rsid w:val="009A71E1"/>
    <w:rsid w:val="009A724A"/>
    <w:rsid w:val="009A771F"/>
    <w:rsid w:val="009A7786"/>
    <w:rsid w:val="009A77B3"/>
    <w:rsid w:val="009A7F39"/>
    <w:rsid w:val="009B0165"/>
    <w:rsid w:val="009B0307"/>
    <w:rsid w:val="009B0637"/>
    <w:rsid w:val="009B0A53"/>
    <w:rsid w:val="009B1420"/>
    <w:rsid w:val="009B1CA9"/>
    <w:rsid w:val="009B1F7B"/>
    <w:rsid w:val="009B23C8"/>
    <w:rsid w:val="009B2743"/>
    <w:rsid w:val="009B2A54"/>
    <w:rsid w:val="009B2BE3"/>
    <w:rsid w:val="009B2EC3"/>
    <w:rsid w:val="009B31B6"/>
    <w:rsid w:val="009B32B0"/>
    <w:rsid w:val="009B3E2E"/>
    <w:rsid w:val="009B4972"/>
    <w:rsid w:val="009B4BB7"/>
    <w:rsid w:val="009B548A"/>
    <w:rsid w:val="009B54C3"/>
    <w:rsid w:val="009B5546"/>
    <w:rsid w:val="009B574A"/>
    <w:rsid w:val="009B5B52"/>
    <w:rsid w:val="009B5C74"/>
    <w:rsid w:val="009B5EB8"/>
    <w:rsid w:val="009B658F"/>
    <w:rsid w:val="009B6883"/>
    <w:rsid w:val="009B6901"/>
    <w:rsid w:val="009B6A34"/>
    <w:rsid w:val="009B6FEE"/>
    <w:rsid w:val="009B732D"/>
    <w:rsid w:val="009B733C"/>
    <w:rsid w:val="009B7C14"/>
    <w:rsid w:val="009B7CD2"/>
    <w:rsid w:val="009C03C5"/>
    <w:rsid w:val="009C059A"/>
    <w:rsid w:val="009C05AD"/>
    <w:rsid w:val="009C09BB"/>
    <w:rsid w:val="009C0C26"/>
    <w:rsid w:val="009C0EE7"/>
    <w:rsid w:val="009C0F24"/>
    <w:rsid w:val="009C1005"/>
    <w:rsid w:val="009C12A7"/>
    <w:rsid w:val="009C1A68"/>
    <w:rsid w:val="009C2063"/>
    <w:rsid w:val="009C273B"/>
    <w:rsid w:val="009C2866"/>
    <w:rsid w:val="009C2C21"/>
    <w:rsid w:val="009C3227"/>
    <w:rsid w:val="009C3346"/>
    <w:rsid w:val="009C436A"/>
    <w:rsid w:val="009C4F94"/>
    <w:rsid w:val="009C5DA1"/>
    <w:rsid w:val="009C5FEE"/>
    <w:rsid w:val="009C6071"/>
    <w:rsid w:val="009C61C9"/>
    <w:rsid w:val="009C6812"/>
    <w:rsid w:val="009C6C35"/>
    <w:rsid w:val="009C6F8F"/>
    <w:rsid w:val="009C70EA"/>
    <w:rsid w:val="009C72F8"/>
    <w:rsid w:val="009C7562"/>
    <w:rsid w:val="009C7B5C"/>
    <w:rsid w:val="009D02BE"/>
    <w:rsid w:val="009D0E25"/>
    <w:rsid w:val="009D1BEE"/>
    <w:rsid w:val="009D1EEE"/>
    <w:rsid w:val="009D2216"/>
    <w:rsid w:val="009D22D0"/>
    <w:rsid w:val="009D26A9"/>
    <w:rsid w:val="009D2E88"/>
    <w:rsid w:val="009D3270"/>
    <w:rsid w:val="009D351A"/>
    <w:rsid w:val="009D3F28"/>
    <w:rsid w:val="009D4283"/>
    <w:rsid w:val="009D461E"/>
    <w:rsid w:val="009D4B0A"/>
    <w:rsid w:val="009D4DDA"/>
    <w:rsid w:val="009D4E22"/>
    <w:rsid w:val="009D4EA6"/>
    <w:rsid w:val="009D523B"/>
    <w:rsid w:val="009D541E"/>
    <w:rsid w:val="009D5A5C"/>
    <w:rsid w:val="009D5CC1"/>
    <w:rsid w:val="009D5CFE"/>
    <w:rsid w:val="009D610C"/>
    <w:rsid w:val="009D6934"/>
    <w:rsid w:val="009D7220"/>
    <w:rsid w:val="009D745C"/>
    <w:rsid w:val="009D7568"/>
    <w:rsid w:val="009D7F0B"/>
    <w:rsid w:val="009E03ED"/>
    <w:rsid w:val="009E04C1"/>
    <w:rsid w:val="009E06B7"/>
    <w:rsid w:val="009E115F"/>
    <w:rsid w:val="009E1394"/>
    <w:rsid w:val="009E1792"/>
    <w:rsid w:val="009E1D99"/>
    <w:rsid w:val="009E1F1A"/>
    <w:rsid w:val="009E2033"/>
    <w:rsid w:val="009E21D0"/>
    <w:rsid w:val="009E3907"/>
    <w:rsid w:val="009E3C5B"/>
    <w:rsid w:val="009E3CDD"/>
    <w:rsid w:val="009E4185"/>
    <w:rsid w:val="009E441B"/>
    <w:rsid w:val="009E5586"/>
    <w:rsid w:val="009E55B4"/>
    <w:rsid w:val="009E5604"/>
    <w:rsid w:val="009E6068"/>
    <w:rsid w:val="009E6A58"/>
    <w:rsid w:val="009E6B5D"/>
    <w:rsid w:val="009E6C14"/>
    <w:rsid w:val="009E6DBA"/>
    <w:rsid w:val="009E6E2B"/>
    <w:rsid w:val="009E7108"/>
    <w:rsid w:val="009E73BF"/>
    <w:rsid w:val="009E770E"/>
    <w:rsid w:val="009E7EFC"/>
    <w:rsid w:val="009E7EFF"/>
    <w:rsid w:val="009F021B"/>
    <w:rsid w:val="009F0720"/>
    <w:rsid w:val="009F0B21"/>
    <w:rsid w:val="009F1407"/>
    <w:rsid w:val="009F14B6"/>
    <w:rsid w:val="009F1927"/>
    <w:rsid w:val="009F1A3D"/>
    <w:rsid w:val="009F1B6F"/>
    <w:rsid w:val="009F2211"/>
    <w:rsid w:val="009F22B9"/>
    <w:rsid w:val="009F2762"/>
    <w:rsid w:val="009F33BC"/>
    <w:rsid w:val="009F34B5"/>
    <w:rsid w:val="009F354A"/>
    <w:rsid w:val="009F37DC"/>
    <w:rsid w:val="009F3BA4"/>
    <w:rsid w:val="009F3BCA"/>
    <w:rsid w:val="009F3F6A"/>
    <w:rsid w:val="009F446F"/>
    <w:rsid w:val="009F45C4"/>
    <w:rsid w:val="009F493A"/>
    <w:rsid w:val="009F5571"/>
    <w:rsid w:val="009F56EE"/>
    <w:rsid w:val="009F62D9"/>
    <w:rsid w:val="009F6441"/>
    <w:rsid w:val="009F64AA"/>
    <w:rsid w:val="009F6782"/>
    <w:rsid w:val="009F67AF"/>
    <w:rsid w:val="009F6D1B"/>
    <w:rsid w:val="009F74AC"/>
    <w:rsid w:val="009F75E8"/>
    <w:rsid w:val="009F799F"/>
    <w:rsid w:val="009F7CBD"/>
    <w:rsid w:val="009F7DE6"/>
    <w:rsid w:val="009F7FBC"/>
    <w:rsid w:val="00A00498"/>
    <w:rsid w:val="00A0051A"/>
    <w:rsid w:val="00A0062E"/>
    <w:rsid w:val="00A009C4"/>
    <w:rsid w:val="00A0114F"/>
    <w:rsid w:val="00A015D8"/>
    <w:rsid w:val="00A015EA"/>
    <w:rsid w:val="00A01CBD"/>
    <w:rsid w:val="00A01D3F"/>
    <w:rsid w:val="00A01DDE"/>
    <w:rsid w:val="00A025AE"/>
    <w:rsid w:val="00A0266E"/>
    <w:rsid w:val="00A03432"/>
    <w:rsid w:val="00A038EE"/>
    <w:rsid w:val="00A03BB7"/>
    <w:rsid w:val="00A04944"/>
    <w:rsid w:val="00A04A1F"/>
    <w:rsid w:val="00A05A93"/>
    <w:rsid w:val="00A05C0C"/>
    <w:rsid w:val="00A05CA8"/>
    <w:rsid w:val="00A06253"/>
    <w:rsid w:val="00A06290"/>
    <w:rsid w:val="00A06B02"/>
    <w:rsid w:val="00A06BB1"/>
    <w:rsid w:val="00A06CB4"/>
    <w:rsid w:val="00A070C0"/>
    <w:rsid w:val="00A07482"/>
    <w:rsid w:val="00A07E8B"/>
    <w:rsid w:val="00A10225"/>
    <w:rsid w:val="00A10318"/>
    <w:rsid w:val="00A108A7"/>
    <w:rsid w:val="00A10F7D"/>
    <w:rsid w:val="00A11396"/>
    <w:rsid w:val="00A11731"/>
    <w:rsid w:val="00A11CDD"/>
    <w:rsid w:val="00A1210F"/>
    <w:rsid w:val="00A121FF"/>
    <w:rsid w:val="00A1237F"/>
    <w:rsid w:val="00A12F89"/>
    <w:rsid w:val="00A13221"/>
    <w:rsid w:val="00A134F4"/>
    <w:rsid w:val="00A13610"/>
    <w:rsid w:val="00A13C6E"/>
    <w:rsid w:val="00A13F1E"/>
    <w:rsid w:val="00A144C4"/>
    <w:rsid w:val="00A14520"/>
    <w:rsid w:val="00A14533"/>
    <w:rsid w:val="00A148A9"/>
    <w:rsid w:val="00A14E4C"/>
    <w:rsid w:val="00A152A0"/>
    <w:rsid w:val="00A158EF"/>
    <w:rsid w:val="00A15913"/>
    <w:rsid w:val="00A16420"/>
    <w:rsid w:val="00A16495"/>
    <w:rsid w:val="00A16744"/>
    <w:rsid w:val="00A16865"/>
    <w:rsid w:val="00A171F7"/>
    <w:rsid w:val="00A17545"/>
    <w:rsid w:val="00A201A9"/>
    <w:rsid w:val="00A20870"/>
    <w:rsid w:val="00A20C16"/>
    <w:rsid w:val="00A20ED8"/>
    <w:rsid w:val="00A21196"/>
    <w:rsid w:val="00A21C20"/>
    <w:rsid w:val="00A21D23"/>
    <w:rsid w:val="00A223A7"/>
    <w:rsid w:val="00A22579"/>
    <w:rsid w:val="00A22768"/>
    <w:rsid w:val="00A22F91"/>
    <w:rsid w:val="00A231B5"/>
    <w:rsid w:val="00A235B9"/>
    <w:rsid w:val="00A23EEE"/>
    <w:rsid w:val="00A24D2C"/>
    <w:rsid w:val="00A24DE8"/>
    <w:rsid w:val="00A24E2F"/>
    <w:rsid w:val="00A25949"/>
    <w:rsid w:val="00A25B5C"/>
    <w:rsid w:val="00A25D77"/>
    <w:rsid w:val="00A261C6"/>
    <w:rsid w:val="00A26E26"/>
    <w:rsid w:val="00A26F7F"/>
    <w:rsid w:val="00A27019"/>
    <w:rsid w:val="00A271C8"/>
    <w:rsid w:val="00A273F3"/>
    <w:rsid w:val="00A2759B"/>
    <w:rsid w:val="00A2768F"/>
    <w:rsid w:val="00A276AE"/>
    <w:rsid w:val="00A277EB"/>
    <w:rsid w:val="00A27936"/>
    <w:rsid w:val="00A27CAB"/>
    <w:rsid w:val="00A30056"/>
    <w:rsid w:val="00A30358"/>
    <w:rsid w:val="00A309C5"/>
    <w:rsid w:val="00A30D1E"/>
    <w:rsid w:val="00A30FDC"/>
    <w:rsid w:val="00A31237"/>
    <w:rsid w:val="00A31624"/>
    <w:rsid w:val="00A316C5"/>
    <w:rsid w:val="00A316E9"/>
    <w:rsid w:val="00A31FD2"/>
    <w:rsid w:val="00A321E1"/>
    <w:rsid w:val="00A3245A"/>
    <w:rsid w:val="00A327D9"/>
    <w:rsid w:val="00A32F46"/>
    <w:rsid w:val="00A33A45"/>
    <w:rsid w:val="00A33EB4"/>
    <w:rsid w:val="00A34688"/>
    <w:rsid w:val="00A34E09"/>
    <w:rsid w:val="00A353BA"/>
    <w:rsid w:val="00A354E7"/>
    <w:rsid w:val="00A35AC2"/>
    <w:rsid w:val="00A35E63"/>
    <w:rsid w:val="00A35F34"/>
    <w:rsid w:val="00A35F9F"/>
    <w:rsid w:val="00A363D6"/>
    <w:rsid w:val="00A368B3"/>
    <w:rsid w:val="00A36E71"/>
    <w:rsid w:val="00A37114"/>
    <w:rsid w:val="00A37323"/>
    <w:rsid w:val="00A37505"/>
    <w:rsid w:val="00A3782E"/>
    <w:rsid w:val="00A37C54"/>
    <w:rsid w:val="00A37D22"/>
    <w:rsid w:val="00A400A8"/>
    <w:rsid w:val="00A408DD"/>
    <w:rsid w:val="00A4098F"/>
    <w:rsid w:val="00A40EBE"/>
    <w:rsid w:val="00A40F88"/>
    <w:rsid w:val="00A41229"/>
    <w:rsid w:val="00A418B9"/>
    <w:rsid w:val="00A423F2"/>
    <w:rsid w:val="00A42FDF"/>
    <w:rsid w:val="00A43037"/>
    <w:rsid w:val="00A434FB"/>
    <w:rsid w:val="00A439B2"/>
    <w:rsid w:val="00A43DA5"/>
    <w:rsid w:val="00A4416A"/>
    <w:rsid w:val="00A442B4"/>
    <w:rsid w:val="00A446FD"/>
    <w:rsid w:val="00A44AAE"/>
    <w:rsid w:val="00A44EA6"/>
    <w:rsid w:val="00A455BF"/>
    <w:rsid w:val="00A45BB0"/>
    <w:rsid w:val="00A46132"/>
    <w:rsid w:val="00A462CB"/>
    <w:rsid w:val="00A46B33"/>
    <w:rsid w:val="00A46E1A"/>
    <w:rsid w:val="00A474B9"/>
    <w:rsid w:val="00A475AC"/>
    <w:rsid w:val="00A478AF"/>
    <w:rsid w:val="00A479F3"/>
    <w:rsid w:val="00A5013A"/>
    <w:rsid w:val="00A50DF3"/>
    <w:rsid w:val="00A50E07"/>
    <w:rsid w:val="00A5112B"/>
    <w:rsid w:val="00A511DE"/>
    <w:rsid w:val="00A51288"/>
    <w:rsid w:val="00A51485"/>
    <w:rsid w:val="00A515FF"/>
    <w:rsid w:val="00A519D8"/>
    <w:rsid w:val="00A51C7F"/>
    <w:rsid w:val="00A51E68"/>
    <w:rsid w:val="00A52A9D"/>
    <w:rsid w:val="00A52B19"/>
    <w:rsid w:val="00A52D0F"/>
    <w:rsid w:val="00A531BE"/>
    <w:rsid w:val="00A5410A"/>
    <w:rsid w:val="00A556F4"/>
    <w:rsid w:val="00A55C80"/>
    <w:rsid w:val="00A55FA0"/>
    <w:rsid w:val="00A560F4"/>
    <w:rsid w:val="00A565DC"/>
    <w:rsid w:val="00A568CC"/>
    <w:rsid w:val="00A56AED"/>
    <w:rsid w:val="00A57242"/>
    <w:rsid w:val="00A576A5"/>
    <w:rsid w:val="00A577E2"/>
    <w:rsid w:val="00A5793C"/>
    <w:rsid w:val="00A60082"/>
    <w:rsid w:val="00A60098"/>
    <w:rsid w:val="00A60C41"/>
    <w:rsid w:val="00A60E89"/>
    <w:rsid w:val="00A61427"/>
    <w:rsid w:val="00A6144E"/>
    <w:rsid w:val="00A616B8"/>
    <w:rsid w:val="00A6171B"/>
    <w:rsid w:val="00A61784"/>
    <w:rsid w:val="00A6195A"/>
    <w:rsid w:val="00A61D74"/>
    <w:rsid w:val="00A627A0"/>
    <w:rsid w:val="00A6296A"/>
    <w:rsid w:val="00A62C74"/>
    <w:rsid w:val="00A62EDC"/>
    <w:rsid w:val="00A6336E"/>
    <w:rsid w:val="00A63BD7"/>
    <w:rsid w:val="00A63D86"/>
    <w:rsid w:val="00A6422F"/>
    <w:rsid w:val="00A64694"/>
    <w:rsid w:val="00A64B03"/>
    <w:rsid w:val="00A64D9C"/>
    <w:rsid w:val="00A64E82"/>
    <w:rsid w:val="00A651EC"/>
    <w:rsid w:val="00A6542C"/>
    <w:rsid w:val="00A6546D"/>
    <w:rsid w:val="00A66695"/>
    <w:rsid w:val="00A6679A"/>
    <w:rsid w:val="00A668EB"/>
    <w:rsid w:val="00A66A1A"/>
    <w:rsid w:val="00A66B27"/>
    <w:rsid w:val="00A66B3C"/>
    <w:rsid w:val="00A66B85"/>
    <w:rsid w:val="00A66B8B"/>
    <w:rsid w:val="00A66EC8"/>
    <w:rsid w:val="00A66F48"/>
    <w:rsid w:val="00A67118"/>
    <w:rsid w:val="00A6792E"/>
    <w:rsid w:val="00A67975"/>
    <w:rsid w:val="00A7044B"/>
    <w:rsid w:val="00A70B19"/>
    <w:rsid w:val="00A70BC6"/>
    <w:rsid w:val="00A71002"/>
    <w:rsid w:val="00A710D4"/>
    <w:rsid w:val="00A71295"/>
    <w:rsid w:val="00A7148A"/>
    <w:rsid w:val="00A71646"/>
    <w:rsid w:val="00A71998"/>
    <w:rsid w:val="00A71F37"/>
    <w:rsid w:val="00A7230B"/>
    <w:rsid w:val="00A723FD"/>
    <w:rsid w:val="00A72646"/>
    <w:rsid w:val="00A7275F"/>
    <w:rsid w:val="00A7296C"/>
    <w:rsid w:val="00A73015"/>
    <w:rsid w:val="00A7308A"/>
    <w:rsid w:val="00A731B0"/>
    <w:rsid w:val="00A73B7E"/>
    <w:rsid w:val="00A74049"/>
    <w:rsid w:val="00A743F6"/>
    <w:rsid w:val="00A74586"/>
    <w:rsid w:val="00A75195"/>
    <w:rsid w:val="00A756E0"/>
    <w:rsid w:val="00A7578C"/>
    <w:rsid w:val="00A757CA"/>
    <w:rsid w:val="00A758C2"/>
    <w:rsid w:val="00A75984"/>
    <w:rsid w:val="00A75BA0"/>
    <w:rsid w:val="00A75DF4"/>
    <w:rsid w:val="00A7638C"/>
    <w:rsid w:val="00A7643A"/>
    <w:rsid w:val="00A7722E"/>
    <w:rsid w:val="00A7773E"/>
    <w:rsid w:val="00A777DD"/>
    <w:rsid w:val="00A80CC3"/>
    <w:rsid w:val="00A80EBB"/>
    <w:rsid w:val="00A8152E"/>
    <w:rsid w:val="00A81587"/>
    <w:rsid w:val="00A816B8"/>
    <w:rsid w:val="00A819E7"/>
    <w:rsid w:val="00A81C66"/>
    <w:rsid w:val="00A81E92"/>
    <w:rsid w:val="00A82103"/>
    <w:rsid w:val="00A8264C"/>
    <w:rsid w:val="00A82743"/>
    <w:rsid w:val="00A82ADE"/>
    <w:rsid w:val="00A82C1A"/>
    <w:rsid w:val="00A830CA"/>
    <w:rsid w:val="00A8312B"/>
    <w:rsid w:val="00A8329C"/>
    <w:rsid w:val="00A832EC"/>
    <w:rsid w:val="00A8383C"/>
    <w:rsid w:val="00A83865"/>
    <w:rsid w:val="00A83973"/>
    <w:rsid w:val="00A83A82"/>
    <w:rsid w:val="00A83F1E"/>
    <w:rsid w:val="00A842B8"/>
    <w:rsid w:val="00A8458A"/>
    <w:rsid w:val="00A84717"/>
    <w:rsid w:val="00A84892"/>
    <w:rsid w:val="00A84D8D"/>
    <w:rsid w:val="00A85BAA"/>
    <w:rsid w:val="00A85DDE"/>
    <w:rsid w:val="00A86665"/>
    <w:rsid w:val="00A87152"/>
    <w:rsid w:val="00A8758F"/>
    <w:rsid w:val="00A8777E"/>
    <w:rsid w:val="00A87BDB"/>
    <w:rsid w:val="00A87F56"/>
    <w:rsid w:val="00A87F62"/>
    <w:rsid w:val="00A91165"/>
    <w:rsid w:val="00A91383"/>
    <w:rsid w:val="00A916B6"/>
    <w:rsid w:val="00A91AD4"/>
    <w:rsid w:val="00A91CEA"/>
    <w:rsid w:val="00A9219B"/>
    <w:rsid w:val="00A92702"/>
    <w:rsid w:val="00A929FA"/>
    <w:rsid w:val="00A9342A"/>
    <w:rsid w:val="00A93861"/>
    <w:rsid w:val="00A93FF0"/>
    <w:rsid w:val="00A949DD"/>
    <w:rsid w:val="00A94D85"/>
    <w:rsid w:val="00A94E9F"/>
    <w:rsid w:val="00A94FCA"/>
    <w:rsid w:val="00A95491"/>
    <w:rsid w:val="00A9557D"/>
    <w:rsid w:val="00A95A82"/>
    <w:rsid w:val="00A9628E"/>
    <w:rsid w:val="00A96BED"/>
    <w:rsid w:val="00A96F0B"/>
    <w:rsid w:val="00A9745B"/>
    <w:rsid w:val="00AA0459"/>
    <w:rsid w:val="00AA06CC"/>
    <w:rsid w:val="00AA154B"/>
    <w:rsid w:val="00AA17DD"/>
    <w:rsid w:val="00AA1802"/>
    <w:rsid w:val="00AA1DF9"/>
    <w:rsid w:val="00AA207E"/>
    <w:rsid w:val="00AA20E6"/>
    <w:rsid w:val="00AA2205"/>
    <w:rsid w:val="00AA29F1"/>
    <w:rsid w:val="00AA2DFE"/>
    <w:rsid w:val="00AA2EA6"/>
    <w:rsid w:val="00AA3172"/>
    <w:rsid w:val="00AA3F69"/>
    <w:rsid w:val="00AA40AA"/>
    <w:rsid w:val="00AA40E6"/>
    <w:rsid w:val="00AA421F"/>
    <w:rsid w:val="00AA4E4F"/>
    <w:rsid w:val="00AA57AE"/>
    <w:rsid w:val="00AA5B0A"/>
    <w:rsid w:val="00AA5DBD"/>
    <w:rsid w:val="00AA6467"/>
    <w:rsid w:val="00AA660C"/>
    <w:rsid w:val="00AA728C"/>
    <w:rsid w:val="00AA73EA"/>
    <w:rsid w:val="00AA7E54"/>
    <w:rsid w:val="00AB0255"/>
    <w:rsid w:val="00AB0528"/>
    <w:rsid w:val="00AB05D7"/>
    <w:rsid w:val="00AB0A0B"/>
    <w:rsid w:val="00AB0EDD"/>
    <w:rsid w:val="00AB14C9"/>
    <w:rsid w:val="00AB16B7"/>
    <w:rsid w:val="00AB1ADB"/>
    <w:rsid w:val="00AB1AEA"/>
    <w:rsid w:val="00AB1D50"/>
    <w:rsid w:val="00AB1FFD"/>
    <w:rsid w:val="00AB2655"/>
    <w:rsid w:val="00AB2D33"/>
    <w:rsid w:val="00AB2E34"/>
    <w:rsid w:val="00AB3656"/>
    <w:rsid w:val="00AB3897"/>
    <w:rsid w:val="00AB3DEB"/>
    <w:rsid w:val="00AB3FB1"/>
    <w:rsid w:val="00AB44BF"/>
    <w:rsid w:val="00AB45F4"/>
    <w:rsid w:val="00AB48B0"/>
    <w:rsid w:val="00AB4E30"/>
    <w:rsid w:val="00AB514B"/>
    <w:rsid w:val="00AB5A35"/>
    <w:rsid w:val="00AB68B4"/>
    <w:rsid w:val="00AB6D15"/>
    <w:rsid w:val="00AB6FB3"/>
    <w:rsid w:val="00AB71A6"/>
    <w:rsid w:val="00AB78D5"/>
    <w:rsid w:val="00AB7DFF"/>
    <w:rsid w:val="00AB7F02"/>
    <w:rsid w:val="00AC0A89"/>
    <w:rsid w:val="00AC129A"/>
    <w:rsid w:val="00AC14EE"/>
    <w:rsid w:val="00AC1776"/>
    <w:rsid w:val="00AC1957"/>
    <w:rsid w:val="00AC1BC0"/>
    <w:rsid w:val="00AC1C58"/>
    <w:rsid w:val="00AC1FC8"/>
    <w:rsid w:val="00AC2833"/>
    <w:rsid w:val="00AC2BB7"/>
    <w:rsid w:val="00AC2E25"/>
    <w:rsid w:val="00AC2F42"/>
    <w:rsid w:val="00AC3827"/>
    <w:rsid w:val="00AC384E"/>
    <w:rsid w:val="00AC3A91"/>
    <w:rsid w:val="00AC3B04"/>
    <w:rsid w:val="00AC446C"/>
    <w:rsid w:val="00AC44D0"/>
    <w:rsid w:val="00AC4DAF"/>
    <w:rsid w:val="00AC4EE5"/>
    <w:rsid w:val="00AC4FDD"/>
    <w:rsid w:val="00AC5709"/>
    <w:rsid w:val="00AC58A2"/>
    <w:rsid w:val="00AC5B2D"/>
    <w:rsid w:val="00AC6582"/>
    <w:rsid w:val="00AC6C09"/>
    <w:rsid w:val="00AC6FC9"/>
    <w:rsid w:val="00AC749D"/>
    <w:rsid w:val="00AC75D4"/>
    <w:rsid w:val="00AC764D"/>
    <w:rsid w:val="00AC7D13"/>
    <w:rsid w:val="00AD01DB"/>
    <w:rsid w:val="00AD01F7"/>
    <w:rsid w:val="00AD0B37"/>
    <w:rsid w:val="00AD11A7"/>
    <w:rsid w:val="00AD1334"/>
    <w:rsid w:val="00AD1BCE"/>
    <w:rsid w:val="00AD1D01"/>
    <w:rsid w:val="00AD200E"/>
    <w:rsid w:val="00AD23B2"/>
    <w:rsid w:val="00AD2442"/>
    <w:rsid w:val="00AD244C"/>
    <w:rsid w:val="00AD2600"/>
    <w:rsid w:val="00AD29BF"/>
    <w:rsid w:val="00AD2EE6"/>
    <w:rsid w:val="00AD3041"/>
    <w:rsid w:val="00AD3ADC"/>
    <w:rsid w:val="00AD3CEF"/>
    <w:rsid w:val="00AD3E0B"/>
    <w:rsid w:val="00AD49D6"/>
    <w:rsid w:val="00AD5680"/>
    <w:rsid w:val="00AD6231"/>
    <w:rsid w:val="00AD6395"/>
    <w:rsid w:val="00AD6BFA"/>
    <w:rsid w:val="00AD789F"/>
    <w:rsid w:val="00AE00E6"/>
    <w:rsid w:val="00AE0653"/>
    <w:rsid w:val="00AE0AD2"/>
    <w:rsid w:val="00AE0BD0"/>
    <w:rsid w:val="00AE1088"/>
    <w:rsid w:val="00AE10D3"/>
    <w:rsid w:val="00AE10FB"/>
    <w:rsid w:val="00AE19F9"/>
    <w:rsid w:val="00AE3002"/>
    <w:rsid w:val="00AE318D"/>
    <w:rsid w:val="00AE3421"/>
    <w:rsid w:val="00AE3DF9"/>
    <w:rsid w:val="00AE46F4"/>
    <w:rsid w:val="00AE50B4"/>
    <w:rsid w:val="00AE50D2"/>
    <w:rsid w:val="00AE5188"/>
    <w:rsid w:val="00AE57E0"/>
    <w:rsid w:val="00AE59DA"/>
    <w:rsid w:val="00AE5BB2"/>
    <w:rsid w:val="00AE62D6"/>
    <w:rsid w:val="00AE6737"/>
    <w:rsid w:val="00AE6BF0"/>
    <w:rsid w:val="00AE6BF2"/>
    <w:rsid w:val="00AE729B"/>
    <w:rsid w:val="00AE737B"/>
    <w:rsid w:val="00AE773B"/>
    <w:rsid w:val="00AE7D32"/>
    <w:rsid w:val="00AF00FA"/>
    <w:rsid w:val="00AF0D2C"/>
    <w:rsid w:val="00AF12B5"/>
    <w:rsid w:val="00AF19A4"/>
    <w:rsid w:val="00AF1B6A"/>
    <w:rsid w:val="00AF1E6A"/>
    <w:rsid w:val="00AF23CD"/>
    <w:rsid w:val="00AF26A9"/>
    <w:rsid w:val="00AF27EE"/>
    <w:rsid w:val="00AF29A3"/>
    <w:rsid w:val="00AF2E22"/>
    <w:rsid w:val="00AF33E2"/>
    <w:rsid w:val="00AF370E"/>
    <w:rsid w:val="00AF3DF1"/>
    <w:rsid w:val="00AF3F52"/>
    <w:rsid w:val="00AF3FD4"/>
    <w:rsid w:val="00AF4932"/>
    <w:rsid w:val="00AF496F"/>
    <w:rsid w:val="00AF49B4"/>
    <w:rsid w:val="00AF5119"/>
    <w:rsid w:val="00AF52DA"/>
    <w:rsid w:val="00AF5B34"/>
    <w:rsid w:val="00AF6470"/>
    <w:rsid w:val="00AF6685"/>
    <w:rsid w:val="00AF6F11"/>
    <w:rsid w:val="00AF70D3"/>
    <w:rsid w:val="00AF71D9"/>
    <w:rsid w:val="00AF75B5"/>
    <w:rsid w:val="00AF7CCA"/>
    <w:rsid w:val="00B00098"/>
    <w:rsid w:val="00B0079B"/>
    <w:rsid w:val="00B00C55"/>
    <w:rsid w:val="00B00EBA"/>
    <w:rsid w:val="00B015BA"/>
    <w:rsid w:val="00B01A97"/>
    <w:rsid w:val="00B02192"/>
    <w:rsid w:val="00B023C5"/>
    <w:rsid w:val="00B02D8E"/>
    <w:rsid w:val="00B04873"/>
    <w:rsid w:val="00B04A71"/>
    <w:rsid w:val="00B05202"/>
    <w:rsid w:val="00B05472"/>
    <w:rsid w:val="00B055D8"/>
    <w:rsid w:val="00B05E29"/>
    <w:rsid w:val="00B05E3A"/>
    <w:rsid w:val="00B0696B"/>
    <w:rsid w:val="00B06ABC"/>
    <w:rsid w:val="00B0789F"/>
    <w:rsid w:val="00B10055"/>
    <w:rsid w:val="00B10096"/>
    <w:rsid w:val="00B106AE"/>
    <w:rsid w:val="00B10BF8"/>
    <w:rsid w:val="00B112A5"/>
    <w:rsid w:val="00B1159C"/>
    <w:rsid w:val="00B1179A"/>
    <w:rsid w:val="00B118BB"/>
    <w:rsid w:val="00B123AF"/>
    <w:rsid w:val="00B126BD"/>
    <w:rsid w:val="00B12AF9"/>
    <w:rsid w:val="00B132D5"/>
    <w:rsid w:val="00B1350C"/>
    <w:rsid w:val="00B13D13"/>
    <w:rsid w:val="00B13FE4"/>
    <w:rsid w:val="00B142F0"/>
    <w:rsid w:val="00B143DC"/>
    <w:rsid w:val="00B146A7"/>
    <w:rsid w:val="00B14956"/>
    <w:rsid w:val="00B15057"/>
    <w:rsid w:val="00B15C42"/>
    <w:rsid w:val="00B15CA8"/>
    <w:rsid w:val="00B15CC9"/>
    <w:rsid w:val="00B15F0F"/>
    <w:rsid w:val="00B164D8"/>
    <w:rsid w:val="00B16738"/>
    <w:rsid w:val="00B1740D"/>
    <w:rsid w:val="00B17771"/>
    <w:rsid w:val="00B1785C"/>
    <w:rsid w:val="00B17B21"/>
    <w:rsid w:val="00B17EA8"/>
    <w:rsid w:val="00B2037A"/>
    <w:rsid w:val="00B2042D"/>
    <w:rsid w:val="00B20644"/>
    <w:rsid w:val="00B21495"/>
    <w:rsid w:val="00B2155B"/>
    <w:rsid w:val="00B219D6"/>
    <w:rsid w:val="00B21BA1"/>
    <w:rsid w:val="00B21BE0"/>
    <w:rsid w:val="00B21CF9"/>
    <w:rsid w:val="00B220E5"/>
    <w:rsid w:val="00B224DC"/>
    <w:rsid w:val="00B22D2B"/>
    <w:rsid w:val="00B22EAE"/>
    <w:rsid w:val="00B22F57"/>
    <w:rsid w:val="00B22F90"/>
    <w:rsid w:val="00B235D7"/>
    <w:rsid w:val="00B23DF8"/>
    <w:rsid w:val="00B2422C"/>
    <w:rsid w:val="00B24BCC"/>
    <w:rsid w:val="00B24BDB"/>
    <w:rsid w:val="00B2561E"/>
    <w:rsid w:val="00B25637"/>
    <w:rsid w:val="00B266DC"/>
    <w:rsid w:val="00B2671F"/>
    <w:rsid w:val="00B26F1F"/>
    <w:rsid w:val="00B26F28"/>
    <w:rsid w:val="00B26F9E"/>
    <w:rsid w:val="00B26FEB"/>
    <w:rsid w:val="00B2722D"/>
    <w:rsid w:val="00B30068"/>
    <w:rsid w:val="00B30A21"/>
    <w:rsid w:val="00B30A42"/>
    <w:rsid w:val="00B30BB7"/>
    <w:rsid w:val="00B30E94"/>
    <w:rsid w:val="00B30EB7"/>
    <w:rsid w:val="00B31874"/>
    <w:rsid w:val="00B318BE"/>
    <w:rsid w:val="00B319EF"/>
    <w:rsid w:val="00B321E1"/>
    <w:rsid w:val="00B33426"/>
    <w:rsid w:val="00B34098"/>
    <w:rsid w:val="00B3485C"/>
    <w:rsid w:val="00B349EC"/>
    <w:rsid w:val="00B34D85"/>
    <w:rsid w:val="00B35472"/>
    <w:rsid w:val="00B35CB4"/>
    <w:rsid w:val="00B35D3A"/>
    <w:rsid w:val="00B35E0E"/>
    <w:rsid w:val="00B36211"/>
    <w:rsid w:val="00B364EB"/>
    <w:rsid w:val="00B36D3F"/>
    <w:rsid w:val="00B3733D"/>
    <w:rsid w:val="00B378F0"/>
    <w:rsid w:val="00B37AB4"/>
    <w:rsid w:val="00B40469"/>
    <w:rsid w:val="00B41155"/>
    <w:rsid w:val="00B41616"/>
    <w:rsid w:val="00B41710"/>
    <w:rsid w:val="00B41724"/>
    <w:rsid w:val="00B41E7D"/>
    <w:rsid w:val="00B41EB2"/>
    <w:rsid w:val="00B4247D"/>
    <w:rsid w:val="00B4273B"/>
    <w:rsid w:val="00B429D4"/>
    <w:rsid w:val="00B42A61"/>
    <w:rsid w:val="00B434F7"/>
    <w:rsid w:val="00B442D8"/>
    <w:rsid w:val="00B44648"/>
    <w:rsid w:val="00B44960"/>
    <w:rsid w:val="00B44E39"/>
    <w:rsid w:val="00B451F0"/>
    <w:rsid w:val="00B46171"/>
    <w:rsid w:val="00B46DD0"/>
    <w:rsid w:val="00B46E40"/>
    <w:rsid w:val="00B46E99"/>
    <w:rsid w:val="00B4708A"/>
    <w:rsid w:val="00B4743C"/>
    <w:rsid w:val="00B47FB3"/>
    <w:rsid w:val="00B5003B"/>
    <w:rsid w:val="00B507AF"/>
    <w:rsid w:val="00B50AB4"/>
    <w:rsid w:val="00B50F6E"/>
    <w:rsid w:val="00B51971"/>
    <w:rsid w:val="00B51B25"/>
    <w:rsid w:val="00B51E4C"/>
    <w:rsid w:val="00B52324"/>
    <w:rsid w:val="00B530FA"/>
    <w:rsid w:val="00B53C93"/>
    <w:rsid w:val="00B53F75"/>
    <w:rsid w:val="00B543C0"/>
    <w:rsid w:val="00B5491F"/>
    <w:rsid w:val="00B552B5"/>
    <w:rsid w:val="00B55A9F"/>
    <w:rsid w:val="00B5632A"/>
    <w:rsid w:val="00B568E5"/>
    <w:rsid w:val="00B56A7B"/>
    <w:rsid w:val="00B56B78"/>
    <w:rsid w:val="00B56C39"/>
    <w:rsid w:val="00B5703D"/>
    <w:rsid w:val="00B57A8D"/>
    <w:rsid w:val="00B600A7"/>
    <w:rsid w:val="00B6118A"/>
    <w:rsid w:val="00B6142B"/>
    <w:rsid w:val="00B61492"/>
    <w:rsid w:val="00B6192A"/>
    <w:rsid w:val="00B61C92"/>
    <w:rsid w:val="00B61E88"/>
    <w:rsid w:val="00B620DB"/>
    <w:rsid w:val="00B62756"/>
    <w:rsid w:val="00B6275F"/>
    <w:rsid w:val="00B6278D"/>
    <w:rsid w:val="00B62CC3"/>
    <w:rsid w:val="00B63682"/>
    <w:rsid w:val="00B63BE7"/>
    <w:rsid w:val="00B643F0"/>
    <w:rsid w:val="00B64D0A"/>
    <w:rsid w:val="00B64FC8"/>
    <w:rsid w:val="00B650A3"/>
    <w:rsid w:val="00B650C4"/>
    <w:rsid w:val="00B655C1"/>
    <w:rsid w:val="00B660A2"/>
    <w:rsid w:val="00B661F9"/>
    <w:rsid w:val="00B66359"/>
    <w:rsid w:val="00B669BD"/>
    <w:rsid w:val="00B66BCA"/>
    <w:rsid w:val="00B674FD"/>
    <w:rsid w:val="00B67675"/>
    <w:rsid w:val="00B67698"/>
    <w:rsid w:val="00B67752"/>
    <w:rsid w:val="00B679F0"/>
    <w:rsid w:val="00B67BF0"/>
    <w:rsid w:val="00B70369"/>
    <w:rsid w:val="00B70B3C"/>
    <w:rsid w:val="00B712AA"/>
    <w:rsid w:val="00B71C0D"/>
    <w:rsid w:val="00B71EE0"/>
    <w:rsid w:val="00B71F04"/>
    <w:rsid w:val="00B72724"/>
    <w:rsid w:val="00B72770"/>
    <w:rsid w:val="00B72933"/>
    <w:rsid w:val="00B72CFE"/>
    <w:rsid w:val="00B72E9F"/>
    <w:rsid w:val="00B73514"/>
    <w:rsid w:val="00B73570"/>
    <w:rsid w:val="00B739EA"/>
    <w:rsid w:val="00B73AAF"/>
    <w:rsid w:val="00B73FA2"/>
    <w:rsid w:val="00B745D7"/>
    <w:rsid w:val="00B754A0"/>
    <w:rsid w:val="00B75B4E"/>
    <w:rsid w:val="00B76227"/>
    <w:rsid w:val="00B76497"/>
    <w:rsid w:val="00B7656C"/>
    <w:rsid w:val="00B76C08"/>
    <w:rsid w:val="00B76FEA"/>
    <w:rsid w:val="00B771C1"/>
    <w:rsid w:val="00B77403"/>
    <w:rsid w:val="00B7778A"/>
    <w:rsid w:val="00B779FF"/>
    <w:rsid w:val="00B77CA8"/>
    <w:rsid w:val="00B77DE1"/>
    <w:rsid w:val="00B80D62"/>
    <w:rsid w:val="00B80E35"/>
    <w:rsid w:val="00B8155B"/>
    <w:rsid w:val="00B819C4"/>
    <w:rsid w:val="00B821F8"/>
    <w:rsid w:val="00B82780"/>
    <w:rsid w:val="00B82E26"/>
    <w:rsid w:val="00B833FB"/>
    <w:rsid w:val="00B83445"/>
    <w:rsid w:val="00B834EF"/>
    <w:rsid w:val="00B8375B"/>
    <w:rsid w:val="00B83C1C"/>
    <w:rsid w:val="00B84130"/>
    <w:rsid w:val="00B842B0"/>
    <w:rsid w:val="00B84AA6"/>
    <w:rsid w:val="00B84AE5"/>
    <w:rsid w:val="00B84B80"/>
    <w:rsid w:val="00B85191"/>
    <w:rsid w:val="00B85192"/>
    <w:rsid w:val="00B851A5"/>
    <w:rsid w:val="00B8578D"/>
    <w:rsid w:val="00B859FC"/>
    <w:rsid w:val="00B85F3E"/>
    <w:rsid w:val="00B867B6"/>
    <w:rsid w:val="00B8706D"/>
    <w:rsid w:val="00B8709E"/>
    <w:rsid w:val="00B870C7"/>
    <w:rsid w:val="00B87140"/>
    <w:rsid w:val="00B8775D"/>
    <w:rsid w:val="00B90172"/>
    <w:rsid w:val="00B903BA"/>
    <w:rsid w:val="00B9072E"/>
    <w:rsid w:val="00B9080B"/>
    <w:rsid w:val="00B915B6"/>
    <w:rsid w:val="00B91746"/>
    <w:rsid w:val="00B91A0A"/>
    <w:rsid w:val="00B9240C"/>
    <w:rsid w:val="00B924DC"/>
    <w:rsid w:val="00B9284F"/>
    <w:rsid w:val="00B92946"/>
    <w:rsid w:val="00B92BFA"/>
    <w:rsid w:val="00B92D1F"/>
    <w:rsid w:val="00B93DC8"/>
    <w:rsid w:val="00B940AB"/>
    <w:rsid w:val="00B94466"/>
    <w:rsid w:val="00B94786"/>
    <w:rsid w:val="00B947A5"/>
    <w:rsid w:val="00B94B4F"/>
    <w:rsid w:val="00B94EAB"/>
    <w:rsid w:val="00B9561F"/>
    <w:rsid w:val="00B9598D"/>
    <w:rsid w:val="00B96150"/>
    <w:rsid w:val="00B964E9"/>
    <w:rsid w:val="00B965F4"/>
    <w:rsid w:val="00B96621"/>
    <w:rsid w:val="00B967FC"/>
    <w:rsid w:val="00B9711A"/>
    <w:rsid w:val="00B972A7"/>
    <w:rsid w:val="00B978DC"/>
    <w:rsid w:val="00B97A9B"/>
    <w:rsid w:val="00B97B5D"/>
    <w:rsid w:val="00B97E63"/>
    <w:rsid w:val="00BA09C9"/>
    <w:rsid w:val="00BA0BF0"/>
    <w:rsid w:val="00BA0EC9"/>
    <w:rsid w:val="00BA1AF5"/>
    <w:rsid w:val="00BA2B5C"/>
    <w:rsid w:val="00BA39F7"/>
    <w:rsid w:val="00BA42A6"/>
    <w:rsid w:val="00BA43F8"/>
    <w:rsid w:val="00BA4511"/>
    <w:rsid w:val="00BA4928"/>
    <w:rsid w:val="00BA4E52"/>
    <w:rsid w:val="00BA51F9"/>
    <w:rsid w:val="00BA53E4"/>
    <w:rsid w:val="00BA5439"/>
    <w:rsid w:val="00BA5A0E"/>
    <w:rsid w:val="00BA6314"/>
    <w:rsid w:val="00BA64A6"/>
    <w:rsid w:val="00BA6795"/>
    <w:rsid w:val="00BA6975"/>
    <w:rsid w:val="00BA69CB"/>
    <w:rsid w:val="00BA6B07"/>
    <w:rsid w:val="00BA6ED1"/>
    <w:rsid w:val="00BA71EE"/>
    <w:rsid w:val="00BA75DD"/>
    <w:rsid w:val="00BA7811"/>
    <w:rsid w:val="00BA7A09"/>
    <w:rsid w:val="00BB069B"/>
    <w:rsid w:val="00BB072C"/>
    <w:rsid w:val="00BB1860"/>
    <w:rsid w:val="00BB1949"/>
    <w:rsid w:val="00BB2FA1"/>
    <w:rsid w:val="00BB33B8"/>
    <w:rsid w:val="00BB34B2"/>
    <w:rsid w:val="00BB34DE"/>
    <w:rsid w:val="00BB387C"/>
    <w:rsid w:val="00BB46B0"/>
    <w:rsid w:val="00BB4934"/>
    <w:rsid w:val="00BB49C9"/>
    <w:rsid w:val="00BB5993"/>
    <w:rsid w:val="00BB5ADA"/>
    <w:rsid w:val="00BB5ED4"/>
    <w:rsid w:val="00BB6954"/>
    <w:rsid w:val="00BB6B36"/>
    <w:rsid w:val="00BB7170"/>
    <w:rsid w:val="00BB71BE"/>
    <w:rsid w:val="00BB7382"/>
    <w:rsid w:val="00BB7426"/>
    <w:rsid w:val="00BB7DC3"/>
    <w:rsid w:val="00BB7DDD"/>
    <w:rsid w:val="00BC0AAB"/>
    <w:rsid w:val="00BC0E3B"/>
    <w:rsid w:val="00BC10D0"/>
    <w:rsid w:val="00BC1338"/>
    <w:rsid w:val="00BC1806"/>
    <w:rsid w:val="00BC1977"/>
    <w:rsid w:val="00BC1997"/>
    <w:rsid w:val="00BC1B13"/>
    <w:rsid w:val="00BC1BA7"/>
    <w:rsid w:val="00BC1EEF"/>
    <w:rsid w:val="00BC233A"/>
    <w:rsid w:val="00BC2490"/>
    <w:rsid w:val="00BC2650"/>
    <w:rsid w:val="00BC27E7"/>
    <w:rsid w:val="00BC2E8D"/>
    <w:rsid w:val="00BC325F"/>
    <w:rsid w:val="00BC3577"/>
    <w:rsid w:val="00BC39AA"/>
    <w:rsid w:val="00BC4539"/>
    <w:rsid w:val="00BC4DBE"/>
    <w:rsid w:val="00BC5193"/>
    <w:rsid w:val="00BC56A0"/>
    <w:rsid w:val="00BC5A0C"/>
    <w:rsid w:val="00BC5C17"/>
    <w:rsid w:val="00BC5DAD"/>
    <w:rsid w:val="00BC65DD"/>
    <w:rsid w:val="00BC6D69"/>
    <w:rsid w:val="00BC717F"/>
    <w:rsid w:val="00BC7A4F"/>
    <w:rsid w:val="00BC7B10"/>
    <w:rsid w:val="00BC7DE8"/>
    <w:rsid w:val="00BC7EBD"/>
    <w:rsid w:val="00BD02D5"/>
    <w:rsid w:val="00BD060C"/>
    <w:rsid w:val="00BD064E"/>
    <w:rsid w:val="00BD0ABF"/>
    <w:rsid w:val="00BD11B9"/>
    <w:rsid w:val="00BD182E"/>
    <w:rsid w:val="00BD2150"/>
    <w:rsid w:val="00BD224F"/>
    <w:rsid w:val="00BD27FA"/>
    <w:rsid w:val="00BD2833"/>
    <w:rsid w:val="00BD2924"/>
    <w:rsid w:val="00BD35D1"/>
    <w:rsid w:val="00BD374D"/>
    <w:rsid w:val="00BD3AE9"/>
    <w:rsid w:val="00BD3B85"/>
    <w:rsid w:val="00BD3E24"/>
    <w:rsid w:val="00BD3FFA"/>
    <w:rsid w:val="00BD51FC"/>
    <w:rsid w:val="00BD56F5"/>
    <w:rsid w:val="00BD58BE"/>
    <w:rsid w:val="00BD5CE0"/>
    <w:rsid w:val="00BD618D"/>
    <w:rsid w:val="00BD669E"/>
    <w:rsid w:val="00BD68DA"/>
    <w:rsid w:val="00BD771C"/>
    <w:rsid w:val="00BD7A12"/>
    <w:rsid w:val="00BD7C91"/>
    <w:rsid w:val="00BD7F69"/>
    <w:rsid w:val="00BE0474"/>
    <w:rsid w:val="00BE1084"/>
    <w:rsid w:val="00BE123A"/>
    <w:rsid w:val="00BE138B"/>
    <w:rsid w:val="00BE13DA"/>
    <w:rsid w:val="00BE1848"/>
    <w:rsid w:val="00BE18BF"/>
    <w:rsid w:val="00BE19EE"/>
    <w:rsid w:val="00BE1AC1"/>
    <w:rsid w:val="00BE1FFF"/>
    <w:rsid w:val="00BE210A"/>
    <w:rsid w:val="00BE2A62"/>
    <w:rsid w:val="00BE2A70"/>
    <w:rsid w:val="00BE2EF8"/>
    <w:rsid w:val="00BE311B"/>
    <w:rsid w:val="00BE31E4"/>
    <w:rsid w:val="00BE3857"/>
    <w:rsid w:val="00BE3EE8"/>
    <w:rsid w:val="00BE40AB"/>
    <w:rsid w:val="00BE419A"/>
    <w:rsid w:val="00BE4361"/>
    <w:rsid w:val="00BE507D"/>
    <w:rsid w:val="00BE5791"/>
    <w:rsid w:val="00BE58F8"/>
    <w:rsid w:val="00BE5CDB"/>
    <w:rsid w:val="00BE5E21"/>
    <w:rsid w:val="00BE6499"/>
    <w:rsid w:val="00BE6560"/>
    <w:rsid w:val="00BE73FA"/>
    <w:rsid w:val="00BE77A8"/>
    <w:rsid w:val="00BE7DDA"/>
    <w:rsid w:val="00BE7F29"/>
    <w:rsid w:val="00BF0293"/>
    <w:rsid w:val="00BF068E"/>
    <w:rsid w:val="00BF0871"/>
    <w:rsid w:val="00BF0BE5"/>
    <w:rsid w:val="00BF0C08"/>
    <w:rsid w:val="00BF0FB7"/>
    <w:rsid w:val="00BF11B3"/>
    <w:rsid w:val="00BF12E3"/>
    <w:rsid w:val="00BF1736"/>
    <w:rsid w:val="00BF177D"/>
    <w:rsid w:val="00BF1805"/>
    <w:rsid w:val="00BF2EA6"/>
    <w:rsid w:val="00BF3255"/>
    <w:rsid w:val="00BF328A"/>
    <w:rsid w:val="00BF33F6"/>
    <w:rsid w:val="00BF3D24"/>
    <w:rsid w:val="00BF41CA"/>
    <w:rsid w:val="00BF489F"/>
    <w:rsid w:val="00BF4B30"/>
    <w:rsid w:val="00BF50A3"/>
    <w:rsid w:val="00BF5104"/>
    <w:rsid w:val="00BF55D6"/>
    <w:rsid w:val="00BF55EF"/>
    <w:rsid w:val="00BF5703"/>
    <w:rsid w:val="00BF5830"/>
    <w:rsid w:val="00BF5851"/>
    <w:rsid w:val="00BF5C33"/>
    <w:rsid w:val="00BF5FCF"/>
    <w:rsid w:val="00BF6009"/>
    <w:rsid w:val="00BF60DC"/>
    <w:rsid w:val="00BF6A94"/>
    <w:rsid w:val="00BF6DC1"/>
    <w:rsid w:val="00BF6E8A"/>
    <w:rsid w:val="00BF731C"/>
    <w:rsid w:val="00BF7472"/>
    <w:rsid w:val="00BF772E"/>
    <w:rsid w:val="00BF7976"/>
    <w:rsid w:val="00BF7AD7"/>
    <w:rsid w:val="00BF7CF0"/>
    <w:rsid w:val="00C00052"/>
    <w:rsid w:val="00C0048E"/>
    <w:rsid w:val="00C00EDF"/>
    <w:rsid w:val="00C018B9"/>
    <w:rsid w:val="00C019A1"/>
    <w:rsid w:val="00C01F5F"/>
    <w:rsid w:val="00C01FB1"/>
    <w:rsid w:val="00C026AD"/>
    <w:rsid w:val="00C02E29"/>
    <w:rsid w:val="00C0321C"/>
    <w:rsid w:val="00C033ED"/>
    <w:rsid w:val="00C03474"/>
    <w:rsid w:val="00C03A51"/>
    <w:rsid w:val="00C03A94"/>
    <w:rsid w:val="00C03B92"/>
    <w:rsid w:val="00C03D19"/>
    <w:rsid w:val="00C03DDC"/>
    <w:rsid w:val="00C041DB"/>
    <w:rsid w:val="00C04A77"/>
    <w:rsid w:val="00C0535B"/>
    <w:rsid w:val="00C05751"/>
    <w:rsid w:val="00C05B0E"/>
    <w:rsid w:val="00C05C6B"/>
    <w:rsid w:val="00C05EC3"/>
    <w:rsid w:val="00C061F4"/>
    <w:rsid w:val="00C062A8"/>
    <w:rsid w:val="00C06897"/>
    <w:rsid w:val="00C100A4"/>
    <w:rsid w:val="00C103A6"/>
    <w:rsid w:val="00C103D0"/>
    <w:rsid w:val="00C106DC"/>
    <w:rsid w:val="00C10A53"/>
    <w:rsid w:val="00C10FEA"/>
    <w:rsid w:val="00C110E8"/>
    <w:rsid w:val="00C1123C"/>
    <w:rsid w:val="00C1155B"/>
    <w:rsid w:val="00C11C18"/>
    <w:rsid w:val="00C11F33"/>
    <w:rsid w:val="00C12120"/>
    <w:rsid w:val="00C12301"/>
    <w:rsid w:val="00C1258B"/>
    <w:rsid w:val="00C13040"/>
    <w:rsid w:val="00C133B1"/>
    <w:rsid w:val="00C13824"/>
    <w:rsid w:val="00C139C1"/>
    <w:rsid w:val="00C13A05"/>
    <w:rsid w:val="00C13CB1"/>
    <w:rsid w:val="00C13F3C"/>
    <w:rsid w:val="00C14134"/>
    <w:rsid w:val="00C1422E"/>
    <w:rsid w:val="00C14597"/>
    <w:rsid w:val="00C146E2"/>
    <w:rsid w:val="00C14740"/>
    <w:rsid w:val="00C14A1A"/>
    <w:rsid w:val="00C14AA4"/>
    <w:rsid w:val="00C15175"/>
    <w:rsid w:val="00C1594D"/>
    <w:rsid w:val="00C15A46"/>
    <w:rsid w:val="00C15B1D"/>
    <w:rsid w:val="00C16115"/>
    <w:rsid w:val="00C1621E"/>
    <w:rsid w:val="00C170B9"/>
    <w:rsid w:val="00C17D15"/>
    <w:rsid w:val="00C17D83"/>
    <w:rsid w:val="00C20912"/>
    <w:rsid w:val="00C20BC7"/>
    <w:rsid w:val="00C21111"/>
    <w:rsid w:val="00C21A5A"/>
    <w:rsid w:val="00C21D41"/>
    <w:rsid w:val="00C2204F"/>
    <w:rsid w:val="00C2240C"/>
    <w:rsid w:val="00C22802"/>
    <w:rsid w:val="00C22F5A"/>
    <w:rsid w:val="00C236C7"/>
    <w:rsid w:val="00C23785"/>
    <w:rsid w:val="00C237DF"/>
    <w:rsid w:val="00C23AC3"/>
    <w:rsid w:val="00C23EED"/>
    <w:rsid w:val="00C2477D"/>
    <w:rsid w:val="00C24C61"/>
    <w:rsid w:val="00C255E1"/>
    <w:rsid w:val="00C25840"/>
    <w:rsid w:val="00C2584E"/>
    <w:rsid w:val="00C25A56"/>
    <w:rsid w:val="00C25B52"/>
    <w:rsid w:val="00C25DC6"/>
    <w:rsid w:val="00C260DC"/>
    <w:rsid w:val="00C26130"/>
    <w:rsid w:val="00C26158"/>
    <w:rsid w:val="00C2642F"/>
    <w:rsid w:val="00C26B1B"/>
    <w:rsid w:val="00C270A7"/>
    <w:rsid w:val="00C27657"/>
    <w:rsid w:val="00C27999"/>
    <w:rsid w:val="00C27EBA"/>
    <w:rsid w:val="00C27EC1"/>
    <w:rsid w:val="00C27FEC"/>
    <w:rsid w:val="00C30532"/>
    <w:rsid w:val="00C306D6"/>
    <w:rsid w:val="00C307EA"/>
    <w:rsid w:val="00C30A3C"/>
    <w:rsid w:val="00C319A4"/>
    <w:rsid w:val="00C319C9"/>
    <w:rsid w:val="00C31EAC"/>
    <w:rsid w:val="00C31FDB"/>
    <w:rsid w:val="00C32F95"/>
    <w:rsid w:val="00C33549"/>
    <w:rsid w:val="00C338E5"/>
    <w:rsid w:val="00C33A10"/>
    <w:rsid w:val="00C33E3A"/>
    <w:rsid w:val="00C340F5"/>
    <w:rsid w:val="00C3421C"/>
    <w:rsid w:val="00C349EA"/>
    <w:rsid w:val="00C34DDA"/>
    <w:rsid w:val="00C34E9E"/>
    <w:rsid w:val="00C35283"/>
    <w:rsid w:val="00C357BD"/>
    <w:rsid w:val="00C35C14"/>
    <w:rsid w:val="00C35C7F"/>
    <w:rsid w:val="00C35E2B"/>
    <w:rsid w:val="00C36D81"/>
    <w:rsid w:val="00C36F78"/>
    <w:rsid w:val="00C373FD"/>
    <w:rsid w:val="00C377E4"/>
    <w:rsid w:val="00C40120"/>
    <w:rsid w:val="00C40608"/>
    <w:rsid w:val="00C41D03"/>
    <w:rsid w:val="00C425A9"/>
    <w:rsid w:val="00C435BF"/>
    <w:rsid w:val="00C43B94"/>
    <w:rsid w:val="00C44008"/>
    <w:rsid w:val="00C44DB1"/>
    <w:rsid w:val="00C4560B"/>
    <w:rsid w:val="00C45BF0"/>
    <w:rsid w:val="00C45CD8"/>
    <w:rsid w:val="00C45DD3"/>
    <w:rsid w:val="00C46617"/>
    <w:rsid w:val="00C4669D"/>
    <w:rsid w:val="00C46816"/>
    <w:rsid w:val="00C4735E"/>
    <w:rsid w:val="00C474E4"/>
    <w:rsid w:val="00C4781D"/>
    <w:rsid w:val="00C47E29"/>
    <w:rsid w:val="00C47FE6"/>
    <w:rsid w:val="00C5068A"/>
    <w:rsid w:val="00C508FE"/>
    <w:rsid w:val="00C511C3"/>
    <w:rsid w:val="00C513CC"/>
    <w:rsid w:val="00C51FA2"/>
    <w:rsid w:val="00C520B3"/>
    <w:rsid w:val="00C52517"/>
    <w:rsid w:val="00C52577"/>
    <w:rsid w:val="00C52C7B"/>
    <w:rsid w:val="00C52FC8"/>
    <w:rsid w:val="00C530B2"/>
    <w:rsid w:val="00C5330F"/>
    <w:rsid w:val="00C534BD"/>
    <w:rsid w:val="00C5357D"/>
    <w:rsid w:val="00C535B3"/>
    <w:rsid w:val="00C53A32"/>
    <w:rsid w:val="00C53A5B"/>
    <w:rsid w:val="00C53D4A"/>
    <w:rsid w:val="00C5427F"/>
    <w:rsid w:val="00C5456F"/>
    <w:rsid w:val="00C54B61"/>
    <w:rsid w:val="00C554AE"/>
    <w:rsid w:val="00C55827"/>
    <w:rsid w:val="00C55B66"/>
    <w:rsid w:val="00C55F25"/>
    <w:rsid w:val="00C5698C"/>
    <w:rsid w:val="00C56CEB"/>
    <w:rsid w:val="00C57777"/>
    <w:rsid w:val="00C579F3"/>
    <w:rsid w:val="00C60344"/>
    <w:rsid w:val="00C603FE"/>
    <w:rsid w:val="00C60750"/>
    <w:rsid w:val="00C607F0"/>
    <w:rsid w:val="00C60F53"/>
    <w:rsid w:val="00C60F6B"/>
    <w:rsid w:val="00C6108C"/>
    <w:rsid w:val="00C61224"/>
    <w:rsid w:val="00C612AB"/>
    <w:rsid w:val="00C6144E"/>
    <w:rsid w:val="00C61FCB"/>
    <w:rsid w:val="00C6279D"/>
    <w:rsid w:val="00C634AC"/>
    <w:rsid w:val="00C636FE"/>
    <w:rsid w:val="00C639F7"/>
    <w:rsid w:val="00C646D0"/>
    <w:rsid w:val="00C64F83"/>
    <w:rsid w:val="00C65566"/>
    <w:rsid w:val="00C65585"/>
    <w:rsid w:val="00C656BF"/>
    <w:rsid w:val="00C65E2A"/>
    <w:rsid w:val="00C65EFB"/>
    <w:rsid w:val="00C66199"/>
    <w:rsid w:val="00C66218"/>
    <w:rsid w:val="00C6665E"/>
    <w:rsid w:val="00C66797"/>
    <w:rsid w:val="00C66841"/>
    <w:rsid w:val="00C66AAB"/>
    <w:rsid w:val="00C66B2C"/>
    <w:rsid w:val="00C679EC"/>
    <w:rsid w:val="00C703D6"/>
    <w:rsid w:val="00C708DD"/>
    <w:rsid w:val="00C70FFC"/>
    <w:rsid w:val="00C71116"/>
    <w:rsid w:val="00C71621"/>
    <w:rsid w:val="00C718BA"/>
    <w:rsid w:val="00C71EFB"/>
    <w:rsid w:val="00C71FCD"/>
    <w:rsid w:val="00C720F1"/>
    <w:rsid w:val="00C72718"/>
    <w:rsid w:val="00C72755"/>
    <w:rsid w:val="00C72A3E"/>
    <w:rsid w:val="00C72BF4"/>
    <w:rsid w:val="00C72C54"/>
    <w:rsid w:val="00C72FD6"/>
    <w:rsid w:val="00C735AF"/>
    <w:rsid w:val="00C73ABD"/>
    <w:rsid w:val="00C73C3E"/>
    <w:rsid w:val="00C745F0"/>
    <w:rsid w:val="00C746EA"/>
    <w:rsid w:val="00C74A66"/>
    <w:rsid w:val="00C74D80"/>
    <w:rsid w:val="00C74E6D"/>
    <w:rsid w:val="00C74F87"/>
    <w:rsid w:val="00C759D9"/>
    <w:rsid w:val="00C75FFC"/>
    <w:rsid w:val="00C76012"/>
    <w:rsid w:val="00C765F0"/>
    <w:rsid w:val="00C76660"/>
    <w:rsid w:val="00C76A03"/>
    <w:rsid w:val="00C773D2"/>
    <w:rsid w:val="00C800A7"/>
    <w:rsid w:val="00C81459"/>
    <w:rsid w:val="00C81643"/>
    <w:rsid w:val="00C81717"/>
    <w:rsid w:val="00C81E8C"/>
    <w:rsid w:val="00C82282"/>
    <w:rsid w:val="00C8292C"/>
    <w:rsid w:val="00C82C19"/>
    <w:rsid w:val="00C82EB3"/>
    <w:rsid w:val="00C82FD2"/>
    <w:rsid w:val="00C83276"/>
    <w:rsid w:val="00C8344E"/>
    <w:rsid w:val="00C835BA"/>
    <w:rsid w:val="00C83D96"/>
    <w:rsid w:val="00C8409A"/>
    <w:rsid w:val="00C84583"/>
    <w:rsid w:val="00C84A56"/>
    <w:rsid w:val="00C84C23"/>
    <w:rsid w:val="00C85115"/>
    <w:rsid w:val="00C85A57"/>
    <w:rsid w:val="00C85CB7"/>
    <w:rsid w:val="00C861BF"/>
    <w:rsid w:val="00C8641C"/>
    <w:rsid w:val="00C86519"/>
    <w:rsid w:val="00C86B03"/>
    <w:rsid w:val="00C86B37"/>
    <w:rsid w:val="00C86BBA"/>
    <w:rsid w:val="00C86FCD"/>
    <w:rsid w:val="00C875A6"/>
    <w:rsid w:val="00C8765C"/>
    <w:rsid w:val="00C879F6"/>
    <w:rsid w:val="00C87CD3"/>
    <w:rsid w:val="00C907D2"/>
    <w:rsid w:val="00C90A7F"/>
    <w:rsid w:val="00C91629"/>
    <w:rsid w:val="00C917C9"/>
    <w:rsid w:val="00C91A30"/>
    <w:rsid w:val="00C91A73"/>
    <w:rsid w:val="00C91B21"/>
    <w:rsid w:val="00C91BEF"/>
    <w:rsid w:val="00C91E18"/>
    <w:rsid w:val="00C923D5"/>
    <w:rsid w:val="00C929C6"/>
    <w:rsid w:val="00C92DE0"/>
    <w:rsid w:val="00C92E33"/>
    <w:rsid w:val="00C932E1"/>
    <w:rsid w:val="00C9384F"/>
    <w:rsid w:val="00C93C8A"/>
    <w:rsid w:val="00C9407A"/>
    <w:rsid w:val="00C94263"/>
    <w:rsid w:val="00C95007"/>
    <w:rsid w:val="00C95176"/>
    <w:rsid w:val="00C953BF"/>
    <w:rsid w:val="00C957C0"/>
    <w:rsid w:val="00C968A8"/>
    <w:rsid w:val="00C968DE"/>
    <w:rsid w:val="00C96AAA"/>
    <w:rsid w:val="00C96B50"/>
    <w:rsid w:val="00C96CFB"/>
    <w:rsid w:val="00C971CB"/>
    <w:rsid w:val="00C971D6"/>
    <w:rsid w:val="00C974C4"/>
    <w:rsid w:val="00C97611"/>
    <w:rsid w:val="00C979C2"/>
    <w:rsid w:val="00CA0213"/>
    <w:rsid w:val="00CA0262"/>
    <w:rsid w:val="00CA09EC"/>
    <w:rsid w:val="00CA0B25"/>
    <w:rsid w:val="00CA0B9A"/>
    <w:rsid w:val="00CA1A62"/>
    <w:rsid w:val="00CA24F2"/>
    <w:rsid w:val="00CA292A"/>
    <w:rsid w:val="00CA2974"/>
    <w:rsid w:val="00CA2AD1"/>
    <w:rsid w:val="00CA339F"/>
    <w:rsid w:val="00CA39E6"/>
    <w:rsid w:val="00CA3C81"/>
    <w:rsid w:val="00CA3CF1"/>
    <w:rsid w:val="00CA4146"/>
    <w:rsid w:val="00CA4D07"/>
    <w:rsid w:val="00CA5A5F"/>
    <w:rsid w:val="00CA5A9E"/>
    <w:rsid w:val="00CA5BB4"/>
    <w:rsid w:val="00CA5CCD"/>
    <w:rsid w:val="00CA5EB8"/>
    <w:rsid w:val="00CA66B5"/>
    <w:rsid w:val="00CA6860"/>
    <w:rsid w:val="00CA6893"/>
    <w:rsid w:val="00CA7A6E"/>
    <w:rsid w:val="00CA7C02"/>
    <w:rsid w:val="00CB00D3"/>
    <w:rsid w:val="00CB01F0"/>
    <w:rsid w:val="00CB05F0"/>
    <w:rsid w:val="00CB06A7"/>
    <w:rsid w:val="00CB0BEA"/>
    <w:rsid w:val="00CB0CF4"/>
    <w:rsid w:val="00CB11ED"/>
    <w:rsid w:val="00CB16CF"/>
    <w:rsid w:val="00CB17B7"/>
    <w:rsid w:val="00CB1A13"/>
    <w:rsid w:val="00CB1D52"/>
    <w:rsid w:val="00CB23C7"/>
    <w:rsid w:val="00CB25CF"/>
    <w:rsid w:val="00CB2673"/>
    <w:rsid w:val="00CB2B48"/>
    <w:rsid w:val="00CB31C1"/>
    <w:rsid w:val="00CB3689"/>
    <w:rsid w:val="00CB3745"/>
    <w:rsid w:val="00CB38A0"/>
    <w:rsid w:val="00CB3A99"/>
    <w:rsid w:val="00CB40A4"/>
    <w:rsid w:val="00CB498E"/>
    <w:rsid w:val="00CB4B45"/>
    <w:rsid w:val="00CB4FF2"/>
    <w:rsid w:val="00CB5B13"/>
    <w:rsid w:val="00CB6149"/>
    <w:rsid w:val="00CB668C"/>
    <w:rsid w:val="00CB68E1"/>
    <w:rsid w:val="00CB76C9"/>
    <w:rsid w:val="00CB78C8"/>
    <w:rsid w:val="00CB7FCC"/>
    <w:rsid w:val="00CC02FF"/>
    <w:rsid w:val="00CC0A4F"/>
    <w:rsid w:val="00CC0E22"/>
    <w:rsid w:val="00CC104D"/>
    <w:rsid w:val="00CC1343"/>
    <w:rsid w:val="00CC16F1"/>
    <w:rsid w:val="00CC2A84"/>
    <w:rsid w:val="00CC3745"/>
    <w:rsid w:val="00CC389E"/>
    <w:rsid w:val="00CC3CAF"/>
    <w:rsid w:val="00CC4580"/>
    <w:rsid w:val="00CC459E"/>
    <w:rsid w:val="00CC4968"/>
    <w:rsid w:val="00CC49E4"/>
    <w:rsid w:val="00CC4D9C"/>
    <w:rsid w:val="00CC4E9E"/>
    <w:rsid w:val="00CC6914"/>
    <w:rsid w:val="00CC6B3A"/>
    <w:rsid w:val="00CC6C46"/>
    <w:rsid w:val="00CC736F"/>
    <w:rsid w:val="00CC742D"/>
    <w:rsid w:val="00CC78DB"/>
    <w:rsid w:val="00CC7ED9"/>
    <w:rsid w:val="00CC7F97"/>
    <w:rsid w:val="00CD0081"/>
    <w:rsid w:val="00CD02CB"/>
    <w:rsid w:val="00CD04BF"/>
    <w:rsid w:val="00CD0C9A"/>
    <w:rsid w:val="00CD1314"/>
    <w:rsid w:val="00CD1713"/>
    <w:rsid w:val="00CD1CEA"/>
    <w:rsid w:val="00CD1D4D"/>
    <w:rsid w:val="00CD2597"/>
    <w:rsid w:val="00CD2878"/>
    <w:rsid w:val="00CD2B28"/>
    <w:rsid w:val="00CD2D8E"/>
    <w:rsid w:val="00CD3883"/>
    <w:rsid w:val="00CD39CE"/>
    <w:rsid w:val="00CD39EF"/>
    <w:rsid w:val="00CD42C9"/>
    <w:rsid w:val="00CD4C32"/>
    <w:rsid w:val="00CD4F12"/>
    <w:rsid w:val="00CD5469"/>
    <w:rsid w:val="00CD5DAE"/>
    <w:rsid w:val="00CD6472"/>
    <w:rsid w:val="00CD662B"/>
    <w:rsid w:val="00CD67C6"/>
    <w:rsid w:val="00CD69FE"/>
    <w:rsid w:val="00CD6CA8"/>
    <w:rsid w:val="00CD6E6F"/>
    <w:rsid w:val="00CD6F08"/>
    <w:rsid w:val="00CD6F17"/>
    <w:rsid w:val="00CD706B"/>
    <w:rsid w:val="00CD70B7"/>
    <w:rsid w:val="00CD7181"/>
    <w:rsid w:val="00CD7265"/>
    <w:rsid w:val="00CD7758"/>
    <w:rsid w:val="00CD776E"/>
    <w:rsid w:val="00CD78DC"/>
    <w:rsid w:val="00CD7BC9"/>
    <w:rsid w:val="00CD7FA2"/>
    <w:rsid w:val="00CE0300"/>
    <w:rsid w:val="00CE0719"/>
    <w:rsid w:val="00CE0B64"/>
    <w:rsid w:val="00CE0C9D"/>
    <w:rsid w:val="00CE1379"/>
    <w:rsid w:val="00CE1BC1"/>
    <w:rsid w:val="00CE1C85"/>
    <w:rsid w:val="00CE1EC1"/>
    <w:rsid w:val="00CE250E"/>
    <w:rsid w:val="00CE29BF"/>
    <w:rsid w:val="00CE31DC"/>
    <w:rsid w:val="00CE32E6"/>
    <w:rsid w:val="00CE336C"/>
    <w:rsid w:val="00CE341B"/>
    <w:rsid w:val="00CE3599"/>
    <w:rsid w:val="00CE35DC"/>
    <w:rsid w:val="00CE36F6"/>
    <w:rsid w:val="00CE3BF7"/>
    <w:rsid w:val="00CE3C84"/>
    <w:rsid w:val="00CE3DC8"/>
    <w:rsid w:val="00CE426A"/>
    <w:rsid w:val="00CE45D5"/>
    <w:rsid w:val="00CE470D"/>
    <w:rsid w:val="00CE4B7B"/>
    <w:rsid w:val="00CE5096"/>
    <w:rsid w:val="00CE56FD"/>
    <w:rsid w:val="00CE5793"/>
    <w:rsid w:val="00CE58FE"/>
    <w:rsid w:val="00CE68A0"/>
    <w:rsid w:val="00CE6982"/>
    <w:rsid w:val="00CE6A58"/>
    <w:rsid w:val="00CE6E09"/>
    <w:rsid w:val="00CE6F2A"/>
    <w:rsid w:val="00CE79B6"/>
    <w:rsid w:val="00CE7F33"/>
    <w:rsid w:val="00CF0214"/>
    <w:rsid w:val="00CF0322"/>
    <w:rsid w:val="00CF0379"/>
    <w:rsid w:val="00CF037D"/>
    <w:rsid w:val="00CF0846"/>
    <w:rsid w:val="00CF0AE0"/>
    <w:rsid w:val="00CF0FA0"/>
    <w:rsid w:val="00CF1708"/>
    <w:rsid w:val="00CF235E"/>
    <w:rsid w:val="00CF2B4C"/>
    <w:rsid w:val="00CF3451"/>
    <w:rsid w:val="00CF356D"/>
    <w:rsid w:val="00CF3600"/>
    <w:rsid w:val="00CF3957"/>
    <w:rsid w:val="00CF4A5A"/>
    <w:rsid w:val="00CF51DD"/>
    <w:rsid w:val="00CF56B5"/>
    <w:rsid w:val="00CF591E"/>
    <w:rsid w:val="00CF5AB0"/>
    <w:rsid w:val="00CF63AC"/>
    <w:rsid w:val="00CF6783"/>
    <w:rsid w:val="00CF6EDF"/>
    <w:rsid w:val="00CF70A7"/>
    <w:rsid w:val="00CF731E"/>
    <w:rsid w:val="00CF779F"/>
    <w:rsid w:val="00CF780F"/>
    <w:rsid w:val="00D002A1"/>
    <w:rsid w:val="00D002BF"/>
    <w:rsid w:val="00D002E7"/>
    <w:rsid w:val="00D0235E"/>
    <w:rsid w:val="00D023D8"/>
    <w:rsid w:val="00D0261B"/>
    <w:rsid w:val="00D0283A"/>
    <w:rsid w:val="00D02B50"/>
    <w:rsid w:val="00D030CF"/>
    <w:rsid w:val="00D03144"/>
    <w:rsid w:val="00D032E2"/>
    <w:rsid w:val="00D0367E"/>
    <w:rsid w:val="00D03FE2"/>
    <w:rsid w:val="00D041DC"/>
    <w:rsid w:val="00D043E3"/>
    <w:rsid w:val="00D048F3"/>
    <w:rsid w:val="00D04966"/>
    <w:rsid w:val="00D04AC9"/>
    <w:rsid w:val="00D04AF6"/>
    <w:rsid w:val="00D04E3C"/>
    <w:rsid w:val="00D0555A"/>
    <w:rsid w:val="00D05B87"/>
    <w:rsid w:val="00D066A8"/>
    <w:rsid w:val="00D07114"/>
    <w:rsid w:val="00D071FD"/>
    <w:rsid w:val="00D077FA"/>
    <w:rsid w:val="00D07B50"/>
    <w:rsid w:val="00D10556"/>
    <w:rsid w:val="00D1064B"/>
    <w:rsid w:val="00D111B2"/>
    <w:rsid w:val="00D11384"/>
    <w:rsid w:val="00D11437"/>
    <w:rsid w:val="00D116C9"/>
    <w:rsid w:val="00D116F3"/>
    <w:rsid w:val="00D119A6"/>
    <w:rsid w:val="00D11F99"/>
    <w:rsid w:val="00D12304"/>
    <w:rsid w:val="00D1236C"/>
    <w:rsid w:val="00D12CE7"/>
    <w:rsid w:val="00D1365C"/>
    <w:rsid w:val="00D13BAD"/>
    <w:rsid w:val="00D14895"/>
    <w:rsid w:val="00D1519C"/>
    <w:rsid w:val="00D151DA"/>
    <w:rsid w:val="00D15BB1"/>
    <w:rsid w:val="00D1627B"/>
    <w:rsid w:val="00D1635F"/>
    <w:rsid w:val="00D1643D"/>
    <w:rsid w:val="00D170E0"/>
    <w:rsid w:val="00D17248"/>
    <w:rsid w:val="00D17293"/>
    <w:rsid w:val="00D172FC"/>
    <w:rsid w:val="00D1743C"/>
    <w:rsid w:val="00D17C8F"/>
    <w:rsid w:val="00D17D4C"/>
    <w:rsid w:val="00D17D69"/>
    <w:rsid w:val="00D20133"/>
    <w:rsid w:val="00D20381"/>
    <w:rsid w:val="00D2046C"/>
    <w:rsid w:val="00D204B6"/>
    <w:rsid w:val="00D20679"/>
    <w:rsid w:val="00D20F11"/>
    <w:rsid w:val="00D214B3"/>
    <w:rsid w:val="00D21704"/>
    <w:rsid w:val="00D226C8"/>
    <w:rsid w:val="00D22C39"/>
    <w:rsid w:val="00D22CEB"/>
    <w:rsid w:val="00D22F57"/>
    <w:rsid w:val="00D23254"/>
    <w:rsid w:val="00D236A9"/>
    <w:rsid w:val="00D2404C"/>
    <w:rsid w:val="00D24084"/>
    <w:rsid w:val="00D24586"/>
    <w:rsid w:val="00D24809"/>
    <w:rsid w:val="00D24EFA"/>
    <w:rsid w:val="00D2510B"/>
    <w:rsid w:val="00D2574D"/>
    <w:rsid w:val="00D25862"/>
    <w:rsid w:val="00D2599D"/>
    <w:rsid w:val="00D25EE7"/>
    <w:rsid w:val="00D26046"/>
    <w:rsid w:val="00D261F8"/>
    <w:rsid w:val="00D2699A"/>
    <w:rsid w:val="00D26A79"/>
    <w:rsid w:val="00D26FFE"/>
    <w:rsid w:val="00D273A0"/>
    <w:rsid w:val="00D273EA"/>
    <w:rsid w:val="00D27932"/>
    <w:rsid w:val="00D30089"/>
    <w:rsid w:val="00D30119"/>
    <w:rsid w:val="00D30906"/>
    <w:rsid w:val="00D30D20"/>
    <w:rsid w:val="00D31118"/>
    <w:rsid w:val="00D3149C"/>
    <w:rsid w:val="00D314AE"/>
    <w:rsid w:val="00D3170B"/>
    <w:rsid w:val="00D32E1F"/>
    <w:rsid w:val="00D33FB4"/>
    <w:rsid w:val="00D341C0"/>
    <w:rsid w:val="00D3446B"/>
    <w:rsid w:val="00D34A41"/>
    <w:rsid w:val="00D34E7A"/>
    <w:rsid w:val="00D35814"/>
    <w:rsid w:val="00D359FE"/>
    <w:rsid w:val="00D35FA5"/>
    <w:rsid w:val="00D3619B"/>
    <w:rsid w:val="00D364E0"/>
    <w:rsid w:val="00D365F4"/>
    <w:rsid w:val="00D37290"/>
    <w:rsid w:val="00D37423"/>
    <w:rsid w:val="00D37558"/>
    <w:rsid w:val="00D4000F"/>
    <w:rsid w:val="00D404DD"/>
    <w:rsid w:val="00D405DD"/>
    <w:rsid w:val="00D40837"/>
    <w:rsid w:val="00D4094A"/>
    <w:rsid w:val="00D410D5"/>
    <w:rsid w:val="00D414E8"/>
    <w:rsid w:val="00D41A46"/>
    <w:rsid w:val="00D41BBE"/>
    <w:rsid w:val="00D41DE1"/>
    <w:rsid w:val="00D424C3"/>
    <w:rsid w:val="00D42813"/>
    <w:rsid w:val="00D42CFE"/>
    <w:rsid w:val="00D43B80"/>
    <w:rsid w:val="00D43E65"/>
    <w:rsid w:val="00D4408A"/>
    <w:rsid w:val="00D44203"/>
    <w:rsid w:val="00D444D1"/>
    <w:rsid w:val="00D4471A"/>
    <w:rsid w:val="00D449FD"/>
    <w:rsid w:val="00D44DFE"/>
    <w:rsid w:val="00D44EE8"/>
    <w:rsid w:val="00D45648"/>
    <w:rsid w:val="00D45665"/>
    <w:rsid w:val="00D45F38"/>
    <w:rsid w:val="00D464DF"/>
    <w:rsid w:val="00D4676C"/>
    <w:rsid w:val="00D4677A"/>
    <w:rsid w:val="00D468FF"/>
    <w:rsid w:val="00D46B53"/>
    <w:rsid w:val="00D46F28"/>
    <w:rsid w:val="00D470BB"/>
    <w:rsid w:val="00D472AF"/>
    <w:rsid w:val="00D4734D"/>
    <w:rsid w:val="00D473A0"/>
    <w:rsid w:val="00D4742C"/>
    <w:rsid w:val="00D47775"/>
    <w:rsid w:val="00D479F2"/>
    <w:rsid w:val="00D47DC7"/>
    <w:rsid w:val="00D50006"/>
    <w:rsid w:val="00D5001D"/>
    <w:rsid w:val="00D50113"/>
    <w:rsid w:val="00D50305"/>
    <w:rsid w:val="00D503B7"/>
    <w:rsid w:val="00D5058C"/>
    <w:rsid w:val="00D505B1"/>
    <w:rsid w:val="00D506E2"/>
    <w:rsid w:val="00D50D07"/>
    <w:rsid w:val="00D51027"/>
    <w:rsid w:val="00D51301"/>
    <w:rsid w:val="00D51419"/>
    <w:rsid w:val="00D5147F"/>
    <w:rsid w:val="00D51775"/>
    <w:rsid w:val="00D51BE5"/>
    <w:rsid w:val="00D52265"/>
    <w:rsid w:val="00D523AA"/>
    <w:rsid w:val="00D5266C"/>
    <w:rsid w:val="00D52975"/>
    <w:rsid w:val="00D52CFB"/>
    <w:rsid w:val="00D53219"/>
    <w:rsid w:val="00D53551"/>
    <w:rsid w:val="00D536F3"/>
    <w:rsid w:val="00D53A50"/>
    <w:rsid w:val="00D53AEC"/>
    <w:rsid w:val="00D54CE3"/>
    <w:rsid w:val="00D55072"/>
    <w:rsid w:val="00D55400"/>
    <w:rsid w:val="00D55A60"/>
    <w:rsid w:val="00D55ED9"/>
    <w:rsid w:val="00D56240"/>
    <w:rsid w:val="00D566A0"/>
    <w:rsid w:val="00D56760"/>
    <w:rsid w:val="00D56801"/>
    <w:rsid w:val="00D569F1"/>
    <w:rsid w:val="00D5716C"/>
    <w:rsid w:val="00D5721F"/>
    <w:rsid w:val="00D57275"/>
    <w:rsid w:val="00D573AD"/>
    <w:rsid w:val="00D5784A"/>
    <w:rsid w:val="00D57E84"/>
    <w:rsid w:val="00D60ABB"/>
    <w:rsid w:val="00D60FED"/>
    <w:rsid w:val="00D61747"/>
    <w:rsid w:val="00D61AB5"/>
    <w:rsid w:val="00D61EF5"/>
    <w:rsid w:val="00D62A10"/>
    <w:rsid w:val="00D62BCE"/>
    <w:rsid w:val="00D62CA4"/>
    <w:rsid w:val="00D62CF4"/>
    <w:rsid w:val="00D62D48"/>
    <w:rsid w:val="00D62FB9"/>
    <w:rsid w:val="00D62FC0"/>
    <w:rsid w:val="00D6317F"/>
    <w:rsid w:val="00D635EA"/>
    <w:rsid w:val="00D63951"/>
    <w:rsid w:val="00D642CB"/>
    <w:rsid w:val="00D64468"/>
    <w:rsid w:val="00D64996"/>
    <w:rsid w:val="00D64A3F"/>
    <w:rsid w:val="00D64C62"/>
    <w:rsid w:val="00D65404"/>
    <w:rsid w:val="00D654C0"/>
    <w:rsid w:val="00D6563F"/>
    <w:rsid w:val="00D659B0"/>
    <w:rsid w:val="00D65A40"/>
    <w:rsid w:val="00D66296"/>
    <w:rsid w:val="00D6651A"/>
    <w:rsid w:val="00D66941"/>
    <w:rsid w:val="00D66EB1"/>
    <w:rsid w:val="00D67445"/>
    <w:rsid w:val="00D674BF"/>
    <w:rsid w:val="00D67D6A"/>
    <w:rsid w:val="00D70594"/>
    <w:rsid w:val="00D705D7"/>
    <w:rsid w:val="00D70688"/>
    <w:rsid w:val="00D70CFC"/>
    <w:rsid w:val="00D70E84"/>
    <w:rsid w:val="00D70F6E"/>
    <w:rsid w:val="00D714AF"/>
    <w:rsid w:val="00D718A0"/>
    <w:rsid w:val="00D71A8E"/>
    <w:rsid w:val="00D71E6B"/>
    <w:rsid w:val="00D72238"/>
    <w:rsid w:val="00D72313"/>
    <w:rsid w:val="00D7307D"/>
    <w:rsid w:val="00D73440"/>
    <w:rsid w:val="00D740DD"/>
    <w:rsid w:val="00D743D4"/>
    <w:rsid w:val="00D7534A"/>
    <w:rsid w:val="00D75CFE"/>
    <w:rsid w:val="00D75E19"/>
    <w:rsid w:val="00D7604C"/>
    <w:rsid w:val="00D7626F"/>
    <w:rsid w:val="00D7677B"/>
    <w:rsid w:val="00D767BF"/>
    <w:rsid w:val="00D76B59"/>
    <w:rsid w:val="00D7779F"/>
    <w:rsid w:val="00D77A48"/>
    <w:rsid w:val="00D77AF9"/>
    <w:rsid w:val="00D80101"/>
    <w:rsid w:val="00D80805"/>
    <w:rsid w:val="00D8089F"/>
    <w:rsid w:val="00D80FEF"/>
    <w:rsid w:val="00D810C3"/>
    <w:rsid w:val="00D81198"/>
    <w:rsid w:val="00D813FC"/>
    <w:rsid w:val="00D81A35"/>
    <w:rsid w:val="00D821DF"/>
    <w:rsid w:val="00D82220"/>
    <w:rsid w:val="00D8245C"/>
    <w:rsid w:val="00D828FA"/>
    <w:rsid w:val="00D829D5"/>
    <w:rsid w:val="00D82FB4"/>
    <w:rsid w:val="00D82FF3"/>
    <w:rsid w:val="00D83087"/>
    <w:rsid w:val="00D830A3"/>
    <w:rsid w:val="00D834BC"/>
    <w:rsid w:val="00D836F5"/>
    <w:rsid w:val="00D83E69"/>
    <w:rsid w:val="00D84425"/>
    <w:rsid w:val="00D8447A"/>
    <w:rsid w:val="00D846E8"/>
    <w:rsid w:val="00D84774"/>
    <w:rsid w:val="00D84B07"/>
    <w:rsid w:val="00D84FAD"/>
    <w:rsid w:val="00D84FD9"/>
    <w:rsid w:val="00D850E2"/>
    <w:rsid w:val="00D855F0"/>
    <w:rsid w:val="00D857D9"/>
    <w:rsid w:val="00D85F8F"/>
    <w:rsid w:val="00D8614A"/>
    <w:rsid w:val="00D86B04"/>
    <w:rsid w:val="00D86F53"/>
    <w:rsid w:val="00D87101"/>
    <w:rsid w:val="00D8756B"/>
    <w:rsid w:val="00D900C6"/>
    <w:rsid w:val="00D90333"/>
    <w:rsid w:val="00D903B6"/>
    <w:rsid w:val="00D904D3"/>
    <w:rsid w:val="00D91681"/>
    <w:rsid w:val="00D91990"/>
    <w:rsid w:val="00D91DFF"/>
    <w:rsid w:val="00D91E34"/>
    <w:rsid w:val="00D91FBC"/>
    <w:rsid w:val="00D92484"/>
    <w:rsid w:val="00D9257B"/>
    <w:rsid w:val="00D932D2"/>
    <w:rsid w:val="00D93778"/>
    <w:rsid w:val="00D94326"/>
    <w:rsid w:val="00D947DA"/>
    <w:rsid w:val="00D94C94"/>
    <w:rsid w:val="00D94D5C"/>
    <w:rsid w:val="00D9561A"/>
    <w:rsid w:val="00D95A99"/>
    <w:rsid w:val="00D96321"/>
    <w:rsid w:val="00D96435"/>
    <w:rsid w:val="00D96A08"/>
    <w:rsid w:val="00D9724B"/>
    <w:rsid w:val="00DA0374"/>
    <w:rsid w:val="00DA03B5"/>
    <w:rsid w:val="00DA044B"/>
    <w:rsid w:val="00DA09B8"/>
    <w:rsid w:val="00DA09F3"/>
    <w:rsid w:val="00DA0EC5"/>
    <w:rsid w:val="00DA0FB7"/>
    <w:rsid w:val="00DA1B51"/>
    <w:rsid w:val="00DA1EA6"/>
    <w:rsid w:val="00DA2282"/>
    <w:rsid w:val="00DA2596"/>
    <w:rsid w:val="00DA29D0"/>
    <w:rsid w:val="00DA2B8C"/>
    <w:rsid w:val="00DA2D41"/>
    <w:rsid w:val="00DA316B"/>
    <w:rsid w:val="00DA333A"/>
    <w:rsid w:val="00DA335B"/>
    <w:rsid w:val="00DA34ED"/>
    <w:rsid w:val="00DA3740"/>
    <w:rsid w:val="00DA3B92"/>
    <w:rsid w:val="00DA3C4F"/>
    <w:rsid w:val="00DA3E6E"/>
    <w:rsid w:val="00DA3F64"/>
    <w:rsid w:val="00DA454E"/>
    <w:rsid w:val="00DA4B25"/>
    <w:rsid w:val="00DA4F68"/>
    <w:rsid w:val="00DA57C9"/>
    <w:rsid w:val="00DA5C84"/>
    <w:rsid w:val="00DA5D3B"/>
    <w:rsid w:val="00DA6654"/>
    <w:rsid w:val="00DA68CF"/>
    <w:rsid w:val="00DA6985"/>
    <w:rsid w:val="00DA6B7F"/>
    <w:rsid w:val="00DA7126"/>
    <w:rsid w:val="00DA7CE1"/>
    <w:rsid w:val="00DB0635"/>
    <w:rsid w:val="00DB0693"/>
    <w:rsid w:val="00DB0E49"/>
    <w:rsid w:val="00DB10E9"/>
    <w:rsid w:val="00DB1291"/>
    <w:rsid w:val="00DB19C3"/>
    <w:rsid w:val="00DB2563"/>
    <w:rsid w:val="00DB2744"/>
    <w:rsid w:val="00DB281D"/>
    <w:rsid w:val="00DB30D8"/>
    <w:rsid w:val="00DB319F"/>
    <w:rsid w:val="00DB34C9"/>
    <w:rsid w:val="00DB38E6"/>
    <w:rsid w:val="00DB3BE4"/>
    <w:rsid w:val="00DB40E6"/>
    <w:rsid w:val="00DB4391"/>
    <w:rsid w:val="00DB485A"/>
    <w:rsid w:val="00DB4BBB"/>
    <w:rsid w:val="00DB58CC"/>
    <w:rsid w:val="00DB5D59"/>
    <w:rsid w:val="00DB623D"/>
    <w:rsid w:val="00DB6D10"/>
    <w:rsid w:val="00DB71BD"/>
    <w:rsid w:val="00DB732F"/>
    <w:rsid w:val="00DB7389"/>
    <w:rsid w:val="00DB77B3"/>
    <w:rsid w:val="00DB785F"/>
    <w:rsid w:val="00DC0392"/>
    <w:rsid w:val="00DC06DC"/>
    <w:rsid w:val="00DC06F4"/>
    <w:rsid w:val="00DC0A08"/>
    <w:rsid w:val="00DC0F87"/>
    <w:rsid w:val="00DC10C0"/>
    <w:rsid w:val="00DC1E61"/>
    <w:rsid w:val="00DC206C"/>
    <w:rsid w:val="00DC24D9"/>
    <w:rsid w:val="00DC2DB0"/>
    <w:rsid w:val="00DC31C3"/>
    <w:rsid w:val="00DC342D"/>
    <w:rsid w:val="00DC354A"/>
    <w:rsid w:val="00DC360F"/>
    <w:rsid w:val="00DC3694"/>
    <w:rsid w:val="00DC393E"/>
    <w:rsid w:val="00DC39BF"/>
    <w:rsid w:val="00DC3B9C"/>
    <w:rsid w:val="00DC3CD6"/>
    <w:rsid w:val="00DC3CF1"/>
    <w:rsid w:val="00DC4807"/>
    <w:rsid w:val="00DC4BCF"/>
    <w:rsid w:val="00DC4CF0"/>
    <w:rsid w:val="00DC4D7E"/>
    <w:rsid w:val="00DC4E0E"/>
    <w:rsid w:val="00DC5316"/>
    <w:rsid w:val="00DC54D4"/>
    <w:rsid w:val="00DC55F5"/>
    <w:rsid w:val="00DC580A"/>
    <w:rsid w:val="00DC59C4"/>
    <w:rsid w:val="00DC5C2C"/>
    <w:rsid w:val="00DC6170"/>
    <w:rsid w:val="00DC6364"/>
    <w:rsid w:val="00DC65F9"/>
    <w:rsid w:val="00DC67C8"/>
    <w:rsid w:val="00DC7607"/>
    <w:rsid w:val="00DD02F1"/>
    <w:rsid w:val="00DD06D7"/>
    <w:rsid w:val="00DD077F"/>
    <w:rsid w:val="00DD1014"/>
    <w:rsid w:val="00DD1A18"/>
    <w:rsid w:val="00DD1D4D"/>
    <w:rsid w:val="00DD1FE5"/>
    <w:rsid w:val="00DD21FD"/>
    <w:rsid w:val="00DD2B87"/>
    <w:rsid w:val="00DD3767"/>
    <w:rsid w:val="00DD3805"/>
    <w:rsid w:val="00DD3B23"/>
    <w:rsid w:val="00DD3B3B"/>
    <w:rsid w:val="00DD3DD2"/>
    <w:rsid w:val="00DD3EE2"/>
    <w:rsid w:val="00DD47EC"/>
    <w:rsid w:val="00DD48DF"/>
    <w:rsid w:val="00DD4EE0"/>
    <w:rsid w:val="00DD4EF0"/>
    <w:rsid w:val="00DD502C"/>
    <w:rsid w:val="00DD51C1"/>
    <w:rsid w:val="00DD5655"/>
    <w:rsid w:val="00DD588D"/>
    <w:rsid w:val="00DD6851"/>
    <w:rsid w:val="00DD6A5F"/>
    <w:rsid w:val="00DD6EE0"/>
    <w:rsid w:val="00DD705A"/>
    <w:rsid w:val="00DD715B"/>
    <w:rsid w:val="00DD7297"/>
    <w:rsid w:val="00DD7506"/>
    <w:rsid w:val="00DD75DD"/>
    <w:rsid w:val="00DD7610"/>
    <w:rsid w:val="00DD7E16"/>
    <w:rsid w:val="00DE04B0"/>
    <w:rsid w:val="00DE0CCA"/>
    <w:rsid w:val="00DE0F30"/>
    <w:rsid w:val="00DE0FE5"/>
    <w:rsid w:val="00DE1410"/>
    <w:rsid w:val="00DE17E7"/>
    <w:rsid w:val="00DE18E7"/>
    <w:rsid w:val="00DE210E"/>
    <w:rsid w:val="00DE2D70"/>
    <w:rsid w:val="00DE32BD"/>
    <w:rsid w:val="00DE3A69"/>
    <w:rsid w:val="00DE3D35"/>
    <w:rsid w:val="00DE3D9A"/>
    <w:rsid w:val="00DE3F7C"/>
    <w:rsid w:val="00DE40D3"/>
    <w:rsid w:val="00DE4C23"/>
    <w:rsid w:val="00DE4CF9"/>
    <w:rsid w:val="00DE5517"/>
    <w:rsid w:val="00DE5E2E"/>
    <w:rsid w:val="00DE5E54"/>
    <w:rsid w:val="00DE5FE1"/>
    <w:rsid w:val="00DE628F"/>
    <w:rsid w:val="00DE629F"/>
    <w:rsid w:val="00DE68FC"/>
    <w:rsid w:val="00DE6B4D"/>
    <w:rsid w:val="00DE6CEF"/>
    <w:rsid w:val="00DE7270"/>
    <w:rsid w:val="00DE72FE"/>
    <w:rsid w:val="00DE7342"/>
    <w:rsid w:val="00DE7599"/>
    <w:rsid w:val="00DE7657"/>
    <w:rsid w:val="00DE76F7"/>
    <w:rsid w:val="00DE7C28"/>
    <w:rsid w:val="00DF004F"/>
    <w:rsid w:val="00DF00C4"/>
    <w:rsid w:val="00DF082E"/>
    <w:rsid w:val="00DF0848"/>
    <w:rsid w:val="00DF09D0"/>
    <w:rsid w:val="00DF10AB"/>
    <w:rsid w:val="00DF1138"/>
    <w:rsid w:val="00DF1D7C"/>
    <w:rsid w:val="00DF1E23"/>
    <w:rsid w:val="00DF23C5"/>
    <w:rsid w:val="00DF2630"/>
    <w:rsid w:val="00DF382F"/>
    <w:rsid w:val="00DF3B13"/>
    <w:rsid w:val="00DF3F21"/>
    <w:rsid w:val="00DF4169"/>
    <w:rsid w:val="00DF4CF3"/>
    <w:rsid w:val="00DF5994"/>
    <w:rsid w:val="00DF5FB8"/>
    <w:rsid w:val="00DF63D8"/>
    <w:rsid w:val="00DF6401"/>
    <w:rsid w:val="00DF6450"/>
    <w:rsid w:val="00DF66FC"/>
    <w:rsid w:val="00DF6B79"/>
    <w:rsid w:val="00DF6C15"/>
    <w:rsid w:val="00DF6DD6"/>
    <w:rsid w:val="00DF75B9"/>
    <w:rsid w:val="00DF7960"/>
    <w:rsid w:val="00E0046E"/>
    <w:rsid w:val="00E00479"/>
    <w:rsid w:val="00E00FA9"/>
    <w:rsid w:val="00E0140A"/>
    <w:rsid w:val="00E01C77"/>
    <w:rsid w:val="00E01FB5"/>
    <w:rsid w:val="00E02495"/>
    <w:rsid w:val="00E02773"/>
    <w:rsid w:val="00E028E7"/>
    <w:rsid w:val="00E029B6"/>
    <w:rsid w:val="00E02E71"/>
    <w:rsid w:val="00E03203"/>
    <w:rsid w:val="00E03703"/>
    <w:rsid w:val="00E03905"/>
    <w:rsid w:val="00E039A9"/>
    <w:rsid w:val="00E03A7F"/>
    <w:rsid w:val="00E03D0C"/>
    <w:rsid w:val="00E04489"/>
    <w:rsid w:val="00E04BB4"/>
    <w:rsid w:val="00E0530B"/>
    <w:rsid w:val="00E05EC3"/>
    <w:rsid w:val="00E0616F"/>
    <w:rsid w:val="00E068F1"/>
    <w:rsid w:val="00E069BA"/>
    <w:rsid w:val="00E06C86"/>
    <w:rsid w:val="00E074F9"/>
    <w:rsid w:val="00E0764A"/>
    <w:rsid w:val="00E07C9F"/>
    <w:rsid w:val="00E07DB1"/>
    <w:rsid w:val="00E07EA1"/>
    <w:rsid w:val="00E10211"/>
    <w:rsid w:val="00E1073A"/>
    <w:rsid w:val="00E10820"/>
    <w:rsid w:val="00E11E1D"/>
    <w:rsid w:val="00E12619"/>
    <w:rsid w:val="00E12A42"/>
    <w:rsid w:val="00E13214"/>
    <w:rsid w:val="00E13583"/>
    <w:rsid w:val="00E13637"/>
    <w:rsid w:val="00E13920"/>
    <w:rsid w:val="00E13ADC"/>
    <w:rsid w:val="00E13B61"/>
    <w:rsid w:val="00E13EC0"/>
    <w:rsid w:val="00E14710"/>
    <w:rsid w:val="00E14F48"/>
    <w:rsid w:val="00E1537F"/>
    <w:rsid w:val="00E15603"/>
    <w:rsid w:val="00E1573B"/>
    <w:rsid w:val="00E15792"/>
    <w:rsid w:val="00E15C49"/>
    <w:rsid w:val="00E15D1D"/>
    <w:rsid w:val="00E15EE6"/>
    <w:rsid w:val="00E16276"/>
    <w:rsid w:val="00E163B9"/>
    <w:rsid w:val="00E164FF"/>
    <w:rsid w:val="00E16B7D"/>
    <w:rsid w:val="00E16F24"/>
    <w:rsid w:val="00E17BA9"/>
    <w:rsid w:val="00E17C03"/>
    <w:rsid w:val="00E17DA0"/>
    <w:rsid w:val="00E20008"/>
    <w:rsid w:val="00E200AE"/>
    <w:rsid w:val="00E207D5"/>
    <w:rsid w:val="00E209BC"/>
    <w:rsid w:val="00E20AD7"/>
    <w:rsid w:val="00E210B9"/>
    <w:rsid w:val="00E21303"/>
    <w:rsid w:val="00E21344"/>
    <w:rsid w:val="00E213DA"/>
    <w:rsid w:val="00E21681"/>
    <w:rsid w:val="00E216C1"/>
    <w:rsid w:val="00E21DFE"/>
    <w:rsid w:val="00E22DC7"/>
    <w:rsid w:val="00E23020"/>
    <w:rsid w:val="00E23064"/>
    <w:rsid w:val="00E23265"/>
    <w:rsid w:val="00E23C0B"/>
    <w:rsid w:val="00E2402D"/>
    <w:rsid w:val="00E24A50"/>
    <w:rsid w:val="00E24EAD"/>
    <w:rsid w:val="00E251A2"/>
    <w:rsid w:val="00E25320"/>
    <w:rsid w:val="00E2568C"/>
    <w:rsid w:val="00E2584C"/>
    <w:rsid w:val="00E25AEA"/>
    <w:rsid w:val="00E26B77"/>
    <w:rsid w:val="00E26D1D"/>
    <w:rsid w:val="00E27001"/>
    <w:rsid w:val="00E275D6"/>
    <w:rsid w:val="00E2760D"/>
    <w:rsid w:val="00E27756"/>
    <w:rsid w:val="00E27860"/>
    <w:rsid w:val="00E27E2F"/>
    <w:rsid w:val="00E30384"/>
    <w:rsid w:val="00E3071D"/>
    <w:rsid w:val="00E30B3A"/>
    <w:rsid w:val="00E30BBA"/>
    <w:rsid w:val="00E311F4"/>
    <w:rsid w:val="00E3130B"/>
    <w:rsid w:val="00E31314"/>
    <w:rsid w:val="00E3212A"/>
    <w:rsid w:val="00E327B4"/>
    <w:rsid w:val="00E32972"/>
    <w:rsid w:val="00E32DA5"/>
    <w:rsid w:val="00E330DF"/>
    <w:rsid w:val="00E330EA"/>
    <w:rsid w:val="00E3372A"/>
    <w:rsid w:val="00E33A89"/>
    <w:rsid w:val="00E33F7A"/>
    <w:rsid w:val="00E340B7"/>
    <w:rsid w:val="00E34429"/>
    <w:rsid w:val="00E34B8A"/>
    <w:rsid w:val="00E35754"/>
    <w:rsid w:val="00E3575E"/>
    <w:rsid w:val="00E35836"/>
    <w:rsid w:val="00E35AAC"/>
    <w:rsid w:val="00E36430"/>
    <w:rsid w:val="00E37088"/>
    <w:rsid w:val="00E37134"/>
    <w:rsid w:val="00E37322"/>
    <w:rsid w:val="00E37713"/>
    <w:rsid w:val="00E37CA5"/>
    <w:rsid w:val="00E37E64"/>
    <w:rsid w:val="00E37FD8"/>
    <w:rsid w:val="00E40910"/>
    <w:rsid w:val="00E40CF2"/>
    <w:rsid w:val="00E40E35"/>
    <w:rsid w:val="00E415F4"/>
    <w:rsid w:val="00E4182A"/>
    <w:rsid w:val="00E41ABC"/>
    <w:rsid w:val="00E425D5"/>
    <w:rsid w:val="00E42793"/>
    <w:rsid w:val="00E42C80"/>
    <w:rsid w:val="00E42CE8"/>
    <w:rsid w:val="00E42E8E"/>
    <w:rsid w:val="00E43886"/>
    <w:rsid w:val="00E43EE2"/>
    <w:rsid w:val="00E44994"/>
    <w:rsid w:val="00E4503B"/>
    <w:rsid w:val="00E451A2"/>
    <w:rsid w:val="00E456C4"/>
    <w:rsid w:val="00E45893"/>
    <w:rsid w:val="00E459F8"/>
    <w:rsid w:val="00E45A27"/>
    <w:rsid w:val="00E4615C"/>
    <w:rsid w:val="00E46653"/>
    <w:rsid w:val="00E46BA1"/>
    <w:rsid w:val="00E46C14"/>
    <w:rsid w:val="00E46E6D"/>
    <w:rsid w:val="00E47218"/>
    <w:rsid w:val="00E5000E"/>
    <w:rsid w:val="00E50204"/>
    <w:rsid w:val="00E503E1"/>
    <w:rsid w:val="00E5044F"/>
    <w:rsid w:val="00E511F1"/>
    <w:rsid w:val="00E51C14"/>
    <w:rsid w:val="00E52773"/>
    <w:rsid w:val="00E52924"/>
    <w:rsid w:val="00E53387"/>
    <w:rsid w:val="00E5348C"/>
    <w:rsid w:val="00E535E2"/>
    <w:rsid w:val="00E539F8"/>
    <w:rsid w:val="00E53BC5"/>
    <w:rsid w:val="00E5466B"/>
    <w:rsid w:val="00E5493A"/>
    <w:rsid w:val="00E54B38"/>
    <w:rsid w:val="00E5507B"/>
    <w:rsid w:val="00E550E5"/>
    <w:rsid w:val="00E552AF"/>
    <w:rsid w:val="00E55501"/>
    <w:rsid w:val="00E557C5"/>
    <w:rsid w:val="00E559E1"/>
    <w:rsid w:val="00E55D14"/>
    <w:rsid w:val="00E55EFF"/>
    <w:rsid w:val="00E55FB6"/>
    <w:rsid w:val="00E55FBE"/>
    <w:rsid w:val="00E55FD6"/>
    <w:rsid w:val="00E563FE"/>
    <w:rsid w:val="00E565FD"/>
    <w:rsid w:val="00E56712"/>
    <w:rsid w:val="00E56760"/>
    <w:rsid w:val="00E56901"/>
    <w:rsid w:val="00E56919"/>
    <w:rsid w:val="00E57A7C"/>
    <w:rsid w:val="00E57F69"/>
    <w:rsid w:val="00E60261"/>
    <w:rsid w:val="00E603EA"/>
    <w:rsid w:val="00E6081C"/>
    <w:rsid w:val="00E608C2"/>
    <w:rsid w:val="00E6091B"/>
    <w:rsid w:val="00E609B4"/>
    <w:rsid w:val="00E60EAF"/>
    <w:rsid w:val="00E60FD0"/>
    <w:rsid w:val="00E61144"/>
    <w:rsid w:val="00E6114A"/>
    <w:rsid w:val="00E617EA"/>
    <w:rsid w:val="00E625E5"/>
    <w:rsid w:val="00E625EE"/>
    <w:rsid w:val="00E62E49"/>
    <w:rsid w:val="00E6363A"/>
    <w:rsid w:val="00E6388C"/>
    <w:rsid w:val="00E63ED6"/>
    <w:rsid w:val="00E644B5"/>
    <w:rsid w:val="00E64BA9"/>
    <w:rsid w:val="00E64D15"/>
    <w:rsid w:val="00E64D31"/>
    <w:rsid w:val="00E656A2"/>
    <w:rsid w:val="00E65C35"/>
    <w:rsid w:val="00E65D92"/>
    <w:rsid w:val="00E65DCC"/>
    <w:rsid w:val="00E65E2A"/>
    <w:rsid w:val="00E65F07"/>
    <w:rsid w:val="00E66392"/>
    <w:rsid w:val="00E664D9"/>
    <w:rsid w:val="00E6663F"/>
    <w:rsid w:val="00E6665F"/>
    <w:rsid w:val="00E66822"/>
    <w:rsid w:val="00E66A8F"/>
    <w:rsid w:val="00E66E18"/>
    <w:rsid w:val="00E67054"/>
    <w:rsid w:val="00E6749D"/>
    <w:rsid w:val="00E70697"/>
    <w:rsid w:val="00E70DE4"/>
    <w:rsid w:val="00E70FA1"/>
    <w:rsid w:val="00E710F3"/>
    <w:rsid w:val="00E71134"/>
    <w:rsid w:val="00E713BC"/>
    <w:rsid w:val="00E7146F"/>
    <w:rsid w:val="00E714C9"/>
    <w:rsid w:val="00E716C3"/>
    <w:rsid w:val="00E71C7A"/>
    <w:rsid w:val="00E71D23"/>
    <w:rsid w:val="00E71E45"/>
    <w:rsid w:val="00E71F47"/>
    <w:rsid w:val="00E7251C"/>
    <w:rsid w:val="00E727C9"/>
    <w:rsid w:val="00E72858"/>
    <w:rsid w:val="00E72CF1"/>
    <w:rsid w:val="00E73238"/>
    <w:rsid w:val="00E736FD"/>
    <w:rsid w:val="00E73A64"/>
    <w:rsid w:val="00E73CCD"/>
    <w:rsid w:val="00E73CFF"/>
    <w:rsid w:val="00E74348"/>
    <w:rsid w:val="00E74986"/>
    <w:rsid w:val="00E74FFA"/>
    <w:rsid w:val="00E7520E"/>
    <w:rsid w:val="00E757F0"/>
    <w:rsid w:val="00E76176"/>
    <w:rsid w:val="00E76292"/>
    <w:rsid w:val="00E76755"/>
    <w:rsid w:val="00E76A36"/>
    <w:rsid w:val="00E76B22"/>
    <w:rsid w:val="00E76F71"/>
    <w:rsid w:val="00E76F94"/>
    <w:rsid w:val="00E774F5"/>
    <w:rsid w:val="00E7761C"/>
    <w:rsid w:val="00E7799D"/>
    <w:rsid w:val="00E779D4"/>
    <w:rsid w:val="00E779D8"/>
    <w:rsid w:val="00E77B8D"/>
    <w:rsid w:val="00E77F58"/>
    <w:rsid w:val="00E80057"/>
    <w:rsid w:val="00E80ACE"/>
    <w:rsid w:val="00E8111A"/>
    <w:rsid w:val="00E82272"/>
    <w:rsid w:val="00E8241A"/>
    <w:rsid w:val="00E8244A"/>
    <w:rsid w:val="00E82807"/>
    <w:rsid w:val="00E828FC"/>
    <w:rsid w:val="00E839E5"/>
    <w:rsid w:val="00E83B77"/>
    <w:rsid w:val="00E845E4"/>
    <w:rsid w:val="00E8498B"/>
    <w:rsid w:val="00E84E77"/>
    <w:rsid w:val="00E84E97"/>
    <w:rsid w:val="00E84EF0"/>
    <w:rsid w:val="00E855A5"/>
    <w:rsid w:val="00E85E5E"/>
    <w:rsid w:val="00E861D1"/>
    <w:rsid w:val="00E86589"/>
    <w:rsid w:val="00E86762"/>
    <w:rsid w:val="00E86B6D"/>
    <w:rsid w:val="00E870F4"/>
    <w:rsid w:val="00E87117"/>
    <w:rsid w:val="00E877E2"/>
    <w:rsid w:val="00E87A60"/>
    <w:rsid w:val="00E87B9D"/>
    <w:rsid w:val="00E87CA6"/>
    <w:rsid w:val="00E90090"/>
    <w:rsid w:val="00E90C17"/>
    <w:rsid w:val="00E90CEA"/>
    <w:rsid w:val="00E90E34"/>
    <w:rsid w:val="00E919C3"/>
    <w:rsid w:val="00E91EC1"/>
    <w:rsid w:val="00E91F71"/>
    <w:rsid w:val="00E921A7"/>
    <w:rsid w:val="00E921B0"/>
    <w:rsid w:val="00E92411"/>
    <w:rsid w:val="00E924B4"/>
    <w:rsid w:val="00E928A5"/>
    <w:rsid w:val="00E93009"/>
    <w:rsid w:val="00E93599"/>
    <w:rsid w:val="00E935BD"/>
    <w:rsid w:val="00E93773"/>
    <w:rsid w:val="00E937CB"/>
    <w:rsid w:val="00E937E2"/>
    <w:rsid w:val="00E93B7A"/>
    <w:rsid w:val="00E944A4"/>
    <w:rsid w:val="00E946CC"/>
    <w:rsid w:val="00E94732"/>
    <w:rsid w:val="00E94AC7"/>
    <w:rsid w:val="00E95619"/>
    <w:rsid w:val="00E9565C"/>
    <w:rsid w:val="00E957A4"/>
    <w:rsid w:val="00E959E4"/>
    <w:rsid w:val="00E95D72"/>
    <w:rsid w:val="00E95D90"/>
    <w:rsid w:val="00E96037"/>
    <w:rsid w:val="00E967EE"/>
    <w:rsid w:val="00E96838"/>
    <w:rsid w:val="00E9719A"/>
    <w:rsid w:val="00E971E6"/>
    <w:rsid w:val="00E97ADF"/>
    <w:rsid w:val="00E97DE8"/>
    <w:rsid w:val="00EA01DE"/>
    <w:rsid w:val="00EA0575"/>
    <w:rsid w:val="00EA0983"/>
    <w:rsid w:val="00EA0BB8"/>
    <w:rsid w:val="00EA0C34"/>
    <w:rsid w:val="00EA0F15"/>
    <w:rsid w:val="00EA0FE9"/>
    <w:rsid w:val="00EA19BC"/>
    <w:rsid w:val="00EA1CEC"/>
    <w:rsid w:val="00EA1D95"/>
    <w:rsid w:val="00EA1E8C"/>
    <w:rsid w:val="00EA20B6"/>
    <w:rsid w:val="00EA234A"/>
    <w:rsid w:val="00EA2751"/>
    <w:rsid w:val="00EA2998"/>
    <w:rsid w:val="00EA29B0"/>
    <w:rsid w:val="00EA2C63"/>
    <w:rsid w:val="00EA3150"/>
    <w:rsid w:val="00EA3284"/>
    <w:rsid w:val="00EA3335"/>
    <w:rsid w:val="00EA396B"/>
    <w:rsid w:val="00EA3F76"/>
    <w:rsid w:val="00EA3FF5"/>
    <w:rsid w:val="00EA43F9"/>
    <w:rsid w:val="00EA4471"/>
    <w:rsid w:val="00EA4894"/>
    <w:rsid w:val="00EA4B15"/>
    <w:rsid w:val="00EA4D62"/>
    <w:rsid w:val="00EA4E30"/>
    <w:rsid w:val="00EA4F24"/>
    <w:rsid w:val="00EA4F73"/>
    <w:rsid w:val="00EA5350"/>
    <w:rsid w:val="00EA58DB"/>
    <w:rsid w:val="00EA5E56"/>
    <w:rsid w:val="00EA623D"/>
    <w:rsid w:val="00EA651F"/>
    <w:rsid w:val="00EA6556"/>
    <w:rsid w:val="00EA74A0"/>
    <w:rsid w:val="00EA74F6"/>
    <w:rsid w:val="00EA7A31"/>
    <w:rsid w:val="00EA7AA0"/>
    <w:rsid w:val="00EA7E19"/>
    <w:rsid w:val="00EA7E44"/>
    <w:rsid w:val="00EA7FFC"/>
    <w:rsid w:val="00EB00EC"/>
    <w:rsid w:val="00EB0606"/>
    <w:rsid w:val="00EB06BF"/>
    <w:rsid w:val="00EB0AFD"/>
    <w:rsid w:val="00EB0C3B"/>
    <w:rsid w:val="00EB0E28"/>
    <w:rsid w:val="00EB10E1"/>
    <w:rsid w:val="00EB119D"/>
    <w:rsid w:val="00EB185C"/>
    <w:rsid w:val="00EB18DE"/>
    <w:rsid w:val="00EB1A3E"/>
    <w:rsid w:val="00EB20B7"/>
    <w:rsid w:val="00EB28F9"/>
    <w:rsid w:val="00EB2C79"/>
    <w:rsid w:val="00EB33EA"/>
    <w:rsid w:val="00EB34BB"/>
    <w:rsid w:val="00EB373E"/>
    <w:rsid w:val="00EB4CFC"/>
    <w:rsid w:val="00EB5013"/>
    <w:rsid w:val="00EB5054"/>
    <w:rsid w:val="00EB5507"/>
    <w:rsid w:val="00EB559F"/>
    <w:rsid w:val="00EB5C44"/>
    <w:rsid w:val="00EB5CF2"/>
    <w:rsid w:val="00EB5D4E"/>
    <w:rsid w:val="00EB5FD2"/>
    <w:rsid w:val="00EB62F1"/>
    <w:rsid w:val="00EB66A1"/>
    <w:rsid w:val="00EB6993"/>
    <w:rsid w:val="00EB711B"/>
    <w:rsid w:val="00EB7123"/>
    <w:rsid w:val="00EB72E7"/>
    <w:rsid w:val="00EB738A"/>
    <w:rsid w:val="00EB7485"/>
    <w:rsid w:val="00EB791E"/>
    <w:rsid w:val="00EB7AEC"/>
    <w:rsid w:val="00EB7B8B"/>
    <w:rsid w:val="00EB7E74"/>
    <w:rsid w:val="00EC01A1"/>
    <w:rsid w:val="00EC0B2C"/>
    <w:rsid w:val="00EC0E48"/>
    <w:rsid w:val="00EC1269"/>
    <w:rsid w:val="00EC1487"/>
    <w:rsid w:val="00EC191D"/>
    <w:rsid w:val="00EC199A"/>
    <w:rsid w:val="00EC25AD"/>
    <w:rsid w:val="00EC25ED"/>
    <w:rsid w:val="00EC2798"/>
    <w:rsid w:val="00EC2DE3"/>
    <w:rsid w:val="00EC3032"/>
    <w:rsid w:val="00EC30F7"/>
    <w:rsid w:val="00EC3247"/>
    <w:rsid w:val="00EC32E0"/>
    <w:rsid w:val="00EC341E"/>
    <w:rsid w:val="00EC371F"/>
    <w:rsid w:val="00EC388D"/>
    <w:rsid w:val="00EC3B62"/>
    <w:rsid w:val="00EC40CD"/>
    <w:rsid w:val="00EC45D2"/>
    <w:rsid w:val="00EC4E60"/>
    <w:rsid w:val="00EC4EC0"/>
    <w:rsid w:val="00EC5118"/>
    <w:rsid w:val="00EC537C"/>
    <w:rsid w:val="00EC5651"/>
    <w:rsid w:val="00EC6087"/>
    <w:rsid w:val="00EC6E3A"/>
    <w:rsid w:val="00EC7944"/>
    <w:rsid w:val="00ED0249"/>
    <w:rsid w:val="00ED05E0"/>
    <w:rsid w:val="00ED0E26"/>
    <w:rsid w:val="00ED0F7D"/>
    <w:rsid w:val="00ED11EB"/>
    <w:rsid w:val="00ED147C"/>
    <w:rsid w:val="00ED1A08"/>
    <w:rsid w:val="00ED1ECF"/>
    <w:rsid w:val="00ED2A93"/>
    <w:rsid w:val="00ED2BD4"/>
    <w:rsid w:val="00ED2FCA"/>
    <w:rsid w:val="00ED3224"/>
    <w:rsid w:val="00ED3425"/>
    <w:rsid w:val="00ED3B80"/>
    <w:rsid w:val="00ED3C70"/>
    <w:rsid w:val="00ED3FC1"/>
    <w:rsid w:val="00ED43C5"/>
    <w:rsid w:val="00ED4719"/>
    <w:rsid w:val="00ED4C6F"/>
    <w:rsid w:val="00ED51B0"/>
    <w:rsid w:val="00ED521E"/>
    <w:rsid w:val="00ED5B28"/>
    <w:rsid w:val="00ED6913"/>
    <w:rsid w:val="00ED7460"/>
    <w:rsid w:val="00ED74AF"/>
    <w:rsid w:val="00ED7677"/>
    <w:rsid w:val="00ED78C9"/>
    <w:rsid w:val="00ED7BB2"/>
    <w:rsid w:val="00EE050D"/>
    <w:rsid w:val="00EE0973"/>
    <w:rsid w:val="00EE0C2B"/>
    <w:rsid w:val="00EE0C63"/>
    <w:rsid w:val="00EE0D2C"/>
    <w:rsid w:val="00EE0EFF"/>
    <w:rsid w:val="00EE161D"/>
    <w:rsid w:val="00EE1816"/>
    <w:rsid w:val="00EE1F2E"/>
    <w:rsid w:val="00EE2086"/>
    <w:rsid w:val="00EE24EF"/>
    <w:rsid w:val="00EE2644"/>
    <w:rsid w:val="00EE3732"/>
    <w:rsid w:val="00EE3D60"/>
    <w:rsid w:val="00EE3EF1"/>
    <w:rsid w:val="00EE3FC6"/>
    <w:rsid w:val="00EE4048"/>
    <w:rsid w:val="00EE419E"/>
    <w:rsid w:val="00EE45A2"/>
    <w:rsid w:val="00EE4760"/>
    <w:rsid w:val="00EE4C08"/>
    <w:rsid w:val="00EE4F94"/>
    <w:rsid w:val="00EE500A"/>
    <w:rsid w:val="00EE5372"/>
    <w:rsid w:val="00EE58A9"/>
    <w:rsid w:val="00EE6547"/>
    <w:rsid w:val="00EE75BB"/>
    <w:rsid w:val="00EE769E"/>
    <w:rsid w:val="00EE77F3"/>
    <w:rsid w:val="00EE7CBE"/>
    <w:rsid w:val="00EE7D80"/>
    <w:rsid w:val="00EF02F0"/>
    <w:rsid w:val="00EF0E0A"/>
    <w:rsid w:val="00EF13B9"/>
    <w:rsid w:val="00EF2260"/>
    <w:rsid w:val="00EF2811"/>
    <w:rsid w:val="00EF2C79"/>
    <w:rsid w:val="00EF2E39"/>
    <w:rsid w:val="00EF2FC6"/>
    <w:rsid w:val="00EF498C"/>
    <w:rsid w:val="00EF49A4"/>
    <w:rsid w:val="00EF4A5A"/>
    <w:rsid w:val="00EF521D"/>
    <w:rsid w:val="00EF53FA"/>
    <w:rsid w:val="00EF56E6"/>
    <w:rsid w:val="00EF612C"/>
    <w:rsid w:val="00EF6FC5"/>
    <w:rsid w:val="00EF729A"/>
    <w:rsid w:val="00EF7469"/>
    <w:rsid w:val="00EF7704"/>
    <w:rsid w:val="00F0018D"/>
    <w:rsid w:val="00F001F2"/>
    <w:rsid w:val="00F003FD"/>
    <w:rsid w:val="00F00692"/>
    <w:rsid w:val="00F007FD"/>
    <w:rsid w:val="00F00CF9"/>
    <w:rsid w:val="00F00F8A"/>
    <w:rsid w:val="00F01D31"/>
    <w:rsid w:val="00F02773"/>
    <w:rsid w:val="00F02C6C"/>
    <w:rsid w:val="00F030FC"/>
    <w:rsid w:val="00F0311C"/>
    <w:rsid w:val="00F0331C"/>
    <w:rsid w:val="00F034D2"/>
    <w:rsid w:val="00F037EA"/>
    <w:rsid w:val="00F03E30"/>
    <w:rsid w:val="00F03F1D"/>
    <w:rsid w:val="00F03F24"/>
    <w:rsid w:val="00F040DD"/>
    <w:rsid w:val="00F04259"/>
    <w:rsid w:val="00F042CB"/>
    <w:rsid w:val="00F0457E"/>
    <w:rsid w:val="00F04A89"/>
    <w:rsid w:val="00F04B57"/>
    <w:rsid w:val="00F04ECD"/>
    <w:rsid w:val="00F06118"/>
    <w:rsid w:val="00F06266"/>
    <w:rsid w:val="00F06371"/>
    <w:rsid w:val="00F064DD"/>
    <w:rsid w:val="00F06BF3"/>
    <w:rsid w:val="00F07664"/>
    <w:rsid w:val="00F10495"/>
    <w:rsid w:val="00F107CD"/>
    <w:rsid w:val="00F10E07"/>
    <w:rsid w:val="00F111FF"/>
    <w:rsid w:val="00F1156B"/>
    <w:rsid w:val="00F1166F"/>
    <w:rsid w:val="00F11687"/>
    <w:rsid w:val="00F1199E"/>
    <w:rsid w:val="00F11D78"/>
    <w:rsid w:val="00F12054"/>
    <w:rsid w:val="00F1218A"/>
    <w:rsid w:val="00F125A4"/>
    <w:rsid w:val="00F13145"/>
    <w:rsid w:val="00F131F9"/>
    <w:rsid w:val="00F138B4"/>
    <w:rsid w:val="00F13A64"/>
    <w:rsid w:val="00F13D08"/>
    <w:rsid w:val="00F14048"/>
    <w:rsid w:val="00F14266"/>
    <w:rsid w:val="00F147D9"/>
    <w:rsid w:val="00F14A76"/>
    <w:rsid w:val="00F15658"/>
    <w:rsid w:val="00F158E6"/>
    <w:rsid w:val="00F159AA"/>
    <w:rsid w:val="00F15CB6"/>
    <w:rsid w:val="00F15E83"/>
    <w:rsid w:val="00F16352"/>
    <w:rsid w:val="00F166BA"/>
    <w:rsid w:val="00F1692B"/>
    <w:rsid w:val="00F16F09"/>
    <w:rsid w:val="00F1704A"/>
    <w:rsid w:val="00F173E5"/>
    <w:rsid w:val="00F2013F"/>
    <w:rsid w:val="00F213E1"/>
    <w:rsid w:val="00F214F8"/>
    <w:rsid w:val="00F217D2"/>
    <w:rsid w:val="00F21848"/>
    <w:rsid w:val="00F21D58"/>
    <w:rsid w:val="00F22408"/>
    <w:rsid w:val="00F22447"/>
    <w:rsid w:val="00F228E4"/>
    <w:rsid w:val="00F2297F"/>
    <w:rsid w:val="00F23158"/>
    <w:rsid w:val="00F2327C"/>
    <w:rsid w:val="00F23700"/>
    <w:rsid w:val="00F23C6C"/>
    <w:rsid w:val="00F24030"/>
    <w:rsid w:val="00F2436F"/>
    <w:rsid w:val="00F24620"/>
    <w:rsid w:val="00F2473C"/>
    <w:rsid w:val="00F24A29"/>
    <w:rsid w:val="00F24CA2"/>
    <w:rsid w:val="00F2618E"/>
    <w:rsid w:val="00F262B0"/>
    <w:rsid w:val="00F266E5"/>
    <w:rsid w:val="00F26787"/>
    <w:rsid w:val="00F26AAF"/>
    <w:rsid w:val="00F26E7D"/>
    <w:rsid w:val="00F270DB"/>
    <w:rsid w:val="00F27652"/>
    <w:rsid w:val="00F27BCA"/>
    <w:rsid w:val="00F3002B"/>
    <w:rsid w:val="00F30101"/>
    <w:rsid w:val="00F30504"/>
    <w:rsid w:val="00F30C0F"/>
    <w:rsid w:val="00F30E3A"/>
    <w:rsid w:val="00F3131E"/>
    <w:rsid w:val="00F31FD8"/>
    <w:rsid w:val="00F3234D"/>
    <w:rsid w:val="00F325E6"/>
    <w:rsid w:val="00F3260A"/>
    <w:rsid w:val="00F32BD0"/>
    <w:rsid w:val="00F3381E"/>
    <w:rsid w:val="00F33921"/>
    <w:rsid w:val="00F339DB"/>
    <w:rsid w:val="00F33B18"/>
    <w:rsid w:val="00F33BD3"/>
    <w:rsid w:val="00F33DB6"/>
    <w:rsid w:val="00F34054"/>
    <w:rsid w:val="00F34094"/>
    <w:rsid w:val="00F3461C"/>
    <w:rsid w:val="00F34848"/>
    <w:rsid w:val="00F34A25"/>
    <w:rsid w:val="00F34C22"/>
    <w:rsid w:val="00F358A8"/>
    <w:rsid w:val="00F35BD5"/>
    <w:rsid w:val="00F35CE5"/>
    <w:rsid w:val="00F36724"/>
    <w:rsid w:val="00F3684F"/>
    <w:rsid w:val="00F369FB"/>
    <w:rsid w:val="00F36B1E"/>
    <w:rsid w:val="00F36E09"/>
    <w:rsid w:val="00F36F97"/>
    <w:rsid w:val="00F371F5"/>
    <w:rsid w:val="00F37873"/>
    <w:rsid w:val="00F3787A"/>
    <w:rsid w:val="00F37AAB"/>
    <w:rsid w:val="00F40678"/>
    <w:rsid w:val="00F40B2D"/>
    <w:rsid w:val="00F40DFB"/>
    <w:rsid w:val="00F4114B"/>
    <w:rsid w:val="00F41618"/>
    <w:rsid w:val="00F42DDF"/>
    <w:rsid w:val="00F42E0F"/>
    <w:rsid w:val="00F43028"/>
    <w:rsid w:val="00F4329E"/>
    <w:rsid w:val="00F43CB6"/>
    <w:rsid w:val="00F44270"/>
    <w:rsid w:val="00F44555"/>
    <w:rsid w:val="00F448C4"/>
    <w:rsid w:val="00F44C61"/>
    <w:rsid w:val="00F44F6A"/>
    <w:rsid w:val="00F45036"/>
    <w:rsid w:val="00F45382"/>
    <w:rsid w:val="00F4593F"/>
    <w:rsid w:val="00F45A22"/>
    <w:rsid w:val="00F46268"/>
    <w:rsid w:val="00F46A60"/>
    <w:rsid w:val="00F46D34"/>
    <w:rsid w:val="00F46E41"/>
    <w:rsid w:val="00F47000"/>
    <w:rsid w:val="00F4701C"/>
    <w:rsid w:val="00F47102"/>
    <w:rsid w:val="00F471AE"/>
    <w:rsid w:val="00F4750B"/>
    <w:rsid w:val="00F4778B"/>
    <w:rsid w:val="00F47948"/>
    <w:rsid w:val="00F47F16"/>
    <w:rsid w:val="00F5024F"/>
    <w:rsid w:val="00F5075C"/>
    <w:rsid w:val="00F50A54"/>
    <w:rsid w:val="00F50D59"/>
    <w:rsid w:val="00F50F29"/>
    <w:rsid w:val="00F518C8"/>
    <w:rsid w:val="00F51CDB"/>
    <w:rsid w:val="00F522A2"/>
    <w:rsid w:val="00F5236A"/>
    <w:rsid w:val="00F524E1"/>
    <w:rsid w:val="00F52512"/>
    <w:rsid w:val="00F525E4"/>
    <w:rsid w:val="00F52623"/>
    <w:rsid w:val="00F53582"/>
    <w:rsid w:val="00F53A64"/>
    <w:rsid w:val="00F53B3F"/>
    <w:rsid w:val="00F53C2D"/>
    <w:rsid w:val="00F54089"/>
    <w:rsid w:val="00F54252"/>
    <w:rsid w:val="00F54C1F"/>
    <w:rsid w:val="00F54C25"/>
    <w:rsid w:val="00F54E78"/>
    <w:rsid w:val="00F54E97"/>
    <w:rsid w:val="00F55305"/>
    <w:rsid w:val="00F55620"/>
    <w:rsid w:val="00F55A2A"/>
    <w:rsid w:val="00F55E35"/>
    <w:rsid w:val="00F56185"/>
    <w:rsid w:val="00F5619C"/>
    <w:rsid w:val="00F56640"/>
    <w:rsid w:val="00F5729E"/>
    <w:rsid w:val="00F57E44"/>
    <w:rsid w:val="00F57E48"/>
    <w:rsid w:val="00F57FC9"/>
    <w:rsid w:val="00F602D6"/>
    <w:rsid w:val="00F6033D"/>
    <w:rsid w:val="00F60623"/>
    <w:rsid w:val="00F608F3"/>
    <w:rsid w:val="00F6095A"/>
    <w:rsid w:val="00F60B0D"/>
    <w:rsid w:val="00F61510"/>
    <w:rsid w:val="00F616DC"/>
    <w:rsid w:val="00F61781"/>
    <w:rsid w:val="00F6284A"/>
    <w:rsid w:val="00F628B4"/>
    <w:rsid w:val="00F629FB"/>
    <w:rsid w:val="00F62DED"/>
    <w:rsid w:val="00F63046"/>
    <w:rsid w:val="00F631AE"/>
    <w:rsid w:val="00F63266"/>
    <w:rsid w:val="00F64534"/>
    <w:rsid w:val="00F64FF8"/>
    <w:rsid w:val="00F6558F"/>
    <w:rsid w:val="00F65A2F"/>
    <w:rsid w:val="00F65A9D"/>
    <w:rsid w:val="00F65EAD"/>
    <w:rsid w:val="00F66E80"/>
    <w:rsid w:val="00F6705C"/>
    <w:rsid w:val="00F670A6"/>
    <w:rsid w:val="00F67DA3"/>
    <w:rsid w:val="00F7027E"/>
    <w:rsid w:val="00F702EA"/>
    <w:rsid w:val="00F7092E"/>
    <w:rsid w:val="00F71103"/>
    <w:rsid w:val="00F7150B"/>
    <w:rsid w:val="00F7174E"/>
    <w:rsid w:val="00F71A2A"/>
    <w:rsid w:val="00F72052"/>
    <w:rsid w:val="00F7225E"/>
    <w:rsid w:val="00F728B6"/>
    <w:rsid w:val="00F72F7D"/>
    <w:rsid w:val="00F7359B"/>
    <w:rsid w:val="00F73B11"/>
    <w:rsid w:val="00F7411D"/>
    <w:rsid w:val="00F743BC"/>
    <w:rsid w:val="00F7466B"/>
    <w:rsid w:val="00F74A30"/>
    <w:rsid w:val="00F74F32"/>
    <w:rsid w:val="00F7523D"/>
    <w:rsid w:val="00F754EB"/>
    <w:rsid w:val="00F75FE1"/>
    <w:rsid w:val="00F763DA"/>
    <w:rsid w:val="00F770EC"/>
    <w:rsid w:val="00F7730A"/>
    <w:rsid w:val="00F77333"/>
    <w:rsid w:val="00F77644"/>
    <w:rsid w:val="00F776D4"/>
    <w:rsid w:val="00F77712"/>
    <w:rsid w:val="00F778C6"/>
    <w:rsid w:val="00F77DD0"/>
    <w:rsid w:val="00F8001F"/>
    <w:rsid w:val="00F80948"/>
    <w:rsid w:val="00F80A7A"/>
    <w:rsid w:val="00F80E48"/>
    <w:rsid w:val="00F80FD7"/>
    <w:rsid w:val="00F81734"/>
    <w:rsid w:val="00F81838"/>
    <w:rsid w:val="00F818FD"/>
    <w:rsid w:val="00F81D2E"/>
    <w:rsid w:val="00F82035"/>
    <w:rsid w:val="00F82DAC"/>
    <w:rsid w:val="00F82E87"/>
    <w:rsid w:val="00F830F1"/>
    <w:rsid w:val="00F83332"/>
    <w:rsid w:val="00F83500"/>
    <w:rsid w:val="00F8371D"/>
    <w:rsid w:val="00F83ACD"/>
    <w:rsid w:val="00F83D0B"/>
    <w:rsid w:val="00F84018"/>
    <w:rsid w:val="00F84AD7"/>
    <w:rsid w:val="00F84BAA"/>
    <w:rsid w:val="00F85023"/>
    <w:rsid w:val="00F85092"/>
    <w:rsid w:val="00F85106"/>
    <w:rsid w:val="00F8513F"/>
    <w:rsid w:val="00F85622"/>
    <w:rsid w:val="00F85922"/>
    <w:rsid w:val="00F85A3D"/>
    <w:rsid w:val="00F860CA"/>
    <w:rsid w:val="00F864B7"/>
    <w:rsid w:val="00F86C38"/>
    <w:rsid w:val="00F87315"/>
    <w:rsid w:val="00F87E12"/>
    <w:rsid w:val="00F90092"/>
    <w:rsid w:val="00F90458"/>
    <w:rsid w:val="00F9104F"/>
    <w:rsid w:val="00F91148"/>
    <w:rsid w:val="00F91268"/>
    <w:rsid w:val="00F91359"/>
    <w:rsid w:val="00F914C4"/>
    <w:rsid w:val="00F9164A"/>
    <w:rsid w:val="00F91E78"/>
    <w:rsid w:val="00F9264D"/>
    <w:rsid w:val="00F92E2A"/>
    <w:rsid w:val="00F9333F"/>
    <w:rsid w:val="00F93D42"/>
    <w:rsid w:val="00F93E98"/>
    <w:rsid w:val="00F9418F"/>
    <w:rsid w:val="00F94295"/>
    <w:rsid w:val="00F944A1"/>
    <w:rsid w:val="00F94745"/>
    <w:rsid w:val="00F94852"/>
    <w:rsid w:val="00F94F62"/>
    <w:rsid w:val="00F9517F"/>
    <w:rsid w:val="00F9624A"/>
    <w:rsid w:val="00F96341"/>
    <w:rsid w:val="00F963EA"/>
    <w:rsid w:val="00F9640B"/>
    <w:rsid w:val="00F9654A"/>
    <w:rsid w:val="00F96580"/>
    <w:rsid w:val="00F965B2"/>
    <w:rsid w:val="00F96C10"/>
    <w:rsid w:val="00F97CB7"/>
    <w:rsid w:val="00F97D28"/>
    <w:rsid w:val="00F97DC6"/>
    <w:rsid w:val="00F97DFA"/>
    <w:rsid w:val="00F97E32"/>
    <w:rsid w:val="00FA0390"/>
    <w:rsid w:val="00FA068F"/>
    <w:rsid w:val="00FA0C50"/>
    <w:rsid w:val="00FA0EBA"/>
    <w:rsid w:val="00FA10DA"/>
    <w:rsid w:val="00FA1B6A"/>
    <w:rsid w:val="00FA1EDB"/>
    <w:rsid w:val="00FA1FDA"/>
    <w:rsid w:val="00FA24BB"/>
    <w:rsid w:val="00FA24C0"/>
    <w:rsid w:val="00FA276F"/>
    <w:rsid w:val="00FA278A"/>
    <w:rsid w:val="00FA28D6"/>
    <w:rsid w:val="00FA2F02"/>
    <w:rsid w:val="00FA2F4A"/>
    <w:rsid w:val="00FA33EC"/>
    <w:rsid w:val="00FA37E8"/>
    <w:rsid w:val="00FA3A56"/>
    <w:rsid w:val="00FA3CA2"/>
    <w:rsid w:val="00FA454E"/>
    <w:rsid w:val="00FA48F0"/>
    <w:rsid w:val="00FA4C45"/>
    <w:rsid w:val="00FA5414"/>
    <w:rsid w:val="00FA6258"/>
    <w:rsid w:val="00FA6CA2"/>
    <w:rsid w:val="00FA6F60"/>
    <w:rsid w:val="00FA7238"/>
    <w:rsid w:val="00FA75E3"/>
    <w:rsid w:val="00FA79DB"/>
    <w:rsid w:val="00FA7C23"/>
    <w:rsid w:val="00FB078C"/>
    <w:rsid w:val="00FB14D3"/>
    <w:rsid w:val="00FB16E2"/>
    <w:rsid w:val="00FB1B4F"/>
    <w:rsid w:val="00FB2327"/>
    <w:rsid w:val="00FB233E"/>
    <w:rsid w:val="00FB2ACC"/>
    <w:rsid w:val="00FB2EB3"/>
    <w:rsid w:val="00FB2F32"/>
    <w:rsid w:val="00FB3981"/>
    <w:rsid w:val="00FB3E43"/>
    <w:rsid w:val="00FB3EA1"/>
    <w:rsid w:val="00FB4370"/>
    <w:rsid w:val="00FB4E5C"/>
    <w:rsid w:val="00FB4F92"/>
    <w:rsid w:val="00FB5AA5"/>
    <w:rsid w:val="00FB5E4F"/>
    <w:rsid w:val="00FB5EA5"/>
    <w:rsid w:val="00FB61AA"/>
    <w:rsid w:val="00FB6A72"/>
    <w:rsid w:val="00FB6D45"/>
    <w:rsid w:val="00FB7A0A"/>
    <w:rsid w:val="00FC03D2"/>
    <w:rsid w:val="00FC0574"/>
    <w:rsid w:val="00FC0CAA"/>
    <w:rsid w:val="00FC195A"/>
    <w:rsid w:val="00FC1A16"/>
    <w:rsid w:val="00FC2135"/>
    <w:rsid w:val="00FC2984"/>
    <w:rsid w:val="00FC31B6"/>
    <w:rsid w:val="00FC38F8"/>
    <w:rsid w:val="00FC3C55"/>
    <w:rsid w:val="00FC3E63"/>
    <w:rsid w:val="00FC4E16"/>
    <w:rsid w:val="00FC53B6"/>
    <w:rsid w:val="00FC5765"/>
    <w:rsid w:val="00FC57AB"/>
    <w:rsid w:val="00FC5DFC"/>
    <w:rsid w:val="00FC6935"/>
    <w:rsid w:val="00FC6CB5"/>
    <w:rsid w:val="00FC7569"/>
    <w:rsid w:val="00FC7789"/>
    <w:rsid w:val="00FC794A"/>
    <w:rsid w:val="00FD03C7"/>
    <w:rsid w:val="00FD15B6"/>
    <w:rsid w:val="00FD1DBB"/>
    <w:rsid w:val="00FD2C4B"/>
    <w:rsid w:val="00FD38AE"/>
    <w:rsid w:val="00FD3B23"/>
    <w:rsid w:val="00FD4DB3"/>
    <w:rsid w:val="00FD58B1"/>
    <w:rsid w:val="00FD5F61"/>
    <w:rsid w:val="00FD61E1"/>
    <w:rsid w:val="00FD6661"/>
    <w:rsid w:val="00FD6778"/>
    <w:rsid w:val="00FD6B17"/>
    <w:rsid w:val="00FD6DC8"/>
    <w:rsid w:val="00FD731B"/>
    <w:rsid w:val="00FD7390"/>
    <w:rsid w:val="00FD7589"/>
    <w:rsid w:val="00FD76B2"/>
    <w:rsid w:val="00FD7D48"/>
    <w:rsid w:val="00FE140A"/>
    <w:rsid w:val="00FE1449"/>
    <w:rsid w:val="00FE154C"/>
    <w:rsid w:val="00FE19F1"/>
    <w:rsid w:val="00FE19F7"/>
    <w:rsid w:val="00FE1A20"/>
    <w:rsid w:val="00FE20BA"/>
    <w:rsid w:val="00FE28A1"/>
    <w:rsid w:val="00FE31E7"/>
    <w:rsid w:val="00FE3D24"/>
    <w:rsid w:val="00FE3F5A"/>
    <w:rsid w:val="00FE40CC"/>
    <w:rsid w:val="00FE498A"/>
    <w:rsid w:val="00FE4AC6"/>
    <w:rsid w:val="00FE5749"/>
    <w:rsid w:val="00FE58C2"/>
    <w:rsid w:val="00FE681E"/>
    <w:rsid w:val="00FE7027"/>
    <w:rsid w:val="00FE71C7"/>
    <w:rsid w:val="00FE7919"/>
    <w:rsid w:val="00FE7A2D"/>
    <w:rsid w:val="00FF018D"/>
    <w:rsid w:val="00FF01BE"/>
    <w:rsid w:val="00FF04BD"/>
    <w:rsid w:val="00FF1C8B"/>
    <w:rsid w:val="00FF2187"/>
    <w:rsid w:val="00FF241C"/>
    <w:rsid w:val="00FF2B2A"/>
    <w:rsid w:val="00FF3109"/>
    <w:rsid w:val="00FF336E"/>
    <w:rsid w:val="00FF3946"/>
    <w:rsid w:val="00FF398B"/>
    <w:rsid w:val="00FF3AAD"/>
    <w:rsid w:val="00FF400C"/>
    <w:rsid w:val="00FF4200"/>
    <w:rsid w:val="00FF4989"/>
    <w:rsid w:val="00FF4999"/>
    <w:rsid w:val="00FF5311"/>
    <w:rsid w:val="00FF5981"/>
    <w:rsid w:val="00FF5ADB"/>
    <w:rsid w:val="00FF5FE3"/>
    <w:rsid w:val="00FF6567"/>
    <w:rsid w:val="00FF6A86"/>
    <w:rsid w:val="00FF6B41"/>
    <w:rsid w:val="00FF6F3F"/>
    <w:rsid w:val="00FF7E07"/>
    <w:rsid w:val="00FF7EC6"/>
    <w:rsid w:val="0270339E"/>
    <w:rsid w:val="0295D67D"/>
    <w:rsid w:val="02EFEFBC"/>
    <w:rsid w:val="030AC445"/>
    <w:rsid w:val="0320D16C"/>
    <w:rsid w:val="03318371"/>
    <w:rsid w:val="03489EED"/>
    <w:rsid w:val="036D7E9C"/>
    <w:rsid w:val="037D6872"/>
    <w:rsid w:val="03A6A5A1"/>
    <w:rsid w:val="03DECF1B"/>
    <w:rsid w:val="03E2569A"/>
    <w:rsid w:val="04212B39"/>
    <w:rsid w:val="04430B96"/>
    <w:rsid w:val="044653D5"/>
    <w:rsid w:val="045C78DC"/>
    <w:rsid w:val="05261F2B"/>
    <w:rsid w:val="054F9E42"/>
    <w:rsid w:val="055985FA"/>
    <w:rsid w:val="055B4E08"/>
    <w:rsid w:val="0596A9EF"/>
    <w:rsid w:val="05992907"/>
    <w:rsid w:val="0648786B"/>
    <w:rsid w:val="06B72FE5"/>
    <w:rsid w:val="0728980B"/>
    <w:rsid w:val="07308E49"/>
    <w:rsid w:val="07C89CBE"/>
    <w:rsid w:val="07F59D6D"/>
    <w:rsid w:val="08140F26"/>
    <w:rsid w:val="08C7A2C5"/>
    <w:rsid w:val="091026A4"/>
    <w:rsid w:val="093A539F"/>
    <w:rsid w:val="09B9D172"/>
    <w:rsid w:val="09CB18E0"/>
    <w:rsid w:val="09E5CA73"/>
    <w:rsid w:val="09F1607B"/>
    <w:rsid w:val="09F34D1D"/>
    <w:rsid w:val="0AECFE6E"/>
    <w:rsid w:val="0AF20EE9"/>
    <w:rsid w:val="0BC92B71"/>
    <w:rsid w:val="0BF34C87"/>
    <w:rsid w:val="0C0D888A"/>
    <w:rsid w:val="0C8AEF30"/>
    <w:rsid w:val="0C97D306"/>
    <w:rsid w:val="0C9BE11E"/>
    <w:rsid w:val="0CE526BC"/>
    <w:rsid w:val="0D1B0A00"/>
    <w:rsid w:val="0D39D717"/>
    <w:rsid w:val="0D561F2D"/>
    <w:rsid w:val="0E43CB45"/>
    <w:rsid w:val="0E4BC858"/>
    <w:rsid w:val="0E59F21C"/>
    <w:rsid w:val="0E8E679E"/>
    <w:rsid w:val="0EA3AFE4"/>
    <w:rsid w:val="0EBB9BA5"/>
    <w:rsid w:val="0EE841F9"/>
    <w:rsid w:val="0F169A71"/>
    <w:rsid w:val="0F267258"/>
    <w:rsid w:val="0F32ED81"/>
    <w:rsid w:val="0F73270F"/>
    <w:rsid w:val="0F87BA16"/>
    <w:rsid w:val="0F9B32D0"/>
    <w:rsid w:val="101DF288"/>
    <w:rsid w:val="10352A24"/>
    <w:rsid w:val="103B73A8"/>
    <w:rsid w:val="106541F7"/>
    <w:rsid w:val="10A961E0"/>
    <w:rsid w:val="10D9E9C2"/>
    <w:rsid w:val="10E3D4B0"/>
    <w:rsid w:val="1113410E"/>
    <w:rsid w:val="1147E64C"/>
    <w:rsid w:val="11991D0F"/>
    <w:rsid w:val="12026979"/>
    <w:rsid w:val="12040989"/>
    <w:rsid w:val="126898AA"/>
    <w:rsid w:val="128CDF88"/>
    <w:rsid w:val="12F7211B"/>
    <w:rsid w:val="1384BBA3"/>
    <w:rsid w:val="13C5CB83"/>
    <w:rsid w:val="13E9559E"/>
    <w:rsid w:val="13F626F9"/>
    <w:rsid w:val="1409A390"/>
    <w:rsid w:val="145F82E8"/>
    <w:rsid w:val="1469102F"/>
    <w:rsid w:val="14CFCBBD"/>
    <w:rsid w:val="14D2CD62"/>
    <w:rsid w:val="1502D87E"/>
    <w:rsid w:val="150A065E"/>
    <w:rsid w:val="158056B2"/>
    <w:rsid w:val="1587768B"/>
    <w:rsid w:val="15CCC4FD"/>
    <w:rsid w:val="1636F2DE"/>
    <w:rsid w:val="1649E3AD"/>
    <w:rsid w:val="168C6134"/>
    <w:rsid w:val="16B2F5F1"/>
    <w:rsid w:val="183C320D"/>
    <w:rsid w:val="1910DF9D"/>
    <w:rsid w:val="1937AF51"/>
    <w:rsid w:val="19BC5438"/>
    <w:rsid w:val="1A80D434"/>
    <w:rsid w:val="1B0DB6C7"/>
    <w:rsid w:val="1C2DB1A7"/>
    <w:rsid w:val="1D0C48AA"/>
    <w:rsid w:val="1E558812"/>
    <w:rsid w:val="1E8CBE04"/>
    <w:rsid w:val="1EB46ED3"/>
    <w:rsid w:val="1EC12595"/>
    <w:rsid w:val="1F35FC22"/>
    <w:rsid w:val="1F3F296F"/>
    <w:rsid w:val="1F44F240"/>
    <w:rsid w:val="1F4AD045"/>
    <w:rsid w:val="1FB1854F"/>
    <w:rsid w:val="201CE6F1"/>
    <w:rsid w:val="20C80786"/>
    <w:rsid w:val="20FA4FCA"/>
    <w:rsid w:val="210809ED"/>
    <w:rsid w:val="216E3C96"/>
    <w:rsid w:val="2180B1F5"/>
    <w:rsid w:val="21EE5CCE"/>
    <w:rsid w:val="21FE6009"/>
    <w:rsid w:val="223E1866"/>
    <w:rsid w:val="234613AA"/>
    <w:rsid w:val="23B525E8"/>
    <w:rsid w:val="23F1F687"/>
    <w:rsid w:val="2431D6FA"/>
    <w:rsid w:val="24F7A219"/>
    <w:rsid w:val="25A2F18B"/>
    <w:rsid w:val="2669B861"/>
    <w:rsid w:val="267EB94E"/>
    <w:rsid w:val="26BCBD31"/>
    <w:rsid w:val="26C9553A"/>
    <w:rsid w:val="270C7875"/>
    <w:rsid w:val="274A96C2"/>
    <w:rsid w:val="279017D5"/>
    <w:rsid w:val="27951FE9"/>
    <w:rsid w:val="27F092AC"/>
    <w:rsid w:val="284CDEF4"/>
    <w:rsid w:val="285B956B"/>
    <w:rsid w:val="28C2A878"/>
    <w:rsid w:val="28FD7148"/>
    <w:rsid w:val="292DB0D6"/>
    <w:rsid w:val="29475D50"/>
    <w:rsid w:val="294BD45C"/>
    <w:rsid w:val="296902BB"/>
    <w:rsid w:val="29A106D6"/>
    <w:rsid w:val="29D39EC3"/>
    <w:rsid w:val="2A4DCF88"/>
    <w:rsid w:val="2A7E2C99"/>
    <w:rsid w:val="2A7F9B27"/>
    <w:rsid w:val="2B54B118"/>
    <w:rsid w:val="2B7C7B09"/>
    <w:rsid w:val="2BB8DA1A"/>
    <w:rsid w:val="2BBDF50B"/>
    <w:rsid w:val="2C1FED98"/>
    <w:rsid w:val="2C2CFFCC"/>
    <w:rsid w:val="2C87A9DC"/>
    <w:rsid w:val="2C91136D"/>
    <w:rsid w:val="2C98ABDD"/>
    <w:rsid w:val="2CC6D698"/>
    <w:rsid w:val="2D2367D8"/>
    <w:rsid w:val="2DEC6E4F"/>
    <w:rsid w:val="2DF3FE94"/>
    <w:rsid w:val="2E4C001E"/>
    <w:rsid w:val="2E5FD50E"/>
    <w:rsid w:val="2E9BCAA5"/>
    <w:rsid w:val="2F3DC1D6"/>
    <w:rsid w:val="2F873A7D"/>
    <w:rsid w:val="2FBA0D87"/>
    <w:rsid w:val="2FEB32E0"/>
    <w:rsid w:val="2FFD1575"/>
    <w:rsid w:val="3141712A"/>
    <w:rsid w:val="32720CAF"/>
    <w:rsid w:val="3299BEB8"/>
    <w:rsid w:val="33120E7B"/>
    <w:rsid w:val="334259F7"/>
    <w:rsid w:val="3395261B"/>
    <w:rsid w:val="33D44956"/>
    <w:rsid w:val="340F79BD"/>
    <w:rsid w:val="341986EC"/>
    <w:rsid w:val="3486FAF0"/>
    <w:rsid w:val="34B1F2D0"/>
    <w:rsid w:val="34D7221D"/>
    <w:rsid w:val="35064682"/>
    <w:rsid w:val="3528004E"/>
    <w:rsid w:val="358EBEC0"/>
    <w:rsid w:val="359928F5"/>
    <w:rsid w:val="360FEA33"/>
    <w:rsid w:val="363315DC"/>
    <w:rsid w:val="365B65B4"/>
    <w:rsid w:val="36ADDDCB"/>
    <w:rsid w:val="36BFE58D"/>
    <w:rsid w:val="3701116F"/>
    <w:rsid w:val="379A9BF5"/>
    <w:rsid w:val="37AE2B30"/>
    <w:rsid w:val="3821EAA9"/>
    <w:rsid w:val="38456A35"/>
    <w:rsid w:val="38F8488C"/>
    <w:rsid w:val="3950C8C4"/>
    <w:rsid w:val="398A30DA"/>
    <w:rsid w:val="39B60C40"/>
    <w:rsid w:val="39C0A889"/>
    <w:rsid w:val="39C2C433"/>
    <w:rsid w:val="3A174E77"/>
    <w:rsid w:val="3A6556A5"/>
    <w:rsid w:val="3A680A7C"/>
    <w:rsid w:val="3A6BB67C"/>
    <w:rsid w:val="3A8C7157"/>
    <w:rsid w:val="3B08DB5B"/>
    <w:rsid w:val="3B8C46C1"/>
    <w:rsid w:val="3C110286"/>
    <w:rsid w:val="3C1D0750"/>
    <w:rsid w:val="3CDF1909"/>
    <w:rsid w:val="3D0F3593"/>
    <w:rsid w:val="3D9BBD18"/>
    <w:rsid w:val="3DB15C62"/>
    <w:rsid w:val="3DCD74E5"/>
    <w:rsid w:val="3E2D5CE9"/>
    <w:rsid w:val="3E324887"/>
    <w:rsid w:val="3E9DE691"/>
    <w:rsid w:val="3EAD3392"/>
    <w:rsid w:val="3F021418"/>
    <w:rsid w:val="3F99FAB8"/>
    <w:rsid w:val="3FABBF4C"/>
    <w:rsid w:val="40872EA0"/>
    <w:rsid w:val="414D032F"/>
    <w:rsid w:val="41529FC9"/>
    <w:rsid w:val="415E6AE6"/>
    <w:rsid w:val="425E064E"/>
    <w:rsid w:val="428034E1"/>
    <w:rsid w:val="429AD506"/>
    <w:rsid w:val="429CA5AD"/>
    <w:rsid w:val="42D42EC4"/>
    <w:rsid w:val="436AC7D9"/>
    <w:rsid w:val="43949F38"/>
    <w:rsid w:val="443E02AE"/>
    <w:rsid w:val="444751FC"/>
    <w:rsid w:val="447B3C2B"/>
    <w:rsid w:val="448712AD"/>
    <w:rsid w:val="44E5B8C5"/>
    <w:rsid w:val="45264463"/>
    <w:rsid w:val="45378647"/>
    <w:rsid w:val="45E2F93B"/>
    <w:rsid w:val="46526A15"/>
    <w:rsid w:val="466B7483"/>
    <w:rsid w:val="46F575D4"/>
    <w:rsid w:val="47001EC2"/>
    <w:rsid w:val="471E9359"/>
    <w:rsid w:val="47FCE9FC"/>
    <w:rsid w:val="4818C1DE"/>
    <w:rsid w:val="48595B2E"/>
    <w:rsid w:val="48C282D7"/>
    <w:rsid w:val="48CD046F"/>
    <w:rsid w:val="48E03D3D"/>
    <w:rsid w:val="4923A584"/>
    <w:rsid w:val="49764587"/>
    <w:rsid w:val="49DFAE3A"/>
    <w:rsid w:val="49E8013D"/>
    <w:rsid w:val="4AF1B17F"/>
    <w:rsid w:val="4B74CCC8"/>
    <w:rsid w:val="4B7BBD32"/>
    <w:rsid w:val="4B8A8E7D"/>
    <w:rsid w:val="4C41A425"/>
    <w:rsid w:val="4C559A92"/>
    <w:rsid w:val="4CDD26B6"/>
    <w:rsid w:val="4CF84C57"/>
    <w:rsid w:val="4D1723A3"/>
    <w:rsid w:val="4D8B9F0E"/>
    <w:rsid w:val="4DD097F4"/>
    <w:rsid w:val="4DE76F7F"/>
    <w:rsid w:val="4E7FB4A4"/>
    <w:rsid w:val="4EA1E124"/>
    <w:rsid w:val="4EF4AB66"/>
    <w:rsid w:val="4F39C29A"/>
    <w:rsid w:val="4F9B33DC"/>
    <w:rsid w:val="501E3431"/>
    <w:rsid w:val="50529DA8"/>
    <w:rsid w:val="505E7247"/>
    <w:rsid w:val="5065372E"/>
    <w:rsid w:val="5080FD52"/>
    <w:rsid w:val="5188A9E7"/>
    <w:rsid w:val="523BF825"/>
    <w:rsid w:val="523FBAAF"/>
    <w:rsid w:val="5243C6DF"/>
    <w:rsid w:val="52A1563F"/>
    <w:rsid w:val="5337A4A0"/>
    <w:rsid w:val="53633912"/>
    <w:rsid w:val="537956F4"/>
    <w:rsid w:val="53A38041"/>
    <w:rsid w:val="53DE3ACA"/>
    <w:rsid w:val="53F19505"/>
    <w:rsid w:val="5475355C"/>
    <w:rsid w:val="558B7E63"/>
    <w:rsid w:val="558C4BC3"/>
    <w:rsid w:val="566901D0"/>
    <w:rsid w:val="56DC63F1"/>
    <w:rsid w:val="570A6AB8"/>
    <w:rsid w:val="57113CE3"/>
    <w:rsid w:val="572BD41A"/>
    <w:rsid w:val="572DABCB"/>
    <w:rsid w:val="578ACF5D"/>
    <w:rsid w:val="57ADB564"/>
    <w:rsid w:val="57B6C383"/>
    <w:rsid w:val="57F319B5"/>
    <w:rsid w:val="58105C4C"/>
    <w:rsid w:val="586B94CF"/>
    <w:rsid w:val="58BB9042"/>
    <w:rsid w:val="599C671F"/>
    <w:rsid w:val="59A57E1B"/>
    <w:rsid w:val="59D52AE1"/>
    <w:rsid w:val="5AC081D0"/>
    <w:rsid w:val="5B0CE19D"/>
    <w:rsid w:val="5B12B3F6"/>
    <w:rsid w:val="5B90E3D7"/>
    <w:rsid w:val="5BADE499"/>
    <w:rsid w:val="5BD47B38"/>
    <w:rsid w:val="5C82CBEA"/>
    <w:rsid w:val="5CBAF99B"/>
    <w:rsid w:val="5CBBA87C"/>
    <w:rsid w:val="5D515A31"/>
    <w:rsid w:val="5DDBC1FD"/>
    <w:rsid w:val="5DE71E7A"/>
    <w:rsid w:val="5E4C1C1B"/>
    <w:rsid w:val="5E602E42"/>
    <w:rsid w:val="5F687215"/>
    <w:rsid w:val="5FC3191D"/>
    <w:rsid w:val="600BDD02"/>
    <w:rsid w:val="601BE439"/>
    <w:rsid w:val="603D1433"/>
    <w:rsid w:val="60BB1ADD"/>
    <w:rsid w:val="60C28933"/>
    <w:rsid w:val="60FD128B"/>
    <w:rsid w:val="611D5B68"/>
    <w:rsid w:val="61442050"/>
    <w:rsid w:val="617BF9ED"/>
    <w:rsid w:val="61E5A52D"/>
    <w:rsid w:val="6207A2A3"/>
    <w:rsid w:val="6258EC66"/>
    <w:rsid w:val="625A3982"/>
    <w:rsid w:val="627FEC39"/>
    <w:rsid w:val="62A1C63F"/>
    <w:rsid w:val="63278591"/>
    <w:rsid w:val="632CACE2"/>
    <w:rsid w:val="63474CF6"/>
    <w:rsid w:val="63D3D540"/>
    <w:rsid w:val="646E9074"/>
    <w:rsid w:val="64BB1850"/>
    <w:rsid w:val="64D89386"/>
    <w:rsid w:val="64E1E105"/>
    <w:rsid w:val="65A25142"/>
    <w:rsid w:val="65B325CA"/>
    <w:rsid w:val="65FF52F2"/>
    <w:rsid w:val="6613A76D"/>
    <w:rsid w:val="666C79E6"/>
    <w:rsid w:val="666D174A"/>
    <w:rsid w:val="667BA56E"/>
    <w:rsid w:val="66E16086"/>
    <w:rsid w:val="66F0857F"/>
    <w:rsid w:val="67158071"/>
    <w:rsid w:val="6715C93E"/>
    <w:rsid w:val="673F124C"/>
    <w:rsid w:val="67886A61"/>
    <w:rsid w:val="67A6AC32"/>
    <w:rsid w:val="67AAFF6F"/>
    <w:rsid w:val="682D0596"/>
    <w:rsid w:val="685EE6E8"/>
    <w:rsid w:val="68AAE069"/>
    <w:rsid w:val="69079C42"/>
    <w:rsid w:val="6938E04F"/>
    <w:rsid w:val="697A997E"/>
    <w:rsid w:val="699448D9"/>
    <w:rsid w:val="6A29486F"/>
    <w:rsid w:val="6A796AB6"/>
    <w:rsid w:val="6B134A6C"/>
    <w:rsid w:val="6B1826E2"/>
    <w:rsid w:val="6B491B55"/>
    <w:rsid w:val="6B72A177"/>
    <w:rsid w:val="6BAC9365"/>
    <w:rsid w:val="6BBF5337"/>
    <w:rsid w:val="6BFE7FB2"/>
    <w:rsid w:val="6C1A15BF"/>
    <w:rsid w:val="6C1AA5C2"/>
    <w:rsid w:val="6C46FE49"/>
    <w:rsid w:val="6C87DC4A"/>
    <w:rsid w:val="6CB828DC"/>
    <w:rsid w:val="6CCAEA5B"/>
    <w:rsid w:val="6CDD72E8"/>
    <w:rsid w:val="6D07EE4B"/>
    <w:rsid w:val="6DA61EA4"/>
    <w:rsid w:val="6E191A93"/>
    <w:rsid w:val="6E5315EE"/>
    <w:rsid w:val="6E60FC76"/>
    <w:rsid w:val="6E75AEAA"/>
    <w:rsid w:val="6E771DE3"/>
    <w:rsid w:val="6EFCA508"/>
    <w:rsid w:val="70058A25"/>
    <w:rsid w:val="7095A77D"/>
    <w:rsid w:val="7164CCBF"/>
    <w:rsid w:val="71AE76C2"/>
    <w:rsid w:val="72342E11"/>
    <w:rsid w:val="726EE605"/>
    <w:rsid w:val="72A27ED2"/>
    <w:rsid w:val="72D0E8F7"/>
    <w:rsid w:val="72DBAE20"/>
    <w:rsid w:val="73411F54"/>
    <w:rsid w:val="73B8DC8D"/>
    <w:rsid w:val="73C53588"/>
    <w:rsid w:val="7426CF6F"/>
    <w:rsid w:val="7452D6DE"/>
    <w:rsid w:val="75803D2E"/>
    <w:rsid w:val="75DC5337"/>
    <w:rsid w:val="7628567F"/>
    <w:rsid w:val="762DB912"/>
    <w:rsid w:val="76CBCE3A"/>
    <w:rsid w:val="77100590"/>
    <w:rsid w:val="77854CC8"/>
    <w:rsid w:val="7856F0EC"/>
    <w:rsid w:val="78B1C257"/>
    <w:rsid w:val="799A5165"/>
    <w:rsid w:val="7A126315"/>
    <w:rsid w:val="7A38CD4C"/>
    <w:rsid w:val="7A4EB793"/>
    <w:rsid w:val="7A8CCAC2"/>
    <w:rsid w:val="7AD2216E"/>
    <w:rsid w:val="7AFAC2EB"/>
    <w:rsid w:val="7BF42A70"/>
    <w:rsid w:val="7C3EA4F4"/>
    <w:rsid w:val="7C40D6FC"/>
    <w:rsid w:val="7C487F46"/>
    <w:rsid w:val="7C69D85E"/>
    <w:rsid w:val="7CB375AA"/>
    <w:rsid w:val="7CBBFE0A"/>
    <w:rsid w:val="7CD098B5"/>
    <w:rsid w:val="7D80A25B"/>
    <w:rsid w:val="7DC385D8"/>
    <w:rsid w:val="7DD94667"/>
    <w:rsid w:val="7DE362E3"/>
    <w:rsid w:val="7E121D32"/>
    <w:rsid w:val="7E13C24B"/>
    <w:rsid w:val="7E28FA21"/>
    <w:rsid w:val="7E3BD7B0"/>
    <w:rsid w:val="7E440471"/>
    <w:rsid w:val="7E9F4DDF"/>
    <w:rsid w:val="7EB24ADD"/>
    <w:rsid w:val="7ECEB565"/>
    <w:rsid w:val="7F3189C9"/>
    <w:rsid w:val="7F474AB1"/>
    <w:rsid w:val="7F6BED18"/>
    <w:rsid w:val="7F84A8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E22E8A"/>
  <w15:docId w15:val="{F04DFFA8-F7D3-4386-9502-6FD37D0E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j-normal">
    <w:name w:val="oj-normal"/>
    <w:basedOn w:val="Normal"/>
    <w:rsid w:val="00A777DD"/>
    <w:pPr>
      <w:spacing w:before="100" w:beforeAutospacing="1" w:after="100" w:afterAutospacing="1"/>
      <w:jc w:val="left"/>
    </w:pPr>
    <w:rPr>
      <w:rFonts w:eastAsia="Times New Roman"/>
      <w:szCs w:val="24"/>
      <w:lang w:eastAsia="en-IE"/>
    </w:rPr>
  </w:style>
  <w:style w:type="paragraph" w:styleId="ListParagraph">
    <w:name w:val="List Paragraph"/>
    <w:aliases w:val="1st level - Bullet List Paragraph,List Paragraph1,Lettre d'introduction,Paragrafo elenco,Medium Grid 1 - Accent 21,Dot pt,F5 List Paragraph,No Spacing1,List Paragraph Char Char Char,Indicator Text,Colorful List - Accent 11,Numbered Para 1"/>
    <w:basedOn w:val="Normal"/>
    <w:link w:val="ListParagraphChar"/>
    <w:uiPriority w:val="34"/>
    <w:qFormat/>
    <w:rsid w:val="00A777DD"/>
    <w:pPr>
      <w:spacing w:before="0" w:after="200" w:line="276" w:lineRule="auto"/>
      <w:ind w:left="720"/>
      <w:contextualSpacing/>
      <w:jc w:val="left"/>
    </w:pPr>
    <w:rPr>
      <w:rFonts w:asciiTheme="minorHAnsi" w:hAnsiTheme="minorHAnsi" w:cstheme="minorBidi"/>
      <w:sz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A777DD"/>
    <w:pPr>
      <w:spacing w:before="0" w:after="160" w:line="240" w:lineRule="exact"/>
    </w:pPr>
    <w:rPr>
      <w:rFonts w:asciiTheme="minorHAnsi" w:hAnsiTheme="minorHAnsi" w:cstheme="minorBidi"/>
      <w:sz w:val="22"/>
      <w:vertAlign w:val="superscript"/>
    </w:rPr>
  </w:style>
  <w:style w:type="character" w:customStyle="1" w:styleId="ListParagraphChar">
    <w:name w:val="List Paragraph Char"/>
    <w:aliases w:val="1st level - Bullet List Paragraph Char,List Paragraph1 Char,Lettre d'introduction Char,Paragrafo elenco Char,Medium Grid 1 - Accent 21 Char,Dot pt Char,F5 List Paragraph Char,No Spacing1 Char,List Paragraph Char Char Char Char"/>
    <w:basedOn w:val="DefaultParagraphFont"/>
    <w:link w:val="ListParagraph"/>
    <w:uiPriority w:val="34"/>
    <w:qFormat/>
    <w:locked/>
    <w:rsid w:val="00A777DD"/>
    <w:rPr>
      <w:lang w:val="cs-CZ"/>
    </w:rPr>
  </w:style>
  <w:style w:type="table" w:styleId="TableGrid">
    <w:name w:val="Table Grid"/>
    <w:basedOn w:val="TableNormal"/>
    <w:uiPriority w:val="39"/>
    <w:rsid w:val="00A777D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e">
    <w:name w:val="Conside"/>
    <w:basedOn w:val="Normal"/>
    <w:rsid w:val="00816B0E"/>
    <w:pPr>
      <w:spacing w:line="276" w:lineRule="auto"/>
      <w:ind w:left="360"/>
      <w:contextualSpacing/>
    </w:pPr>
    <w:rPr>
      <w:szCs w:val="24"/>
      <w:lang w:eastAsia="ja-JP"/>
    </w:rPr>
  </w:style>
  <w:style w:type="character" w:customStyle="1" w:styleId="normaltextrun">
    <w:name w:val="normaltextrun"/>
    <w:basedOn w:val="DefaultParagraphFont"/>
    <w:rsid w:val="00D94326"/>
  </w:style>
  <w:style w:type="character" w:customStyle="1" w:styleId="eop">
    <w:name w:val="eop"/>
    <w:basedOn w:val="DefaultParagraphFont"/>
    <w:rsid w:val="00D94326"/>
  </w:style>
  <w:style w:type="paragraph" w:customStyle="1" w:styleId="msonormal0">
    <w:name w:val="msonormal"/>
    <w:basedOn w:val="Normal"/>
    <w:rsid w:val="00011084"/>
    <w:pPr>
      <w:spacing w:before="100" w:beforeAutospacing="1" w:after="100" w:afterAutospacing="1"/>
      <w:jc w:val="left"/>
    </w:pPr>
    <w:rPr>
      <w:rFonts w:eastAsia="Times New Roman"/>
      <w:szCs w:val="24"/>
      <w:lang w:eastAsia="en-IE"/>
    </w:rPr>
  </w:style>
  <w:style w:type="paragraph" w:customStyle="1" w:styleId="outlineelement">
    <w:name w:val="outlineelement"/>
    <w:basedOn w:val="Normal"/>
    <w:rsid w:val="00011084"/>
    <w:pPr>
      <w:spacing w:before="100" w:beforeAutospacing="1" w:after="100" w:afterAutospacing="1"/>
      <w:jc w:val="left"/>
    </w:pPr>
    <w:rPr>
      <w:rFonts w:eastAsia="Times New Roman"/>
      <w:szCs w:val="24"/>
      <w:lang w:eastAsia="en-IE"/>
    </w:rPr>
  </w:style>
  <w:style w:type="paragraph" w:customStyle="1" w:styleId="paragraph">
    <w:name w:val="paragraph"/>
    <w:basedOn w:val="Normal"/>
    <w:rsid w:val="00011084"/>
    <w:pPr>
      <w:spacing w:before="100" w:beforeAutospacing="1" w:after="100" w:afterAutospacing="1"/>
      <w:jc w:val="left"/>
    </w:pPr>
    <w:rPr>
      <w:rFonts w:eastAsia="Times New Roman"/>
      <w:szCs w:val="24"/>
      <w:lang w:eastAsia="en-IE"/>
    </w:rPr>
  </w:style>
  <w:style w:type="character" w:customStyle="1" w:styleId="textrun">
    <w:name w:val="textrun"/>
    <w:basedOn w:val="DefaultParagraphFont"/>
    <w:rsid w:val="00011084"/>
  </w:style>
  <w:style w:type="character" w:customStyle="1" w:styleId="superscript">
    <w:name w:val="superscript"/>
    <w:basedOn w:val="DefaultParagraphFont"/>
    <w:rsid w:val="00011084"/>
  </w:style>
  <w:style w:type="character" w:customStyle="1" w:styleId="wacimagecontainer">
    <w:name w:val="wacimagecontainer"/>
    <w:basedOn w:val="DefaultParagraphFont"/>
    <w:rsid w:val="00011084"/>
  </w:style>
  <w:style w:type="character" w:customStyle="1" w:styleId="wacimageplaceholder">
    <w:name w:val="wacimageplaceholder"/>
    <w:basedOn w:val="DefaultParagraphFont"/>
    <w:rsid w:val="00011084"/>
  </w:style>
  <w:style w:type="character" w:customStyle="1" w:styleId="wacprogress">
    <w:name w:val="wacprogress"/>
    <w:basedOn w:val="DefaultParagraphFont"/>
    <w:rsid w:val="00011084"/>
  </w:style>
  <w:style w:type="character" w:customStyle="1" w:styleId="wacimageplaceholderfiller">
    <w:name w:val="wacimageplaceholderfiller"/>
    <w:basedOn w:val="DefaultParagraphFont"/>
    <w:rsid w:val="00011084"/>
  </w:style>
  <w:style w:type="character" w:customStyle="1" w:styleId="linebreakblob">
    <w:name w:val="linebreakblob"/>
    <w:basedOn w:val="DefaultParagraphFont"/>
    <w:rsid w:val="00011084"/>
  </w:style>
  <w:style w:type="character" w:customStyle="1" w:styleId="scxw32507753">
    <w:name w:val="scxw32507753"/>
    <w:basedOn w:val="DefaultParagraphFont"/>
    <w:rsid w:val="00011084"/>
  </w:style>
  <w:style w:type="character" w:customStyle="1" w:styleId="trackchangetextinsertion">
    <w:name w:val="trackchangetextinsertion"/>
    <w:basedOn w:val="DefaultParagraphFont"/>
    <w:rsid w:val="00011084"/>
  </w:style>
  <w:style w:type="character" w:customStyle="1" w:styleId="trackchangetextdeletionmarker">
    <w:name w:val="trackchangetextdeletionmarker"/>
    <w:basedOn w:val="DefaultParagraphFont"/>
    <w:rsid w:val="00011084"/>
  </w:style>
  <w:style w:type="character" w:customStyle="1" w:styleId="scxw45783604">
    <w:name w:val="scxw45783604"/>
    <w:basedOn w:val="DefaultParagraphFont"/>
    <w:rsid w:val="00726310"/>
  </w:style>
  <w:style w:type="character" w:styleId="CommentReference">
    <w:name w:val="annotation reference"/>
    <w:basedOn w:val="DefaultParagraphFont"/>
    <w:uiPriority w:val="99"/>
    <w:semiHidden/>
    <w:unhideWhenUsed/>
    <w:rsid w:val="00F213E1"/>
    <w:rPr>
      <w:sz w:val="16"/>
      <w:szCs w:val="16"/>
    </w:rPr>
  </w:style>
  <w:style w:type="paragraph" w:styleId="CommentText">
    <w:name w:val="annotation text"/>
    <w:basedOn w:val="Normal"/>
    <w:link w:val="CommentTextChar"/>
    <w:uiPriority w:val="99"/>
    <w:unhideWhenUsed/>
    <w:rsid w:val="00F213E1"/>
    <w:rPr>
      <w:sz w:val="20"/>
      <w:szCs w:val="20"/>
    </w:rPr>
  </w:style>
  <w:style w:type="character" w:customStyle="1" w:styleId="CommentTextChar">
    <w:name w:val="Comment Text Char"/>
    <w:basedOn w:val="DefaultParagraphFont"/>
    <w:link w:val="CommentText"/>
    <w:uiPriority w:val="99"/>
    <w:rsid w:val="00F213E1"/>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F213E1"/>
    <w:rPr>
      <w:b/>
      <w:bCs/>
    </w:rPr>
  </w:style>
  <w:style w:type="character" w:customStyle="1" w:styleId="CommentSubjectChar">
    <w:name w:val="Comment Subject Char"/>
    <w:basedOn w:val="CommentTextChar"/>
    <w:link w:val="CommentSubject"/>
    <w:uiPriority w:val="99"/>
    <w:semiHidden/>
    <w:rsid w:val="00F213E1"/>
    <w:rPr>
      <w:rFonts w:ascii="Times New Roman" w:hAnsi="Times New Roman" w:cs="Times New Roman"/>
      <w:b/>
      <w:bCs/>
      <w:sz w:val="20"/>
      <w:szCs w:val="20"/>
      <w:lang w:val="cs-CZ"/>
    </w:rPr>
  </w:style>
  <w:style w:type="character" w:customStyle="1" w:styleId="Mention1">
    <w:name w:val="Mention1"/>
    <w:basedOn w:val="DefaultParagraphFont"/>
    <w:uiPriority w:val="99"/>
    <w:unhideWhenUsed/>
    <w:rsid w:val="00F213E1"/>
    <w:rPr>
      <w:color w:val="2B579A"/>
      <w:shd w:val="clear" w:color="auto" w:fill="E1DFDD"/>
    </w:rPr>
  </w:style>
  <w:style w:type="paragraph" w:styleId="Revision">
    <w:name w:val="Revision"/>
    <w:hidden/>
    <w:uiPriority w:val="99"/>
    <w:semiHidden/>
    <w:rsid w:val="00F62DED"/>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sid w:val="00E45A27"/>
    <w:rPr>
      <w:color w:val="0000FF" w:themeColor="hyperlink"/>
      <w:u w:val="single"/>
    </w:rPr>
  </w:style>
  <w:style w:type="character" w:customStyle="1" w:styleId="UnresolvedMention1">
    <w:name w:val="Unresolved Mention1"/>
    <w:basedOn w:val="DefaultParagraphFont"/>
    <w:uiPriority w:val="99"/>
    <w:semiHidden/>
    <w:unhideWhenUsed/>
    <w:rsid w:val="00E45A27"/>
    <w:rPr>
      <w:color w:val="605E5C"/>
      <w:shd w:val="clear" w:color="auto" w:fill="E1DFDD"/>
    </w:rPr>
  </w:style>
  <w:style w:type="paragraph" w:styleId="ListBullet">
    <w:name w:val="List Bullet"/>
    <w:basedOn w:val="Normal"/>
    <w:uiPriority w:val="99"/>
    <w:semiHidden/>
    <w:unhideWhenUsed/>
    <w:rsid w:val="00D12304"/>
    <w:pPr>
      <w:numPr>
        <w:numId w:val="1"/>
      </w:numPr>
      <w:contextualSpacing/>
    </w:pPr>
  </w:style>
  <w:style w:type="paragraph" w:styleId="ListBullet2">
    <w:name w:val="List Bullet 2"/>
    <w:basedOn w:val="Normal"/>
    <w:uiPriority w:val="99"/>
    <w:semiHidden/>
    <w:unhideWhenUsed/>
    <w:rsid w:val="00D12304"/>
    <w:pPr>
      <w:numPr>
        <w:numId w:val="2"/>
      </w:numPr>
      <w:contextualSpacing/>
    </w:pPr>
  </w:style>
  <w:style w:type="paragraph" w:styleId="ListBullet3">
    <w:name w:val="List Bullet 3"/>
    <w:basedOn w:val="Normal"/>
    <w:uiPriority w:val="99"/>
    <w:semiHidden/>
    <w:unhideWhenUsed/>
    <w:rsid w:val="00D12304"/>
    <w:pPr>
      <w:numPr>
        <w:numId w:val="3"/>
      </w:numPr>
      <w:contextualSpacing/>
    </w:pPr>
  </w:style>
  <w:style w:type="paragraph" w:styleId="ListBullet4">
    <w:name w:val="List Bullet 4"/>
    <w:basedOn w:val="Normal"/>
    <w:uiPriority w:val="99"/>
    <w:semiHidden/>
    <w:unhideWhenUsed/>
    <w:rsid w:val="00D12304"/>
    <w:pPr>
      <w:numPr>
        <w:numId w:val="4"/>
      </w:numPr>
      <w:contextualSpacing/>
    </w:pPr>
  </w:style>
  <w:style w:type="paragraph" w:customStyle="1" w:styleId="oj-doc-ti">
    <w:name w:val="oj-doc-ti"/>
    <w:basedOn w:val="Normal"/>
    <w:rsid w:val="001C1D05"/>
    <w:pPr>
      <w:spacing w:before="100" w:beforeAutospacing="1" w:after="100" w:afterAutospacing="1"/>
      <w:jc w:val="left"/>
    </w:pPr>
    <w:rPr>
      <w:rFonts w:eastAsia="Times New Roman"/>
      <w:szCs w:val="24"/>
      <w:lang w:eastAsia="en-IE"/>
    </w:rPr>
  </w:style>
  <w:style w:type="character" w:styleId="FollowedHyperlink">
    <w:name w:val="FollowedHyperlink"/>
    <w:basedOn w:val="DefaultParagraphFont"/>
    <w:uiPriority w:val="99"/>
    <w:semiHidden/>
    <w:unhideWhenUsed/>
    <w:rsid w:val="00B21BE0"/>
    <w:rPr>
      <w:color w:val="800080" w:themeColor="followedHyperlink"/>
      <w:u w:val="single"/>
    </w:rPr>
  </w:style>
  <w:style w:type="character" w:customStyle="1" w:styleId="UnresolvedMention">
    <w:name w:val="Unresolved Mention"/>
    <w:basedOn w:val="DefaultParagraphFont"/>
    <w:uiPriority w:val="99"/>
    <w:semiHidden/>
    <w:unhideWhenUsed/>
    <w:rsid w:val="0014118C"/>
    <w:rPr>
      <w:color w:val="605E5C"/>
      <w:shd w:val="clear" w:color="auto" w:fill="E1DFDD"/>
    </w:rPr>
  </w:style>
  <w:style w:type="character" w:customStyle="1" w:styleId="HeaderChar">
    <w:name w:val="Header Char"/>
    <w:basedOn w:val="DefaultParagraphFont"/>
    <w:link w:val="Header"/>
    <w:uiPriority w:val="99"/>
    <w:rsid w:val="00FB5EA5"/>
    <w:rPr>
      <w:rFonts w:ascii="Times New Roman" w:hAnsi="Times New Roman" w:cs="Times New Roman"/>
      <w:sz w:val="24"/>
      <w:lang w:val="cs-CZ"/>
    </w:rPr>
  </w:style>
  <w:style w:type="character" w:customStyle="1" w:styleId="FooterChar">
    <w:name w:val="Footer Char"/>
    <w:basedOn w:val="DefaultParagraphFont"/>
    <w:link w:val="Footer"/>
    <w:uiPriority w:val="99"/>
    <w:rsid w:val="00FB5EA5"/>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rsid w:val="00FB5EA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B5EA5"/>
    <w:pPr>
      <w:spacing w:before="0"/>
      <w:jc w:val="right"/>
    </w:pPr>
    <w:rPr>
      <w:sz w:val="28"/>
    </w:rPr>
  </w:style>
  <w:style w:type="paragraph" w:customStyle="1" w:styleId="FooterSensitivity">
    <w:name w:val="Footer Sensitivity"/>
    <w:basedOn w:val="Normal"/>
    <w:rsid w:val="00FB5EA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Tiret5">
    <w:name w:val="Tiret 5"/>
    <w:basedOn w:val="Point5"/>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NumPar5">
    <w:name w:val="NumPar 5"/>
    <w:basedOn w:val="Normal"/>
    <w:next w:val="Text2"/>
    <w:pPr>
      <w:numPr>
        <w:ilvl w:val="4"/>
        <w:numId w:val="26"/>
      </w:numPr>
    </w:pPr>
  </w:style>
  <w:style w:type="paragraph" w:customStyle="1" w:styleId="NumPar6">
    <w:name w:val="NumPar 6"/>
    <w:basedOn w:val="Normal"/>
    <w:next w:val="Text2"/>
    <w:pPr>
      <w:numPr>
        <w:ilvl w:val="5"/>
        <w:numId w:val="26"/>
      </w:numPr>
    </w:pPr>
  </w:style>
  <w:style w:type="paragraph" w:customStyle="1" w:styleId="NumPar7">
    <w:name w:val="NumPar 7"/>
    <w:basedOn w:val="Normal"/>
    <w:next w:val="Text2"/>
    <w:pPr>
      <w:numPr>
        <w:ilvl w:val="6"/>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FB5EA5"/>
    <w:pPr>
      <w:tabs>
        <w:tab w:val="center" w:pos="4535"/>
        <w:tab w:val="right" w:pos="9071"/>
      </w:tabs>
      <w:spacing w:before="0"/>
    </w:pPr>
  </w:style>
  <w:style w:type="paragraph" w:customStyle="1" w:styleId="HeaderLandscape">
    <w:name w:val="HeaderLandscape"/>
    <w:basedOn w:val="Normal"/>
    <w:rsid w:val="00FB5EA5"/>
    <w:pPr>
      <w:tabs>
        <w:tab w:val="center" w:pos="7285"/>
        <w:tab w:val="right" w:pos="14003"/>
      </w:tabs>
      <w:spacing w:before="0"/>
    </w:pPr>
  </w:style>
  <w:style w:type="paragraph" w:styleId="Footer">
    <w:name w:val="footer"/>
    <w:basedOn w:val="Normal"/>
    <w:link w:val="FooterChar"/>
    <w:uiPriority w:val="99"/>
    <w:unhideWhenUsed/>
    <w:rsid w:val="00FB5EA5"/>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FB5EA5"/>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13013">
      <w:bodyDiv w:val="1"/>
      <w:marLeft w:val="0"/>
      <w:marRight w:val="0"/>
      <w:marTop w:val="0"/>
      <w:marBottom w:val="0"/>
      <w:divBdr>
        <w:top w:val="none" w:sz="0" w:space="0" w:color="auto"/>
        <w:left w:val="none" w:sz="0" w:space="0" w:color="auto"/>
        <w:bottom w:val="none" w:sz="0" w:space="0" w:color="auto"/>
        <w:right w:val="none" w:sz="0" w:space="0" w:color="auto"/>
      </w:divBdr>
      <w:divsChild>
        <w:div w:id="2631711">
          <w:marLeft w:val="0"/>
          <w:marRight w:val="0"/>
          <w:marTop w:val="0"/>
          <w:marBottom w:val="0"/>
          <w:divBdr>
            <w:top w:val="none" w:sz="0" w:space="0" w:color="auto"/>
            <w:left w:val="none" w:sz="0" w:space="0" w:color="auto"/>
            <w:bottom w:val="none" w:sz="0" w:space="0" w:color="auto"/>
            <w:right w:val="none" w:sz="0" w:space="0" w:color="auto"/>
          </w:divBdr>
        </w:div>
        <w:div w:id="349917841">
          <w:marLeft w:val="0"/>
          <w:marRight w:val="0"/>
          <w:marTop w:val="0"/>
          <w:marBottom w:val="0"/>
          <w:divBdr>
            <w:top w:val="none" w:sz="0" w:space="0" w:color="auto"/>
            <w:left w:val="none" w:sz="0" w:space="0" w:color="auto"/>
            <w:bottom w:val="none" w:sz="0" w:space="0" w:color="auto"/>
            <w:right w:val="none" w:sz="0" w:space="0" w:color="auto"/>
          </w:divBdr>
        </w:div>
        <w:div w:id="492647948">
          <w:marLeft w:val="0"/>
          <w:marRight w:val="0"/>
          <w:marTop w:val="0"/>
          <w:marBottom w:val="0"/>
          <w:divBdr>
            <w:top w:val="none" w:sz="0" w:space="0" w:color="auto"/>
            <w:left w:val="none" w:sz="0" w:space="0" w:color="auto"/>
            <w:bottom w:val="none" w:sz="0" w:space="0" w:color="auto"/>
            <w:right w:val="none" w:sz="0" w:space="0" w:color="auto"/>
          </w:divBdr>
        </w:div>
        <w:div w:id="699553155">
          <w:marLeft w:val="0"/>
          <w:marRight w:val="0"/>
          <w:marTop w:val="0"/>
          <w:marBottom w:val="0"/>
          <w:divBdr>
            <w:top w:val="none" w:sz="0" w:space="0" w:color="auto"/>
            <w:left w:val="none" w:sz="0" w:space="0" w:color="auto"/>
            <w:bottom w:val="none" w:sz="0" w:space="0" w:color="auto"/>
            <w:right w:val="none" w:sz="0" w:space="0" w:color="auto"/>
          </w:divBdr>
        </w:div>
        <w:div w:id="848105857">
          <w:marLeft w:val="0"/>
          <w:marRight w:val="0"/>
          <w:marTop w:val="0"/>
          <w:marBottom w:val="0"/>
          <w:divBdr>
            <w:top w:val="none" w:sz="0" w:space="0" w:color="auto"/>
            <w:left w:val="none" w:sz="0" w:space="0" w:color="auto"/>
            <w:bottom w:val="none" w:sz="0" w:space="0" w:color="auto"/>
            <w:right w:val="none" w:sz="0" w:space="0" w:color="auto"/>
          </w:divBdr>
        </w:div>
        <w:div w:id="869949705">
          <w:marLeft w:val="0"/>
          <w:marRight w:val="0"/>
          <w:marTop w:val="0"/>
          <w:marBottom w:val="0"/>
          <w:divBdr>
            <w:top w:val="none" w:sz="0" w:space="0" w:color="auto"/>
            <w:left w:val="none" w:sz="0" w:space="0" w:color="auto"/>
            <w:bottom w:val="none" w:sz="0" w:space="0" w:color="auto"/>
            <w:right w:val="none" w:sz="0" w:space="0" w:color="auto"/>
          </w:divBdr>
        </w:div>
        <w:div w:id="1272737948">
          <w:marLeft w:val="0"/>
          <w:marRight w:val="0"/>
          <w:marTop w:val="0"/>
          <w:marBottom w:val="0"/>
          <w:divBdr>
            <w:top w:val="none" w:sz="0" w:space="0" w:color="auto"/>
            <w:left w:val="none" w:sz="0" w:space="0" w:color="auto"/>
            <w:bottom w:val="none" w:sz="0" w:space="0" w:color="auto"/>
            <w:right w:val="none" w:sz="0" w:space="0" w:color="auto"/>
          </w:divBdr>
        </w:div>
      </w:divsChild>
    </w:div>
    <w:div w:id="1058556264">
      <w:bodyDiv w:val="1"/>
      <w:marLeft w:val="0"/>
      <w:marRight w:val="0"/>
      <w:marTop w:val="0"/>
      <w:marBottom w:val="0"/>
      <w:divBdr>
        <w:top w:val="none" w:sz="0" w:space="0" w:color="auto"/>
        <w:left w:val="none" w:sz="0" w:space="0" w:color="auto"/>
        <w:bottom w:val="none" w:sz="0" w:space="0" w:color="auto"/>
        <w:right w:val="none" w:sz="0" w:space="0" w:color="auto"/>
      </w:divBdr>
      <w:divsChild>
        <w:div w:id="171267432">
          <w:marLeft w:val="0"/>
          <w:marRight w:val="0"/>
          <w:marTop w:val="0"/>
          <w:marBottom w:val="0"/>
          <w:divBdr>
            <w:top w:val="none" w:sz="0" w:space="0" w:color="auto"/>
            <w:left w:val="none" w:sz="0" w:space="0" w:color="auto"/>
            <w:bottom w:val="none" w:sz="0" w:space="0" w:color="auto"/>
            <w:right w:val="none" w:sz="0" w:space="0" w:color="auto"/>
          </w:divBdr>
        </w:div>
        <w:div w:id="265432147">
          <w:marLeft w:val="0"/>
          <w:marRight w:val="0"/>
          <w:marTop w:val="0"/>
          <w:marBottom w:val="0"/>
          <w:divBdr>
            <w:top w:val="none" w:sz="0" w:space="0" w:color="auto"/>
            <w:left w:val="none" w:sz="0" w:space="0" w:color="auto"/>
            <w:bottom w:val="none" w:sz="0" w:space="0" w:color="auto"/>
            <w:right w:val="none" w:sz="0" w:space="0" w:color="auto"/>
          </w:divBdr>
        </w:div>
        <w:div w:id="383018753">
          <w:marLeft w:val="0"/>
          <w:marRight w:val="0"/>
          <w:marTop w:val="0"/>
          <w:marBottom w:val="0"/>
          <w:divBdr>
            <w:top w:val="none" w:sz="0" w:space="0" w:color="auto"/>
            <w:left w:val="none" w:sz="0" w:space="0" w:color="auto"/>
            <w:bottom w:val="none" w:sz="0" w:space="0" w:color="auto"/>
            <w:right w:val="none" w:sz="0" w:space="0" w:color="auto"/>
          </w:divBdr>
        </w:div>
        <w:div w:id="920799544">
          <w:marLeft w:val="0"/>
          <w:marRight w:val="0"/>
          <w:marTop w:val="0"/>
          <w:marBottom w:val="0"/>
          <w:divBdr>
            <w:top w:val="none" w:sz="0" w:space="0" w:color="auto"/>
            <w:left w:val="none" w:sz="0" w:space="0" w:color="auto"/>
            <w:bottom w:val="none" w:sz="0" w:space="0" w:color="auto"/>
            <w:right w:val="none" w:sz="0" w:space="0" w:color="auto"/>
          </w:divBdr>
        </w:div>
        <w:div w:id="1061440432">
          <w:marLeft w:val="0"/>
          <w:marRight w:val="0"/>
          <w:marTop w:val="0"/>
          <w:marBottom w:val="0"/>
          <w:divBdr>
            <w:top w:val="none" w:sz="0" w:space="0" w:color="auto"/>
            <w:left w:val="none" w:sz="0" w:space="0" w:color="auto"/>
            <w:bottom w:val="none" w:sz="0" w:space="0" w:color="auto"/>
            <w:right w:val="none" w:sz="0" w:space="0" w:color="auto"/>
          </w:divBdr>
        </w:div>
        <w:div w:id="1626428278">
          <w:marLeft w:val="0"/>
          <w:marRight w:val="0"/>
          <w:marTop w:val="0"/>
          <w:marBottom w:val="0"/>
          <w:divBdr>
            <w:top w:val="none" w:sz="0" w:space="0" w:color="auto"/>
            <w:left w:val="none" w:sz="0" w:space="0" w:color="auto"/>
            <w:bottom w:val="none" w:sz="0" w:space="0" w:color="auto"/>
            <w:right w:val="none" w:sz="0" w:space="0" w:color="auto"/>
          </w:divBdr>
          <w:divsChild>
            <w:div w:id="410465259">
              <w:marLeft w:val="0"/>
              <w:marRight w:val="0"/>
              <w:marTop w:val="30"/>
              <w:marBottom w:val="30"/>
              <w:divBdr>
                <w:top w:val="none" w:sz="0" w:space="0" w:color="auto"/>
                <w:left w:val="none" w:sz="0" w:space="0" w:color="auto"/>
                <w:bottom w:val="none" w:sz="0" w:space="0" w:color="auto"/>
                <w:right w:val="none" w:sz="0" w:space="0" w:color="auto"/>
              </w:divBdr>
              <w:divsChild>
                <w:div w:id="17852442">
                  <w:marLeft w:val="0"/>
                  <w:marRight w:val="0"/>
                  <w:marTop w:val="0"/>
                  <w:marBottom w:val="0"/>
                  <w:divBdr>
                    <w:top w:val="none" w:sz="0" w:space="0" w:color="auto"/>
                    <w:left w:val="none" w:sz="0" w:space="0" w:color="auto"/>
                    <w:bottom w:val="none" w:sz="0" w:space="0" w:color="auto"/>
                    <w:right w:val="none" w:sz="0" w:space="0" w:color="auto"/>
                  </w:divBdr>
                  <w:divsChild>
                    <w:div w:id="1596937185">
                      <w:marLeft w:val="0"/>
                      <w:marRight w:val="0"/>
                      <w:marTop w:val="0"/>
                      <w:marBottom w:val="0"/>
                      <w:divBdr>
                        <w:top w:val="none" w:sz="0" w:space="0" w:color="auto"/>
                        <w:left w:val="none" w:sz="0" w:space="0" w:color="auto"/>
                        <w:bottom w:val="none" w:sz="0" w:space="0" w:color="auto"/>
                        <w:right w:val="none" w:sz="0" w:space="0" w:color="auto"/>
                      </w:divBdr>
                    </w:div>
                  </w:divsChild>
                </w:div>
                <w:div w:id="35547762">
                  <w:marLeft w:val="0"/>
                  <w:marRight w:val="0"/>
                  <w:marTop w:val="0"/>
                  <w:marBottom w:val="0"/>
                  <w:divBdr>
                    <w:top w:val="none" w:sz="0" w:space="0" w:color="auto"/>
                    <w:left w:val="none" w:sz="0" w:space="0" w:color="auto"/>
                    <w:bottom w:val="none" w:sz="0" w:space="0" w:color="auto"/>
                    <w:right w:val="none" w:sz="0" w:space="0" w:color="auto"/>
                  </w:divBdr>
                  <w:divsChild>
                    <w:div w:id="602884128">
                      <w:marLeft w:val="0"/>
                      <w:marRight w:val="0"/>
                      <w:marTop w:val="0"/>
                      <w:marBottom w:val="0"/>
                      <w:divBdr>
                        <w:top w:val="none" w:sz="0" w:space="0" w:color="auto"/>
                        <w:left w:val="none" w:sz="0" w:space="0" w:color="auto"/>
                        <w:bottom w:val="none" w:sz="0" w:space="0" w:color="auto"/>
                        <w:right w:val="none" w:sz="0" w:space="0" w:color="auto"/>
                      </w:divBdr>
                    </w:div>
                  </w:divsChild>
                </w:div>
                <w:div w:id="133722618">
                  <w:marLeft w:val="0"/>
                  <w:marRight w:val="0"/>
                  <w:marTop w:val="0"/>
                  <w:marBottom w:val="0"/>
                  <w:divBdr>
                    <w:top w:val="none" w:sz="0" w:space="0" w:color="auto"/>
                    <w:left w:val="none" w:sz="0" w:space="0" w:color="auto"/>
                    <w:bottom w:val="none" w:sz="0" w:space="0" w:color="auto"/>
                    <w:right w:val="none" w:sz="0" w:space="0" w:color="auto"/>
                  </w:divBdr>
                  <w:divsChild>
                    <w:div w:id="1119421367">
                      <w:marLeft w:val="0"/>
                      <w:marRight w:val="0"/>
                      <w:marTop w:val="0"/>
                      <w:marBottom w:val="0"/>
                      <w:divBdr>
                        <w:top w:val="none" w:sz="0" w:space="0" w:color="auto"/>
                        <w:left w:val="none" w:sz="0" w:space="0" w:color="auto"/>
                        <w:bottom w:val="none" w:sz="0" w:space="0" w:color="auto"/>
                        <w:right w:val="none" w:sz="0" w:space="0" w:color="auto"/>
                      </w:divBdr>
                    </w:div>
                  </w:divsChild>
                </w:div>
                <w:div w:id="217060808">
                  <w:marLeft w:val="0"/>
                  <w:marRight w:val="0"/>
                  <w:marTop w:val="0"/>
                  <w:marBottom w:val="0"/>
                  <w:divBdr>
                    <w:top w:val="none" w:sz="0" w:space="0" w:color="auto"/>
                    <w:left w:val="none" w:sz="0" w:space="0" w:color="auto"/>
                    <w:bottom w:val="none" w:sz="0" w:space="0" w:color="auto"/>
                    <w:right w:val="none" w:sz="0" w:space="0" w:color="auto"/>
                  </w:divBdr>
                  <w:divsChild>
                    <w:div w:id="1361860758">
                      <w:marLeft w:val="0"/>
                      <w:marRight w:val="0"/>
                      <w:marTop w:val="0"/>
                      <w:marBottom w:val="0"/>
                      <w:divBdr>
                        <w:top w:val="none" w:sz="0" w:space="0" w:color="auto"/>
                        <w:left w:val="none" w:sz="0" w:space="0" w:color="auto"/>
                        <w:bottom w:val="none" w:sz="0" w:space="0" w:color="auto"/>
                        <w:right w:val="none" w:sz="0" w:space="0" w:color="auto"/>
                      </w:divBdr>
                    </w:div>
                  </w:divsChild>
                </w:div>
                <w:div w:id="246117102">
                  <w:marLeft w:val="0"/>
                  <w:marRight w:val="0"/>
                  <w:marTop w:val="0"/>
                  <w:marBottom w:val="0"/>
                  <w:divBdr>
                    <w:top w:val="none" w:sz="0" w:space="0" w:color="auto"/>
                    <w:left w:val="none" w:sz="0" w:space="0" w:color="auto"/>
                    <w:bottom w:val="none" w:sz="0" w:space="0" w:color="auto"/>
                    <w:right w:val="none" w:sz="0" w:space="0" w:color="auto"/>
                  </w:divBdr>
                  <w:divsChild>
                    <w:div w:id="1887792273">
                      <w:marLeft w:val="0"/>
                      <w:marRight w:val="0"/>
                      <w:marTop w:val="0"/>
                      <w:marBottom w:val="0"/>
                      <w:divBdr>
                        <w:top w:val="none" w:sz="0" w:space="0" w:color="auto"/>
                        <w:left w:val="none" w:sz="0" w:space="0" w:color="auto"/>
                        <w:bottom w:val="none" w:sz="0" w:space="0" w:color="auto"/>
                        <w:right w:val="none" w:sz="0" w:space="0" w:color="auto"/>
                      </w:divBdr>
                    </w:div>
                  </w:divsChild>
                </w:div>
                <w:div w:id="254632675">
                  <w:marLeft w:val="0"/>
                  <w:marRight w:val="0"/>
                  <w:marTop w:val="0"/>
                  <w:marBottom w:val="0"/>
                  <w:divBdr>
                    <w:top w:val="none" w:sz="0" w:space="0" w:color="auto"/>
                    <w:left w:val="none" w:sz="0" w:space="0" w:color="auto"/>
                    <w:bottom w:val="none" w:sz="0" w:space="0" w:color="auto"/>
                    <w:right w:val="none" w:sz="0" w:space="0" w:color="auto"/>
                  </w:divBdr>
                  <w:divsChild>
                    <w:div w:id="975183174">
                      <w:marLeft w:val="0"/>
                      <w:marRight w:val="0"/>
                      <w:marTop w:val="0"/>
                      <w:marBottom w:val="0"/>
                      <w:divBdr>
                        <w:top w:val="none" w:sz="0" w:space="0" w:color="auto"/>
                        <w:left w:val="none" w:sz="0" w:space="0" w:color="auto"/>
                        <w:bottom w:val="none" w:sz="0" w:space="0" w:color="auto"/>
                        <w:right w:val="none" w:sz="0" w:space="0" w:color="auto"/>
                      </w:divBdr>
                    </w:div>
                  </w:divsChild>
                </w:div>
                <w:div w:id="468668049">
                  <w:marLeft w:val="0"/>
                  <w:marRight w:val="0"/>
                  <w:marTop w:val="0"/>
                  <w:marBottom w:val="0"/>
                  <w:divBdr>
                    <w:top w:val="none" w:sz="0" w:space="0" w:color="auto"/>
                    <w:left w:val="none" w:sz="0" w:space="0" w:color="auto"/>
                    <w:bottom w:val="none" w:sz="0" w:space="0" w:color="auto"/>
                    <w:right w:val="none" w:sz="0" w:space="0" w:color="auto"/>
                  </w:divBdr>
                  <w:divsChild>
                    <w:div w:id="67116925">
                      <w:marLeft w:val="0"/>
                      <w:marRight w:val="0"/>
                      <w:marTop w:val="0"/>
                      <w:marBottom w:val="0"/>
                      <w:divBdr>
                        <w:top w:val="none" w:sz="0" w:space="0" w:color="auto"/>
                        <w:left w:val="none" w:sz="0" w:space="0" w:color="auto"/>
                        <w:bottom w:val="none" w:sz="0" w:space="0" w:color="auto"/>
                        <w:right w:val="none" w:sz="0" w:space="0" w:color="auto"/>
                      </w:divBdr>
                    </w:div>
                  </w:divsChild>
                </w:div>
                <w:div w:id="525293737">
                  <w:marLeft w:val="0"/>
                  <w:marRight w:val="0"/>
                  <w:marTop w:val="0"/>
                  <w:marBottom w:val="0"/>
                  <w:divBdr>
                    <w:top w:val="none" w:sz="0" w:space="0" w:color="auto"/>
                    <w:left w:val="none" w:sz="0" w:space="0" w:color="auto"/>
                    <w:bottom w:val="none" w:sz="0" w:space="0" w:color="auto"/>
                    <w:right w:val="none" w:sz="0" w:space="0" w:color="auto"/>
                  </w:divBdr>
                  <w:divsChild>
                    <w:div w:id="686176851">
                      <w:marLeft w:val="0"/>
                      <w:marRight w:val="0"/>
                      <w:marTop w:val="0"/>
                      <w:marBottom w:val="0"/>
                      <w:divBdr>
                        <w:top w:val="none" w:sz="0" w:space="0" w:color="auto"/>
                        <w:left w:val="none" w:sz="0" w:space="0" w:color="auto"/>
                        <w:bottom w:val="none" w:sz="0" w:space="0" w:color="auto"/>
                        <w:right w:val="none" w:sz="0" w:space="0" w:color="auto"/>
                      </w:divBdr>
                    </w:div>
                  </w:divsChild>
                </w:div>
                <w:div w:id="582184607">
                  <w:marLeft w:val="0"/>
                  <w:marRight w:val="0"/>
                  <w:marTop w:val="0"/>
                  <w:marBottom w:val="0"/>
                  <w:divBdr>
                    <w:top w:val="none" w:sz="0" w:space="0" w:color="auto"/>
                    <w:left w:val="none" w:sz="0" w:space="0" w:color="auto"/>
                    <w:bottom w:val="none" w:sz="0" w:space="0" w:color="auto"/>
                    <w:right w:val="none" w:sz="0" w:space="0" w:color="auto"/>
                  </w:divBdr>
                  <w:divsChild>
                    <w:div w:id="1199506486">
                      <w:marLeft w:val="0"/>
                      <w:marRight w:val="0"/>
                      <w:marTop w:val="0"/>
                      <w:marBottom w:val="0"/>
                      <w:divBdr>
                        <w:top w:val="none" w:sz="0" w:space="0" w:color="auto"/>
                        <w:left w:val="none" w:sz="0" w:space="0" w:color="auto"/>
                        <w:bottom w:val="none" w:sz="0" w:space="0" w:color="auto"/>
                        <w:right w:val="none" w:sz="0" w:space="0" w:color="auto"/>
                      </w:divBdr>
                    </w:div>
                  </w:divsChild>
                </w:div>
                <w:div w:id="595556936">
                  <w:marLeft w:val="0"/>
                  <w:marRight w:val="0"/>
                  <w:marTop w:val="0"/>
                  <w:marBottom w:val="0"/>
                  <w:divBdr>
                    <w:top w:val="none" w:sz="0" w:space="0" w:color="auto"/>
                    <w:left w:val="none" w:sz="0" w:space="0" w:color="auto"/>
                    <w:bottom w:val="none" w:sz="0" w:space="0" w:color="auto"/>
                    <w:right w:val="none" w:sz="0" w:space="0" w:color="auto"/>
                  </w:divBdr>
                  <w:divsChild>
                    <w:div w:id="1686518916">
                      <w:marLeft w:val="0"/>
                      <w:marRight w:val="0"/>
                      <w:marTop w:val="0"/>
                      <w:marBottom w:val="0"/>
                      <w:divBdr>
                        <w:top w:val="none" w:sz="0" w:space="0" w:color="auto"/>
                        <w:left w:val="none" w:sz="0" w:space="0" w:color="auto"/>
                        <w:bottom w:val="none" w:sz="0" w:space="0" w:color="auto"/>
                        <w:right w:val="none" w:sz="0" w:space="0" w:color="auto"/>
                      </w:divBdr>
                    </w:div>
                  </w:divsChild>
                </w:div>
                <w:div w:id="599484883">
                  <w:marLeft w:val="0"/>
                  <w:marRight w:val="0"/>
                  <w:marTop w:val="0"/>
                  <w:marBottom w:val="0"/>
                  <w:divBdr>
                    <w:top w:val="none" w:sz="0" w:space="0" w:color="auto"/>
                    <w:left w:val="none" w:sz="0" w:space="0" w:color="auto"/>
                    <w:bottom w:val="none" w:sz="0" w:space="0" w:color="auto"/>
                    <w:right w:val="none" w:sz="0" w:space="0" w:color="auto"/>
                  </w:divBdr>
                  <w:divsChild>
                    <w:div w:id="208346785">
                      <w:marLeft w:val="0"/>
                      <w:marRight w:val="0"/>
                      <w:marTop w:val="0"/>
                      <w:marBottom w:val="0"/>
                      <w:divBdr>
                        <w:top w:val="none" w:sz="0" w:space="0" w:color="auto"/>
                        <w:left w:val="none" w:sz="0" w:space="0" w:color="auto"/>
                        <w:bottom w:val="none" w:sz="0" w:space="0" w:color="auto"/>
                        <w:right w:val="none" w:sz="0" w:space="0" w:color="auto"/>
                      </w:divBdr>
                    </w:div>
                  </w:divsChild>
                </w:div>
                <w:div w:id="620260722">
                  <w:marLeft w:val="0"/>
                  <w:marRight w:val="0"/>
                  <w:marTop w:val="0"/>
                  <w:marBottom w:val="0"/>
                  <w:divBdr>
                    <w:top w:val="none" w:sz="0" w:space="0" w:color="auto"/>
                    <w:left w:val="none" w:sz="0" w:space="0" w:color="auto"/>
                    <w:bottom w:val="none" w:sz="0" w:space="0" w:color="auto"/>
                    <w:right w:val="none" w:sz="0" w:space="0" w:color="auto"/>
                  </w:divBdr>
                  <w:divsChild>
                    <w:div w:id="1920091832">
                      <w:marLeft w:val="0"/>
                      <w:marRight w:val="0"/>
                      <w:marTop w:val="0"/>
                      <w:marBottom w:val="0"/>
                      <w:divBdr>
                        <w:top w:val="none" w:sz="0" w:space="0" w:color="auto"/>
                        <w:left w:val="none" w:sz="0" w:space="0" w:color="auto"/>
                        <w:bottom w:val="none" w:sz="0" w:space="0" w:color="auto"/>
                        <w:right w:val="none" w:sz="0" w:space="0" w:color="auto"/>
                      </w:divBdr>
                    </w:div>
                  </w:divsChild>
                </w:div>
                <w:div w:id="669141463">
                  <w:marLeft w:val="0"/>
                  <w:marRight w:val="0"/>
                  <w:marTop w:val="0"/>
                  <w:marBottom w:val="0"/>
                  <w:divBdr>
                    <w:top w:val="none" w:sz="0" w:space="0" w:color="auto"/>
                    <w:left w:val="none" w:sz="0" w:space="0" w:color="auto"/>
                    <w:bottom w:val="none" w:sz="0" w:space="0" w:color="auto"/>
                    <w:right w:val="none" w:sz="0" w:space="0" w:color="auto"/>
                  </w:divBdr>
                  <w:divsChild>
                    <w:div w:id="957024985">
                      <w:marLeft w:val="0"/>
                      <w:marRight w:val="0"/>
                      <w:marTop w:val="0"/>
                      <w:marBottom w:val="0"/>
                      <w:divBdr>
                        <w:top w:val="none" w:sz="0" w:space="0" w:color="auto"/>
                        <w:left w:val="none" w:sz="0" w:space="0" w:color="auto"/>
                        <w:bottom w:val="none" w:sz="0" w:space="0" w:color="auto"/>
                        <w:right w:val="none" w:sz="0" w:space="0" w:color="auto"/>
                      </w:divBdr>
                    </w:div>
                  </w:divsChild>
                </w:div>
                <w:div w:id="809633359">
                  <w:marLeft w:val="0"/>
                  <w:marRight w:val="0"/>
                  <w:marTop w:val="0"/>
                  <w:marBottom w:val="0"/>
                  <w:divBdr>
                    <w:top w:val="none" w:sz="0" w:space="0" w:color="auto"/>
                    <w:left w:val="none" w:sz="0" w:space="0" w:color="auto"/>
                    <w:bottom w:val="none" w:sz="0" w:space="0" w:color="auto"/>
                    <w:right w:val="none" w:sz="0" w:space="0" w:color="auto"/>
                  </w:divBdr>
                  <w:divsChild>
                    <w:div w:id="1311055945">
                      <w:marLeft w:val="0"/>
                      <w:marRight w:val="0"/>
                      <w:marTop w:val="0"/>
                      <w:marBottom w:val="0"/>
                      <w:divBdr>
                        <w:top w:val="none" w:sz="0" w:space="0" w:color="auto"/>
                        <w:left w:val="none" w:sz="0" w:space="0" w:color="auto"/>
                        <w:bottom w:val="none" w:sz="0" w:space="0" w:color="auto"/>
                        <w:right w:val="none" w:sz="0" w:space="0" w:color="auto"/>
                      </w:divBdr>
                    </w:div>
                  </w:divsChild>
                </w:div>
                <w:div w:id="924917486">
                  <w:marLeft w:val="0"/>
                  <w:marRight w:val="0"/>
                  <w:marTop w:val="0"/>
                  <w:marBottom w:val="0"/>
                  <w:divBdr>
                    <w:top w:val="none" w:sz="0" w:space="0" w:color="auto"/>
                    <w:left w:val="none" w:sz="0" w:space="0" w:color="auto"/>
                    <w:bottom w:val="none" w:sz="0" w:space="0" w:color="auto"/>
                    <w:right w:val="none" w:sz="0" w:space="0" w:color="auto"/>
                  </w:divBdr>
                  <w:divsChild>
                    <w:div w:id="547184128">
                      <w:marLeft w:val="0"/>
                      <w:marRight w:val="0"/>
                      <w:marTop w:val="0"/>
                      <w:marBottom w:val="0"/>
                      <w:divBdr>
                        <w:top w:val="none" w:sz="0" w:space="0" w:color="auto"/>
                        <w:left w:val="none" w:sz="0" w:space="0" w:color="auto"/>
                        <w:bottom w:val="none" w:sz="0" w:space="0" w:color="auto"/>
                        <w:right w:val="none" w:sz="0" w:space="0" w:color="auto"/>
                      </w:divBdr>
                    </w:div>
                  </w:divsChild>
                </w:div>
                <w:div w:id="939946443">
                  <w:marLeft w:val="0"/>
                  <w:marRight w:val="0"/>
                  <w:marTop w:val="0"/>
                  <w:marBottom w:val="0"/>
                  <w:divBdr>
                    <w:top w:val="none" w:sz="0" w:space="0" w:color="auto"/>
                    <w:left w:val="none" w:sz="0" w:space="0" w:color="auto"/>
                    <w:bottom w:val="none" w:sz="0" w:space="0" w:color="auto"/>
                    <w:right w:val="none" w:sz="0" w:space="0" w:color="auto"/>
                  </w:divBdr>
                  <w:divsChild>
                    <w:div w:id="881287707">
                      <w:marLeft w:val="0"/>
                      <w:marRight w:val="0"/>
                      <w:marTop w:val="0"/>
                      <w:marBottom w:val="0"/>
                      <w:divBdr>
                        <w:top w:val="none" w:sz="0" w:space="0" w:color="auto"/>
                        <w:left w:val="none" w:sz="0" w:space="0" w:color="auto"/>
                        <w:bottom w:val="none" w:sz="0" w:space="0" w:color="auto"/>
                        <w:right w:val="none" w:sz="0" w:space="0" w:color="auto"/>
                      </w:divBdr>
                    </w:div>
                  </w:divsChild>
                </w:div>
                <w:div w:id="1501122118">
                  <w:marLeft w:val="0"/>
                  <w:marRight w:val="0"/>
                  <w:marTop w:val="0"/>
                  <w:marBottom w:val="0"/>
                  <w:divBdr>
                    <w:top w:val="none" w:sz="0" w:space="0" w:color="auto"/>
                    <w:left w:val="none" w:sz="0" w:space="0" w:color="auto"/>
                    <w:bottom w:val="none" w:sz="0" w:space="0" w:color="auto"/>
                    <w:right w:val="none" w:sz="0" w:space="0" w:color="auto"/>
                  </w:divBdr>
                  <w:divsChild>
                    <w:div w:id="1731269602">
                      <w:marLeft w:val="0"/>
                      <w:marRight w:val="0"/>
                      <w:marTop w:val="0"/>
                      <w:marBottom w:val="0"/>
                      <w:divBdr>
                        <w:top w:val="none" w:sz="0" w:space="0" w:color="auto"/>
                        <w:left w:val="none" w:sz="0" w:space="0" w:color="auto"/>
                        <w:bottom w:val="none" w:sz="0" w:space="0" w:color="auto"/>
                        <w:right w:val="none" w:sz="0" w:space="0" w:color="auto"/>
                      </w:divBdr>
                    </w:div>
                  </w:divsChild>
                </w:div>
                <w:div w:id="1556814127">
                  <w:marLeft w:val="0"/>
                  <w:marRight w:val="0"/>
                  <w:marTop w:val="0"/>
                  <w:marBottom w:val="0"/>
                  <w:divBdr>
                    <w:top w:val="none" w:sz="0" w:space="0" w:color="auto"/>
                    <w:left w:val="none" w:sz="0" w:space="0" w:color="auto"/>
                    <w:bottom w:val="none" w:sz="0" w:space="0" w:color="auto"/>
                    <w:right w:val="none" w:sz="0" w:space="0" w:color="auto"/>
                  </w:divBdr>
                  <w:divsChild>
                    <w:div w:id="560141269">
                      <w:marLeft w:val="0"/>
                      <w:marRight w:val="0"/>
                      <w:marTop w:val="0"/>
                      <w:marBottom w:val="0"/>
                      <w:divBdr>
                        <w:top w:val="none" w:sz="0" w:space="0" w:color="auto"/>
                        <w:left w:val="none" w:sz="0" w:space="0" w:color="auto"/>
                        <w:bottom w:val="none" w:sz="0" w:space="0" w:color="auto"/>
                        <w:right w:val="none" w:sz="0" w:space="0" w:color="auto"/>
                      </w:divBdr>
                    </w:div>
                  </w:divsChild>
                </w:div>
                <w:div w:id="1730615781">
                  <w:marLeft w:val="0"/>
                  <w:marRight w:val="0"/>
                  <w:marTop w:val="0"/>
                  <w:marBottom w:val="0"/>
                  <w:divBdr>
                    <w:top w:val="none" w:sz="0" w:space="0" w:color="auto"/>
                    <w:left w:val="none" w:sz="0" w:space="0" w:color="auto"/>
                    <w:bottom w:val="none" w:sz="0" w:space="0" w:color="auto"/>
                    <w:right w:val="none" w:sz="0" w:space="0" w:color="auto"/>
                  </w:divBdr>
                  <w:divsChild>
                    <w:div w:id="13691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231">
          <w:marLeft w:val="0"/>
          <w:marRight w:val="0"/>
          <w:marTop w:val="0"/>
          <w:marBottom w:val="0"/>
          <w:divBdr>
            <w:top w:val="none" w:sz="0" w:space="0" w:color="auto"/>
            <w:left w:val="none" w:sz="0" w:space="0" w:color="auto"/>
            <w:bottom w:val="none" w:sz="0" w:space="0" w:color="auto"/>
            <w:right w:val="none" w:sz="0" w:space="0" w:color="auto"/>
          </w:divBdr>
        </w:div>
      </w:divsChild>
    </w:div>
    <w:div w:id="1130438691">
      <w:bodyDiv w:val="1"/>
      <w:marLeft w:val="0"/>
      <w:marRight w:val="0"/>
      <w:marTop w:val="0"/>
      <w:marBottom w:val="0"/>
      <w:divBdr>
        <w:top w:val="none" w:sz="0" w:space="0" w:color="auto"/>
        <w:left w:val="none" w:sz="0" w:space="0" w:color="auto"/>
        <w:bottom w:val="none" w:sz="0" w:space="0" w:color="auto"/>
        <w:right w:val="none" w:sz="0" w:space="0" w:color="auto"/>
      </w:divBdr>
      <w:divsChild>
        <w:div w:id="15810039">
          <w:marLeft w:val="0"/>
          <w:marRight w:val="0"/>
          <w:marTop w:val="0"/>
          <w:marBottom w:val="0"/>
          <w:divBdr>
            <w:top w:val="none" w:sz="0" w:space="0" w:color="auto"/>
            <w:left w:val="none" w:sz="0" w:space="0" w:color="auto"/>
            <w:bottom w:val="none" w:sz="0" w:space="0" w:color="auto"/>
            <w:right w:val="none" w:sz="0" w:space="0" w:color="auto"/>
          </w:divBdr>
          <w:divsChild>
            <w:div w:id="47384800">
              <w:marLeft w:val="0"/>
              <w:marRight w:val="0"/>
              <w:marTop w:val="30"/>
              <w:marBottom w:val="30"/>
              <w:divBdr>
                <w:top w:val="none" w:sz="0" w:space="0" w:color="auto"/>
                <w:left w:val="none" w:sz="0" w:space="0" w:color="auto"/>
                <w:bottom w:val="none" w:sz="0" w:space="0" w:color="auto"/>
                <w:right w:val="none" w:sz="0" w:space="0" w:color="auto"/>
              </w:divBdr>
              <w:divsChild>
                <w:div w:id="85271498">
                  <w:marLeft w:val="0"/>
                  <w:marRight w:val="0"/>
                  <w:marTop w:val="0"/>
                  <w:marBottom w:val="0"/>
                  <w:divBdr>
                    <w:top w:val="none" w:sz="0" w:space="0" w:color="auto"/>
                    <w:left w:val="none" w:sz="0" w:space="0" w:color="auto"/>
                    <w:bottom w:val="none" w:sz="0" w:space="0" w:color="auto"/>
                    <w:right w:val="none" w:sz="0" w:space="0" w:color="auto"/>
                  </w:divBdr>
                  <w:divsChild>
                    <w:div w:id="2132625723">
                      <w:marLeft w:val="0"/>
                      <w:marRight w:val="0"/>
                      <w:marTop w:val="0"/>
                      <w:marBottom w:val="0"/>
                      <w:divBdr>
                        <w:top w:val="none" w:sz="0" w:space="0" w:color="auto"/>
                        <w:left w:val="none" w:sz="0" w:space="0" w:color="auto"/>
                        <w:bottom w:val="none" w:sz="0" w:space="0" w:color="auto"/>
                        <w:right w:val="none" w:sz="0" w:space="0" w:color="auto"/>
                      </w:divBdr>
                    </w:div>
                  </w:divsChild>
                </w:div>
                <w:div w:id="115296784">
                  <w:marLeft w:val="0"/>
                  <w:marRight w:val="0"/>
                  <w:marTop w:val="0"/>
                  <w:marBottom w:val="0"/>
                  <w:divBdr>
                    <w:top w:val="none" w:sz="0" w:space="0" w:color="auto"/>
                    <w:left w:val="none" w:sz="0" w:space="0" w:color="auto"/>
                    <w:bottom w:val="none" w:sz="0" w:space="0" w:color="auto"/>
                    <w:right w:val="none" w:sz="0" w:space="0" w:color="auto"/>
                  </w:divBdr>
                  <w:divsChild>
                    <w:div w:id="620771856">
                      <w:marLeft w:val="0"/>
                      <w:marRight w:val="0"/>
                      <w:marTop w:val="0"/>
                      <w:marBottom w:val="0"/>
                      <w:divBdr>
                        <w:top w:val="none" w:sz="0" w:space="0" w:color="auto"/>
                        <w:left w:val="none" w:sz="0" w:space="0" w:color="auto"/>
                        <w:bottom w:val="none" w:sz="0" w:space="0" w:color="auto"/>
                        <w:right w:val="none" w:sz="0" w:space="0" w:color="auto"/>
                      </w:divBdr>
                    </w:div>
                  </w:divsChild>
                </w:div>
                <w:div w:id="217589187">
                  <w:marLeft w:val="0"/>
                  <w:marRight w:val="0"/>
                  <w:marTop w:val="0"/>
                  <w:marBottom w:val="0"/>
                  <w:divBdr>
                    <w:top w:val="none" w:sz="0" w:space="0" w:color="auto"/>
                    <w:left w:val="none" w:sz="0" w:space="0" w:color="auto"/>
                    <w:bottom w:val="none" w:sz="0" w:space="0" w:color="auto"/>
                    <w:right w:val="none" w:sz="0" w:space="0" w:color="auto"/>
                  </w:divBdr>
                  <w:divsChild>
                    <w:div w:id="600139316">
                      <w:marLeft w:val="0"/>
                      <w:marRight w:val="0"/>
                      <w:marTop w:val="0"/>
                      <w:marBottom w:val="0"/>
                      <w:divBdr>
                        <w:top w:val="none" w:sz="0" w:space="0" w:color="auto"/>
                        <w:left w:val="none" w:sz="0" w:space="0" w:color="auto"/>
                        <w:bottom w:val="none" w:sz="0" w:space="0" w:color="auto"/>
                        <w:right w:val="none" w:sz="0" w:space="0" w:color="auto"/>
                      </w:divBdr>
                    </w:div>
                  </w:divsChild>
                </w:div>
                <w:div w:id="304625398">
                  <w:marLeft w:val="0"/>
                  <w:marRight w:val="0"/>
                  <w:marTop w:val="0"/>
                  <w:marBottom w:val="0"/>
                  <w:divBdr>
                    <w:top w:val="none" w:sz="0" w:space="0" w:color="auto"/>
                    <w:left w:val="none" w:sz="0" w:space="0" w:color="auto"/>
                    <w:bottom w:val="none" w:sz="0" w:space="0" w:color="auto"/>
                    <w:right w:val="none" w:sz="0" w:space="0" w:color="auto"/>
                  </w:divBdr>
                  <w:divsChild>
                    <w:div w:id="462891775">
                      <w:marLeft w:val="0"/>
                      <w:marRight w:val="0"/>
                      <w:marTop w:val="0"/>
                      <w:marBottom w:val="0"/>
                      <w:divBdr>
                        <w:top w:val="none" w:sz="0" w:space="0" w:color="auto"/>
                        <w:left w:val="none" w:sz="0" w:space="0" w:color="auto"/>
                        <w:bottom w:val="none" w:sz="0" w:space="0" w:color="auto"/>
                        <w:right w:val="none" w:sz="0" w:space="0" w:color="auto"/>
                      </w:divBdr>
                    </w:div>
                  </w:divsChild>
                </w:div>
                <w:div w:id="309331936">
                  <w:marLeft w:val="0"/>
                  <w:marRight w:val="0"/>
                  <w:marTop w:val="0"/>
                  <w:marBottom w:val="0"/>
                  <w:divBdr>
                    <w:top w:val="none" w:sz="0" w:space="0" w:color="auto"/>
                    <w:left w:val="none" w:sz="0" w:space="0" w:color="auto"/>
                    <w:bottom w:val="none" w:sz="0" w:space="0" w:color="auto"/>
                    <w:right w:val="none" w:sz="0" w:space="0" w:color="auto"/>
                  </w:divBdr>
                  <w:divsChild>
                    <w:div w:id="2011565010">
                      <w:marLeft w:val="0"/>
                      <w:marRight w:val="0"/>
                      <w:marTop w:val="0"/>
                      <w:marBottom w:val="0"/>
                      <w:divBdr>
                        <w:top w:val="none" w:sz="0" w:space="0" w:color="auto"/>
                        <w:left w:val="none" w:sz="0" w:space="0" w:color="auto"/>
                        <w:bottom w:val="none" w:sz="0" w:space="0" w:color="auto"/>
                        <w:right w:val="none" w:sz="0" w:space="0" w:color="auto"/>
                      </w:divBdr>
                    </w:div>
                  </w:divsChild>
                </w:div>
                <w:div w:id="355931971">
                  <w:marLeft w:val="0"/>
                  <w:marRight w:val="0"/>
                  <w:marTop w:val="0"/>
                  <w:marBottom w:val="0"/>
                  <w:divBdr>
                    <w:top w:val="none" w:sz="0" w:space="0" w:color="auto"/>
                    <w:left w:val="none" w:sz="0" w:space="0" w:color="auto"/>
                    <w:bottom w:val="none" w:sz="0" w:space="0" w:color="auto"/>
                    <w:right w:val="none" w:sz="0" w:space="0" w:color="auto"/>
                  </w:divBdr>
                  <w:divsChild>
                    <w:div w:id="489516764">
                      <w:marLeft w:val="0"/>
                      <w:marRight w:val="0"/>
                      <w:marTop w:val="0"/>
                      <w:marBottom w:val="0"/>
                      <w:divBdr>
                        <w:top w:val="none" w:sz="0" w:space="0" w:color="auto"/>
                        <w:left w:val="none" w:sz="0" w:space="0" w:color="auto"/>
                        <w:bottom w:val="none" w:sz="0" w:space="0" w:color="auto"/>
                        <w:right w:val="none" w:sz="0" w:space="0" w:color="auto"/>
                      </w:divBdr>
                    </w:div>
                  </w:divsChild>
                </w:div>
                <w:div w:id="475950281">
                  <w:marLeft w:val="0"/>
                  <w:marRight w:val="0"/>
                  <w:marTop w:val="0"/>
                  <w:marBottom w:val="0"/>
                  <w:divBdr>
                    <w:top w:val="none" w:sz="0" w:space="0" w:color="auto"/>
                    <w:left w:val="none" w:sz="0" w:space="0" w:color="auto"/>
                    <w:bottom w:val="none" w:sz="0" w:space="0" w:color="auto"/>
                    <w:right w:val="none" w:sz="0" w:space="0" w:color="auto"/>
                  </w:divBdr>
                  <w:divsChild>
                    <w:div w:id="2093575897">
                      <w:marLeft w:val="0"/>
                      <w:marRight w:val="0"/>
                      <w:marTop w:val="0"/>
                      <w:marBottom w:val="0"/>
                      <w:divBdr>
                        <w:top w:val="none" w:sz="0" w:space="0" w:color="auto"/>
                        <w:left w:val="none" w:sz="0" w:space="0" w:color="auto"/>
                        <w:bottom w:val="none" w:sz="0" w:space="0" w:color="auto"/>
                        <w:right w:val="none" w:sz="0" w:space="0" w:color="auto"/>
                      </w:divBdr>
                    </w:div>
                  </w:divsChild>
                </w:div>
                <w:div w:id="563224803">
                  <w:marLeft w:val="0"/>
                  <w:marRight w:val="0"/>
                  <w:marTop w:val="0"/>
                  <w:marBottom w:val="0"/>
                  <w:divBdr>
                    <w:top w:val="none" w:sz="0" w:space="0" w:color="auto"/>
                    <w:left w:val="none" w:sz="0" w:space="0" w:color="auto"/>
                    <w:bottom w:val="none" w:sz="0" w:space="0" w:color="auto"/>
                    <w:right w:val="none" w:sz="0" w:space="0" w:color="auto"/>
                  </w:divBdr>
                  <w:divsChild>
                    <w:div w:id="350642394">
                      <w:marLeft w:val="0"/>
                      <w:marRight w:val="0"/>
                      <w:marTop w:val="0"/>
                      <w:marBottom w:val="0"/>
                      <w:divBdr>
                        <w:top w:val="none" w:sz="0" w:space="0" w:color="auto"/>
                        <w:left w:val="none" w:sz="0" w:space="0" w:color="auto"/>
                        <w:bottom w:val="none" w:sz="0" w:space="0" w:color="auto"/>
                        <w:right w:val="none" w:sz="0" w:space="0" w:color="auto"/>
                      </w:divBdr>
                    </w:div>
                  </w:divsChild>
                </w:div>
                <w:div w:id="569313693">
                  <w:marLeft w:val="0"/>
                  <w:marRight w:val="0"/>
                  <w:marTop w:val="0"/>
                  <w:marBottom w:val="0"/>
                  <w:divBdr>
                    <w:top w:val="none" w:sz="0" w:space="0" w:color="auto"/>
                    <w:left w:val="none" w:sz="0" w:space="0" w:color="auto"/>
                    <w:bottom w:val="none" w:sz="0" w:space="0" w:color="auto"/>
                    <w:right w:val="none" w:sz="0" w:space="0" w:color="auto"/>
                  </w:divBdr>
                  <w:divsChild>
                    <w:div w:id="589199219">
                      <w:marLeft w:val="0"/>
                      <w:marRight w:val="0"/>
                      <w:marTop w:val="0"/>
                      <w:marBottom w:val="0"/>
                      <w:divBdr>
                        <w:top w:val="none" w:sz="0" w:space="0" w:color="auto"/>
                        <w:left w:val="none" w:sz="0" w:space="0" w:color="auto"/>
                        <w:bottom w:val="none" w:sz="0" w:space="0" w:color="auto"/>
                        <w:right w:val="none" w:sz="0" w:space="0" w:color="auto"/>
                      </w:divBdr>
                    </w:div>
                  </w:divsChild>
                </w:div>
                <w:div w:id="574436635">
                  <w:marLeft w:val="0"/>
                  <w:marRight w:val="0"/>
                  <w:marTop w:val="0"/>
                  <w:marBottom w:val="0"/>
                  <w:divBdr>
                    <w:top w:val="none" w:sz="0" w:space="0" w:color="auto"/>
                    <w:left w:val="none" w:sz="0" w:space="0" w:color="auto"/>
                    <w:bottom w:val="none" w:sz="0" w:space="0" w:color="auto"/>
                    <w:right w:val="none" w:sz="0" w:space="0" w:color="auto"/>
                  </w:divBdr>
                  <w:divsChild>
                    <w:div w:id="218829486">
                      <w:marLeft w:val="0"/>
                      <w:marRight w:val="0"/>
                      <w:marTop w:val="0"/>
                      <w:marBottom w:val="0"/>
                      <w:divBdr>
                        <w:top w:val="none" w:sz="0" w:space="0" w:color="auto"/>
                        <w:left w:val="none" w:sz="0" w:space="0" w:color="auto"/>
                        <w:bottom w:val="none" w:sz="0" w:space="0" w:color="auto"/>
                        <w:right w:val="none" w:sz="0" w:space="0" w:color="auto"/>
                      </w:divBdr>
                    </w:div>
                  </w:divsChild>
                </w:div>
                <w:div w:id="582378217">
                  <w:marLeft w:val="0"/>
                  <w:marRight w:val="0"/>
                  <w:marTop w:val="0"/>
                  <w:marBottom w:val="0"/>
                  <w:divBdr>
                    <w:top w:val="none" w:sz="0" w:space="0" w:color="auto"/>
                    <w:left w:val="none" w:sz="0" w:space="0" w:color="auto"/>
                    <w:bottom w:val="none" w:sz="0" w:space="0" w:color="auto"/>
                    <w:right w:val="none" w:sz="0" w:space="0" w:color="auto"/>
                  </w:divBdr>
                  <w:divsChild>
                    <w:div w:id="1188759633">
                      <w:marLeft w:val="0"/>
                      <w:marRight w:val="0"/>
                      <w:marTop w:val="0"/>
                      <w:marBottom w:val="0"/>
                      <w:divBdr>
                        <w:top w:val="none" w:sz="0" w:space="0" w:color="auto"/>
                        <w:left w:val="none" w:sz="0" w:space="0" w:color="auto"/>
                        <w:bottom w:val="none" w:sz="0" w:space="0" w:color="auto"/>
                        <w:right w:val="none" w:sz="0" w:space="0" w:color="auto"/>
                      </w:divBdr>
                    </w:div>
                  </w:divsChild>
                </w:div>
                <w:div w:id="587273552">
                  <w:marLeft w:val="0"/>
                  <w:marRight w:val="0"/>
                  <w:marTop w:val="0"/>
                  <w:marBottom w:val="0"/>
                  <w:divBdr>
                    <w:top w:val="none" w:sz="0" w:space="0" w:color="auto"/>
                    <w:left w:val="none" w:sz="0" w:space="0" w:color="auto"/>
                    <w:bottom w:val="none" w:sz="0" w:space="0" w:color="auto"/>
                    <w:right w:val="none" w:sz="0" w:space="0" w:color="auto"/>
                  </w:divBdr>
                  <w:divsChild>
                    <w:div w:id="990132993">
                      <w:marLeft w:val="0"/>
                      <w:marRight w:val="0"/>
                      <w:marTop w:val="0"/>
                      <w:marBottom w:val="0"/>
                      <w:divBdr>
                        <w:top w:val="none" w:sz="0" w:space="0" w:color="auto"/>
                        <w:left w:val="none" w:sz="0" w:space="0" w:color="auto"/>
                        <w:bottom w:val="none" w:sz="0" w:space="0" w:color="auto"/>
                        <w:right w:val="none" w:sz="0" w:space="0" w:color="auto"/>
                      </w:divBdr>
                    </w:div>
                  </w:divsChild>
                </w:div>
                <w:div w:id="681013056">
                  <w:marLeft w:val="0"/>
                  <w:marRight w:val="0"/>
                  <w:marTop w:val="0"/>
                  <w:marBottom w:val="0"/>
                  <w:divBdr>
                    <w:top w:val="none" w:sz="0" w:space="0" w:color="auto"/>
                    <w:left w:val="none" w:sz="0" w:space="0" w:color="auto"/>
                    <w:bottom w:val="none" w:sz="0" w:space="0" w:color="auto"/>
                    <w:right w:val="none" w:sz="0" w:space="0" w:color="auto"/>
                  </w:divBdr>
                  <w:divsChild>
                    <w:div w:id="46223790">
                      <w:marLeft w:val="0"/>
                      <w:marRight w:val="0"/>
                      <w:marTop w:val="0"/>
                      <w:marBottom w:val="0"/>
                      <w:divBdr>
                        <w:top w:val="none" w:sz="0" w:space="0" w:color="auto"/>
                        <w:left w:val="none" w:sz="0" w:space="0" w:color="auto"/>
                        <w:bottom w:val="none" w:sz="0" w:space="0" w:color="auto"/>
                        <w:right w:val="none" w:sz="0" w:space="0" w:color="auto"/>
                      </w:divBdr>
                    </w:div>
                  </w:divsChild>
                </w:div>
                <w:div w:id="685714535">
                  <w:marLeft w:val="0"/>
                  <w:marRight w:val="0"/>
                  <w:marTop w:val="0"/>
                  <w:marBottom w:val="0"/>
                  <w:divBdr>
                    <w:top w:val="none" w:sz="0" w:space="0" w:color="auto"/>
                    <w:left w:val="none" w:sz="0" w:space="0" w:color="auto"/>
                    <w:bottom w:val="none" w:sz="0" w:space="0" w:color="auto"/>
                    <w:right w:val="none" w:sz="0" w:space="0" w:color="auto"/>
                  </w:divBdr>
                  <w:divsChild>
                    <w:div w:id="1318609998">
                      <w:marLeft w:val="0"/>
                      <w:marRight w:val="0"/>
                      <w:marTop w:val="0"/>
                      <w:marBottom w:val="0"/>
                      <w:divBdr>
                        <w:top w:val="none" w:sz="0" w:space="0" w:color="auto"/>
                        <w:left w:val="none" w:sz="0" w:space="0" w:color="auto"/>
                        <w:bottom w:val="none" w:sz="0" w:space="0" w:color="auto"/>
                        <w:right w:val="none" w:sz="0" w:space="0" w:color="auto"/>
                      </w:divBdr>
                    </w:div>
                  </w:divsChild>
                </w:div>
                <w:div w:id="804782905">
                  <w:marLeft w:val="0"/>
                  <w:marRight w:val="0"/>
                  <w:marTop w:val="0"/>
                  <w:marBottom w:val="0"/>
                  <w:divBdr>
                    <w:top w:val="none" w:sz="0" w:space="0" w:color="auto"/>
                    <w:left w:val="none" w:sz="0" w:space="0" w:color="auto"/>
                    <w:bottom w:val="none" w:sz="0" w:space="0" w:color="auto"/>
                    <w:right w:val="none" w:sz="0" w:space="0" w:color="auto"/>
                  </w:divBdr>
                  <w:divsChild>
                    <w:div w:id="2092266175">
                      <w:marLeft w:val="0"/>
                      <w:marRight w:val="0"/>
                      <w:marTop w:val="0"/>
                      <w:marBottom w:val="0"/>
                      <w:divBdr>
                        <w:top w:val="none" w:sz="0" w:space="0" w:color="auto"/>
                        <w:left w:val="none" w:sz="0" w:space="0" w:color="auto"/>
                        <w:bottom w:val="none" w:sz="0" w:space="0" w:color="auto"/>
                        <w:right w:val="none" w:sz="0" w:space="0" w:color="auto"/>
                      </w:divBdr>
                    </w:div>
                  </w:divsChild>
                </w:div>
                <w:div w:id="811217429">
                  <w:marLeft w:val="0"/>
                  <w:marRight w:val="0"/>
                  <w:marTop w:val="0"/>
                  <w:marBottom w:val="0"/>
                  <w:divBdr>
                    <w:top w:val="none" w:sz="0" w:space="0" w:color="auto"/>
                    <w:left w:val="none" w:sz="0" w:space="0" w:color="auto"/>
                    <w:bottom w:val="none" w:sz="0" w:space="0" w:color="auto"/>
                    <w:right w:val="none" w:sz="0" w:space="0" w:color="auto"/>
                  </w:divBdr>
                  <w:divsChild>
                    <w:div w:id="1206059416">
                      <w:marLeft w:val="0"/>
                      <w:marRight w:val="0"/>
                      <w:marTop w:val="0"/>
                      <w:marBottom w:val="0"/>
                      <w:divBdr>
                        <w:top w:val="none" w:sz="0" w:space="0" w:color="auto"/>
                        <w:left w:val="none" w:sz="0" w:space="0" w:color="auto"/>
                        <w:bottom w:val="none" w:sz="0" w:space="0" w:color="auto"/>
                        <w:right w:val="none" w:sz="0" w:space="0" w:color="auto"/>
                      </w:divBdr>
                    </w:div>
                  </w:divsChild>
                </w:div>
                <w:div w:id="848833172">
                  <w:marLeft w:val="0"/>
                  <w:marRight w:val="0"/>
                  <w:marTop w:val="0"/>
                  <w:marBottom w:val="0"/>
                  <w:divBdr>
                    <w:top w:val="none" w:sz="0" w:space="0" w:color="auto"/>
                    <w:left w:val="none" w:sz="0" w:space="0" w:color="auto"/>
                    <w:bottom w:val="none" w:sz="0" w:space="0" w:color="auto"/>
                    <w:right w:val="none" w:sz="0" w:space="0" w:color="auto"/>
                  </w:divBdr>
                  <w:divsChild>
                    <w:div w:id="1042251593">
                      <w:marLeft w:val="0"/>
                      <w:marRight w:val="0"/>
                      <w:marTop w:val="0"/>
                      <w:marBottom w:val="0"/>
                      <w:divBdr>
                        <w:top w:val="none" w:sz="0" w:space="0" w:color="auto"/>
                        <w:left w:val="none" w:sz="0" w:space="0" w:color="auto"/>
                        <w:bottom w:val="none" w:sz="0" w:space="0" w:color="auto"/>
                        <w:right w:val="none" w:sz="0" w:space="0" w:color="auto"/>
                      </w:divBdr>
                    </w:div>
                  </w:divsChild>
                </w:div>
                <w:div w:id="855079523">
                  <w:marLeft w:val="0"/>
                  <w:marRight w:val="0"/>
                  <w:marTop w:val="0"/>
                  <w:marBottom w:val="0"/>
                  <w:divBdr>
                    <w:top w:val="none" w:sz="0" w:space="0" w:color="auto"/>
                    <w:left w:val="none" w:sz="0" w:space="0" w:color="auto"/>
                    <w:bottom w:val="none" w:sz="0" w:space="0" w:color="auto"/>
                    <w:right w:val="none" w:sz="0" w:space="0" w:color="auto"/>
                  </w:divBdr>
                  <w:divsChild>
                    <w:div w:id="375158874">
                      <w:marLeft w:val="0"/>
                      <w:marRight w:val="0"/>
                      <w:marTop w:val="0"/>
                      <w:marBottom w:val="0"/>
                      <w:divBdr>
                        <w:top w:val="none" w:sz="0" w:space="0" w:color="auto"/>
                        <w:left w:val="none" w:sz="0" w:space="0" w:color="auto"/>
                        <w:bottom w:val="none" w:sz="0" w:space="0" w:color="auto"/>
                        <w:right w:val="none" w:sz="0" w:space="0" w:color="auto"/>
                      </w:divBdr>
                    </w:div>
                  </w:divsChild>
                </w:div>
                <w:div w:id="881021514">
                  <w:marLeft w:val="0"/>
                  <w:marRight w:val="0"/>
                  <w:marTop w:val="0"/>
                  <w:marBottom w:val="0"/>
                  <w:divBdr>
                    <w:top w:val="none" w:sz="0" w:space="0" w:color="auto"/>
                    <w:left w:val="none" w:sz="0" w:space="0" w:color="auto"/>
                    <w:bottom w:val="none" w:sz="0" w:space="0" w:color="auto"/>
                    <w:right w:val="none" w:sz="0" w:space="0" w:color="auto"/>
                  </w:divBdr>
                  <w:divsChild>
                    <w:div w:id="1118335876">
                      <w:marLeft w:val="0"/>
                      <w:marRight w:val="0"/>
                      <w:marTop w:val="0"/>
                      <w:marBottom w:val="0"/>
                      <w:divBdr>
                        <w:top w:val="none" w:sz="0" w:space="0" w:color="auto"/>
                        <w:left w:val="none" w:sz="0" w:space="0" w:color="auto"/>
                        <w:bottom w:val="none" w:sz="0" w:space="0" w:color="auto"/>
                        <w:right w:val="none" w:sz="0" w:space="0" w:color="auto"/>
                      </w:divBdr>
                    </w:div>
                  </w:divsChild>
                </w:div>
                <w:div w:id="945620683">
                  <w:marLeft w:val="0"/>
                  <w:marRight w:val="0"/>
                  <w:marTop w:val="0"/>
                  <w:marBottom w:val="0"/>
                  <w:divBdr>
                    <w:top w:val="none" w:sz="0" w:space="0" w:color="auto"/>
                    <w:left w:val="none" w:sz="0" w:space="0" w:color="auto"/>
                    <w:bottom w:val="none" w:sz="0" w:space="0" w:color="auto"/>
                    <w:right w:val="none" w:sz="0" w:space="0" w:color="auto"/>
                  </w:divBdr>
                  <w:divsChild>
                    <w:div w:id="896817803">
                      <w:marLeft w:val="0"/>
                      <w:marRight w:val="0"/>
                      <w:marTop w:val="0"/>
                      <w:marBottom w:val="0"/>
                      <w:divBdr>
                        <w:top w:val="none" w:sz="0" w:space="0" w:color="auto"/>
                        <w:left w:val="none" w:sz="0" w:space="0" w:color="auto"/>
                        <w:bottom w:val="none" w:sz="0" w:space="0" w:color="auto"/>
                        <w:right w:val="none" w:sz="0" w:space="0" w:color="auto"/>
                      </w:divBdr>
                    </w:div>
                  </w:divsChild>
                </w:div>
                <w:div w:id="1010303114">
                  <w:marLeft w:val="0"/>
                  <w:marRight w:val="0"/>
                  <w:marTop w:val="0"/>
                  <w:marBottom w:val="0"/>
                  <w:divBdr>
                    <w:top w:val="none" w:sz="0" w:space="0" w:color="auto"/>
                    <w:left w:val="none" w:sz="0" w:space="0" w:color="auto"/>
                    <w:bottom w:val="none" w:sz="0" w:space="0" w:color="auto"/>
                    <w:right w:val="none" w:sz="0" w:space="0" w:color="auto"/>
                  </w:divBdr>
                  <w:divsChild>
                    <w:div w:id="1299264170">
                      <w:marLeft w:val="0"/>
                      <w:marRight w:val="0"/>
                      <w:marTop w:val="0"/>
                      <w:marBottom w:val="0"/>
                      <w:divBdr>
                        <w:top w:val="none" w:sz="0" w:space="0" w:color="auto"/>
                        <w:left w:val="none" w:sz="0" w:space="0" w:color="auto"/>
                        <w:bottom w:val="none" w:sz="0" w:space="0" w:color="auto"/>
                        <w:right w:val="none" w:sz="0" w:space="0" w:color="auto"/>
                      </w:divBdr>
                    </w:div>
                  </w:divsChild>
                </w:div>
                <w:div w:id="1126855114">
                  <w:marLeft w:val="0"/>
                  <w:marRight w:val="0"/>
                  <w:marTop w:val="0"/>
                  <w:marBottom w:val="0"/>
                  <w:divBdr>
                    <w:top w:val="none" w:sz="0" w:space="0" w:color="auto"/>
                    <w:left w:val="none" w:sz="0" w:space="0" w:color="auto"/>
                    <w:bottom w:val="none" w:sz="0" w:space="0" w:color="auto"/>
                    <w:right w:val="none" w:sz="0" w:space="0" w:color="auto"/>
                  </w:divBdr>
                  <w:divsChild>
                    <w:div w:id="1388917655">
                      <w:marLeft w:val="0"/>
                      <w:marRight w:val="0"/>
                      <w:marTop w:val="0"/>
                      <w:marBottom w:val="0"/>
                      <w:divBdr>
                        <w:top w:val="none" w:sz="0" w:space="0" w:color="auto"/>
                        <w:left w:val="none" w:sz="0" w:space="0" w:color="auto"/>
                        <w:bottom w:val="none" w:sz="0" w:space="0" w:color="auto"/>
                        <w:right w:val="none" w:sz="0" w:space="0" w:color="auto"/>
                      </w:divBdr>
                    </w:div>
                  </w:divsChild>
                </w:div>
                <w:div w:id="1152065890">
                  <w:marLeft w:val="0"/>
                  <w:marRight w:val="0"/>
                  <w:marTop w:val="0"/>
                  <w:marBottom w:val="0"/>
                  <w:divBdr>
                    <w:top w:val="none" w:sz="0" w:space="0" w:color="auto"/>
                    <w:left w:val="none" w:sz="0" w:space="0" w:color="auto"/>
                    <w:bottom w:val="none" w:sz="0" w:space="0" w:color="auto"/>
                    <w:right w:val="none" w:sz="0" w:space="0" w:color="auto"/>
                  </w:divBdr>
                  <w:divsChild>
                    <w:div w:id="882205851">
                      <w:marLeft w:val="0"/>
                      <w:marRight w:val="0"/>
                      <w:marTop w:val="0"/>
                      <w:marBottom w:val="0"/>
                      <w:divBdr>
                        <w:top w:val="none" w:sz="0" w:space="0" w:color="auto"/>
                        <w:left w:val="none" w:sz="0" w:space="0" w:color="auto"/>
                        <w:bottom w:val="none" w:sz="0" w:space="0" w:color="auto"/>
                        <w:right w:val="none" w:sz="0" w:space="0" w:color="auto"/>
                      </w:divBdr>
                    </w:div>
                  </w:divsChild>
                </w:div>
                <w:div w:id="1188249541">
                  <w:marLeft w:val="0"/>
                  <w:marRight w:val="0"/>
                  <w:marTop w:val="0"/>
                  <w:marBottom w:val="0"/>
                  <w:divBdr>
                    <w:top w:val="none" w:sz="0" w:space="0" w:color="auto"/>
                    <w:left w:val="none" w:sz="0" w:space="0" w:color="auto"/>
                    <w:bottom w:val="none" w:sz="0" w:space="0" w:color="auto"/>
                    <w:right w:val="none" w:sz="0" w:space="0" w:color="auto"/>
                  </w:divBdr>
                  <w:divsChild>
                    <w:div w:id="1569223973">
                      <w:marLeft w:val="0"/>
                      <w:marRight w:val="0"/>
                      <w:marTop w:val="0"/>
                      <w:marBottom w:val="0"/>
                      <w:divBdr>
                        <w:top w:val="none" w:sz="0" w:space="0" w:color="auto"/>
                        <w:left w:val="none" w:sz="0" w:space="0" w:color="auto"/>
                        <w:bottom w:val="none" w:sz="0" w:space="0" w:color="auto"/>
                        <w:right w:val="none" w:sz="0" w:space="0" w:color="auto"/>
                      </w:divBdr>
                    </w:div>
                  </w:divsChild>
                </w:div>
                <w:div w:id="1263033886">
                  <w:marLeft w:val="0"/>
                  <w:marRight w:val="0"/>
                  <w:marTop w:val="0"/>
                  <w:marBottom w:val="0"/>
                  <w:divBdr>
                    <w:top w:val="none" w:sz="0" w:space="0" w:color="auto"/>
                    <w:left w:val="none" w:sz="0" w:space="0" w:color="auto"/>
                    <w:bottom w:val="none" w:sz="0" w:space="0" w:color="auto"/>
                    <w:right w:val="none" w:sz="0" w:space="0" w:color="auto"/>
                  </w:divBdr>
                  <w:divsChild>
                    <w:div w:id="1987051538">
                      <w:marLeft w:val="0"/>
                      <w:marRight w:val="0"/>
                      <w:marTop w:val="0"/>
                      <w:marBottom w:val="0"/>
                      <w:divBdr>
                        <w:top w:val="none" w:sz="0" w:space="0" w:color="auto"/>
                        <w:left w:val="none" w:sz="0" w:space="0" w:color="auto"/>
                        <w:bottom w:val="none" w:sz="0" w:space="0" w:color="auto"/>
                        <w:right w:val="none" w:sz="0" w:space="0" w:color="auto"/>
                      </w:divBdr>
                    </w:div>
                  </w:divsChild>
                </w:div>
                <w:div w:id="1312952380">
                  <w:marLeft w:val="0"/>
                  <w:marRight w:val="0"/>
                  <w:marTop w:val="0"/>
                  <w:marBottom w:val="0"/>
                  <w:divBdr>
                    <w:top w:val="none" w:sz="0" w:space="0" w:color="auto"/>
                    <w:left w:val="none" w:sz="0" w:space="0" w:color="auto"/>
                    <w:bottom w:val="none" w:sz="0" w:space="0" w:color="auto"/>
                    <w:right w:val="none" w:sz="0" w:space="0" w:color="auto"/>
                  </w:divBdr>
                  <w:divsChild>
                    <w:div w:id="2136563434">
                      <w:marLeft w:val="0"/>
                      <w:marRight w:val="0"/>
                      <w:marTop w:val="0"/>
                      <w:marBottom w:val="0"/>
                      <w:divBdr>
                        <w:top w:val="none" w:sz="0" w:space="0" w:color="auto"/>
                        <w:left w:val="none" w:sz="0" w:space="0" w:color="auto"/>
                        <w:bottom w:val="none" w:sz="0" w:space="0" w:color="auto"/>
                        <w:right w:val="none" w:sz="0" w:space="0" w:color="auto"/>
                      </w:divBdr>
                    </w:div>
                  </w:divsChild>
                </w:div>
                <w:div w:id="1316644909">
                  <w:marLeft w:val="0"/>
                  <w:marRight w:val="0"/>
                  <w:marTop w:val="0"/>
                  <w:marBottom w:val="0"/>
                  <w:divBdr>
                    <w:top w:val="none" w:sz="0" w:space="0" w:color="auto"/>
                    <w:left w:val="none" w:sz="0" w:space="0" w:color="auto"/>
                    <w:bottom w:val="none" w:sz="0" w:space="0" w:color="auto"/>
                    <w:right w:val="none" w:sz="0" w:space="0" w:color="auto"/>
                  </w:divBdr>
                  <w:divsChild>
                    <w:div w:id="1367175948">
                      <w:marLeft w:val="0"/>
                      <w:marRight w:val="0"/>
                      <w:marTop w:val="0"/>
                      <w:marBottom w:val="0"/>
                      <w:divBdr>
                        <w:top w:val="none" w:sz="0" w:space="0" w:color="auto"/>
                        <w:left w:val="none" w:sz="0" w:space="0" w:color="auto"/>
                        <w:bottom w:val="none" w:sz="0" w:space="0" w:color="auto"/>
                        <w:right w:val="none" w:sz="0" w:space="0" w:color="auto"/>
                      </w:divBdr>
                    </w:div>
                  </w:divsChild>
                </w:div>
                <w:div w:id="1388913615">
                  <w:marLeft w:val="0"/>
                  <w:marRight w:val="0"/>
                  <w:marTop w:val="0"/>
                  <w:marBottom w:val="0"/>
                  <w:divBdr>
                    <w:top w:val="none" w:sz="0" w:space="0" w:color="auto"/>
                    <w:left w:val="none" w:sz="0" w:space="0" w:color="auto"/>
                    <w:bottom w:val="none" w:sz="0" w:space="0" w:color="auto"/>
                    <w:right w:val="none" w:sz="0" w:space="0" w:color="auto"/>
                  </w:divBdr>
                  <w:divsChild>
                    <w:div w:id="1492139808">
                      <w:marLeft w:val="0"/>
                      <w:marRight w:val="0"/>
                      <w:marTop w:val="0"/>
                      <w:marBottom w:val="0"/>
                      <w:divBdr>
                        <w:top w:val="none" w:sz="0" w:space="0" w:color="auto"/>
                        <w:left w:val="none" w:sz="0" w:space="0" w:color="auto"/>
                        <w:bottom w:val="none" w:sz="0" w:space="0" w:color="auto"/>
                        <w:right w:val="none" w:sz="0" w:space="0" w:color="auto"/>
                      </w:divBdr>
                    </w:div>
                  </w:divsChild>
                </w:div>
                <w:div w:id="1411729897">
                  <w:marLeft w:val="0"/>
                  <w:marRight w:val="0"/>
                  <w:marTop w:val="0"/>
                  <w:marBottom w:val="0"/>
                  <w:divBdr>
                    <w:top w:val="none" w:sz="0" w:space="0" w:color="auto"/>
                    <w:left w:val="none" w:sz="0" w:space="0" w:color="auto"/>
                    <w:bottom w:val="none" w:sz="0" w:space="0" w:color="auto"/>
                    <w:right w:val="none" w:sz="0" w:space="0" w:color="auto"/>
                  </w:divBdr>
                  <w:divsChild>
                    <w:div w:id="245580403">
                      <w:marLeft w:val="0"/>
                      <w:marRight w:val="0"/>
                      <w:marTop w:val="0"/>
                      <w:marBottom w:val="0"/>
                      <w:divBdr>
                        <w:top w:val="none" w:sz="0" w:space="0" w:color="auto"/>
                        <w:left w:val="none" w:sz="0" w:space="0" w:color="auto"/>
                        <w:bottom w:val="none" w:sz="0" w:space="0" w:color="auto"/>
                        <w:right w:val="none" w:sz="0" w:space="0" w:color="auto"/>
                      </w:divBdr>
                    </w:div>
                  </w:divsChild>
                </w:div>
                <w:div w:id="1422214159">
                  <w:marLeft w:val="0"/>
                  <w:marRight w:val="0"/>
                  <w:marTop w:val="0"/>
                  <w:marBottom w:val="0"/>
                  <w:divBdr>
                    <w:top w:val="none" w:sz="0" w:space="0" w:color="auto"/>
                    <w:left w:val="none" w:sz="0" w:space="0" w:color="auto"/>
                    <w:bottom w:val="none" w:sz="0" w:space="0" w:color="auto"/>
                    <w:right w:val="none" w:sz="0" w:space="0" w:color="auto"/>
                  </w:divBdr>
                  <w:divsChild>
                    <w:div w:id="61829117">
                      <w:marLeft w:val="0"/>
                      <w:marRight w:val="0"/>
                      <w:marTop w:val="0"/>
                      <w:marBottom w:val="0"/>
                      <w:divBdr>
                        <w:top w:val="none" w:sz="0" w:space="0" w:color="auto"/>
                        <w:left w:val="none" w:sz="0" w:space="0" w:color="auto"/>
                        <w:bottom w:val="none" w:sz="0" w:space="0" w:color="auto"/>
                        <w:right w:val="none" w:sz="0" w:space="0" w:color="auto"/>
                      </w:divBdr>
                    </w:div>
                  </w:divsChild>
                </w:div>
                <w:div w:id="1450853121">
                  <w:marLeft w:val="0"/>
                  <w:marRight w:val="0"/>
                  <w:marTop w:val="0"/>
                  <w:marBottom w:val="0"/>
                  <w:divBdr>
                    <w:top w:val="none" w:sz="0" w:space="0" w:color="auto"/>
                    <w:left w:val="none" w:sz="0" w:space="0" w:color="auto"/>
                    <w:bottom w:val="none" w:sz="0" w:space="0" w:color="auto"/>
                    <w:right w:val="none" w:sz="0" w:space="0" w:color="auto"/>
                  </w:divBdr>
                  <w:divsChild>
                    <w:div w:id="1731343179">
                      <w:marLeft w:val="0"/>
                      <w:marRight w:val="0"/>
                      <w:marTop w:val="0"/>
                      <w:marBottom w:val="0"/>
                      <w:divBdr>
                        <w:top w:val="none" w:sz="0" w:space="0" w:color="auto"/>
                        <w:left w:val="none" w:sz="0" w:space="0" w:color="auto"/>
                        <w:bottom w:val="none" w:sz="0" w:space="0" w:color="auto"/>
                        <w:right w:val="none" w:sz="0" w:space="0" w:color="auto"/>
                      </w:divBdr>
                    </w:div>
                  </w:divsChild>
                </w:div>
                <w:div w:id="1451316612">
                  <w:marLeft w:val="0"/>
                  <w:marRight w:val="0"/>
                  <w:marTop w:val="0"/>
                  <w:marBottom w:val="0"/>
                  <w:divBdr>
                    <w:top w:val="none" w:sz="0" w:space="0" w:color="auto"/>
                    <w:left w:val="none" w:sz="0" w:space="0" w:color="auto"/>
                    <w:bottom w:val="none" w:sz="0" w:space="0" w:color="auto"/>
                    <w:right w:val="none" w:sz="0" w:space="0" w:color="auto"/>
                  </w:divBdr>
                  <w:divsChild>
                    <w:div w:id="1496801059">
                      <w:marLeft w:val="0"/>
                      <w:marRight w:val="0"/>
                      <w:marTop w:val="0"/>
                      <w:marBottom w:val="0"/>
                      <w:divBdr>
                        <w:top w:val="none" w:sz="0" w:space="0" w:color="auto"/>
                        <w:left w:val="none" w:sz="0" w:space="0" w:color="auto"/>
                        <w:bottom w:val="none" w:sz="0" w:space="0" w:color="auto"/>
                        <w:right w:val="none" w:sz="0" w:space="0" w:color="auto"/>
                      </w:divBdr>
                    </w:div>
                  </w:divsChild>
                </w:div>
                <w:div w:id="1489394656">
                  <w:marLeft w:val="0"/>
                  <w:marRight w:val="0"/>
                  <w:marTop w:val="0"/>
                  <w:marBottom w:val="0"/>
                  <w:divBdr>
                    <w:top w:val="none" w:sz="0" w:space="0" w:color="auto"/>
                    <w:left w:val="none" w:sz="0" w:space="0" w:color="auto"/>
                    <w:bottom w:val="none" w:sz="0" w:space="0" w:color="auto"/>
                    <w:right w:val="none" w:sz="0" w:space="0" w:color="auto"/>
                  </w:divBdr>
                  <w:divsChild>
                    <w:div w:id="792863765">
                      <w:marLeft w:val="0"/>
                      <w:marRight w:val="0"/>
                      <w:marTop w:val="0"/>
                      <w:marBottom w:val="0"/>
                      <w:divBdr>
                        <w:top w:val="none" w:sz="0" w:space="0" w:color="auto"/>
                        <w:left w:val="none" w:sz="0" w:space="0" w:color="auto"/>
                        <w:bottom w:val="none" w:sz="0" w:space="0" w:color="auto"/>
                        <w:right w:val="none" w:sz="0" w:space="0" w:color="auto"/>
                      </w:divBdr>
                    </w:div>
                  </w:divsChild>
                </w:div>
                <w:div w:id="1578515490">
                  <w:marLeft w:val="0"/>
                  <w:marRight w:val="0"/>
                  <w:marTop w:val="0"/>
                  <w:marBottom w:val="0"/>
                  <w:divBdr>
                    <w:top w:val="none" w:sz="0" w:space="0" w:color="auto"/>
                    <w:left w:val="none" w:sz="0" w:space="0" w:color="auto"/>
                    <w:bottom w:val="none" w:sz="0" w:space="0" w:color="auto"/>
                    <w:right w:val="none" w:sz="0" w:space="0" w:color="auto"/>
                  </w:divBdr>
                  <w:divsChild>
                    <w:div w:id="48189966">
                      <w:marLeft w:val="0"/>
                      <w:marRight w:val="0"/>
                      <w:marTop w:val="0"/>
                      <w:marBottom w:val="0"/>
                      <w:divBdr>
                        <w:top w:val="none" w:sz="0" w:space="0" w:color="auto"/>
                        <w:left w:val="none" w:sz="0" w:space="0" w:color="auto"/>
                        <w:bottom w:val="none" w:sz="0" w:space="0" w:color="auto"/>
                        <w:right w:val="none" w:sz="0" w:space="0" w:color="auto"/>
                      </w:divBdr>
                    </w:div>
                    <w:div w:id="335545163">
                      <w:marLeft w:val="0"/>
                      <w:marRight w:val="0"/>
                      <w:marTop w:val="0"/>
                      <w:marBottom w:val="0"/>
                      <w:divBdr>
                        <w:top w:val="none" w:sz="0" w:space="0" w:color="auto"/>
                        <w:left w:val="none" w:sz="0" w:space="0" w:color="auto"/>
                        <w:bottom w:val="none" w:sz="0" w:space="0" w:color="auto"/>
                        <w:right w:val="none" w:sz="0" w:space="0" w:color="auto"/>
                      </w:divBdr>
                    </w:div>
                  </w:divsChild>
                </w:div>
                <w:div w:id="1650553440">
                  <w:marLeft w:val="0"/>
                  <w:marRight w:val="0"/>
                  <w:marTop w:val="0"/>
                  <w:marBottom w:val="0"/>
                  <w:divBdr>
                    <w:top w:val="none" w:sz="0" w:space="0" w:color="auto"/>
                    <w:left w:val="none" w:sz="0" w:space="0" w:color="auto"/>
                    <w:bottom w:val="none" w:sz="0" w:space="0" w:color="auto"/>
                    <w:right w:val="none" w:sz="0" w:space="0" w:color="auto"/>
                  </w:divBdr>
                  <w:divsChild>
                    <w:div w:id="262958814">
                      <w:marLeft w:val="0"/>
                      <w:marRight w:val="0"/>
                      <w:marTop w:val="0"/>
                      <w:marBottom w:val="0"/>
                      <w:divBdr>
                        <w:top w:val="none" w:sz="0" w:space="0" w:color="auto"/>
                        <w:left w:val="none" w:sz="0" w:space="0" w:color="auto"/>
                        <w:bottom w:val="none" w:sz="0" w:space="0" w:color="auto"/>
                        <w:right w:val="none" w:sz="0" w:space="0" w:color="auto"/>
                      </w:divBdr>
                    </w:div>
                  </w:divsChild>
                </w:div>
                <w:div w:id="1751846221">
                  <w:marLeft w:val="0"/>
                  <w:marRight w:val="0"/>
                  <w:marTop w:val="0"/>
                  <w:marBottom w:val="0"/>
                  <w:divBdr>
                    <w:top w:val="none" w:sz="0" w:space="0" w:color="auto"/>
                    <w:left w:val="none" w:sz="0" w:space="0" w:color="auto"/>
                    <w:bottom w:val="none" w:sz="0" w:space="0" w:color="auto"/>
                    <w:right w:val="none" w:sz="0" w:space="0" w:color="auto"/>
                  </w:divBdr>
                  <w:divsChild>
                    <w:div w:id="2124299775">
                      <w:marLeft w:val="0"/>
                      <w:marRight w:val="0"/>
                      <w:marTop w:val="0"/>
                      <w:marBottom w:val="0"/>
                      <w:divBdr>
                        <w:top w:val="none" w:sz="0" w:space="0" w:color="auto"/>
                        <w:left w:val="none" w:sz="0" w:space="0" w:color="auto"/>
                        <w:bottom w:val="none" w:sz="0" w:space="0" w:color="auto"/>
                        <w:right w:val="none" w:sz="0" w:space="0" w:color="auto"/>
                      </w:divBdr>
                    </w:div>
                  </w:divsChild>
                </w:div>
                <w:div w:id="1910073975">
                  <w:marLeft w:val="0"/>
                  <w:marRight w:val="0"/>
                  <w:marTop w:val="0"/>
                  <w:marBottom w:val="0"/>
                  <w:divBdr>
                    <w:top w:val="none" w:sz="0" w:space="0" w:color="auto"/>
                    <w:left w:val="none" w:sz="0" w:space="0" w:color="auto"/>
                    <w:bottom w:val="none" w:sz="0" w:space="0" w:color="auto"/>
                    <w:right w:val="none" w:sz="0" w:space="0" w:color="auto"/>
                  </w:divBdr>
                  <w:divsChild>
                    <w:div w:id="1153453605">
                      <w:marLeft w:val="0"/>
                      <w:marRight w:val="0"/>
                      <w:marTop w:val="0"/>
                      <w:marBottom w:val="0"/>
                      <w:divBdr>
                        <w:top w:val="none" w:sz="0" w:space="0" w:color="auto"/>
                        <w:left w:val="none" w:sz="0" w:space="0" w:color="auto"/>
                        <w:bottom w:val="none" w:sz="0" w:space="0" w:color="auto"/>
                        <w:right w:val="none" w:sz="0" w:space="0" w:color="auto"/>
                      </w:divBdr>
                    </w:div>
                  </w:divsChild>
                </w:div>
                <w:div w:id="1972976549">
                  <w:marLeft w:val="0"/>
                  <w:marRight w:val="0"/>
                  <w:marTop w:val="0"/>
                  <w:marBottom w:val="0"/>
                  <w:divBdr>
                    <w:top w:val="none" w:sz="0" w:space="0" w:color="auto"/>
                    <w:left w:val="none" w:sz="0" w:space="0" w:color="auto"/>
                    <w:bottom w:val="none" w:sz="0" w:space="0" w:color="auto"/>
                    <w:right w:val="none" w:sz="0" w:space="0" w:color="auto"/>
                  </w:divBdr>
                  <w:divsChild>
                    <w:div w:id="2106263372">
                      <w:marLeft w:val="0"/>
                      <w:marRight w:val="0"/>
                      <w:marTop w:val="0"/>
                      <w:marBottom w:val="0"/>
                      <w:divBdr>
                        <w:top w:val="none" w:sz="0" w:space="0" w:color="auto"/>
                        <w:left w:val="none" w:sz="0" w:space="0" w:color="auto"/>
                        <w:bottom w:val="none" w:sz="0" w:space="0" w:color="auto"/>
                        <w:right w:val="none" w:sz="0" w:space="0" w:color="auto"/>
                      </w:divBdr>
                    </w:div>
                  </w:divsChild>
                </w:div>
                <w:div w:id="2107967913">
                  <w:marLeft w:val="0"/>
                  <w:marRight w:val="0"/>
                  <w:marTop w:val="0"/>
                  <w:marBottom w:val="0"/>
                  <w:divBdr>
                    <w:top w:val="none" w:sz="0" w:space="0" w:color="auto"/>
                    <w:left w:val="none" w:sz="0" w:space="0" w:color="auto"/>
                    <w:bottom w:val="none" w:sz="0" w:space="0" w:color="auto"/>
                    <w:right w:val="none" w:sz="0" w:space="0" w:color="auto"/>
                  </w:divBdr>
                  <w:divsChild>
                    <w:div w:id="19962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694">
          <w:marLeft w:val="0"/>
          <w:marRight w:val="0"/>
          <w:marTop w:val="0"/>
          <w:marBottom w:val="0"/>
          <w:divBdr>
            <w:top w:val="none" w:sz="0" w:space="0" w:color="auto"/>
            <w:left w:val="none" w:sz="0" w:space="0" w:color="auto"/>
            <w:bottom w:val="none" w:sz="0" w:space="0" w:color="auto"/>
            <w:right w:val="none" w:sz="0" w:space="0" w:color="auto"/>
          </w:divBdr>
        </w:div>
        <w:div w:id="21102671">
          <w:marLeft w:val="0"/>
          <w:marRight w:val="0"/>
          <w:marTop w:val="0"/>
          <w:marBottom w:val="0"/>
          <w:divBdr>
            <w:top w:val="none" w:sz="0" w:space="0" w:color="auto"/>
            <w:left w:val="none" w:sz="0" w:space="0" w:color="auto"/>
            <w:bottom w:val="none" w:sz="0" w:space="0" w:color="auto"/>
            <w:right w:val="none" w:sz="0" w:space="0" w:color="auto"/>
          </w:divBdr>
        </w:div>
        <w:div w:id="27488893">
          <w:marLeft w:val="0"/>
          <w:marRight w:val="0"/>
          <w:marTop w:val="0"/>
          <w:marBottom w:val="0"/>
          <w:divBdr>
            <w:top w:val="none" w:sz="0" w:space="0" w:color="auto"/>
            <w:left w:val="none" w:sz="0" w:space="0" w:color="auto"/>
            <w:bottom w:val="none" w:sz="0" w:space="0" w:color="auto"/>
            <w:right w:val="none" w:sz="0" w:space="0" w:color="auto"/>
          </w:divBdr>
        </w:div>
        <w:div w:id="47532894">
          <w:marLeft w:val="0"/>
          <w:marRight w:val="0"/>
          <w:marTop w:val="0"/>
          <w:marBottom w:val="0"/>
          <w:divBdr>
            <w:top w:val="none" w:sz="0" w:space="0" w:color="auto"/>
            <w:left w:val="none" w:sz="0" w:space="0" w:color="auto"/>
            <w:bottom w:val="none" w:sz="0" w:space="0" w:color="auto"/>
            <w:right w:val="none" w:sz="0" w:space="0" w:color="auto"/>
          </w:divBdr>
        </w:div>
        <w:div w:id="62216285">
          <w:marLeft w:val="0"/>
          <w:marRight w:val="0"/>
          <w:marTop w:val="0"/>
          <w:marBottom w:val="0"/>
          <w:divBdr>
            <w:top w:val="none" w:sz="0" w:space="0" w:color="auto"/>
            <w:left w:val="none" w:sz="0" w:space="0" w:color="auto"/>
            <w:bottom w:val="none" w:sz="0" w:space="0" w:color="auto"/>
            <w:right w:val="none" w:sz="0" w:space="0" w:color="auto"/>
          </w:divBdr>
        </w:div>
        <w:div w:id="89467945">
          <w:marLeft w:val="0"/>
          <w:marRight w:val="0"/>
          <w:marTop w:val="0"/>
          <w:marBottom w:val="0"/>
          <w:divBdr>
            <w:top w:val="none" w:sz="0" w:space="0" w:color="auto"/>
            <w:left w:val="none" w:sz="0" w:space="0" w:color="auto"/>
            <w:bottom w:val="none" w:sz="0" w:space="0" w:color="auto"/>
            <w:right w:val="none" w:sz="0" w:space="0" w:color="auto"/>
          </w:divBdr>
        </w:div>
        <w:div w:id="91585149">
          <w:marLeft w:val="0"/>
          <w:marRight w:val="0"/>
          <w:marTop w:val="0"/>
          <w:marBottom w:val="0"/>
          <w:divBdr>
            <w:top w:val="none" w:sz="0" w:space="0" w:color="auto"/>
            <w:left w:val="none" w:sz="0" w:space="0" w:color="auto"/>
            <w:bottom w:val="none" w:sz="0" w:space="0" w:color="auto"/>
            <w:right w:val="none" w:sz="0" w:space="0" w:color="auto"/>
          </w:divBdr>
        </w:div>
        <w:div w:id="102725850">
          <w:marLeft w:val="0"/>
          <w:marRight w:val="0"/>
          <w:marTop w:val="0"/>
          <w:marBottom w:val="0"/>
          <w:divBdr>
            <w:top w:val="none" w:sz="0" w:space="0" w:color="auto"/>
            <w:left w:val="none" w:sz="0" w:space="0" w:color="auto"/>
            <w:bottom w:val="none" w:sz="0" w:space="0" w:color="auto"/>
            <w:right w:val="none" w:sz="0" w:space="0" w:color="auto"/>
          </w:divBdr>
        </w:div>
        <w:div w:id="106967698">
          <w:marLeft w:val="0"/>
          <w:marRight w:val="0"/>
          <w:marTop w:val="0"/>
          <w:marBottom w:val="0"/>
          <w:divBdr>
            <w:top w:val="none" w:sz="0" w:space="0" w:color="auto"/>
            <w:left w:val="none" w:sz="0" w:space="0" w:color="auto"/>
            <w:bottom w:val="none" w:sz="0" w:space="0" w:color="auto"/>
            <w:right w:val="none" w:sz="0" w:space="0" w:color="auto"/>
          </w:divBdr>
        </w:div>
        <w:div w:id="124740152">
          <w:marLeft w:val="0"/>
          <w:marRight w:val="0"/>
          <w:marTop w:val="0"/>
          <w:marBottom w:val="0"/>
          <w:divBdr>
            <w:top w:val="none" w:sz="0" w:space="0" w:color="auto"/>
            <w:left w:val="none" w:sz="0" w:space="0" w:color="auto"/>
            <w:bottom w:val="none" w:sz="0" w:space="0" w:color="auto"/>
            <w:right w:val="none" w:sz="0" w:space="0" w:color="auto"/>
          </w:divBdr>
        </w:div>
        <w:div w:id="126708802">
          <w:marLeft w:val="0"/>
          <w:marRight w:val="0"/>
          <w:marTop w:val="0"/>
          <w:marBottom w:val="0"/>
          <w:divBdr>
            <w:top w:val="none" w:sz="0" w:space="0" w:color="auto"/>
            <w:left w:val="none" w:sz="0" w:space="0" w:color="auto"/>
            <w:bottom w:val="none" w:sz="0" w:space="0" w:color="auto"/>
            <w:right w:val="none" w:sz="0" w:space="0" w:color="auto"/>
          </w:divBdr>
        </w:div>
        <w:div w:id="144586771">
          <w:marLeft w:val="0"/>
          <w:marRight w:val="0"/>
          <w:marTop w:val="0"/>
          <w:marBottom w:val="0"/>
          <w:divBdr>
            <w:top w:val="none" w:sz="0" w:space="0" w:color="auto"/>
            <w:left w:val="none" w:sz="0" w:space="0" w:color="auto"/>
            <w:bottom w:val="none" w:sz="0" w:space="0" w:color="auto"/>
            <w:right w:val="none" w:sz="0" w:space="0" w:color="auto"/>
          </w:divBdr>
        </w:div>
        <w:div w:id="148794642">
          <w:marLeft w:val="0"/>
          <w:marRight w:val="0"/>
          <w:marTop w:val="0"/>
          <w:marBottom w:val="0"/>
          <w:divBdr>
            <w:top w:val="none" w:sz="0" w:space="0" w:color="auto"/>
            <w:left w:val="none" w:sz="0" w:space="0" w:color="auto"/>
            <w:bottom w:val="none" w:sz="0" w:space="0" w:color="auto"/>
            <w:right w:val="none" w:sz="0" w:space="0" w:color="auto"/>
          </w:divBdr>
        </w:div>
        <w:div w:id="156969168">
          <w:marLeft w:val="0"/>
          <w:marRight w:val="0"/>
          <w:marTop w:val="0"/>
          <w:marBottom w:val="0"/>
          <w:divBdr>
            <w:top w:val="none" w:sz="0" w:space="0" w:color="auto"/>
            <w:left w:val="none" w:sz="0" w:space="0" w:color="auto"/>
            <w:bottom w:val="none" w:sz="0" w:space="0" w:color="auto"/>
            <w:right w:val="none" w:sz="0" w:space="0" w:color="auto"/>
          </w:divBdr>
        </w:div>
        <w:div w:id="158010438">
          <w:marLeft w:val="0"/>
          <w:marRight w:val="0"/>
          <w:marTop w:val="0"/>
          <w:marBottom w:val="0"/>
          <w:divBdr>
            <w:top w:val="none" w:sz="0" w:space="0" w:color="auto"/>
            <w:left w:val="none" w:sz="0" w:space="0" w:color="auto"/>
            <w:bottom w:val="none" w:sz="0" w:space="0" w:color="auto"/>
            <w:right w:val="none" w:sz="0" w:space="0" w:color="auto"/>
          </w:divBdr>
          <w:divsChild>
            <w:div w:id="1215849496">
              <w:marLeft w:val="0"/>
              <w:marRight w:val="0"/>
              <w:marTop w:val="30"/>
              <w:marBottom w:val="30"/>
              <w:divBdr>
                <w:top w:val="none" w:sz="0" w:space="0" w:color="auto"/>
                <w:left w:val="none" w:sz="0" w:space="0" w:color="auto"/>
                <w:bottom w:val="none" w:sz="0" w:space="0" w:color="auto"/>
                <w:right w:val="none" w:sz="0" w:space="0" w:color="auto"/>
              </w:divBdr>
              <w:divsChild>
                <w:div w:id="51150838">
                  <w:marLeft w:val="0"/>
                  <w:marRight w:val="0"/>
                  <w:marTop w:val="0"/>
                  <w:marBottom w:val="0"/>
                  <w:divBdr>
                    <w:top w:val="none" w:sz="0" w:space="0" w:color="auto"/>
                    <w:left w:val="none" w:sz="0" w:space="0" w:color="auto"/>
                    <w:bottom w:val="none" w:sz="0" w:space="0" w:color="auto"/>
                    <w:right w:val="none" w:sz="0" w:space="0" w:color="auto"/>
                  </w:divBdr>
                  <w:divsChild>
                    <w:div w:id="1306466649">
                      <w:marLeft w:val="0"/>
                      <w:marRight w:val="0"/>
                      <w:marTop w:val="0"/>
                      <w:marBottom w:val="0"/>
                      <w:divBdr>
                        <w:top w:val="none" w:sz="0" w:space="0" w:color="auto"/>
                        <w:left w:val="none" w:sz="0" w:space="0" w:color="auto"/>
                        <w:bottom w:val="none" w:sz="0" w:space="0" w:color="auto"/>
                        <w:right w:val="none" w:sz="0" w:space="0" w:color="auto"/>
                      </w:divBdr>
                    </w:div>
                  </w:divsChild>
                </w:div>
                <w:div w:id="131873872">
                  <w:marLeft w:val="0"/>
                  <w:marRight w:val="0"/>
                  <w:marTop w:val="0"/>
                  <w:marBottom w:val="0"/>
                  <w:divBdr>
                    <w:top w:val="none" w:sz="0" w:space="0" w:color="auto"/>
                    <w:left w:val="none" w:sz="0" w:space="0" w:color="auto"/>
                    <w:bottom w:val="none" w:sz="0" w:space="0" w:color="auto"/>
                    <w:right w:val="none" w:sz="0" w:space="0" w:color="auto"/>
                  </w:divBdr>
                  <w:divsChild>
                    <w:div w:id="1704557780">
                      <w:marLeft w:val="0"/>
                      <w:marRight w:val="0"/>
                      <w:marTop w:val="0"/>
                      <w:marBottom w:val="0"/>
                      <w:divBdr>
                        <w:top w:val="none" w:sz="0" w:space="0" w:color="auto"/>
                        <w:left w:val="none" w:sz="0" w:space="0" w:color="auto"/>
                        <w:bottom w:val="none" w:sz="0" w:space="0" w:color="auto"/>
                        <w:right w:val="none" w:sz="0" w:space="0" w:color="auto"/>
                      </w:divBdr>
                    </w:div>
                  </w:divsChild>
                </w:div>
                <w:div w:id="144401611">
                  <w:marLeft w:val="0"/>
                  <w:marRight w:val="0"/>
                  <w:marTop w:val="0"/>
                  <w:marBottom w:val="0"/>
                  <w:divBdr>
                    <w:top w:val="none" w:sz="0" w:space="0" w:color="auto"/>
                    <w:left w:val="none" w:sz="0" w:space="0" w:color="auto"/>
                    <w:bottom w:val="none" w:sz="0" w:space="0" w:color="auto"/>
                    <w:right w:val="none" w:sz="0" w:space="0" w:color="auto"/>
                  </w:divBdr>
                  <w:divsChild>
                    <w:div w:id="1192307647">
                      <w:marLeft w:val="0"/>
                      <w:marRight w:val="0"/>
                      <w:marTop w:val="0"/>
                      <w:marBottom w:val="0"/>
                      <w:divBdr>
                        <w:top w:val="none" w:sz="0" w:space="0" w:color="auto"/>
                        <w:left w:val="none" w:sz="0" w:space="0" w:color="auto"/>
                        <w:bottom w:val="none" w:sz="0" w:space="0" w:color="auto"/>
                        <w:right w:val="none" w:sz="0" w:space="0" w:color="auto"/>
                      </w:divBdr>
                    </w:div>
                    <w:div w:id="1457794298">
                      <w:marLeft w:val="0"/>
                      <w:marRight w:val="0"/>
                      <w:marTop w:val="0"/>
                      <w:marBottom w:val="0"/>
                      <w:divBdr>
                        <w:top w:val="none" w:sz="0" w:space="0" w:color="auto"/>
                        <w:left w:val="none" w:sz="0" w:space="0" w:color="auto"/>
                        <w:bottom w:val="none" w:sz="0" w:space="0" w:color="auto"/>
                        <w:right w:val="none" w:sz="0" w:space="0" w:color="auto"/>
                      </w:divBdr>
                    </w:div>
                  </w:divsChild>
                </w:div>
                <w:div w:id="326400534">
                  <w:marLeft w:val="0"/>
                  <w:marRight w:val="0"/>
                  <w:marTop w:val="0"/>
                  <w:marBottom w:val="0"/>
                  <w:divBdr>
                    <w:top w:val="none" w:sz="0" w:space="0" w:color="auto"/>
                    <w:left w:val="none" w:sz="0" w:space="0" w:color="auto"/>
                    <w:bottom w:val="none" w:sz="0" w:space="0" w:color="auto"/>
                    <w:right w:val="none" w:sz="0" w:space="0" w:color="auto"/>
                  </w:divBdr>
                  <w:divsChild>
                    <w:div w:id="2092850787">
                      <w:marLeft w:val="0"/>
                      <w:marRight w:val="0"/>
                      <w:marTop w:val="0"/>
                      <w:marBottom w:val="0"/>
                      <w:divBdr>
                        <w:top w:val="none" w:sz="0" w:space="0" w:color="auto"/>
                        <w:left w:val="none" w:sz="0" w:space="0" w:color="auto"/>
                        <w:bottom w:val="none" w:sz="0" w:space="0" w:color="auto"/>
                        <w:right w:val="none" w:sz="0" w:space="0" w:color="auto"/>
                      </w:divBdr>
                    </w:div>
                  </w:divsChild>
                </w:div>
                <w:div w:id="333263552">
                  <w:marLeft w:val="0"/>
                  <w:marRight w:val="0"/>
                  <w:marTop w:val="0"/>
                  <w:marBottom w:val="0"/>
                  <w:divBdr>
                    <w:top w:val="none" w:sz="0" w:space="0" w:color="auto"/>
                    <w:left w:val="none" w:sz="0" w:space="0" w:color="auto"/>
                    <w:bottom w:val="none" w:sz="0" w:space="0" w:color="auto"/>
                    <w:right w:val="none" w:sz="0" w:space="0" w:color="auto"/>
                  </w:divBdr>
                  <w:divsChild>
                    <w:div w:id="523908058">
                      <w:marLeft w:val="0"/>
                      <w:marRight w:val="0"/>
                      <w:marTop w:val="0"/>
                      <w:marBottom w:val="0"/>
                      <w:divBdr>
                        <w:top w:val="none" w:sz="0" w:space="0" w:color="auto"/>
                        <w:left w:val="none" w:sz="0" w:space="0" w:color="auto"/>
                        <w:bottom w:val="none" w:sz="0" w:space="0" w:color="auto"/>
                        <w:right w:val="none" w:sz="0" w:space="0" w:color="auto"/>
                      </w:divBdr>
                    </w:div>
                    <w:div w:id="1438477884">
                      <w:marLeft w:val="0"/>
                      <w:marRight w:val="0"/>
                      <w:marTop w:val="0"/>
                      <w:marBottom w:val="0"/>
                      <w:divBdr>
                        <w:top w:val="none" w:sz="0" w:space="0" w:color="auto"/>
                        <w:left w:val="none" w:sz="0" w:space="0" w:color="auto"/>
                        <w:bottom w:val="none" w:sz="0" w:space="0" w:color="auto"/>
                        <w:right w:val="none" w:sz="0" w:space="0" w:color="auto"/>
                      </w:divBdr>
                    </w:div>
                  </w:divsChild>
                </w:div>
                <w:div w:id="340788445">
                  <w:marLeft w:val="0"/>
                  <w:marRight w:val="0"/>
                  <w:marTop w:val="0"/>
                  <w:marBottom w:val="0"/>
                  <w:divBdr>
                    <w:top w:val="none" w:sz="0" w:space="0" w:color="auto"/>
                    <w:left w:val="none" w:sz="0" w:space="0" w:color="auto"/>
                    <w:bottom w:val="none" w:sz="0" w:space="0" w:color="auto"/>
                    <w:right w:val="none" w:sz="0" w:space="0" w:color="auto"/>
                  </w:divBdr>
                  <w:divsChild>
                    <w:div w:id="1723023595">
                      <w:marLeft w:val="0"/>
                      <w:marRight w:val="0"/>
                      <w:marTop w:val="0"/>
                      <w:marBottom w:val="0"/>
                      <w:divBdr>
                        <w:top w:val="none" w:sz="0" w:space="0" w:color="auto"/>
                        <w:left w:val="none" w:sz="0" w:space="0" w:color="auto"/>
                        <w:bottom w:val="none" w:sz="0" w:space="0" w:color="auto"/>
                        <w:right w:val="none" w:sz="0" w:space="0" w:color="auto"/>
                      </w:divBdr>
                    </w:div>
                  </w:divsChild>
                </w:div>
                <w:div w:id="411194823">
                  <w:marLeft w:val="0"/>
                  <w:marRight w:val="0"/>
                  <w:marTop w:val="0"/>
                  <w:marBottom w:val="0"/>
                  <w:divBdr>
                    <w:top w:val="none" w:sz="0" w:space="0" w:color="auto"/>
                    <w:left w:val="none" w:sz="0" w:space="0" w:color="auto"/>
                    <w:bottom w:val="none" w:sz="0" w:space="0" w:color="auto"/>
                    <w:right w:val="none" w:sz="0" w:space="0" w:color="auto"/>
                  </w:divBdr>
                  <w:divsChild>
                    <w:div w:id="1407991429">
                      <w:marLeft w:val="0"/>
                      <w:marRight w:val="0"/>
                      <w:marTop w:val="0"/>
                      <w:marBottom w:val="0"/>
                      <w:divBdr>
                        <w:top w:val="none" w:sz="0" w:space="0" w:color="auto"/>
                        <w:left w:val="none" w:sz="0" w:space="0" w:color="auto"/>
                        <w:bottom w:val="none" w:sz="0" w:space="0" w:color="auto"/>
                        <w:right w:val="none" w:sz="0" w:space="0" w:color="auto"/>
                      </w:divBdr>
                    </w:div>
                  </w:divsChild>
                </w:div>
                <w:div w:id="483668360">
                  <w:marLeft w:val="0"/>
                  <w:marRight w:val="0"/>
                  <w:marTop w:val="0"/>
                  <w:marBottom w:val="0"/>
                  <w:divBdr>
                    <w:top w:val="none" w:sz="0" w:space="0" w:color="auto"/>
                    <w:left w:val="none" w:sz="0" w:space="0" w:color="auto"/>
                    <w:bottom w:val="none" w:sz="0" w:space="0" w:color="auto"/>
                    <w:right w:val="none" w:sz="0" w:space="0" w:color="auto"/>
                  </w:divBdr>
                  <w:divsChild>
                    <w:div w:id="1510675358">
                      <w:marLeft w:val="0"/>
                      <w:marRight w:val="0"/>
                      <w:marTop w:val="0"/>
                      <w:marBottom w:val="0"/>
                      <w:divBdr>
                        <w:top w:val="none" w:sz="0" w:space="0" w:color="auto"/>
                        <w:left w:val="none" w:sz="0" w:space="0" w:color="auto"/>
                        <w:bottom w:val="none" w:sz="0" w:space="0" w:color="auto"/>
                        <w:right w:val="none" w:sz="0" w:space="0" w:color="auto"/>
                      </w:divBdr>
                    </w:div>
                  </w:divsChild>
                </w:div>
                <w:div w:id="493035197">
                  <w:marLeft w:val="0"/>
                  <w:marRight w:val="0"/>
                  <w:marTop w:val="0"/>
                  <w:marBottom w:val="0"/>
                  <w:divBdr>
                    <w:top w:val="none" w:sz="0" w:space="0" w:color="auto"/>
                    <w:left w:val="none" w:sz="0" w:space="0" w:color="auto"/>
                    <w:bottom w:val="none" w:sz="0" w:space="0" w:color="auto"/>
                    <w:right w:val="none" w:sz="0" w:space="0" w:color="auto"/>
                  </w:divBdr>
                  <w:divsChild>
                    <w:div w:id="927156840">
                      <w:marLeft w:val="0"/>
                      <w:marRight w:val="0"/>
                      <w:marTop w:val="0"/>
                      <w:marBottom w:val="0"/>
                      <w:divBdr>
                        <w:top w:val="none" w:sz="0" w:space="0" w:color="auto"/>
                        <w:left w:val="none" w:sz="0" w:space="0" w:color="auto"/>
                        <w:bottom w:val="none" w:sz="0" w:space="0" w:color="auto"/>
                        <w:right w:val="none" w:sz="0" w:space="0" w:color="auto"/>
                      </w:divBdr>
                    </w:div>
                  </w:divsChild>
                </w:div>
                <w:div w:id="547496567">
                  <w:marLeft w:val="0"/>
                  <w:marRight w:val="0"/>
                  <w:marTop w:val="0"/>
                  <w:marBottom w:val="0"/>
                  <w:divBdr>
                    <w:top w:val="none" w:sz="0" w:space="0" w:color="auto"/>
                    <w:left w:val="none" w:sz="0" w:space="0" w:color="auto"/>
                    <w:bottom w:val="none" w:sz="0" w:space="0" w:color="auto"/>
                    <w:right w:val="none" w:sz="0" w:space="0" w:color="auto"/>
                  </w:divBdr>
                  <w:divsChild>
                    <w:div w:id="1481071643">
                      <w:marLeft w:val="0"/>
                      <w:marRight w:val="0"/>
                      <w:marTop w:val="0"/>
                      <w:marBottom w:val="0"/>
                      <w:divBdr>
                        <w:top w:val="none" w:sz="0" w:space="0" w:color="auto"/>
                        <w:left w:val="none" w:sz="0" w:space="0" w:color="auto"/>
                        <w:bottom w:val="none" w:sz="0" w:space="0" w:color="auto"/>
                        <w:right w:val="none" w:sz="0" w:space="0" w:color="auto"/>
                      </w:divBdr>
                    </w:div>
                  </w:divsChild>
                </w:div>
                <w:div w:id="802044057">
                  <w:marLeft w:val="0"/>
                  <w:marRight w:val="0"/>
                  <w:marTop w:val="0"/>
                  <w:marBottom w:val="0"/>
                  <w:divBdr>
                    <w:top w:val="none" w:sz="0" w:space="0" w:color="auto"/>
                    <w:left w:val="none" w:sz="0" w:space="0" w:color="auto"/>
                    <w:bottom w:val="none" w:sz="0" w:space="0" w:color="auto"/>
                    <w:right w:val="none" w:sz="0" w:space="0" w:color="auto"/>
                  </w:divBdr>
                  <w:divsChild>
                    <w:div w:id="1118989297">
                      <w:marLeft w:val="0"/>
                      <w:marRight w:val="0"/>
                      <w:marTop w:val="0"/>
                      <w:marBottom w:val="0"/>
                      <w:divBdr>
                        <w:top w:val="none" w:sz="0" w:space="0" w:color="auto"/>
                        <w:left w:val="none" w:sz="0" w:space="0" w:color="auto"/>
                        <w:bottom w:val="none" w:sz="0" w:space="0" w:color="auto"/>
                        <w:right w:val="none" w:sz="0" w:space="0" w:color="auto"/>
                      </w:divBdr>
                    </w:div>
                  </w:divsChild>
                </w:div>
                <w:div w:id="1104963549">
                  <w:marLeft w:val="0"/>
                  <w:marRight w:val="0"/>
                  <w:marTop w:val="0"/>
                  <w:marBottom w:val="0"/>
                  <w:divBdr>
                    <w:top w:val="none" w:sz="0" w:space="0" w:color="auto"/>
                    <w:left w:val="none" w:sz="0" w:space="0" w:color="auto"/>
                    <w:bottom w:val="none" w:sz="0" w:space="0" w:color="auto"/>
                    <w:right w:val="none" w:sz="0" w:space="0" w:color="auto"/>
                  </w:divBdr>
                  <w:divsChild>
                    <w:div w:id="490872659">
                      <w:marLeft w:val="0"/>
                      <w:marRight w:val="0"/>
                      <w:marTop w:val="0"/>
                      <w:marBottom w:val="0"/>
                      <w:divBdr>
                        <w:top w:val="none" w:sz="0" w:space="0" w:color="auto"/>
                        <w:left w:val="none" w:sz="0" w:space="0" w:color="auto"/>
                        <w:bottom w:val="none" w:sz="0" w:space="0" w:color="auto"/>
                        <w:right w:val="none" w:sz="0" w:space="0" w:color="auto"/>
                      </w:divBdr>
                    </w:div>
                  </w:divsChild>
                </w:div>
                <w:div w:id="1431661157">
                  <w:marLeft w:val="0"/>
                  <w:marRight w:val="0"/>
                  <w:marTop w:val="0"/>
                  <w:marBottom w:val="0"/>
                  <w:divBdr>
                    <w:top w:val="none" w:sz="0" w:space="0" w:color="auto"/>
                    <w:left w:val="none" w:sz="0" w:space="0" w:color="auto"/>
                    <w:bottom w:val="none" w:sz="0" w:space="0" w:color="auto"/>
                    <w:right w:val="none" w:sz="0" w:space="0" w:color="auto"/>
                  </w:divBdr>
                  <w:divsChild>
                    <w:div w:id="2075543496">
                      <w:marLeft w:val="0"/>
                      <w:marRight w:val="0"/>
                      <w:marTop w:val="0"/>
                      <w:marBottom w:val="0"/>
                      <w:divBdr>
                        <w:top w:val="none" w:sz="0" w:space="0" w:color="auto"/>
                        <w:left w:val="none" w:sz="0" w:space="0" w:color="auto"/>
                        <w:bottom w:val="none" w:sz="0" w:space="0" w:color="auto"/>
                        <w:right w:val="none" w:sz="0" w:space="0" w:color="auto"/>
                      </w:divBdr>
                    </w:div>
                  </w:divsChild>
                </w:div>
                <w:div w:id="1484613973">
                  <w:marLeft w:val="0"/>
                  <w:marRight w:val="0"/>
                  <w:marTop w:val="0"/>
                  <w:marBottom w:val="0"/>
                  <w:divBdr>
                    <w:top w:val="none" w:sz="0" w:space="0" w:color="auto"/>
                    <w:left w:val="none" w:sz="0" w:space="0" w:color="auto"/>
                    <w:bottom w:val="none" w:sz="0" w:space="0" w:color="auto"/>
                    <w:right w:val="none" w:sz="0" w:space="0" w:color="auto"/>
                  </w:divBdr>
                  <w:divsChild>
                    <w:div w:id="1069571294">
                      <w:marLeft w:val="0"/>
                      <w:marRight w:val="0"/>
                      <w:marTop w:val="0"/>
                      <w:marBottom w:val="0"/>
                      <w:divBdr>
                        <w:top w:val="none" w:sz="0" w:space="0" w:color="auto"/>
                        <w:left w:val="none" w:sz="0" w:space="0" w:color="auto"/>
                        <w:bottom w:val="none" w:sz="0" w:space="0" w:color="auto"/>
                        <w:right w:val="none" w:sz="0" w:space="0" w:color="auto"/>
                      </w:divBdr>
                    </w:div>
                  </w:divsChild>
                </w:div>
                <w:div w:id="1489247113">
                  <w:marLeft w:val="0"/>
                  <w:marRight w:val="0"/>
                  <w:marTop w:val="0"/>
                  <w:marBottom w:val="0"/>
                  <w:divBdr>
                    <w:top w:val="none" w:sz="0" w:space="0" w:color="auto"/>
                    <w:left w:val="none" w:sz="0" w:space="0" w:color="auto"/>
                    <w:bottom w:val="none" w:sz="0" w:space="0" w:color="auto"/>
                    <w:right w:val="none" w:sz="0" w:space="0" w:color="auto"/>
                  </w:divBdr>
                  <w:divsChild>
                    <w:div w:id="1430345473">
                      <w:marLeft w:val="0"/>
                      <w:marRight w:val="0"/>
                      <w:marTop w:val="0"/>
                      <w:marBottom w:val="0"/>
                      <w:divBdr>
                        <w:top w:val="none" w:sz="0" w:space="0" w:color="auto"/>
                        <w:left w:val="none" w:sz="0" w:space="0" w:color="auto"/>
                        <w:bottom w:val="none" w:sz="0" w:space="0" w:color="auto"/>
                        <w:right w:val="none" w:sz="0" w:space="0" w:color="auto"/>
                      </w:divBdr>
                    </w:div>
                  </w:divsChild>
                </w:div>
                <w:div w:id="1510095885">
                  <w:marLeft w:val="0"/>
                  <w:marRight w:val="0"/>
                  <w:marTop w:val="0"/>
                  <w:marBottom w:val="0"/>
                  <w:divBdr>
                    <w:top w:val="none" w:sz="0" w:space="0" w:color="auto"/>
                    <w:left w:val="none" w:sz="0" w:space="0" w:color="auto"/>
                    <w:bottom w:val="none" w:sz="0" w:space="0" w:color="auto"/>
                    <w:right w:val="none" w:sz="0" w:space="0" w:color="auto"/>
                  </w:divBdr>
                  <w:divsChild>
                    <w:div w:id="390660205">
                      <w:marLeft w:val="0"/>
                      <w:marRight w:val="0"/>
                      <w:marTop w:val="0"/>
                      <w:marBottom w:val="0"/>
                      <w:divBdr>
                        <w:top w:val="none" w:sz="0" w:space="0" w:color="auto"/>
                        <w:left w:val="none" w:sz="0" w:space="0" w:color="auto"/>
                        <w:bottom w:val="none" w:sz="0" w:space="0" w:color="auto"/>
                        <w:right w:val="none" w:sz="0" w:space="0" w:color="auto"/>
                      </w:divBdr>
                    </w:div>
                  </w:divsChild>
                </w:div>
                <w:div w:id="1668245313">
                  <w:marLeft w:val="0"/>
                  <w:marRight w:val="0"/>
                  <w:marTop w:val="0"/>
                  <w:marBottom w:val="0"/>
                  <w:divBdr>
                    <w:top w:val="none" w:sz="0" w:space="0" w:color="auto"/>
                    <w:left w:val="none" w:sz="0" w:space="0" w:color="auto"/>
                    <w:bottom w:val="none" w:sz="0" w:space="0" w:color="auto"/>
                    <w:right w:val="none" w:sz="0" w:space="0" w:color="auto"/>
                  </w:divBdr>
                  <w:divsChild>
                    <w:div w:id="1947735217">
                      <w:marLeft w:val="0"/>
                      <w:marRight w:val="0"/>
                      <w:marTop w:val="0"/>
                      <w:marBottom w:val="0"/>
                      <w:divBdr>
                        <w:top w:val="none" w:sz="0" w:space="0" w:color="auto"/>
                        <w:left w:val="none" w:sz="0" w:space="0" w:color="auto"/>
                        <w:bottom w:val="none" w:sz="0" w:space="0" w:color="auto"/>
                        <w:right w:val="none" w:sz="0" w:space="0" w:color="auto"/>
                      </w:divBdr>
                    </w:div>
                  </w:divsChild>
                </w:div>
                <w:div w:id="1803040950">
                  <w:marLeft w:val="0"/>
                  <w:marRight w:val="0"/>
                  <w:marTop w:val="0"/>
                  <w:marBottom w:val="0"/>
                  <w:divBdr>
                    <w:top w:val="none" w:sz="0" w:space="0" w:color="auto"/>
                    <w:left w:val="none" w:sz="0" w:space="0" w:color="auto"/>
                    <w:bottom w:val="none" w:sz="0" w:space="0" w:color="auto"/>
                    <w:right w:val="none" w:sz="0" w:space="0" w:color="auto"/>
                  </w:divBdr>
                  <w:divsChild>
                    <w:div w:id="1275593871">
                      <w:marLeft w:val="0"/>
                      <w:marRight w:val="0"/>
                      <w:marTop w:val="0"/>
                      <w:marBottom w:val="0"/>
                      <w:divBdr>
                        <w:top w:val="none" w:sz="0" w:space="0" w:color="auto"/>
                        <w:left w:val="none" w:sz="0" w:space="0" w:color="auto"/>
                        <w:bottom w:val="none" w:sz="0" w:space="0" w:color="auto"/>
                        <w:right w:val="none" w:sz="0" w:space="0" w:color="auto"/>
                      </w:divBdr>
                    </w:div>
                  </w:divsChild>
                </w:div>
                <w:div w:id="1853908816">
                  <w:marLeft w:val="0"/>
                  <w:marRight w:val="0"/>
                  <w:marTop w:val="0"/>
                  <w:marBottom w:val="0"/>
                  <w:divBdr>
                    <w:top w:val="none" w:sz="0" w:space="0" w:color="auto"/>
                    <w:left w:val="none" w:sz="0" w:space="0" w:color="auto"/>
                    <w:bottom w:val="none" w:sz="0" w:space="0" w:color="auto"/>
                    <w:right w:val="none" w:sz="0" w:space="0" w:color="auto"/>
                  </w:divBdr>
                  <w:divsChild>
                    <w:div w:id="1450314879">
                      <w:marLeft w:val="0"/>
                      <w:marRight w:val="0"/>
                      <w:marTop w:val="0"/>
                      <w:marBottom w:val="0"/>
                      <w:divBdr>
                        <w:top w:val="none" w:sz="0" w:space="0" w:color="auto"/>
                        <w:left w:val="none" w:sz="0" w:space="0" w:color="auto"/>
                        <w:bottom w:val="none" w:sz="0" w:space="0" w:color="auto"/>
                        <w:right w:val="none" w:sz="0" w:space="0" w:color="auto"/>
                      </w:divBdr>
                    </w:div>
                  </w:divsChild>
                </w:div>
                <w:div w:id="2023167503">
                  <w:marLeft w:val="0"/>
                  <w:marRight w:val="0"/>
                  <w:marTop w:val="0"/>
                  <w:marBottom w:val="0"/>
                  <w:divBdr>
                    <w:top w:val="none" w:sz="0" w:space="0" w:color="auto"/>
                    <w:left w:val="none" w:sz="0" w:space="0" w:color="auto"/>
                    <w:bottom w:val="none" w:sz="0" w:space="0" w:color="auto"/>
                    <w:right w:val="none" w:sz="0" w:space="0" w:color="auto"/>
                  </w:divBdr>
                  <w:divsChild>
                    <w:div w:id="889918679">
                      <w:marLeft w:val="0"/>
                      <w:marRight w:val="0"/>
                      <w:marTop w:val="0"/>
                      <w:marBottom w:val="0"/>
                      <w:divBdr>
                        <w:top w:val="none" w:sz="0" w:space="0" w:color="auto"/>
                        <w:left w:val="none" w:sz="0" w:space="0" w:color="auto"/>
                        <w:bottom w:val="none" w:sz="0" w:space="0" w:color="auto"/>
                        <w:right w:val="none" w:sz="0" w:space="0" w:color="auto"/>
                      </w:divBdr>
                    </w:div>
                  </w:divsChild>
                </w:div>
                <w:div w:id="2137600431">
                  <w:marLeft w:val="0"/>
                  <w:marRight w:val="0"/>
                  <w:marTop w:val="0"/>
                  <w:marBottom w:val="0"/>
                  <w:divBdr>
                    <w:top w:val="none" w:sz="0" w:space="0" w:color="auto"/>
                    <w:left w:val="none" w:sz="0" w:space="0" w:color="auto"/>
                    <w:bottom w:val="none" w:sz="0" w:space="0" w:color="auto"/>
                    <w:right w:val="none" w:sz="0" w:space="0" w:color="auto"/>
                  </w:divBdr>
                  <w:divsChild>
                    <w:div w:id="6143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2533">
          <w:marLeft w:val="0"/>
          <w:marRight w:val="0"/>
          <w:marTop w:val="0"/>
          <w:marBottom w:val="0"/>
          <w:divBdr>
            <w:top w:val="none" w:sz="0" w:space="0" w:color="auto"/>
            <w:left w:val="none" w:sz="0" w:space="0" w:color="auto"/>
            <w:bottom w:val="none" w:sz="0" w:space="0" w:color="auto"/>
            <w:right w:val="none" w:sz="0" w:space="0" w:color="auto"/>
          </w:divBdr>
        </w:div>
        <w:div w:id="163979647">
          <w:marLeft w:val="0"/>
          <w:marRight w:val="0"/>
          <w:marTop w:val="0"/>
          <w:marBottom w:val="0"/>
          <w:divBdr>
            <w:top w:val="none" w:sz="0" w:space="0" w:color="auto"/>
            <w:left w:val="none" w:sz="0" w:space="0" w:color="auto"/>
            <w:bottom w:val="none" w:sz="0" w:space="0" w:color="auto"/>
            <w:right w:val="none" w:sz="0" w:space="0" w:color="auto"/>
          </w:divBdr>
        </w:div>
        <w:div w:id="167599980">
          <w:marLeft w:val="0"/>
          <w:marRight w:val="0"/>
          <w:marTop w:val="0"/>
          <w:marBottom w:val="0"/>
          <w:divBdr>
            <w:top w:val="none" w:sz="0" w:space="0" w:color="auto"/>
            <w:left w:val="none" w:sz="0" w:space="0" w:color="auto"/>
            <w:bottom w:val="none" w:sz="0" w:space="0" w:color="auto"/>
            <w:right w:val="none" w:sz="0" w:space="0" w:color="auto"/>
          </w:divBdr>
        </w:div>
        <w:div w:id="182594059">
          <w:marLeft w:val="0"/>
          <w:marRight w:val="0"/>
          <w:marTop w:val="0"/>
          <w:marBottom w:val="0"/>
          <w:divBdr>
            <w:top w:val="none" w:sz="0" w:space="0" w:color="auto"/>
            <w:left w:val="none" w:sz="0" w:space="0" w:color="auto"/>
            <w:bottom w:val="none" w:sz="0" w:space="0" w:color="auto"/>
            <w:right w:val="none" w:sz="0" w:space="0" w:color="auto"/>
          </w:divBdr>
        </w:div>
        <w:div w:id="204299390">
          <w:marLeft w:val="0"/>
          <w:marRight w:val="0"/>
          <w:marTop w:val="0"/>
          <w:marBottom w:val="0"/>
          <w:divBdr>
            <w:top w:val="none" w:sz="0" w:space="0" w:color="auto"/>
            <w:left w:val="none" w:sz="0" w:space="0" w:color="auto"/>
            <w:bottom w:val="none" w:sz="0" w:space="0" w:color="auto"/>
            <w:right w:val="none" w:sz="0" w:space="0" w:color="auto"/>
          </w:divBdr>
        </w:div>
        <w:div w:id="215703037">
          <w:marLeft w:val="0"/>
          <w:marRight w:val="0"/>
          <w:marTop w:val="0"/>
          <w:marBottom w:val="0"/>
          <w:divBdr>
            <w:top w:val="none" w:sz="0" w:space="0" w:color="auto"/>
            <w:left w:val="none" w:sz="0" w:space="0" w:color="auto"/>
            <w:bottom w:val="none" w:sz="0" w:space="0" w:color="auto"/>
            <w:right w:val="none" w:sz="0" w:space="0" w:color="auto"/>
          </w:divBdr>
        </w:div>
        <w:div w:id="226691950">
          <w:marLeft w:val="0"/>
          <w:marRight w:val="0"/>
          <w:marTop w:val="0"/>
          <w:marBottom w:val="0"/>
          <w:divBdr>
            <w:top w:val="none" w:sz="0" w:space="0" w:color="auto"/>
            <w:left w:val="none" w:sz="0" w:space="0" w:color="auto"/>
            <w:bottom w:val="none" w:sz="0" w:space="0" w:color="auto"/>
            <w:right w:val="none" w:sz="0" w:space="0" w:color="auto"/>
          </w:divBdr>
        </w:div>
        <w:div w:id="239875449">
          <w:marLeft w:val="0"/>
          <w:marRight w:val="0"/>
          <w:marTop w:val="0"/>
          <w:marBottom w:val="0"/>
          <w:divBdr>
            <w:top w:val="none" w:sz="0" w:space="0" w:color="auto"/>
            <w:left w:val="none" w:sz="0" w:space="0" w:color="auto"/>
            <w:bottom w:val="none" w:sz="0" w:space="0" w:color="auto"/>
            <w:right w:val="none" w:sz="0" w:space="0" w:color="auto"/>
          </w:divBdr>
        </w:div>
        <w:div w:id="263997439">
          <w:marLeft w:val="0"/>
          <w:marRight w:val="0"/>
          <w:marTop w:val="0"/>
          <w:marBottom w:val="0"/>
          <w:divBdr>
            <w:top w:val="none" w:sz="0" w:space="0" w:color="auto"/>
            <w:left w:val="none" w:sz="0" w:space="0" w:color="auto"/>
            <w:bottom w:val="none" w:sz="0" w:space="0" w:color="auto"/>
            <w:right w:val="none" w:sz="0" w:space="0" w:color="auto"/>
          </w:divBdr>
        </w:div>
        <w:div w:id="284703300">
          <w:marLeft w:val="0"/>
          <w:marRight w:val="0"/>
          <w:marTop w:val="0"/>
          <w:marBottom w:val="0"/>
          <w:divBdr>
            <w:top w:val="none" w:sz="0" w:space="0" w:color="auto"/>
            <w:left w:val="none" w:sz="0" w:space="0" w:color="auto"/>
            <w:bottom w:val="none" w:sz="0" w:space="0" w:color="auto"/>
            <w:right w:val="none" w:sz="0" w:space="0" w:color="auto"/>
          </w:divBdr>
        </w:div>
        <w:div w:id="294259751">
          <w:marLeft w:val="0"/>
          <w:marRight w:val="0"/>
          <w:marTop w:val="0"/>
          <w:marBottom w:val="0"/>
          <w:divBdr>
            <w:top w:val="none" w:sz="0" w:space="0" w:color="auto"/>
            <w:left w:val="none" w:sz="0" w:space="0" w:color="auto"/>
            <w:bottom w:val="none" w:sz="0" w:space="0" w:color="auto"/>
            <w:right w:val="none" w:sz="0" w:space="0" w:color="auto"/>
          </w:divBdr>
        </w:div>
        <w:div w:id="308175634">
          <w:marLeft w:val="0"/>
          <w:marRight w:val="0"/>
          <w:marTop w:val="0"/>
          <w:marBottom w:val="0"/>
          <w:divBdr>
            <w:top w:val="none" w:sz="0" w:space="0" w:color="auto"/>
            <w:left w:val="none" w:sz="0" w:space="0" w:color="auto"/>
            <w:bottom w:val="none" w:sz="0" w:space="0" w:color="auto"/>
            <w:right w:val="none" w:sz="0" w:space="0" w:color="auto"/>
          </w:divBdr>
        </w:div>
        <w:div w:id="341246345">
          <w:marLeft w:val="0"/>
          <w:marRight w:val="0"/>
          <w:marTop w:val="0"/>
          <w:marBottom w:val="0"/>
          <w:divBdr>
            <w:top w:val="none" w:sz="0" w:space="0" w:color="auto"/>
            <w:left w:val="none" w:sz="0" w:space="0" w:color="auto"/>
            <w:bottom w:val="none" w:sz="0" w:space="0" w:color="auto"/>
            <w:right w:val="none" w:sz="0" w:space="0" w:color="auto"/>
          </w:divBdr>
        </w:div>
        <w:div w:id="344862608">
          <w:marLeft w:val="0"/>
          <w:marRight w:val="0"/>
          <w:marTop w:val="0"/>
          <w:marBottom w:val="0"/>
          <w:divBdr>
            <w:top w:val="none" w:sz="0" w:space="0" w:color="auto"/>
            <w:left w:val="none" w:sz="0" w:space="0" w:color="auto"/>
            <w:bottom w:val="none" w:sz="0" w:space="0" w:color="auto"/>
            <w:right w:val="none" w:sz="0" w:space="0" w:color="auto"/>
          </w:divBdr>
        </w:div>
        <w:div w:id="371346493">
          <w:marLeft w:val="0"/>
          <w:marRight w:val="0"/>
          <w:marTop w:val="0"/>
          <w:marBottom w:val="0"/>
          <w:divBdr>
            <w:top w:val="none" w:sz="0" w:space="0" w:color="auto"/>
            <w:left w:val="none" w:sz="0" w:space="0" w:color="auto"/>
            <w:bottom w:val="none" w:sz="0" w:space="0" w:color="auto"/>
            <w:right w:val="none" w:sz="0" w:space="0" w:color="auto"/>
          </w:divBdr>
        </w:div>
        <w:div w:id="372004326">
          <w:marLeft w:val="0"/>
          <w:marRight w:val="0"/>
          <w:marTop w:val="0"/>
          <w:marBottom w:val="0"/>
          <w:divBdr>
            <w:top w:val="none" w:sz="0" w:space="0" w:color="auto"/>
            <w:left w:val="none" w:sz="0" w:space="0" w:color="auto"/>
            <w:bottom w:val="none" w:sz="0" w:space="0" w:color="auto"/>
            <w:right w:val="none" w:sz="0" w:space="0" w:color="auto"/>
          </w:divBdr>
        </w:div>
        <w:div w:id="374819280">
          <w:marLeft w:val="0"/>
          <w:marRight w:val="0"/>
          <w:marTop w:val="0"/>
          <w:marBottom w:val="0"/>
          <w:divBdr>
            <w:top w:val="none" w:sz="0" w:space="0" w:color="auto"/>
            <w:left w:val="none" w:sz="0" w:space="0" w:color="auto"/>
            <w:bottom w:val="none" w:sz="0" w:space="0" w:color="auto"/>
            <w:right w:val="none" w:sz="0" w:space="0" w:color="auto"/>
          </w:divBdr>
        </w:div>
        <w:div w:id="391390035">
          <w:marLeft w:val="0"/>
          <w:marRight w:val="0"/>
          <w:marTop w:val="0"/>
          <w:marBottom w:val="0"/>
          <w:divBdr>
            <w:top w:val="none" w:sz="0" w:space="0" w:color="auto"/>
            <w:left w:val="none" w:sz="0" w:space="0" w:color="auto"/>
            <w:bottom w:val="none" w:sz="0" w:space="0" w:color="auto"/>
            <w:right w:val="none" w:sz="0" w:space="0" w:color="auto"/>
          </w:divBdr>
        </w:div>
        <w:div w:id="396172648">
          <w:marLeft w:val="0"/>
          <w:marRight w:val="0"/>
          <w:marTop w:val="0"/>
          <w:marBottom w:val="0"/>
          <w:divBdr>
            <w:top w:val="none" w:sz="0" w:space="0" w:color="auto"/>
            <w:left w:val="none" w:sz="0" w:space="0" w:color="auto"/>
            <w:bottom w:val="none" w:sz="0" w:space="0" w:color="auto"/>
            <w:right w:val="none" w:sz="0" w:space="0" w:color="auto"/>
          </w:divBdr>
          <w:divsChild>
            <w:div w:id="1223566162">
              <w:marLeft w:val="0"/>
              <w:marRight w:val="0"/>
              <w:marTop w:val="30"/>
              <w:marBottom w:val="30"/>
              <w:divBdr>
                <w:top w:val="none" w:sz="0" w:space="0" w:color="auto"/>
                <w:left w:val="none" w:sz="0" w:space="0" w:color="auto"/>
                <w:bottom w:val="none" w:sz="0" w:space="0" w:color="auto"/>
                <w:right w:val="none" w:sz="0" w:space="0" w:color="auto"/>
              </w:divBdr>
              <w:divsChild>
                <w:div w:id="47070713">
                  <w:marLeft w:val="0"/>
                  <w:marRight w:val="0"/>
                  <w:marTop w:val="0"/>
                  <w:marBottom w:val="0"/>
                  <w:divBdr>
                    <w:top w:val="none" w:sz="0" w:space="0" w:color="auto"/>
                    <w:left w:val="none" w:sz="0" w:space="0" w:color="auto"/>
                    <w:bottom w:val="none" w:sz="0" w:space="0" w:color="auto"/>
                    <w:right w:val="none" w:sz="0" w:space="0" w:color="auto"/>
                  </w:divBdr>
                  <w:divsChild>
                    <w:div w:id="1034496957">
                      <w:marLeft w:val="0"/>
                      <w:marRight w:val="0"/>
                      <w:marTop w:val="0"/>
                      <w:marBottom w:val="0"/>
                      <w:divBdr>
                        <w:top w:val="none" w:sz="0" w:space="0" w:color="auto"/>
                        <w:left w:val="none" w:sz="0" w:space="0" w:color="auto"/>
                        <w:bottom w:val="none" w:sz="0" w:space="0" w:color="auto"/>
                        <w:right w:val="none" w:sz="0" w:space="0" w:color="auto"/>
                      </w:divBdr>
                    </w:div>
                  </w:divsChild>
                </w:div>
                <w:div w:id="400294148">
                  <w:marLeft w:val="0"/>
                  <w:marRight w:val="0"/>
                  <w:marTop w:val="0"/>
                  <w:marBottom w:val="0"/>
                  <w:divBdr>
                    <w:top w:val="none" w:sz="0" w:space="0" w:color="auto"/>
                    <w:left w:val="none" w:sz="0" w:space="0" w:color="auto"/>
                    <w:bottom w:val="none" w:sz="0" w:space="0" w:color="auto"/>
                    <w:right w:val="none" w:sz="0" w:space="0" w:color="auto"/>
                  </w:divBdr>
                  <w:divsChild>
                    <w:div w:id="118452579">
                      <w:marLeft w:val="0"/>
                      <w:marRight w:val="0"/>
                      <w:marTop w:val="0"/>
                      <w:marBottom w:val="0"/>
                      <w:divBdr>
                        <w:top w:val="none" w:sz="0" w:space="0" w:color="auto"/>
                        <w:left w:val="none" w:sz="0" w:space="0" w:color="auto"/>
                        <w:bottom w:val="none" w:sz="0" w:space="0" w:color="auto"/>
                        <w:right w:val="none" w:sz="0" w:space="0" w:color="auto"/>
                      </w:divBdr>
                    </w:div>
                  </w:divsChild>
                </w:div>
                <w:div w:id="412821411">
                  <w:marLeft w:val="0"/>
                  <w:marRight w:val="0"/>
                  <w:marTop w:val="0"/>
                  <w:marBottom w:val="0"/>
                  <w:divBdr>
                    <w:top w:val="none" w:sz="0" w:space="0" w:color="auto"/>
                    <w:left w:val="none" w:sz="0" w:space="0" w:color="auto"/>
                    <w:bottom w:val="none" w:sz="0" w:space="0" w:color="auto"/>
                    <w:right w:val="none" w:sz="0" w:space="0" w:color="auto"/>
                  </w:divBdr>
                  <w:divsChild>
                    <w:div w:id="828713647">
                      <w:marLeft w:val="0"/>
                      <w:marRight w:val="0"/>
                      <w:marTop w:val="0"/>
                      <w:marBottom w:val="0"/>
                      <w:divBdr>
                        <w:top w:val="none" w:sz="0" w:space="0" w:color="auto"/>
                        <w:left w:val="none" w:sz="0" w:space="0" w:color="auto"/>
                        <w:bottom w:val="none" w:sz="0" w:space="0" w:color="auto"/>
                        <w:right w:val="none" w:sz="0" w:space="0" w:color="auto"/>
                      </w:divBdr>
                    </w:div>
                  </w:divsChild>
                </w:div>
                <w:div w:id="436144426">
                  <w:marLeft w:val="0"/>
                  <w:marRight w:val="0"/>
                  <w:marTop w:val="0"/>
                  <w:marBottom w:val="0"/>
                  <w:divBdr>
                    <w:top w:val="none" w:sz="0" w:space="0" w:color="auto"/>
                    <w:left w:val="none" w:sz="0" w:space="0" w:color="auto"/>
                    <w:bottom w:val="none" w:sz="0" w:space="0" w:color="auto"/>
                    <w:right w:val="none" w:sz="0" w:space="0" w:color="auto"/>
                  </w:divBdr>
                  <w:divsChild>
                    <w:div w:id="925072583">
                      <w:marLeft w:val="0"/>
                      <w:marRight w:val="0"/>
                      <w:marTop w:val="0"/>
                      <w:marBottom w:val="0"/>
                      <w:divBdr>
                        <w:top w:val="none" w:sz="0" w:space="0" w:color="auto"/>
                        <w:left w:val="none" w:sz="0" w:space="0" w:color="auto"/>
                        <w:bottom w:val="none" w:sz="0" w:space="0" w:color="auto"/>
                        <w:right w:val="none" w:sz="0" w:space="0" w:color="auto"/>
                      </w:divBdr>
                    </w:div>
                  </w:divsChild>
                </w:div>
                <w:div w:id="554505452">
                  <w:marLeft w:val="0"/>
                  <w:marRight w:val="0"/>
                  <w:marTop w:val="0"/>
                  <w:marBottom w:val="0"/>
                  <w:divBdr>
                    <w:top w:val="none" w:sz="0" w:space="0" w:color="auto"/>
                    <w:left w:val="none" w:sz="0" w:space="0" w:color="auto"/>
                    <w:bottom w:val="none" w:sz="0" w:space="0" w:color="auto"/>
                    <w:right w:val="none" w:sz="0" w:space="0" w:color="auto"/>
                  </w:divBdr>
                  <w:divsChild>
                    <w:div w:id="1627469412">
                      <w:marLeft w:val="0"/>
                      <w:marRight w:val="0"/>
                      <w:marTop w:val="0"/>
                      <w:marBottom w:val="0"/>
                      <w:divBdr>
                        <w:top w:val="none" w:sz="0" w:space="0" w:color="auto"/>
                        <w:left w:val="none" w:sz="0" w:space="0" w:color="auto"/>
                        <w:bottom w:val="none" w:sz="0" w:space="0" w:color="auto"/>
                        <w:right w:val="none" w:sz="0" w:space="0" w:color="auto"/>
                      </w:divBdr>
                    </w:div>
                  </w:divsChild>
                </w:div>
                <w:div w:id="574632027">
                  <w:marLeft w:val="0"/>
                  <w:marRight w:val="0"/>
                  <w:marTop w:val="0"/>
                  <w:marBottom w:val="0"/>
                  <w:divBdr>
                    <w:top w:val="none" w:sz="0" w:space="0" w:color="auto"/>
                    <w:left w:val="none" w:sz="0" w:space="0" w:color="auto"/>
                    <w:bottom w:val="none" w:sz="0" w:space="0" w:color="auto"/>
                    <w:right w:val="none" w:sz="0" w:space="0" w:color="auto"/>
                  </w:divBdr>
                  <w:divsChild>
                    <w:div w:id="124155422">
                      <w:marLeft w:val="0"/>
                      <w:marRight w:val="0"/>
                      <w:marTop w:val="0"/>
                      <w:marBottom w:val="0"/>
                      <w:divBdr>
                        <w:top w:val="none" w:sz="0" w:space="0" w:color="auto"/>
                        <w:left w:val="none" w:sz="0" w:space="0" w:color="auto"/>
                        <w:bottom w:val="none" w:sz="0" w:space="0" w:color="auto"/>
                        <w:right w:val="none" w:sz="0" w:space="0" w:color="auto"/>
                      </w:divBdr>
                    </w:div>
                    <w:div w:id="1981840050">
                      <w:marLeft w:val="0"/>
                      <w:marRight w:val="0"/>
                      <w:marTop w:val="0"/>
                      <w:marBottom w:val="0"/>
                      <w:divBdr>
                        <w:top w:val="none" w:sz="0" w:space="0" w:color="auto"/>
                        <w:left w:val="none" w:sz="0" w:space="0" w:color="auto"/>
                        <w:bottom w:val="none" w:sz="0" w:space="0" w:color="auto"/>
                        <w:right w:val="none" w:sz="0" w:space="0" w:color="auto"/>
                      </w:divBdr>
                    </w:div>
                  </w:divsChild>
                </w:div>
                <w:div w:id="605234596">
                  <w:marLeft w:val="0"/>
                  <w:marRight w:val="0"/>
                  <w:marTop w:val="0"/>
                  <w:marBottom w:val="0"/>
                  <w:divBdr>
                    <w:top w:val="none" w:sz="0" w:space="0" w:color="auto"/>
                    <w:left w:val="none" w:sz="0" w:space="0" w:color="auto"/>
                    <w:bottom w:val="none" w:sz="0" w:space="0" w:color="auto"/>
                    <w:right w:val="none" w:sz="0" w:space="0" w:color="auto"/>
                  </w:divBdr>
                  <w:divsChild>
                    <w:div w:id="1666932667">
                      <w:marLeft w:val="0"/>
                      <w:marRight w:val="0"/>
                      <w:marTop w:val="0"/>
                      <w:marBottom w:val="0"/>
                      <w:divBdr>
                        <w:top w:val="none" w:sz="0" w:space="0" w:color="auto"/>
                        <w:left w:val="none" w:sz="0" w:space="0" w:color="auto"/>
                        <w:bottom w:val="none" w:sz="0" w:space="0" w:color="auto"/>
                        <w:right w:val="none" w:sz="0" w:space="0" w:color="auto"/>
                      </w:divBdr>
                    </w:div>
                  </w:divsChild>
                </w:div>
                <w:div w:id="752315050">
                  <w:marLeft w:val="0"/>
                  <w:marRight w:val="0"/>
                  <w:marTop w:val="0"/>
                  <w:marBottom w:val="0"/>
                  <w:divBdr>
                    <w:top w:val="none" w:sz="0" w:space="0" w:color="auto"/>
                    <w:left w:val="none" w:sz="0" w:space="0" w:color="auto"/>
                    <w:bottom w:val="none" w:sz="0" w:space="0" w:color="auto"/>
                    <w:right w:val="none" w:sz="0" w:space="0" w:color="auto"/>
                  </w:divBdr>
                  <w:divsChild>
                    <w:div w:id="494347504">
                      <w:marLeft w:val="0"/>
                      <w:marRight w:val="0"/>
                      <w:marTop w:val="0"/>
                      <w:marBottom w:val="0"/>
                      <w:divBdr>
                        <w:top w:val="none" w:sz="0" w:space="0" w:color="auto"/>
                        <w:left w:val="none" w:sz="0" w:space="0" w:color="auto"/>
                        <w:bottom w:val="none" w:sz="0" w:space="0" w:color="auto"/>
                        <w:right w:val="none" w:sz="0" w:space="0" w:color="auto"/>
                      </w:divBdr>
                    </w:div>
                  </w:divsChild>
                </w:div>
                <w:div w:id="769158606">
                  <w:marLeft w:val="0"/>
                  <w:marRight w:val="0"/>
                  <w:marTop w:val="0"/>
                  <w:marBottom w:val="0"/>
                  <w:divBdr>
                    <w:top w:val="none" w:sz="0" w:space="0" w:color="auto"/>
                    <w:left w:val="none" w:sz="0" w:space="0" w:color="auto"/>
                    <w:bottom w:val="none" w:sz="0" w:space="0" w:color="auto"/>
                    <w:right w:val="none" w:sz="0" w:space="0" w:color="auto"/>
                  </w:divBdr>
                  <w:divsChild>
                    <w:div w:id="1091125924">
                      <w:marLeft w:val="0"/>
                      <w:marRight w:val="0"/>
                      <w:marTop w:val="0"/>
                      <w:marBottom w:val="0"/>
                      <w:divBdr>
                        <w:top w:val="none" w:sz="0" w:space="0" w:color="auto"/>
                        <w:left w:val="none" w:sz="0" w:space="0" w:color="auto"/>
                        <w:bottom w:val="none" w:sz="0" w:space="0" w:color="auto"/>
                        <w:right w:val="none" w:sz="0" w:space="0" w:color="auto"/>
                      </w:divBdr>
                    </w:div>
                  </w:divsChild>
                </w:div>
                <w:div w:id="933822685">
                  <w:marLeft w:val="0"/>
                  <w:marRight w:val="0"/>
                  <w:marTop w:val="0"/>
                  <w:marBottom w:val="0"/>
                  <w:divBdr>
                    <w:top w:val="none" w:sz="0" w:space="0" w:color="auto"/>
                    <w:left w:val="none" w:sz="0" w:space="0" w:color="auto"/>
                    <w:bottom w:val="none" w:sz="0" w:space="0" w:color="auto"/>
                    <w:right w:val="none" w:sz="0" w:space="0" w:color="auto"/>
                  </w:divBdr>
                  <w:divsChild>
                    <w:div w:id="544567862">
                      <w:marLeft w:val="0"/>
                      <w:marRight w:val="0"/>
                      <w:marTop w:val="0"/>
                      <w:marBottom w:val="0"/>
                      <w:divBdr>
                        <w:top w:val="none" w:sz="0" w:space="0" w:color="auto"/>
                        <w:left w:val="none" w:sz="0" w:space="0" w:color="auto"/>
                        <w:bottom w:val="none" w:sz="0" w:space="0" w:color="auto"/>
                        <w:right w:val="none" w:sz="0" w:space="0" w:color="auto"/>
                      </w:divBdr>
                    </w:div>
                  </w:divsChild>
                </w:div>
                <w:div w:id="990716174">
                  <w:marLeft w:val="0"/>
                  <w:marRight w:val="0"/>
                  <w:marTop w:val="0"/>
                  <w:marBottom w:val="0"/>
                  <w:divBdr>
                    <w:top w:val="none" w:sz="0" w:space="0" w:color="auto"/>
                    <w:left w:val="none" w:sz="0" w:space="0" w:color="auto"/>
                    <w:bottom w:val="none" w:sz="0" w:space="0" w:color="auto"/>
                    <w:right w:val="none" w:sz="0" w:space="0" w:color="auto"/>
                  </w:divBdr>
                  <w:divsChild>
                    <w:div w:id="574898419">
                      <w:marLeft w:val="0"/>
                      <w:marRight w:val="0"/>
                      <w:marTop w:val="0"/>
                      <w:marBottom w:val="0"/>
                      <w:divBdr>
                        <w:top w:val="none" w:sz="0" w:space="0" w:color="auto"/>
                        <w:left w:val="none" w:sz="0" w:space="0" w:color="auto"/>
                        <w:bottom w:val="none" w:sz="0" w:space="0" w:color="auto"/>
                        <w:right w:val="none" w:sz="0" w:space="0" w:color="auto"/>
                      </w:divBdr>
                    </w:div>
                  </w:divsChild>
                </w:div>
                <w:div w:id="1010180559">
                  <w:marLeft w:val="0"/>
                  <w:marRight w:val="0"/>
                  <w:marTop w:val="0"/>
                  <w:marBottom w:val="0"/>
                  <w:divBdr>
                    <w:top w:val="none" w:sz="0" w:space="0" w:color="auto"/>
                    <w:left w:val="none" w:sz="0" w:space="0" w:color="auto"/>
                    <w:bottom w:val="none" w:sz="0" w:space="0" w:color="auto"/>
                    <w:right w:val="none" w:sz="0" w:space="0" w:color="auto"/>
                  </w:divBdr>
                  <w:divsChild>
                    <w:div w:id="2022469348">
                      <w:marLeft w:val="0"/>
                      <w:marRight w:val="0"/>
                      <w:marTop w:val="0"/>
                      <w:marBottom w:val="0"/>
                      <w:divBdr>
                        <w:top w:val="none" w:sz="0" w:space="0" w:color="auto"/>
                        <w:left w:val="none" w:sz="0" w:space="0" w:color="auto"/>
                        <w:bottom w:val="none" w:sz="0" w:space="0" w:color="auto"/>
                        <w:right w:val="none" w:sz="0" w:space="0" w:color="auto"/>
                      </w:divBdr>
                    </w:div>
                  </w:divsChild>
                </w:div>
                <w:div w:id="1089158665">
                  <w:marLeft w:val="0"/>
                  <w:marRight w:val="0"/>
                  <w:marTop w:val="0"/>
                  <w:marBottom w:val="0"/>
                  <w:divBdr>
                    <w:top w:val="none" w:sz="0" w:space="0" w:color="auto"/>
                    <w:left w:val="none" w:sz="0" w:space="0" w:color="auto"/>
                    <w:bottom w:val="none" w:sz="0" w:space="0" w:color="auto"/>
                    <w:right w:val="none" w:sz="0" w:space="0" w:color="auto"/>
                  </w:divBdr>
                  <w:divsChild>
                    <w:div w:id="222761693">
                      <w:marLeft w:val="0"/>
                      <w:marRight w:val="0"/>
                      <w:marTop w:val="0"/>
                      <w:marBottom w:val="0"/>
                      <w:divBdr>
                        <w:top w:val="none" w:sz="0" w:space="0" w:color="auto"/>
                        <w:left w:val="none" w:sz="0" w:space="0" w:color="auto"/>
                        <w:bottom w:val="none" w:sz="0" w:space="0" w:color="auto"/>
                        <w:right w:val="none" w:sz="0" w:space="0" w:color="auto"/>
                      </w:divBdr>
                    </w:div>
                    <w:div w:id="1445616163">
                      <w:marLeft w:val="0"/>
                      <w:marRight w:val="0"/>
                      <w:marTop w:val="0"/>
                      <w:marBottom w:val="0"/>
                      <w:divBdr>
                        <w:top w:val="none" w:sz="0" w:space="0" w:color="auto"/>
                        <w:left w:val="none" w:sz="0" w:space="0" w:color="auto"/>
                        <w:bottom w:val="none" w:sz="0" w:space="0" w:color="auto"/>
                        <w:right w:val="none" w:sz="0" w:space="0" w:color="auto"/>
                      </w:divBdr>
                    </w:div>
                  </w:divsChild>
                </w:div>
                <w:div w:id="1137409793">
                  <w:marLeft w:val="0"/>
                  <w:marRight w:val="0"/>
                  <w:marTop w:val="0"/>
                  <w:marBottom w:val="0"/>
                  <w:divBdr>
                    <w:top w:val="none" w:sz="0" w:space="0" w:color="auto"/>
                    <w:left w:val="none" w:sz="0" w:space="0" w:color="auto"/>
                    <w:bottom w:val="none" w:sz="0" w:space="0" w:color="auto"/>
                    <w:right w:val="none" w:sz="0" w:space="0" w:color="auto"/>
                  </w:divBdr>
                  <w:divsChild>
                    <w:div w:id="537397297">
                      <w:marLeft w:val="0"/>
                      <w:marRight w:val="0"/>
                      <w:marTop w:val="0"/>
                      <w:marBottom w:val="0"/>
                      <w:divBdr>
                        <w:top w:val="none" w:sz="0" w:space="0" w:color="auto"/>
                        <w:left w:val="none" w:sz="0" w:space="0" w:color="auto"/>
                        <w:bottom w:val="none" w:sz="0" w:space="0" w:color="auto"/>
                        <w:right w:val="none" w:sz="0" w:space="0" w:color="auto"/>
                      </w:divBdr>
                    </w:div>
                  </w:divsChild>
                </w:div>
                <w:div w:id="1191186501">
                  <w:marLeft w:val="0"/>
                  <w:marRight w:val="0"/>
                  <w:marTop w:val="0"/>
                  <w:marBottom w:val="0"/>
                  <w:divBdr>
                    <w:top w:val="none" w:sz="0" w:space="0" w:color="auto"/>
                    <w:left w:val="none" w:sz="0" w:space="0" w:color="auto"/>
                    <w:bottom w:val="none" w:sz="0" w:space="0" w:color="auto"/>
                    <w:right w:val="none" w:sz="0" w:space="0" w:color="auto"/>
                  </w:divBdr>
                  <w:divsChild>
                    <w:div w:id="519701990">
                      <w:marLeft w:val="0"/>
                      <w:marRight w:val="0"/>
                      <w:marTop w:val="0"/>
                      <w:marBottom w:val="0"/>
                      <w:divBdr>
                        <w:top w:val="none" w:sz="0" w:space="0" w:color="auto"/>
                        <w:left w:val="none" w:sz="0" w:space="0" w:color="auto"/>
                        <w:bottom w:val="none" w:sz="0" w:space="0" w:color="auto"/>
                        <w:right w:val="none" w:sz="0" w:space="0" w:color="auto"/>
                      </w:divBdr>
                    </w:div>
                  </w:divsChild>
                </w:div>
                <w:div w:id="1203253488">
                  <w:marLeft w:val="0"/>
                  <w:marRight w:val="0"/>
                  <w:marTop w:val="0"/>
                  <w:marBottom w:val="0"/>
                  <w:divBdr>
                    <w:top w:val="none" w:sz="0" w:space="0" w:color="auto"/>
                    <w:left w:val="none" w:sz="0" w:space="0" w:color="auto"/>
                    <w:bottom w:val="none" w:sz="0" w:space="0" w:color="auto"/>
                    <w:right w:val="none" w:sz="0" w:space="0" w:color="auto"/>
                  </w:divBdr>
                  <w:divsChild>
                    <w:div w:id="1142770848">
                      <w:marLeft w:val="0"/>
                      <w:marRight w:val="0"/>
                      <w:marTop w:val="0"/>
                      <w:marBottom w:val="0"/>
                      <w:divBdr>
                        <w:top w:val="none" w:sz="0" w:space="0" w:color="auto"/>
                        <w:left w:val="none" w:sz="0" w:space="0" w:color="auto"/>
                        <w:bottom w:val="none" w:sz="0" w:space="0" w:color="auto"/>
                        <w:right w:val="none" w:sz="0" w:space="0" w:color="auto"/>
                      </w:divBdr>
                    </w:div>
                  </w:divsChild>
                </w:div>
                <w:div w:id="1211186036">
                  <w:marLeft w:val="0"/>
                  <w:marRight w:val="0"/>
                  <w:marTop w:val="0"/>
                  <w:marBottom w:val="0"/>
                  <w:divBdr>
                    <w:top w:val="none" w:sz="0" w:space="0" w:color="auto"/>
                    <w:left w:val="none" w:sz="0" w:space="0" w:color="auto"/>
                    <w:bottom w:val="none" w:sz="0" w:space="0" w:color="auto"/>
                    <w:right w:val="none" w:sz="0" w:space="0" w:color="auto"/>
                  </w:divBdr>
                  <w:divsChild>
                    <w:div w:id="791705767">
                      <w:marLeft w:val="0"/>
                      <w:marRight w:val="0"/>
                      <w:marTop w:val="0"/>
                      <w:marBottom w:val="0"/>
                      <w:divBdr>
                        <w:top w:val="none" w:sz="0" w:space="0" w:color="auto"/>
                        <w:left w:val="none" w:sz="0" w:space="0" w:color="auto"/>
                        <w:bottom w:val="none" w:sz="0" w:space="0" w:color="auto"/>
                        <w:right w:val="none" w:sz="0" w:space="0" w:color="auto"/>
                      </w:divBdr>
                    </w:div>
                  </w:divsChild>
                </w:div>
                <w:div w:id="1375077782">
                  <w:marLeft w:val="0"/>
                  <w:marRight w:val="0"/>
                  <w:marTop w:val="0"/>
                  <w:marBottom w:val="0"/>
                  <w:divBdr>
                    <w:top w:val="none" w:sz="0" w:space="0" w:color="auto"/>
                    <w:left w:val="none" w:sz="0" w:space="0" w:color="auto"/>
                    <w:bottom w:val="none" w:sz="0" w:space="0" w:color="auto"/>
                    <w:right w:val="none" w:sz="0" w:space="0" w:color="auto"/>
                  </w:divBdr>
                  <w:divsChild>
                    <w:div w:id="2084640802">
                      <w:marLeft w:val="0"/>
                      <w:marRight w:val="0"/>
                      <w:marTop w:val="0"/>
                      <w:marBottom w:val="0"/>
                      <w:divBdr>
                        <w:top w:val="none" w:sz="0" w:space="0" w:color="auto"/>
                        <w:left w:val="none" w:sz="0" w:space="0" w:color="auto"/>
                        <w:bottom w:val="none" w:sz="0" w:space="0" w:color="auto"/>
                        <w:right w:val="none" w:sz="0" w:space="0" w:color="auto"/>
                      </w:divBdr>
                    </w:div>
                  </w:divsChild>
                </w:div>
                <w:div w:id="1504659063">
                  <w:marLeft w:val="0"/>
                  <w:marRight w:val="0"/>
                  <w:marTop w:val="0"/>
                  <w:marBottom w:val="0"/>
                  <w:divBdr>
                    <w:top w:val="none" w:sz="0" w:space="0" w:color="auto"/>
                    <w:left w:val="none" w:sz="0" w:space="0" w:color="auto"/>
                    <w:bottom w:val="none" w:sz="0" w:space="0" w:color="auto"/>
                    <w:right w:val="none" w:sz="0" w:space="0" w:color="auto"/>
                  </w:divBdr>
                  <w:divsChild>
                    <w:div w:id="674964411">
                      <w:marLeft w:val="0"/>
                      <w:marRight w:val="0"/>
                      <w:marTop w:val="0"/>
                      <w:marBottom w:val="0"/>
                      <w:divBdr>
                        <w:top w:val="none" w:sz="0" w:space="0" w:color="auto"/>
                        <w:left w:val="none" w:sz="0" w:space="0" w:color="auto"/>
                        <w:bottom w:val="none" w:sz="0" w:space="0" w:color="auto"/>
                        <w:right w:val="none" w:sz="0" w:space="0" w:color="auto"/>
                      </w:divBdr>
                    </w:div>
                  </w:divsChild>
                </w:div>
                <w:div w:id="1599634214">
                  <w:marLeft w:val="0"/>
                  <w:marRight w:val="0"/>
                  <w:marTop w:val="0"/>
                  <w:marBottom w:val="0"/>
                  <w:divBdr>
                    <w:top w:val="none" w:sz="0" w:space="0" w:color="auto"/>
                    <w:left w:val="none" w:sz="0" w:space="0" w:color="auto"/>
                    <w:bottom w:val="none" w:sz="0" w:space="0" w:color="auto"/>
                    <w:right w:val="none" w:sz="0" w:space="0" w:color="auto"/>
                  </w:divBdr>
                  <w:divsChild>
                    <w:div w:id="1873954703">
                      <w:marLeft w:val="0"/>
                      <w:marRight w:val="0"/>
                      <w:marTop w:val="0"/>
                      <w:marBottom w:val="0"/>
                      <w:divBdr>
                        <w:top w:val="none" w:sz="0" w:space="0" w:color="auto"/>
                        <w:left w:val="none" w:sz="0" w:space="0" w:color="auto"/>
                        <w:bottom w:val="none" w:sz="0" w:space="0" w:color="auto"/>
                        <w:right w:val="none" w:sz="0" w:space="0" w:color="auto"/>
                      </w:divBdr>
                    </w:div>
                  </w:divsChild>
                </w:div>
                <w:div w:id="1670524201">
                  <w:marLeft w:val="0"/>
                  <w:marRight w:val="0"/>
                  <w:marTop w:val="0"/>
                  <w:marBottom w:val="0"/>
                  <w:divBdr>
                    <w:top w:val="none" w:sz="0" w:space="0" w:color="auto"/>
                    <w:left w:val="none" w:sz="0" w:space="0" w:color="auto"/>
                    <w:bottom w:val="none" w:sz="0" w:space="0" w:color="auto"/>
                    <w:right w:val="none" w:sz="0" w:space="0" w:color="auto"/>
                  </w:divBdr>
                  <w:divsChild>
                    <w:div w:id="92477211">
                      <w:marLeft w:val="0"/>
                      <w:marRight w:val="0"/>
                      <w:marTop w:val="0"/>
                      <w:marBottom w:val="0"/>
                      <w:divBdr>
                        <w:top w:val="none" w:sz="0" w:space="0" w:color="auto"/>
                        <w:left w:val="none" w:sz="0" w:space="0" w:color="auto"/>
                        <w:bottom w:val="none" w:sz="0" w:space="0" w:color="auto"/>
                        <w:right w:val="none" w:sz="0" w:space="0" w:color="auto"/>
                      </w:divBdr>
                    </w:div>
                  </w:divsChild>
                </w:div>
                <w:div w:id="1709916980">
                  <w:marLeft w:val="0"/>
                  <w:marRight w:val="0"/>
                  <w:marTop w:val="0"/>
                  <w:marBottom w:val="0"/>
                  <w:divBdr>
                    <w:top w:val="none" w:sz="0" w:space="0" w:color="auto"/>
                    <w:left w:val="none" w:sz="0" w:space="0" w:color="auto"/>
                    <w:bottom w:val="none" w:sz="0" w:space="0" w:color="auto"/>
                    <w:right w:val="none" w:sz="0" w:space="0" w:color="auto"/>
                  </w:divBdr>
                  <w:divsChild>
                    <w:div w:id="355235451">
                      <w:marLeft w:val="0"/>
                      <w:marRight w:val="0"/>
                      <w:marTop w:val="0"/>
                      <w:marBottom w:val="0"/>
                      <w:divBdr>
                        <w:top w:val="none" w:sz="0" w:space="0" w:color="auto"/>
                        <w:left w:val="none" w:sz="0" w:space="0" w:color="auto"/>
                        <w:bottom w:val="none" w:sz="0" w:space="0" w:color="auto"/>
                        <w:right w:val="none" w:sz="0" w:space="0" w:color="auto"/>
                      </w:divBdr>
                    </w:div>
                  </w:divsChild>
                </w:div>
                <w:div w:id="1727023708">
                  <w:marLeft w:val="0"/>
                  <w:marRight w:val="0"/>
                  <w:marTop w:val="0"/>
                  <w:marBottom w:val="0"/>
                  <w:divBdr>
                    <w:top w:val="none" w:sz="0" w:space="0" w:color="auto"/>
                    <w:left w:val="none" w:sz="0" w:space="0" w:color="auto"/>
                    <w:bottom w:val="none" w:sz="0" w:space="0" w:color="auto"/>
                    <w:right w:val="none" w:sz="0" w:space="0" w:color="auto"/>
                  </w:divBdr>
                  <w:divsChild>
                    <w:div w:id="340356760">
                      <w:marLeft w:val="0"/>
                      <w:marRight w:val="0"/>
                      <w:marTop w:val="0"/>
                      <w:marBottom w:val="0"/>
                      <w:divBdr>
                        <w:top w:val="none" w:sz="0" w:space="0" w:color="auto"/>
                        <w:left w:val="none" w:sz="0" w:space="0" w:color="auto"/>
                        <w:bottom w:val="none" w:sz="0" w:space="0" w:color="auto"/>
                        <w:right w:val="none" w:sz="0" w:space="0" w:color="auto"/>
                      </w:divBdr>
                    </w:div>
                  </w:divsChild>
                </w:div>
                <w:div w:id="1777018390">
                  <w:marLeft w:val="0"/>
                  <w:marRight w:val="0"/>
                  <w:marTop w:val="0"/>
                  <w:marBottom w:val="0"/>
                  <w:divBdr>
                    <w:top w:val="none" w:sz="0" w:space="0" w:color="auto"/>
                    <w:left w:val="none" w:sz="0" w:space="0" w:color="auto"/>
                    <w:bottom w:val="none" w:sz="0" w:space="0" w:color="auto"/>
                    <w:right w:val="none" w:sz="0" w:space="0" w:color="auto"/>
                  </w:divBdr>
                  <w:divsChild>
                    <w:div w:id="14925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2326">
          <w:marLeft w:val="0"/>
          <w:marRight w:val="0"/>
          <w:marTop w:val="0"/>
          <w:marBottom w:val="0"/>
          <w:divBdr>
            <w:top w:val="none" w:sz="0" w:space="0" w:color="auto"/>
            <w:left w:val="none" w:sz="0" w:space="0" w:color="auto"/>
            <w:bottom w:val="none" w:sz="0" w:space="0" w:color="auto"/>
            <w:right w:val="none" w:sz="0" w:space="0" w:color="auto"/>
          </w:divBdr>
        </w:div>
        <w:div w:id="445975032">
          <w:marLeft w:val="0"/>
          <w:marRight w:val="0"/>
          <w:marTop w:val="0"/>
          <w:marBottom w:val="0"/>
          <w:divBdr>
            <w:top w:val="none" w:sz="0" w:space="0" w:color="auto"/>
            <w:left w:val="none" w:sz="0" w:space="0" w:color="auto"/>
            <w:bottom w:val="none" w:sz="0" w:space="0" w:color="auto"/>
            <w:right w:val="none" w:sz="0" w:space="0" w:color="auto"/>
          </w:divBdr>
        </w:div>
        <w:div w:id="455760927">
          <w:marLeft w:val="0"/>
          <w:marRight w:val="0"/>
          <w:marTop w:val="0"/>
          <w:marBottom w:val="0"/>
          <w:divBdr>
            <w:top w:val="none" w:sz="0" w:space="0" w:color="auto"/>
            <w:left w:val="none" w:sz="0" w:space="0" w:color="auto"/>
            <w:bottom w:val="none" w:sz="0" w:space="0" w:color="auto"/>
            <w:right w:val="none" w:sz="0" w:space="0" w:color="auto"/>
          </w:divBdr>
        </w:div>
        <w:div w:id="518159087">
          <w:marLeft w:val="0"/>
          <w:marRight w:val="0"/>
          <w:marTop w:val="0"/>
          <w:marBottom w:val="0"/>
          <w:divBdr>
            <w:top w:val="none" w:sz="0" w:space="0" w:color="auto"/>
            <w:left w:val="none" w:sz="0" w:space="0" w:color="auto"/>
            <w:bottom w:val="none" w:sz="0" w:space="0" w:color="auto"/>
            <w:right w:val="none" w:sz="0" w:space="0" w:color="auto"/>
          </w:divBdr>
        </w:div>
        <w:div w:id="532964532">
          <w:marLeft w:val="0"/>
          <w:marRight w:val="0"/>
          <w:marTop w:val="0"/>
          <w:marBottom w:val="0"/>
          <w:divBdr>
            <w:top w:val="none" w:sz="0" w:space="0" w:color="auto"/>
            <w:left w:val="none" w:sz="0" w:space="0" w:color="auto"/>
            <w:bottom w:val="none" w:sz="0" w:space="0" w:color="auto"/>
            <w:right w:val="none" w:sz="0" w:space="0" w:color="auto"/>
          </w:divBdr>
        </w:div>
        <w:div w:id="539903206">
          <w:marLeft w:val="0"/>
          <w:marRight w:val="0"/>
          <w:marTop w:val="0"/>
          <w:marBottom w:val="0"/>
          <w:divBdr>
            <w:top w:val="none" w:sz="0" w:space="0" w:color="auto"/>
            <w:left w:val="none" w:sz="0" w:space="0" w:color="auto"/>
            <w:bottom w:val="none" w:sz="0" w:space="0" w:color="auto"/>
            <w:right w:val="none" w:sz="0" w:space="0" w:color="auto"/>
          </w:divBdr>
        </w:div>
        <w:div w:id="546723173">
          <w:marLeft w:val="0"/>
          <w:marRight w:val="0"/>
          <w:marTop w:val="0"/>
          <w:marBottom w:val="0"/>
          <w:divBdr>
            <w:top w:val="none" w:sz="0" w:space="0" w:color="auto"/>
            <w:left w:val="none" w:sz="0" w:space="0" w:color="auto"/>
            <w:bottom w:val="none" w:sz="0" w:space="0" w:color="auto"/>
            <w:right w:val="none" w:sz="0" w:space="0" w:color="auto"/>
          </w:divBdr>
        </w:div>
        <w:div w:id="556892059">
          <w:marLeft w:val="0"/>
          <w:marRight w:val="0"/>
          <w:marTop w:val="0"/>
          <w:marBottom w:val="0"/>
          <w:divBdr>
            <w:top w:val="none" w:sz="0" w:space="0" w:color="auto"/>
            <w:left w:val="none" w:sz="0" w:space="0" w:color="auto"/>
            <w:bottom w:val="none" w:sz="0" w:space="0" w:color="auto"/>
            <w:right w:val="none" w:sz="0" w:space="0" w:color="auto"/>
          </w:divBdr>
        </w:div>
        <w:div w:id="563028374">
          <w:marLeft w:val="0"/>
          <w:marRight w:val="0"/>
          <w:marTop w:val="0"/>
          <w:marBottom w:val="0"/>
          <w:divBdr>
            <w:top w:val="none" w:sz="0" w:space="0" w:color="auto"/>
            <w:left w:val="none" w:sz="0" w:space="0" w:color="auto"/>
            <w:bottom w:val="none" w:sz="0" w:space="0" w:color="auto"/>
            <w:right w:val="none" w:sz="0" w:space="0" w:color="auto"/>
          </w:divBdr>
        </w:div>
        <w:div w:id="600994301">
          <w:marLeft w:val="0"/>
          <w:marRight w:val="0"/>
          <w:marTop w:val="0"/>
          <w:marBottom w:val="0"/>
          <w:divBdr>
            <w:top w:val="none" w:sz="0" w:space="0" w:color="auto"/>
            <w:left w:val="none" w:sz="0" w:space="0" w:color="auto"/>
            <w:bottom w:val="none" w:sz="0" w:space="0" w:color="auto"/>
            <w:right w:val="none" w:sz="0" w:space="0" w:color="auto"/>
          </w:divBdr>
        </w:div>
        <w:div w:id="603659280">
          <w:marLeft w:val="0"/>
          <w:marRight w:val="0"/>
          <w:marTop w:val="0"/>
          <w:marBottom w:val="0"/>
          <w:divBdr>
            <w:top w:val="none" w:sz="0" w:space="0" w:color="auto"/>
            <w:left w:val="none" w:sz="0" w:space="0" w:color="auto"/>
            <w:bottom w:val="none" w:sz="0" w:space="0" w:color="auto"/>
            <w:right w:val="none" w:sz="0" w:space="0" w:color="auto"/>
          </w:divBdr>
        </w:div>
        <w:div w:id="607085419">
          <w:marLeft w:val="0"/>
          <w:marRight w:val="0"/>
          <w:marTop w:val="0"/>
          <w:marBottom w:val="0"/>
          <w:divBdr>
            <w:top w:val="none" w:sz="0" w:space="0" w:color="auto"/>
            <w:left w:val="none" w:sz="0" w:space="0" w:color="auto"/>
            <w:bottom w:val="none" w:sz="0" w:space="0" w:color="auto"/>
            <w:right w:val="none" w:sz="0" w:space="0" w:color="auto"/>
          </w:divBdr>
        </w:div>
        <w:div w:id="621231546">
          <w:marLeft w:val="0"/>
          <w:marRight w:val="0"/>
          <w:marTop w:val="0"/>
          <w:marBottom w:val="0"/>
          <w:divBdr>
            <w:top w:val="none" w:sz="0" w:space="0" w:color="auto"/>
            <w:left w:val="none" w:sz="0" w:space="0" w:color="auto"/>
            <w:bottom w:val="none" w:sz="0" w:space="0" w:color="auto"/>
            <w:right w:val="none" w:sz="0" w:space="0" w:color="auto"/>
          </w:divBdr>
        </w:div>
        <w:div w:id="622663026">
          <w:marLeft w:val="0"/>
          <w:marRight w:val="0"/>
          <w:marTop w:val="0"/>
          <w:marBottom w:val="0"/>
          <w:divBdr>
            <w:top w:val="none" w:sz="0" w:space="0" w:color="auto"/>
            <w:left w:val="none" w:sz="0" w:space="0" w:color="auto"/>
            <w:bottom w:val="none" w:sz="0" w:space="0" w:color="auto"/>
            <w:right w:val="none" w:sz="0" w:space="0" w:color="auto"/>
          </w:divBdr>
        </w:div>
        <w:div w:id="635718933">
          <w:marLeft w:val="0"/>
          <w:marRight w:val="0"/>
          <w:marTop w:val="0"/>
          <w:marBottom w:val="0"/>
          <w:divBdr>
            <w:top w:val="none" w:sz="0" w:space="0" w:color="auto"/>
            <w:left w:val="none" w:sz="0" w:space="0" w:color="auto"/>
            <w:bottom w:val="none" w:sz="0" w:space="0" w:color="auto"/>
            <w:right w:val="none" w:sz="0" w:space="0" w:color="auto"/>
          </w:divBdr>
        </w:div>
        <w:div w:id="662050939">
          <w:marLeft w:val="0"/>
          <w:marRight w:val="0"/>
          <w:marTop w:val="0"/>
          <w:marBottom w:val="0"/>
          <w:divBdr>
            <w:top w:val="none" w:sz="0" w:space="0" w:color="auto"/>
            <w:left w:val="none" w:sz="0" w:space="0" w:color="auto"/>
            <w:bottom w:val="none" w:sz="0" w:space="0" w:color="auto"/>
            <w:right w:val="none" w:sz="0" w:space="0" w:color="auto"/>
          </w:divBdr>
        </w:div>
        <w:div w:id="683048651">
          <w:marLeft w:val="0"/>
          <w:marRight w:val="0"/>
          <w:marTop w:val="0"/>
          <w:marBottom w:val="0"/>
          <w:divBdr>
            <w:top w:val="none" w:sz="0" w:space="0" w:color="auto"/>
            <w:left w:val="none" w:sz="0" w:space="0" w:color="auto"/>
            <w:bottom w:val="none" w:sz="0" w:space="0" w:color="auto"/>
            <w:right w:val="none" w:sz="0" w:space="0" w:color="auto"/>
          </w:divBdr>
        </w:div>
        <w:div w:id="683367092">
          <w:marLeft w:val="0"/>
          <w:marRight w:val="0"/>
          <w:marTop w:val="0"/>
          <w:marBottom w:val="0"/>
          <w:divBdr>
            <w:top w:val="none" w:sz="0" w:space="0" w:color="auto"/>
            <w:left w:val="none" w:sz="0" w:space="0" w:color="auto"/>
            <w:bottom w:val="none" w:sz="0" w:space="0" w:color="auto"/>
            <w:right w:val="none" w:sz="0" w:space="0" w:color="auto"/>
          </w:divBdr>
        </w:div>
        <w:div w:id="709956598">
          <w:marLeft w:val="0"/>
          <w:marRight w:val="0"/>
          <w:marTop w:val="0"/>
          <w:marBottom w:val="0"/>
          <w:divBdr>
            <w:top w:val="none" w:sz="0" w:space="0" w:color="auto"/>
            <w:left w:val="none" w:sz="0" w:space="0" w:color="auto"/>
            <w:bottom w:val="none" w:sz="0" w:space="0" w:color="auto"/>
            <w:right w:val="none" w:sz="0" w:space="0" w:color="auto"/>
          </w:divBdr>
        </w:div>
        <w:div w:id="734279589">
          <w:marLeft w:val="0"/>
          <w:marRight w:val="0"/>
          <w:marTop w:val="0"/>
          <w:marBottom w:val="0"/>
          <w:divBdr>
            <w:top w:val="none" w:sz="0" w:space="0" w:color="auto"/>
            <w:left w:val="none" w:sz="0" w:space="0" w:color="auto"/>
            <w:bottom w:val="none" w:sz="0" w:space="0" w:color="auto"/>
            <w:right w:val="none" w:sz="0" w:space="0" w:color="auto"/>
          </w:divBdr>
        </w:div>
        <w:div w:id="759913295">
          <w:marLeft w:val="0"/>
          <w:marRight w:val="0"/>
          <w:marTop w:val="0"/>
          <w:marBottom w:val="0"/>
          <w:divBdr>
            <w:top w:val="none" w:sz="0" w:space="0" w:color="auto"/>
            <w:left w:val="none" w:sz="0" w:space="0" w:color="auto"/>
            <w:bottom w:val="none" w:sz="0" w:space="0" w:color="auto"/>
            <w:right w:val="none" w:sz="0" w:space="0" w:color="auto"/>
          </w:divBdr>
        </w:div>
        <w:div w:id="770861407">
          <w:marLeft w:val="0"/>
          <w:marRight w:val="0"/>
          <w:marTop w:val="0"/>
          <w:marBottom w:val="0"/>
          <w:divBdr>
            <w:top w:val="none" w:sz="0" w:space="0" w:color="auto"/>
            <w:left w:val="none" w:sz="0" w:space="0" w:color="auto"/>
            <w:bottom w:val="none" w:sz="0" w:space="0" w:color="auto"/>
            <w:right w:val="none" w:sz="0" w:space="0" w:color="auto"/>
          </w:divBdr>
        </w:div>
        <w:div w:id="776951980">
          <w:marLeft w:val="0"/>
          <w:marRight w:val="0"/>
          <w:marTop w:val="0"/>
          <w:marBottom w:val="0"/>
          <w:divBdr>
            <w:top w:val="none" w:sz="0" w:space="0" w:color="auto"/>
            <w:left w:val="none" w:sz="0" w:space="0" w:color="auto"/>
            <w:bottom w:val="none" w:sz="0" w:space="0" w:color="auto"/>
            <w:right w:val="none" w:sz="0" w:space="0" w:color="auto"/>
          </w:divBdr>
        </w:div>
        <w:div w:id="791678242">
          <w:marLeft w:val="0"/>
          <w:marRight w:val="0"/>
          <w:marTop w:val="0"/>
          <w:marBottom w:val="0"/>
          <w:divBdr>
            <w:top w:val="none" w:sz="0" w:space="0" w:color="auto"/>
            <w:left w:val="none" w:sz="0" w:space="0" w:color="auto"/>
            <w:bottom w:val="none" w:sz="0" w:space="0" w:color="auto"/>
            <w:right w:val="none" w:sz="0" w:space="0" w:color="auto"/>
          </w:divBdr>
        </w:div>
        <w:div w:id="810708878">
          <w:marLeft w:val="0"/>
          <w:marRight w:val="0"/>
          <w:marTop w:val="0"/>
          <w:marBottom w:val="0"/>
          <w:divBdr>
            <w:top w:val="none" w:sz="0" w:space="0" w:color="auto"/>
            <w:left w:val="none" w:sz="0" w:space="0" w:color="auto"/>
            <w:bottom w:val="none" w:sz="0" w:space="0" w:color="auto"/>
            <w:right w:val="none" w:sz="0" w:space="0" w:color="auto"/>
          </w:divBdr>
        </w:div>
        <w:div w:id="812720871">
          <w:marLeft w:val="0"/>
          <w:marRight w:val="0"/>
          <w:marTop w:val="0"/>
          <w:marBottom w:val="0"/>
          <w:divBdr>
            <w:top w:val="none" w:sz="0" w:space="0" w:color="auto"/>
            <w:left w:val="none" w:sz="0" w:space="0" w:color="auto"/>
            <w:bottom w:val="none" w:sz="0" w:space="0" w:color="auto"/>
            <w:right w:val="none" w:sz="0" w:space="0" w:color="auto"/>
          </w:divBdr>
        </w:div>
        <w:div w:id="815536357">
          <w:marLeft w:val="0"/>
          <w:marRight w:val="0"/>
          <w:marTop w:val="0"/>
          <w:marBottom w:val="0"/>
          <w:divBdr>
            <w:top w:val="none" w:sz="0" w:space="0" w:color="auto"/>
            <w:left w:val="none" w:sz="0" w:space="0" w:color="auto"/>
            <w:bottom w:val="none" w:sz="0" w:space="0" w:color="auto"/>
            <w:right w:val="none" w:sz="0" w:space="0" w:color="auto"/>
          </w:divBdr>
        </w:div>
        <w:div w:id="890574807">
          <w:marLeft w:val="0"/>
          <w:marRight w:val="0"/>
          <w:marTop w:val="0"/>
          <w:marBottom w:val="0"/>
          <w:divBdr>
            <w:top w:val="none" w:sz="0" w:space="0" w:color="auto"/>
            <w:left w:val="none" w:sz="0" w:space="0" w:color="auto"/>
            <w:bottom w:val="none" w:sz="0" w:space="0" w:color="auto"/>
            <w:right w:val="none" w:sz="0" w:space="0" w:color="auto"/>
          </w:divBdr>
        </w:div>
        <w:div w:id="895553383">
          <w:marLeft w:val="0"/>
          <w:marRight w:val="0"/>
          <w:marTop w:val="0"/>
          <w:marBottom w:val="0"/>
          <w:divBdr>
            <w:top w:val="none" w:sz="0" w:space="0" w:color="auto"/>
            <w:left w:val="none" w:sz="0" w:space="0" w:color="auto"/>
            <w:bottom w:val="none" w:sz="0" w:space="0" w:color="auto"/>
            <w:right w:val="none" w:sz="0" w:space="0" w:color="auto"/>
          </w:divBdr>
        </w:div>
        <w:div w:id="902639382">
          <w:marLeft w:val="0"/>
          <w:marRight w:val="0"/>
          <w:marTop w:val="0"/>
          <w:marBottom w:val="0"/>
          <w:divBdr>
            <w:top w:val="none" w:sz="0" w:space="0" w:color="auto"/>
            <w:left w:val="none" w:sz="0" w:space="0" w:color="auto"/>
            <w:bottom w:val="none" w:sz="0" w:space="0" w:color="auto"/>
            <w:right w:val="none" w:sz="0" w:space="0" w:color="auto"/>
          </w:divBdr>
        </w:div>
        <w:div w:id="915672336">
          <w:marLeft w:val="0"/>
          <w:marRight w:val="0"/>
          <w:marTop w:val="0"/>
          <w:marBottom w:val="0"/>
          <w:divBdr>
            <w:top w:val="none" w:sz="0" w:space="0" w:color="auto"/>
            <w:left w:val="none" w:sz="0" w:space="0" w:color="auto"/>
            <w:bottom w:val="none" w:sz="0" w:space="0" w:color="auto"/>
            <w:right w:val="none" w:sz="0" w:space="0" w:color="auto"/>
          </w:divBdr>
        </w:div>
        <w:div w:id="925849428">
          <w:marLeft w:val="0"/>
          <w:marRight w:val="0"/>
          <w:marTop w:val="0"/>
          <w:marBottom w:val="0"/>
          <w:divBdr>
            <w:top w:val="none" w:sz="0" w:space="0" w:color="auto"/>
            <w:left w:val="none" w:sz="0" w:space="0" w:color="auto"/>
            <w:bottom w:val="none" w:sz="0" w:space="0" w:color="auto"/>
            <w:right w:val="none" w:sz="0" w:space="0" w:color="auto"/>
          </w:divBdr>
        </w:div>
        <w:div w:id="943147268">
          <w:marLeft w:val="0"/>
          <w:marRight w:val="0"/>
          <w:marTop w:val="0"/>
          <w:marBottom w:val="0"/>
          <w:divBdr>
            <w:top w:val="none" w:sz="0" w:space="0" w:color="auto"/>
            <w:left w:val="none" w:sz="0" w:space="0" w:color="auto"/>
            <w:bottom w:val="none" w:sz="0" w:space="0" w:color="auto"/>
            <w:right w:val="none" w:sz="0" w:space="0" w:color="auto"/>
          </w:divBdr>
        </w:div>
        <w:div w:id="950165764">
          <w:marLeft w:val="0"/>
          <w:marRight w:val="0"/>
          <w:marTop w:val="0"/>
          <w:marBottom w:val="0"/>
          <w:divBdr>
            <w:top w:val="none" w:sz="0" w:space="0" w:color="auto"/>
            <w:left w:val="none" w:sz="0" w:space="0" w:color="auto"/>
            <w:bottom w:val="none" w:sz="0" w:space="0" w:color="auto"/>
            <w:right w:val="none" w:sz="0" w:space="0" w:color="auto"/>
          </w:divBdr>
        </w:div>
        <w:div w:id="952860242">
          <w:marLeft w:val="0"/>
          <w:marRight w:val="0"/>
          <w:marTop w:val="0"/>
          <w:marBottom w:val="0"/>
          <w:divBdr>
            <w:top w:val="none" w:sz="0" w:space="0" w:color="auto"/>
            <w:left w:val="none" w:sz="0" w:space="0" w:color="auto"/>
            <w:bottom w:val="none" w:sz="0" w:space="0" w:color="auto"/>
            <w:right w:val="none" w:sz="0" w:space="0" w:color="auto"/>
          </w:divBdr>
        </w:div>
        <w:div w:id="960113302">
          <w:marLeft w:val="0"/>
          <w:marRight w:val="0"/>
          <w:marTop w:val="0"/>
          <w:marBottom w:val="0"/>
          <w:divBdr>
            <w:top w:val="none" w:sz="0" w:space="0" w:color="auto"/>
            <w:left w:val="none" w:sz="0" w:space="0" w:color="auto"/>
            <w:bottom w:val="none" w:sz="0" w:space="0" w:color="auto"/>
            <w:right w:val="none" w:sz="0" w:space="0" w:color="auto"/>
          </w:divBdr>
        </w:div>
        <w:div w:id="964194509">
          <w:marLeft w:val="0"/>
          <w:marRight w:val="0"/>
          <w:marTop w:val="0"/>
          <w:marBottom w:val="0"/>
          <w:divBdr>
            <w:top w:val="none" w:sz="0" w:space="0" w:color="auto"/>
            <w:left w:val="none" w:sz="0" w:space="0" w:color="auto"/>
            <w:bottom w:val="none" w:sz="0" w:space="0" w:color="auto"/>
            <w:right w:val="none" w:sz="0" w:space="0" w:color="auto"/>
          </w:divBdr>
        </w:div>
        <w:div w:id="964702039">
          <w:marLeft w:val="0"/>
          <w:marRight w:val="0"/>
          <w:marTop w:val="0"/>
          <w:marBottom w:val="0"/>
          <w:divBdr>
            <w:top w:val="none" w:sz="0" w:space="0" w:color="auto"/>
            <w:left w:val="none" w:sz="0" w:space="0" w:color="auto"/>
            <w:bottom w:val="none" w:sz="0" w:space="0" w:color="auto"/>
            <w:right w:val="none" w:sz="0" w:space="0" w:color="auto"/>
          </w:divBdr>
        </w:div>
        <w:div w:id="971248022">
          <w:marLeft w:val="0"/>
          <w:marRight w:val="0"/>
          <w:marTop w:val="0"/>
          <w:marBottom w:val="0"/>
          <w:divBdr>
            <w:top w:val="none" w:sz="0" w:space="0" w:color="auto"/>
            <w:left w:val="none" w:sz="0" w:space="0" w:color="auto"/>
            <w:bottom w:val="none" w:sz="0" w:space="0" w:color="auto"/>
            <w:right w:val="none" w:sz="0" w:space="0" w:color="auto"/>
          </w:divBdr>
        </w:div>
        <w:div w:id="977993992">
          <w:marLeft w:val="0"/>
          <w:marRight w:val="0"/>
          <w:marTop w:val="0"/>
          <w:marBottom w:val="0"/>
          <w:divBdr>
            <w:top w:val="none" w:sz="0" w:space="0" w:color="auto"/>
            <w:left w:val="none" w:sz="0" w:space="0" w:color="auto"/>
            <w:bottom w:val="none" w:sz="0" w:space="0" w:color="auto"/>
            <w:right w:val="none" w:sz="0" w:space="0" w:color="auto"/>
          </w:divBdr>
        </w:div>
        <w:div w:id="1023629578">
          <w:marLeft w:val="0"/>
          <w:marRight w:val="0"/>
          <w:marTop w:val="0"/>
          <w:marBottom w:val="0"/>
          <w:divBdr>
            <w:top w:val="none" w:sz="0" w:space="0" w:color="auto"/>
            <w:left w:val="none" w:sz="0" w:space="0" w:color="auto"/>
            <w:bottom w:val="none" w:sz="0" w:space="0" w:color="auto"/>
            <w:right w:val="none" w:sz="0" w:space="0" w:color="auto"/>
          </w:divBdr>
        </w:div>
        <w:div w:id="1032074836">
          <w:marLeft w:val="0"/>
          <w:marRight w:val="0"/>
          <w:marTop w:val="0"/>
          <w:marBottom w:val="0"/>
          <w:divBdr>
            <w:top w:val="none" w:sz="0" w:space="0" w:color="auto"/>
            <w:left w:val="none" w:sz="0" w:space="0" w:color="auto"/>
            <w:bottom w:val="none" w:sz="0" w:space="0" w:color="auto"/>
            <w:right w:val="none" w:sz="0" w:space="0" w:color="auto"/>
          </w:divBdr>
        </w:div>
        <w:div w:id="1057902641">
          <w:marLeft w:val="0"/>
          <w:marRight w:val="0"/>
          <w:marTop w:val="0"/>
          <w:marBottom w:val="0"/>
          <w:divBdr>
            <w:top w:val="none" w:sz="0" w:space="0" w:color="auto"/>
            <w:left w:val="none" w:sz="0" w:space="0" w:color="auto"/>
            <w:bottom w:val="none" w:sz="0" w:space="0" w:color="auto"/>
            <w:right w:val="none" w:sz="0" w:space="0" w:color="auto"/>
          </w:divBdr>
        </w:div>
        <w:div w:id="1061557572">
          <w:marLeft w:val="0"/>
          <w:marRight w:val="0"/>
          <w:marTop w:val="0"/>
          <w:marBottom w:val="0"/>
          <w:divBdr>
            <w:top w:val="none" w:sz="0" w:space="0" w:color="auto"/>
            <w:left w:val="none" w:sz="0" w:space="0" w:color="auto"/>
            <w:bottom w:val="none" w:sz="0" w:space="0" w:color="auto"/>
            <w:right w:val="none" w:sz="0" w:space="0" w:color="auto"/>
          </w:divBdr>
        </w:div>
        <w:div w:id="1067414177">
          <w:marLeft w:val="0"/>
          <w:marRight w:val="0"/>
          <w:marTop w:val="0"/>
          <w:marBottom w:val="0"/>
          <w:divBdr>
            <w:top w:val="none" w:sz="0" w:space="0" w:color="auto"/>
            <w:left w:val="none" w:sz="0" w:space="0" w:color="auto"/>
            <w:bottom w:val="none" w:sz="0" w:space="0" w:color="auto"/>
            <w:right w:val="none" w:sz="0" w:space="0" w:color="auto"/>
          </w:divBdr>
        </w:div>
        <w:div w:id="1074159162">
          <w:marLeft w:val="0"/>
          <w:marRight w:val="0"/>
          <w:marTop w:val="0"/>
          <w:marBottom w:val="0"/>
          <w:divBdr>
            <w:top w:val="none" w:sz="0" w:space="0" w:color="auto"/>
            <w:left w:val="none" w:sz="0" w:space="0" w:color="auto"/>
            <w:bottom w:val="none" w:sz="0" w:space="0" w:color="auto"/>
            <w:right w:val="none" w:sz="0" w:space="0" w:color="auto"/>
          </w:divBdr>
        </w:div>
        <w:div w:id="1078405371">
          <w:marLeft w:val="0"/>
          <w:marRight w:val="0"/>
          <w:marTop w:val="0"/>
          <w:marBottom w:val="0"/>
          <w:divBdr>
            <w:top w:val="none" w:sz="0" w:space="0" w:color="auto"/>
            <w:left w:val="none" w:sz="0" w:space="0" w:color="auto"/>
            <w:bottom w:val="none" w:sz="0" w:space="0" w:color="auto"/>
            <w:right w:val="none" w:sz="0" w:space="0" w:color="auto"/>
          </w:divBdr>
        </w:div>
        <w:div w:id="1102069131">
          <w:marLeft w:val="0"/>
          <w:marRight w:val="0"/>
          <w:marTop w:val="0"/>
          <w:marBottom w:val="0"/>
          <w:divBdr>
            <w:top w:val="none" w:sz="0" w:space="0" w:color="auto"/>
            <w:left w:val="none" w:sz="0" w:space="0" w:color="auto"/>
            <w:bottom w:val="none" w:sz="0" w:space="0" w:color="auto"/>
            <w:right w:val="none" w:sz="0" w:space="0" w:color="auto"/>
          </w:divBdr>
        </w:div>
        <w:div w:id="1111048081">
          <w:marLeft w:val="0"/>
          <w:marRight w:val="0"/>
          <w:marTop w:val="0"/>
          <w:marBottom w:val="0"/>
          <w:divBdr>
            <w:top w:val="none" w:sz="0" w:space="0" w:color="auto"/>
            <w:left w:val="none" w:sz="0" w:space="0" w:color="auto"/>
            <w:bottom w:val="none" w:sz="0" w:space="0" w:color="auto"/>
            <w:right w:val="none" w:sz="0" w:space="0" w:color="auto"/>
          </w:divBdr>
        </w:div>
        <w:div w:id="1116486323">
          <w:marLeft w:val="0"/>
          <w:marRight w:val="0"/>
          <w:marTop w:val="0"/>
          <w:marBottom w:val="0"/>
          <w:divBdr>
            <w:top w:val="none" w:sz="0" w:space="0" w:color="auto"/>
            <w:left w:val="none" w:sz="0" w:space="0" w:color="auto"/>
            <w:bottom w:val="none" w:sz="0" w:space="0" w:color="auto"/>
            <w:right w:val="none" w:sz="0" w:space="0" w:color="auto"/>
          </w:divBdr>
        </w:div>
        <w:div w:id="1131242396">
          <w:marLeft w:val="0"/>
          <w:marRight w:val="0"/>
          <w:marTop w:val="0"/>
          <w:marBottom w:val="0"/>
          <w:divBdr>
            <w:top w:val="none" w:sz="0" w:space="0" w:color="auto"/>
            <w:left w:val="none" w:sz="0" w:space="0" w:color="auto"/>
            <w:bottom w:val="none" w:sz="0" w:space="0" w:color="auto"/>
            <w:right w:val="none" w:sz="0" w:space="0" w:color="auto"/>
          </w:divBdr>
        </w:div>
        <w:div w:id="1133477588">
          <w:marLeft w:val="0"/>
          <w:marRight w:val="0"/>
          <w:marTop w:val="0"/>
          <w:marBottom w:val="0"/>
          <w:divBdr>
            <w:top w:val="none" w:sz="0" w:space="0" w:color="auto"/>
            <w:left w:val="none" w:sz="0" w:space="0" w:color="auto"/>
            <w:bottom w:val="none" w:sz="0" w:space="0" w:color="auto"/>
            <w:right w:val="none" w:sz="0" w:space="0" w:color="auto"/>
          </w:divBdr>
        </w:div>
        <w:div w:id="1136292351">
          <w:marLeft w:val="0"/>
          <w:marRight w:val="0"/>
          <w:marTop w:val="0"/>
          <w:marBottom w:val="0"/>
          <w:divBdr>
            <w:top w:val="none" w:sz="0" w:space="0" w:color="auto"/>
            <w:left w:val="none" w:sz="0" w:space="0" w:color="auto"/>
            <w:bottom w:val="none" w:sz="0" w:space="0" w:color="auto"/>
            <w:right w:val="none" w:sz="0" w:space="0" w:color="auto"/>
          </w:divBdr>
        </w:div>
        <w:div w:id="1184396952">
          <w:marLeft w:val="0"/>
          <w:marRight w:val="0"/>
          <w:marTop w:val="0"/>
          <w:marBottom w:val="0"/>
          <w:divBdr>
            <w:top w:val="none" w:sz="0" w:space="0" w:color="auto"/>
            <w:left w:val="none" w:sz="0" w:space="0" w:color="auto"/>
            <w:bottom w:val="none" w:sz="0" w:space="0" w:color="auto"/>
            <w:right w:val="none" w:sz="0" w:space="0" w:color="auto"/>
          </w:divBdr>
        </w:div>
        <w:div w:id="1193880914">
          <w:marLeft w:val="0"/>
          <w:marRight w:val="0"/>
          <w:marTop w:val="0"/>
          <w:marBottom w:val="0"/>
          <w:divBdr>
            <w:top w:val="none" w:sz="0" w:space="0" w:color="auto"/>
            <w:left w:val="none" w:sz="0" w:space="0" w:color="auto"/>
            <w:bottom w:val="none" w:sz="0" w:space="0" w:color="auto"/>
            <w:right w:val="none" w:sz="0" w:space="0" w:color="auto"/>
          </w:divBdr>
        </w:div>
        <w:div w:id="1199970087">
          <w:marLeft w:val="0"/>
          <w:marRight w:val="0"/>
          <w:marTop w:val="0"/>
          <w:marBottom w:val="0"/>
          <w:divBdr>
            <w:top w:val="none" w:sz="0" w:space="0" w:color="auto"/>
            <w:left w:val="none" w:sz="0" w:space="0" w:color="auto"/>
            <w:bottom w:val="none" w:sz="0" w:space="0" w:color="auto"/>
            <w:right w:val="none" w:sz="0" w:space="0" w:color="auto"/>
          </w:divBdr>
        </w:div>
        <w:div w:id="1222323762">
          <w:marLeft w:val="0"/>
          <w:marRight w:val="0"/>
          <w:marTop w:val="0"/>
          <w:marBottom w:val="0"/>
          <w:divBdr>
            <w:top w:val="none" w:sz="0" w:space="0" w:color="auto"/>
            <w:left w:val="none" w:sz="0" w:space="0" w:color="auto"/>
            <w:bottom w:val="none" w:sz="0" w:space="0" w:color="auto"/>
            <w:right w:val="none" w:sz="0" w:space="0" w:color="auto"/>
          </w:divBdr>
        </w:div>
        <w:div w:id="1222641026">
          <w:marLeft w:val="0"/>
          <w:marRight w:val="0"/>
          <w:marTop w:val="0"/>
          <w:marBottom w:val="0"/>
          <w:divBdr>
            <w:top w:val="none" w:sz="0" w:space="0" w:color="auto"/>
            <w:left w:val="none" w:sz="0" w:space="0" w:color="auto"/>
            <w:bottom w:val="none" w:sz="0" w:space="0" w:color="auto"/>
            <w:right w:val="none" w:sz="0" w:space="0" w:color="auto"/>
          </w:divBdr>
        </w:div>
        <w:div w:id="1228765088">
          <w:marLeft w:val="0"/>
          <w:marRight w:val="0"/>
          <w:marTop w:val="0"/>
          <w:marBottom w:val="0"/>
          <w:divBdr>
            <w:top w:val="none" w:sz="0" w:space="0" w:color="auto"/>
            <w:left w:val="none" w:sz="0" w:space="0" w:color="auto"/>
            <w:bottom w:val="none" w:sz="0" w:space="0" w:color="auto"/>
            <w:right w:val="none" w:sz="0" w:space="0" w:color="auto"/>
          </w:divBdr>
        </w:div>
        <w:div w:id="1228958383">
          <w:marLeft w:val="0"/>
          <w:marRight w:val="0"/>
          <w:marTop w:val="0"/>
          <w:marBottom w:val="0"/>
          <w:divBdr>
            <w:top w:val="none" w:sz="0" w:space="0" w:color="auto"/>
            <w:left w:val="none" w:sz="0" w:space="0" w:color="auto"/>
            <w:bottom w:val="none" w:sz="0" w:space="0" w:color="auto"/>
            <w:right w:val="none" w:sz="0" w:space="0" w:color="auto"/>
          </w:divBdr>
        </w:div>
        <w:div w:id="1249731353">
          <w:marLeft w:val="0"/>
          <w:marRight w:val="0"/>
          <w:marTop w:val="0"/>
          <w:marBottom w:val="0"/>
          <w:divBdr>
            <w:top w:val="none" w:sz="0" w:space="0" w:color="auto"/>
            <w:left w:val="none" w:sz="0" w:space="0" w:color="auto"/>
            <w:bottom w:val="none" w:sz="0" w:space="0" w:color="auto"/>
            <w:right w:val="none" w:sz="0" w:space="0" w:color="auto"/>
          </w:divBdr>
        </w:div>
        <w:div w:id="1251429426">
          <w:marLeft w:val="0"/>
          <w:marRight w:val="0"/>
          <w:marTop w:val="0"/>
          <w:marBottom w:val="0"/>
          <w:divBdr>
            <w:top w:val="none" w:sz="0" w:space="0" w:color="auto"/>
            <w:left w:val="none" w:sz="0" w:space="0" w:color="auto"/>
            <w:bottom w:val="none" w:sz="0" w:space="0" w:color="auto"/>
            <w:right w:val="none" w:sz="0" w:space="0" w:color="auto"/>
          </w:divBdr>
        </w:div>
        <w:div w:id="1272473681">
          <w:marLeft w:val="0"/>
          <w:marRight w:val="0"/>
          <w:marTop w:val="0"/>
          <w:marBottom w:val="0"/>
          <w:divBdr>
            <w:top w:val="none" w:sz="0" w:space="0" w:color="auto"/>
            <w:left w:val="none" w:sz="0" w:space="0" w:color="auto"/>
            <w:bottom w:val="none" w:sz="0" w:space="0" w:color="auto"/>
            <w:right w:val="none" w:sz="0" w:space="0" w:color="auto"/>
          </w:divBdr>
        </w:div>
        <w:div w:id="1273395660">
          <w:marLeft w:val="0"/>
          <w:marRight w:val="0"/>
          <w:marTop w:val="0"/>
          <w:marBottom w:val="0"/>
          <w:divBdr>
            <w:top w:val="none" w:sz="0" w:space="0" w:color="auto"/>
            <w:left w:val="none" w:sz="0" w:space="0" w:color="auto"/>
            <w:bottom w:val="none" w:sz="0" w:space="0" w:color="auto"/>
            <w:right w:val="none" w:sz="0" w:space="0" w:color="auto"/>
          </w:divBdr>
        </w:div>
        <w:div w:id="1278873140">
          <w:marLeft w:val="0"/>
          <w:marRight w:val="0"/>
          <w:marTop w:val="0"/>
          <w:marBottom w:val="0"/>
          <w:divBdr>
            <w:top w:val="none" w:sz="0" w:space="0" w:color="auto"/>
            <w:left w:val="none" w:sz="0" w:space="0" w:color="auto"/>
            <w:bottom w:val="none" w:sz="0" w:space="0" w:color="auto"/>
            <w:right w:val="none" w:sz="0" w:space="0" w:color="auto"/>
          </w:divBdr>
        </w:div>
        <w:div w:id="1306395897">
          <w:marLeft w:val="0"/>
          <w:marRight w:val="0"/>
          <w:marTop w:val="0"/>
          <w:marBottom w:val="0"/>
          <w:divBdr>
            <w:top w:val="none" w:sz="0" w:space="0" w:color="auto"/>
            <w:left w:val="none" w:sz="0" w:space="0" w:color="auto"/>
            <w:bottom w:val="none" w:sz="0" w:space="0" w:color="auto"/>
            <w:right w:val="none" w:sz="0" w:space="0" w:color="auto"/>
          </w:divBdr>
        </w:div>
        <w:div w:id="1321347270">
          <w:marLeft w:val="0"/>
          <w:marRight w:val="0"/>
          <w:marTop w:val="0"/>
          <w:marBottom w:val="0"/>
          <w:divBdr>
            <w:top w:val="none" w:sz="0" w:space="0" w:color="auto"/>
            <w:left w:val="none" w:sz="0" w:space="0" w:color="auto"/>
            <w:bottom w:val="none" w:sz="0" w:space="0" w:color="auto"/>
            <w:right w:val="none" w:sz="0" w:space="0" w:color="auto"/>
          </w:divBdr>
        </w:div>
        <w:div w:id="1338531716">
          <w:marLeft w:val="0"/>
          <w:marRight w:val="0"/>
          <w:marTop w:val="0"/>
          <w:marBottom w:val="0"/>
          <w:divBdr>
            <w:top w:val="none" w:sz="0" w:space="0" w:color="auto"/>
            <w:left w:val="none" w:sz="0" w:space="0" w:color="auto"/>
            <w:bottom w:val="none" w:sz="0" w:space="0" w:color="auto"/>
            <w:right w:val="none" w:sz="0" w:space="0" w:color="auto"/>
          </w:divBdr>
        </w:div>
        <w:div w:id="1343626264">
          <w:marLeft w:val="0"/>
          <w:marRight w:val="0"/>
          <w:marTop w:val="0"/>
          <w:marBottom w:val="0"/>
          <w:divBdr>
            <w:top w:val="none" w:sz="0" w:space="0" w:color="auto"/>
            <w:left w:val="none" w:sz="0" w:space="0" w:color="auto"/>
            <w:bottom w:val="none" w:sz="0" w:space="0" w:color="auto"/>
            <w:right w:val="none" w:sz="0" w:space="0" w:color="auto"/>
          </w:divBdr>
        </w:div>
        <w:div w:id="1352411684">
          <w:marLeft w:val="0"/>
          <w:marRight w:val="0"/>
          <w:marTop w:val="0"/>
          <w:marBottom w:val="0"/>
          <w:divBdr>
            <w:top w:val="none" w:sz="0" w:space="0" w:color="auto"/>
            <w:left w:val="none" w:sz="0" w:space="0" w:color="auto"/>
            <w:bottom w:val="none" w:sz="0" w:space="0" w:color="auto"/>
            <w:right w:val="none" w:sz="0" w:space="0" w:color="auto"/>
          </w:divBdr>
        </w:div>
        <w:div w:id="1387409405">
          <w:marLeft w:val="0"/>
          <w:marRight w:val="0"/>
          <w:marTop w:val="0"/>
          <w:marBottom w:val="0"/>
          <w:divBdr>
            <w:top w:val="none" w:sz="0" w:space="0" w:color="auto"/>
            <w:left w:val="none" w:sz="0" w:space="0" w:color="auto"/>
            <w:bottom w:val="none" w:sz="0" w:space="0" w:color="auto"/>
            <w:right w:val="none" w:sz="0" w:space="0" w:color="auto"/>
          </w:divBdr>
        </w:div>
        <w:div w:id="1441144652">
          <w:marLeft w:val="0"/>
          <w:marRight w:val="0"/>
          <w:marTop w:val="0"/>
          <w:marBottom w:val="0"/>
          <w:divBdr>
            <w:top w:val="none" w:sz="0" w:space="0" w:color="auto"/>
            <w:left w:val="none" w:sz="0" w:space="0" w:color="auto"/>
            <w:bottom w:val="none" w:sz="0" w:space="0" w:color="auto"/>
            <w:right w:val="none" w:sz="0" w:space="0" w:color="auto"/>
          </w:divBdr>
        </w:div>
        <w:div w:id="1460949896">
          <w:marLeft w:val="0"/>
          <w:marRight w:val="0"/>
          <w:marTop w:val="0"/>
          <w:marBottom w:val="0"/>
          <w:divBdr>
            <w:top w:val="none" w:sz="0" w:space="0" w:color="auto"/>
            <w:left w:val="none" w:sz="0" w:space="0" w:color="auto"/>
            <w:bottom w:val="none" w:sz="0" w:space="0" w:color="auto"/>
            <w:right w:val="none" w:sz="0" w:space="0" w:color="auto"/>
          </w:divBdr>
        </w:div>
        <w:div w:id="1466040827">
          <w:marLeft w:val="0"/>
          <w:marRight w:val="0"/>
          <w:marTop w:val="0"/>
          <w:marBottom w:val="0"/>
          <w:divBdr>
            <w:top w:val="none" w:sz="0" w:space="0" w:color="auto"/>
            <w:left w:val="none" w:sz="0" w:space="0" w:color="auto"/>
            <w:bottom w:val="none" w:sz="0" w:space="0" w:color="auto"/>
            <w:right w:val="none" w:sz="0" w:space="0" w:color="auto"/>
          </w:divBdr>
        </w:div>
        <w:div w:id="1501119792">
          <w:marLeft w:val="0"/>
          <w:marRight w:val="0"/>
          <w:marTop w:val="0"/>
          <w:marBottom w:val="0"/>
          <w:divBdr>
            <w:top w:val="none" w:sz="0" w:space="0" w:color="auto"/>
            <w:left w:val="none" w:sz="0" w:space="0" w:color="auto"/>
            <w:bottom w:val="none" w:sz="0" w:space="0" w:color="auto"/>
            <w:right w:val="none" w:sz="0" w:space="0" w:color="auto"/>
          </w:divBdr>
        </w:div>
        <w:div w:id="1528326726">
          <w:marLeft w:val="0"/>
          <w:marRight w:val="0"/>
          <w:marTop w:val="0"/>
          <w:marBottom w:val="0"/>
          <w:divBdr>
            <w:top w:val="none" w:sz="0" w:space="0" w:color="auto"/>
            <w:left w:val="none" w:sz="0" w:space="0" w:color="auto"/>
            <w:bottom w:val="none" w:sz="0" w:space="0" w:color="auto"/>
            <w:right w:val="none" w:sz="0" w:space="0" w:color="auto"/>
          </w:divBdr>
        </w:div>
        <w:div w:id="1538353870">
          <w:marLeft w:val="0"/>
          <w:marRight w:val="0"/>
          <w:marTop w:val="0"/>
          <w:marBottom w:val="0"/>
          <w:divBdr>
            <w:top w:val="none" w:sz="0" w:space="0" w:color="auto"/>
            <w:left w:val="none" w:sz="0" w:space="0" w:color="auto"/>
            <w:bottom w:val="none" w:sz="0" w:space="0" w:color="auto"/>
            <w:right w:val="none" w:sz="0" w:space="0" w:color="auto"/>
          </w:divBdr>
        </w:div>
        <w:div w:id="1574899737">
          <w:marLeft w:val="0"/>
          <w:marRight w:val="0"/>
          <w:marTop w:val="0"/>
          <w:marBottom w:val="0"/>
          <w:divBdr>
            <w:top w:val="none" w:sz="0" w:space="0" w:color="auto"/>
            <w:left w:val="none" w:sz="0" w:space="0" w:color="auto"/>
            <w:bottom w:val="none" w:sz="0" w:space="0" w:color="auto"/>
            <w:right w:val="none" w:sz="0" w:space="0" w:color="auto"/>
          </w:divBdr>
        </w:div>
        <w:div w:id="1592397656">
          <w:marLeft w:val="0"/>
          <w:marRight w:val="0"/>
          <w:marTop w:val="0"/>
          <w:marBottom w:val="0"/>
          <w:divBdr>
            <w:top w:val="none" w:sz="0" w:space="0" w:color="auto"/>
            <w:left w:val="none" w:sz="0" w:space="0" w:color="auto"/>
            <w:bottom w:val="none" w:sz="0" w:space="0" w:color="auto"/>
            <w:right w:val="none" w:sz="0" w:space="0" w:color="auto"/>
          </w:divBdr>
        </w:div>
        <w:div w:id="1602179171">
          <w:marLeft w:val="0"/>
          <w:marRight w:val="0"/>
          <w:marTop w:val="0"/>
          <w:marBottom w:val="0"/>
          <w:divBdr>
            <w:top w:val="none" w:sz="0" w:space="0" w:color="auto"/>
            <w:left w:val="none" w:sz="0" w:space="0" w:color="auto"/>
            <w:bottom w:val="none" w:sz="0" w:space="0" w:color="auto"/>
            <w:right w:val="none" w:sz="0" w:space="0" w:color="auto"/>
          </w:divBdr>
        </w:div>
        <w:div w:id="1674449872">
          <w:marLeft w:val="0"/>
          <w:marRight w:val="0"/>
          <w:marTop w:val="0"/>
          <w:marBottom w:val="0"/>
          <w:divBdr>
            <w:top w:val="none" w:sz="0" w:space="0" w:color="auto"/>
            <w:left w:val="none" w:sz="0" w:space="0" w:color="auto"/>
            <w:bottom w:val="none" w:sz="0" w:space="0" w:color="auto"/>
            <w:right w:val="none" w:sz="0" w:space="0" w:color="auto"/>
          </w:divBdr>
        </w:div>
        <w:div w:id="1687050666">
          <w:marLeft w:val="0"/>
          <w:marRight w:val="0"/>
          <w:marTop w:val="0"/>
          <w:marBottom w:val="0"/>
          <w:divBdr>
            <w:top w:val="none" w:sz="0" w:space="0" w:color="auto"/>
            <w:left w:val="none" w:sz="0" w:space="0" w:color="auto"/>
            <w:bottom w:val="none" w:sz="0" w:space="0" w:color="auto"/>
            <w:right w:val="none" w:sz="0" w:space="0" w:color="auto"/>
          </w:divBdr>
        </w:div>
        <w:div w:id="1705783596">
          <w:marLeft w:val="0"/>
          <w:marRight w:val="0"/>
          <w:marTop w:val="0"/>
          <w:marBottom w:val="0"/>
          <w:divBdr>
            <w:top w:val="none" w:sz="0" w:space="0" w:color="auto"/>
            <w:left w:val="none" w:sz="0" w:space="0" w:color="auto"/>
            <w:bottom w:val="none" w:sz="0" w:space="0" w:color="auto"/>
            <w:right w:val="none" w:sz="0" w:space="0" w:color="auto"/>
          </w:divBdr>
        </w:div>
        <w:div w:id="1727991743">
          <w:marLeft w:val="0"/>
          <w:marRight w:val="0"/>
          <w:marTop w:val="0"/>
          <w:marBottom w:val="0"/>
          <w:divBdr>
            <w:top w:val="none" w:sz="0" w:space="0" w:color="auto"/>
            <w:left w:val="none" w:sz="0" w:space="0" w:color="auto"/>
            <w:bottom w:val="none" w:sz="0" w:space="0" w:color="auto"/>
            <w:right w:val="none" w:sz="0" w:space="0" w:color="auto"/>
          </w:divBdr>
        </w:div>
        <w:div w:id="1760787621">
          <w:marLeft w:val="0"/>
          <w:marRight w:val="0"/>
          <w:marTop w:val="0"/>
          <w:marBottom w:val="0"/>
          <w:divBdr>
            <w:top w:val="none" w:sz="0" w:space="0" w:color="auto"/>
            <w:left w:val="none" w:sz="0" w:space="0" w:color="auto"/>
            <w:bottom w:val="none" w:sz="0" w:space="0" w:color="auto"/>
            <w:right w:val="none" w:sz="0" w:space="0" w:color="auto"/>
          </w:divBdr>
        </w:div>
        <w:div w:id="1784183228">
          <w:marLeft w:val="0"/>
          <w:marRight w:val="0"/>
          <w:marTop w:val="0"/>
          <w:marBottom w:val="0"/>
          <w:divBdr>
            <w:top w:val="none" w:sz="0" w:space="0" w:color="auto"/>
            <w:left w:val="none" w:sz="0" w:space="0" w:color="auto"/>
            <w:bottom w:val="none" w:sz="0" w:space="0" w:color="auto"/>
            <w:right w:val="none" w:sz="0" w:space="0" w:color="auto"/>
          </w:divBdr>
        </w:div>
        <w:div w:id="1810896691">
          <w:marLeft w:val="0"/>
          <w:marRight w:val="0"/>
          <w:marTop w:val="0"/>
          <w:marBottom w:val="0"/>
          <w:divBdr>
            <w:top w:val="none" w:sz="0" w:space="0" w:color="auto"/>
            <w:left w:val="none" w:sz="0" w:space="0" w:color="auto"/>
            <w:bottom w:val="none" w:sz="0" w:space="0" w:color="auto"/>
            <w:right w:val="none" w:sz="0" w:space="0" w:color="auto"/>
          </w:divBdr>
        </w:div>
        <w:div w:id="1823043814">
          <w:marLeft w:val="0"/>
          <w:marRight w:val="0"/>
          <w:marTop w:val="0"/>
          <w:marBottom w:val="0"/>
          <w:divBdr>
            <w:top w:val="none" w:sz="0" w:space="0" w:color="auto"/>
            <w:left w:val="none" w:sz="0" w:space="0" w:color="auto"/>
            <w:bottom w:val="none" w:sz="0" w:space="0" w:color="auto"/>
            <w:right w:val="none" w:sz="0" w:space="0" w:color="auto"/>
          </w:divBdr>
        </w:div>
        <w:div w:id="1853252922">
          <w:marLeft w:val="0"/>
          <w:marRight w:val="0"/>
          <w:marTop w:val="0"/>
          <w:marBottom w:val="0"/>
          <w:divBdr>
            <w:top w:val="none" w:sz="0" w:space="0" w:color="auto"/>
            <w:left w:val="none" w:sz="0" w:space="0" w:color="auto"/>
            <w:bottom w:val="none" w:sz="0" w:space="0" w:color="auto"/>
            <w:right w:val="none" w:sz="0" w:space="0" w:color="auto"/>
          </w:divBdr>
        </w:div>
        <w:div w:id="1862009649">
          <w:marLeft w:val="0"/>
          <w:marRight w:val="0"/>
          <w:marTop w:val="0"/>
          <w:marBottom w:val="0"/>
          <w:divBdr>
            <w:top w:val="none" w:sz="0" w:space="0" w:color="auto"/>
            <w:left w:val="none" w:sz="0" w:space="0" w:color="auto"/>
            <w:bottom w:val="none" w:sz="0" w:space="0" w:color="auto"/>
            <w:right w:val="none" w:sz="0" w:space="0" w:color="auto"/>
          </w:divBdr>
        </w:div>
        <w:div w:id="1869827752">
          <w:marLeft w:val="0"/>
          <w:marRight w:val="0"/>
          <w:marTop w:val="0"/>
          <w:marBottom w:val="0"/>
          <w:divBdr>
            <w:top w:val="none" w:sz="0" w:space="0" w:color="auto"/>
            <w:left w:val="none" w:sz="0" w:space="0" w:color="auto"/>
            <w:bottom w:val="none" w:sz="0" w:space="0" w:color="auto"/>
            <w:right w:val="none" w:sz="0" w:space="0" w:color="auto"/>
          </w:divBdr>
        </w:div>
        <w:div w:id="1872255251">
          <w:marLeft w:val="0"/>
          <w:marRight w:val="0"/>
          <w:marTop w:val="0"/>
          <w:marBottom w:val="0"/>
          <w:divBdr>
            <w:top w:val="none" w:sz="0" w:space="0" w:color="auto"/>
            <w:left w:val="none" w:sz="0" w:space="0" w:color="auto"/>
            <w:bottom w:val="none" w:sz="0" w:space="0" w:color="auto"/>
            <w:right w:val="none" w:sz="0" w:space="0" w:color="auto"/>
          </w:divBdr>
        </w:div>
        <w:div w:id="1903979052">
          <w:marLeft w:val="0"/>
          <w:marRight w:val="0"/>
          <w:marTop w:val="0"/>
          <w:marBottom w:val="0"/>
          <w:divBdr>
            <w:top w:val="none" w:sz="0" w:space="0" w:color="auto"/>
            <w:left w:val="none" w:sz="0" w:space="0" w:color="auto"/>
            <w:bottom w:val="none" w:sz="0" w:space="0" w:color="auto"/>
            <w:right w:val="none" w:sz="0" w:space="0" w:color="auto"/>
          </w:divBdr>
        </w:div>
        <w:div w:id="1911773471">
          <w:marLeft w:val="0"/>
          <w:marRight w:val="0"/>
          <w:marTop w:val="0"/>
          <w:marBottom w:val="0"/>
          <w:divBdr>
            <w:top w:val="none" w:sz="0" w:space="0" w:color="auto"/>
            <w:left w:val="none" w:sz="0" w:space="0" w:color="auto"/>
            <w:bottom w:val="none" w:sz="0" w:space="0" w:color="auto"/>
            <w:right w:val="none" w:sz="0" w:space="0" w:color="auto"/>
          </w:divBdr>
          <w:divsChild>
            <w:div w:id="1499805232">
              <w:marLeft w:val="0"/>
              <w:marRight w:val="0"/>
              <w:marTop w:val="30"/>
              <w:marBottom w:val="30"/>
              <w:divBdr>
                <w:top w:val="none" w:sz="0" w:space="0" w:color="auto"/>
                <w:left w:val="none" w:sz="0" w:space="0" w:color="auto"/>
                <w:bottom w:val="none" w:sz="0" w:space="0" w:color="auto"/>
                <w:right w:val="none" w:sz="0" w:space="0" w:color="auto"/>
              </w:divBdr>
              <w:divsChild>
                <w:div w:id="198781366">
                  <w:marLeft w:val="0"/>
                  <w:marRight w:val="0"/>
                  <w:marTop w:val="0"/>
                  <w:marBottom w:val="0"/>
                  <w:divBdr>
                    <w:top w:val="none" w:sz="0" w:space="0" w:color="auto"/>
                    <w:left w:val="none" w:sz="0" w:space="0" w:color="auto"/>
                    <w:bottom w:val="none" w:sz="0" w:space="0" w:color="auto"/>
                    <w:right w:val="none" w:sz="0" w:space="0" w:color="auto"/>
                  </w:divBdr>
                  <w:divsChild>
                    <w:div w:id="1398624529">
                      <w:marLeft w:val="0"/>
                      <w:marRight w:val="0"/>
                      <w:marTop w:val="0"/>
                      <w:marBottom w:val="0"/>
                      <w:divBdr>
                        <w:top w:val="none" w:sz="0" w:space="0" w:color="auto"/>
                        <w:left w:val="none" w:sz="0" w:space="0" w:color="auto"/>
                        <w:bottom w:val="none" w:sz="0" w:space="0" w:color="auto"/>
                        <w:right w:val="none" w:sz="0" w:space="0" w:color="auto"/>
                      </w:divBdr>
                    </w:div>
                  </w:divsChild>
                </w:div>
                <w:div w:id="627977690">
                  <w:marLeft w:val="0"/>
                  <w:marRight w:val="0"/>
                  <w:marTop w:val="0"/>
                  <w:marBottom w:val="0"/>
                  <w:divBdr>
                    <w:top w:val="none" w:sz="0" w:space="0" w:color="auto"/>
                    <w:left w:val="none" w:sz="0" w:space="0" w:color="auto"/>
                    <w:bottom w:val="none" w:sz="0" w:space="0" w:color="auto"/>
                    <w:right w:val="none" w:sz="0" w:space="0" w:color="auto"/>
                  </w:divBdr>
                  <w:divsChild>
                    <w:div w:id="858159757">
                      <w:marLeft w:val="0"/>
                      <w:marRight w:val="0"/>
                      <w:marTop w:val="0"/>
                      <w:marBottom w:val="0"/>
                      <w:divBdr>
                        <w:top w:val="none" w:sz="0" w:space="0" w:color="auto"/>
                        <w:left w:val="none" w:sz="0" w:space="0" w:color="auto"/>
                        <w:bottom w:val="none" w:sz="0" w:space="0" w:color="auto"/>
                        <w:right w:val="none" w:sz="0" w:space="0" w:color="auto"/>
                      </w:divBdr>
                    </w:div>
                  </w:divsChild>
                </w:div>
                <w:div w:id="705640200">
                  <w:marLeft w:val="0"/>
                  <w:marRight w:val="0"/>
                  <w:marTop w:val="0"/>
                  <w:marBottom w:val="0"/>
                  <w:divBdr>
                    <w:top w:val="none" w:sz="0" w:space="0" w:color="auto"/>
                    <w:left w:val="none" w:sz="0" w:space="0" w:color="auto"/>
                    <w:bottom w:val="none" w:sz="0" w:space="0" w:color="auto"/>
                    <w:right w:val="none" w:sz="0" w:space="0" w:color="auto"/>
                  </w:divBdr>
                  <w:divsChild>
                    <w:div w:id="1096244171">
                      <w:marLeft w:val="0"/>
                      <w:marRight w:val="0"/>
                      <w:marTop w:val="0"/>
                      <w:marBottom w:val="0"/>
                      <w:divBdr>
                        <w:top w:val="none" w:sz="0" w:space="0" w:color="auto"/>
                        <w:left w:val="none" w:sz="0" w:space="0" w:color="auto"/>
                        <w:bottom w:val="none" w:sz="0" w:space="0" w:color="auto"/>
                        <w:right w:val="none" w:sz="0" w:space="0" w:color="auto"/>
                      </w:divBdr>
                    </w:div>
                  </w:divsChild>
                </w:div>
                <w:div w:id="796413694">
                  <w:marLeft w:val="0"/>
                  <w:marRight w:val="0"/>
                  <w:marTop w:val="0"/>
                  <w:marBottom w:val="0"/>
                  <w:divBdr>
                    <w:top w:val="none" w:sz="0" w:space="0" w:color="auto"/>
                    <w:left w:val="none" w:sz="0" w:space="0" w:color="auto"/>
                    <w:bottom w:val="none" w:sz="0" w:space="0" w:color="auto"/>
                    <w:right w:val="none" w:sz="0" w:space="0" w:color="auto"/>
                  </w:divBdr>
                  <w:divsChild>
                    <w:div w:id="417017337">
                      <w:marLeft w:val="0"/>
                      <w:marRight w:val="0"/>
                      <w:marTop w:val="0"/>
                      <w:marBottom w:val="0"/>
                      <w:divBdr>
                        <w:top w:val="none" w:sz="0" w:space="0" w:color="auto"/>
                        <w:left w:val="none" w:sz="0" w:space="0" w:color="auto"/>
                        <w:bottom w:val="none" w:sz="0" w:space="0" w:color="auto"/>
                        <w:right w:val="none" w:sz="0" w:space="0" w:color="auto"/>
                      </w:divBdr>
                    </w:div>
                  </w:divsChild>
                </w:div>
                <w:div w:id="1409185007">
                  <w:marLeft w:val="0"/>
                  <w:marRight w:val="0"/>
                  <w:marTop w:val="0"/>
                  <w:marBottom w:val="0"/>
                  <w:divBdr>
                    <w:top w:val="none" w:sz="0" w:space="0" w:color="auto"/>
                    <w:left w:val="none" w:sz="0" w:space="0" w:color="auto"/>
                    <w:bottom w:val="none" w:sz="0" w:space="0" w:color="auto"/>
                    <w:right w:val="none" w:sz="0" w:space="0" w:color="auto"/>
                  </w:divBdr>
                  <w:divsChild>
                    <w:div w:id="177042539">
                      <w:marLeft w:val="0"/>
                      <w:marRight w:val="0"/>
                      <w:marTop w:val="0"/>
                      <w:marBottom w:val="0"/>
                      <w:divBdr>
                        <w:top w:val="none" w:sz="0" w:space="0" w:color="auto"/>
                        <w:left w:val="none" w:sz="0" w:space="0" w:color="auto"/>
                        <w:bottom w:val="none" w:sz="0" w:space="0" w:color="auto"/>
                        <w:right w:val="none" w:sz="0" w:space="0" w:color="auto"/>
                      </w:divBdr>
                    </w:div>
                  </w:divsChild>
                </w:div>
                <w:div w:id="1473329860">
                  <w:marLeft w:val="0"/>
                  <w:marRight w:val="0"/>
                  <w:marTop w:val="0"/>
                  <w:marBottom w:val="0"/>
                  <w:divBdr>
                    <w:top w:val="none" w:sz="0" w:space="0" w:color="auto"/>
                    <w:left w:val="none" w:sz="0" w:space="0" w:color="auto"/>
                    <w:bottom w:val="none" w:sz="0" w:space="0" w:color="auto"/>
                    <w:right w:val="none" w:sz="0" w:space="0" w:color="auto"/>
                  </w:divBdr>
                  <w:divsChild>
                    <w:div w:id="817069424">
                      <w:marLeft w:val="0"/>
                      <w:marRight w:val="0"/>
                      <w:marTop w:val="0"/>
                      <w:marBottom w:val="0"/>
                      <w:divBdr>
                        <w:top w:val="none" w:sz="0" w:space="0" w:color="auto"/>
                        <w:left w:val="none" w:sz="0" w:space="0" w:color="auto"/>
                        <w:bottom w:val="none" w:sz="0" w:space="0" w:color="auto"/>
                        <w:right w:val="none" w:sz="0" w:space="0" w:color="auto"/>
                      </w:divBdr>
                    </w:div>
                  </w:divsChild>
                </w:div>
                <w:div w:id="1479497939">
                  <w:marLeft w:val="0"/>
                  <w:marRight w:val="0"/>
                  <w:marTop w:val="0"/>
                  <w:marBottom w:val="0"/>
                  <w:divBdr>
                    <w:top w:val="none" w:sz="0" w:space="0" w:color="auto"/>
                    <w:left w:val="none" w:sz="0" w:space="0" w:color="auto"/>
                    <w:bottom w:val="none" w:sz="0" w:space="0" w:color="auto"/>
                    <w:right w:val="none" w:sz="0" w:space="0" w:color="auto"/>
                  </w:divBdr>
                  <w:divsChild>
                    <w:div w:id="1081104199">
                      <w:marLeft w:val="0"/>
                      <w:marRight w:val="0"/>
                      <w:marTop w:val="0"/>
                      <w:marBottom w:val="0"/>
                      <w:divBdr>
                        <w:top w:val="none" w:sz="0" w:space="0" w:color="auto"/>
                        <w:left w:val="none" w:sz="0" w:space="0" w:color="auto"/>
                        <w:bottom w:val="none" w:sz="0" w:space="0" w:color="auto"/>
                        <w:right w:val="none" w:sz="0" w:space="0" w:color="auto"/>
                      </w:divBdr>
                    </w:div>
                  </w:divsChild>
                </w:div>
                <w:div w:id="1632054921">
                  <w:marLeft w:val="0"/>
                  <w:marRight w:val="0"/>
                  <w:marTop w:val="0"/>
                  <w:marBottom w:val="0"/>
                  <w:divBdr>
                    <w:top w:val="none" w:sz="0" w:space="0" w:color="auto"/>
                    <w:left w:val="none" w:sz="0" w:space="0" w:color="auto"/>
                    <w:bottom w:val="none" w:sz="0" w:space="0" w:color="auto"/>
                    <w:right w:val="none" w:sz="0" w:space="0" w:color="auto"/>
                  </w:divBdr>
                  <w:divsChild>
                    <w:div w:id="2051025889">
                      <w:marLeft w:val="0"/>
                      <w:marRight w:val="0"/>
                      <w:marTop w:val="0"/>
                      <w:marBottom w:val="0"/>
                      <w:divBdr>
                        <w:top w:val="none" w:sz="0" w:space="0" w:color="auto"/>
                        <w:left w:val="none" w:sz="0" w:space="0" w:color="auto"/>
                        <w:bottom w:val="none" w:sz="0" w:space="0" w:color="auto"/>
                        <w:right w:val="none" w:sz="0" w:space="0" w:color="auto"/>
                      </w:divBdr>
                    </w:div>
                  </w:divsChild>
                </w:div>
                <w:div w:id="1859351912">
                  <w:marLeft w:val="0"/>
                  <w:marRight w:val="0"/>
                  <w:marTop w:val="0"/>
                  <w:marBottom w:val="0"/>
                  <w:divBdr>
                    <w:top w:val="none" w:sz="0" w:space="0" w:color="auto"/>
                    <w:left w:val="none" w:sz="0" w:space="0" w:color="auto"/>
                    <w:bottom w:val="none" w:sz="0" w:space="0" w:color="auto"/>
                    <w:right w:val="none" w:sz="0" w:space="0" w:color="auto"/>
                  </w:divBdr>
                  <w:divsChild>
                    <w:div w:id="1007560226">
                      <w:marLeft w:val="0"/>
                      <w:marRight w:val="0"/>
                      <w:marTop w:val="0"/>
                      <w:marBottom w:val="0"/>
                      <w:divBdr>
                        <w:top w:val="none" w:sz="0" w:space="0" w:color="auto"/>
                        <w:left w:val="none" w:sz="0" w:space="0" w:color="auto"/>
                        <w:bottom w:val="none" w:sz="0" w:space="0" w:color="auto"/>
                        <w:right w:val="none" w:sz="0" w:space="0" w:color="auto"/>
                      </w:divBdr>
                    </w:div>
                  </w:divsChild>
                </w:div>
                <w:div w:id="1913196205">
                  <w:marLeft w:val="0"/>
                  <w:marRight w:val="0"/>
                  <w:marTop w:val="0"/>
                  <w:marBottom w:val="0"/>
                  <w:divBdr>
                    <w:top w:val="none" w:sz="0" w:space="0" w:color="auto"/>
                    <w:left w:val="none" w:sz="0" w:space="0" w:color="auto"/>
                    <w:bottom w:val="none" w:sz="0" w:space="0" w:color="auto"/>
                    <w:right w:val="none" w:sz="0" w:space="0" w:color="auto"/>
                  </w:divBdr>
                  <w:divsChild>
                    <w:div w:id="689137624">
                      <w:marLeft w:val="0"/>
                      <w:marRight w:val="0"/>
                      <w:marTop w:val="0"/>
                      <w:marBottom w:val="0"/>
                      <w:divBdr>
                        <w:top w:val="none" w:sz="0" w:space="0" w:color="auto"/>
                        <w:left w:val="none" w:sz="0" w:space="0" w:color="auto"/>
                        <w:bottom w:val="none" w:sz="0" w:space="0" w:color="auto"/>
                        <w:right w:val="none" w:sz="0" w:space="0" w:color="auto"/>
                      </w:divBdr>
                    </w:div>
                  </w:divsChild>
                </w:div>
                <w:div w:id="1927423160">
                  <w:marLeft w:val="0"/>
                  <w:marRight w:val="0"/>
                  <w:marTop w:val="0"/>
                  <w:marBottom w:val="0"/>
                  <w:divBdr>
                    <w:top w:val="none" w:sz="0" w:space="0" w:color="auto"/>
                    <w:left w:val="none" w:sz="0" w:space="0" w:color="auto"/>
                    <w:bottom w:val="none" w:sz="0" w:space="0" w:color="auto"/>
                    <w:right w:val="none" w:sz="0" w:space="0" w:color="auto"/>
                  </w:divBdr>
                  <w:divsChild>
                    <w:div w:id="1264460255">
                      <w:marLeft w:val="0"/>
                      <w:marRight w:val="0"/>
                      <w:marTop w:val="0"/>
                      <w:marBottom w:val="0"/>
                      <w:divBdr>
                        <w:top w:val="none" w:sz="0" w:space="0" w:color="auto"/>
                        <w:left w:val="none" w:sz="0" w:space="0" w:color="auto"/>
                        <w:bottom w:val="none" w:sz="0" w:space="0" w:color="auto"/>
                        <w:right w:val="none" w:sz="0" w:space="0" w:color="auto"/>
                      </w:divBdr>
                    </w:div>
                  </w:divsChild>
                </w:div>
                <w:div w:id="2095395645">
                  <w:marLeft w:val="0"/>
                  <w:marRight w:val="0"/>
                  <w:marTop w:val="0"/>
                  <w:marBottom w:val="0"/>
                  <w:divBdr>
                    <w:top w:val="none" w:sz="0" w:space="0" w:color="auto"/>
                    <w:left w:val="none" w:sz="0" w:space="0" w:color="auto"/>
                    <w:bottom w:val="none" w:sz="0" w:space="0" w:color="auto"/>
                    <w:right w:val="none" w:sz="0" w:space="0" w:color="auto"/>
                  </w:divBdr>
                  <w:divsChild>
                    <w:div w:id="21009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80719">
          <w:marLeft w:val="0"/>
          <w:marRight w:val="0"/>
          <w:marTop w:val="0"/>
          <w:marBottom w:val="0"/>
          <w:divBdr>
            <w:top w:val="none" w:sz="0" w:space="0" w:color="auto"/>
            <w:left w:val="none" w:sz="0" w:space="0" w:color="auto"/>
            <w:bottom w:val="none" w:sz="0" w:space="0" w:color="auto"/>
            <w:right w:val="none" w:sz="0" w:space="0" w:color="auto"/>
          </w:divBdr>
        </w:div>
        <w:div w:id="1978417222">
          <w:marLeft w:val="0"/>
          <w:marRight w:val="0"/>
          <w:marTop w:val="0"/>
          <w:marBottom w:val="0"/>
          <w:divBdr>
            <w:top w:val="none" w:sz="0" w:space="0" w:color="auto"/>
            <w:left w:val="none" w:sz="0" w:space="0" w:color="auto"/>
            <w:bottom w:val="none" w:sz="0" w:space="0" w:color="auto"/>
            <w:right w:val="none" w:sz="0" w:space="0" w:color="auto"/>
          </w:divBdr>
        </w:div>
        <w:div w:id="1982420934">
          <w:marLeft w:val="0"/>
          <w:marRight w:val="0"/>
          <w:marTop w:val="0"/>
          <w:marBottom w:val="0"/>
          <w:divBdr>
            <w:top w:val="none" w:sz="0" w:space="0" w:color="auto"/>
            <w:left w:val="none" w:sz="0" w:space="0" w:color="auto"/>
            <w:bottom w:val="none" w:sz="0" w:space="0" w:color="auto"/>
            <w:right w:val="none" w:sz="0" w:space="0" w:color="auto"/>
          </w:divBdr>
        </w:div>
        <w:div w:id="1985616975">
          <w:marLeft w:val="0"/>
          <w:marRight w:val="0"/>
          <w:marTop w:val="0"/>
          <w:marBottom w:val="0"/>
          <w:divBdr>
            <w:top w:val="none" w:sz="0" w:space="0" w:color="auto"/>
            <w:left w:val="none" w:sz="0" w:space="0" w:color="auto"/>
            <w:bottom w:val="none" w:sz="0" w:space="0" w:color="auto"/>
            <w:right w:val="none" w:sz="0" w:space="0" w:color="auto"/>
          </w:divBdr>
        </w:div>
        <w:div w:id="1987122661">
          <w:marLeft w:val="0"/>
          <w:marRight w:val="0"/>
          <w:marTop w:val="0"/>
          <w:marBottom w:val="0"/>
          <w:divBdr>
            <w:top w:val="none" w:sz="0" w:space="0" w:color="auto"/>
            <w:left w:val="none" w:sz="0" w:space="0" w:color="auto"/>
            <w:bottom w:val="none" w:sz="0" w:space="0" w:color="auto"/>
            <w:right w:val="none" w:sz="0" w:space="0" w:color="auto"/>
          </w:divBdr>
        </w:div>
        <w:div w:id="1999845340">
          <w:marLeft w:val="0"/>
          <w:marRight w:val="0"/>
          <w:marTop w:val="0"/>
          <w:marBottom w:val="0"/>
          <w:divBdr>
            <w:top w:val="none" w:sz="0" w:space="0" w:color="auto"/>
            <w:left w:val="none" w:sz="0" w:space="0" w:color="auto"/>
            <w:bottom w:val="none" w:sz="0" w:space="0" w:color="auto"/>
            <w:right w:val="none" w:sz="0" w:space="0" w:color="auto"/>
          </w:divBdr>
        </w:div>
        <w:div w:id="2011178131">
          <w:marLeft w:val="0"/>
          <w:marRight w:val="0"/>
          <w:marTop w:val="0"/>
          <w:marBottom w:val="0"/>
          <w:divBdr>
            <w:top w:val="none" w:sz="0" w:space="0" w:color="auto"/>
            <w:left w:val="none" w:sz="0" w:space="0" w:color="auto"/>
            <w:bottom w:val="none" w:sz="0" w:space="0" w:color="auto"/>
            <w:right w:val="none" w:sz="0" w:space="0" w:color="auto"/>
          </w:divBdr>
        </w:div>
        <w:div w:id="2025858134">
          <w:marLeft w:val="0"/>
          <w:marRight w:val="0"/>
          <w:marTop w:val="0"/>
          <w:marBottom w:val="0"/>
          <w:divBdr>
            <w:top w:val="none" w:sz="0" w:space="0" w:color="auto"/>
            <w:left w:val="none" w:sz="0" w:space="0" w:color="auto"/>
            <w:bottom w:val="none" w:sz="0" w:space="0" w:color="auto"/>
            <w:right w:val="none" w:sz="0" w:space="0" w:color="auto"/>
          </w:divBdr>
        </w:div>
        <w:div w:id="2028022200">
          <w:marLeft w:val="0"/>
          <w:marRight w:val="0"/>
          <w:marTop w:val="0"/>
          <w:marBottom w:val="0"/>
          <w:divBdr>
            <w:top w:val="none" w:sz="0" w:space="0" w:color="auto"/>
            <w:left w:val="none" w:sz="0" w:space="0" w:color="auto"/>
            <w:bottom w:val="none" w:sz="0" w:space="0" w:color="auto"/>
            <w:right w:val="none" w:sz="0" w:space="0" w:color="auto"/>
          </w:divBdr>
        </w:div>
        <w:div w:id="2038505964">
          <w:marLeft w:val="0"/>
          <w:marRight w:val="0"/>
          <w:marTop w:val="0"/>
          <w:marBottom w:val="0"/>
          <w:divBdr>
            <w:top w:val="none" w:sz="0" w:space="0" w:color="auto"/>
            <w:left w:val="none" w:sz="0" w:space="0" w:color="auto"/>
            <w:bottom w:val="none" w:sz="0" w:space="0" w:color="auto"/>
            <w:right w:val="none" w:sz="0" w:space="0" w:color="auto"/>
          </w:divBdr>
        </w:div>
        <w:div w:id="2091198794">
          <w:marLeft w:val="0"/>
          <w:marRight w:val="0"/>
          <w:marTop w:val="0"/>
          <w:marBottom w:val="0"/>
          <w:divBdr>
            <w:top w:val="none" w:sz="0" w:space="0" w:color="auto"/>
            <w:left w:val="none" w:sz="0" w:space="0" w:color="auto"/>
            <w:bottom w:val="none" w:sz="0" w:space="0" w:color="auto"/>
            <w:right w:val="none" w:sz="0" w:space="0" w:color="auto"/>
          </w:divBdr>
        </w:div>
        <w:div w:id="2095860320">
          <w:marLeft w:val="0"/>
          <w:marRight w:val="0"/>
          <w:marTop w:val="0"/>
          <w:marBottom w:val="0"/>
          <w:divBdr>
            <w:top w:val="none" w:sz="0" w:space="0" w:color="auto"/>
            <w:left w:val="none" w:sz="0" w:space="0" w:color="auto"/>
            <w:bottom w:val="none" w:sz="0" w:space="0" w:color="auto"/>
            <w:right w:val="none" w:sz="0" w:space="0" w:color="auto"/>
          </w:divBdr>
        </w:div>
        <w:div w:id="2096315071">
          <w:marLeft w:val="0"/>
          <w:marRight w:val="0"/>
          <w:marTop w:val="0"/>
          <w:marBottom w:val="0"/>
          <w:divBdr>
            <w:top w:val="none" w:sz="0" w:space="0" w:color="auto"/>
            <w:left w:val="none" w:sz="0" w:space="0" w:color="auto"/>
            <w:bottom w:val="none" w:sz="0" w:space="0" w:color="auto"/>
            <w:right w:val="none" w:sz="0" w:space="0" w:color="auto"/>
          </w:divBdr>
        </w:div>
        <w:div w:id="2100786576">
          <w:marLeft w:val="0"/>
          <w:marRight w:val="0"/>
          <w:marTop w:val="0"/>
          <w:marBottom w:val="0"/>
          <w:divBdr>
            <w:top w:val="none" w:sz="0" w:space="0" w:color="auto"/>
            <w:left w:val="none" w:sz="0" w:space="0" w:color="auto"/>
            <w:bottom w:val="none" w:sz="0" w:space="0" w:color="auto"/>
            <w:right w:val="none" w:sz="0" w:space="0" w:color="auto"/>
          </w:divBdr>
        </w:div>
        <w:div w:id="2106731144">
          <w:marLeft w:val="0"/>
          <w:marRight w:val="0"/>
          <w:marTop w:val="0"/>
          <w:marBottom w:val="0"/>
          <w:divBdr>
            <w:top w:val="none" w:sz="0" w:space="0" w:color="auto"/>
            <w:left w:val="none" w:sz="0" w:space="0" w:color="auto"/>
            <w:bottom w:val="none" w:sz="0" w:space="0" w:color="auto"/>
            <w:right w:val="none" w:sz="0" w:space="0" w:color="auto"/>
          </w:divBdr>
        </w:div>
        <w:div w:id="2125802264">
          <w:marLeft w:val="0"/>
          <w:marRight w:val="0"/>
          <w:marTop w:val="0"/>
          <w:marBottom w:val="0"/>
          <w:divBdr>
            <w:top w:val="none" w:sz="0" w:space="0" w:color="auto"/>
            <w:left w:val="none" w:sz="0" w:space="0" w:color="auto"/>
            <w:bottom w:val="none" w:sz="0" w:space="0" w:color="auto"/>
            <w:right w:val="none" w:sz="0" w:space="0" w:color="auto"/>
          </w:divBdr>
        </w:div>
        <w:div w:id="2126342884">
          <w:marLeft w:val="0"/>
          <w:marRight w:val="0"/>
          <w:marTop w:val="0"/>
          <w:marBottom w:val="0"/>
          <w:divBdr>
            <w:top w:val="none" w:sz="0" w:space="0" w:color="auto"/>
            <w:left w:val="none" w:sz="0" w:space="0" w:color="auto"/>
            <w:bottom w:val="none" w:sz="0" w:space="0" w:color="auto"/>
            <w:right w:val="none" w:sz="0" w:space="0" w:color="auto"/>
          </w:divBdr>
        </w:div>
        <w:div w:id="2132363590">
          <w:marLeft w:val="0"/>
          <w:marRight w:val="0"/>
          <w:marTop w:val="0"/>
          <w:marBottom w:val="0"/>
          <w:divBdr>
            <w:top w:val="none" w:sz="0" w:space="0" w:color="auto"/>
            <w:left w:val="none" w:sz="0" w:space="0" w:color="auto"/>
            <w:bottom w:val="none" w:sz="0" w:space="0" w:color="auto"/>
            <w:right w:val="none" w:sz="0" w:space="0" w:color="auto"/>
          </w:divBdr>
        </w:div>
        <w:div w:id="2134321193">
          <w:marLeft w:val="0"/>
          <w:marRight w:val="0"/>
          <w:marTop w:val="0"/>
          <w:marBottom w:val="0"/>
          <w:divBdr>
            <w:top w:val="none" w:sz="0" w:space="0" w:color="auto"/>
            <w:left w:val="none" w:sz="0" w:space="0" w:color="auto"/>
            <w:bottom w:val="none" w:sz="0" w:space="0" w:color="auto"/>
            <w:right w:val="none" w:sz="0" w:space="0" w:color="auto"/>
          </w:divBdr>
        </w:div>
      </w:divsChild>
    </w:div>
    <w:div w:id="1327518894">
      <w:bodyDiv w:val="1"/>
      <w:marLeft w:val="0"/>
      <w:marRight w:val="0"/>
      <w:marTop w:val="0"/>
      <w:marBottom w:val="0"/>
      <w:divBdr>
        <w:top w:val="none" w:sz="0" w:space="0" w:color="auto"/>
        <w:left w:val="none" w:sz="0" w:space="0" w:color="auto"/>
        <w:bottom w:val="none" w:sz="0" w:space="0" w:color="auto"/>
        <w:right w:val="none" w:sz="0" w:space="0" w:color="auto"/>
      </w:divBdr>
    </w:div>
    <w:div w:id="1487239705">
      <w:bodyDiv w:val="1"/>
      <w:marLeft w:val="0"/>
      <w:marRight w:val="0"/>
      <w:marTop w:val="0"/>
      <w:marBottom w:val="0"/>
      <w:divBdr>
        <w:top w:val="none" w:sz="0" w:space="0" w:color="auto"/>
        <w:left w:val="none" w:sz="0" w:space="0" w:color="auto"/>
        <w:bottom w:val="none" w:sz="0" w:space="0" w:color="auto"/>
        <w:right w:val="none" w:sz="0" w:space="0" w:color="auto"/>
      </w:divBdr>
    </w:div>
    <w:div w:id="155361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dir/2024/1265/oj)." TargetMode="External"/><Relationship Id="rId7" Type="http://schemas.openxmlformats.org/officeDocument/2006/relationships/hyperlink" Target="https://eur-lex.europa.eu/eli/dec/2024/2129/oj" TargetMode="External"/><Relationship Id="rId2" Type="http://schemas.openxmlformats.org/officeDocument/2006/relationships/hyperlink" Target="http://data.europa.eu/eli/reg/2024/1264/oj)." TargetMode="External"/><Relationship Id="rId1" Type="http://schemas.openxmlformats.org/officeDocument/2006/relationships/hyperlink" Target="http://data.europa.eu/eli/reg/2024/1263/oj" TargetMode="External"/><Relationship Id="rId6" Type="http://schemas.openxmlformats.org/officeDocument/2006/relationships/hyperlink" Target="https://economy-finance.ec.europa.eu/economic-and-fiscal-governance/national-medium-term-fiscal-structural-plans_cs" TargetMode="External"/><Relationship Id="rId5" Type="http://schemas.openxmlformats.org/officeDocument/2006/relationships/hyperlink" Target="https://economy-finance.ec.europa.eu/publications/2024-ageing-report-economic-and-budgetary-projections-eu-member-states-2022-2070_cs" TargetMode="External"/><Relationship Id="rId4" Type="http://schemas.openxmlformats.org/officeDocument/2006/relationships/hyperlink" Target="https://economy-finance.ec.europa.eu/publications/debt-sustainability-monitor-2023_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7AC97080-9604-406F-B2F3-69672441DF11}">
    <t:Anchor>
      <t:Comment id="825446135"/>
    </t:Anchor>
    <t:History>
      <t:Event id="{3E2C7538-F194-4781-96E3-BD6967D6C034}" time="2024-11-19T13:49:26.899Z">
        <t:Attribution userId="S::martin.pazicky@ec.europa.eu::04584c73-9c1d-48dd-b7db-56549b3ecfba" userProvider="AD" userName="PAZICKY Martin (ECFIN)"/>
        <t:Anchor>
          <t:Comment id="825446135"/>
        </t:Anchor>
        <t:Create/>
      </t:Event>
      <t:Event id="{AE86B269-2F07-4784-9E20-C83E6DE71151}" time="2024-11-19T13:49:26.899Z">
        <t:Attribution userId="S::martin.pazicky@ec.europa.eu::04584c73-9c1d-48dd-b7db-56549b3ecfba" userProvider="AD" userName="PAZICKY Martin (ECFIN)"/>
        <t:Anchor>
          <t:Comment id="825446135"/>
        </t:Anchor>
        <t:Assign userId="S::Alessandro.PELLEI@ec.europa.eu::6ee2dee3-e39a-4690-97e4-662dadba6fde" userProvider="AD" userName="PELLEI Alessandro (ECFIN)"/>
      </t:Event>
      <t:Event id="{CA1AAF0E-DC69-4CA4-8F6B-DD365A72CE2E}" time="2024-11-19T13:49:26.899Z">
        <t:Attribution userId="S::martin.pazicky@ec.europa.eu::04584c73-9c1d-48dd-b7db-56549b3ecfba" userProvider="AD" userName="PAZICKY Martin (ECFIN)"/>
        <t:Anchor>
          <t:Comment id="825446135"/>
        </t:Anchor>
        <t:SetTitle title="@PELLEI Alessandro (ECFIN)  as per DG EMPL comment"/>
      </t:Event>
    </t:History>
  </t:Task>
  <t:Task id="{FA8C29DB-DC1B-4E81-AFC0-B5FC0C23CBFB}">
    <t:Anchor>
      <t:Comment id="719899588"/>
    </t:Anchor>
    <t:History>
      <t:Event id="{7C479A48-C811-4B9A-83FD-205924E2C666}" time="2024-11-20T21:36:02.578Z">
        <t:Attribution userId="S::martin.pazicky@ec.europa.eu::04584c73-9c1d-48dd-b7db-56549b3ecfba" userProvider="AD" userName="PAZICKY Martin (ECFIN)"/>
        <t:Anchor>
          <t:Comment id="3122041"/>
        </t:Anchor>
        <t:Create/>
      </t:Event>
      <t:Event id="{F59A2E27-E570-4496-A8C1-9E3CB7C486FA}" time="2024-11-20T21:36:02.578Z">
        <t:Attribution userId="S::martin.pazicky@ec.europa.eu::04584c73-9c1d-48dd-b7db-56549b3ecfba" userProvider="AD" userName="PAZICKY Martin (ECFIN)"/>
        <t:Anchor>
          <t:Comment id="3122041"/>
        </t:Anchor>
        <t:Assign userId="S::Nick.LIGTHART@ec.europa.eu::eecbc0cf-2795-4c06-a525-bc633db0a705" userProvider="AD" userName="LIGTHART Nick (ECFIN)"/>
      </t:Event>
      <t:Event id="{E4FA482A-5FDC-432F-90D2-B4E56887EC2C}" time="2024-11-20T21:36:02.578Z">
        <t:Attribution userId="S::martin.pazicky@ec.europa.eu::04584c73-9c1d-48dd-b7db-56549b3ecfba" userProvider="AD" userName="PAZICKY Martin (ECFIN)"/>
        <t:Anchor>
          <t:Comment id="3122041"/>
        </t:Anchor>
        <t:SetTitle title="@LIGTHART Nick (ECFIN) I believe it is correct. On page 3 of the plan is written: &quot;The plan was also discussed at the Economic and Social Council, which covers the Government of the Slovak Republic, the Confederation of Trade Unions (KOZ), th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BF9CE7B864144AB9135903AF2016F" ma:contentTypeVersion="8" ma:contentTypeDescription="Create a new document." ma:contentTypeScope="" ma:versionID="fa9a5521ca02e2a40499fd685cb0c97c">
  <xsd:schema xmlns:xsd="http://www.w3.org/2001/XMLSchema" xmlns:xs="http://www.w3.org/2001/XMLSchema" xmlns:p="http://schemas.microsoft.com/office/2006/metadata/properties" xmlns:ns2="248cd52f-b46b-4611-a611-1f804cc55ba9" xmlns:ns3="ee00aed3-c832-4f67-975b-fd0d79c6c939" targetNamespace="http://schemas.microsoft.com/office/2006/metadata/properties" ma:root="true" ma:fieldsID="4177f16b53c6add2b9c882363fa6a991" ns2:_="" ns3:_="">
    <xsd:import namespace="248cd52f-b46b-4611-a611-1f804cc55ba9"/>
    <xsd:import namespace="ee00aed3-c832-4f67-975b-fd0d79c6c9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tus" minOccurs="0"/>
                <xsd:element ref="ns3:SharedWithUsers" minOccurs="0"/>
                <xsd:element ref="ns3:SharedWithDetail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cd52f-b46b-4611-a611-1f804cc55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2" nillable="true" ma:displayName="Status" ma:format="Dropdown" ma:internalName="Status">
      <xsd:simpleType>
        <xsd:restriction base="dms:Choice">
          <xsd:enumeration value="Draft"/>
          <xsd:enumeration value="Info"/>
          <xsd:enumeration value="Pending CAB approval"/>
          <xsd:enumeration value="Final"/>
        </xsd:restriction>
      </xsd:simpleType>
    </xsd:element>
    <xsd:element name="Doctype" ma:index="15" nillable="true" ma:displayName="Doc type" ma:format="Dropdown" ma:internalName="Doctype">
      <xsd:simpleType>
        <xsd:restriction base="dms:Choice">
          <xsd:enumeration value="Template"/>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ee00aed3-c832-4f67-975b-fd0d79c6c9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248cd52f-b46b-4611-a611-1f804cc55ba9" xsi:nil="true"/>
    <Doctype xmlns="248cd52f-b46b-4611-a611-1f804cc55b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0A420-44D8-4A21-A450-C040316A1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cd52f-b46b-4611-a611-1f804cc55ba9"/>
    <ds:schemaRef ds:uri="ee00aed3-c832-4f67-975b-fd0d79c6c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49D5C-9C27-4316-9985-EA1EEE678809}">
  <ds:schemaRefs>
    <ds:schemaRef ds:uri="http://www.w3.org/XML/1998/namespace"/>
    <ds:schemaRef ds:uri="http://purl.org/dc/elements/1.1/"/>
    <ds:schemaRef ds:uri="http://schemas.microsoft.com/office/2006/metadata/properties"/>
    <ds:schemaRef ds:uri="ee00aed3-c832-4f67-975b-fd0d79c6c939"/>
    <ds:schemaRef ds:uri="http://purl.org/dc/dcmitype/"/>
    <ds:schemaRef ds:uri="http://schemas.microsoft.com/office/infopath/2007/PartnerControls"/>
    <ds:schemaRef ds:uri="http://schemas.microsoft.com/office/2006/documentManagement/types"/>
    <ds:schemaRef ds:uri="248cd52f-b46b-4611-a611-1f804cc55ba9"/>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A48BA55-A351-44FA-9BA5-BEC8F728D168}">
  <ds:schemaRefs>
    <ds:schemaRef ds:uri="http://schemas.microsoft.com/sharepoint/v3/contenttype/forms"/>
  </ds:schemaRefs>
</ds:datastoreItem>
</file>

<file path=customXml/itemProps4.xml><?xml version="1.0" encoding="utf-8"?>
<ds:datastoreItem xmlns:ds="http://schemas.openxmlformats.org/officeDocument/2006/customXml" ds:itemID="{DD8E4A44-71B0-4040-8E8E-331E9643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30</TotalTime>
  <Pages>11</Pages>
  <Words>4445</Words>
  <Characters>25338</Characters>
  <Application>Microsoft Office Word</Application>
  <DocSecurity>0</DocSecurity>
  <Lines>211</Lines>
  <Paragraphs>59</Paragraphs>
  <ScaleCrop>false</ScaleCrop>
  <Manager/>
  <Company/>
  <LinksUpToDate>false</LinksUpToDate>
  <CharactersWithSpaces>29724</CharactersWithSpaces>
  <SharedDoc>false</SharedDoc>
  <HLinks>
    <vt:vector size="42" baseType="variant">
      <vt:variant>
        <vt:i4>8060988</vt:i4>
      </vt:variant>
      <vt:variant>
        <vt:i4>18</vt:i4>
      </vt:variant>
      <vt:variant>
        <vt:i4>0</vt:i4>
      </vt:variant>
      <vt:variant>
        <vt:i4>5</vt:i4>
      </vt:variant>
      <vt:variant>
        <vt:lpwstr>https://eur-lex.europa.eu/eli/dec/2024/2129/oj</vt:lpwstr>
      </vt:variant>
      <vt:variant>
        <vt:lpwstr/>
      </vt:variant>
      <vt:variant>
        <vt:i4>7995410</vt:i4>
      </vt:variant>
      <vt:variant>
        <vt:i4>15</vt:i4>
      </vt:variant>
      <vt:variant>
        <vt:i4>0</vt:i4>
      </vt:variant>
      <vt:variant>
        <vt:i4>5</vt:i4>
      </vt:variant>
      <vt:variant>
        <vt:lpwstr>https://economy-finance.ec.europa.eu/economic-and-fiscal-governance/national-medium-term-fiscal-structural-plans_en</vt:lpwstr>
      </vt:variant>
      <vt:variant>
        <vt:lpwstr>slovakia</vt:lpwstr>
      </vt:variant>
      <vt:variant>
        <vt:i4>4522110</vt:i4>
      </vt:variant>
      <vt:variant>
        <vt:i4>12</vt:i4>
      </vt:variant>
      <vt:variant>
        <vt:i4>0</vt:i4>
      </vt:variant>
      <vt:variant>
        <vt:i4>5</vt:i4>
      </vt:variant>
      <vt:variant>
        <vt:lpwstr>https://economy-finance.ec.europa.eu/publications/2024-ageing-report-economic-and-budgetary-projections-eu-member-states-2022-2070_en</vt:lpwstr>
      </vt:variant>
      <vt:variant>
        <vt:lpwstr/>
      </vt:variant>
      <vt:variant>
        <vt:i4>2031670</vt:i4>
      </vt:variant>
      <vt:variant>
        <vt:i4>9</vt:i4>
      </vt:variant>
      <vt:variant>
        <vt:i4>0</vt:i4>
      </vt:variant>
      <vt:variant>
        <vt:i4>5</vt:i4>
      </vt:variant>
      <vt:variant>
        <vt:lpwstr>https://economy-finance.ec.europa.eu/publications/debt-sustainability-monitor-2023_en</vt:lpwstr>
      </vt:variant>
      <vt:variant>
        <vt:lpwstr/>
      </vt:variant>
      <vt:variant>
        <vt:i4>6750312</vt:i4>
      </vt:variant>
      <vt:variant>
        <vt:i4>6</vt:i4>
      </vt:variant>
      <vt:variant>
        <vt:i4>0</vt:i4>
      </vt:variant>
      <vt:variant>
        <vt:i4>5</vt:i4>
      </vt:variant>
      <vt:variant>
        <vt:lpwstr>http://data.europa.eu/eli/dir/2024/1265/oj</vt:lpwstr>
      </vt:variant>
      <vt:variant>
        <vt:lpwstr/>
      </vt:variant>
      <vt:variant>
        <vt:i4>7012458</vt:i4>
      </vt:variant>
      <vt:variant>
        <vt:i4>3</vt:i4>
      </vt:variant>
      <vt:variant>
        <vt:i4>0</vt:i4>
      </vt:variant>
      <vt:variant>
        <vt:i4>5</vt:i4>
      </vt:variant>
      <vt:variant>
        <vt:lpwstr>http://data.europa.eu/eli/reg/2024/1264/oj</vt:lpwstr>
      </vt:variant>
      <vt:variant>
        <vt:lpwstr/>
      </vt:variant>
      <vt:variant>
        <vt:i4>7012461</vt:i4>
      </vt:variant>
      <vt:variant>
        <vt:i4>0</vt:i4>
      </vt:variant>
      <vt:variant>
        <vt:i4>0</vt:i4>
      </vt:variant>
      <vt:variant>
        <vt:i4>5</vt:i4>
      </vt:variant>
      <vt:variant>
        <vt:lpwstr>http://data.europa.eu/eli/reg/2024/1263/oj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2810</cp:revision>
  <dcterms:created xsi:type="dcterms:W3CDTF">2024-10-26T09:06:00Z</dcterms:created>
  <dcterms:modified xsi:type="dcterms:W3CDTF">2025-01-07T15:51:00Z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MSIP_Label_6bd9ddd1-4d20-43f6-abfa-fc3c07406f94_Enabled">
    <vt:lpwstr>true</vt:lpwstr>
  </property>
  <property fmtid="{D5CDD505-2E9C-101B-9397-08002B2CF9AE}" pid="11" name="MSIP_Label_6bd9ddd1-4d20-43f6-abfa-fc3c07406f94_SetDate">
    <vt:lpwstr>2024-10-18T13:39:54Z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aa8ba994-90a6-4b9e-8bb4-5d53fd416a54</vt:lpwstr>
  </property>
  <property fmtid="{D5CDD505-2E9C-101B-9397-08002B2CF9AE}" pid="16" name="MSIP_Label_6bd9ddd1-4d20-43f6-abfa-fc3c07406f94_ContentBits">
    <vt:lpwstr>0</vt:lpwstr>
  </property>
  <property fmtid="{D5CDD505-2E9C-101B-9397-08002B2CF9AE}" pid="17" name="ContentTypeId">
    <vt:lpwstr>0x010100756BF9CE7B864144AB9135903AF2016F</vt:lpwstr>
  </property>
  <property fmtid="{D5CDD505-2E9C-101B-9397-08002B2CF9AE}" pid="18" name="DQCStatus">
    <vt:lpwstr>Green (DQC version 03)</vt:lpwstr>
  </property>
</Properties>
</file>